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C5F167">
      <w:pPr>
        <w:pStyle w:val="29"/>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690A57CD">
      <w:pPr>
        <w:pStyle w:val="29"/>
        <w:spacing w:before="120" w:beforeAutospacing="0" w:after="120" w:afterAutospacing="0" w:line="360" w:lineRule="auto"/>
        <w:jc w:val="center"/>
        <w:rPr>
          <w:rFonts w:hint="eastAsia" w:ascii="宋体" w:hAnsi="宋体" w:eastAsia="宋体" w:cs="宋体"/>
          <w:b/>
          <w:color w:val="auto"/>
          <w:sz w:val="84"/>
          <w:szCs w:val="84"/>
          <w:highlight w:val="none"/>
        </w:rPr>
      </w:pPr>
    </w:p>
    <w:p w14:paraId="21AA82C8">
      <w:pPr>
        <w:pStyle w:val="29"/>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84"/>
          <w:szCs w:val="84"/>
          <w:highlight w:val="none"/>
        </w:rPr>
        <w:t>招 标 文 件</w:t>
      </w:r>
    </w:p>
    <w:p w14:paraId="5A7BC01B">
      <w:pPr>
        <w:pStyle w:val="29"/>
        <w:spacing w:before="120" w:beforeAutospacing="0" w:after="120" w:afterAutospacing="0" w:line="360" w:lineRule="auto"/>
        <w:rPr>
          <w:rFonts w:hint="eastAsia" w:ascii="宋体" w:hAnsi="宋体" w:eastAsia="宋体" w:cs="宋体"/>
          <w:b/>
          <w:color w:val="auto"/>
          <w:sz w:val="32"/>
          <w:szCs w:val="32"/>
          <w:highlight w:val="none"/>
        </w:rPr>
      </w:pPr>
    </w:p>
    <w:p w14:paraId="77323F13">
      <w:pPr>
        <w:pStyle w:val="29"/>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          项目名称：滨海县城市照明2026年度购电项目</w:t>
      </w:r>
    </w:p>
    <w:p w14:paraId="4F847F3F">
      <w:pPr>
        <w:pStyle w:val="29"/>
        <w:spacing w:beforeAutospacing="0" w:afterAutospacing="0"/>
        <w:jc w:val="both"/>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          项目编号：JSZC-320922-ZQYC-G2026-002</w:t>
      </w:r>
      <w:r>
        <w:rPr>
          <w:rFonts w:hint="eastAsia" w:ascii="宋体" w:hAnsi="宋体" w:eastAsia="宋体" w:cs="宋体"/>
          <w:b/>
          <w:color w:val="auto"/>
          <w:sz w:val="32"/>
          <w:szCs w:val="32"/>
          <w:highlight w:val="none"/>
          <w:lang w:val="en-US" w:eastAsia="zh-CN"/>
        </w:rPr>
        <w:t>6</w:t>
      </w:r>
    </w:p>
    <w:p w14:paraId="47E572DD">
      <w:pPr>
        <w:pStyle w:val="2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097E315E">
      <w:pPr>
        <w:pStyle w:val="2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339B6853">
      <w:pPr>
        <w:pStyle w:val="2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4790ACCA">
      <w:pPr>
        <w:pStyle w:val="2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208D04A1">
      <w:pPr>
        <w:pStyle w:val="2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281EA9C4">
      <w:pPr>
        <w:pStyle w:val="2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5B324007">
      <w:pPr>
        <w:pStyle w:val="2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36E801DD">
      <w:pPr>
        <w:pStyle w:val="29"/>
        <w:spacing w:beforeAutospacing="0" w:afterAutospacing="0" w:line="360" w:lineRule="auto"/>
        <w:rPr>
          <w:rFonts w:hint="eastAsia" w:ascii="宋体" w:hAnsi="宋体" w:eastAsia="宋体" w:cs="宋体"/>
          <w:color w:val="auto"/>
          <w:highlight w:val="none"/>
        </w:rPr>
      </w:pPr>
    </w:p>
    <w:p w14:paraId="052877C2">
      <w:pPr>
        <w:pStyle w:val="29"/>
        <w:spacing w:before="120" w:beforeAutospacing="0" w:after="120" w:afterAutospacing="0"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采购单位：</w:t>
      </w:r>
      <w:r>
        <w:rPr>
          <w:rFonts w:hint="eastAsia" w:ascii="宋体" w:hAnsi="宋体" w:eastAsia="宋体" w:cs="宋体"/>
          <w:b/>
          <w:color w:val="auto"/>
          <w:sz w:val="32"/>
          <w:szCs w:val="32"/>
          <w:highlight w:val="none"/>
          <w:u w:val="single"/>
        </w:rPr>
        <w:t>滨海县城市管理局</w:t>
      </w:r>
    </w:p>
    <w:p w14:paraId="1E9A1C35">
      <w:pPr>
        <w:pStyle w:val="29"/>
        <w:spacing w:before="120" w:beforeAutospacing="0" w:after="120" w:afterAutospacing="0"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代理机构：</w:t>
      </w:r>
      <w:r>
        <w:rPr>
          <w:rFonts w:hint="eastAsia" w:ascii="宋体" w:hAnsi="宋体" w:eastAsia="宋体" w:cs="宋体"/>
          <w:b/>
          <w:color w:val="auto"/>
          <w:sz w:val="32"/>
          <w:szCs w:val="32"/>
          <w:highlight w:val="none"/>
          <w:u w:val="single"/>
        </w:rPr>
        <w:t>盐城市智强项目管理有限公司</w:t>
      </w:r>
    </w:p>
    <w:p w14:paraId="269A97CF">
      <w:pPr>
        <w:pStyle w:val="29"/>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2026年</w:t>
      </w:r>
      <w:r>
        <w:rPr>
          <w:rFonts w:hint="eastAsia" w:ascii="宋体" w:hAnsi="宋体" w:eastAsia="宋体" w:cs="宋体"/>
          <w:b/>
          <w:color w:val="auto"/>
          <w:sz w:val="32"/>
          <w:szCs w:val="32"/>
          <w:highlight w:val="none"/>
          <w:lang w:val="en-US" w:eastAsia="zh-CN"/>
        </w:rPr>
        <w:t>10</w:t>
      </w:r>
      <w:r>
        <w:rPr>
          <w:rFonts w:hint="eastAsia" w:ascii="宋体" w:hAnsi="宋体" w:eastAsia="宋体" w:cs="宋体"/>
          <w:b/>
          <w:color w:val="auto"/>
          <w:sz w:val="32"/>
          <w:szCs w:val="32"/>
          <w:highlight w:val="none"/>
        </w:rPr>
        <w:t>月</w:t>
      </w:r>
    </w:p>
    <w:p w14:paraId="5BAFBC04">
      <w:pPr>
        <w:pStyle w:val="29"/>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90E83BD">
      <w:pPr>
        <w:pStyle w:val="29"/>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D785702">
      <w:pPr>
        <w:pStyle w:val="29"/>
        <w:spacing w:beforeAutospacing="0" w:afterAutospacing="0" w:line="48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w:t>
      </w:r>
      <w:bookmarkStart w:id="0" w:name="_Toc16938516"/>
      <w:bookmarkStart w:id="1" w:name="_Toc523127445"/>
      <w:bookmarkStart w:id="2" w:name="_Toc120614210"/>
      <w:bookmarkStart w:id="3" w:name="_Toc20823272"/>
      <w:bookmarkStart w:id="4" w:name="_Toc479757206"/>
      <w:bookmarkStart w:id="5" w:name="_Toc513029200"/>
      <w:r>
        <w:rPr>
          <w:rFonts w:hint="eastAsia" w:ascii="宋体" w:hAnsi="宋体" w:eastAsia="宋体" w:cs="宋体"/>
          <w:color w:val="auto"/>
          <w:sz w:val="21"/>
          <w:szCs w:val="21"/>
          <w:highlight w:val="none"/>
        </w:rPr>
        <w:t> </w:t>
      </w:r>
    </w:p>
    <w:p w14:paraId="31011F15">
      <w:pPr>
        <w:pStyle w:val="29"/>
        <w:spacing w:beforeAutospacing="0" w:afterAutospacing="0" w:line="480" w:lineRule="auto"/>
        <w:jc w:val="center"/>
        <w:rPr>
          <w:rFonts w:hint="eastAsia" w:ascii="宋体" w:hAnsi="宋体" w:eastAsia="宋体" w:cs="宋体"/>
          <w:color w:val="auto"/>
          <w:sz w:val="21"/>
          <w:szCs w:val="21"/>
          <w:highlight w:val="none"/>
        </w:rPr>
      </w:pPr>
    </w:p>
    <w:p w14:paraId="5FDEFCD1">
      <w:pPr>
        <w:pStyle w:val="29"/>
        <w:spacing w:beforeAutospacing="0" w:afterAutospacing="0" w:line="480" w:lineRule="auto"/>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5BD10D9F">
      <w:pPr>
        <w:pStyle w:val="29"/>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CADA287">
      <w:pPr>
        <w:pStyle w:val="29"/>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1、招标公告…………………………………… 3 </w:t>
      </w:r>
    </w:p>
    <w:p w14:paraId="786E9DB5">
      <w:pPr>
        <w:pStyle w:val="29"/>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2、投标人须知………………………………… 6  </w:t>
      </w:r>
    </w:p>
    <w:p w14:paraId="09727E99">
      <w:pPr>
        <w:pStyle w:val="29"/>
        <w:tabs>
          <w:tab w:val="left" w:pos="1441"/>
        </w:tabs>
        <w:spacing w:beforeAutospacing="0" w:afterAutospacing="0" w:line="480" w:lineRule="auto"/>
        <w:ind w:left="2160" w:hanging="1440"/>
        <w:jc w:val="both"/>
        <w:rPr>
          <w:rFonts w:hint="eastAsia" w:ascii="宋体" w:hAnsi="宋体" w:eastAsia="宋体" w:cs="宋体"/>
          <w:color w:val="auto"/>
          <w:highlight w:val="none"/>
          <w:lang w:eastAsia="zh-CN"/>
        </w:rPr>
      </w:pPr>
      <w:r>
        <w:rPr>
          <w:rFonts w:hint="eastAsia" w:ascii="宋体" w:hAnsi="宋体" w:eastAsia="宋体" w:cs="宋体"/>
          <w:color w:val="auto"/>
          <w:sz w:val="36"/>
          <w:szCs w:val="36"/>
          <w:highlight w:val="none"/>
        </w:rPr>
        <w:t>3、合同文本……………………………………1</w:t>
      </w:r>
      <w:r>
        <w:rPr>
          <w:rFonts w:hint="eastAsia" w:ascii="宋体" w:hAnsi="宋体" w:eastAsia="宋体" w:cs="宋体"/>
          <w:color w:val="auto"/>
          <w:sz w:val="36"/>
          <w:szCs w:val="36"/>
          <w:highlight w:val="none"/>
          <w:lang w:val="en-US" w:eastAsia="zh-CN"/>
        </w:rPr>
        <w:t>7</w:t>
      </w:r>
    </w:p>
    <w:p w14:paraId="0057179B">
      <w:pPr>
        <w:pStyle w:val="29"/>
        <w:tabs>
          <w:tab w:val="left" w:pos="1441"/>
        </w:tabs>
        <w:spacing w:beforeAutospacing="0" w:afterAutospacing="0" w:line="480" w:lineRule="auto"/>
        <w:ind w:left="2160" w:hanging="1440"/>
        <w:jc w:val="both"/>
        <w:rPr>
          <w:rFonts w:hint="eastAsia" w:ascii="宋体" w:hAnsi="宋体" w:eastAsia="宋体" w:cs="宋体"/>
          <w:color w:val="auto"/>
          <w:highlight w:val="none"/>
          <w:lang w:eastAsia="zh-CN"/>
        </w:rPr>
      </w:pPr>
      <w:r>
        <w:rPr>
          <w:rFonts w:hint="eastAsia" w:ascii="宋体" w:hAnsi="宋体" w:eastAsia="宋体" w:cs="宋体"/>
          <w:color w:val="auto"/>
          <w:sz w:val="36"/>
          <w:szCs w:val="36"/>
          <w:highlight w:val="none"/>
        </w:rPr>
        <w:t>4、采购需求……………………………………2</w:t>
      </w:r>
      <w:r>
        <w:rPr>
          <w:rFonts w:hint="eastAsia" w:ascii="宋体" w:hAnsi="宋体" w:eastAsia="宋体" w:cs="宋体"/>
          <w:color w:val="auto"/>
          <w:sz w:val="36"/>
          <w:szCs w:val="36"/>
          <w:highlight w:val="none"/>
          <w:lang w:val="en-US" w:eastAsia="zh-CN"/>
        </w:rPr>
        <w:t>8</w:t>
      </w:r>
    </w:p>
    <w:p w14:paraId="7744A4F4">
      <w:pPr>
        <w:pStyle w:val="29"/>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5、评标方法与评标标准………………………</w:t>
      </w:r>
      <w:r>
        <w:rPr>
          <w:rFonts w:hint="eastAsia" w:ascii="宋体" w:hAnsi="宋体" w:eastAsia="宋体" w:cs="宋体"/>
          <w:color w:val="auto"/>
          <w:sz w:val="36"/>
          <w:szCs w:val="36"/>
          <w:highlight w:val="none"/>
          <w:lang w:val="en-US" w:eastAsia="zh-CN"/>
        </w:rPr>
        <w:t>30</w:t>
      </w:r>
    </w:p>
    <w:p w14:paraId="5935604A">
      <w:pPr>
        <w:pStyle w:val="29"/>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6、投标文件格式………………………………</w:t>
      </w:r>
      <w:r>
        <w:rPr>
          <w:rFonts w:hint="eastAsia" w:ascii="宋体" w:hAnsi="宋体" w:eastAsia="宋体" w:cs="宋体"/>
          <w:color w:val="auto"/>
          <w:sz w:val="36"/>
          <w:szCs w:val="36"/>
          <w:highlight w:val="none"/>
          <w:lang w:val="en-US" w:eastAsia="zh-CN"/>
        </w:rPr>
        <w:t>33</w:t>
      </w:r>
    </w:p>
    <w:p w14:paraId="472A01A7">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6D453E7">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DBB004">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A7B8C20">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B803B6C">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1637A83">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515C00">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CADB42A">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AA0F902">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C0FE84C">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E8F6870">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C6C26C7">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09B0354">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B79EA2C">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C155BB6">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103FB99">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34E3824">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8EF619D">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2E210F1">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2234EB2">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EDF19D0">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34F1214">
      <w:pPr>
        <w:pStyle w:val="29"/>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第一章 招标公告</w:t>
      </w:r>
    </w:p>
    <w:p w14:paraId="1B2378E0">
      <w:pPr>
        <w:pStyle w:val="29"/>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3AE30811">
      <w:pPr>
        <w:pStyle w:val="29"/>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u w:val="single"/>
        </w:rPr>
        <w:t>滨海县城市照明2026年度购电项目</w:t>
      </w:r>
      <w:r>
        <w:rPr>
          <w:rFonts w:hint="eastAsia" w:ascii="宋体" w:hAnsi="宋体" w:eastAsia="宋体" w:cs="宋体"/>
          <w:color w:val="auto"/>
          <w:highlight w:val="none"/>
        </w:rPr>
        <w:t>招标的潜在投标人可在</w:t>
      </w:r>
      <w:r>
        <w:rPr>
          <w:rFonts w:hint="eastAsia" w:ascii="宋体" w:hAnsi="宋体" w:eastAsia="宋体" w:cs="宋体"/>
          <w:color w:val="auto"/>
          <w:highlight w:val="none"/>
          <w:shd w:val="clear" w:color="auto" w:fill="FFFFFF"/>
        </w:rPr>
        <w:t>“苏采云”系统内免费下载（投标人必须在苏采云系统中获取采购文件，方能参与政府采购项目） </w:t>
      </w:r>
      <w:r>
        <w:rPr>
          <w:rFonts w:hint="eastAsia" w:ascii="宋体" w:hAnsi="宋体" w:eastAsia="宋体" w:cs="宋体"/>
          <w:color w:val="auto"/>
          <w:highlight w:val="none"/>
        </w:rPr>
        <w:t>，并于</w:t>
      </w:r>
      <w:r>
        <w:rPr>
          <w:rFonts w:hint="eastAsia" w:ascii="宋体" w:hAnsi="宋体" w:eastAsia="宋体" w:cs="宋体"/>
          <w:color w:val="auto"/>
          <w:highlight w:val="none"/>
          <w:u w:val="single"/>
        </w:rPr>
        <w:t>2026年</w:t>
      </w:r>
      <w:r>
        <w:rPr>
          <w:rFonts w:hint="eastAsia" w:ascii="宋体" w:hAnsi="宋体" w:eastAsia="宋体" w:cs="宋体"/>
          <w:color w:val="auto"/>
          <w:highlight w:val="none"/>
          <w:u w:val="single"/>
          <w:lang w:val="en-US" w:eastAsia="zh-CN"/>
        </w:rPr>
        <w:t>11</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16</w:t>
      </w:r>
      <w:r>
        <w:rPr>
          <w:rFonts w:hint="eastAsia" w:ascii="宋体" w:hAnsi="宋体" w:eastAsia="宋体" w:cs="宋体"/>
          <w:color w:val="auto"/>
          <w:highlight w:val="none"/>
          <w:u w:val="single"/>
        </w:rPr>
        <w:t>日15时00分00秒（</w:t>
      </w:r>
      <w:r>
        <w:rPr>
          <w:rFonts w:hint="eastAsia" w:ascii="宋体" w:hAnsi="宋体" w:eastAsia="宋体" w:cs="宋体"/>
          <w:color w:val="auto"/>
          <w:highlight w:val="none"/>
        </w:rPr>
        <w:t>北京时间）前递交投标文件。</w:t>
      </w:r>
    </w:p>
    <w:p w14:paraId="15BFDE8C">
      <w:pPr>
        <w:pStyle w:val="29"/>
        <w:keepNext/>
        <w:keepLines/>
        <w:spacing w:before="145" w:beforeAutospacing="0" w:after="145" w:afterAutospacing="0" w:line="360" w:lineRule="auto"/>
        <w:ind w:firstLine="498"/>
        <w:jc w:val="both"/>
        <w:rPr>
          <w:rFonts w:hint="eastAsia" w:ascii="宋体" w:hAnsi="宋体" w:eastAsia="宋体" w:cs="宋体"/>
          <w:color w:val="auto"/>
          <w:highlight w:val="none"/>
        </w:rPr>
      </w:pPr>
      <w:bookmarkStart w:id="6" w:name="_Hlk24379207"/>
      <w:bookmarkStart w:id="7" w:name="_Toc35393621"/>
      <w:bookmarkStart w:id="8" w:name="_Toc28359002"/>
      <w:bookmarkStart w:id="9" w:name="_Toc35393790"/>
      <w:bookmarkStart w:id="10" w:name="_Toc28359079"/>
      <w:bookmarkStart w:id="11" w:name="_Toc38985263"/>
      <w:r>
        <w:rPr>
          <w:rFonts w:hint="eastAsia" w:ascii="宋体" w:hAnsi="宋体" w:eastAsia="宋体" w:cs="宋体"/>
          <w:b/>
          <w:color w:val="auto"/>
          <w:highlight w:val="none"/>
        </w:rPr>
        <w:t>一、项目基本情况</w:t>
      </w:r>
      <w:bookmarkEnd w:id="6"/>
      <w:bookmarkEnd w:id="7"/>
      <w:bookmarkEnd w:id="8"/>
      <w:bookmarkEnd w:id="9"/>
      <w:bookmarkEnd w:id="10"/>
      <w:bookmarkEnd w:id="11"/>
    </w:p>
    <w:p w14:paraId="1FD9BD59">
      <w:pPr>
        <w:pStyle w:val="29"/>
        <w:spacing w:beforeAutospacing="0" w:afterAutospacing="0"/>
        <w:ind w:firstLine="480"/>
        <w:jc w:val="both"/>
        <w:rPr>
          <w:rFonts w:hint="eastAsia" w:ascii="宋体" w:hAnsi="宋体" w:eastAsia="宋体" w:cs="宋体"/>
          <w:color w:val="auto"/>
          <w:highlight w:val="none"/>
          <w:lang w:eastAsia="zh-CN"/>
        </w:rPr>
      </w:pPr>
      <w:r>
        <w:rPr>
          <w:rFonts w:ascii="宋体" w:hAnsi="宋体" w:eastAsia="宋体" w:cs="宋体"/>
          <w:color w:val="auto"/>
          <w:highlight w:val="none"/>
        </w:rPr>
        <w:t>1.项目编号：JSZC-320922-ZQYC-G2026-</w:t>
      </w:r>
      <w:r>
        <w:rPr>
          <w:rFonts w:hint="eastAsia" w:ascii="宋体" w:hAnsi="宋体" w:eastAsia="宋体" w:cs="宋体"/>
          <w:color w:val="auto"/>
          <w:highlight w:val="none"/>
          <w:lang w:eastAsia="zh-CN"/>
        </w:rPr>
        <w:t>002</w:t>
      </w:r>
      <w:r>
        <w:rPr>
          <w:rFonts w:hint="eastAsia" w:ascii="宋体" w:hAnsi="宋体" w:eastAsia="宋体" w:cs="宋体"/>
          <w:color w:val="auto"/>
          <w:highlight w:val="none"/>
          <w:lang w:val="en-US" w:eastAsia="zh-CN"/>
        </w:rPr>
        <w:t>6</w:t>
      </w:r>
    </w:p>
    <w:p w14:paraId="04388DBC">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2.项目名称：滨海县城市照明2026年度购电项目</w:t>
      </w:r>
    </w:p>
    <w:p w14:paraId="26E5B40C">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3.采购方式：公开招标</w:t>
      </w:r>
    </w:p>
    <w:p w14:paraId="54D98981">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4.预算金额：9120000元</w:t>
      </w:r>
    </w:p>
    <w:p w14:paraId="2262EFAE">
      <w:pPr>
        <w:pStyle w:val="29"/>
        <w:spacing w:beforeAutospacing="0" w:afterAutospacing="0"/>
        <w:ind w:firstLine="480"/>
        <w:jc w:val="both"/>
        <w:rPr>
          <w:rFonts w:hint="default" w:ascii="宋体" w:hAnsi="宋体" w:eastAsia="宋体" w:cs="宋体"/>
          <w:b w:val="0"/>
          <w:bCs w:val="0"/>
          <w:color w:val="auto"/>
          <w:highlight w:val="none"/>
          <w:lang w:val="en-US" w:eastAsia="zh-CN"/>
        </w:rPr>
      </w:pPr>
      <w:r>
        <w:rPr>
          <w:rFonts w:hint="eastAsia" w:ascii="宋体" w:hAnsi="宋体" w:eastAsia="宋体" w:cs="宋体"/>
          <w:color w:val="auto"/>
          <w:highlight w:val="none"/>
        </w:rPr>
        <w:t>5.最高限价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单价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Style w:val="34"/>
          <w:rFonts w:hint="eastAsia" w:ascii="宋体" w:hAnsi="宋体" w:eastAsia="宋体" w:cs="宋体"/>
          <w:b w:val="0"/>
          <w:bCs w:val="0"/>
          <w:i w:val="0"/>
          <w:iCs w:val="0"/>
          <w:caps w:val="0"/>
          <w:color w:val="auto"/>
          <w:spacing w:val="0"/>
          <w:sz w:val="24"/>
          <w:szCs w:val="24"/>
          <w:highlight w:val="none"/>
          <w:shd w:val="clear" w:fill="FFFFFF"/>
          <w:vertAlign w:val="baseline"/>
        </w:rPr>
        <w:t>20 元/兆瓦时</w:t>
      </w:r>
      <w:r>
        <w:rPr>
          <w:rFonts w:hint="eastAsia" w:ascii="宋体" w:hAnsi="宋体" w:eastAsia="宋体" w:cs="宋体"/>
          <w:b w:val="0"/>
          <w:bCs w:val="0"/>
          <w:i w:val="0"/>
          <w:iCs w:val="0"/>
          <w:caps w:val="0"/>
          <w:color w:val="auto"/>
          <w:spacing w:val="0"/>
          <w:sz w:val="24"/>
          <w:szCs w:val="24"/>
          <w:highlight w:val="none"/>
          <w:shd w:val="clear" w:fill="FFFFFF"/>
        </w:rPr>
        <w:t>（</w:t>
      </w:r>
      <w:r>
        <w:rPr>
          <w:rFonts w:hint="eastAsia" w:ascii="宋体" w:hAnsi="宋体" w:eastAsia="宋体" w:cs="宋体"/>
          <w:b w:val="0"/>
          <w:bCs/>
          <w:color w:val="auto"/>
          <w:sz w:val="24"/>
          <w:highlight w:val="none"/>
          <w:lang w:val="en-US" w:eastAsia="zh-CN"/>
        </w:rPr>
        <w:t>20 元/兆瓦时= 0.02 元/千瓦时</w:t>
      </w:r>
      <w:r>
        <w:rPr>
          <w:rFonts w:hint="eastAsia" w:ascii="宋体" w:hAnsi="宋体" w:eastAsia="宋体" w:cs="宋体"/>
          <w:b w:val="0"/>
          <w:bCs w:val="0"/>
          <w:i w:val="0"/>
          <w:iCs w:val="0"/>
          <w:caps w:val="0"/>
          <w:color w:val="auto"/>
          <w:spacing w:val="0"/>
          <w:sz w:val="24"/>
          <w:szCs w:val="24"/>
          <w:highlight w:val="none"/>
          <w:shd w:val="clear" w:fill="FFFFFF"/>
          <w:lang w:eastAsia="zh-CN"/>
        </w:rPr>
        <w:t>，</w:t>
      </w:r>
      <w:r>
        <w:rPr>
          <w:rFonts w:hint="eastAsia" w:ascii="宋体" w:hAnsi="宋体" w:eastAsia="宋体" w:cs="宋体"/>
          <w:b w:val="0"/>
          <w:bCs w:val="0"/>
          <w:color w:val="auto"/>
          <w:highlight w:val="none"/>
          <w:lang w:val="en-US" w:eastAsia="zh-CN"/>
        </w:rPr>
        <w:t>该限价为零售套餐电能量浮动价格（P浮动价格）的单价上限，投标人仅对浮动价格进行报价；预算金额9120000元为合同期内电费总额控制数。）</w:t>
      </w:r>
    </w:p>
    <w:p w14:paraId="1AC9B168">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采购需求（简介）：滨海县城市照明2026年度购电项目为一个包件，具体包含为采购人提供交易周期内优惠电价，年度约1200万千瓦时10千伏以上高压电的生产经营所需全部用电的购售电代理交易。中标人需按国家有关法规、规定和技术规范，提供全周期电力交易服务和</w:t>
      </w:r>
      <w:r>
        <w:rPr>
          <w:rFonts w:hint="eastAsia" w:ascii="宋体" w:hAnsi="宋体" w:eastAsia="宋体" w:cs="宋体"/>
          <w:b w:val="0"/>
          <w:bCs w:val="0"/>
          <w:color w:val="auto"/>
          <w:highlight w:val="none"/>
        </w:rPr>
        <w:t>用电增值服务等</w:t>
      </w:r>
      <w:r>
        <w:rPr>
          <w:rFonts w:hint="eastAsia" w:ascii="宋体" w:hAnsi="宋体" w:eastAsia="宋体" w:cs="宋体"/>
          <w:color w:val="auto"/>
          <w:highlight w:val="none"/>
        </w:rPr>
        <w:t>，详细内容见本招标文件第四章。</w:t>
      </w:r>
    </w:p>
    <w:p w14:paraId="23923DB6">
      <w:pPr>
        <w:pStyle w:val="29"/>
        <w:spacing w:beforeAutospacing="0" w:afterAutospacing="0"/>
        <w:ind w:firstLine="480"/>
        <w:jc w:val="both"/>
        <w:rPr>
          <w:rFonts w:hint="eastAsia" w:ascii="宋体" w:hAnsi="宋体" w:eastAsia="宋体" w:cs="宋体"/>
          <w:b w:val="0"/>
          <w:bCs w:val="0"/>
          <w:color w:val="auto"/>
          <w:highlight w:val="none"/>
        </w:rPr>
      </w:pPr>
      <w:r>
        <w:rPr>
          <w:rFonts w:hint="eastAsia" w:ascii="宋体" w:hAnsi="宋体" w:eastAsia="宋体" w:cs="宋体"/>
          <w:color w:val="auto"/>
          <w:highlight w:val="none"/>
        </w:rPr>
        <w:t>7.合同履行期限</w:t>
      </w:r>
      <w:r>
        <w:rPr>
          <w:rFonts w:hint="eastAsia" w:ascii="宋体" w:hAnsi="宋体" w:eastAsia="宋体" w:cs="宋体"/>
          <w:b w:val="0"/>
          <w:bCs w:val="0"/>
          <w:color w:val="auto"/>
          <w:highlight w:val="none"/>
        </w:rPr>
        <w:t>：自合同签订且完成交易中心备案之日起12个月。</w:t>
      </w:r>
    </w:p>
    <w:p w14:paraId="02091F20">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8.本项目</w:t>
      </w:r>
      <w:r>
        <w:rPr>
          <w:rFonts w:hint="eastAsia" w:ascii="宋体" w:hAnsi="宋体" w:eastAsia="宋体" w:cs="宋体"/>
          <w:color w:val="auto"/>
          <w:highlight w:val="none"/>
          <w:u w:val="single"/>
        </w:rPr>
        <w:t>不接受</w:t>
      </w:r>
      <w:r>
        <w:rPr>
          <w:rFonts w:hint="eastAsia" w:ascii="宋体" w:hAnsi="宋体" w:eastAsia="宋体" w:cs="宋体"/>
          <w:color w:val="auto"/>
          <w:highlight w:val="none"/>
        </w:rPr>
        <w:t>联合体参与招标。</w:t>
      </w:r>
    </w:p>
    <w:p w14:paraId="71B17A34">
      <w:pPr>
        <w:pStyle w:val="29"/>
        <w:keepNext/>
        <w:keepLines/>
        <w:spacing w:before="145" w:beforeAutospacing="0" w:after="145" w:afterAutospacing="0" w:line="360" w:lineRule="auto"/>
        <w:ind w:firstLine="498"/>
        <w:jc w:val="both"/>
        <w:rPr>
          <w:rFonts w:hint="eastAsia" w:ascii="宋体" w:hAnsi="宋体" w:eastAsia="宋体" w:cs="宋体"/>
          <w:color w:val="auto"/>
          <w:highlight w:val="none"/>
        </w:rPr>
      </w:pPr>
      <w:bookmarkStart w:id="12" w:name="_Toc38985264"/>
      <w:bookmarkStart w:id="13" w:name="_Toc28359003"/>
      <w:bookmarkStart w:id="14" w:name="_Toc35393791"/>
      <w:bookmarkStart w:id="15" w:name="_Toc28359080"/>
      <w:bookmarkStart w:id="16" w:name="_Toc35393622"/>
      <w:r>
        <w:rPr>
          <w:rFonts w:hint="eastAsia" w:ascii="宋体" w:hAnsi="宋体" w:eastAsia="宋体" w:cs="宋体"/>
          <w:b/>
          <w:color w:val="auto"/>
          <w:highlight w:val="none"/>
        </w:rPr>
        <w:t>二、申请人的资格要求：</w:t>
      </w:r>
      <w:bookmarkEnd w:id="12"/>
      <w:bookmarkEnd w:id="13"/>
      <w:bookmarkEnd w:id="14"/>
      <w:bookmarkEnd w:id="15"/>
      <w:bookmarkEnd w:id="16"/>
    </w:p>
    <w:p w14:paraId="73143E8D">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711F756B">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法人或者其他组织的营业执照等证明文件，自然人的身份证明；</w:t>
      </w:r>
    </w:p>
    <w:p w14:paraId="0B54BCAB">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1.2上一年度的财务状况报告（成立不满一年无需提供）；</w:t>
      </w:r>
    </w:p>
    <w:p w14:paraId="1D8C8EEE">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31F7D1F2">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81747B8">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5AC4D203">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38936D99">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53FA935">
      <w:pPr>
        <w:pStyle w:val="29"/>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1.8单位负责人为同一人或者存在直接控股、管理关系的不同供应商，不得参加同一合同项下的政府采购活动。</w:t>
      </w:r>
    </w:p>
    <w:p w14:paraId="4657FE87">
      <w:pPr>
        <w:pStyle w:val="29"/>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2.落实政府采购政策需满足的资格要求：本项目为服务类采购项目，采购标的</w:t>
      </w:r>
      <w:r>
        <w:rPr>
          <w:rFonts w:hint="eastAsia" w:ascii="宋体" w:hAnsi="宋体" w:eastAsia="宋体" w:cs="宋体"/>
          <w:b w:val="0"/>
          <w:bCs/>
          <w:color w:val="auto"/>
          <w:highlight w:val="none"/>
        </w:rPr>
        <w:t>所属行业为租赁和商务服务业。</w:t>
      </w:r>
      <w:r>
        <w:rPr>
          <w:rFonts w:hint="eastAsia" w:ascii="宋体" w:hAnsi="宋体" w:eastAsia="宋体" w:cs="宋体"/>
          <w:color w:val="auto"/>
          <w:highlight w:val="none"/>
        </w:rPr>
        <w:t>根据《工业和信息化部、国家统计局、国家发展和改革委员会、财政部关于印发中小企业划型标准规定的通知》(工信部联企业〔2011〕300号)规定的划分标准填写。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47E62E1B">
      <w:pPr>
        <w:pStyle w:val="29"/>
        <w:widowControl/>
        <w:shd w:val="clear" w:color="auto" w:fill="FFFFFF"/>
        <w:spacing w:beforeAutospacing="0" w:afterAutospacing="0"/>
        <w:ind w:firstLine="560"/>
        <w:jc w:val="both"/>
        <w:rPr>
          <w:rFonts w:hint="eastAsia" w:ascii="宋体" w:hAnsi="宋体" w:eastAsia="宋体" w:cs="宋体"/>
          <w:color w:val="auto"/>
          <w:highlight w:val="none"/>
          <w:shd w:val="clear" w:color="auto" w:fill="FFFFFF"/>
        </w:rPr>
      </w:pPr>
      <w:r>
        <w:rPr>
          <w:rFonts w:ascii="宋体" w:hAnsi="宋体" w:eastAsia="宋体" w:cs="宋体"/>
          <w:color w:val="auto"/>
          <w:highlight w:val="none"/>
        </w:rPr>
        <w:t>3.本项目的特定资格要求：</w:t>
      </w:r>
      <w:r>
        <w:rPr>
          <w:rFonts w:hint="eastAsia" w:ascii="宋体" w:hAnsi="宋体" w:eastAsia="宋体" w:cs="宋体"/>
          <w:color w:val="auto"/>
          <w:highlight w:val="none"/>
        </w:rPr>
        <w:t>投标人须具有售电资质且在电力交易中心注册公示并</w:t>
      </w:r>
      <w:r>
        <w:rPr>
          <w:rFonts w:hint="eastAsia" w:ascii="宋体" w:hAnsi="宋体" w:eastAsia="宋体" w:cs="宋体"/>
          <w:b w:val="0"/>
          <w:bCs/>
          <w:color w:val="auto"/>
          <w:highlight w:val="none"/>
        </w:rPr>
        <w:t>已按电力市场规则向电力交易中心提交有效履约保障凭证的售电公司（提供交易中心注册成功入市公告、履约保障凭证（银行保函或保证保险等）有效证明材料、</w:t>
      </w:r>
      <w:r>
        <w:rPr>
          <w:rFonts w:hint="eastAsia" w:ascii="宋体" w:hAnsi="宋体" w:eastAsia="宋体" w:cs="宋体"/>
          <w:color w:val="auto"/>
          <w:highlight w:val="none"/>
        </w:rPr>
        <w:t>必须具备在江苏省电力市场交易能力）。</w:t>
      </w:r>
    </w:p>
    <w:p w14:paraId="00B33B55">
      <w:pPr>
        <w:pStyle w:val="29"/>
        <w:keepNext/>
        <w:keepLines/>
        <w:spacing w:before="145" w:beforeAutospacing="0" w:after="145" w:afterAutospacing="0" w:line="360" w:lineRule="auto"/>
        <w:ind w:firstLine="498"/>
        <w:jc w:val="both"/>
        <w:rPr>
          <w:rFonts w:hint="eastAsia" w:ascii="宋体" w:hAnsi="宋体" w:eastAsia="宋体" w:cs="宋体"/>
          <w:color w:val="auto"/>
          <w:highlight w:val="none"/>
        </w:rPr>
      </w:pPr>
      <w:r>
        <w:rPr>
          <w:rFonts w:hint="eastAsia" w:ascii="宋体" w:hAnsi="宋体" w:eastAsia="宋体" w:cs="宋体"/>
          <w:b/>
          <w:color w:val="auto"/>
          <w:highlight w:val="none"/>
        </w:rPr>
        <w:t>三、获取招标文件</w:t>
      </w:r>
    </w:p>
    <w:p w14:paraId="24F13138">
      <w:pPr>
        <w:widowControl/>
        <w:ind w:firstLine="480"/>
        <w:jc w:val="left"/>
        <w:rPr>
          <w:rFonts w:hint="eastAsia" w:ascii="宋体" w:hAnsi="宋体" w:eastAsia="宋体" w:cs="宋体"/>
          <w:color w:val="auto"/>
          <w:sz w:val="24"/>
          <w:highlight w:val="none"/>
        </w:rPr>
      </w:pPr>
      <w:bookmarkStart w:id="17" w:name="_Toc28359005"/>
      <w:bookmarkStart w:id="18" w:name="_Toc35393793"/>
      <w:bookmarkStart w:id="19" w:name="_Toc35393624"/>
      <w:bookmarkStart w:id="20" w:name="_Toc38985266"/>
      <w:bookmarkStart w:id="21" w:name="_Toc28359082"/>
      <w:r>
        <w:rPr>
          <w:rFonts w:hint="eastAsia" w:ascii="宋体" w:hAnsi="宋体" w:eastAsia="宋体" w:cs="宋体"/>
          <w:color w:val="auto"/>
          <w:sz w:val="24"/>
          <w:highlight w:val="none"/>
        </w:rPr>
        <w:t>1.时间：自招标文件公告发布之日起5个工作日。</w:t>
      </w:r>
      <w:bookmarkEnd w:id="17"/>
      <w:bookmarkEnd w:id="18"/>
      <w:bookmarkEnd w:id="19"/>
      <w:bookmarkEnd w:id="20"/>
      <w:bookmarkEnd w:id="21"/>
    </w:p>
    <w:p w14:paraId="36497C6B">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2.地点：“苏采云”系统内免费下载（投标人必须在苏采云系统中获取采购文件，方能参与政府采购项目）；</w:t>
      </w:r>
    </w:p>
    <w:p w14:paraId="023C86D7">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p>
    <w:p w14:paraId="53A72A55">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797023FD">
      <w:pPr>
        <w:pStyle w:val="29"/>
        <w:keepNext/>
        <w:keepLines/>
        <w:spacing w:before="145" w:beforeAutospacing="0" w:after="145" w:afterAutospacing="0" w:line="360" w:lineRule="auto"/>
        <w:ind w:firstLine="498"/>
        <w:jc w:val="both"/>
        <w:rPr>
          <w:rFonts w:hint="eastAsia"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06BC52AF">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w:t>
      </w:r>
      <w:r>
        <w:rPr>
          <w:rFonts w:hint="eastAsia" w:ascii="宋体" w:hAnsi="宋体" w:eastAsia="宋体" w:cs="宋体"/>
          <w:color w:val="auto"/>
          <w:sz w:val="24"/>
          <w:highlight w:val="none"/>
          <w:u w:val="single"/>
        </w:rPr>
        <w:t>2026年</w:t>
      </w:r>
      <w:r>
        <w:rPr>
          <w:rFonts w:hint="eastAsia" w:ascii="宋体" w:hAnsi="宋体" w:eastAsia="宋体" w:cs="宋体"/>
          <w:color w:val="auto"/>
          <w:sz w:val="24"/>
          <w:highlight w:val="none"/>
          <w:u w:val="single"/>
          <w:lang w:val="en-US" w:eastAsia="zh-CN"/>
        </w:rPr>
        <w:t>11</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16</w:t>
      </w:r>
      <w:r>
        <w:rPr>
          <w:rFonts w:hint="eastAsia" w:ascii="宋体" w:hAnsi="宋体" w:eastAsia="宋体" w:cs="宋体"/>
          <w:color w:val="auto"/>
          <w:sz w:val="24"/>
          <w:highlight w:val="none"/>
          <w:u w:val="single"/>
        </w:rPr>
        <w:t>日15时</w:t>
      </w:r>
      <w:r>
        <w:rPr>
          <w:rFonts w:hint="eastAsia" w:ascii="宋体" w:hAnsi="宋体" w:eastAsia="宋体" w:cs="宋体"/>
          <w:color w:val="auto"/>
          <w:sz w:val="24"/>
          <w:highlight w:val="none"/>
          <w:u w:val="single"/>
        </w:rPr>
        <w:t>00分00秒（</w:t>
      </w:r>
      <w:r>
        <w:rPr>
          <w:rFonts w:hint="eastAsia" w:ascii="宋体" w:hAnsi="宋体" w:eastAsia="宋体" w:cs="宋体"/>
          <w:color w:val="auto"/>
          <w:sz w:val="24"/>
          <w:highlight w:val="none"/>
        </w:rPr>
        <w:t>北京时间）。</w:t>
      </w:r>
    </w:p>
    <w:p w14:paraId="3DE5530D">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2.地点：苏采云“不见面”开标大厅 。</w:t>
      </w:r>
    </w:p>
    <w:p w14:paraId="4AA8AE9E">
      <w:pPr>
        <w:pStyle w:val="29"/>
        <w:keepNext/>
        <w:keepLines/>
        <w:spacing w:before="145" w:beforeAutospacing="0" w:after="145" w:afterAutospacing="0" w:line="360" w:lineRule="auto"/>
        <w:ind w:firstLine="498"/>
        <w:jc w:val="both"/>
        <w:rPr>
          <w:rFonts w:hint="eastAsia" w:ascii="宋体" w:hAnsi="宋体" w:eastAsia="宋体" w:cs="宋体"/>
          <w:color w:val="auto"/>
          <w:highlight w:val="none"/>
        </w:rPr>
      </w:pPr>
      <w:bookmarkStart w:id="22" w:name="_Toc35393794"/>
      <w:bookmarkStart w:id="23" w:name="_Toc28359007"/>
      <w:bookmarkStart w:id="24" w:name="_Toc28359084"/>
      <w:bookmarkStart w:id="25" w:name="_Toc35393625"/>
      <w:bookmarkStart w:id="26" w:name="_Toc38985267"/>
      <w:r>
        <w:rPr>
          <w:rFonts w:hint="eastAsia" w:ascii="宋体" w:hAnsi="宋体" w:eastAsia="宋体" w:cs="宋体"/>
          <w:b/>
          <w:color w:val="auto"/>
          <w:highlight w:val="none"/>
        </w:rPr>
        <w:t>五、公告期限</w:t>
      </w:r>
      <w:bookmarkEnd w:id="22"/>
      <w:bookmarkEnd w:id="23"/>
      <w:bookmarkEnd w:id="24"/>
      <w:bookmarkEnd w:id="25"/>
      <w:bookmarkEnd w:id="26"/>
    </w:p>
    <w:p w14:paraId="2E27408D">
      <w:pPr>
        <w:pStyle w:val="29"/>
        <w:widowControl/>
        <w:shd w:val="clear" w:color="auto" w:fill="FFFFFF"/>
        <w:spacing w:beforeAutospacing="0" w:afterAutospacing="0"/>
        <w:ind w:firstLine="560"/>
        <w:jc w:val="both"/>
        <w:rPr>
          <w:rFonts w:hint="eastAsia" w:ascii="宋体" w:hAnsi="宋体" w:eastAsia="宋体" w:cs="宋体"/>
          <w:color w:val="auto"/>
          <w:highlight w:val="none"/>
          <w:shd w:val="clear" w:color="auto" w:fill="FFFFFF"/>
        </w:rPr>
      </w:pPr>
      <w:bookmarkStart w:id="27" w:name="_Toc35393795"/>
      <w:bookmarkStart w:id="28" w:name="_Toc38985268"/>
      <w:bookmarkStart w:id="29" w:name="_Toc35393626"/>
      <w:r>
        <w:rPr>
          <w:rFonts w:hint="eastAsia" w:ascii="宋体" w:hAnsi="宋体" w:eastAsia="宋体" w:cs="宋体"/>
          <w:color w:val="auto"/>
          <w:highlight w:val="none"/>
          <w:shd w:val="clear" w:color="auto" w:fill="FFFFFF"/>
        </w:rPr>
        <w:t>自本公告发布之日起5个工作日。</w:t>
      </w:r>
      <w:bookmarkEnd w:id="27"/>
      <w:bookmarkEnd w:id="28"/>
      <w:bookmarkEnd w:id="29"/>
    </w:p>
    <w:p w14:paraId="634A00C2">
      <w:pPr>
        <w:pStyle w:val="29"/>
        <w:keepNext/>
        <w:keepLines/>
        <w:spacing w:before="145" w:beforeAutospacing="0" w:after="145" w:afterAutospacing="0" w:line="360" w:lineRule="auto"/>
        <w:ind w:firstLine="498"/>
        <w:jc w:val="both"/>
        <w:rPr>
          <w:rFonts w:hint="eastAsia" w:ascii="宋体" w:hAnsi="宋体" w:eastAsia="宋体" w:cs="宋体"/>
          <w:color w:val="auto"/>
          <w:highlight w:val="none"/>
        </w:rPr>
      </w:pPr>
      <w:r>
        <w:rPr>
          <w:rFonts w:hint="eastAsia" w:ascii="宋体" w:hAnsi="宋体" w:eastAsia="宋体" w:cs="宋体"/>
          <w:b/>
          <w:color w:val="auto"/>
          <w:highlight w:val="none"/>
        </w:rPr>
        <w:t>六、其他补充事宜</w:t>
      </w:r>
    </w:p>
    <w:p w14:paraId="328CC21A">
      <w:pPr>
        <w:pStyle w:val="29"/>
        <w:widowControl/>
        <w:shd w:val="clear" w:color="auto" w:fill="FFFFFF"/>
        <w:spacing w:beforeAutospacing="0" w:afterAutospacing="0"/>
        <w:ind w:firstLine="560"/>
        <w:jc w:val="both"/>
        <w:rPr>
          <w:rFonts w:hint="eastAsia" w:ascii="宋体" w:hAnsi="宋体" w:eastAsia="宋体" w:cs="宋体"/>
          <w:color w:val="auto"/>
          <w:highlight w:val="none"/>
          <w:shd w:val="clear" w:color="auto" w:fill="FFFFFF"/>
        </w:rPr>
      </w:pPr>
      <w:bookmarkStart w:id="30" w:name="_Toc28359018"/>
      <w:r>
        <w:rPr>
          <w:rFonts w:hint="eastAsia" w:ascii="宋体" w:hAnsi="宋体" w:eastAsia="宋体" w:cs="宋体"/>
          <w:color w:val="auto"/>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801A3D7">
      <w:pPr>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领取CA和办理电子签章（</w:t>
      </w:r>
      <w:r>
        <w:rPr>
          <w:rFonts w:hint="eastAsia" w:ascii="宋体" w:hAnsi="宋体" w:eastAsia="宋体" w:cs="宋体"/>
          <w:color w:val="auto"/>
          <w:sz w:val="24"/>
          <w:highlight w:val="none"/>
        </w:rPr>
        <w:t>请至盐城市府西路1号盐城市公共资源交易中心四楼大厅10号，11号窗口办理</w:t>
      </w:r>
      <w:r>
        <w:rPr>
          <w:rFonts w:hint="eastAsia" w:ascii="宋体" w:hAnsi="宋体" w:eastAsia="宋体" w:cs="宋体"/>
          <w:color w:val="auto"/>
          <w:sz w:val="24"/>
          <w:highlight w:val="none"/>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7ED4185">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p>
    <w:p w14:paraId="07019C83">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9935E13">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p>
    <w:p w14:paraId="3AE40628">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p>
    <w:p w14:paraId="76B084DE">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p>
    <w:p w14:paraId="69F78890">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p>
    <w:p w14:paraId="74678DEC">
      <w:pPr>
        <w:widowControl/>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如潜在投标人未按上述要求操作，将自行承担所产生的风险。</w:t>
      </w:r>
    </w:p>
    <w:p w14:paraId="450C2B1C">
      <w:pPr>
        <w:widowControl/>
        <w:numPr>
          <w:ilvl w:val="0"/>
          <w:numId w:val="1"/>
        </w:num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有关本次招标的事项若存在变动或修改，敬请及时关注采购人在“中国政府采购网”“江苏政府采购网”“盐城市政府采购网”发布的更正公告。</w:t>
      </w:r>
    </w:p>
    <w:p w14:paraId="56ADF042">
      <w:pPr>
        <w:widowControl/>
        <w:numPr>
          <w:ilvl w:val="0"/>
          <w:numId w:val="1"/>
        </w:numPr>
        <w:ind w:firstLine="480"/>
        <w:jc w:val="both"/>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本次招标不收取投标保证金，不收取质量保证金。</w:t>
      </w:r>
      <w:r>
        <w:rPr>
          <w:rFonts w:hint="eastAsia" w:ascii="宋体" w:hAnsi="宋体" w:eastAsia="宋体" w:cs="宋体"/>
          <w:b w:val="0"/>
          <w:bCs/>
          <w:color w:val="auto"/>
          <w:sz w:val="24"/>
          <w:highlight w:val="none"/>
        </w:rPr>
        <w:t>本项目不收取履约保证金（中标人已按电力市场规则向电力交易中心提交有效履约保障凭证，其担保功能覆盖本项目履约风险；合同履约责任通过合同违约条款予以保障，详见第二章“投标人须知”第32.9条及第三章合同文本）。</w:t>
      </w:r>
    </w:p>
    <w:p w14:paraId="1284EEC6">
      <w:pPr>
        <w:pStyle w:val="3"/>
        <w:widowControl/>
        <w:shd w:val="clear" w:color="auto" w:fill="FFFFFF"/>
        <w:spacing w:beforeAutospacing="0" w:afterAutospacing="0" w:line="23" w:lineRule="atLeast"/>
        <w:ind w:firstLine="480"/>
        <w:jc w:val="both"/>
        <w:rPr>
          <w:rFonts w:cs="宋体"/>
          <w:b w:val="0"/>
          <w:bCs w:val="0"/>
          <w:color w:val="auto"/>
          <w:sz w:val="24"/>
          <w:szCs w:val="24"/>
          <w:highlight w:val="none"/>
        </w:rPr>
      </w:pPr>
      <w:r>
        <w:rPr>
          <w:rFonts w:cs="宋体"/>
          <w:b w:val="0"/>
          <w:bCs w:val="0"/>
          <w:color w:val="auto"/>
          <w:sz w:val="24"/>
          <w:szCs w:val="24"/>
          <w:highlight w:val="none"/>
          <w:shd w:val="clear" w:color="auto" w:fill="FFFFFF"/>
        </w:rPr>
        <w:t>七、对本次招标提出询问，请按以下方式联系。</w:t>
      </w:r>
      <w:bookmarkEnd w:id="30"/>
    </w:p>
    <w:p w14:paraId="417F9BB1">
      <w:pPr>
        <w:pStyle w:val="29"/>
        <w:widowControl/>
        <w:shd w:val="clear" w:color="auto" w:fill="FFFFFF"/>
        <w:spacing w:beforeAutospacing="0" w:afterAutospacing="0"/>
        <w:ind w:firstLine="560"/>
        <w:jc w:val="both"/>
        <w:rPr>
          <w:rFonts w:hint="eastAsia" w:ascii="宋体" w:hAnsi="宋体" w:eastAsia="宋体" w:cs="宋体"/>
          <w:color w:val="auto"/>
          <w:highlight w:val="none"/>
        </w:rPr>
      </w:pPr>
      <w:bookmarkStart w:id="31" w:name="_Toc28359009"/>
      <w:r>
        <w:rPr>
          <w:rFonts w:hint="eastAsia" w:ascii="宋体" w:hAnsi="宋体" w:eastAsia="宋体" w:cs="宋体"/>
          <w:color w:val="auto"/>
          <w:highlight w:val="none"/>
        </w:rPr>
        <w:t>1.采购人信息</w:t>
      </w:r>
    </w:p>
    <w:p w14:paraId="16EABD4D">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名    称：滨海县城市管理局</w:t>
      </w:r>
    </w:p>
    <w:p w14:paraId="7F3B09AB">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地    址：港城路广电网络信息技术大楼19楼 </w:t>
      </w:r>
    </w:p>
    <w:p w14:paraId="0B3D014C">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联 系 人：吕先生         孙先生              </w:t>
      </w:r>
    </w:p>
    <w:p w14:paraId="60957D45">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联系方式：15195170908  13485207750         </w:t>
      </w:r>
    </w:p>
    <w:p w14:paraId="3C5FD47D">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0951B0BB">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名    称：盐城市智强项目管理有限公司</w:t>
      </w:r>
    </w:p>
    <w:p w14:paraId="76B284CB">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地    址：滨海县政务服务中心二楼G区2202室</w:t>
      </w:r>
    </w:p>
    <w:p w14:paraId="4BB077A3">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联 系 人：高先生                     </w:t>
      </w:r>
    </w:p>
    <w:p w14:paraId="2DC554F2">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联系方式：15950201008                   </w:t>
      </w:r>
    </w:p>
    <w:p w14:paraId="453F9363">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3.项目联系方式</w:t>
      </w:r>
    </w:p>
    <w:p w14:paraId="36FAE538">
      <w:pPr>
        <w:pStyle w:val="29"/>
        <w:widowControl/>
        <w:shd w:val="clear" w:color="auto" w:fill="FFFFFF"/>
        <w:spacing w:beforeAutospacing="0" w:afterAutospacing="0"/>
        <w:ind w:firstLine="560"/>
        <w:jc w:val="both"/>
        <w:rPr>
          <w:rFonts w:hint="eastAsia" w:ascii="宋体" w:hAnsi="宋体" w:eastAsia="宋体" w:cs="宋体"/>
          <w:color w:val="auto"/>
          <w:highlight w:val="none"/>
        </w:rPr>
      </w:pPr>
      <w:r>
        <w:rPr>
          <w:rFonts w:hint="eastAsia" w:ascii="宋体" w:hAnsi="宋体" w:eastAsia="宋体" w:cs="宋体"/>
          <w:color w:val="auto"/>
          <w:highlight w:val="none"/>
        </w:rPr>
        <w:t>项目联系人：孙先生</w:t>
      </w:r>
    </w:p>
    <w:p w14:paraId="048541A6">
      <w:pPr>
        <w:pStyle w:val="29"/>
        <w:widowControl/>
        <w:shd w:val="clear" w:color="auto" w:fill="FFFFFF"/>
        <w:spacing w:beforeAutospacing="0" w:afterAutospacing="0"/>
        <w:ind w:firstLine="560"/>
        <w:jc w:val="both"/>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电  话：13485207750</w:t>
      </w:r>
    </w:p>
    <w:p w14:paraId="28019CBB">
      <w:pP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4C6C3BC5">
      <w:pPr>
        <w:pStyle w:val="29"/>
        <w:spacing w:beforeAutospacing="0" w:afterAutospacing="0"/>
        <w:ind w:right="84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w:t>
      </w:r>
    </w:p>
    <w:p w14:paraId="760A6FB1">
      <w:pPr>
        <w:pStyle w:val="29"/>
        <w:keepNext/>
        <w:keepLines/>
        <w:spacing w:before="260" w:beforeAutospacing="0" w:after="260" w:afterAutospacing="0" w:line="415" w:lineRule="auto"/>
        <w:ind w:firstLine="2429"/>
        <w:jc w:val="both"/>
        <w:rPr>
          <w:rFonts w:hint="eastAsia" w:ascii="宋体" w:hAnsi="宋体" w:eastAsia="宋体" w:cs="宋体"/>
          <w:color w:val="auto"/>
          <w:highlight w:val="none"/>
        </w:rPr>
      </w:pPr>
      <w:bookmarkStart w:id="32" w:name="_Toc120614211"/>
      <w:r>
        <w:rPr>
          <w:rFonts w:hint="eastAsia" w:ascii="宋体" w:hAnsi="宋体" w:eastAsia="宋体" w:cs="宋体"/>
          <w:b/>
          <w:color w:val="auto"/>
          <w:sz w:val="44"/>
          <w:szCs w:val="44"/>
          <w:highlight w:val="none"/>
        </w:rPr>
        <w:t xml:space="preserve">第二章  </w:t>
      </w:r>
      <w:bookmarkEnd w:id="32"/>
      <w:bookmarkStart w:id="33" w:name="_Toc120614213"/>
      <w:bookmarkStart w:id="34" w:name="_Toc16938518"/>
      <w:bookmarkStart w:id="35" w:name="_Toc513029202"/>
      <w:bookmarkStart w:id="36" w:name="_Toc20823274"/>
      <w:r>
        <w:rPr>
          <w:rFonts w:hint="eastAsia" w:ascii="宋体" w:hAnsi="宋体" w:eastAsia="宋体" w:cs="宋体"/>
          <w:b/>
          <w:color w:val="auto"/>
          <w:sz w:val="44"/>
          <w:szCs w:val="44"/>
          <w:highlight w:val="none"/>
        </w:rPr>
        <w:t>投标人须知</w:t>
      </w:r>
      <w:bookmarkEnd w:id="33"/>
      <w:bookmarkEnd w:id="34"/>
      <w:bookmarkEnd w:id="35"/>
      <w:bookmarkEnd w:id="36"/>
    </w:p>
    <w:p w14:paraId="68C4C3CA">
      <w:pPr>
        <w:keepNext/>
        <w:keepLines/>
        <w:spacing w:before="145" w:after="145" w:line="360" w:lineRule="auto"/>
        <w:ind w:firstLine="498"/>
        <w:rPr>
          <w:rFonts w:hint="eastAsia" w:ascii="宋体" w:hAnsi="宋体" w:eastAsia="宋体" w:cs="宋体"/>
          <w:color w:val="auto"/>
          <w:sz w:val="24"/>
          <w:highlight w:val="none"/>
        </w:rPr>
      </w:pPr>
      <w:bookmarkStart w:id="37" w:name="_Toc120614215"/>
      <w:bookmarkStart w:id="38" w:name="_Toc16938525"/>
      <w:bookmarkStart w:id="39" w:name="_Toc20823281"/>
      <w:bookmarkStart w:id="40" w:name="_Toc513029209"/>
      <w:bookmarkStart w:id="41" w:name="_Hlt16619475"/>
      <w:r>
        <w:rPr>
          <w:rFonts w:hint="eastAsia" w:ascii="宋体" w:hAnsi="宋体" w:eastAsia="宋体" w:cs="宋体"/>
          <w:b/>
          <w:color w:val="auto"/>
          <w:sz w:val="24"/>
          <w:highlight w:val="none"/>
        </w:rPr>
        <w:t>一、总则</w:t>
      </w:r>
    </w:p>
    <w:p w14:paraId="2716D044">
      <w:pPr>
        <w:keepNext/>
        <w:keepLines/>
        <w:ind w:firstLine="420"/>
        <w:rPr>
          <w:rFonts w:hint="eastAsia" w:ascii="宋体" w:hAnsi="宋体" w:eastAsia="宋体" w:cs="宋体"/>
          <w:color w:val="auto"/>
          <w:sz w:val="24"/>
          <w:highlight w:val="none"/>
        </w:rPr>
      </w:pPr>
      <w:bookmarkStart w:id="42" w:name="_Toc20823276"/>
      <w:bookmarkStart w:id="43" w:name="_Toc458694821"/>
      <w:bookmarkStart w:id="44" w:name="_Toc16938520"/>
      <w:bookmarkStart w:id="45" w:name="_Toc513029204"/>
      <w:r>
        <w:rPr>
          <w:rFonts w:hint="eastAsia" w:ascii="宋体" w:hAnsi="宋体" w:eastAsia="宋体" w:cs="宋体"/>
          <w:color w:val="auto"/>
          <w:sz w:val="24"/>
          <w:highlight w:val="none"/>
        </w:rPr>
        <w:t>1</w:t>
      </w:r>
      <w:bookmarkEnd w:id="42"/>
      <w:r>
        <w:rPr>
          <w:rFonts w:hint="eastAsia" w:ascii="宋体" w:hAnsi="宋体" w:eastAsia="宋体" w:cs="宋体"/>
          <w:color w:val="auto"/>
          <w:sz w:val="24"/>
          <w:highlight w:val="none"/>
        </w:rPr>
        <w:t>、招标方式</w:t>
      </w:r>
      <w:bookmarkEnd w:id="43"/>
      <w:bookmarkEnd w:id="44"/>
      <w:bookmarkEnd w:id="45"/>
    </w:p>
    <w:p w14:paraId="27D291E2">
      <w:pPr>
        <w:spacing w:line="0"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本次招标采取公开招标方式，本招标文件仅适用于招标公告中所述项目。</w:t>
      </w:r>
    </w:p>
    <w:p w14:paraId="24C99730">
      <w:pPr>
        <w:keepNext/>
        <w:keepLines/>
        <w:ind w:firstLine="420"/>
        <w:rPr>
          <w:rFonts w:hint="eastAsia" w:ascii="宋体" w:hAnsi="宋体" w:eastAsia="宋体" w:cs="宋体"/>
          <w:color w:val="auto"/>
          <w:sz w:val="24"/>
          <w:highlight w:val="none"/>
        </w:rPr>
      </w:pPr>
      <w:bookmarkStart w:id="46" w:name="_Toc16938521"/>
      <w:bookmarkStart w:id="47" w:name="_Toc513029205"/>
      <w:bookmarkStart w:id="48" w:name="_Toc20823277"/>
      <w:r>
        <w:rPr>
          <w:rFonts w:hint="eastAsia" w:ascii="宋体" w:hAnsi="宋体" w:eastAsia="宋体" w:cs="宋体"/>
          <w:color w:val="auto"/>
          <w:sz w:val="24"/>
          <w:highlight w:val="none"/>
        </w:rPr>
        <w:t>2、合格的投标人</w:t>
      </w:r>
      <w:bookmarkEnd w:id="46"/>
      <w:bookmarkEnd w:id="47"/>
      <w:bookmarkEnd w:id="48"/>
    </w:p>
    <w:p w14:paraId="69DA8EDA">
      <w:pPr>
        <w:spacing w:line="0"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2.1满足招标公告中供应商的资格要求的规定。</w:t>
      </w:r>
    </w:p>
    <w:p w14:paraId="0CC353FE">
      <w:pPr>
        <w:spacing w:line="0"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 满足本文件实质性要求和条件的规定。</w:t>
      </w:r>
    </w:p>
    <w:p w14:paraId="1EE4C114">
      <w:pPr>
        <w:spacing w:line="400" w:lineRule="exact"/>
        <w:ind w:firstLine="420"/>
        <w:rPr>
          <w:rFonts w:hint="eastAsia" w:ascii="宋体" w:hAnsi="宋体" w:eastAsia="宋体" w:cs="宋体"/>
          <w:color w:val="auto"/>
          <w:sz w:val="24"/>
          <w:szCs w:val="21"/>
          <w:highlight w:val="none"/>
        </w:rPr>
      </w:pPr>
      <w:bookmarkStart w:id="49" w:name="_Toc513029206"/>
      <w:bookmarkStart w:id="50" w:name="_Toc16938522"/>
      <w:bookmarkStart w:id="51" w:name="_Toc20823278"/>
      <w:r>
        <w:rPr>
          <w:rFonts w:hint="eastAsia" w:ascii="宋体" w:hAnsi="宋体" w:eastAsia="宋体" w:cs="宋体"/>
          <w:color w:val="auto"/>
          <w:sz w:val="24"/>
          <w:szCs w:val="21"/>
          <w:highlight w:val="none"/>
        </w:rPr>
        <w:t>3、适用法律</w:t>
      </w:r>
      <w:bookmarkEnd w:id="49"/>
      <w:bookmarkEnd w:id="50"/>
      <w:bookmarkEnd w:id="51"/>
      <w:r>
        <w:rPr>
          <w:rFonts w:hint="eastAsia" w:ascii="宋体" w:hAnsi="宋体" w:eastAsia="宋体" w:cs="宋体"/>
          <w:color w:val="auto"/>
          <w:sz w:val="24"/>
          <w:szCs w:val="21"/>
          <w:highlight w:val="none"/>
        </w:rPr>
        <w:t>和标准</w:t>
      </w:r>
    </w:p>
    <w:p w14:paraId="613EAF71">
      <w:pPr>
        <w:spacing w:line="0"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16F0C936">
      <w:pPr>
        <w:spacing w:line="40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3.2 在本项目政府采购活动过程中，如果所执行的标准有更新的，按照最新标准执行。</w:t>
      </w:r>
    </w:p>
    <w:p w14:paraId="0CF13A4A">
      <w:pPr>
        <w:keepNext/>
        <w:keepLines/>
        <w:ind w:firstLine="480"/>
        <w:rPr>
          <w:rFonts w:hint="eastAsia" w:ascii="宋体" w:hAnsi="宋体" w:eastAsia="宋体" w:cs="宋体"/>
          <w:color w:val="auto"/>
          <w:sz w:val="24"/>
          <w:highlight w:val="none"/>
        </w:rPr>
      </w:pPr>
      <w:bookmarkStart w:id="52" w:name="_Toc513029207"/>
      <w:bookmarkStart w:id="53" w:name="_Toc20823279"/>
      <w:bookmarkStart w:id="54" w:name="_Toc462564067"/>
      <w:bookmarkStart w:id="55" w:name="_Toc16938523"/>
      <w:r>
        <w:rPr>
          <w:rFonts w:hint="eastAsia" w:ascii="宋体" w:hAnsi="宋体" w:eastAsia="宋体" w:cs="宋体"/>
          <w:color w:val="auto"/>
          <w:sz w:val="24"/>
          <w:highlight w:val="none"/>
        </w:rPr>
        <w:t>4、投标费用</w:t>
      </w:r>
      <w:bookmarkEnd w:id="52"/>
      <w:bookmarkEnd w:id="53"/>
      <w:bookmarkEnd w:id="54"/>
      <w:bookmarkEnd w:id="55"/>
    </w:p>
    <w:p w14:paraId="269F7D3E">
      <w:pPr>
        <w:spacing w:line="0"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 投标人应自行承担所有与参加投标有关的费用，无论投标过程中的做法和结果如何，招标人和招标代理机构在任何情况下均无义务和责任承担这些费用。</w:t>
      </w:r>
    </w:p>
    <w:p w14:paraId="18BF6BB5">
      <w:pPr>
        <w:keepNext/>
        <w:keepLines/>
        <w:spacing w:line="0" w:lineRule="atLeast"/>
        <w:ind w:firstLine="602"/>
        <w:rPr>
          <w:rFonts w:hint="eastAsia" w:ascii="宋体" w:hAnsi="宋体" w:eastAsia="宋体" w:cs="宋体"/>
          <w:color w:val="auto"/>
          <w:sz w:val="24"/>
          <w:highlight w:val="none"/>
        </w:rPr>
      </w:pPr>
      <w:r>
        <w:rPr>
          <w:rFonts w:hint="eastAsia" w:ascii="宋体" w:hAnsi="宋体" w:eastAsia="宋体" w:cs="宋体"/>
          <w:color w:val="auto"/>
          <w:sz w:val="24"/>
          <w:highlight w:val="none"/>
        </w:rPr>
        <w:t>4.2本次项目招标人和招标代理机构不收取标书工本费。</w:t>
      </w:r>
    </w:p>
    <w:p w14:paraId="0E1C6DF8">
      <w:pPr>
        <w:keepNext/>
        <w:keepLines/>
        <w:spacing w:line="0" w:lineRule="atLeast"/>
        <w:ind w:firstLine="602"/>
        <w:rPr>
          <w:rFonts w:hint="eastAsia" w:ascii="宋体" w:hAnsi="宋体" w:eastAsia="宋体" w:cs="宋体"/>
          <w:color w:val="auto"/>
          <w:sz w:val="24"/>
          <w:highlight w:val="none"/>
        </w:rPr>
      </w:pPr>
      <w:r>
        <w:rPr>
          <w:rFonts w:hint="eastAsia" w:ascii="宋体" w:hAnsi="宋体" w:eastAsia="宋体" w:cs="宋体"/>
          <w:color w:val="auto"/>
          <w:sz w:val="24"/>
          <w:highlight w:val="none"/>
        </w:rPr>
        <w:t>4.3 本项目采购代理服务费由中标（成交）供应商支付。原因如下：</w:t>
      </w:r>
    </w:p>
    <w:p w14:paraId="2C21BAA2">
      <w:pPr>
        <w:keepNext/>
        <w:keepLines/>
        <w:spacing w:line="0" w:lineRule="atLeast"/>
        <w:ind w:firstLine="602"/>
        <w:rPr>
          <w:rFonts w:hint="eastAsia" w:ascii="宋体" w:hAnsi="宋体" w:eastAsia="宋体" w:cs="宋体"/>
          <w:color w:val="auto"/>
          <w:sz w:val="24"/>
          <w:highlight w:val="none"/>
        </w:rPr>
      </w:pPr>
      <w:r>
        <w:rPr>
          <w:rFonts w:hint="eastAsia" w:ascii="宋体" w:hAnsi="宋体" w:eastAsia="宋体" w:cs="宋体"/>
          <w:color w:val="auto"/>
          <w:sz w:val="24"/>
          <w:highlight w:val="none"/>
        </w:rPr>
        <w:t>4.3.1采购人年度部门预算及本项目政府采购预算中，未单独列支采购代理服务费；</w:t>
      </w:r>
    </w:p>
    <w:p w14:paraId="2C2F5607">
      <w:pPr>
        <w:keepNext/>
        <w:keepLines/>
        <w:spacing w:line="0" w:lineRule="atLeast"/>
        <w:ind w:firstLine="602"/>
        <w:rPr>
          <w:rFonts w:hint="eastAsia" w:ascii="宋体" w:hAnsi="宋体" w:eastAsia="宋体" w:cs="宋体"/>
          <w:color w:val="auto"/>
          <w:sz w:val="24"/>
          <w:highlight w:val="none"/>
        </w:rPr>
      </w:pPr>
      <w:r>
        <w:rPr>
          <w:rFonts w:hint="eastAsia" w:ascii="宋体" w:hAnsi="宋体" w:eastAsia="宋体" w:cs="宋体"/>
          <w:color w:val="auto"/>
          <w:sz w:val="24"/>
          <w:highlight w:val="none"/>
        </w:rPr>
        <w:t>4.3.2采购人已与社会采购代理机构在《委托代理协议》中明确约定由中标（成交）供应商承担该费用；</w:t>
      </w:r>
    </w:p>
    <w:p w14:paraId="6E5EEDE0">
      <w:pPr>
        <w:keepNext/>
        <w:keepLines/>
        <w:spacing w:line="0" w:lineRule="atLeast"/>
        <w:ind w:firstLine="602"/>
        <w:rPr>
          <w:rFonts w:hint="eastAsia" w:ascii="宋体" w:hAnsi="宋体" w:eastAsia="宋体" w:cs="宋体"/>
          <w:color w:val="auto"/>
          <w:sz w:val="24"/>
          <w:highlight w:val="none"/>
        </w:rPr>
      </w:pPr>
      <w:r>
        <w:rPr>
          <w:rFonts w:hint="eastAsia" w:ascii="宋体" w:hAnsi="宋体" w:eastAsia="宋体" w:cs="宋体"/>
          <w:color w:val="auto"/>
          <w:sz w:val="24"/>
          <w:highlight w:val="none"/>
        </w:rPr>
        <w:t>4.3.3采购代理服务属于采购活动的组织服务成本，由最终受益方（中标人）承担符合民事对价原则与公平原则；</w:t>
      </w:r>
    </w:p>
    <w:p w14:paraId="2785C87D">
      <w:pPr>
        <w:keepNext/>
        <w:keepLines/>
        <w:spacing w:line="0" w:lineRule="atLeast"/>
        <w:ind w:firstLine="602"/>
        <w:rPr>
          <w:rFonts w:hint="eastAsia" w:ascii="宋体" w:hAnsi="宋体" w:eastAsia="宋体" w:cs="宋体"/>
          <w:color w:val="auto"/>
          <w:sz w:val="24"/>
          <w:highlight w:val="none"/>
        </w:rPr>
      </w:pPr>
      <w:r>
        <w:rPr>
          <w:rFonts w:hint="eastAsia" w:ascii="宋体" w:hAnsi="宋体" w:eastAsia="宋体" w:cs="宋体"/>
          <w:color w:val="auto"/>
          <w:sz w:val="24"/>
          <w:highlight w:val="none"/>
        </w:rPr>
        <w:t>4.3.4该费用已包含在投标总报价中，供应商参与投标即视为接受该约定并已在报价中综合考虑，不额外增加中标人负担。</w:t>
      </w:r>
    </w:p>
    <w:p w14:paraId="106EB1DD">
      <w:pPr>
        <w:keepNext/>
        <w:keepLines/>
        <w:spacing w:line="0" w:lineRule="atLeast"/>
        <w:ind w:firstLine="602"/>
        <w:rPr>
          <w:rFonts w:hint="eastAsia" w:ascii="宋体" w:hAnsi="宋体" w:eastAsia="宋体" w:cs="宋体"/>
          <w:color w:val="auto"/>
          <w:sz w:val="24"/>
          <w:highlight w:val="none"/>
        </w:rPr>
      </w:pPr>
      <w:r>
        <w:rPr>
          <w:rFonts w:hint="eastAsia" w:ascii="宋体" w:hAnsi="宋体" w:eastAsia="宋体" w:cs="宋体"/>
          <w:color w:val="auto"/>
          <w:sz w:val="24"/>
          <w:highlight w:val="none"/>
        </w:rPr>
        <w:t>4.3.5本项目招标代理服务费依据《江苏省政府采购代理服务收费指导意见》的通知（苏政采〔2024〕20号）执行</w:t>
      </w:r>
      <w:r>
        <w:rPr>
          <w:rFonts w:hint="eastAsia" w:ascii="宋体" w:hAnsi="宋体" w:eastAsia="宋体" w:cs="宋体"/>
          <w:color w:val="auto"/>
          <w:sz w:val="24"/>
          <w:highlight w:val="none"/>
          <w:lang w:val="en-US" w:eastAsia="zh-CN"/>
        </w:rPr>
        <w:t>打折计算</w:t>
      </w:r>
      <w:r>
        <w:rPr>
          <w:rFonts w:hint="eastAsia" w:ascii="宋体" w:hAnsi="宋体" w:eastAsia="宋体" w:cs="宋体"/>
          <w:color w:val="auto"/>
          <w:sz w:val="24"/>
          <w:highlight w:val="none"/>
        </w:rPr>
        <w:t>，招标人约定由中标人代招标人向招标代理机构一次性支付招标代理服务费人民币</w:t>
      </w:r>
      <w:r>
        <w:rPr>
          <w:rFonts w:hint="eastAsia" w:ascii="宋体" w:hAnsi="宋体" w:eastAsia="宋体" w:cs="宋体"/>
          <w:color w:val="auto"/>
          <w:sz w:val="24"/>
          <w:highlight w:val="none"/>
          <w:lang w:val="en-US" w:eastAsia="zh-CN"/>
        </w:rPr>
        <w:t>23000</w:t>
      </w:r>
      <w:r>
        <w:rPr>
          <w:rFonts w:hint="eastAsia" w:ascii="宋体" w:hAnsi="宋体" w:eastAsia="宋体" w:cs="宋体"/>
          <w:color w:val="auto"/>
          <w:sz w:val="24"/>
          <w:highlight w:val="none"/>
        </w:rPr>
        <w:t>元</w:t>
      </w:r>
      <w:r>
        <w:rPr>
          <w:rFonts w:hint="eastAsia" w:ascii="宋体" w:hAnsi="宋体" w:eastAsia="宋体" w:cs="宋体"/>
          <w:b w:val="0"/>
          <w:bCs/>
          <w:color w:val="auto"/>
          <w:sz w:val="24"/>
          <w:highlight w:val="none"/>
        </w:rPr>
        <w:t>。</w:t>
      </w:r>
      <w:r>
        <w:rPr>
          <w:rFonts w:hint="eastAsia" w:ascii="宋体" w:hAnsi="宋体" w:eastAsia="宋体" w:cs="宋体"/>
          <w:color w:val="auto"/>
          <w:sz w:val="24"/>
          <w:highlight w:val="none"/>
        </w:rPr>
        <w:t>投标人须将此费用纳入投标报价中，招标人不另行支付。</w:t>
      </w:r>
    </w:p>
    <w:p w14:paraId="14118B26">
      <w:pPr>
        <w:keepNext/>
        <w:keepLines/>
        <w:spacing w:line="0" w:lineRule="atLeast"/>
        <w:ind w:firstLine="482"/>
        <w:rPr>
          <w:rFonts w:hint="eastAsia" w:ascii="宋体" w:hAnsi="宋体" w:eastAsia="宋体" w:cs="宋体"/>
          <w:color w:val="auto"/>
          <w:sz w:val="24"/>
          <w:highlight w:val="none"/>
        </w:rPr>
      </w:pPr>
      <w:r>
        <w:rPr>
          <w:rFonts w:hint="eastAsia" w:ascii="宋体" w:hAnsi="宋体" w:eastAsia="宋体" w:cs="宋体"/>
          <w:b/>
          <w:color w:val="auto"/>
          <w:sz w:val="24"/>
          <w:highlight w:val="none"/>
        </w:rPr>
        <w:t>5、</w:t>
      </w:r>
      <w:r>
        <w:rPr>
          <w:rFonts w:hint="eastAsia" w:ascii="宋体" w:hAnsi="宋体" w:eastAsia="宋体" w:cs="宋体"/>
          <w:color w:val="auto"/>
          <w:sz w:val="24"/>
          <w:highlight w:val="none"/>
        </w:rPr>
        <w:t>招标文件的约束力</w:t>
      </w:r>
    </w:p>
    <w:p w14:paraId="31BBB8E7">
      <w:pPr>
        <w:spacing w:line="0"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 投标人一旦参加本项目采购活动，即被认为接受了本招标文件的规定和约束。</w:t>
      </w:r>
    </w:p>
    <w:p w14:paraId="6C4783C5">
      <w:pPr>
        <w:pStyle w:val="29"/>
        <w:keepNext/>
        <w:keepLines/>
        <w:spacing w:before="145" w:beforeAutospacing="0" w:after="145" w:afterAutospacing="0" w:line="360" w:lineRule="auto"/>
        <w:ind w:firstLine="321"/>
        <w:jc w:val="both"/>
        <w:rPr>
          <w:rFonts w:hint="eastAsia" w:ascii="宋体" w:hAnsi="宋体" w:eastAsia="宋体" w:cs="宋体"/>
          <w:color w:val="auto"/>
          <w:highlight w:val="none"/>
        </w:rPr>
      </w:pPr>
      <w:r>
        <w:rPr>
          <w:rFonts w:hint="eastAsia" w:ascii="宋体" w:hAnsi="宋体" w:eastAsia="宋体" w:cs="宋体"/>
          <w:b/>
          <w:color w:val="auto"/>
          <w:highlight w:val="none"/>
        </w:rPr>
        <w:t>二、招标文件</w:t>
      </w:r>
      <w:bookmarkEnd w:id="37"/>
      <w:bookmarkEnd w:id="38"/>
      <w:bookmarkEnd w:id="39"/>
      <w:bookmarkEnd w:id="40"/>
    </w:p>
    <w:p w14:paraId="52E19EE5">
      <w:pPr>
        <w:pStyle w:val="29"/>
        <w:keepNext/>
        <w:keepLines/>
        <w:spacing w:beforeAutospacing="0" w:afterAutospacing="0"/>
        <w:ind w:firstLine="420"/>
        <w:jc w:val="both"/>
        <w:rPr>
          <w:rFonts w:hint="eastAsia" w:ascii="宋体" w:hAnsi="宋体" w:eastAsia="宋体" w:cs="宋体"/>
          <w:color w:val="auto"/>
          <w:highlight w:val="none"/>
        </w:rPr>
      </w:pPr>
      <w:bookmarkStart w:id="56" w:name="_Toc16938526"/>
      <w:bookmarkStart w:id="57" w:name="_Toc20823282"/>
      <w:bookmarkStart w:id="58" w:name="_Toc513029210"/>
      <w:r>
        <w:rPr>
          <w:rFonts w:hint="eastAsia" w:ascii="宋体" w:hAnsi="宋体" w:eastAsia="宋体" w:cs="宋体"/>
          <w:color w:val="auto"/>
          <w:highlight w:val="none"/>
        </w:rPr>
        <w:t>6、招标文件构成</w:t>
      </w:r>
      <w:bookmarkEnd w:id="56"/>
      <w:bookmarkEnd w:id="57"/>
      <w:bookmarkEnd w:id="58"/>
    </w:p>
    <w:p w14:paraId="42E6C0C2">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47E27156">
      <w:pPr>
        <w:pStyle w:val="2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2592926A">
      <w:pPr>
        <w:pStyle w:val="2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14:paraId="3BD6EBB3">
      <w:pPr>
        <w:pStyle w:val="2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（3）合同文本</w:t>
      </w:r>
    </w:p>
    <w:p w14:paraId="3C03D051">
      <w:pPr>
        <w:pStyle w:val="2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7C585819">
      <w:pPr>
        <w:pStyle w:val="29"/>
        <w:spacing w:beforeAutospacing="0" w:afterAutospacing="0"/>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（5）评标方法与评标标准</w:t>
      </w:r>
    </w:p>
    <w:p w14:paraId="76DBA2C0">
      <w:pPr>
        <w:pStyle w:val="2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4BC3F61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请仔细检查招标文件是否齐全，如有缺漏请立即与招标人和招标代理机构联系解决。</w:t>
      </w:r>
    </w:p>
    <w:p w14:paraId="0BC59627">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3680A9E">
      <w:pPr>
        <w:pStyle w:val="29"/>
        <w:keepNext/>
        <w:keepLines/>
        <w:spacing w:beforeAutospacing="0" w:afterAutospacing="0"/>
        <w:ind w:firstLine="560"/>
        <w:jc w:val="both"/>
        <w:rPr>
          <w:rFonts w:hint="eastAsia" w:ascii="宋体" w:hAnsi="宋体" w:eastAsia="宋体" w:cs="宋体"/>
          <w:color w:val="auto"/>
          <w:highlight w:val="none"/>
        </w:rPr>
      </w:pPr>
      <w:bookmarkStart w:id="59" w:name="_Toc16938527"/>
      <w:bookmarkStart w:id="60" w:name="_Toc20823283"/>
      <w:bookmarkStart w:id="61" w:name="_Toc462564070"/>
      <w:bookmarkStart w:id="62" w:name="_Toc513029211"/>
      <w:r>
        <w:rPr>
          <w:rFonts w:hint="eastAsia" w:ascii="宋体" w:hAnsi="宋体" w:eastAsia="宋体" w:cs="宋体"/>
          <w:color w:val="auto"/>
          <w:highlight w:val="none"/>
        </w:rPr>
        <w:t>7、招标文件的澄清</w:t>
      </w:r>
      <w:bookmarkEnd w:id="59"/>
      <w:bookmarkEnd w:id="60"/>
      <w:bookmarkEnd w:id="61"/>
      <w:bookmarkEnd w:id="62"/>
    </w:p>
    <w:p w14:paraId="25C557FD">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7.1任何要求对招标文件进行澄清的投标人，应在投标截止期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前按招标公告中的通讯地址，以书面形式通知招标人和招标代理机构。</w:t>
      </w:r>
    </w:p>
    <w:p w14:paraId="68FF734D">
      <w:pPr>
        <w:pStyle w:val="29"/>
        <w:keepNext/>
        <w:keepLines/>
        <w:spacing w:beforeAutospacing="0" w:afterAutospacing="0"/>
        <w:ind w:firstLine="560"/>
        <w:jc w:val="both"/>
        <w:rPr>
          <w:rFonts w:hint="eastAsia" w:ascii="宋体" w:hAnsi="宋体" w:eastAsia="宋体" w:cs="宋体"/>
          <w:color w:val="auto"/>
          <w:highlight w:val="none"/>
        </w:rPr>
      </w:pPr>
      <w:bookmarkStart w:id="63" w:name="_Toc16938528"/>
      <w:bookmarkStart w:id="64" w:name="_Toc462564071"/>
      <w:bookmarkStart w:id="65" w:name="_Toc20823284"/>
      <w:bookmarkStart w:id="66" w:name="_Toc513029212"/>
      <w:r>
        <w:rPr>
          <w:rFonts w:hint="eastAsia" w:ascii="宋体" w:hAnsi="宋体" w:eastAsia="宋体" w:cs="宋体"/>
          <w:color w:val="auto"/>
          <w:highlight w:val="none"/>
        </w:rPr>
        <w:t>8、招标文件的修改</w:t>
      </w:r>
      <w:bookmarkEnd w:id="63"/>
      <w:bookmarkEnd w:id="64"/>
      <w:bookmarkEnd w:id="65"/>
      <w:bookmarkEnd w:id="66"/>
    </w:p>
    <w:p w14:paraId="6BE294B3">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8.1在投标截止时间前，招标人和招标代理机构可以对招标文件进行修改。</w:t>
      </w:r>
    </w:p>
    <w:p w14:paraId="5EABEFC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8.2招标人和招标代理机构有权按照法定的要求推迟投标截止日期和开标日期。</w:t>
      </w:r>
    </w:p>
    <w:p w14:paraId="2BF2F75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8.3招标文件的修改将在中国政府采购网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江苏政府采购网、盐城市政府采购网公布，补充文件将作为招标文件的组成部分，并对投标人具有约束力。</w:t>
      </w:r>
    </w:p>
    <w:p w14:paraId="28B71BA1">
      <w:pPr>
        <w:pStyle w:val="29"/>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67" w:name="_Toc120614216"/>
      <w:bookmarkStart w:id="68" w:name="_Toc513029213"/>
      <w:bookmarkStart w:id="69" w:name="_Toc462564072"/>
      <w:bookmarkStart w:id="70" w:name="_Toc16938529"/>
      <w:bookmarkStart w:id="71" w:name="_Toc20823285"/>
      <w:r>
        <w:rPr>
          <w:rFonts w:hint="eastAsia" w:ascii="宋体" w:hAnsi="宋体" w:eastAsia="宋体" w:cs="宋体"/>
          <w:b/>
          <w:color w:val="auto"/>
          <w:highlight w:val="none"/>
        </w:rPr>
        <w:t>三、投标文件的编制</w:t>
      </w:r>
      <w:bookmarkEnd w:id="67"/>
      <w:bookmarkEnd w:id="68"/>
      <w:bookmarkEnd w:id="69"/>
      <w:bookmarkEnd w:id="70"/>
      <w:bookmarkEnd w:id="71"/>
    </w:p>
    <w:p w14:paraId="23245DFC">
      <w:pPr>
        <w:pStyle w:val="29"/>
        <w:keepNext/>
        <w:keepLines/>
        <w:spacing w:beforeAutospacing="0" w:afterAutospacing="0"/>
        <w:ind w:firstLine="560"/>
        <w:jc w:val="both"/>
        <w:rPr>
          <w:rFonts w:hint="eastAsia" w:ascii="宋体" w:hAnsi="宋体" w:eastAsia="宋体" w:cs="宋体"/>
          <w:color w:val="auto"/>
          <w:highlight w:val="none"/>
        </w:rPr>
      </w:pPr>
      <w:bookmarkStart w:id="72" w:name="_Toc20823286"/>
      <w:bookmarkStart w:id="73" w:name="_Toc16938530"/>
      <w:bookmarkStart w:id="74" w:name="_Toc462564073"/>
      <w:bookmarkStart w:id="75" w:name="_Toc513029214"/>
      <w:r>
        <w:rPr>
          <w:rFonts w:hint="eastAsia" w:ascii="宋体" w:hAnsi="宋体" w:eastAsia="宋体" w:cs="宋体"/>
          <w:color w:val="auto"/>
          <w:highlight w:val="none"/>
        </w:rPr>
        <w:t>9、投标文件的语言及度量衡单位</w:t>
      </w:r>
      <w:bookmarkEnd w:id="72"/>
      <w:bookmarkEnd w:id="73"/>
      <w:bookmarkEnd w:id="74"/>
      <w:bookmarkEnd w:id="75"/>
    </w:p>
    <w:p w14:paraId="3F5103C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9.1投标人提交的投标文件以及投标人与招标人和招标代理机构就有关投标的所有来往通知、函件和文件均应使用简体中文。</w:t>
      </w:r>
    </w:p>
    <w:p w14:paraId="1F41E06D">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9.2除技术性能另有规定外，投标文件所使用的度量衡单位，均须采用国家法定计量单位。</w:t>
      </w:r>
    </w:p>
    <w:p w14:paraId="2F16B79F">
      <w:pPr>
        <w:pStyle w:val="29"/>
        <w:keepNext/>
        <w:keepLines/>
        <w:spacing w:beforeAutospacing="0" w:afterAutospacing="0"/>
        <w:ind w:firstLine="420"/>
        <w:jc w:val="both"/>
        <w:rPr>
          <w:rFonts w:hint="eastAsia" w:ascii="宋体" w:hAnsi="宋体" w:eastAsia="宋体" w:cs="宋体"/>
          <w:color w:val="auto"/>
          <w:highlight w:val="none"/>
        </w:rPr>
      </w:pPr>
      <w:bookmarkStart w:id="76" w:name="_Toc513029215"/>
      <w:bookmarkStart w:id="77" w:name="_Toc462564074"/>
      <w:bookmarkStart w:id="78" w:name="_Toc16938531"/>
      <w:bookmarkStart w:id="79" w:name="_Toc20823287"/>
      <w:r>
        <w:rPr>
          <w:rFonts w:hint="eastAsia" w:ascii="宋体" w:hAnsi="宋体" w:eastAsia="宋体" w:cs="宋体"/>
          <w:color w:val="auto"/>
          <w:highlight w:val="none"/>
        </w:rPr>
        <w:t>10、投标文件构成</w:t>
      </w:r>
      <w:bookmarkEnd w:id="76"/>
      <w:bookmarkEnd w:id="77"/>
      <w:bookmarkEnd w:id="78"/>
      <w:bookmarkEnd w:id="79"/>
    </w:p>
    <w:p w14:paraId="2E2E5A6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10.1投标人编写的投标文件应包括资格证明文件、符合性证明文件、投标分项报价表、技术要求响应及偏离表、商务要求响应及偏离表、其他证明文件、投标函、开标一览表等部分。</w:t>
      </w:r>
    </w:p>
    <w:p w14:paraId="169C273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10.2如标书制作工具中格式和内容与</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中国政府采购网”“江苏政府采购网”“盐城市政府采购网”发布的招标文件不一致，请以</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中国政府采购网”“江苏政府采购网”“盐城市政府采购网”发布的招标文件为准。</w:t>
      </w:r>
    </w:p>
    <w:p w14:paraId="3261F4F7">
      <w:pPr>
        <w:pStyle w:val="29"/>
        <w:keepNext/>
        <w:keepLines/>
        <w:spacing w:beforeAutospacing="0" w:afterAutospacing="0"/>
        <w:ind w:firstLine="420"/>
        <w:jc w:val="both"/>
        <w:rPr>
          <w:rFonts w:hint="eastAsia" w:ascii="宋体" w:hAnsi="宋体" w:eastAsia="宋体" w:cs="宋体"/>
          <w:color w:val="auto"/>
          <w:highlight w:val="none"/>
        </w:rPr>
      </w:pPr>
      <w:bookmarkStart w:id="80" w:name="_Toc49090509"/>
      <w:bookmarkStart w:id="81" w:name="_Toc513029216"/>
      <w:bookmarkStart w:id="82" w:name="_Toc49090507"/>
      <w:bookmarkStart w:id="83" w:name="_Toc14577354"/>
      <w:bookmarkStart w:id="84" w:name="_Toc14577357"/>
      <w:bookmarkStart w:id="85" w:name="_Toc513029219"/>
      <w:bookmarkStart w:id="86" w:name="_Hlt26668975"/>
      <w:bookmarkStart w:id="87" w:name="_Hlt26670360"/>
      <w:bookmarkStart w:id="88" w:name="_Hlt26954838"/>
      <w:r>
        <w:rPr>
          <w:rFonts w:hint="eastAsia" w:ascii="宋体" w:hAnsi="宋体" w:eastAsia="宋体" w:cs="宋体"/>
          <w:color w:val="auto"/>
          <w:highlight w:val="none"/>
        </w:rPr>
        <w:t>11、证明投标人及投标标的符合招标文件规定的文件</w:t>
      </w:r>
      <w:bookmarkEnd w:id="80"/>
      <w:bookmarkEnd w:id="81"/>
      <w:bookmarkEnd w:id="82"/>
      <w:bookmarkEnd w:id="83"/>
      <w:bookmarkEnd w:id="84"/>
      <w:bookmarkEnd w:id="85"/>
    </w:p>
    <w:p w14:paraId="7DBA66B2">
      <w:pPr>
        <w:pStyle w:val="29"/>
        <w:spacing w:beforeAutospacing="0" w:afterAutospacing="0" w:line="0" w:lineRule="atLeast"/>
        <w:jc w:val="both"/>
        <w:rPr>
          <w:rFonts w:hint="eastAsia" w:ascii="宋体" w:hAnsi="宋体" w:eastAsia="宋体" w:cs="宋体"/>
          <w:color w:val="auto"/>
          <w:highlight w:val="none"/>
        </w:rPr>
      </w:pPr>
      <w:bookmarkStart w:id="89" w:name="_Toc49090508"/>
      <w:bookmarkStart w:id="90" w:name="_Toc14577355"/>
      <w:r>
        <w:rPr>
          <w:rFonts w:hint="eastAsia" w:ascii="宋体" w:hAnsi="宋体" w:eastAsia="宋体" w:cs="宋体"/>
          <w:color w:val="auto"/>
          <w:highlight w:val="none"/>
        </w:rPr>
        <w:t>  11.1投标人应按照法律、法规、规章和规范性文件以及招标文件要求提交证明文件，证明其及投标标的符合招标文件规定。</w:t>
      </w:r>
      <w:bookmarkEnd w:id="89"/>
      <w:bookmarkEnd w:id="90"/>
    </w:p>
    <w:p w14:paraId="4FDD7366">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02914BEE">
      <w:pPr>
        <w:pStyle w:val="2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12、投标分项报价</w:t>
      </w:r>
      <w:bookmarkStart w:id="91" w:name="_Hlt26670373"/>
      <w:r>
        <w:rPr>
          <w:rFonts w:hint="eastAsia" w:ascii="宋体" w:hAnsi="宋体" w:eastAsia="宋体" w:cs="宋体"/>
          <w:color w:val="auto"/>
          <w:highlight w:val="none"/>
        </w:rPr>
        <w:t>表</w:t>
      </w:r>
    </w:p>
    <w:p w14:paraId="53C621C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12.1投</w:t>
      </w:r>
      <w:bookmarkStart w:id="92" w:name="_Hlt26954840"/>
      <w:r>
        <w:rPr>
          <w:rFonts w:hint="eastAsia" w:ascii="宋体" w:hAnsi="宋体" w:eastAsia="宋体" w:cs="宋体"/>
          <w:color w:val="auto"/>
          <w:highlight w:val="none"/>
        </w:rPr>
        <w:t>标人应按照招标文件规定格式填报投标分项报价表</w:t>
      </w:r>
      <w:bookmarkStart w:id="93" w:name="_Hlt26670399"/>
      <w:r>
        <w:rPr>
          <w:rFonts w:hint="eastAsia" w:ascii="宋体" w:hAnsi="宋体" w:eastAsia="宋体" w:cs="宋体"/>
          <w:color w:val="auto"/>
          <w:highlight w:val="none"/>
        </w:rPr>
        <w:t>。</w:t>
      </w:r>
    </w:p>
    <w:p w14:paraId="16B9AA7D">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19E51956">
      <w:pPr>
        <w:pStyle w:val="29"/>
        <w:keepNext/>
        <w:keepLines/>
        <w:spacing w:beforeAutospacing="0" w:afterAutospacing="0"/>
        <w:ind w:firstLine="420"/>
        <w:jc w:val="both"/>
        <w:rPr>
          <w:rFonts w:hint="eastAsia" w:ascii="宋体" w:hAnsi="宋体" w:eastAsia="宋体" w:cs="宋体"/>
          <w:color w:val="auto"/>
          <w:highlight w:val="none"/>
        </w:rPr>
      </w:pPr>
      <w:bookmarkStart w:id="94" w:name="_Hlt26954731"/>
      <w:bookmarkStart w:id="95" w:name="_Hlt26668983"/>
      <w:bookmarkStart w:id="96" w:name="_Hlt26954848"/>
      <w:bookmarkStart w:id="97" w:name="_Hlt26670486"/>
      <w:bookmarkStart w:id="98" w:name="_Hlt26670403"/>
      <w:bookmarkStart w:id="99" w:name="_Hlt26670425"/>
      <w:bookmarkStart w:id="100" w:name="_Hlt26670482"/>
      <w:bookmarkStart w:id="101" w:name="_Hlt26954842"/>
      <w:bookmarkStart w:id="102" w:name="_Hlt26954844"/>
      <w:bookmarkStart w:id="103" w:name="_Hlt26954846"/>
      <w:r>
        <w:rPr>
          <w:rFonts w:hint="eastAsia" w:ascii="宋体" w:hAnsi="宋体" w:eastAsia="宋体" w:cs="宋体"/>
          <w:color w:val="auto"/>
          <w:highlight w:val="none"/>
        </w:rPr>
        <w:t>13、技术要求响应及偏离表、商务要求响应及偏离表</w:t>
      </w:r>
    </w:p>
    <w:p w14:paraId="7C44144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13.1投标人需对招标文件中的技术要求与商务要求逐项作出响应或偏离，并说明原因。</w:t>
      </w:r>
    </w:p>
    <w:p w14:paraId="2AA52B97">
      <w:pPr>
        <w:pStyle w:val="29"/>
        <w:tabs>
          <w:tab w:val="left" w:pos="1036"/>
        </w:tabs>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13.2投标人可在投标文件中提供认为需要的其他技术文件或说明。</w:t>
      </w:r>
    </w:p>
    <w:p w14:paraId="470F333C">
      <w:pPr>
        <w:pStyle w:val="29"/>
        <w:keepNext/>
        <w:keepLines/>
        <w:spacing w:beforeAutospacing="0" w:afterAutospacing="0"/>
        <w:ind w:firstLine="420"/>
        <w:jc w:val="both"/>
        <w:rPr>
          <w:rFonts w:hint="eastAsia" w:ascii="宋体" w:hAnsi="宋体" w:eastAsia="宋体" w:cs="宋体"/>
          <w:color w:val="auto"/>
          <w:highlight w:val="none"/>
        </w:rPr>
      </w:pPr>
      <w:bookmarkStart w:id="104" w:name="_Toc49090510"/>
      <w:bookmarkStart w:id="105" w:name="_Toc14577359"/>
      <w:r>
        <w:rPr>
          <w:rFonts w:hint="eastAsia" w:ascii="宋体" w:hAnsi="宋体" w:eastAsia="宋体" w:cs="宋体"/>
          <w:color w:val="auto"/>
          <w:highlight w:val="none"/>
        </w:rPr>
        <w:t>14、投标函和开标一览表</w:t>
      </w:r>
      <w:bookmarkEnd w:id="104"/>
      <w:bookmarkEnd w:id="105"/>
    </w:p>
    <w:p w14:paraId="6B674AC1">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14.1投标人应按照招标文件中提供的格式完整、正确填写投标函、开标一览表。</w:t>
      </w:r>
    </w:p>
    <w:p w14:paraId="73C2ED0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w:t>
      </w:r>
    </w:p>
    <w:p w14:paraId="5E492CA7">
      <w:pPr>
        <w:pStyle w:val="29"/>
        <w:keepNext/>
        <w:keepLines/>
        <w:spacing w:beforeAutospacing="0" w:afterAutospacing="0"/>
        <w:ind w:firstLine="420"/>
        <w:jc w:val="both"/>
        <w:rPr>
          <w:rFonts w:hint="eastAsia" w:ascii="宋体" w:hAnsi="宋体" w:eastAsia="宋体" w:cs="宋体"/>
          <w:color w:val="auto"/>
          <w:highlight w:val="none"/>
        </w:rPr>
      </w:pPr>
      <w:bookmarkStart w:id="106" w:name="_Toc49090511"/>
      <w:bookmarkStart w:id="107" w:name="_Toc14577360"/>
      <w:bookmarkStart w:id="108" w:name="_Hlt26954734"/>
      <w:bookmarkStart w:id="109" w:name="_Hlt26670489"/>
      <w:bookmarkStart w:id="110" w:name="_Hlt26954850"/>
      <w:r>
        <w:rPr>
          <w:rFonts w:hint="eastAsia" w:ascii="宋体" w:hAnsi="宋体" w:eastAsia="宋体" w:cs="宋体"/>
          <w:color w:val="auto"/>
          <w:highlight w:val="none"/>
        </w:rPr>
        <w:t>15、投标有效期</w:t>
      </w:r>
      <w:bookmarkEnd w:id="106"/>
      <w:bookmarkEnd w:id="107"/>
    </w:p>
    <w:p w14:paraId="71D88BF1">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15.1投标有效期为招标人或招标代理机构规定的开标之日后</w:t>
      </w:r>
      <w:r>
        <w:rPr>
          <w:rFonts w:hint="eastAsia" w:ascii="宋体" w:hAnsi="宋体" w:eastAsia="宋体" w:cs="宋体"/>
          <w:b/>
          <w:color w:val="auto"/>
          <w:highlight w:val="none"/>
          <w:u w:val="single"/>
        </w:rPr>
        <w:t>九十（90）天</w:t>
      </w:r>
      <w:r>
        <w:rPr>
          <w:rFonts w:hint="eastAsia" w:ascii="宋体" w:hAnsi="宋体" w:eastAsia="宋体" w:cs="宋体"/>
          <w:color w:val="auto"/>
          <w:highlight w:val="none"/>
        </w:rPr>
        <w:t>。投标有效期比规定短的将被视为未实质性响应招标文件而予以拒绝。</w:t>
      </w:r>
    </w:p>
    <w:p w14:paraId="5ABE6C24">
      <w:pPr>
        <w:pStyle w:val="2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16、投标有效期的延长</w:t>
      </w:r>
    </w:p>
    <w:p w14:paraId="3B6CF6E3">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p>
    <w:p w14:paraId="6454CD77">
      <w:pPr>
        <w:pStyle w:val="29"/>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111" w:name="_Toc513029224"/>
      <w:bookmarkStart w:id="112" w:name="_Toc120614217"/>
      <w:bookmarkStart w:id="113" w:name="_Toc20823296"/>
      <w:bookmarkStart w:id="114" w:name="_Toc16938540"/>
      <w:bookmarkStart w:id="115" w:name="_Hlt26954739"/>
      <w:bookmarkStart w:id="116" w:name="_Hlt26954852"/>
      <w:r>
        <w:rPr>
          <w:rFonts w:hint="eastAsia" w:ascii="宋体" w:hAnsi="宋体" w:eastAsia="宋体" w:cs="宋体"/>
          <w:b/>
          <w:color w:val="auto"/>
          <w:highlight w:val="none"/>
        </w:rPr>
        <w:t>四、投标文件的递交</w:t>
      </w:r>
      <w:bookmarkEnd w:id="111"/>
      <w:bookmarkEnd w:id="112"/>
      <w:bookmarkEnd w:id="113"/>
      <w:bookmarkEnd w:id="114"/>
    </w:p>
    <w:p w14:paraId="00DCADE7">
      <w:pPr>
        <w:pStyle w:val="29"/>
        <w:keepNext/>
        <w:keepLines/>
        <w:spacing w:beforeAutospacing="0" w:afterAutospacing="0"/>
        <w:ind w:firstLine="560"/>
        <w:jc w:val="both"/>
        <w:rPr>
          <w:rFonts w:hint="eastAsia" w:ascii="宋体" w:hAnsi="宋体" w:eastAsia="宋体" w:cs="宋体"/>
          <w:color w:val="auto"/>
          <w:highlight w:val="none"/>
        </w:rPr>
      </w:pPr>
      <w:bookmarkStart w:id="117" w:name="_Toc16938541"/>
      <w:bookmarkStart w:id="118" w:name="_Toc20823297"/>
      <w:bookmarkStart w:id="119" w:name="_Toc513029225"/>
      <w:bookmarkStart w:id="120" w:name="_Toc462564084"/>
      <w:r>
        <w:rPr>
          <w:rFonts w:hint="eastAsia" w:ascii="宋体" w:hAnsi="宋体" w:eastAsia="宋体" w:cs="宋体"/>
          <w:color w:val="auto"/>
          <w:highlight w:val="none"/>
        </w:rPr>
        <w:t>17、投标文件</w:t>
      </w:r>
      <w:bookmarkEnd w:id="117"/>
      <w:bookmarkEnd w:id="118"/>
      <w:bookmarkEnd w:id="119"/>
      <w:bookmarkEnd w:id="120"/>
      <w:r>
        <w:rPr>
          <w:rFonts w:hint="eastAsia" w:ascii="宋体" w:hAnsi="宋体" w:eastAsia="宋体" w:cs="宋体"/>
          <w:color w:val="auto"/>
          <w:highlight w:val="none"/>
        </w:rPr>
        <w:t>的递交</w:t>
      </w:r>
    </w:p>
    <w:p w14:paraId="4891B75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 电子投标文件的递交</w:t>
      </w:r>
    </w:p>
    <w:p w14:paraId="671F7C41">
      <w:pPr>
        <w:pStyle w:val="29"/>
        <w:spacing w:beforeAutospacing="0" w:afterAutospacing="0"/>
        <w:ind w:left="525"/>
        <w:jc w:val="both"/>
        <w:rPr>
          <w:rFonts w:hint="eastAsia" w:ascii="宋体" w:hAnsi="宋体" w:eastAsia="宋体" w:cs="宋体"/>
          <w:color w:val="auto"/>
          <w:highlight w:val="none"/>
        </w:rPr>
      </w:pPr>
      <w:r>
        <w:rPr>
          <w:rFonts w:hint="eastAsia" w:ascii="宋体" w:hAnsi="宋体" w:eastAsia="宋体" w:cs="宋体"/>
          <w:color w:val="auto"/>
          <w:highlight w:val="none"/>
        </w:rPr>
        <w:t>投标人应当按照《操作手册》规定，在投标截止时间前制作并上传电子投标文件。</w:t>
      </w:r>
      <w:bookmarkStart w:id="121" w:name="_Toc16938542"/>
      <w:bookmarkEnd w:id="121"/>
      <w:bookmarkStart w:id="122" w:name="_Toc20823298"/>
      <w:bookmarkEnd w:id="122"/>
      <w:bookmarkStart w:id="123" w:name="_Toc513029226"/>
    </w:p>
    <w:p w14:paraId="48C6DA67">
      <w:pPr>
        <w:pStyle w:val="29"/>
        <w:keepNext/>
        <w:keepLines/>
        <w:spacing w:before="280" w:beforeAutospacing="0" w:after="290" w:afterAutospacing="0" w:line="374" w:lineRule="auto"/>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18、投标截止时间</w:t>
      </w:r>
    </w:p>
    <w:p w14:paraId="6BD781D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i/>
          <w:color w:val="auto"/>
          <w:highlight w:val="none"/>
          <w:u w:val="single"/>
        </w:rPr>
        <w:t>18.1投标人上传电子投标文件的时间不得迟于招标公告中规定的投标截止时间。</w:t>
      </w:r>
    </w:p>
    <w:p w14:paraId="41780FE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投标人应充分考虑到网络环境、网络带宽等风险因素，如因投标人自身原因造成的电子投标文件上传不成功的按照本招标文件第二章第26.1.2条 规定做无效投标处理。</w:t>
      </w:r>
    </w:p>
    <w:p w14:paraId="7FA78911">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18.2招标人或招标代理机构可以按照规定，通过修改招标文件酌情延长投标截止时间，在此情况下，投标人的所有权利和义务以及投标人受制的截止时间均应以延长后新的截止时间为准。</w:t>
      </w:r>
    </w:p>
    <w:p w14:paraId="17E18DE8">
      <w:pPr>
        <w:pStyle w:val="29"/>
        <w:keepNext/>
        <w:keepLines/>
        <w:spacing w:beforeAutospacing="0" w:afterAutospacing="0"/>
        <w:ind w:firstLine="420"/>
        <w:jc w:val="both"/>
        <w:rPr>
          <w:rFonts w:hint="eastAsia" w:ascii="宋体" w:hAnsi="宋体" w:eastAsia="宋体" w:cs="宋体"/>
          <w:color w:val="auto"/>
          <w:highlight w:val="none"/>
        </w:rPr>
      </w:pPr>
      <w:bookmarkStart w:id="124" w:name="_Toc20823299"/>
      <w:bookmarkStart w:id="125" w:name="_Toc16938543"/>
      <w:bookmarkStart w:id="126" w:name="_Toc513029227"/>
      <w:r>
        <w:rPr>
          <w:rFonts w:hint="eastAsia" w:ascii="宋体" w:hAnsi="宋体" w:eastAsia="宋体" w:cs="宋体"/>
          <w:color w:val="auto"/>
          <w:highlight w:val="none"/>
        </w:rPr>
        <w:t>19、投标文件</w:t>
      </w:r>
      <w:bookmarkEnd w:id="124"/>
      <w:bookmarkEnd w:id="125"/>
      <w:bookmarkEnd w:id="126"/>
      <w:r>
        <w:rPr>
          <w:rFonts w:hint="eastAsia" w:ascii="宋体" w:hAnsi="宋体" w:eastAsia="宋体" w:cs="宋体"/>
          <w:color w:val="auto"/>
          <w:highlight w:val="none"/>
        </w:rPr>
        <w:t>的拒收</w:t>
      </w:r>
    </w:p>
    <w:p w14:paraId="735D149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19.1招标人或招标代理机构拒绝接收在其规定的投标截止时间后上传的任何投标文件。</w:t>
      </w:r>
    </w:p>
    <w:p w14:paraId="6C8D9870">
      <w:pPr>
        <w:pStyle w:val="29"/>
        <w:keepNext/>
        <w:keepLines/>
        <w:spacing w:beforeAutospacing="0" w:afterAutospacing="0"/>
        <w:ind w:firstLine="420"/>
        <w:jc w:val="both"/>
        <w:rPr>
          <w:rFonts w:hint="eastAsia" w:ascii="宋体" w:hAnsi="宋体" w:eastAsia="宋体" w:cs="宋体"/>
          <w:color w:val="auto"/>
          <w:highlight w:val="none"/>
        </w:rPr>
      </w:pPr>
      <w:bookmarkStart w:id="127" w:name="_Toc513029228"/>
      <w:bookmarkStart w:id="128" w:name="_Toc20823300"/>
      <w:bookmarkStart w:id="129" w:name="_Toc16938544"/>
      <w:r>
        <w:rPr>
          <w:rFonts w:hint="eastAsia" w:ascii="宋体" w:hAnsi="宋体" w:eastAsia="宋体" w:cs="宋体"/>
          <w:color w:val="auto"/>
          <w:highlight w:val="none"/>
        </w:rPr>
        <w:t>20、投标文件的撤回和修改</w:t>
      </w:r>
      <w:bookmarkEnd w:id="127"/>
      <w:bookmarkEnd w:id="128"/>
      <w:bookmarkEnd w:id="129"/>
    </w:p>
    <w:p w14:paraId="54F57C3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20.1投标文件的撤回</w:t>
      </w:r>
    </w:p>
    <w:p w14:paraId="08D6FF4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20.1.1电子投标文件的撤回</w:t>
      </w:r>
    </w:p>
    <w:p w14:paraId="4D767FD2">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3B14CE9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20.1.2投标人撤回电子投标文件，则认为其不再参与本项目投标活动。</w:t>
      </w:r>
    </w:p>
    <w:p w14:paraId="5536CB2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 投标文件的修改</w:t>
      </w:r>
    </w:p>
    <w:p w14:paraId="7503B577">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20.2.1投标人可在投标截止时间前，对其电子投标文件进行修改，具体操作方法见《操作手册》。</w:t>
      </w:r>
    </w:p>
    <w:p w14:paraId="18399E1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20.2.2在投标截止时间之后，投标人不得对其电子投标文件作任何修改。</w:t>
      </w:r>
    </w:p>
    <w:p w14:paraId="2D82247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20.3在投标截止时间至招标文件中规定的投标有效期满之间的这段时间内，投标人不得撤回其投标。</w:t>
      </w:r>
    </w:p>
    <w:p w14:paraId="25920135">
      <w:pPr>
        <w:pStyle w:val="29"/>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130" w:name="_Toc513029229"/>
      <w:bookmarkStart w:id="131" w:name="_Toc16938545"/>
      <w:bookmarkStart w:id="132" w:name="_Toc120614218"/>
      <w:bookmarkStart w:id="133" w:name="_Toc20823301"/>
      <w:r>
        <w:rPr>
          <w:rFonts w:hint="eastAsia" w:ascii="宋体" w:hAnsi="宋体" w:eastAsia="宋体" w:cs="宋体"/>
          <w:b/>
          <w:color w:val="auto"/>
          <w:highlight w:val="none"/>
        </w:rPr>
        <w:t>五、开标与评标</w:t>
      </w:r>
      <w:bookmarkEnd w:id="130"/>
      <w:bookmarkEnd w:id="131"/>
      <w:bookmarkEnd w:id="132"/>
      <w:bookmarkEnd w:id="133"/>
    </w:p>
    <w:p w14:paraId="73993C00">
      <w:pPr>
        <w:pStyle w:val="29"/>
        <w:keepNext/>
        <w:keepLines/>
        <w:spacing w:beforeAutospacing="0" w:afterAutospacing="0"/>
        <w:ind w:firstLine="420"/>
        <w:jc w:val="both"/>
        <w:rPr>
          <w:rFonts w:hint="eastAsia" w:ascii="宋体" w:hAnsi="宋体" w:eastAsia="宋体" w:cs="宋体"/>
          <w:color w:val="auto"/>
          <w:highlight w:val="none"/>
        </w:rPr>
      </w:pPr>
      <w:bookmarkStart w:id="134" w:name="_Toc20823302"/>
      <w:bookmarkStart w:id="135" w:name="_Toc16938546"/>
      <w:bookmarkStart w:id="136" w:name="_Toc513029230"/>
      <w:r>
        <w:rPr>
          <w:rFonts w:hint="eastAsia" w:ascii="宋体" w:hAnsi="宋体" w:eastAsia="宋体" w:cs="宋体"/>
          <w:color w:val="auto"/>
          <w:highlight w:val="none"/>
        </w:rPr>
        <w:t>21、开标</w:t>
      </w:r>
      <w:bookmarkEnd w:id="134"/>
      <w:bookmarkEnd w:id="135"/>
      <w:bookmarkEnd w:id="136"/>
    </w:p>
    <w:p w14:paraId="38F8EC26">
      <w:pPr>
        <w:pStyle w:val="29"/>
        <w:spacing w:beforeAutospacing="0" w:afterAutospacing="0"/>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21.1招标人或招标代理机构将在招标公告中规定的时间和地点组织公开开标。投标人应当按照《操作手册》规定，参加开标活动和在苏采云系统规定的时间内对投标文件进行解密。</w:t>
      </w:r>
    </w:p>
    <w:p w14:paraId="3E7E7B9D">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21.2开标仪式由招标人或招标代理机构组织。苏采云系统将自动对项目进行开标，并宣布各投标人名称和投标价格。</w:t>
      </w:r>
    </w:p>
    <w:p w14:paraId="6F9A8A23">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21.3投标人在开标过程中涉及到的投标文件解密、开标结果确认等工作，应按照《操作手册》规定执行。</w:t>
      </w:r>
    </w:p>
    <w:p w14:paraId="0CBA2E1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21.4投标人如果对开标过程和开标记录有疑义，应当根据《操作手册》规定提出，如苏采云系统中《开标记录表》宣布后5分钟内未提出的，视同认可开标结果。</w:t>
      </w:r>
    </w:p>
    <w:p w14:paraId="7D8E318A">
      <w:pPr>
        <w:pStyle w:val="29"/>
        <w:keepNext/>
        <w:keepLines/>
        <w:spacing w:beforeAutospacing="0" w:afterAutospacing="0"/>
        <w:ind w:firstLine="420"/>
        <w:jc w:val="both"/>
        <w:rPr>
          <w:rFonts w:hint="eastAsia" w:ascii="宋体" w:hAnsi="宋体" w:eastAsia="宋体" w:cs="宋体"/>
          <w:color w:val="auto"/>
          <w:highlight w:val="none"/>
        </w:rPr>
      </w:pPr>
      <w:bookmarkStart w:id="137" w:name="_Toc20823303"/>
      <w:bookmarkStart w:id="138" w:name="_Toc513029231"/>
      <w:bookmarkStart w:id="139" w:name="_Toc16938547"/>
      <w:r>
        <w:rPr>
          <w:rFonts w:hint="eastAsia" w:ascii="宋体" w:hAnsi="宋体" w:eastAsia="宋体" w:cs="宋体"/>
          <w:color w:val="auto"/>
          <w:highlight w:val="none"/>
        </w:rPr>
        <w:t>22、评标委员会</w:t>
      </w:r>
      <w:bookmarkEnd w:id="137"/>
      <w:bookmarkEnd w:id="138"/>
      <w:bookmarkEnd w:id="139"/>
    </w:p>
    <w:p w14:paraId="31588D49">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22.1开标后，招标人或招标代理机构将立即组织评标委员会（以下简称评委会）进行评标。</w:t>
      </w:r>
    </w:p>
    <w:p w14:paraId="439A6AF4">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22.2评委会由采购人代表和有关技术、经济等方面的专家组成，且人员构成符合政府采购有关规定。</w:t>
      </w:r>
    </w:p>
    <w:p w14:paraId="0E74250F">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22.3评委会独立工作，负责评审所有投标文件并确定中标候选人。</w:t>
      </w:r>
    </w:p>
    <w:p w14:paraId="63708019">
      <w:pPr>
        <w:pStyle w:val="2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23、评标过程的保密与公正</w:t>
      </w:r>
    </w:p>
    <w:p w14:paraId="18C59DE1">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23.1凡是与审查、澄清、评价和比较投标的有关资料以及授标建议等，采购人、评委、代理机构均不得向投标人或与评标无关的其他人员透露。</w:t>
      </w:r>
    </w:p>
    <w:p w14:paraId="703B0041">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740DD9B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23.3招标人或招标代理机构和评标委员会不向未中标的投标人解释未中标原因，也不公布评标过程中的相关细节。</w:t>
      </w:r>
    </w:p>
    <w:p w14:paraId="35E226A0">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23.4采用综合评分法的项目，未中标的投标人可于中标结果公告期限届满之日起通过苏采云系统查看自己的评审得分及排序情况。</w:t>
      </w:r>
    </w:p>
    <w:p w14:paraId="6F902FE0">
      <w:pPr>
        <w:pStyle w:val="29"/>
        <w:keepNext/>
        <w:keepLines/>
        <w:spacing w:beforeAutospacing="0" w:afterAutospacing="0"/>
        <w:ind w:firstLine="420"/>
        <w:jc w:val="both"/>
        <w:rPr>
          <w:rFonts w:hint="eastAsia" w:ascii="宋体" w:hAnsi="宋体" w:eastAsia="宋体" w:cs="宋体"/>
          <w:color w:val="auto"/>
          <w:highlight w:val="none"/>
        </w:rPr>
      </w:pPr>
      <w:bookmarkStart w:id="140" w:name="_Toc513029232"/>
      <w:bookmarkStart w:id="141" w:name="_Toc16938548"/>
      <w:bookmarkStart w:id="142" w:name="_Toc20823304"/>
      <w:r>
        <w:rPr>
          <w:rFonts w:hint="eastAsia" w:ascii="宋体" w:hAnsi="宋体" w:eastAsia="宋体" w:cs="宋体"/>
          <w:color w:val="auto"/>
          <w:highlight w:val="none"/>
        </w:rPr>
        <w:t>24、投标文件的澄清</w:t>
      </w:r>
      <w:bookmarkEnd w:id="140"/>
      <w:bookmarkEnd w:id="141"/>
      <w:bookmarkEnd w:id="142"/>
    </w:p>
    <w:p w14:paraId="1688145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24.1评标期间，评委会对投标文件中含义不明确、同类问题表述不一致或者有明显文字和计算错误的内容 ，有权要求投标人作出必要的澄清、说明或者补正。</w:t>
      </w:r>
    </w:p>
    <w:p w14:paraId="1A57A5A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2D4DC4CF">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6039833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CFC6AAC">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24.3接到评委会澄清、说明和补正要求的投标人如未按规定作出澄清、说明和补正，其风险由投标人自行承担。</w:t>
      </w:r>
    </w:p>
    <w:p w14:paraId="5C81BAC6">
      <w:pPr>
        <w:pStyle w:val="29"/>
        <w:keepNext/>
        <w:keepLines/>
        <w:spacing w:beforeAutospacing="0" w:afterAutospacing="0"/>
        <w:ind w:firstLine="420"/>
        <w:jc w:val="both"/>
        <w:rPr>
          <w:rFonts w:hint="eastAsia" w:ascii="宋体" w:hAnsi="宋体" w:eastAsia="宋体" w:cs="宋体"/>
          <w:color w:val="auto"/>
          <w:highlight w:val="none"/>
        </w:rPr>
      </w:pPr>
      <w:bookmarkStart w:id="143" w:name="_Toc513029233"/>
      <w:bookmarkStart w:id="144" w:name="_Toc20823305"/>
      <w:bookmarkStart w:id="145" w:name="_Toc16938549"/>
      <w:r>
        <w:rPr>
          <w:rFonts w:hint="eastAsia" w:ascii="宋体" w:hAnsi="宋体" w:eastAsia="宋体" w:cs="宋体"/>
          <w:color w:val="auto"/>
          <w:highlight w:val="none"/>
        </w:rPr>
        <w:t>25、对投标文件的初审</w:t>
      </w:r>
      <w:bookmarkEnd w:id="143"/>
      <w:bookmarkEnd w:id="144"/>
      <w:bookmarkEnd w:id="145"/>
    </w:p>
    <w:p w14:paraId="127F61D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58AD7C1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25.1.1资格审查：依据法律法规和招标文件的规定，由采购人对投标文件中的资格证明文件进行审查。资格审查的结论，采购人以书面形式向评委会进行反馈。</w:t>
      </w:r>
    </w:p>
    <w:p w14:paraId="6273AF6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01F3B4CD">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0DC7D0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25.1.2符合性审查：依据招标文件的规定，由评委会从投标文件的有效性、完整性和对招标文件的响应程度进行审查，以确定是否对招标文件的实质性要求作出响应。</w:t>
      </w:r>
    </w:p>
    <w:p w14:paraId="4EA1368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25.1.3未通过资格审查或符合性审查的投标人，招标人或招标代理机构将在苏采云系统中告知未通过资格审查或符合性审查的原因，评标结束后，招标人或招标代理机构将不再告知未通过资格审查和符合性审查的原因。</w:t>
      </w:r>
    </w:p>
    <w:p w14:paraId="0A200EC4">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FDA5550">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招标人或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A77B564">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36DF0570">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25.4评委会将对确定为实质性响应的投标进行进一步审核，确定其是否有计算上或累加上的算术错误，修正错误的原则如下：</w:t>
      </w:r>
    </w:p>
    <w:p w14:paraId="693B3E76">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4F934C67">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765EA50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00C8E2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1600937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68FBBCB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0CE54C84">
      <w:pPr>
        <w:pStyle w:val="29"/>
        <w:spacing w:beforeAutospacing="0" w:afterAutospacing="0" w:line="0" w:lineRule="atLeast"/>
        <w:ind w:firstLine="420"/>
        <w:jc w:val="both"/>
        <w:rPr>
          <w:rFonts w:hint="eastAsia" w:ascii="宋体" w:hAnsi="宋体" w:eastAsia="宋体" w:cs="宋体"/>
          <w:color w:val="auto"/>
          <w:highlight w:val="none"/>
        </w:rPr>
      </w:pPr>
      <w:bookmarkStart w:id="146" w:name="_Toc16938550"/>
      <w:bookmarkStart w:id="147" w:name="_Toc513029234"/>
      <w:bookmarkStart w:id="148" w:name="_Toc20823306"/>
      <w:r>
        <w:rPr>
          <w:rFonts w:hint="eastAsia" w:ascii="宋体" w:hAnsi="宋体" w:eastAsia="宋体" w:cs="宋体"/>
          <w:color w:val="auto"/>
          <w:highlight w:val="none"/>
        </w:rPr>
        <w:t>25.6投标人在开、评标全过程中应保持通信畅通，及时登录苏采云系统查阅、答复相关信息，并安排专人与招标人或招标代理机构及评标委员会联系。</w:t>
      </w:r>
      <w:bookmarkEnd w:id="146"/>
      <w:bookmarkEnd w:id="147"/>
      <w:bookmarkEnd w:id="148"/>
    </w:p>
    <w:p w14:paraId="708C6B1A">
      <w:pPr>
        <w:pStyle w:val="29"/>
        <w:keepNext/>
        <w:keepLines/>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26、无效投标条款和废标条款</w:t>
      </w:r>
    </w:p>
    <w:p w14:paraId="6D5CC9C8">
      <w:pPr>
        <w:pStyle w:val="29"/>
        <w:spacing w:beforeAutospacing="0" w:afterAutospacing="0" w:line="0" w:lineRule="atLeast"/>
        <w:ind w:left="479"/>
        <w:jc w:val="both"/>
        <w:rPr>
          <w:rFonts w:hint="eastAsia" w:ascii="宋体" w:hAnsi="宋体" w:eastAsia="宋体" w:cs="宋体"/>
          <w:color w:val="auto"/>
          <w:highlight w:val="none"/>
        </w:rPr>
      </w:pPr>
      <w:bookmarkStart w:id="149" w:name="_Toc20823307"/>
      <w:bookmarkStart w:id="150" w:name="_Toc513029235"/>
      <w:bookmarkStart w:id="151" w:name="_Toc16938551"/>
      <w:r>
        <w:rPr>
          <w:rFonts w:hint="eastAsia" w:ascii="宋体" w:hAnsi="宋体" w:eastAsia="宋体" w:cs="宋体"/>
          <w:color w:val="auto"/>
          <w:highlight w:val="none"/>
        </w:rPr>
        <w:t>26.1无效投标条款</w:t>
      </w:r>
      <w:bookmarkEnd w:id="149"/>
      <w:bookmarkEnd w:id="150"/>
      <w:bookmarkEnd w:id="151"/>
    </w:p>
    <w:p w14:paraId="66D1B2E3">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26.1.1投标人在苏采云系统规定的时间内未成功解密电子投标文件的。</w:t>
      </w:r>
    </w:p>
    <w:p w14:paraId="5CE37A36">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26.1.2投标人未按照招标文件要求上传电子投标文件的。</w:t>
      </w:r>
    </w:p>
    <w:p w14:paraId="2316AABD">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26.1.3同一投标人提交两个（含两个）以上不同的投标报价的。</w:t>
      </w:r>
    </w:p>
    <w:p w14:paraId="0E5932C3">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26.1.4投标人不具备招标文件中规定资格要求的。</w:t>
      </w:r>
    </w:p>
    <w:p w14:paraId="1444B84F">
      <w:pPr>
        <w:pStyle w:val="29"/>
        <w:spacing w:beforeAutospacing="0" w:afterAutospacing="0" w:line="0" w:lineRule="atLeast"/>
        <w:ind w:firstLine="480"/>
        <w:jc w:val="both"/>
        <w:rPr>
          <w:rFonts w:hint="eastAsia" w:ascii="宋体" w:hAnsi="宋体" w:eastAsia="宋体" w:cs="宋体"/>
          <w:b w:val="0"/>
          <w:bCs/>
          <w:i/>
          <w:iCs/>
          <w:color w:val="auto"/>
          <w:highlight w:val="none"/>
        </w:rPr>
      </w:pPr>
      <w:r>
        <w:rPr>
          <w:rFonts w:hint="eastAsia" w:ascii="宋体" w:hAnsi="宋体" w:eastAsia="宋体" w:cs="宋体"/>
          <w:b w:val="0"/>
          <w:bCs/>
          <w:i/>
          <w:iCs/>
          <w:color w:val="FF0000"/>
          <w:highlight w:val="none"/>
        </w:rPr>
        <w:t>26.1.5投标人的浮动价格报价高于最高限价20元/兆瓦时（20元/兆瓦时=0.02元/千瓦时）的，按无效投标处理；浮动价格报价低于0元/兆瓦时（即负价）的，亦按无效投标处理。中标人按中标浮动价格在电力交易平台设定零售套餐时，如套餐参数触发平台风险预警（如浮动价格高于交易中心公布的浮动价格预警阈值等情形），应按电力市场规则完成法定代表人确认等风险确认手续，否则由此导致的合同备案、执行障碍等后果由中标人承担。</w:t>
      </w:r>
    </w:p>
    <w:p w14:paraId="67630D6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26.1.6未通过符合性审查的。</w:t>
      </w:r>
    </w:p>
    <w:p w14:paraId="34525D8E">
      <w:pPr>
        <w:pStyle w:val="29"/>
        <w:spacing w:beforeAutospacing="0" w:afterAutospacing="0" w:line="0" w:lineRule="atLeast"/>
        <w:ind w:firstLine="360"/>
        <w:jc w:val="both"/>
        <w:rPr>
          <w:rFonts w:hint="eastAsia" w:ascii="宋体" w:hAnsi="宋体" w:eastAsia="宋体" w:cs="宋体"/>
          <w:color w:val="auto"/>
          <w:highlight w:val="none"/>
        </w:rPr>
      </w:pPr>
      <w:r>
        <w:rPr>
          <w:rFonts w:hint="eastAsia" w:ascii="宋体" w:hAnsi="宋体" w:eastAsia="宋体" w:cs="宋体"/>
          <w:color w:val="auto"/>
          <w:highlight w:val="none"/>
        </w:rPr>
        <w:t>26.1.7不符合招标文件中规定的实质性要求和条件的（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2013A2C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78973F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26.1.9投标文件含有采购人不能接受的附加条件的。</w:t>
      </w:r>
    </w:p>
    <w:p w14:paraId="0609867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26.1.10投标人不能证明其报价合理性的，评标委员会应当将其作为无效投标处理。</w:t>
      </w:r>
    </w:p>
    <w:p w14:paraId="69953290">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（一）根据财政部《关于推动解决政府采购异常低价问题的通知》（财库〔2026〕2号）规定，评审过程中出现下列情形之一的，评标委员会应当启动异常低价投标审查程序：</w:t>
      </w:r>
    </w:p>
    <w:p w14:paraId="1E6274CF">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1.投标（响应）报价低于全部通过符合性审查供应商投标（响应）报价平均值50%的，即投标（响应）报价&lt;全部通过符合性审查供应商投标（响应）报价平均值×50%；</w:t>
      </w:r>
    </w:p>
    <w:p w14:paraId="5BC19FAC">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2.投标（响应）报价低于通过符合性审查的次低报价供应商投标（响应）报价50%的，即投标（响应）报价&lt;通过符合性审查的次低报价供应商投标（响应）报价×50%；</w:t>
      </w:r>
    </w:p>
    <w:p w14:paraId="7BE5260E">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3.投标（响应）报价低于采购项目最高限价45%的，即投标（响应）报价&lt;采购项目最高限价×45%；</w:t>
      </w:r>
    </w:p>
    <w:p w14:paraId="5FF9DBD9">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4.评审委员会基于专业判断，认为供应商报价过低，有可能影响产品质量或者不能诚信履约的其他情形。</w:t>
      </w:r>
    </w:p>
    <w:p w14:paraId="03B1044D">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相关法律法规对供应商报价有规定的，从其规定。</w:t>
      </w:r>
    </w:p>
    <w:p w14:paraId="4A515F50">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B1E7C48">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A5D84C4">
      <w:pPr>
        <w:pStyle w:val="29"/>
        <w:spacing w:beforeAutospacing="0" w:afterAutospacing="0" w:line="0" w:lineRule="atLeast"/>
        <w:ind w:firstLine="480"/>
        <w:jc w:val="both"/>
        <w:rPr>
          <w:rFonts w:hint="eastAsia" w:ascii="宋体" w:hAnsi="宋体" w:eastAsia="宋体" w:cs="宋体"/>
          <w:b w:val="0"/>
          <w:bCs w:val="0"/>
          <w:i/>
          <w:iCs/>
          <w:color w:val="auto"/>
          <w:highlight w:val="none"/>
        </w:rPr>
      </w:pPr>
      <w:r>
        <w:rPr>
          <w:rFonts w:hint="eastAsia" w:ascii="宋体" w:hAnsi="宋体" w:eastAsia="宋体" w:cs="宋体"/>
          <w:b w:val="0"/>
          <w:bCs w:val="0"/>
          <w:i/>
          <w:iCs/>
          <w:color w:val="FF0000"/>
          <w:highlight w:val="none"/>
        </w:rPr>
        <w:t>本项目投标报价为零售套餐浮动价格（P浮动价格），系售电服务费用性质的加减价，不包含批发侧电能量购电成本（批发侧成本按电力市场规则向甲方全额传导）。评审委员会判断报价合理性时，应结合江苏电力零售市场浮动价格的通行水平、售电公司批发侧购电交易能力、电量偏差管理能力及运营模式等因素综合认定；供应商提供成本测算等书面说明时，可围绕售电服务运营成本、电量偏差管理成本等作出说明。</w:t>
      </w:r>
    </w:p>
    <w:p w14:paraId="22A977B2">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B5280BD">
      <w:pPr>
        <w:pStyle w:val="29"/>
        <w:spacing w:beforeAutospacing="0" w:afterAutospacing="0" w:line="0" w:lineRule="atLeast"/>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363AB67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26.1.11投标文件未按照招标文件要求加盖CA电子公章的。</w:t>
      </w:r>
    </w:p>
    <w:p w14:paraId="4E5213D7">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26.1.12其他法律、法规及本招标文件规定的属无效投标的情形。</w:t>
      </w:r>
    </w:p>
    <w:p w14:paraId="38111A9C">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26.2废标条款</w:t>
      </w:r>
    </w:p>
    <w:p w14:paraId="6211281D">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26.2.1符合专业条件的供应商或者对招标文件作实质响应的供应商不足三家的。</w:t>
      </w:r>
    </w:p>
    <w:p w14:paraId="55B5382E">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26.2.2出现影响采购公正的违法、违规行为的。</w:t>
      </w:r>
    </w:p>
    <w:p w14:paraId="455DDDA0">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26.2.3因重大变故，采购任务取消的。</w:t>
      </w:r>
    </w:p>
    <w:p w14:paraId="5038EBA9">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26.2.4评标委员会认定招标文件存在歧义、重大缺陷导致评审工作无法进行。</w:t>
      </w:r>
    </w:p>
    <w:p w14:paraId="2F8DA278">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26.2.5因苏采云系统系统故障原因造成开标不成功的。</w:t>
      </w:r>
    </w:p>
    <w:p w14:paraId="6026E530">
      <w:pPr>
        <w:pStyle w:val="29"/>
        <w:spacing w:beforeAutospacing="0" w:afterAutospacing="0" w:line="0" w:lineRule="atLeast"/>
        <w:ind w:left="479"/>
        <w:jc w:val="both"/>
        <w:rPr>
          <w:rFonts w:hint="eastAsia" w:ascii="宋体" w:hAnsi="宋体" w:eastAsia="宋体" w:cs="宋体"/>
          <w:color w:val="auto"/>
          <w:highlight w:val="none"/>
        </w:rPr>
      </w:pPr>
      <w:r>
        <w:rPr>
          <w:rFonts w:hint="eastAsia" w:ascii="宋体" w:hAnsi="宋体" w:eastAsia="宋体" w:cs="宋体"/>
          <w:color w:val="auto"/>
          <w:highlight w:val="none"/>
        </w:rPr>
        <w:t>26.3 投标截止时间结束后参加投标的供应商不足三家的处理：</w:t>
      </w:r>
    </w:p>
    <w:p w14:paraId="763C157D">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26.3.1如出现投标截止时间结束后参加投标的供应商或者在评标期间对招标文件做出实质响应的供应商不足三家情况，按政府采购相关规定执行。</w:t>
      </w:r>
    </w:p>
    <w:p w14:paraId="7659B377">
      <w:pPr>
        <w:pStyle w:val="29"/>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152" w:name="_Toc120614219"/>
      <w:r>
        <w:rPr>
          <w:rFonts w:hint="eastAsia" w:ascii="宋体" w:hAnsi="宋体" w:eastAsia="宋体" w:cs="宋体"/>
          <w:b/>
          <w:color w:val="auto"/>
          <w:highlight w:val="none"/>
        </w:rPr>
        <w:t>六、定标</w:t>
      </w:r>
      <w:bookmarkEnd w:id="152"/>
    </w:p>
    <w:p w14:paraId="08EAE4F9">
      <w:pPr>
        <w:pStyle w:val="29"/>
        <w:keepNext/>
        <w:keepLines/>
        <w:spacing w:beforeAutospacing="0" w:afterAutospacing="0"/>
        <w:ind w:firstLine="600"/>
        <w:jc w:val="both"/>
        <w:rPr>
          <w:rFonts w:hint="eastAsia" w:ascii="宋体" w:hAnsi="宋体" w:eastAsia="宋体" w:cs="宋体"/>
          <w:color w:val="auto"/>
          <w:highlight w:val="none"/>
        </w:rPr>
      </w:pPr>
      <w:bookmarkStart w:id="153" w:name="_Toc513029238"/>
      <w:bookmarkStart w:id="154" w:name="_Toc20823310"/>
      <w:bookmarkStart w:id="155" w:name="_Toc16938554"/>
      <w:r>
        <w:rPr>
          <w:rFonts w:hint="eastAsia" w:ascii="宋体" w:hAnsi="宋体" w:eastAsia="宋体" w:cs="宋体"/>
          <w:color w:val="auto"/>
          <w:highlight w:val="none"/>
        </w:rPr>
        <w:t>27、确定中标单位</w:t>
      </w:r>
      <w:bookmarkEnd w:id="153"/>
      <w:bookmarkEnd w:id="154"/>
      <w:bookmarkEnd w:id="155"/>
    </w:p>
    <w:p w14:paraId="5D9558C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486E817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27.2采购人应根据评委会推荐的中标候选人确定中标人。</w:t>
      </w:r>
    </w:p>
    <w:p w14:paraId="7A1E157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27.3招标人或招标代理机构将在“中国政府采购网”“江苏政府采购网”“盐城市政府采购网”发布中标公告，公告期限为1个工作日。</w:t>
      </w:r>
    </w:p>
    <w:p w14:paraId="14DC0AE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4B07D4E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0A463AF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27.4.2向招标人或招标代理机构行贿或者提供其他不正当利益的。</w:t>
      </w:r>
    </w:p>
    <w:p w14:paraId="1567E62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10037FF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1F67CCB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35A00881">
      <w:pPr>
        <w:pStyle w:val="29"/>
        <w:spacing w:beforeAutospacing="0" w:afterAutospacing="0" w:line="0" w:lineRule="atLeast"/>
        <w:ind w:firstLine="480"/>
        <w:jc w:val="both"/>
        <w:rPr>
          <w:rFonts w:hint="eastAsia" w:ascii="宋体" w:hAnsi="宋体" w:eastAsia="宋体" w:cs="宋体"/>
          <w:color w:val="auto"/>
          <w:highlight w:val="none"/>
        </w:rPr>
      </w:pPr>
      <w:bookmarkStart w:id="156" w:name="_Toc200451960"/>
      <w:r>
        <w:rPr>
          <w:rFonts w:hint="eastAsia" w:ascii="宋体" w:hAnsi="宋体" w:eastAsia="宋体" w:cs="宋体"/>
          <w:color w:val="auto"/>
          <w:highlight w:val="none"/>
        </w:rPr>
        <w:t>27.5 有下列情形之一的，视为投标人串通投标，投标无效：</w:t>
      </w:r>
      <w:bookmarkEnd w:id="156"/>
    </w:p>
    <w:p w14:paraId="3A711822">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7C16B41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1843F793">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27.5.3不同投标人的投标文件载明的项目管理成员或者联系人员为同一人。</w:t>
      </w:r>
    </w:p>
    <w:p w14:paraId="55EF5DFF">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292EC3E5">
      <w:pPr>
        <w:pStyle w:val="29"/>
        <w:keepNext/>
        <w:keepLines/>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28、质疑处理</w:t>
      </w:r>
    </w:p>
    <w:p w14:paraId="419C37A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28.1提出质疑的供应商应当是参与所质疑项目采购活动的供应商。潜在供应商依法获取其可质疑的采购文件的，可以对采购文件提出质疑。</w:t>
      </w:r>
    </w:p>
    <w:p w14:paraId="74D198B6">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28.4条款的规定向招标人或招标代理机构提出质疑。上述应知其权益受到损害之日，是指：</w:t>
      </w:r>
    </w:p>
    <w:p w14:paraId="37F32BDF">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28.2.1对可以质疑的采购文件提出质疑的，为收到采购文件之日或者采购文件公告期限届满之日；</w:t>
      </w:r>
    </w:p>
    <w:p w14:paraId="3E4C294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28.2.2对采购过程提出质疑的，为各采购程序环节结束之日；</w:t>
      </w:r>
    </w:p>
    <w:p w14:paraId="02AB2E22">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53B7EAD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供应商应当在法定质疑期内一次性提出针对同一采购程序环节的质疑。供应商如在法定期限内对同一采购程序环节提出多次质疑的，招标人或招标代理机构将只对供应商第一次质疑作出答复。</w:t>
      </w:r>
    </w:p>
    <w:p w14:paraId="36419392">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0F87733">
      <w:pPr>
        <w:pStyle w:val="29"/>
        <w:spacing w:beforeAutospacing="0" w:afterAutospacing="0" w:line="0" w:lineRule="atLeas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招标人或招标代理机构提出，由招标人或招标代理机构负责答复。</w:t>
      </w:r>
    </w:p>
    <w:p w14:paraId="36A1DF0F">
      <w:pPr>
        <w:tabs>
          <w:tab w:val="left" w:pos="1331"/>
        </w:tabs>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或招标代理机构只接收以纸质原件形式送达的质疑,招标人或招标代理机构不接受未填写快递运单的快件。质疑接收部门为盐城市智强项目管理有限公司业务受理处，联系地址：滨海县行政服务中心二楼G区2202室，联系电话：15950201008，联系人，高先生。</w:t>
      </w:r>
    </w:p>
    <w:p w14:paraId="3420DC76">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 以下情形的质疑不予受理</w:t>
      </w:r>
    </w:p>
    <w:p w14:paraId="59F0A2E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28.5.1内容不符合《政府采购质疑和投诉办法》第十二条规定的质疑。</w:t>
      </w:r>
    </w:p>
    <w:p w14:paraId="2123937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28.5.2超出政府采购法定期限的质疑。</w:t>
      </w:r>
    </w:p>
    <w:p w14:paraId="069BE0C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28.5.3以传真、电子邮件等方式递交的非原件形式的质疑。</w:t>
      </w:r>
    </w:p>
    <w:p w14:paraId="11817D82">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28.5.4未参加投标活动的供应商或在投标活动中自身权益未受到损害的供应商所提出的质疑。</w:t>
      </w:r>
    </w:p>
    <w:p w14:paraId="369FB762">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28.5.5供应商组成联合体参加投标，联合体中任何一方或多方未按要求签字、盖章、加盖公章的质疑。</w:t>
      </w:r>
    </w:p>
    <w:p w14:paraId="0D5E8525">
      <w:pPr>
        <w:pStyle w:val="29"/>
        <w:spacing w:beforeAutospacing="0" w:afterAutospacing="0" w:line="0" w:lineRule="atLeast"/>
        <w:ind w:firstLine="468"/>
        <w:jc w:val="both"/>
        <w:rPr>
          <w:rFonts w:hint="eastAsia"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801A48E">
      <w:pPr>
        <w:pStyle w:val="29"/>
        <w:keepNext/>
        <w:keepLines/>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29、中标通知书</w:t>
      </w:r>
    </w:p>
    <w:p w14:paraId="2395F34B">
      <w:pPr>
        <w:pStyle w:val="2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29.l中标结果确定后，招标人或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C03B242">
      <w:pPr>
        <w:pStyle w:val="2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04BAF111">
      <w:pPr>
        <w:pStyle w:val="29"/>
        <w:keepNext/>
        <w:keepLines/>
        <w:spacing w:before="145" w:beforeAutospacing="0" w:after="145" w:afterAutospacing="0" w:line="360" w:lineRule="auto"/>
        <w:jc w:val="both"/>
        <w:rPr>
          <w:rFonts w:hint="eastAsia" w:ascii="宋体" w:hAnsi="宋体" w:eastAsia="宋体" w:cs="宋体"/>
          <w:color w:val="auto"/>
          <w:highlight w:val="none"/>
        </w:rPr>
      </w:pPr>
      <w:bookmarkStart w:id="157" w:name="_Toc513029236"/>
      <w:bookmarkStart w:id="158" w:name="_Toc120614220"/>
      <w:bookmarkStart w:id="159" w:name="_Toc20823308"/>
      <w:bookmarkStart w:id="160" w:name="_Toc16938552"/>
      <w:r>
        <w:rPr>
          <w:rFonts w:hint="eastAsia" w:ascii="宋体" w:hAnsi="宋体" w:eastAsia="宋体" w:cs="宋体"/>
          <w:b/>
          <w:color w:val="auto"/>
          <w:highlight w:val="none"/>
        </w:rPr>
        <w:t>七、授予合同</w:t>
      </w:r>
      <w:bookmarkEnd w:id="157"/>
      <w:bookmarkEnd w:id="158"/>
      <w:bookmarkEnd w:id="159"/>
      <w:bookmarkEnd w:id="160"/>
    </w:p>
    <w:p w14:paraId="3D5B811D">
      <w:pPr>
        <w:pStyle w:val="29"/>
        <w:keepNext/>
        <w:keepLines/>
        <w:spacing w:beforeAutospacing="0" w:afterAutospacing="0"/>
        <w:ind w:firstLine="600"/>
        <w:jc w:val="both"/>
        <w:rPr>
          <w:rFonts w:hint="eastAsia" w:ascii="宋体" w:hAnsi="宋体" w:eastAsia="宋体" w:cs="宋体"/>
          <w:color w:val="auto"/>
          <w:highlight w:val="none"/>
        </w:rPr>
      </w:pPr>
      <w:bookmarkStart w:id="161" w:name="_Toc513029237"/>
      <w:bookmarkStart w:id="162" w:name="_Toc16938553"/>
      <w:bookmarkStart w:id="163" w:name="_Toc20823309"/>
      <w:r>
        <w:rPr>
          <w:rFonts w:hint="eastAsia" w:ascii="宋体" w:hAnsi="宋体" w:eastAsia="宋体" w:cs="宋体"/>
          <w:color w:val="auto"/>
          <w:highlight w:val="none"/>
        </w:rPr>
        <w:t>30.签订合同</w:t>
      </w:r>
      <w:bookmarkEnd w:id="161"/>
      <w:bookmarkEnd w:id="162"/>
      <w:bookmarkEnd w:id="163"/>
    </w:p>
    <w:p w14:paraId="2FA53A9F">
      <w:pPr>
        <w:pStyle w:val="29"/>
        <w:spacing w:beforeAutospacing="0" w:afterAutospacing="0" w:line="0" w:lineRule="atLeast"/>
        <w:ind w:firstLine="600"/>
        <w:jc w:val="both"/>
        <w:rPr>
          <w:rFonts w:hint="eastAsia" w:ascii="宋体" w:hAnsi="宋体" w:eastAsia="宋体" w:cs="宋体"/>
          <w:b w:val="0"/>
          <w:bCs/>
          <w:i/>
          <w:iCs/>
          <w:color w:val="FF0000"/>
          <w:highlight w:val="none"/>
        </w:rPr>
      </w:pPr>
      <w:r>
        <w:rPr>
          <w:rFonts w:hint="eastAsia" w:ascii="宋体" w:hAnsi="宋体" w:eastAsia="宋体" w:cs="宋体"/>
          <w:b w:val="0"/>
          <w:bCs/>
          <w:i/>
          <w:iCs/>
          <w:color w:val="FF0000"/>
          <w:highlight w:val="none"/>
        </w:rPr>
        <w:t>30.1中标人应当在中标通知书发出之日起三十日内，按照招标文件确定的事项与采购人签订政府采购合同。鉴于2027年江苏电力年度零售交易窗口于2026年12月24日关闭（2027年1月起开放年内剩余月份交易窗口），中标人应自中标通知书发出之日起</w:t>
      </w:r>
      <w:r>
        <w:rPr>
          <w:rFonts w:hint="eastAsia" w:ascii="宋体" w:hAnsi="宋体" w:eastAsia="宋体" w:cs="宋体"/>
          <w:b w:val="0"/>
          <w:bCs/>
          <w:i/>
          <w:iCs/>
          <w:color w:val="FF0000"/>
          <w:highlight w:val="none"/>
          <w:lang w:val="en-US" w:eastAsia="zh-CN"/>
        </w:rPr>
        <w:t>3</w:t>
      </w:r>
      <w:r>
        <w:rPr>
          <w:rFonts w:hint="eastAsia" w:ascii="宋体" w:hAnsi="宋体" w:eastAsia="宋体" w:cs="宋体"/>
          <w:b w:val="0"/>
          <w:bCs/>
          <w:i/>
          <w:iCs/>
          <w:color w:val="FF0000"/>
          <w:highlight w:val="none"/>
        </w:rPr>
        <w:t>0日内与采购人签订合同，并及时配合完成本合同在电力交易中心的备案及零售交易确认手续，确保合同按期执行。</w:t>
      </w:r>
    </w:p>
    <w:p w14:paraId="4A5FB589">
      <w:pPr>
        <w:pStyle w:val="2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3C8E39D3">
      <w:pPr>
        <w:pStyle w:val="29"/>
        <w:spacing w:beforeAutospacing="0" w:afterAutospacing="0" w:line="0" w:lineRule="atLeast"/>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30.3签订合同后，</w:t>
      </w:r>
      <w:r>
        <w:rPr>
          <w:rFonts w:hint="eastAsia" w:ascii="宋体" w:hAnsi="宋体" w:eastAsia="宋体" w:cs="宋体"/>
          <w:i/>
          <w:color w:val="auto"/>
          <w:highlight w:val="non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2BE8B475">
      <w:pPr>
        <w:pStyle w:val="29"/>
        <w:keepNext/>
        <w:keepLines/>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31、服务（包含与服务相关的货物）的追加</w:t>
      </w:r>
    </w:p>
    <w:p w14:paraId="47C1616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38A8FDF">
      <w:pPr>
        <w:pStyle w:val="29"/>
        <w:keepNext/>
        <w:keepLines/>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32.政府采购政策功能落实</w:t>
      </w:r>
    </w:p>
    <w:p w14:paraId="2C1DACC4">
      <w:pPr>
        <w:pStyle w:val="29"/>
        <w:keepNext/>
        <w:keepLines/>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32.1政府采购线上合同信用融资政策</w:t>
      </w:r>
    </w:p>
    <w:p w14:paraId="6D6F527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ECF6FA3">
      <w:pPr>
        <w:tabs>
          <w:tab w:val="left" w:pos="1381"/>
        </w:tabs>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32.2进口产品</w:t>
      </w:r>
    </w:p>
    <w:p w14:paraId="0CE93164">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85CF1DA">
      <w:pPr>
        <w:tabs>
          <w:tab w:val="left" w:pos="1381"/>
        </w:tabs>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32.3中小企业、监狱企业及残疾人福利性单位</w:t>
      </w:r>
    </w:p>
    <w:p w14:paraId="5DA8A19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32.3.1中小企业定义：</w:t>
      </w:r>
    </w:p>
    <w:p w14:paraId="06B038AF">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5D03F56">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32.3.2供应商提供的货物、工程或者服务符合下列情形的，享受中小企业扶持政策：</w:t>
      </w:r>
    </w:p>
    <w:p w14:paraId="78D58C83">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32.3.2.1在货物采购项目中，货物由中小企业制造，即货物由中小企业生产且使用该中小企业商号或者注册商标；</w:t>
      </w:r>
    </w:p>
    <w:p w14:paraId="36F890E0">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32.3.2.2在工程采购项目中，工程由中小企业承建，即工程施工单位为中小企业；</w:t>
      </w:r>
    </w:p>
    <w:p w14:paraId="097A597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32.3.2.3在服务采购项目中，服务由中小企业承接，即提供服务的人员为中小企业依照《中华人民共和国劳动合同法》订立劳动合同的从业人员。</w:t>
      </w:r>
    </w:p>
    <w:p w14:paraId="7389B57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32.3.3在货物采购项目中，供应商提供的货物既有中小企业制造货物，也有大型企业制造货物的，不享受中小企业扶持政策。</w:t>
      </w:r>
    </w:p>
    <w:p w14:paraId="7C9C105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32.3.4以联合体形式参加政府采购活动，联合体各方均为中小企业的，联合体视同中小企业。其中，联合体各方均为小微企业的，联合体视同小微企业。</w:t>
      </w:r>
    </w:p>
    <w:p w14:paraId="672ABC1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D3D7B6">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32.3.6残疾人福利单位定义：享受政府采购支持政策的残疾人福利性单位应当同时满足以下条件：</w:t>
      </w:r>
    </w:p>
    <w:p w14:paraId="732B74E3">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32.3.6.1安置的残疾人占本单位在职职工人数的比例不低于25%（含25%），并且安置的残疾人人数不少于10 人（含10 人）；</w:t>
      </w:r>
    </w:p>
    <w:p w14:paraId="375048F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32.3.6.2依法与安置的每位残疾人签订了一年以上（含一年）的劳动合同或服务协议；</w:t>
      </w:r>
    </w:p>
    <w:p w14:paraId="5CB1A872">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32.3.6.3为安置的每位残疾人按月足额缴纳了基本养老保险、基本医疗保险、失业保险、工伤保险和生育保险等社会保险费；</w:t>
      </w:r>
    </w:p>
    <w:p w14:paraId="2193F62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32.3.6.4通过银行等金融机构向安置的每位残疾人，按月支付了不低于单位所在区县适用的经省级人民政府批准的月最低工资标准的工资；</w:t>
      </w:r>
    </w:p>
    <w:p w14:paraId="7AE13303">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32.3.6.5提供本单位制造的货物、承担的工程或者服务（以下简称产品），或者提供其他残疾人福利性单位制造的货物（不包括使用非残疾人福利性单位注册商标的货物）；</w:t>
      </w:r>
    </w:p>
    <w:p w14:paraId="4076ECF0">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8B8CFF7">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32.3.7本项目是否专门面向中小企业预留采购份额见第一章《招标公告》。</w:t>
      </w:r>
    </w:p>
    <w:p w14:paraId="6DF2F344">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32.3.8采购标的对应的中小企业划分标准所属行业见第四章《采购需求》。</w:t>
      </w:r>
    </w:p>
    <w:p w14:paraId="35F0F55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32.3.9小微企业价格评审优惠的政策：见第五章《评标方法和评标标准》。</w:t>
      </w:r>
    </w:p>
    <w:p w14:paraId="590A9162">
      <w:pPr>
        <w:pStyle w:val="29"/>
        <w:keepNext/>
        <w:keepLines/>
        <w:spacing w:beforeAutospacing="0" w:afterAutospacing="0"/>
        <w:ind w:firstLine="600"/>
        <w:jc w:val="both"/>
        <w:rPr>
          <w:rFonts w:hint="eastAsia" w:ascii="宋体" w:hAnsi="宋体" w:eastAsia="宋体" w:cs="宋体"/>
          <w:color w:val="auto"/>
          <w:highlight w:val="none"/>
        </w:rPr>
      </w:pPr>
      <w:r>
        <w:rPr>
          <w:rFonts w:hint="eastAsia" w:ascii="宋体" w:hAnsi="宋体" w:eastAsia="宋体" w:cs="宋体"/>
          <w:color w:val="auto"/>
          <w:highlight w:val="none"/>
        </w:rPr>
        <w:t>32.4政府采购节能产品、环境标志产品</w:t>
      </w:r>
    </w:p>
    <w:p w14:paraId="6831E0C7">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6B1BEC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AB2DA71">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32.5绿色包装</w:t>
      </w:r>
    </w:p>
    <w:p w14:paraId="3DE6F4C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1C33D41">
      <w:pPr>
        <w:tabs>
          <w:tab w:val="left" w:pos="1381"/>
        </w:tabs>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32.6政府采购创新产品</w:t>
      </w:r>
    </w:p>
    <w:p w14:paraId="08D0911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采购人优先采购各级政府部门公开发布的有效期内的创新产品、创新服务、首台套、首购首用等《目录》的创新产品。</w:t>
      </w:r>
    </w:p>
    <w:p w14:paraId="26A3F37E">
      <w:pPr>
        <w:tabs>
          <w:tab w:val="left" w:pos="1381"/>
        </w:tabs>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 </w:t>
      </w:r>
    </w:p>
    <w:p w14:paraId="39F0FA2A">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5BC4C5E">
      <w:pPr>
        <w:ind w:firstLine="482"/>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32.8实施本国产品标准及相关政策</w:t>
      </w:r>
    </w:p>
    <w:p w14:paraId="0BEFCBF1">
      <w:pPr>
        <w:ind w:firstLine="482"/>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1.本项目对采购本国产品给予政策支持，具体内容见招标文件“第五章 评标方法与评标标准”。</w:t>
      </w:r>
    </w:p>
    <w:p w14:paraId="627C4A92">
      <w:pPr>
        <w:ind w:firstLine="482"/>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4B8077C">
      <w:pPr>
        <w:ind w:firstLine="482"/>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4F4C3DD">
      <w:pPr>
        <w:ind w:firstLine="482"/>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678D445A">
      <w:pPr>
        <w:tabs>
          <w:tab w:val="left" w:pos="1381"/>
        </w:tabs>
        <w:spacing w:line="48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32.9履约保证金政策</w:t>
      </w:r>
    </w:p>
    <w:p w14:paraId="2CA9143D">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b w:val="0"/>
          <w:bCs/>
          <w:color w:val="auto"/>
          <w:highlight w:val="none"/>
        </w:rPr>
        <w:t>本项目不收取履约保证金。依据《政府采购法实施条例》第四十八条、《财政部关于促进政府采购公平竞争优化营商环境的通知》（财库〔2019〕38号）及《江苏省财政厅关于做好政府采购支持企业发展有关事项的通知》（苏财购〔2020〕52号）精神，本项目投标人（售电公司）已按电力市场规则向江苏电力交易中心提交有效履约保障凭证（银行保函或保证保险等，属本项目资格条件），其担保范围覆盖本项目合同履约风险；为避免重复担保、降低供应商制度性交易成本，本项目不再收取履约保证金。中标人的合同履约责任通过合同文本第六章违约赔偿条款及其投标文件《服务承诺书》承诺事项予以保障和追究。</w:t>
      </w:r>
    </w:p>
    <w:p w14:paraId="17F109A7">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33. 预付款制度</w:t>
      </w:r>
    </w:p>
    <w:p w14:paraId="3FCF1555">
      <w:pPr>
        <w:pStyle w:val="29"/>
        <w:spacing w:beforeAutospacing="0" w:afterAutospacing="0" w:line="0" w:lineRule="atLeast"/>
        <w:ind w:firstLine="480"/>
        <w:jc w:val="both"/>
        <w:rPr>
          <w:rFonts w:hint="eastAsia" w:ascii="宋体" w:hAnsi="宋体" w:eastAsia="宋体" w:cs="宋体"/>
          <w:b w:val="0"/>
          <w:bCs/>
          <w:color w:val="auto"/>
          <w:highlight w:val="none"/>
        </w:rPr>
      </w:pPr>
      <w:r>
        <w:rPr>
          <w:rFonts w:hint="eastAsia" w:ascii="宋体" w:hAnsi="宋体" w:eastAsia="宋体" w:cs="宋体"/>
          <w:b w:val="0"/>
          <w:bCs/>
          <w:color w:val="auto"/>
          <w:highlight w:val="none"/>
        </w:rPr>
        <w:t>本项目不实行预付款（本项目电费由甲方按现行缴费渠道向电网企业按月结算缴纳，乙方电费收取按电力市场交易规则执行）。</w:t>
      </w:r>
    </w:p>
    <w:p w14:paraId="179F7761">
      <w:pPr>
        <w:pStyle w:val="29"/>
        <w:spacing w:beforeAutospacing="0" w:afterAutospacing="0" w:line="0" w:lineRule="atLeast"/>
        <w:ind w:firstLine="480"/>
        <w:jc w:val="both"/>
        <w:rPr>
          <w:rFonts w:hint="eastAsia" w:ascii="宋体" w:hAnsi="宋体" w:eastAsia="宋体" w:cs="宋体"/>
          <w:color w:val="auto"/>
          <w:highlight w:val="none"/>
        </w:rPr>
      </w:pPr>
    </w:p>
    <w:p w14:paraId="34680846">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7BC417F">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5877EE">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B0CE53D">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29595B7">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A6E0E06">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B7F41B6">
      <w:pPr>
        <w:pStyle w:val="29"/>
        <w:spacing w:beforeAutospacing="0" w:afterAutospacing="0"/>
        <w:jc w:val="both"/>
        <w:rPr>
          <w:rFonts w:hint="eastAsia" w:ascii="宋体" w:hAnsi="宋体" w:eastAsia="宋体" w:cs="宋体"/>
          <w:color w:val="auto"/>
          <w:highlight w:val="none"/>
        </w:rPr>
      </w:pPr>
    </w:p>
    <w:p w14:paraId="06B0F126">
      <w:pPr>
        <w:pStyle w:val="29"/>
        <w:spacing w:beforeAutospacing="0" w:afterAutospacing="0"/>
        <w:jc w:val="both"/>
        <w:rPr>
          <w:rFonts w:hint="eastAsia" w:ascii="宋体" w:hAnsi="宋体" w:eastAsia="宋体" w:cs="宋体"/>
          <w:color w:val="auto"/>
          <w:highlight w:val="none"/>
        </w:rPr>
      </w:pPr>
    </w:p>
    <w:p w14:paraId="79C1E921">
      <w:pPr>
        <w:pStyle w:val="29"/>
        <w:spacing w:beforeAutospacing="0" w:afterAutospacing="0"/>
        <w:jc w:val="both"/>
        <w:rPr>
          <w:rFonts w:hint="eastAsia" w:ascii="宋体" w:hAnsi="宋体" w:eastAsia="宋体" w:cs="宋体"/>
          <w:color w:val="auto"/>
          <w:highlight w:val="none"/>
        </w:rPr>
      </w:pPr>
    </w:p>
    <w:p w14:paraId="41754E61">
      <w:pPr>
        <w:pStyle w:val="29"/>
        <w:spacing w:beforeAutospacing="0" w:afterAutospacing="0"/>
        <w:jc w:val="both"/>
        <w:rPr>
          <w:rFonts w:hint="eastAsia" w:ascii="宋体" w:hAnsi="宋体" w:eastAsia="宋体" w:cs="宋体"/>
          <w:color w:val="auto"/>
          <w:highlight w:val="none"/>
        </w:rPr>
      </w:pPr>
    </w:p>
    <w:p w14:paraId="758FCABF">
      <w:pPr>
        <w:pStyle w:val="29"/>
        <w:spacing w:beforeAutospacing="0" w:afterAutospacing="0"/>
        <w:jc w:val="both"/>
        <w:rPr>
          <w:rFonts w:hint="eastAsia" w:ascii="宋体" w:hAnsi="宋体" w:eastAsia="宋体" w:cs="宋体"/>
          <w:color w:val="auto"/>
          <w:highlight w:val="none"/>
        </w:rPr>
      </w:pPr>
    </w:p>
    <w:p w14:paraId="5E03D81E">
      <w:pPr>
        <w:pStyle w:val="29"/>
        <w:spacing w:beforeAutospacing="0" w:afterAutospacing="0"/>
        <w:jc w:val="both"/>
        <w:rPr>
          <w:rFonts w:hint="eastAsia" w:ascii="宋体" w:hAnsi="宋体" w:eastAsia="宋体" w:cs="宋体"/>
          <w:color w:val="auto"/>
          <w:highlight w:val="none"/>
        </w:rPr>
      </w:pPr>
    </w:p>
    <w:p w14:paraId="7BFE04E1">
      <w:pPr>
        <w:pStyle w:val="29"/>
        <w:spacing w:beforeAutospacing="0" w:afterAutospacing="0"/>
        <w:jc w:val="both"/>
        <w:rPr>
          <w:rFonts w:hint="eastAsia" w:ascii="宋体" w:hAnsi="宋体" w:eastAsia="宋体" w:cs="宋体"/>
          <w:color w:val="auto"/>
          <w:highlight w:val="none"/>
        </w:rPr>
      </w:pPr>
    </w:p>
    <w:p w14:paraId="2E30F4E9">
      <w:pPr>
        <w:pStyle w:val="29"/>
        <w:spacing w:beforeAutospacing="0" w:afterAutospacing="0"/>
        <w:jc w:val="both"/>
        <w:rPr>
          <w:rFonts w:hint="eastAsia" w:ascii="宋体" w:hAnsi="宋体" w:eastAsia="宋体" w:cs="宋体"/>
          <w:color w:val="auto"/>
          <w:highlight w:val="none"/>
        </w:rPr>
      </w:pPr>
    </w:p>
    <w:p w14:paraId="2194410C">
      <w:pPr>
        <w:pStyle w:val="29"/>
        <w:spacing w:beforeAutospacing="0" w:afterAutospacing="0"/>
        <w:jc w:val="both"/>
        <w:rPr>
          <w:rFonts w:hint="eastAsia" w:ascii="宋体" w:hAnsi="宋体" w:eastAsia="宋体" w:cs="宋体"/>
          <w:color w:val="auto"/>
          <w:highlight w:val="none"/>
        </w:rPr>
      </w:pPr>
    </w:p>
    <w:p w14:paraId="0B479E83">
      <w:pPr>
        <w:pStyle w:val="29"/>
        <w:spacing w:beforeAutospacing="0" w:afterAutospacing="0"/>
        <w:jc w:val="both"/>
        <w:rPr>
          <w:rFonts w:hint="eastAsia" w:ascii="宋体" w:hAnsi="宋体" w:eastAsia="宋体" w:cs="宋体"/>
          <w:color w:val="auto"/>
          <w:highlight w:val="none"/>
        </w:rPr>
      </w:pPr>
    </w:p>
    <w:p w14:paraId="317C6E3D">
      <w:pPr>
        <w:pStyle w:val="29"/>
        <w:spacing w:beforeAutospacing="0" w:afterAutospacing="0"/>
        <w:jc w:val="both"/>
        <w:rPr>
          <w:rFonts w:hint="eastAsia" w:ascii="宋体" w:hAnsi="宋体" w:eastAsia="宋体" w:cs="宋体"/>
          <w:color w:val="auto"/>
          <w:highlight w:val="none"/>
        </w:rPr>
      </w:pPr>
    </w:p>
    <w:p w14:paraId="315F4723">
      <w:pPr>
        <w:pStyle w:val="29"/>
        <w:spacing w:beforeAutospacing="0" w:afterAutospacing="0"/>
        <w:jc w:val="both"/>
        <w:rPr>
          <w:rFonts w:hint="eastAsia" w:ascii="宋体" w:hAnsi="宋体" w:eastAsia="宋体" w:cs="宋体"/>
          <w:color w:val="auto"/>
          <w:highlight w:val="none"/>
        </w:rPr>
      </w:pPr>
    </w:p>
    <w:p w14:paraId="66627195">
      <w:pPr>
        <w:pStyle w:val="29"/>
        <w:spacing w:beforeAutospacing="0" w:afterAutospacing="0"/>
        <w:jc w:val="both"/>
        <w:rPr>
          <w:rFonts w:hint="eastAsia" w:ascii="宋体" w:hAnsi="宋体" w:eastAsia="宋体" w:cs="宋体"/>
          <w:color w:val="auto"/>
          <w:highlight w:val="none"/>
        </w:rPr>
      </w:pPr>
    </w:p>
    <w:p w14:paraId="20BAA779">
      <w:pPr>
        <w:pStyle w:val="29"/>
        <w:spacing w:beforeAutospacing="0" w:afterAutospacing="0"/>
        <w:jc w:val="both"/>
        <w:rPr>
          <w:rFonts w:hint="eastAsia" w:ascii="宋体" w:hAnsi="宋体" w:eastAsia="宋体" w:cs="宋体"/>
          <w:color w:val="auto"/>
          <w:highlight w:val="none"/>
        </w:rPr>
      </w:pPr>
    </w:p>
    <w:p w14:paraId="464F3E40">
      <w:pPr>
        <w:pStyle w:val="29"/>
        <w:spacing w:beforeAutospacing="0" w:afterAutospacing="0"/>
        <w:jc w:val="both"/>
        <w:rPr>
          <w:rFonts w:hint="eastAsia" w:ascii="宋体" w:hAnsi="宋体" w:eastAsia="宋体" w:cs="宋体"/>
          <w:color w:val="auto"/>
          <w:highlight w:val="none"/>
        </w:rPr>
      </w:pPr>
    </w:p>
    <w:p w14:paraId="5546FAE2">
      <w:pPr>
        <w:pStyle w:val="29"/>
        <w:spacing w:beforeAutospacing="0" w:afterAutospacing="0"/>
        <w:jc w:val="both"/>
        <w:rPr>
          <w:rFonts w:hint="eastAsia" w:ascii="宋体" w:hAnsi="宋体" w:eastAsia="宋体" w:cs="宋体"/>
          <w:color w:val="auto"/>
          <w:highlight w:val="none"/>
        </w:rPr>
      </w:pPr>
    </w:p>
    <w:p w14:paraId="2E5D1D2B">
      <w:pPr>
        <w:pStyle w:val="29"/>
        <w:spacing w:beforeAutospacing="0" w:afterAutospacing="0"/>
        <w:jc w:val="both"/>
        <w:rPr>
          <w:rFonts w:hint="eastAsia" w:ascii="宋体" w:hAnsi="宋体" w:eastAsia="宋体" w:cs="宋体"/>
          <w:color w:val="auto"/>
          <w:highlight w:val="none"/>
        </w:rPr>
      </w:pPr>
    </w:p>
    <w:p w14:paraId="192919D2">
      <w:pPr>
        <w:pStyle w:val="29"/>
        <w:spacing w:beforeAutospacing="0" w:afterAutospacing="0"/>
        <w:jc w:val="both"/>
        <w:rPr>
          <w:rFonts w:hint="eastAsia" w:ascii="宋体" w:hAnsi="宋体" w:eastAsia="宋体" w:cs="宋体"/>
          <w:color w:val="auto"/>
          <w:highlight w:val="none"/>
        </w:rPr>
      </w:pPr>
    </w:p>
    <w:p w14:paraId="24B4855F">
      <w:pPr>
        <w:pStyle w:val="29"/>
        <w:spacing w:beforeAutospacing="0" w:afterAutospacing="0"/>
        <w:jc w:val="both"/>
        <w:rPr>
          <w:rFonts w:hint="eastAsia" w:ascii="宋体" w:hAnsi="宋体" w:eastAsia="宋体" w:cs="宋体"/>
          <w:color w:val="auto"/>
          <w:highlight w:val="none"/>
        </w:rPr>
      </w:pPr>
    </w:p>
    <w:p w14:paraId="6CCBB157">
      <w:pPr>
        <w:pStyle w:val="29"/>
        <w:spacing w:beforeAutospacing="0" w:afterAutospacing="0"/>
        <w:jc w:val="both"/>
        <w:rPr>
          <w:rFonts w:hint="eastAsia" w:ascii="宋体" w:hAnsi="宋体" w:eastAsia="宋体" w:cs="宋体"/>
          <w:color w:val="auto"/>
          <w:highlight w:val="none"/>
        </w:rPr>
      </w:pPr>
    </w:p>
    <w:p w14:paraId="32D1E82E">
      <w:pPr>
        <w:pStyle w:val="29"/>
        <w:spacing w:beforeAutospacing="0" w:afterAutospacing="0"/>
        <w:jc w:val="both"/>
        <w:rPr>
          <w:rFonts w:hint="eastAsia" w:ascii="宋体" w:hAnsi="宋体" w:eastAsia="宋体" w:cs="宋体"/>
          <w:color w:val="auto"/>
          <w:highlight w:val="none"/>
        </w:rPr>
      </w:pPr>
    </w:p>
    <w:p w14:paraId="5ED779EA">
      <w:pPr>
        <w:pStyle w:val="29"/>
        <w:spacing w:beforeAutospacing="0" w:afterAutospacing="0"/>
        <w:jc w:val="both"/>
        <w:rPr>
          <w:rFonts w:hint="eastAsia" w:ascii="宋体" w:hAnsi="宋体" w:eastAsia="宋体" w:cs="宋体"/>
          <w:color w:val="auto"/>
          <w:highlight w:val="none"/>
        </w:rPr>
      </w:pPr>
    </w:p>
    <w:p w14:paraId="4DD3493E">
      <w:pPr>
        <w:pStyle w:val="29"/>
        <w:spacing w:beforeAutospacing="0" w:afterAutospacing="0"/>
        <w:jc w:val="both"/>
        <w:rPr>
          <w:rFonts w:hint="eastAsia" w:ascii="宋体" w:hAnsi="宋体" w:eastAsia="宋体" w:cs="宋体"/>
          <w:color w:val="auto"/>
          <w:highlight w:val="none"/>
        </w:rPr>
      </w:pPr>
    </w:p>
    <w:p w14:paraId="7E49C58F">
      <w:pPr>
        <w:pStyle w:val="29"/>
        <w:spacing w:beforeAutospacing="0" w:afterAutospacing="0"/>
        <w:jc w:val="both"/>
        <w:rPr>
          <w:rFonts w:hint="eastAsia" w:ascii="宋体" w:hAnsi="宋体" w:eastAsia="宋体" w:cs="宋体"/>
          <w:color w:val="auto"/>
          <w:highlight w:val="none"/>
        </w:rPr>
      </w:pPr>
    </w:p>
    <w:p w14:paraId="78A45E21">
      <w:pPr>
        <w:pStyle w:val="29"/>
        <w:spacing w:beforeAutospacing="0" w:afterAutospacing="0"/>
        <w:jc w:val="both"/>
        <w:rPr>
          <w:rFonts w:hint="eastAsia" w:ascii="宋体" w:hAnsi="宋体" w:eastAsia="宋体" w:cs="宋体"/>
          <w:color w:val="auto"/>
          <w:highlight w:val="none"/>
        </w:rPr>
      </w:pPr>
    </w:p>
    <w:p w14:paraId="071827F5">
      <w:pPr>
        <w:pStyle w:val="29"/>
        <w:spacing w:beforeAutospacing="0" w:afterAutospacing="0"/>
        <w:jc w:val="both"/>
        <w:rPr>
          <w:rFonts w:hint="eastAsia" w:ascii="宋体" w:hAnsi="宋体" w:eastAsia="宋体" w:cs="宋体"/>
          <w:color w:val="auto"/>
          <w:highlight w:val="none"/>
        </w:rPr>
      </w:pPr>
    </w:p>
    <w:p w14:paraId="2E099F2B">
      <w:pPr>
        <w:pStyle w:val="29"/>
        <w:spacing w:beforeAutospacing="0" w:afterAutospacing="0"/>
        <w:jc w:val="both"/>
        <w:rPr>
          <w:rFonts w:hint="eastAsia" w:ascii="宋体" w:hAnsi="宋体" w:eastAsia="宋体" w:cs="宋体"/>
          <w:color w:val="auto"/>
          <w:highlight w:val="none"/>
        </w:rPr>
      </w:pPr>
    </w:p>
    <w:p w14:paraId="6470EBF5">
      <w:pPr>
        <w:pStyle w:val="29"/>
        <w:spacing w:beforeAutospacing="0" w:afterAutospacing="0"/>
        <w:jc w:val="both"/>
        <w:rPr>
          <w:rFonts w:hint="eastAsia" w:ascii="宋体" w:hAnsi="宋体" w:eastAsia="宋体" w:cs="宋体"/>
          <w:color w:val="auto"/>
          <w:highlight w:val="none"/>
        </w:rPr>
      </w:pPr>
    </w:p>
    <w:p w14:paraId="236C7C57">
      <w:pPr>
        <w:pStyle w:val="29"/>
        <w:spacing w:beforeAutospacing="0" w:afterAutospacing="0"/>
        <w:jc w:val="both"/>
        <w:rPr>
          <w:rFonts w:hint="eastAsia" w:ascii="宋体" w:hAnsi="宋体" w:eastAsia="宋体" w:cs="宋体"/>
          <w:color w:val="auto"/>
          <w:highlight w:val="none"/>
        </w:rPr>
      </w:pPr>
    </w:p>
    <w:p w14:paraId="1ECC416D">
      <w:pPr>
        <w:pStyle w:val="29"/>
        <w:spacing w:beforeAutospacing="0" w:afterAutospacing="0"/>
        <w:jc w:val="both"/>
        <w:rPr>
          <w:rFonts w:hint="eastAsia" w:ascii="宋体" w:hAnsi="宋体" w:eastAsia="宋体" w:cs="宋体"/>
          <w:color w:val="auto"/>
          <w:highlight w:val="none"/>
        </w:rPr>
      </w:pPr>
    </w:p>
    <w:p w14:paraId="5683E03D">
      <w:pPr>
        <w:pStyle w:val="29"/>
        <w:spacing w:beforeAutospacing="0" w:afterAutospacing="0"/>
        <w:jc w:val="both"/>
        <w:rPr>
          <w:rFonts w:hint="eastAsia" w:ascii="宋体" w:hAnsi="宋体" w:eastAsia="宋体" w:cs="宋体"/>
          <w:color w:val="auto"/>
          <w:highlight w:val="none"/>
        </w:rPr>
      </w:pPr>
    </w:p>
    <w:p w14:paraId="42753761">
      <w:pPr>
        <w:pStyle w:val="29"/>
        <w:spacing w:beforeAutospacing="0" w:afterAutospacing="0"/>
        <w:jc w:val="both"/>
        <w:rPr>
          <w:rFonts w:hint="eastAsia" w:ascii="宋体" w:hAnsi="宋体" w:eastAsia="宋体" w:cs="宋体"/>
          <w:color w:val="auto"/>
          <w:highlight w:val="none"/>
        </w:rPr>
      </w:pPr>
    </w:p>
    <w:p w14:paraId="3B9C25C0">
      <w:pPr>
        <w:pStyle w:val="29"/>
        <w:spacing w:beforeAutospacing="0" w:afterAutospacing="0"/>
        <w:jc w:val="both"/>
        <w:rPr>
          <w:rFonts w:hint="eastAsia" w:ascii="宋体" w:hAnsi="宋体" w:eastAsia="宋体" w:cs="宋体"/>
          <w:color w:val="auto"/>
          <w:highlight w:val="none"/>
        </w:rPr>
      </w:pPr>
    </w:p>
    <w:p w14:paraId="10DD4D3D">
      <w:pPr>
        <w:pStyle w:val="29"/>
        <w:spacing w:beforeAutospacing="0" w:afterAutospacing="0"/>
        <w:jc w:val="both"/>
        <w:rPr>
          <w:rFonts w:hint="eastAsia" w:ascii="宋体" w:hAnsi="宋体" w:eastAsia="宋体" w:cs="宋体"/>
          <w:color w:val="auto"/>
          <w:highlight w:val="none"/>
        </w:rPr>
      </w:pPr>
    </w:p>
    <w:p w14:paraId="30080D25">
      <w:pPr>
        <w:pStyle w:val="29"/>
        <w:spacing w:beforeAutospacing="0" w:afterAutospacing="0"/>
        <w:jc w:val="both"/>
        <w:rPr>
          <w:rFonts w:hint="eastAsia" w:ascii="宋体" w:hAnsi="宋体" w:eastAsia="宋体" w:cs="宋体"/>
          <w:color w:val="auto"/>
          <w:highlight w:val="none"/>
        </w:rPr>
      </w:pPr>
    </w:p>
    <w:p w14:paraId="7D634B2A">
      <w:pPr>
        <w:tabs>
          <w:tab w:val="left" w:pos="3948"/>
          <w:tab w:val="left" w:pos="8503"/>
        </w:tabs>
        <w:spacing w:line="404" w:lineRule="exact"/>
        <w:rPr>
          <w:rFonts w:hint="eastAsia" w:ascii="宋体" w:hAnsi="宋体" w:eastAsia="宋体" w:cs="宋体"/>
          <w:color w:val="auto"/>
          <w:sz w:val="28"/>
          <w:szCs w:val="28"/>
          <w:highlight w:val="none"/>
          <w:u w:val="single"/>
        </w:rPr>
      </w:pPr>
    </w:p>
    <w:p w14:paraId="214827CE">
      <w:pPr>
        <w:tabs>
          <w:tab w:val="left" w:pos="3948"/>
          <w:tab w:val="left" w:pos="8503"/>
        </w:tabs>
        <w:spacing w:line="404" w:lineRule="exact"/>
        <w:ind w:left="2348"/>
        <w:rPr>
          <w:rFonts w:hint="eastAsia" w:ascii="宋体" w:hAnsi="宋体" w:eastAsia="宋体" w:cs="宋体"/>
          <w:color w:val="auto"/>
          <w:sz w:val="28"/>
          <w:szCs w:val="28"/>
          <w:highlight w:val="none"/>
          <w:u w:val="single"/>
        </w:rPr>
      </w:pPr>
    </w:p>
    <w:p w14:paraId="295AED32">
      <w:pPr>
        <w:pStyle w:val="29"/>
        <w:keepNext/>
        <w:spacing w:beforeAutospacing="0" w:afterAutospacing="0"/>
        <w:jc w:val="center"/>
        <w:rPr>
          <w:rFonts w:hint="eastAsia" w:ascii="宋体" w:hAnsi="宋体" w:eastAsia="宋体" w:cs="宋体"/>
          <w:color w:val="auto"/>
          <w:sz w:val="44"/>
          <w:szCs w:val="44"/>
          <w:highlight w:val="none"/>
        </w:rPr>
      </w:pPr>
    </w:p>
    <w:p w14:paraId="02B61984">
      <w:pPr>
        <w:pStyle w:val="29"/>
        <w:keepNext/>
        <w:spacing w:beforeAutospacing="0" w:afterAutospacing="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第三章  合同条款</w:t>
      </w:r>
    </w:p>
    <w:p w14:paraId="43F9E9CB">
      <w:pPr>
        <w:tabs>
          <w:tab w:val="left" w:pos="3948"/>
          <w:tab w:val="left" w:pos="8503"/>
        </w:tabs>
        <w:spacing w:line="404" w:lineRule="exact"/>
        <w:ind w:left="2348"/>
        <w:rPr>
          <w:rFonts w:hint="eastAsia" w:ascii="宋体" w:hAnsi="宋体" w:eastAsia="宋体" w:cs="宋体"/>
          <w:color w:val="auto"/>
          <w:sz w:val="28"/>
          <w:szCs w:val="20"/>
          <w:highlight w:val="none"/>
          <w:u w:val="single"/>
        </w:rPr>
      </w:pPr>
    </w:p>
    <w:p w14:paraId="568AAA9E">
      <w:pPr>
        <w:tabs>
          <w:tab w:val="left" w:pos="3948"/>
          <w:tab w:val="left" w:pos="8503"/>
        </w:tabs>
        <w:spacing w:line="404" w:lineRule="exact"/>
        <w:ind w:left="2348"/>
        <w:rPr>
          <w:rFonts w:hint="eastAsia" w:ascii="宋体" w:hAnsi="宋体" w:eastAsia="宋体" w:cs="宋体"/>
          <w:color w:val="auto"/>
          <w:sz w:val="28"/>
          <w:szCs w:val="20"/>
          <w:highlight w:val="none"/>
          <w:u w:val="single"/>
        </w:rPr>
      </w:pPr>
    </w:p>
    <w:p w14:paraId="6D675363">
      <w:pPr>
        <w:tabs>
          <w:tab w:val="left" w:pos="3948"/>
          <w:tab w:val="left" w:pos="8503"/>
        </w:tabs>
        <w:spacing w:line="404" w:lineRule="exact"/>
        <w:ind w:left="2348"/>
        <w:rPr>
          <w:rFonts w:hint="eastAsia" w:ascii="宋体" w:hAnsi="宋体" w:eastAsia="宋体" w:cs="宋体"/>
          <w:color w:val="auto"/>
          <w:sz w:val="28"/>
          <w:szCs w:val="20"/>
          <w:highlight w:val="none"/>
          <w:u w:val="single"/>
        </w:rPr>
      </w:pPr>
    </w:p>
    <w:p w14:paraId="559135DA">
      <w:pPr>
        <w:tabs>
          <w:tab w:val="left" w:pos="3948"/>
          <w:tab w:val="left" w:pos="8503"/>
        </w:tabs>
        <w:spacing w:line="404" w:lineRule="exact"/>
        <w:ind w:left="2348"/>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u w:val="single"/>
        </w:rPr>
        <w:tab/>
      </w:r>
      <w:r>
        <w:rPr>
          <w:rFonts w:hint="eastAsia" w:ascii="宋体" w:hAnsi="宋体" w:eastAsia="宋体" w:cs="宋体"/>
          <w:color w:val="auto"/>
          <w:sz w:val="28"/>
          <w:szCs w:val="20"/>
          <w:highlight w:val="none"/>
        </w:rPr>
        <w:t>售电公司服务热线：</w:t>
      </w:r>
      <w:r>
        <w:rPr>
          <w:rFonts w:hint="eastAsia" w:ascii="宋体" w:hAnsi="宋体" w:eastAsia="宋体" w:cs="宋体"/>
          <w:color w:val="auto"/>
          <w:sz w:val="28"/>
          <w:szCs w:val="20"/>
          <w:highlight w:val="none"/>
          <w:u w:val="single"/>
        </w:rPr>
        <w:t xml:space="preserve"> </w:t>
      </w:r>
      <w:r>
        <w:rPr>
          <w:rFonts w:hint="eastAsia" w:ascii="宋体" w:hAnsi="宋体" w:eastAsia="宋体" w:cs="宋体"/>
          <w:color w:val="auto"/>
          <w:sz w:val="28"/>
          <w:szCs w:val="20"/>
          <w:highlight w:val="none"/>
          <w:u w:val="single"/>
        </w:rPr>
        <w:tab/>
      </w:r>
    </w:p>
    <w:p w14:paraId="7C29438F">
      <w:pPr>
        <w:spacing w:before="1"/>
        <w:rPr>
          <w:rFonts w:hint="eastAsia" w:ascii="宋体" w:hAnsi="宋体" w:eastAsia="宋体" w:cs="宋体"/>
          <w:color w:val="auto"/>
          <w:sz w:val="45"/>
          <w:szCs w:val="45"/>
          <w:highlight w:val="none"/>
        </w:rPr>
      </w:pPr>
    </w:p>
    <w:p w14:paraId="3229A2E0">
      <w:pPr>
        <w:spacing w:line="696" w:lineRule="exact"/>
        <w:ind w:right="129"/>
        <w:jc w:val="center"/>
        <w:rPr>
          <w:rFonts w:hint="eastAsia" w:ascii="宋体" w:hAnsi="宋体" w:eastAsia="宋体" w:cs="宋体"/>
          <w:color w:val="auto"/>
          <w:spacing w:val="74"/>
          <w:sz w:val="36"/>
          <w:szCs w:val="36"/>
          <w:highlight w:val="none"/>
        </w:rPr>
      </w:pPr>
      <w:r>
        <w:rPr>
          <w:rFonts w:hint="eastAsia" w:ascii="宋体" w:hAnsi="宋体" w:eastAsia="宋体" w:cs="宋体"/>
          <w:color w:val="auto"/>
          <w:spacing w:val="74"/>
          <w:sz w:val="36"/>
          <w:szCs w:val="36"/>
          <w:highlight w:val="none"/>
        </w:rPr>
        <w:t>售电公司与电力用户购售电合同</w:t>
      </w:r>
    </w:p>
    <w:p w14:paraId="196C953C">
      <w:pPr>
        <w:spacing w:line="696" w:lineRule="exact"/>
        <w:ind w:right="125"/>
        <w:jc w:val="center"/>
        <w:rPr>
          <w:rFonts w:hint="eastAsia" w:ascii="宋体" w:hAnsi="宋体" w:eastAsia="宋体" w:cs="宋体"/>
          <w:color w:val="auto"/>
          <w:spacing w:val="64"/>
          <w:sz w:val="36"/>
          <w:szCs w:val="36"/>
          <w:highlight w:val="none"/>
        </w:rPr>
      </w:pPr>
      <w:r>
        <w:rPr>
          <w:rFonts w:hint="eastAsia" w:ascii="宋体" w:hAnsi="宋体" w:eastAsia="宋体" w:cs="宋体"/>
          <w:color w:val="auto"/>
          <w:sz w:val="36"/>
          <w:szCs w:val="36"/>
          <w:highlight w:val="none"/>
        </w:rPr>
        <w:t xml:space="preserve">（ </w:t>
      </w:r>
      <w:r>
        <w:rPr>
          <w:rFonts w:hint="eastAsia" w:ascii="宋体" w:hAnsi="宋体" w:eastAsia="宋体" w:cs="宋体"/>
          <w:color w:val="auto"/>
          <w:spacing w:val="64"/>
          <w:sz w:val="36"/>
          <w:szCs w:val="36"/>
          <w:highlight w:val="none"/>
        </w:rPr>
        <w:t>示范文本）</w:t>
      </w:r>
    </w:p>
    <w:p w14:paraId="21B89347">
      <w:pPr>
        <w:spacing w:before="282"/>
        <w:ind w:right="58"/>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（2021</w:t>
      </w:r>
      <w:r>
        <w:rPr>
          <w:rFonts w:hint="eastAsia" w:ascii="宋体" w:hAnsi="宋体" w:eastAsia="宋体" w:cs="宋体"/>
          <w:color w:val="auto"/>
          <w:spacing w:val="-83"/>
          <w:sz w:val="36"/>
          <w:szCs w:val="36"/>
          <w:highlight w:val="none"/>
        </w:rPr>
        <w:t xml:space="preserve"> </w:t>
      </w:r>
      <w:r>
        <w:rPr>
          <w:rFonts w:hint="eastAsia" w:ascii="宋体" w:hAnsi="宋体" w:eastAsia="宋体" w:cs="宋体"/>
          <w:color w:val="auto"/>
          <w:sz w:val="36"/>
          <w:szCs w:val="36"/>
          <w:highlight w:val="none"/>
        </w:rPr>
        <w:t>年修订版）</w:t>
      </w:r>
    </w:p>
    <w:p w14:paraId="534784D7">
      <w:pPr>
        <w:rPr>
          <w:rFonts w:hint="eastAsia" w:ascii="宋体" w:hAnsi="宋体" w:eastAsia="宋体" w:cs="宋体"/>
          <w:color w:val="auto"/>
          <w:sz w:val="28"/>
          <w:szCs w:val="20"/>
          <w:highlight w:val="none"/>
        </w:rPr>
      </w:pPr>
    </w:p>
    <w:p w14:paraId="51367811">
      <w:pPr>
        <w:rPr>
          <w:rFonts w:hint="eastAsia" w:ascii="宋体" w:hAnsi="宋体" w:eastAsia="宋体" w:cs="宋体"/>
          <w:color w:val="auto"/>
          <w:sz w:val="30"/>
          <w:szCs w:val="30"/>
          <w:highlight w:val="none"/>
        </w:rPr>
      </w:pPr>
    </w:p>
    <w:p w14:paraId="7A688D56">
      <w:pPr>
        <w:rPr>
          <w:rFonts w:hint="eastAsia" w:ascii="宋体" w:hAnsi="宋体" w:eastAsia="宋体" w:cs="宋体"/>
          <w:color w:val="auto"/>
          <w:sz w:val="30"/>
          <w:szCs w:val="30"/>
          <w:highlight w:val="none"/>
        </w:rPr>
      </w:pPr>
    </w:p>
    <w:p w14:paraId="56756823">
      <w:pPr>
        <w:rPr>
          <w:rFonts w:hint="eastAsia" w:ascii="宋体" w:hAnsi="宋体" w:eastAsia="宋体" w:cs="宋体"/>
          <w:color w:val="auto"/>
          <w:sz w:val="30"/>
          <w:szCs w:val="30"/>
          <w:highlight w:val="none"/>
        </w:rPr>
      </w:pPr>
    </w:p>
    <w:p w14:paraId="5167989D">
      <w:pPr>
        <w:spacing w:before="3"/>
        <w:rPr>
          <w:rFonts w:hint="eastAsia" w:ascii="宋体" w:hAnsi="宋体" w:eastAsia="宋体" w:cs="宋体"/>
          <w:color w:val="auto"/>
          <w:sz w:val="30"/>
          <w:szCs w:val="30"/>
          <w:highlight w:val="none"/>
        </w:rPr>
      </w:pPr>
    </w:p>
    <w:p w14:paraId="5787C670">
      <w:pPr>
        <w:tabs>
          <w:tab w:val="left" w:pos="5233"/>
        </w:tabs>
        <w:ind w:right="188"/>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甲方:</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rPr>
        <w:tab/>
      </w:r>
    </w:p>
    <w:p w14:paraId="5CB644A8">
      <w:pPr>
        <w:rPr>
          <w:rFonts w:hint="eastAsia" w:ascii="宋体" w:hAnsi="宋体" w:eastAsia="宋体" w:cs="宋体"/>
          <w:b/>
          <w:bCs/>
          <w:color w:val="auto"/>
          <w:sz w:val="30"/>
          <w:szCs w:val="30"/>
          <w:highlight w:val="none"/>
        </w:rPr>
      </w:pPr>
    </w:p>
    <w:p w14:paraId="6C6AA36C">
      <w:pPr>
        <w:rPr>
          <w:rFonts w:hint="eastAsia" w:ascii="宋体" w:hAnsi="宋体" w:eastAsia="宋体" w:cs="宋体"/>
          <w:b/>
          <w:bCs/>
          <w:color w:val="auto"/>
          <w:sz w:val="30"/>
          <w:szCs w:val="30"/>
          <w:highlight w:val="none"/>
        </w:rPr>
      </w:pPr>
    </w:p>
    <w:p w14:paraId="39AFBC37">
      <w:pPr>
        <w:spacing w:before="6"/>
        <w:rPr>
          <w:rFonts w:hint="eastAsia" w:ascii="宋体" w:hAnsi="宋体" w:eastAsia="宋体" w:cs="宋体"/>
          <w:b/>
          <w:bCs/>
          <w:color w:val="auto"/>
          <w:sz w:val="30"/>
          <w:szCs w:val="30"/>
          <w:highlight w:val="none"/>
        </w:rPr>
      </w:pPr>
    </w:p>
    <w:p w14:paraId="133E2403">
      <w:pPr>
        <w:tabs>
          <w:tab w:val="left" w:pos="7185"/>
        </w:tabs>
        <w:spacing w:line="460" w:lineRule="exact"/>
        <w:ind w:left="1592" w:firstLine="53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乙方:</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rPr>
        <w:tab/>
      </w:r>
    </w:p>
    <w:p w14:paraId="328FB088">
      <w:pPr>
        <w:rPr>
          <w:rFonts w:hint="eastAsia" w:ascii="宋体" w:hAnsi="宋体" w:eastAsia="宋体" w:cs="宋体"/>
          <w:b/>
          <w:bCs/>
          <w:color w:val="auto"/>
          <w:sz w:val="30"/>
          <w:szCs w:val="30"/>
          <w:highlight w:val="none"/>
        </w:rPr>
      </w:pPr>
    </w:p>
    <w:p w14:paraId="6228A0A4">
      <w:pPr>
        <w:rPr>
          <w:rFonts w:hint="eastAsia" w:ascii="宋体" w:hAnsi="宋体" w:eastAsia="宋体" w:cs="宋体"/>
          <w:b/>
          <w:bCs/>
          <w:color w:val="auto"/>
          <w:sz w:val="30"/>
          <w:szCs w:val="30"/>
          <w:highlight w:val="none"/>
        </w:rPr>
      </w:pPr>
    </w:p>
    <w:p w14:paraId="1D268725">
      <w:pPr>
        <w:spacing w:before="5"/>
        <w:rPr>
          <w:rFonts w:hint="eastAsia" w:ascii="宋体" w:hAnsi="宋体" w:eastAsia="宋体" w:cs="宋体"/>
          <w:b/>
          <w:bCs/>
          <w:color w:val="auto"/>
          <w:sz w:val="30"/>
          <w:szCs w:val="30"/>
          <w:highlight w:val="none"/>
        </w:rPr>
      </w:pPr>
    </w:p>
    <w:p w14:paraId="4D94E196">
      <w:pPr>
        <w:spacing w:line="541"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国家能源局江苏监管办公室监制</w:t>
      </w:r>
    </w:p>
    <w:p w14:paraId="5B63B5A9">
      <w:pPr>
        <w:tabs>
          <w:tab w:val="left" w:pos="1260"/>
          <w:tab w:val="left" w:pos="2141"/>
        </w:tabs>
        <w:spacing w:line="697" w:lineRule="exact"/>
        <w:ind w:left="381"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签订日期：</w:t>
      </w:r>
      <w:r>
        <w:rPr>
          <w:rFonts w:hint="eastAsia" w:ascii="宋体" w:hAnsi="宋体" w:eastAsia="宋体" w:cs="宋体"/>
          <w:color w:val="auto"/>
          <w:sz w:val="30"/>
          <w:szCs w:val="30"/>
          <w:highlight w:val="none"/>
          <w:u w:val="single"/>
        </w:rPr>
        <w:t xml:space="preserve">   年</w:t>
      </w:r>
      <w:r>
        <w:rPr>
          <w:rFonts w:hint="eastAsia" w:ascii="宋体" w:hAnsi="宋体" w:eastAsia="宋体" w:cs="宋体"/>
          <w:color w:val="auto"/>
          <w:sz w:val="30"/>
          <w:szCs w:val="30"/>
          <w:highlight w:val="none"/>
          <w:u w:val="single"/>
        </w:rPr>
        <w:tab/>
      </w:r>
      <w:r>
        <w:rPr>
          <w:rFonts w:hint="eastAsia" w:ascii="宋体" w:hAnsi="宋体" w:eastAsia="宋体" w:cs="宋体"/>
          <w:color w:val="auto"/>
          <w:sz w:val="30"/>
          <w:szCs w:val="30"/>
          <w:highlight w:val="none"/>
          <w:u w:val="single"/>
        </w:rPr>
        <w:t xml:space="preserve">  月</w:t>
      </w:r>
      <w:r>
        <w:rPr>
          <w:rFonts w:hint="eastAsia" w:ascii="宋体" w:hAnsi="宋体" w:eastAsia="宋体" w:cs="宋体"/>
          <w:color w:val="auto"/>
          <w:sz w:val="30"/>
          <w:szCs w:val="30"/>
          <w:highlight w:val="none"/>
          <w:u w:val="single"/>
        </w:rPr>
        <w:tab/>
      </w:r>
      <w:r>
        <w:rPr>
          <w:rFonts w:hint="eastAsia" w:ascii="宋体" w:hAnsi="宋体" w:eastAsia="宋体" w:cs="宋体"/>
          <w:color w:val="auto"/>
          <w:sz w:val="30"/>
          <w:szCs w:val="30"/>
          <w:highlight w:val="none"/>
          <w:u w:val="single"/>
        </w:rPr>
        <w:t>日</w:t>
      </w:r>
    </w:p>
    <w:p w14:paraId="5FC91BD5">
      <w:pPr>
        <w:tabs>
          <w:tab w:val="left" w:pos="1260"/>
          <w:tab w:val="left" w:pos="2141"/>
        </w:tabs>
        <w:spacing w:line="697" w:lineRule="exact"/>
        <w:ind w:left="381"/>
        <w:jc w:val="center"/>
        <w:rPr>
          <w:rFonts w:hint="eastAsia" w:ascii="宋体" w:hAnsi="宋体" w:eastAsia="宋体" w:cs="宋体"/>
          <w:color w:val="auto"/>
          <w:sz w:val="44"/>
          <w:szCs w:val="44"/>
          <w:highlight w:val="none"/>
        </w:rPr>
        <w:sectPr>
          <w:footerReference r:id="rId4" w:type="first"/>
          <w:footerReference r:id="rId3" w:type="default"/>
          <w:pgSz w:w="11910" w:h="16840"/>
          <w:pgMar w:top="1134" w:right="1134" w:bottom="1134" w:left="1259" w:header="720" w:footer="720" w:gutter="0"/>
          <w:pgNumType w:start="1"/>
          <w:cols w:space="720" w:num="1"/>
          <w:titlePg/>
          <w:docGrid w:linePitch="360" w:charSpace="0"/>
        </w:sectPr>
      </w:pPr>
    </w:p>
    <w:p w14:paraId="144D28B8">
      <w:pPr>
        <w:rPr>
          <w:rFonts w:hint="eastAsia" w:ascii="宋体" w:hAnsi="宋体" w:eastAsia="宋体" w:cs="宋体"/>
          <w:color w:val="auto"/>
          <w:sz w:val="20"/>
          <w:szCs w:val="20"/>
          <w:highlight w:val="none"/>
        </w:rPr>
      </w:pPr>
    </w:p>
    <w:p w14:paraId="1EF700E3">
      <w:pPr>
        <w:spacing w:before="5"/>
        <w:rPr>
          <w:rFonts w:hint="eastAsia" w:ascii="宋体" w:hAnsi="宋体" w:eastAsia="宋体" w:cs="宋体"/>
          <w:color w:val="auto"/>
          <w:sz w:val="11"/>
          <w:szCs w:val="11"/>
          <w:highlight w:val="none"/>
        </w:rPr>
      </w:pPr>
    </w:p>
    <w:p w14:paraId="2BA28B04">
      <w:pPr>
        <w:tabs>
          <w:tab w:val="left" w:pos="719"/>
          <w:tab w:val="left" w:pos="1440"/>
          <w:tab w:val="left" w:pos="2160"/>
        </w:tabs>
        <w:spacing w:line="460" w:lineRule="exact"/>
        <w:ind w:right="138"/>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使</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用</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说</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明</w:t>
      </w:r>
    </w:p>
    <w:p w14:paraId="4BC1ED2E">
      <w:pPr>
        <w:rPr>
          <w:rFonts w:hint="eastAsia" w:ascii="宋体" w:hAnsi="宋体" w:eastAsia="宋体" w:cs="宋体"/>
          <w:color w:val="auto"/>
          <w:sz w:val="36"/>
          <w:szCs w:val="36"/>
          <w:highlight w:val="none"/>
        </w:rPr>
      </w:pPr>
    </w:p>
    <w:p w14:paraId="6DC28ED8">
      <w:pPr>
        <w:spacing w:before="5"/>
        <w:rPr>
          <w:rFonts w:hint="eastAsia" w:ascii="宋体" w:hAnsi="宋体" w:eastAsia="宋体" w:cs="宋体"/>
          <w:color w:val="auto"/>
          <w:sz w:val="26"/>
          <w:szCs w:val="26"/>
          <w:highlight w:val="none"/>
        </w:rPr>
      </w:pPr>
    </w:p>
    <w:p w14:paraId="4A1CA722">
      <w:pPr>
        <w:spacing w:line="355" w:lineRule="auto"/>
        <w:ind w:right="258" w:firstLine="640"/>
        <w:rPr>
          <w:rFonts w:hint="eastAsia" w:ascii="宋体" w:hAnsi="宋体" w:eastAsia="宋体" w:cs="宋体"/>
          <w:color w:val="auto"/>
          <w:sz w:val="28"/>
          <w:szCs w:val="20"/>
          <w:highlight w:val="none"/>
        </w:rPr>
      </w:pPr>
      <w:r>
        <w:rPr>
          <w:rFonts w:hint="eastAsia" w:ascii="宋体" w:hAnsi="宋体" w:eastAsia="宋体" w:cs="宋体"/>
          <w:color w:val="auto"/>
          <w:spacing w:val="2"/>
          <w:sz w:val="28"/>
          <w:szCs w:val="20"/>
          <w:highlight w:val="none"/>
        </w:rPr>
        <w:t>一</w:t>
      </w:r>
      <w:r>
        <w:rPr>
          <w:rFonts w:hint="eastAsia" w:ascii="宋体" w:hAnsi="宋体" w:eastAsia="宋体" w:cs="宋体"/>
          <w:color w:val="auto"/>
          <w:spacing w:val="-15"/>
          <w:sz w:val="28"/>
          <w:szCs w:val="20"/>
          <w:highlight w:val="none"/>
        </w:rPr>
        <w:t>、</w:t>
      </w:r>
      <w:r>
        <w:rPr>
          <w:rFonts w:hint="eastAsia" w:ascii="宋体" w:hAnsi="宋体" w:eastAsia="宋体" w:cs="宋体"/>
          <w:color w:val="auto"/>
          <w:spacing w:val="2"/>
          <w:sz w:val="28"/>
          <w:szCs w:val="20"/>
          <w:highlight w:val="none"/>
        </w:rPr>
        <w:t>本</w:t>
      </w:r>
      <w:r>
        <w:rPr>
          <w:rFonts w:hint="eastAsia" w:ascii="宋体" w:hAnsi="宋体" w:eastAsia="宋体" w:cs="宋体"/>
          <w:color w:val="auto"/>
          <w:sz w:val="28"/>
          <w:szCs w:val="20"/>
          <w:highlight w:val="none"/>
        </w:rPr>
        <w:t>合同</w:t>
      </w:r>
      <w:r>
        <w:rPr>
          <w:rFonts w:hint="eastAsia" w:ascii="宋体" w:hAnsi="宋体" w:eastAsia="宋体" w:cs="宋体"/>
          <w:color w:val="auto"/>
          <w:spacing w:val="2"/>
          <w:sz w:val="28"/>
          <w:szCs w:val="20"/>
          <w:highlight w:val="none"/>
        </w:rPr>
        <w:t>适</w:t>
      </w:r>
      <w:r>
        <w:rPr>
          <w:rFonts w:hint="eastAsia" w:ascii="宋体" w:hAnsi="宋体" w:eastAsia="宋体" w:cs="宋体"/>
          <w:color w:val="auto"/>
          <w:sz w:val="28"/>
          <w:szCs w:val="20"/>
          <w:highlight w:val="none"/>
        </w:rPr>
        <w:t>用</w:t>
      </w:r>
      <w:r>
        <w:rPr>
          <w:rFonts w:hint="eastAsia" w:ascii="宋体" w:hAnsi="宋体" w:eastAsia="宋体" w:cs="宋体"/>
          <w:color w:val="auto"/>
          <w:spacing w:val="2"/>
          <w:sz w:val="28"/>
          <w:szCs w:val="20"/>
          <w:highlight w:val="none"/>
        </w:rPr>
        <w:t>于</w:t>
      </w:r>
      <w:r>
        <w:rPr>
          <w:rFonts w:hint="eastAsia" w:ascii="宋体" w:hAnsi="宋体" w:eastAsia="宋体" w:cs="宋体"/>
          <w:color w:val="auto"/>
          <w:sz w:val="28"/>
          <w:szCs w:val="20"/>
          <w:highlight w:val="none"/>
        </w:rPr>
        <w:t>符合</w:t>
      </w:r>
      <w:r>
        <w:rPr>
          <w:rFonts w:hint="eastAsia" w:ascii="宋体" w:hAnsi="宋体" w:eastAsia="宋体" w:cs="宋体"/>
          <w:color w:val="auto"/>
          <w:spacing w:val="2"/>
          <w:sz w:val="28"/>
          <w:szCs w:val="20"/>
          <w:highlight w:val="none"/>
        </w:rPr>
        <w:t>江</w:t>
      </w:r>
      <w:r>
        <w:rPr>
          <w:rFonts w:hint="eastAsia" w:ascii="宋体" w:hAnsi="宋体" w:eastAsia="宋体" w:cs="宋体"/>
          <w:color w:val="auto"/>
          <w:sz w:val="28"/>
          <w:szCs w:val="20"/>
          <w:highlight w:val="none"/>
        </w:rPr>
        <w:t>苏省售</w:t>
      </w:r>
      <w:r>
        <w:rPr>
          <w:rFonts w:hint="eastAsia" w:ascii="宋体" w:hAnsi="宋体" w:eastAsia="宋体" w:cs="宋体"/>
          <w:color w:val="auto"/>
          <w:spacing w:val="2"/>
          <w:sz w:val="28"/>
          <w:szCs w:val="20"/>
          <w:highlight w:val="none"/>
        </w:rPr>
        <w:t>电</w:t>
      </w:r>
      <w:r>
        <w:rPr>
          <w:rFonts w:hint="eastAsia" w:ascii="宋体" w:hAnsi="宋体" w:eastAsia="宋体" w:cs="宋体"/>
          <w:color w:val="auto"/>
          <w:sz w:val="28"/>
          <w:szCs w:val="20"/>
          <w:highlight w:val="none"/>
        </w:rPr>
        <w:t>侧改</w:t>
      </w:r>
      <w:r>
        <w:rPr>
          <w:rFonts w:hint="eastAsia" w:ascii="宋体" w:hAnsi="宋体" w:eastAsia="宋体" w:cs="宋体"/>
          <w:color w:val="auto"/>
          <w:spacing w:val="2"/>
          <w:sz w:val="28"/>
          <w:szCs w:val="20"/>
          <w:highlight w:val="none"/>
        </w:rPr>
        <w:t>革</w:t>
      </w:r>
      <w:r>
        <w:rPr>
          <w:rFonts w:hint="eastAsia" w:ascii="宋体" w:hAnsi="宋体" w:eastAsia="宋体" w:cs="宋体"/>
          <w:color w:val="auto"/>
          <w:sz w:val="28"/>
          <w:szCs w:val="20"/>
          <w:highlight w:val="none"/>
        </w:rPr>
        <w:t>试点准</w:t>
      </w:r>
      <w:r>
        <w:rPr>
          <w:rFonts w:hint="eastAsia" w:ascii="宋体" w:hAnsi="宋体" w:eastAsia="宋体" w:cs="宋体"/>
          <w:color w:val="auto"/>
          <w:spacing w:val="2"/>
          <w:sz w:val="28"/>
          <w:szCs w:val="20"/>
          <w:highlight w:val="none"/>
        </w:rPr>
        <w:t>入</w:t>
      </w:r>
      <w:r>
        <w:rPr>
          <w:rFonts w:hint="eastAsia" w:ascii="宋体" w:hAnsi="宋体" w:eastAsia="宋体" w:cs="宋体"/>
          <w:color w:val="auto"/>
          <w:sz w:val="28"/>
          <w:szCs w:val="20"/>
          <w:highlight w:val="none"/>
        </w:rPr>
        <w:t>要求</w:t>
      </w:r>
      <w:r>
        <w:rPr>
          <w:rFonts w:hint="eastAsia" w:ascii="宋体" w:hAnsi="宋体" w:eastAsia="宋体" w:cs="宋体"/>
          <w:color w:val="auto"/>
          <w:spacing w:val="2"/>
          <w:sz w:val="28"/>
          <w:szCs w:val="20"/>
          <w:highlight w:val="none"/>
        </w:rPr>
        <w:t>的</w:t>
      </w:r>
      <w:r>
        <w:rPr>
          <w:rFonts w:hint="eastAsia" w:ascii="宋体" w:hAnsi="宋体" w:eastAsia="宋体" w:cs="宋体"/>
          <w:color w:val="auto"/>
          <w:sz w:val="28"/>
          <w:szCs w:val="20"/>
          <w:highlight w:val="none"/>
        </w:rPr>
        <w:t>电力</w:t>
      </w:r>
      <w:r>
        <w:rPr>
          <w:rFonts w:hint="eastAsia" w:ascii="宋体" w:hAnsi="宋体" w:eastAsia="宋体" w:cs="宋体"/>
          <w:color w:val="auto"/>
          <w:spacing w:val="2"/>
          <w:sz w:val="28"/>
          <w:szCs w:val="20"/>
          <w:highlight w:val="none"/>
        </w:rPr>
        <w:t>用</w:t>
      </w:r>
      <w:r>
        <w:rPr>
          <w:rFonts w:hint="eastAsia" w:ascii="宋体" w:hAnsi="宋体" w:eastAsia="宋体" w:cs="宋体"/>
          <w:color w:val="auto"/>
          <w:sz w:val="28"/>
          <w:szCs w:val="20"/>
          <w:highlight w:val="none"/>
        </w:rPr>
        <w:t>户和售</w:t>
      </w:r>
      <w:r>
        <w:rPr>
          <w:rFonts w:hint="eastAsia" w:ascii="宋体" w:hAnsi="宋体" w:eastAsia="宋体" w:cs="宋体"/>
          <w:color w:val="auto"/>
          <w:spacing w:val="2"/>
          <w:sz w:val="28"/>
          <w:szCs w:val="20"/>
          <w:highlight w:val="none"/>
        </w:rPr>
        <w:t>电</w:t>
      </w:r>
      <w:r>
        <w:rPr>
          <w:rFonts w:hint="eastAsia" w:ascii="宋体" w:hAnsi="宋体" w:eastAsia="宋体" w:cs="宋体"/>
          <w:color w:val="auto"/>
          <w:sz w:val="28"/>
          <w:szCs w:val="20"/>
          <w:highlight w:val="none"/>
        </w:rPr>
        <w:t>公司</w:t>
      </w:r>
      <w:r>
        <w:rPr>
          <w:rFonts w:hint="eastAsia" w:ascii="宋体" w:hAnsi="宋体" w:eastAsia="宋体" w:cs="宋体"/>
          <w:color w:val="auto"/>
          <w:spacing w:val="2"/>
          <w:sz w:val="28"/>
          <w:szCs w:val="20"/>
          <w:highlight w:val="none"/>
        </w:rPr>
        <w:t>之</w:t>
      </w:r>
      <w:r>
        <w:rPr>
          <w:rFonts w:hint="eastAsia" w:ascii="宋体" w:hAnsi="宋体" w:eastAsia="宋体" w:cs="宋体"/>
          <w:color w:val="auto"/>
          <w:sz w:val="28"/>
          <w:szCs w:val="20"/>
          <w:highlight w:val="none"/>
        </w:rPr>
        <w:t>间签订</w:t>
      </w:r>
      <w:r>
        <w:rPr>
          <w:rFonts w:hint="eastAsia" w:ascii="宋体" w:hAnsi="宋体" w:eastAsia="宋体" w:cs="宋体"/>
          <w:color w:val="auto"/>
          <w:spacing w:val="4"/>
          <w:sz w:val="28"/>
          <w:szCs w:val="20"/>
          <w:highlight w:val="none"/>
        </w:rPr>
        <w:t>的</w:t>
      </w:r>
      <w:r>
        <w:rPr>
          <w:rFonts w:hint="eastAsia" w:ascii="宋体" w:hAnsi="宋体" w:eastAsia="宋体" w:cs="宋体"/>
          <w:color w:val="auto"/>
          <w:sz w:val="28"/>
          <w:szCs w:val="20"/>
          <w:highlight w:val="none"/>
        </w:rPr>
        <w:t>电</w:t>
      </w:r>
      <w:r>
        <w:rPr>
          <w:rFonts w:hint="eastAsia" w:ascii="宋体" w:hAnsi="宋体" w:eastAsia="宋体" w:cs="宋体"/>
          <w:color w:val="auto"/>
          <w:spacing w:val="-5"/>
          <w:sz w:val="28"/>
          <w:szCs w:val="20"/>
          <w:highlight w:val="none"/>
        </w:rPr>
        <w:t>能</w:t>
      </w:r>
      <w:r>
        <w:rPr>
          <w:rFonts w:hint="eastAsia" w:ascii="宋体" w:hAnsi="宋体" w:eastAsia="宋体" w:cs="宋体"/>
          <w:color w:val="auto"/>
          <w:spacing w:val="2"/>
          <w:sz w:val="28"/>
          <w:szCs w:val="20"/>
          <w:highlight w:val="none"/>
        </w:rPr>
        <w:t>（</w:t>
      </w:r>
      <w:r>
        <w:rPr>
          <w:rFonts w:hint="eastAsia" w:ascii="宋体" w:hAnsi="宋体" w:eastAsia="宋体" w:cs="宋体"/>
          <w:color w:val="auto"/>
          <w:sz w:val="28"/>
          <w:szCs w:val="20"/>
          <w:highlight w:val="none"/>
        </w:rPr>
        <w:t>含电力</w:t>
      </w:r>
      <w:r>
        <w:rPr>
          <w:rFonts w:hint="eastAsia" w:ascii="宋体" w:hAnsi="宋体" w:eastAsia="宋体" w:cs="宋体"/>
          <w:color w:val="auto"/>
          <w:spacing w:val="-3"/>
          <w:sz w:val="28"/>
          <w:szCs w:val="20"/>
          <w:highlight w:val="none"/>
        </w:rPr>
        <w:t>、</w:t>
      </w:r>
      <w:r>
        <w:rPr>
          <w:rFonts w:hint="eastAsia" w:ascii="宋体" w:hAnsi="宋体" w:eastAsia="宋体" w:cs="宋体"/>
          <w:color w:val="auto"/>
          <w:sz w:val="28"/>
          <w:szCs w:val="20"/>
          <w:highlight w:val="none"/>
        </w:rPr>
        <w:t>电量</w:t>
      </w:r>
      <w:r>
        <w:rPr>
          <w:rFonts w:hint="eastAsia" w:ascii="宋体" w:hAnsi="宋体" w:eastAsia="宋体" w:cs="宋体"/>
          <w:color w:val="auto"/>
          <w:spacing w:val="-2"/>
          <w:sz w:val="28"/>
          <w:szCs w:val="20"/>
          <w:highlight w:val="none"/>
        </w:rPr>
        <w:t>）</w:t>
      </w:r>
      <w:r>
        <w:rPr>
          <w:rFonts w:hint="eastAsia" w:ascii="宋体" w:hAnsi="宋体" w:eastAsia="宋体" w:cs="宋体"/>
          <w:color w:val="auto"/>
          <w:sz w:val="28"/>
          <w:szCs w:val="20"/>
          <w:highlight w:val="none"/>
        </w:rPr>
        <w:t>交</w:t>
      </w:r>
      <w:r>
        <w:rPr>
          <w:rFonts w:hint="eastAsia" w:ascii="宋体" w:hAnsi="宋体" w:eastAsia="宋体" w:cs="宋体"/>
          <w:color w:val="auto"/>
          <w:spacing w:val="2"/>
          <w:sz w:val="28"/>
          <w:szCs w:val="20"/>
          <w:highlight w:val="none"/>
        </w:rPr>
        <w:t>易</w:t>
      </w:r>
      <w:r>
        <w:rPr>
          <w:rFonts w:hint="eastAsia" w:ascii="宋体" w:hAnsi="宋体" w:eastAsia="宋体" w:cs="宋体"/>
          <w:color w:val="auto"/>
          <w:sz w:val="28"/>
          <w:szCs w:val="20"/>
          <w:highlight w:val="none"/>
        </w:rPr>
        <w:t>合同。</w:t>
      </w:r>
    </w:p>
    <w:p w14:paraId="6815FA8A">
      <w:pPr>
        <w:spacing w:line="355" w:lineRule="auto"/>
        <w:ind w:right="258" w:firstLine="640"/>
        <w:rPr>
          <w:rFonts w:hint="eastAsia" w:ascii="宋体" w:hAnsi="宋体" w:eastAsia="宋体" w:cs="宋体"/>
          <w:color w:val="auto"/>
          <w:spacing w:val="2"/>
          <w:sz w:val="28"/>
          <w:szCs w:val="20"/>
          <w:highlight w:val="none"/>
        </w:rPr>
      </w:pPr>
      <w:r>
        <w:rPr>
          <w:rFonts w:hint="eastAsia" w:ascii="宋体" w:hAnsi="宋体" w:eastAsia="宋体" w:cs="宋体"/>
          <w:color w:val="auto"/>
          <w:spacing w:val="2"/>
          <w:sz w:val="28"/>
          <w:szCs w:val="20"/>
          <w:highlight w:val="none"/>
        </w:rPr>
        <w:t>二、如无特别说明，本合同所有电力市场专业名词均与《江苏省电力中长期交易规则》的规定一致。</w:t>
      </w:r>
    </w:p>
    <w:p w14:paraId="3DD0D71B">
      <w:pPr>
        <w:spacing w:line="355" w:lineRule="auto"/>
        <w:ind w:right="258" w:firstLine="640"/>
        <w:rPr>
          <w:rFonts w:hint="eastAsia" w:ascii="宋体" w:hAnsi="宋体" w:eastAsia="宋体" w:cs="宋体"/>
          <w:color w:val="auto"/>
          <w:spacing w:val="2"/>
          <w:sz w:val="28"/>
          <w:szCs w:val="20"/>
          <w:highlight w:val="none"/>
        </w:rPr>
      </w:pPr>
      <w:r>
        <w:rPr>
          <w:rFonts w:hint="eastAsia" w:ascii="宋体" w:hAnsi="宋体" w:eastAsia="宋体" w:cs="宋体"/>
          <w:color w:val="auto"/>
          <w:spacing w:val="2"/>
          <w:sz w:val="28"/>
          <w:szCs w:val="20"/>
          <w:highlight w:val="none"/>
        </w:rPr>
        <w:t>三、本合同中有关空格的内容由合同各方约定或据实填写，空格处没有添加内容的，请填写“无”或划“/”。本合同双方可根据具体情况在公平、合理和协商一致的基础上进行补充约定，其中，原则性的补充约定必须用标记线标出。</w:t>
      </w:r>
    </w:p>
    <w:p w14:paraId="21EF9323">
      <w:pPr>
        <w:spacing w:line="355" w:lineRule="auto"/>
        <w:ind w:right="258" w:firstLine="640"/>
        <w:rPr>
          <w:rFonts w:hint="eastAsia" w:ascii="宋体" w:hAnsi="宋体" w:eastAsia="宋体" w:cs="宋体"/>
          <w:color w:val="auto"/>
          <w:spacing w:val="2"/>
          <w:sz w:val="28"/>
          <w:szCs w:val="20"/>
          <w:highlight w:val="none"/>
        </w:rPr>
      </w:pPr>
      <w:r>
        <w:rPr>
          <w:rFonts w:hint="eastAsia" w:ascii="宋体" w:hAnsi="宋体" w:eastAsia="宋体" w:cs="宋体"/>
          <w:color w:val="auto"/>
          <w:spacing w:val="2"/>
          <w:sz w:val="28"/>
          <w:szCs w:val="20"/>
          <w:highlight w:val="none"/>
        </w:rPr>
        <w:t>四、如法律、法规发生变化或者政府部门出台新的规定、规则，本合同内容应相应修改或补充。合同各方应遵从其规定。</w:t>
      </w:r>
    </w:p>
    <w:p w14:paraId="04B83AA5">
      <w:pPr>
        <w:spacing w:line="355" w:lineRule="auto"/>
        <w:ind w:right="258" w:firstLine="640"/>
        <w:rPr>
          <w:rFonts w:hint="eastAsia" w:ascii="宋体" w:hAnsi="宋体" w:eastAsia="宋体" w:cs="宋体"/>
          <w:color w:val="auto"/>
          <w:spacing w:val="2"/>
          <w:sz w:val="28"/>
          <w:szCs w:val="20"/>
          <w:highlight w:val="none"/>
        </w:rPr>
        <w:sectPr>
          <w:footerReference r:id="rId5" w:type="default"/>
          <w:pgSz w:w="11910" w:h="16840"/>
          <w:pgMar w:top="1580" w:right="1540" w:bottom="1160" w:left="1680" w:header="737" w:footer="737" w:gutter="0"/>
          <w:cols w:space="720" w:num="1"/>
          <w:docGrid w:linePitch="360" w:charSpace="0"/>
        </w:sectPr>
      </w:pPr>
    </w:p>
    <w:p w14:paraId="6E4DD747">
      <w:pPr>
        <w:tabs>
          <w:tab w:val="left" w:pos="883"/>
        </w:tabs>
        <w:spacing w:line="512" w:lineRule="exact"/>
        <w:jc w:val="left"/>
        <w:rPr>
          <w:rFonts w:hint="eastAsia" w:ascii="宋体" w:hAnsi="宋体" w:eastAsia="宋体" w:cs="宋体"/>
          <w:b/>
          <w:bCs/>
          <w:color w:val="auto"/>
          <w:sz w:val="44"/>
          <w:szCs w:val="44"/>
          <w:highlight w:val="none"/>
        </w:rPr>
      </w:pPr>
    </w:p>
    <w:p w14:paraId="1AC9247D">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售电公司与电力用户购售电合同</w:t>
      </w:r>
    </w:p>
    <w:p w14:paraId="29C1F4EC">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售电公司与电力用户购售电合同（以下简称本合同）由下列双方签署：</w:t>
      </w:r>
    </w:p>
    <w:p w14:paraId="4D3E6E25">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1、购电方（电力用户，以下简称甲方）：___________________，系一家具有法人资格/经法人单位授权的用电企业，统一社会信用代码：______________，住所：______________，法定代表人/授权代理人：______________。甲方开户银行及账号：开户名称：______________开户银行：______________账号：______________。</w:t>
      </w:r>
    </w:p>
    <w:p w14:paraId="666BB90D">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甲方合同联系人（必填）：______________，联系电话（必填）：______________，联系邮箱：______________。</w:t>
      </w:r>
    </w:p>
    <w:p w14:paraId="2C425740">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甲方用电地址：______________。</w:t>
      </w:r>
    </w:p>
    <w:p w14:paraId="09C23AF1">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对应户号：______________。</w:t>
      </w:r>
    </w:p>
    <w:p w14:paraId="76AEA376">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（如用电地址有多个，可以自行扩展补充或作为附表列出）</w:t>
      </w:r>
    </w:p>
    <w:p w14:paraId="2C0A6A33">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2、售电方（售电公司，以下简称乙方）：______________，系一家具有法人资格的售电公司，企业所在地为______________，在______________办理工商登记注册，统一社会信用代码：______________，住所：______________，法定代表人/授权代理人：______________。乙方开户银行及账号：开户名称：______________开户银行：______________　账号：______________。</w:t>
      </w:r>
    </w:p>
    <w:p w14:paraId="23FC9C1D">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乙方合同联系人（必填）：______________，联系电话（必填）：______________，联系邮箱：______________。</w:t>
      </w:r>
    </w:p>
    <w:p w14:paraId="0E64BCA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鉴于：</w:t>
      </w:r>
    </w:p>
    <w:p w14:paraId="05ECA24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1、甲方已和所在地电网企业（含增量配网企业，下同）签订正式供用电合同（非临时用电协议），甲方所有的供电（含供电安全、用电容量、抄表计量等）和资金缴费事宜均由所在地电网企业承担。</w:t>
      </w:r>
    </w:p>
    <w:p w14:paraId="39EEC7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2、乙方符合国家发展改革委、</w:t>
      </w:r>
      <w:r>
        <w:rPr>
          <w:color w:val="auto"/>
          <w:highlight w:val="none"/>
        </w:rPr>
        <w:fldChar w:fldCharType="begin"/>
      </w:r>
      <w:r>
        <w:rPr>
          <w:color w:val="auto"/>
          <w:highlight w:val="none"/>
        </w:rPr>
        <w:instrText xml:space="preserve"> HYPERLINK "https://www.pkulaw.com/chl/f1aad16db682e9babdfb.html" \o "https://www.pkulaw.com/chl/f1aad16db682e9babdfb.html" </w:instrText>
      </w:r>
      <w:r>
        <w:rPr>
          <w:color w:val="auto"/>
          <w:highlight w:val="none"/>
        </w:rPr>
        <w:fldChar w:fldCharType="separate"/>
      </w:r>
      <w:r>
        <w:rPr>
          <w:rFonts w:hint="eastAsia" w:ascii="宋体" w:hAnsi="宋体" w:eastAsia="宋体" w:cs="宋体"/>
          <w:color w:val="auto"/>
          <w:sz w:val="24"/>
          <w:highlight w:val="none"/>
        </w:rPr>
        <w:t>国家能源局《售电公司准入与退出管理办法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》准入条件，在江苏电力交易中心有限公司（以下简称：交易中心）完成公示、承诺、注册、备案程序，具备参加电力市场的购售电资格。</w:t>
      </w:r>
    </w:p>
    <w:p w14:paraId="263901C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甲、乙双方通过交易中心及电网企业的输配电网络完成电能购售电交易，双方根据国家有关法律、法规，依据江苏省政府相关部门电力体制改革政策文件，本着平等、自愿、公平和诚信的原则，经协商一致，签订本合同。</w:t>
      </w:r>
    </w:p>
    <w:p w14:paraId="40745E4A">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第一章　定义和解释</w:t>
      </w:r>
    </w:p>
    <w:p w14:paraId="13A11E6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1.1定义</w:t>
      </w:r>
    </w:p>
    <w:p w14:paraId="63C20DC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1.1.1合约电量：是指本合同项下约定的交易电量。</w:t>
      </w:r>
    </w:p>
    <w:p w14:paraId="38BD7ED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1.1.2结算周期：是指交易中心在一定时间内对市场成员按照各类交易合同对实际用电进行电费结算的时间周期。目前为按照公历计算的自然月。</w:t>
      </w:r>
    </w:p>
    <w:p w14:paraId="0585FF3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1.1.3结算电量：是指电力交易中心依据电力市场交易规则，结合电力用户的实际抄表电量，为本合同实际执行出具的结算电量数值。包括实际用电量和超出合同约定偏差范围的偏差电量。</w:t>
      </w:r>
    </w:p>
    <w:p w14:paraId="7A78FE8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1.1.4直接交易基准价：指当期江苏省燃煤机组上网基准价与超低排放电价之和。</w:t>
      </w:r>
    </w:p>
    <w:p w14:paraId="701E3F1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1.1.5市场化成交电价：指售电公司与电力用户确定的市场化电量交易价格，不含输配电价、辅助服务费用和政府性基金及附加。</w:t>
      </w:r>
    </w:p>
    <w:p w14:paraId="2C2206A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1.1.6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p>
    <w:p w14:paraId="3E24320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1.2解释</w:t>
      </w:r>
    </w:p>
    <w:p w14:paraId="0DAB9D7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1.2.1本合同中的标题仅为阅读方便，不应被视为本合同的组成部分，亦不应以任何方式影响对本合同的解释。</w:t>
      </w:r>
    </w:p>
    <w:p w14:paraId="687AE8C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1.2.2本合同附件与正文具有同等的法律效力。</w:t>
      </w:r>
    </w:p>
    <w:p w14:paraId="6A30C4F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1.2.3本合同对任何一方的合法承继者或受让人具有约束力。但当事人另有约定的除外。遇有本款约定的情形时，相关义务人应当依法履行必要的通知义务及完备的法律手续。</w:t>
      </w:r>
    </w:p>
    <w:p w14:paraId="1E52978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1.2.4除上下文另有要求外，本合同所指的日、月、年均为公历北京时间的日、月、年，货币计价单位均为人民币（含税）。</w:t>
      </w:r>
    </w:p>
    <w:p w14:paraId="44402A38">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第二章　双方陈述</w:t>
      </w:r>
    </w:p>
    <w:p w14:paraId="30B5C7B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甲、乙双方任何一方在此向对方陈述如下：</w:t>
      </w:r>
    </w:p>
    <w:p w14:paraId="3FA78B4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2.1本方为一家依法设立并合法存续的企业，有权签署并有能力履行本合同。</w:t>
      </w:r>
    </w:p>
    <w:p w14:paraId="6EB662D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2.2本方签署和履行本合同所需的一切手续（包括办理必要的政府批准、取得营业执照等）均已办妥并合法有效。</w:t>
      </w:r>
    </w:p>
    <w:p w14:paraId="7740442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2.3在签署本合同时，任何法院、仲裁机构、行政机关或能源监管机构均未做出过任何足以对本方履行本合同产生重大不利影响的判决、裁定、裁决或具体行政行为。</w:t>
      </w:r>
    </w:p>
    <w:p w14:paraId="5A87DF1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2.4本方为签署本合同所需的内部授权程序均已完成，签署本合同的是本方法定代表人或授权代理人，并且本合同生效后即对双方具有法律约束力。</w:t>
      </w:r>
    </w:p>
    <w:p w14:paraId="6EAEACE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2.5本方签署的合同内容符合国家有关市场化交易的法律、法规以及政策等。</w:t>
      </w:r>
    </w:p>
    <w:p w14:paraId="1F750C9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2.6如国家法律、法规发生变化或者政府有关部门、能源监管机构出台有关规定、规则，合同双方同意按照法律、法规、规定和规则予以调整和修改。</w:t>
      </w:r>
    </w:p>
    <w:p w14:paraId="53FB1469">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第三章　双方的权利和义务</w:t>
      </w:r>
    </w:p>
    <w:p w14:paraId="4AA03A9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3.1甲方的权利包括：</w:t>
      </w:r>
    </w:p>
    <w:p w14:paraId="6DA76A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3.1.1公平参加江苏电力市场。提交、核对、完善、注销在江苏电力交易平台上注册的甲方基础资料信息；</w:t>
      </w:r>
    </w:p>
    <w:p w14:paraId="0069617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3.1.2获得江苏电力市场所有向社会公开以及行业内公开的信息；</w:t>
      </w:r>
    </w:p>
    <w:p w14:paraId="3FD3847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3.1.3获得乙方与本合同相关的各类交易中标情况；</w:t>
      </w:r>
    </w:p>
    <w:p w14:paraId="41052CB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3.1.4未经甲方授权，甲方自身的用电信息以及与本合同相关信息（含电价约定），乙方不得向第三方提供（交易中心及法定监管机构除外）。</w:t>
      </w:r>
    </w:p>
    <w:p w14:paraId="2DD755E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3.2甲方的义务包括：</w:t>
      </w:r>
    </w:p>
    <w:p w14:paraId="69F79B8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3.2.1甲方的用电计划和主要设备检修计划，应向乙方如实提供并及时更新；配合乙方的用电计划预测和调整工作；</w:t>
      </w:r>
    </w:p>
    <w:p w14:paraId="3FDB5C5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3.2.2向乙方提供用电关口计量的历史信息；遵守电力市场信息发布管理规定，不得将乙方与本合同有关的交易信息向第三方提供，也不得将电力市场行业内信息向社会公开；</w:t>
      </w:r>
    </w:p>
    <w:p w14:paraId="7B7D218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3.2.3及时向乙方通报甲方的用电增减容、企业关停或搬迁、厂房转租以及用电户号的并户、销户、改名、过户等可能影响电力市场交易的情况；</w:t>
      </w:r>
    </w:p>
    <w:p w14:paraId="37EBC8E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3.2.4及时向电网公司缴纳电费（含市场化交易可能产生的偏差费用）；</w:t>
      </w:r>
    </w:p>
    <w:p w14:paraId="629FCAD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3.2.5甲方如参加分布式发电市场化交易，则应将分布式发电市场化交易的全年和分月电量通报乙方。</w:t>
      </w:r>
    </w:p>
    <w:p w14:paraId="3142DB4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3.2.6发生紧急情况时，按照相关规定执行。</w:t>
      </w:r>
    </w:p>
    <w:p w14:paraId="7112577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3.3乙方的权利包括：</w:t>
      </w:r>
    </w:p>
    <w:p w14:paraId="7CF417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3.3.1要求甲方提供履行本合同义务相关的信息、资料及查阅关口计量历史数据。</w:t>
      </w:r>
    </w:p>
    <w:p w14:paraId="268EF53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3.3.2查阅甲方实际的电费核查联、结算单（与市场化相关部分）。</w:t>
      </w:r>
    </w:p>
    <w:p w14:paraId="77622EA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3.3.3有权要求甲方及时通报该企业的用电增减容、企业关停或搬迁、厂房转租以及用电户号的并户、销户、改名、过户等可能影响电力市场交易的情况；</w:t>
      </w:r>
    </w:p>
    <w:p w14:paraId="07F6F94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3.4乙方的义务包括：</w:t>
      </w:r>
    </w:p>
    <w:p w14:paraId="156AA65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3.4.1按照国家有关法规、规定和技术规范，为甲方提供电力交易和参与江苏电力辅助服务市场相关服务，参与电力市场交易并按规定结算。</w:t>
      </w:r>
    </w:p>
    <w:p w14:paraId="2B123E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3.4.2按照国家规定，作为可再生能源电力的消纳责任主体，承担可再生能源电力的消纳责任。</w:t>
      </w:r>
    </w:p>
    <w:p w14:paraId="6DE8324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3.4.3按照电力市场信息发布管理规定，向甲方、交易中心提供真实准确的有关电力直接交易的相关信息及资料；</w:t>
      </w:r>
    </w:p>
    <w:p w14:paraId="08C9685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3.4.4根据国家有关法规支付电力交易相关费用；</w:t>
      </w:r>
    </w:p>
    <w:p w14:paraId="5C6B122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3.4.5协助甲方申请办理电力交易有关手续；</w:t>
      </w:r>
    </w:p>
    <w:p w14:paraId="767CA8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3.4.6按照相关规则、规定向交易中心提交银行履约保函，担保合同的履约。</w:t>
      </w:r>
    </w:p>
    <w:p w14:paraId="2128F36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3.4.7发生紧急情况时，按照相关规定执行。</w:t>
      </w:r>
    </w:p>
    <w:p w14:paraId="1F60601A">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第四章  合同周期、交易电量（力）、电价</w:t>
      </w:r>
    </w:p>
    <w:p w14:paraId="289ECC9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4.1双方约定：甲方自</w:t>
      </w:r>
      <w:r>
        <w:rPr>
          <w:rFonts w:hint="eastAsia" w:ascii="宋体" w:hAnsi="宋体" w:eastAsia="宋体" w:cs="宋体"/>
          <w:color w:val="auto"/>
          <w:sz w:val="24"/>
          <w:highlight w:val="none"/>
          <w:u w:val="single"/>
        </w:rPr>
        <w:t>__2026_</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___</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__ _</w:t>
      </w:r>
      <w:r>
        <w:rPr>
          <w:rFonts w:hint="eastAsia" w:ascii="宋体" w:hAnsi="宋体" w:eastAsia="宋体" w:cs="宋体"/>
          <w:color w:val="auto"/>
          <w:sz w:val="24"/>
          <w:highlight w:val="none"/>
        </w:rPr>
        <w:t>日至</w:t>
      </w:r>
      <w:r>
        <w:rPr>
          <w:rFonts w:hint="eastAsia" w:ascii="宋体" w:hAnsi="宋体" w:eastAsia="宋体" w:cs="宋体"/>
          <w:color w:val="auto"/>
          <w:sz w:val="24"/>
          <w:highlight w:val="none"/>
          <w:u w:val="single"/>
        </w:rPr>
        <w:t>_2027_</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_ _</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_ _</w:t>
      </w:r>
      <w:r>
        <w:rPr>
          <w:rFonts w:hint="eastAsia" w:ascii="宋体" w:hAnsi="宋体" w:eastAsia="宋体" w:cs="宋体"/>
          <w:color w:val="auto"/>
          <w:sz w:val="24"/>
          <w:highlight w:val="none"/>
        </w:rPr>
        <w:t>日的全部市场化可交易用电电量（不含分布式发电市场化交易电量，下同）预估约</w:t>
      </w:r>
      <w:r>
        <w:rPr>
          <w:rFonts w:hint="eastAsia" w:ascii="宋体" w:hAnsi="宋体" w:eastAsia="宋体" w:cs="宋体"/>
          <w:color w:val="auto"/>
          <w:sz w:val="24"/>
          <w:highlight w:val="none"/>
          <w:u w:val="single"/>
        </w:rPr>
        <w:t xml:space="preserve"> 1200 </w:t>
      </w:r>
      <w:r>
        <w:rPr>
          <w:rFonts w:hint="eastAsia" w:ascii="宋体" w:hAnsi="宋体" w:eastAsia="宋体" w:cs="宋体"/>
          <w:color w:val="auto"/>
          <w:sz w:val="24"/>
          <w:highlight w:val="none"/>
        </w:rPr>
        <w:t>万千瓦时，向乙方购买</w:t>
      </w:r>
      <w:r>
        <w:rPr>
          <w:rFonts w:hint="eastAsia" w:ascii="宋体" w:hAnsi="宋体" w:eastAsia="宋体" w:cs="宋体"/>
          <w:b w:val="0"/>
          <w:bCs/>
          <w:color w:val="auto"/>
          <w:sz w:val="24"/>
          <w:highlight w:val="none"/>
          <w:u w:val="none"/>
        </w:rPr>
        <w:t>（全部电量，以实际结算电量为准）。</w:t>
      </w:r>
      <w:r>
        <w:rPr>
          <w:rFonts w:hint="eastAsia" w:ascii="宋体" w:hAnsi="宋体" w:eastAsia="宋体" w:cs="宋体"/>
          <w:b w:val="0"/>
          <w:bCs/>
          <w:color w:val="auto"/>
          <w:sz w:val="24"/>
          <w:highlight w:val="none"/>
        </w:rPr>
        <w:t>合同执行期内，2026年度内执行的月份按届时有效的电力市场交易规则执行，2027年1月1日起按《2027年江苏电力零售市场交易工作指引》（苏电交易〔2026〕11号）执行。2026年度内执行的月份，零售套餐具体参数按届时有效规则由双方参照中标浮动价格水平协商确定，确保甲方实际结算电价水平不高于按中标浮动价格及本合同约定价格机制计算的电价水平。</w:t>
      </w:r>
    </w:p>
    <w:p w14:paraId="3CA2283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 交易电价方案按照甲方当前的用电户号约定。如在合同执行周期内，甲方新增用电户号，则甲方需与乙方参照本合同签订增补合同，并报交易中心。如在合同执行周期内，甲方在本合同内的户号不再使用或不再归属甲方，则合同中关于此户号的约定自动作废。</w:t>
      </w:r>
    </w:p>
    <w:p w14:paraId="2DECE38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4.3</w:t>
      </w:r>
      <w:r>
        <w:rPr>
          <w:rFonts w:hint="eastAsia" w:ascii="宋体" w:hAnsi="宋体" w:eastAsia="宋体" w:cs="宋体"/>
          <w:b/>
          <w:color w:val="auto"/>
          <w:sz w:val="24"/>
          <w:highlight w:val="none"/>
        </w:rPr>
        <w:t>甲方的结算电价=市场化成交电价+输配电价格+辅助服务费用+政府性基金及附加。</w:t>
      </w:r>
      <w:r>
        <w:rPr>
          <w:rFonts w:hint="eastAsia" w:ascii="宋体" w:hAnsi="宋体" w:eastAsia="宋体" w:cs="宋体"/>
          <w:color w:val="auto"/>
          <w:sz w:val="24"/>
          <w:highlight w:val="none"/>
        </w:rPr>
        <w:t>其中输配电价格、政府性基金及附加根据江苏省发展和改革委员会价格部门的发文确定，辅助服务费用根据江苏电力辅助服务市场相关交易规则由全体市场化用户承担。</w:t>
      </w:r>
    </w:p>
    <w:p w14:paraId="3BC192A4">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4.4交易电量的电价约定方案：</w:t>
      </w:r>
    </w:p>
    <w:p w14:paraId="178DB4E5">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按照江苏省电力交易中心苏电交易〔2026〕11号文件，即《2027年江苏电力零售市场交易工作指引》的规定，</w:t>
      </w:r>
      <w:r>
        <w:rPr>
          <w:rFonts w:hint="eastAsia" w:ascii="宋体" w:hAnsi="宋体" w:eastAsia="宋体" w:cs="宋体"/>
          <w:b w:val="0"/>
          <w:bCs/>
          <w:color w:val="auto"/>
          <w:sz w:val="24"/>
          <w:highlight w:val="none"/>
        </w:rPr>
        <w:t>甲方市场化成交电价按零售套餐</w:t>
      </w:r>
      <w:r>
        <w:rPr>
          <w:rFonts w:hint="eastAsia" w:ascii="宋体" w:hAnsi="宋体" w:eastAsia="宋体" w:cs="宋体"/>
          <w:b w:val="0"/>
          <w:bCs/>
          <w:color w:val="auto"/>
          <w:sz w:val="24"/>
          <w:highlight w:val="none"/>
          <w:lang w:val="en-US" w:eastAsia="zh-CN"/>
        </w:rPr>
        <w:t>电能量价格</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批发市场价格+浮动价格+K</w:t>
      </w:r>
      <w:r>
        <w:rPr>
          <w:rFonts w:hint="eastAsia" w:ascii="宋体" w:hAnsi="宋体" w:eastAsia="宋体" w:cs="宋体"/>
          <w:b w:val="0"/>
          <w:bCs/>
          <w:color w:val="auto"/>
          <w:sz w:val="24"/>
          <w:highlight w:val="none"/>
          <w:vertAlign w:val="subscript"/>
          <w:lang w:val="en-US" w:eastAsia="zh-CN"/>
        </w:rPr>
        <w:t>分摊</w:t>
      </w:r>
      <w:r>
        <w:rPr>
          <w:rFonts w:hint="eastAsia" w:ascii="宋体" w:hAnsi="宋体" w:eastAsia="宋体" w:cs="宋体"/>
          <w:b w:val="0"/>
          <w:bCs/>
          <w:color w:val="auto"/>
          <w:sz w:val="24"/>
          <w:highlight w:val="none"/>
          <w:lang w:val="en-US" w:eastAsia="zh-CN"/>
        </w:rPr>
        <w:t>*当月分摊价格。</w:t>
      </w:r>
      <w:r>
        <w:rPr>
          <w:rFonts w:hint="eastAsia" w:ascii="宋体" w:hAnsi="宋体" w:eastAsia="宋体" w:cs="宋体"/>
          <w:b w:val="0"/>
          <w:bCs/>
          <w:color w:val="auto"/>
          <w:sz w:val="24"/>
          <w:highlight w:val="none"/>
        </w:rPr>
        <w:t>电费</w:t>
      </w:r>
      <w:r>
        <w:rPr>
          <w:rFonts w:hint="eastAsia" w:ascii="宋体" w:hAnsi="宋体" w:eastAsia="宋体" w:cs="宋体"/>
          <w:b w:val="0"/>
          <w:bCs/>
          <w:color w:val="auto"/>
          <w:sz w:val="24"/>
          <w:highlight w:val="none"/>
          <w:lang w:val="en-US" w:eastAsia="zh-CN"/>
        </w:rPr>
        <w:t>以月度为结算周期，</w:t>
      </w:r>
      <w:r>
        <w:rPr>
          <w:rFonts w:hint="eastAsia" w:ascii="宋体" w:hAnsi="宋体" w:eastAsia="宋体" w:cs="宋体"/>
          <w:b w:val="0"/>
          <w:bCs/>
          <w:color w:val="auto"/>
          <w:sz w:val="24"/>
          <w:highlight w:val="none"/>
        </w:rPr>
        <w:t>按月实际用电量结算。</w:t>
      </w:r>
    </w:p>
    <w:p w14:paraId="1E57E734">
      <w:pPr>
        <w:numPr>
          <w:ilvl w:val="0"/>
          <w:numId w:val="2"/>
        </w:num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价格机制：零售套餐</w:t>
      </w:r>
      <w:r>
        <w:rPr>
          <w:rFonts w:hint="eastAsia" w:ascii="宋体" w:hAnsi="宋体" w:eastAsia="宋体" w:cs="宋体"/>
          <w:b w:val="0"/>
          <w:bCs/>
          <w:color w:val="auto"/>
          <w:sz w:val="24"/>
          <w:highlight w:val="none"/>
          <w:lang w:val="en-US" w:eastAsia="zh-CN"/>
        </w:rPr>
        <w:t>电能量价格</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批发市场价格+浮动价格+K</w:t>
      </w:r>
      <w:r>
        <w:rPr>
          <w:rFonts w:hint="eastAsia" w:ascii="宋体" w:hAnsi="宋体" w:eastAsia="宋体" w:cs="宋体"/>
          <w:b w:val="0"/>
          <w:bCs/>
          <w:color w:val="auto"/>
          <w:sz w:val="24"/>
          <w:highlight w:val="none"/>
          <w:vertAlign w:val="subscript"/>
          <w:lang w:val="en-US" w:eastAsia="zh-CN"/>
        </w:rPr>
        <w:t>分摊</w:t>
      </w:r>
      <w:r>
        <w:rPr>
          <w:rFonts w:hint="eastAsia" w:ascii="宋体" w:hAnsi="宋体" w:eastAsia="宋体" w:cs="宋体"/>
          <w:b w:val="0"/>
          <w:bCs/>
          <w:color w:val="auto"/>
          <w:sz w:val="24"/>
          <w:highlight w:val="none"/>
          <w:lang w:val="en-US" w:eastAsia="zh-CN"/>
        </w:rPr>
        <w:t>*当月分摊价格。其中，批发市场价格由所有售电公司在批发侧中长期市场、日前市场以及</w:t>
      </w:r>
      <w:r>
        <w:rPr>
          <w:rFonts w:hint="eastAsia" w:ascii="宋体" w:hAnsi="宋体" w:eastAsia="宋体" w:cs="宋体"/>
          <w:b w:val="0"/>
          <w:bCs w:val="0"/>
          <w:color w:val="auto"/>
          <w:sz w:val="24"/>
          <w:highlight w:val="none"/>
          <w:lang w:val="en-US" w:eastAsia="zh-CN"/>
        </w:rPr>
        <w:t>实时市场</w:t>
      </w:r>
      <w:r>
        <w:rPr>
          <w:rFonts w:hint="eastAsia" w:ascii="宋体" w:hAnsi="宋体" w:eastAsia="宋体" w:cs="宋体"/>
          <w:b w:val="0"/>
          <w:bCs/>
          <w:color w:val="auto"/>
          <w:sz w:val="24"/>
          <w:highlight w:val="none"/>
          <w:lang w:val="en-US" w:eastAsia="zh-CN"/>
        </w:rPr>
        <w:t>整体分时电能量购电量价水平确定；K</w:t>
      </w:r>
      <w:r>
        <w:rPr>
          <w:rFonts w:hint="eastAsia" w:ascii="宋体" w:hAnsi="宋体" w:eastAsia="宋体" w:cs="宋体"/>
          <w:b w:val="0"/>
          <w:bCs/>
          <w:color w:val="auto"/>
          <w:sz w:val="24"/>
          <w:highlight w:val="none"/>
          <w:vertAlign w:val="subscript"/>
          <w:lang w:val="en-US" w:eastAsia="zh-CN"/>
        </w:rPr>
        <w:t>分摊1</w:t>
      </w:r>
      <w:r>
        <w:rPr>
          <w:rFonts w:hint="eastAsia" w:ascii="宋体" w:hAnsi="宋体" w:eastAsia="宋体" w:cs="宋体"/>
          <w:b w:val="0"/>
          <w:bCs/>
          <w:color w:val="auto"/>
          <w:sz w:val="24"/>
          <w:highlight w:val="none"/>
          <w:lang w:val="en-US" w:eastAsia="zh-CN"/>
        </w:rPr>
        <w:t>为100%、K</w:t>
      </w:r>
      <w:r>
        <w:rPr>
          <w:rFonts w:hint="eastAsia" w:ascii="宋体" w:hAnsi="宋体" w:eastAsia="宋体" w:cs="宋体"/>
          <w:b w:val="0"/>
          <w:bCs/>
          <w:color w:val="auto"/>
          <w:sz w:val="24"/>
          <w:highlight w:val="none"/>
          <w:vertAlign w:val="subscript"/>
          <w:lang w:val="en-US" w:eastAsia="zh-CN"/>
        </w:rPr>
        <w:t>分摊2</w:t>
      </w:r>
      <w:r>
        <w:rPr>
          <w:rFonts w:hint="eastAsia" w:ascii="宋体" w:hAnsi="宋体" w:eastAsia="宋体" w:cs="宋体"/>
          <w:b w:val="0"/>
          <w:bCs/>
          <w:color w:val="auto"/>
          <w:sz w:val="24"/>
          <w:highlight w:val="none"/>
          <w:lang w:val="en-US" w:eastAsia="zh-CN"/>
        </w:rPr>
        <w:t>为70%、K分摊3为50%。</w:t>
      </w:r>
    </w:p>
    <w:p w14:paraId="47E2A4A3">
      <w:pPr>
        <w:numPr>
          <w:ilvl w:val="0"/>
          <w:numId w:val="0"/>
        </w:numPr>
        <w:spacing w:line="360"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    电能量封顶价格=零售套餐参考价格+F*批发市场价格+当月分摊价格。当零售用户通过零售套餐结算的电能量均价大于电能量封顶价格时，按照电能量封顶价格结算。其中，零售套餐参考价格由自身用电曲线与中长期年度市场、月度市场、月内市场、日前市场、实时市场等价格水平分时取最大值后确定；F为0；</w:t>
      </w:r>
      <w:r>
        <w:rPr>
          <w:rFonts w:ascii="宋体" w:hAnsi="宋体" w:eastAsia="宋体"/>
          <w:b w:val="0"/>
          <w:bCs/>
          <w:color w:val="auto"/>
          <w:sz w:val="24"/>
        </w:rPr>
        <w:t>合同履行期间，如江苏电力交易中心或政府主管部门对零售套餐参数（浮动价格预警阈值、分摊系数K分摊、电能量封顶系数F等）作出调整的，按届时有效的规定执行。</w:t>
      </w:r>
    </w:p>
    <w:p w14:paraId="12728EAF">
      <w:pPr>
        <w:numPr>
          <w:ilvl w:val="0"/>
          <w:numId w:val="0"/>
        </w:num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b w:val="0"/>
          <w:bCs/>
          <w:color w:val="auto"/>
          <w:sz w:val="24"/>
          <w:highlight w:val="none"/>
        </w:rPr>
        <w:t>不参与绿电，</w:t>
      </w:r>
      <w:r>
        <w:rPr>
          <w:rFonts w:hint="eastAsia" w:ascii="宋体" w:hAnsi="宋体" w:eastAsia="宋体" w:cs="宋体"/>
          <w:color w:val="auto"/>
          <w:sz w:val="24"/>
          <w:highlight w:val="none"/>
        </w:rPr>
        <w:t>绿电价格按照</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(单位:元/千瓦时)方式结算。</w:t>
      </w:r>
    </w:p>
    <w:p w14:paraId="217814A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4.5电量及偏差约定：</w:t>
      </w:r>
    </w:p>
    <w:p w14:paraId="373EB32B">
      <w:pPr>
        <w:spacing w:line="360" w:lineRule="auto"/>
        <w:ind w:firstLine="420"/>
        <w:rPr>
          <w:rFonts w:hint="eastAsia" w:ascii="宋体" w:hAnsi="宋体" w:eastAsia="宋体" w:cs="宋体"/>
          <w:b w:val="0"/>
          <w:bCs w:val="0"/>
          <w:color w:val="auto"/>
          <w:spacing w:val="-6"/>
          <w:sz w:val="22"/>
          <w:szCs w:val="22"/>
          <w:highlight w:val="none"/>
        </w:rPr>
      </w:pPr>
      <w:r>
        <w:rPr>
          <w:rFonts w:hint="eastAsia" w:ascii="宋体" w:hAnsi="宋体" w:eastAsia="宋体" w:cs="宋体"/>
          <w:b w:val="0"/>
          <w:bCs w:val="0"/>
          <w:color w:val="auto"/>
          <w:sz w:val="24"/>
          <w:highlight w:val="none"/>
        </w:rPr>
        <w:t>甲方在本合同周期内各户号的电量总和，暂按照以下分月预估电量（甲方用电分月计划表），合计电量为约1200万千瓦时。</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0"/>
        <w:gridCol w:w="4081"/>
      </w:tblGrid>
      <w:tr w14:paraId="1F44A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tblHeader/>
          <w:jc w:val="center"/>
        </w:trPr>
        <w:tc>
          <w:tcPr>
            <w:tcW w:w="2840" w:type="dxa"/>
            <w:noWrap w:val="0"/>
            <w:vAlign w:val="center"/>
          </w:tcPr>
          <w:p w14:paraId="2E89A5B8">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时间</w:t>
            </w:r>
          </w:p>
        </w:tc>
        <w:tc>
          <w:tcPr>
            <w:tcW w:w="4081" w:type="dxa"/>
            <w:noWrap w:val="0"/>
            <w:vAlign w:val="center"/>
          </w:tcPr>
          <w:p w14:paraId="7DF4D841">
            <w:pPr>
              <w:spacing w:line="360" w:lineRule="auto"/>
              <w:ind w:right="979"/>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分月计划（万千瓦时）</w:t>
            </w:r>
          </w:p>
        </w:tc>
      </w:tr>
      <w:tr w14:paraId="72CAF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46" w:hRule="atLeast"/>
          <w:jc w:val="center"/>
        </w:trPr>
        <w:tc>
          <w:tcPr>
            <w:tcW w:w="2840" w:type="dxa"/>
            <w:noWrap w:val="0"/>
            <w:vAlign w:val="center"/>
          </w:tcPr>
          <w:p w14:paraId="60049E2A">
            <w:pPr>
              <w:tabs>
                <w:tab w:val="left" w:pos="651"/>
                <w:tab w:val="left" w:pos="1251"/>
              </w:tabs>
              <w:spacing w:line="360" w:lineRule="auto"/>
              <w:ind w:left="1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月</w:t>
            </w:r>
          </w:p>
        </w:tc>
        <w:tc>
          <w:tcPr>
            <w:tcW w:w="4081" w:type="dxa"/>
            <w:noWrap w:val="0"/>
            <w:vAlign w:val="center"/>
          </w:tcPr>
          <w:p w14:paraId="2F981A45">
            <w:pPr>
              <w:spacing w:line="360" w:lineRule="auto"/>
              <w:jc w:val="center"/>
              <w:rPr>
                <w:rFonts w:hint="eastAsia" w:ascii="宋体" w:hAnsi="宋体" w:eastAsia="宋体" w:cs="宋体"/>
                <w:color w:val="auto"/>
                <w:sz w:val="22"/>
                <w:szCs w:val="22"/>
                <w:highlight w:val="none"/>
              </w:rPr>
            </w:pPr>
          </w:p>
        </w:tc>
      </w:tr>
    </w:tbl>
    <w:p w14:paraId="6E90780C">
      <w:pPr>
        <w:ind w:firstLine="422" w:firstLineChars="200"/>
        <w:rPr>
          <w:b/>
          <w:color w:val="FF0000"/>
        </w:rPr>
      </w:pPr>
    </w:p>
    <w:p w14:paraId="4CFF8556">
      <w:pPr>
        <w:ind w:firstLine="420" w:firstLineChars="200"/>
        <w:rPr>
          <w:b w:val="0"/>
          <w:bCs/>
          <w:color w:val="auto"/>
        </w:rPr>
      </w:pPr>
      <w:r>
        <w:rPr>
          <w:b w:val="0"/>
          <w:bCs/>
          <w:color w:val="auto"/>
        </w:rPr>
        <w:t>注：甲方用电分月计划由甲方于合同签订时根据城市照明用电实际情况据实填写，作为本合同附件；合同执行期内分月计划可按本章约定调整。</w:t>
      </w:r>
    </w:p>
    <w:p w14:paraId="45CC774B">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w:t>
      </w:r>
    </w:p>
    <w:p w14:paraId="62B7E84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分月合同电量按照政府相关规则、规定分时段约定，具体分解方式由交易双方按照电网典型负荷曲线、各自用电负荷特性及其他方式自行约定，交易各时段电量以附件方式明确。</w:t>
      </w:r>
    </w:p>
    <w:p w14:paraId="4C8A6A3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双方约定：甲方的分月电量计划，可以在执行月开始日的15天前，通知乙方无条件修改；在执行月开始日之前的15天以内，双方协商修改分月计划。</w:t>
      </w:r>
    </w:p>
    <w:p w14:paraId="640EC2B5">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双方同时约定，对执行月实际电量与分月电量产生的偏差，甲方的实际电量与分月计划电量相比较，</w:t>
      </w:r>
      <w:r>
        <w:rPr>
          <w:rFonts w:hint="eastAsia" w:ascii="宋体" w:hAnsi="宋体" w:eastAsia="宋体" w:cs="宋体"/>
          <w:b w:val="0"/>
          <w:bCs/>
          <w:color w:val="auto"/>
          <w:sz w:val="24"/>
          <w:highlight w:val="none"/>
        </w:rPr>
        <w:t>本合同不设定偏差考核区间，甲方各结算周期的实际用电量均按本合同第4.4条约定的价格机制结算，因实际用电量与分月计划电量偏差产生的偏差考核及相关费用全部由乙方承担。双方确认：合同执行期内，电量偏差考核及相关费用由乙方承担，与乙方投标文件《服务承诺书》承诺一致。</w:t>
      </w:r>
    </w:p>
    <w:p w14:paraId="39F33B5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4.6电力曲线约定：</w:t>
      </w:r>
    </w:p>
    <w:p w14:paraId="07993A69">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双方约定：在现货市场环境下，</w:t>
      </w:r>
      <w:r>
        <w:rPr>
          <w:rFonts w:hint="eastAsia" w:ascii="宋体" w:hAnsi="宋体" w:eastAsia="宋体" w:cs="宋体"/>
          <w:color w:val="auto"/>
          <w:sz w:val="24"/>
          <w:highlight w:val="none"/>
          <w:u w:val="single"/>
        </w:rPr>
        <w:t xml:space="preserve"> 不执行 </w:t>
      </w:r>
      <w:r>
        <w:rPr>
          <w:rFonts w:hint="eastAsia" w:ascii="宋体" w:hAnsi="宋体" w:eastAsia="宋体" w:cs="宋体"/>
          <w:color w:val="auto"/>
          <w:sz w:val="24"/>
          <w:highlight w:val="none"/>
        </w:rPr>
        <w:t>双方约定的标准用电曲线。若执行，甲方需提供标准用电曲线，并可以在执行开始日的天前，通知乙方无条件修改。双方同时约定，对执行月实际用电曲线与标准曲线产生的偏差，在正负偏差</w:t>
      </w:r>
      <w:r>
        <w:rPr>
          <w:rFonts w:hint="eastAsia" w:ascii="宋体" w:hAnsi="宋体" w:eastAsia="宋体" w:cs="宋体"/>
          <w:color w:val="auto"/>
          <w:sz w:val="24"/>
          <w:highlight w:val="none"/>
          <w:u w:val="single"/>
        </w:rPr>
        <w:t>___/___</w:t>
      </w:r>
      <w:r>
        <w:rPr>
          <w:rFonts w:hint="eastAsia" w:ascii="宋体" w:hAnsi="宋体" w:eastAsia="宋体" w:cs="宋体"/>
          <w:color w:val="auto"/>
          <w:sz w:val="24"/>
          <w:highlight w:val="none"/>
        </w:rPr>
        <w:t>%以内的电量，全部执行本合同4.4条约定的价格；超出正偏差</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%以外部分，按照</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(单位:元/千瓦时)价格结算；超出负偏差</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%以外部分，需要按照</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(单位:元/千瓦时)价格补偿乙方。</w:t>
      </w:r>
      <w:r>
        <w:rPr>
          <w:rFonts w:hint="eastAsia" w:ascii="宋体" w:hAnsi="宋体" w:eastAsia="宋体" w:cs="宋体"/>
          <w:b w:val="0"/>
          <w:bCs/>
          <w:color w:val="auto"/>
          <w:sz w:val="24"/>
          <w:highlight w:val="none"/>
        </w:rPr>
        <w:t>本项目不执行双方约定的标准用电曲线，本款其余空格不适用，签约时划“／”。</w:t>
      </w:r>
    </w:p>
    <w:p w14:paraId="20015723">
      <w:pPr>
        <w:spacing w:line="360" w:lineRule="auto"/>
        <w:jc w:val="center"/>
        <w:rPr>
          <w:rFonts w:hint="eastAsia" w:ascii="宋体" w:hAnsi="宋体" w:eastAsia="宋体" w:cs="宋体"/>
          <w:b/>
          <w:color w:val="auto"/>
          <w:sz w:val="28"/>
          <w:szCs w:val="28"/>
          <w:highlight w:val="none"/>
        </w:rPr>
      </w:pPr>
    </w:p>
    <w:p w14:paraId="245156BD">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第五章　计量、结算和支付</w:t>
      </w:r>
    </w:p>
    <w:p w14:paraId="45D2296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5.1甲方的计量点按照甲方与供电企业签订的供用电合同执行，不再另行约定电力交易计量点。</w:t>
      </w:r>
    </w:p>
    <w:p w14:paraId="0203F9A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5.2甲方的电费支付，保持现有向电网企业缴费的方式不变，其中甲方的电价优惠，可以直接在向电网企业缴交的用电电费中扣减。乙方的电费收取方式按照电力市场交易规则执行。双方无代缴、代扣和担保义务。</w:t>
      </w:r>
    </w:p>
    <w:p w14:paraId="29148BA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5.3双方约定：在每个结算周期内，由乙方代为向交易中心申报本合同涉及的电量、电价，并核对结算相关数据；双方同时约定，均以电网企业发布的电费发票及其电费核查联作为合同执行的参照标准。甲方应在收到电费发票及其核查联后的十个工作日内，向乙方、交易中心分别提出申诉意见，逾期视为无意见。</w:t>
      </w:r>
    </w:p>
    <w:p w14:paraId="58CBF863">
      <w:pPr>
        <w:spacing w:line="360" w:lineRule="auto"/>
        <w:ind w:firstLine="480"/>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5.4履约保障：乙方已按电力市场规则向江苏电力交易中心提交有效履约保障凭证（银行保函或保证保险等），为本合同在电力市场交易的履约提供担保，甲方不再另行收取履约保证金。乙方的违约责任按本合同第六章及乙方投标文件《服务承诺书》执行；因乙方违约导致合同解除或给甲方造成损失的，乙方应依法承担违约、赔偿责任。</w:t>
      </w:r>
    </w:p>
    <w:p w14:paraId="4198F25D">
      <w:pPr>
        <w:spacing w:line="360" w:lineRule="auto"/>
        <w:ind w:firstLine="48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具体以实际使用电量为准</w:t>
      </w:r>
      <w:r>
        <w:rPr>
          <w:rFonts w:hint="eastAsia" w:ascii="宋体" w:hAnsi="宋体" w:eastAsia="宋体" w:cs="宋体"/>
          <w:color w:val="auto"/>
          <w:sz w:val="24"/>
          <w:highlight w:val="none"/>
          <w:u w:val="none"/>
          <w:lang w:val="en-US" w:eastAsia="zh-CN"/>
        </w:rPr>
        <w:t>进行结算</w:t>
      </w:r>
      <w:r>
        <w:rPr>
          <w:rFonts w:hint="eastAsia" w:ascii="宋体" w:hAnsi="宋体" w:eastAsia="宋体" w:cs="宋体"/>
          <w:color w:val="auto"/>
          <w:sz w:val="24"/>
          <w:highlight w:val="none"/>
          <w:u w:val="none"/>
        </w:rPr>
        <w:t>。</w:t>
      </w:r>
    </w:p>
    <w:p w14:paraId="74BC6C4A">
      <w:pPr>
        <w:spacing w:line="360" w:lineRule="auto"/>
        <w:ind w:firstLine="480"/>
        <w:rPr>
          <w:rFonts w:hint="eastAsia" w:ascii="宋体" w:hAnsi="宋体" w:eastAsia="宋体" w:cs="宋体"/>
          <w:color w:val="auto"/>
          <w:sz w:val="24"/>
          <w:highlight w:val="none"/>
          <w:u w:val="single"/>
        </w:rPr>
      </w:pPr>
    </w:p>
    <w:p w14:paraId="7FE13676">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第六章　合同变更、解除与违约赔偿</w:t>
      </w:r>
    </w:p>
    <w:p w14:paraId="7CB171A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本合同的任何修改、补充或变更必须以书面的形式进行（分月计划调整除外），双方盖章后方为有效。分月计划的调整，双方约定可以由本合同指定联系人，通过短信、邮箱或者微信等网络方式发送和确认完成，但双方均须做好记录，并可以随时调取查用。</w:t>
      </w:r>
    </w:p>
    <w:p w14:paraId="099FB44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6.2本合同到期，选择方式1处理：</w:t>
      </w:r>
    </w:p>
    <w:p w14:paraId="2F1E8EF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方式1:自动解除，任何一方提前未经对方同意解除合同视为违约；</w:t>
      </w:r>
    </w:p>
    <w:p w14:paraId="1028DE8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方式2:按自然月滚动续约，发生以下两种情形的将取消滚动续约：</w:t>
      </w:r>
    </w:p>
    <w:p w14:paraId="16EFB0C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(1)合同双方在协商一致情况下主动取消；</w:t>
      </w:r>
    </w:p>
    <w:p w14:paraId="22B4530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(2)合同甲方完成下一个合同周期零售交易。</w:t>
      </w:r>
    </w:p>
    <w:p w14:paraId="34FBA846">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6.3如因乙方责任，没有及时完成本合同在交易中心的备案或其他相关执行手续，导致本合同无法执行，双方约定：</w:t>
      </w:r>
      <w:r>
        <w:rPr>
          <w:rFonts w:hint="eastAsia" w:ascii="宋体" w:hAnsi="宋体" w:eastAsia="宋体" w:cs="宋体"/>
          <w:b w:val="0"/>
          <w:bCs/>
          <w:color w:val="auto"/>
          <w:sz w:val="24"/>
          <w:highlight w:val="none"/>
        </w:rPr>
        <w:t>乙方违约赔偿标准按乙方投标文件《服务承诺书》承诺执行（违约金=|市场化成交电价-直接交易基准价|×剩余未执行合约电量）。</w:t>
      </w:r>
    </w:p>
    <w:p w14:paraId="7DBBAAA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（1）若在合同约定的实际开始执行前30日前书面通知甲方，提出解约，乙方一次性赔偿甲方</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万元的签约损失；</w:t>
      </w:r>
    </w:p>
    <w:p w14:paraId="0C9EC8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（2）其他情况，乙方一次性赔偿甲方</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万元的损失。</w:t>
      </w:r>
    </w:p>
    <w:p w14:paraId="59905B66">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6.4如在合同周期内，乙方未按照本合同约定给甲方进行结算，需按照合同约定结算电费和实际结算电费的差额部分的</w:t>
      </w:r>
      <w:r>
        <w:rPr>
          <w:rFonts w:hint="eastAsia" w:ascii="宋体" w:hAnsi="宋体" w:eastAsia="宋体" w:cs="宋体"/>
          <w:b w:val="0"/>
          <w:bCs/>
          <w:color w:val="auto"/>
          <w:sz w:val="24"/>
          <w:highlight w:val="none"/>
          <w:u w:val="single"/>
        </w:rPr>
        <w:t>3倍赔偿甲方</w:t>
      </w:r>
      <w:r>
        <w:rPr>
          <w:rFonts w:hint="eastAsia" w:ascii="宋体" w:hAnsi="宋体" w:eastAsia="宋体" w:cs="宋体"/>
          <w:b w:val="0"/>
          <w:bCs/>
          <w:color w:val="auto"/>
          <w:sz w:val="24"/>
          <w:highlight w:val="none"/>
        </w:rPr>
        <w:t>。</w:t>
      </w:r>
    </w:p>
    <w:p w14:paraId="7CA69BF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6.5如甲方在合同周期内，未经乙方书面同意，与其他售电公司签订购售电合同、不配合在交易中心办理备案及其他相关手续、转为批发市场用户等行为导致本合同无法执行，双方约定，按照以下条款，甲方应</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赔偿乙方：</w:t>
      </w:r>
    </w:p>
    <w:p w14:paraId="20352E9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（1）在合同约定的实际开始执行前30日前提出解约，一次性赔偿乙方</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万元的签约损失；</w:t>
      </w:r>
    </w:p>
    <w:p w14:paraId="2CCF390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（2）在合同约定的实际开始执行前30日内提出解约，一次性赔偿乙方</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万元的签约损失；</w:t>
      </w:r>
    </w:p>
    <w:p w14:paraId="7CE310C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（3）在合同执行过程中，甲方要求解约，按照未履约月份，向乙方按照每个月</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万元的签约损失赔偿。</w:t>
      </w:r>
    </w:p>
    <w:p w14:paraId="687F20D8">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第七章　保密及争议解决</w:t>
      </w:r>
    </w:p>
    <w:p w14:paraId="7D4F598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7.1保密</w:t>
      </w:r>
    </w:p>
    <w:p w14:paraId="79D8EB9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甲、乙双方均应保证其从另一方取得的所有无法自公开渠道获得的资料和文件（包括财务、技术等内容）予以保密。未经该资料和文件的原提供方同意，不得向任何第三方透露该资料和文件的全部或任何部分，但按照法律、法规规定可做出披露的情况除外。</w:t>
      </w:r>
    </w:p>
    <w:p w14:paraId="5C81722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本合同中有关解除、争议解决和保密的条款在本合同解除后仍然有效。</w:t>
      </w:r>
    </w:p>
    <w:p w14:paraId="3BB6219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7.2凡因执行本合同所发生的与本合同有关的一切争议，双方应协商解决；协商不成，按以下第（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）种方式处理：</w:t>
      </w:r>
    </w:p>
    <w:p w14:paraId="4213418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（1）双方同意提请仲裁委员会，请求按照其仲裁规则进行仲裁。仲裁裁决是终局的，对双方均具有法律约束力。</w:t>
      </w:r>
    </w:p>
    <w:p w14:paraId="7C34F8A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（2）任何一方依法提请人民法院通过诉讼程序解决。</w:t>
      </w:r>
    </w:p>
    <w:p w14:paraId="488C5DAE">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第八章　合同生效和期限</w:t>
      </w:r>
    </w:p>
    <w:p w14:paraId="0C561B6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8.1本合同的订立、效力、解释、履行和争议的解决均适用中华人民共和国法律。双方未尽事宜，均服从中华人民共和国法律和江苏电力市场交易规则。</w:t>
      </w:r>
    </w:p>
    <w:p w14:paraId="5FFD918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8.2本合同经双方法定代表人（或授权代理人）签字并盖章后生效。合同生效后，关于办理本合同在交易中心的备案及其他相关执行手续，双方选择以下约定</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（单选）：</w:t>
      </w:r>
    </w:p>
    <w:p w14:paraId="03359FD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（1）甲方与乙方共同办理本合同在交易中心的备案及其他相关执行手续，</w:t>
      </w:r>
    </w:p>
    <w:p w14:paraId="2D46E6E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（2）由</w:t>
      </w:r>
      <w:r>
        <w:rPr>
          <w:rFonts w:hint="eastAsia" w:ascii="宋体" w:hAnsi="宋体" w:eastAsia="宋体" w:cs="宋体"/>
          <w:color w:val="auto"/>
          <w:sz w:val="24"/>
          <w:highlight w:val="none"/>
          <w:u w:val="single"/>
        </w:rPr>
        <w:t xml:space="preserve">  乙 </w:t>
      </w:r>
      <w:r>
        <w:rPr>
          <w:rFonts w:hint="eastAsia" w:ascii="宋体" w:hAnsi="宋体" w:eastAsia="宋体" w:cs="宋体"/>
          <w:color w:val="auto"/>
          <w:sz w:val="24"/>
          <w:highlight w:val="none"/>
        </w:rPr>
        <w:t>方代为办理本合同在交易中心的备案和相关执行手续。</w:t>
      </w:r>
    </w:p>
    <w:p w14:paraId="5613C2F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本合同及其附件构成双方就本合同标的达成的全部内容，取代所有双方在此之前就本合同标的所签订的协议和合同。</w:t>
      </w:r>
    </w:p>
    <w:p w14:paraId="1119327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8.3任何一方未通过书面形式声明放弃其在本合同项下的任何权利，则不应被视为其弃权。任何一方未行使其在本合同项下的任何权利，均不应被视为对任何上述权利的放弃或对今后任何上述权利的放弃。</w:t>
      </w:r>
    </w:p>
    <w:p w14:paraId="7AED64A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8.4本合同有效期：自签订之日起至4.1条款约定的合同交易最后日期。</w:t>
      </w:r>
    </w:p>
    <w:p w14:paraId="5B7C38A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8.5本合同一式</w:t>
      </w:r>
      <w:r>
        <w:rPr>
          <w:rFonts w:hint="eastAsia" w:ascii="宋体" w:hAnsi="宋体" w:eastAsia="宋体" w:cs="宋体"/>
          <w:color w:val="auto"/>
          <w:sz w:val="24"/>
          <w:highlight w:val="none"/>
          <w:u w:val="single"/>
        </w:rPr>
        <w:t>2</w:t>
      </w:r>
      <w:r>
        <w:rPr>
          <w:rFonts w:hint="eastAsia" w:ascii="宋体" w:hAnsi="宋体" w:eastAsia="宋体" w:cs="宋体"/>
          <w:color w:val="auto"/>
          <w:sz w:val="24"/>
          <w:highlight w:val="none"/>
        </w:rPr>
        <w:t>份，甲方、乙方各执</w:t>
      </w:r>
      <w:r>
        <w:rPr>
          <w:rFonts w:hint="eastAsia" w:ascii="宋体" w:hAnsi="宋体" w:eastAsia="宋体" w:cs="宋体"/>
          <w:color w:val="auto"/>
          <w:sz w:val="24"/>
          <w:highlight w:val="none"/>
          <w:u w:val="single"/>
        </w:rPr>
        <w:t>1</w:t>
      </w:r>
      <w:r>
        <w:rPr>
          <w:rFonts w:hint="eastAsia" w:ascii="宋体" w:hAnsi="宋体" w:eastAsia="宋体" w:cs="宋体"/>
          <w:color w:val="auto"/>
          <w:sz w:val="24"/>
          <w:highlight w:val="none"/>
        </w:rPr>
        <w:t>份，副本若干份，分送有关机构。</w:t>
      </w:r>
    </w:p>
    <w:p w14:paraId="6613D91D">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甲方（盖章）：</w:t>
      </w:r>
      <w:r>
        <w:rPr>
          <w:rFonts w:hint="eastAsia" w:ascii="宋体" w:hAnsi="宋体" w:eastAsia="宋体" w:cs="宋体"/>
          <w:color w:val="auto"/>
          <w:sz w:val="24"/>
          <w:highlight w:val="none"/>
          <w:u w:val="single"/>
        </w:rPr>
        <w:t xml:space="preserve">                             </w:t>
      </w:r>
    </w:p>
    <w:p w14:paraId="5B39F1D3">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法定代表人/授权代理人： </w:t>
      </w:r>
      <w:r>
        <w:rPr>
          <w:rFonts w:hint="eastAsia" w:ascii="宋体" w:hAnsi="宋体" w:eastAsia="宋体" w:cs="宋体"/>
          <w:color w:val="auto"/>
          <w:sz w:val="24"/>
          <w:highlight w:val="none"/>
          <w:u w:val="single"/>
        </w:rPr>
        <w:t xml:space="preserve">                   </w:t>
      </w:r>
    </w:p>
    <w:p w14:paraId="0063A31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签订日期：______年______月______日</w:t>
      </w:r>
    </w:p>
    <w:p w14:paraId="424BEDA9">
      <w:pPr>
        <w:spacing w:line="360" w:lineRule="auto"/>
        <w:ind w:firstLine="480"/>
        <w:rPr>
          <w:rFonts w:hint="eastAsia" w:ascii="宋体" w:hAnsi="宋体" w:eastAsia="宋体" w:cs="宋体"/>
          <w:color w:val="auto"/>
          <w:sz w:val="24"/>
          <w:highlight w:val="none"/>
        </w:rPr>
      </w:pPr>
    </w:p>
    <w:p w14:paraId="7CE4917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乙方（盖章）：</w:t>
      </w:r>
    </w:p>
    <w:p w14:paraId="7B1983E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法定代表人/授权代理人：</w:t>
      </w:r>
    </w:p>
    <w:p w14:paraId="4EB2D14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签订日期：______年______月______日</w:t>
      </w:r>
    </w:p>
    <w:p w14:paraId="3E303C66">
      <w:pPr>
        <w:spacing w:line="360" w:lineRule="auto"/>
        <w:ind w:firstLine="480"/>
        <w:rPr>
          <w:rFonts w:hint="eastAsia" w:ascii="宋体" w:hAnsi="宋体" w:eastAsia="宋体" w:cs="宋体"/>
          <w:color w:val="auto"/>
          <w:sz w:val="24"/>
          <w:highlight w:val="none"/>
        </w:rPr>
      </w:pPr>
    </w:p>
    <w:p w14:paraId="1B76E1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签订地点：</w:t>
      </w:r>
    </w:p>
    <w:p w14:paraId="456B513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附件1：甲方户号详情列表</w:t>
      </w:r>
    </w:p>
    <w:tbl>
      <w:tblPr>
        <w:tblStyle w:val="32"/>
        <w:tblpPr w:leftFromText="180" w:rightFromText="180" w:vertAnchor="text" w:horzAnchor="page" w:tblpX="1791" w:tblpY="4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1"/>
        <w:gridCol w:w="6701"/>
      </w:tblGrid>
      <w:tr w14:paraId="09176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noWrap w:val="0"/>
            <w:vAlign w:val="center"/>
          </w:tcPr>
          <w:p w14:paraId="34A8445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户号</w:t>
            </w:r>
          </w:p>
        </w:tc>
        <w:tc>
          <w:tcPr>
            <w:tcW w:w="6701" w:type="dxa"/>
            <w:noWrap w:val="0"/>
            <w:vAlign w:val="center"/>
          </w:tcPr>
          <w:p w14:paraId="44157E3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用电地址</w:t>
            </w:r>
          </w:p>
        </w:tc>
      </w:tr>
      <w:tr w14:paraId="78C1D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noWrap w:val="0"/>
            <w:vAlign w:val="center"/>
          </w:tcPr>
          <w:p w14:paraId="2662F8F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6701" w:type="dxa"/>
            <w:noWrap w:val="0"/>
            <w:vAlign w:val="center"/>
          </w:tcPr>
          <w:p w14:paraId="714B156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bl>
    <w:p w14:paraId="5CE5D58B">
      <w:pPr>
        <w:spacing w:line="360" w:lineRule="auto"/>
        <w:rPr>
          <w:rFonts w:hint="eastAsia" w:ascii="宋体" w:hAnsi="宋体" w:eastAsia="宋体" w:cs="宋体"/>
          <w:color w:val="auto"/>
          <w:sz w:val="24"/>
          <w:highlight w:val="none"/>
        </w:rPr>
      </w:pPr>
    </w:p>
    <w:p w14:paraId="15ABA7C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F337F1E">
      <w:pPr>
        <w:spacing w:line="360" w:lineRule="auto"/>
        <w:rPr>
          <w:rFonts w:hint="eastAsia" w:ascii="宋体" w:hAnsi="宋体" w:eastAsia="宋体" w:cs="宋体"/>
          <w:color w:val="auto"/>
          <w:sz w:val="24"/>
          <w:highlight w:val="none"/>
        </w:rPr>
      </w:pPr>
    </w:p>
    <w:p w14:paraId="586919C5">
      <w:pPr>
        <w:spacing w:line="360" w:lineRule="auto"/>
        <w:rPr>
          <w:rFonts w:hint="eastAsia" w:ascii="宋体" w:hAnsi="宋体" w:eastAsia="宋体" w:cs="宋体"/>
          <w:color w:val="auto"/>
          <w:sz w:val="24"/>
          <w:highlight w:val="none"/>
        </w:rPr>
      </w:pPr>
    </w:p>
    <w:p w14:paraId="352DB150">
      <w:pPr>
        <w:spacing w:line="360" w:lineRule="auto"/>
        <w:rPr>
          <w:rFonts w:hint="eastAsia" w:ascii="宋体" w:hAnsi="宋体" w:eastAsia="宋体" w:cs="宋体"/>
          <w:color w:val="auto"/>
          <w:sz w:val="24"/>
          <w:highlight w:val="none"/>
        </w:rPr>
      </w:pPr>
    </w:p>
    <w:p w14:paraId="19DF351F">
      <w:pPr>
        <w:spacing w:line="360" w:lineRule="auto"/>
        <w:rPr>
          <w:rFonts w:hint="eastAsia" w:ascii="宋体" w:hAnsi="宋体" w:eastAsia="宋体" w:cs="宋体"/>
          <w:color w:val="auto"/>
          <w:sz w:val="24"/>
          <w:highlight w:val="none"/>
        </w:rPr>
      </w:pPr>
    </w:p>
    <w:p w14:paraId="15D56372">
      <w:pPr>
        <w:pStyle w:val="29"/>
        <w:spacing w:before="120" w:beforeAutospacing="0" w:after="120" w:afterAutospacing="0" w:line="500" w:lineRule="exact"/>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 第四章 采购需求</w:t>
      </w:r>
    </w:p>
    <w:p w14:paraId="1A6F5D2A">
      <w:pPr>
        <w:pStyle w:val="29"/>
        <w:spacing w:beforeAutospacing="0" w:afterAutospacing="0" w:line="0" w:lineRule="atLeast"/>
        <w:ind w:firstLine="480"/>
        <w:jc w:val="both"/>
        <w:rPr>
          <w:rFonts w:hint="eastAsia" w:ascii="宋体" w:hAnsi="宋体" w:eastAsia="宋体" w:cs="宋体"/>
          <w:color w:val="auto"/>
          <w:highlight w:val="none"/>
        </w:rPr>
      </w:pPr>
      <w:bookmarkStart w:id="164" w:name="_Toc49090575"/>
      <w:bookmarkStart w:id="165" w:name="_Toc26554093"/>
      <w:r>
        <w:rPr>
          <w:rFonts w:hint="eastAsia" w:ascii="宋体" w:hAnsi="宋体" w:eastAsia="宋体" w:cs="宋体"/>
          <w:color w:val="auto"/>
          <w:highlight w:val="none"/>
        </w:rPr>
        <w:t>项目属性:服务类项目。 </w:t>
      </w:r>
      <w:bookmarkEnd w:id="164"/>
      <w:bookmarkEnd w:id="165"/>
    </w:p>
    <w:p w14:paraId="26EE05AB">
      <w:pPr>
        <w:spacing w:line="360" w:lineRule="auto"/>
        <w:ind w:firstLine="480"/>
        <w:rPr>
          <w:rFonts w:hint="eastAsia" w:ascii="宋体" w:hAnsi="宋体" w:eastAsia="宋体" w:cs="宋体"/>
          <w:color w:val="auto"/>
          <w:sz w:val="24"/>
          <w:highlight w:val="none"/>
        </w:rPr>
      </w:pPr>
      <w:bookmarkStart w:id="166" w:name="_Toc120614281"/>
      <w:r>
        <w:rPr>
          <w:rFonts w:hint="eastAsia" w:ascii="宋体" w:hAnsi="宋体" w:eastAsia="宋体" w:cs="宋体"/>
          <w:color w:val="auto"/>
          <w:sz w:val="24"/>
          <w:highlight w:val="none"/>
        </w:rPr>
        <w:t>一、项目概述</w:t>
      </w:r>
    </w:p>
    <w:p w14:paraId="6CDD91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滨海县城市照明2026年度购电项目为一个包件，具体包含为采购人提供交易周期内优惠电价，年度约1200万</w:t>
      </w:r>
      <w:r>
        <w:rPr>
          <w:rFonts w:hint="eastAsia" w:ascii="Segoe UI" w:hAnsi="Segoe UI" w:eastAsia="Segoe UI" w:cs="Segoe UI"/>
          <w:color w:val="auto"/>
          <w:sz w:val="24"/>
          <w:highlight w:val="none"/>
          <w:shd w:val="clear" w:color="auto" w:fill="FFFFFF"/>
        </w:rPr>
        <w:t>千瓦时10千伏以上高压电</w:t>
      </w:r>
      <w:r>
        <w:rPr>
          <w:rFonts w:hint="eastAsia" w:ascii="宋体" w:hAnsi="宋体" w:eastAsia="宋体" w:cs="宋体"/>
          <w:color w:val="auto"/>
          <w:sz w:val="24"/>
          <w:highlight w:val="none"/>
        </w:rPr>
        <w:t>的生产经营所需全部用电的购售电代理交易。中标人需按国家有关法规、规定和技术规范，提供全周期电力交易服务和用</w:t>
      </w:r>
      <w:r>
        <w:rPr>
          <w:rFonts w:hint="eastAsia" w:ascii="宋体" w:hAnsi="宋体" w:eastAsia="宋体" w:cs="宋体"/>
          <w:b w:val="0"/>
          <w:bCs w:val="0"/>
          <w:color w:val="auto"/>
          <w:sz w:val="24"/>
          <w:highlight w:val="none"/>
        </w:rPr>
        <w:t>电增值服务等。</w:t>
      </w:r>
      <w:r>
        <w:rPr>
          <w:rFonts w:hint="eastAsia" w:ascii="宋体" w:hAnsi="宋体" w:eastAsia="宋体" w:cs="宋体"/>
          <w:color w:val="auto"/>
          <w:sz w:val="24"/>
          <w:highlight w:val="none"/>
        </w:rPr>
        <w:t>供应商应根据采购文件所提出的业务内容要求，提供最优的购售电项目方案。</w:t>
      </w:r>
    </w:p>
    <w:p w14:paraId="6E8F461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二、服务清单与业务要求</w:t>
      </w:r>
    </w:p>
    <w:p w14:paraId="0E81D79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（一）服务清单</w:t>
      </w:r>
    </w:p>
    <w:tbl>
      <w:tblPr>
        <w:tblStyle w:val="31"/>
        <w:tblW w:w="7850"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0"/>
        <w:gridCol w:w="4257"/>
        <w:gridCol w:w="1559"/>
        <w:gridCol w:w="1307"/>
        <w:gridCol w:w="7"/>
      </w:tblGrid>
      <w:tr w14:paraId="66CF3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407" w:hRule="atLeast"/>
        </w:trPr>
        <w:tc>
          <w:tcPr>
            <w:tcW w:w="720" w:type="dxa"/>
            <w:noWrap w:val="0"/>
          </w:tcPr>
          <w:p w14:paraId="6745002F">
            <w:pPr>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4257" w:type="dxa"/>
            <w:noWrap w:val="0"/>
          </w:tcPr>
          <w:p w14:paraId="3530903E">
            <w:pPr>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559" w:type="dxa"/>
            <w:noWrap w:val="0"/>
          </w:tcPr>
          <w:p w14:paraId="7DAB62B7">
            <w:pPr>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1307" w:type="dxa"/>
            <w:noWrap w:val="0"/>
          </w:tcPr>
          <w:p w14:paraId="784E2AA5">
            <w:pPr>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r>
      <w:tr w14:paraId="74A86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409" w:hRule="atLeast"/>
        </w:trPr>
        <w:tc>
          <w:tcPr>
            <w:tcW w:w="720" w:type="dxa"/>
            <w:noWrap w:val="0"/>
          </w:tcPr>
          <w:p w14:paraId="1703D81B">
            <w:pPr>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4257" w:type="dxa"/>
            <w:noWrap w:val="0"/>
          </w:tcPr>
          <w:p w14:paraId="689181E8">
            <w:pPr>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滨海县城市照明2026年度购电项目</w:t>
            </w:r>
          </w:p>
        </w:tc>
        <w:tc>
          <w:tcPr>
            <w:tcW w:w="1559" w:type="dxa"/>
            <w:noWrap w:val="0"/>
          </w:tcPr>
          <w:p w14:paraId="4A52AC2F">
            <w:pPr>
              <w:spacing w:before="169" w:line="360" w:lineRule="auto"/>
              <w:jc w:val="center"/>
              <w:rPr>
                <w:rFonts w:hint="eastAsia" w:ascii="宋体" w:hAnsi="宋体" w:eastAsia="宋体" w:cs="宋体"/>
                <w:color w:val="auto"/>
                <w:sz w:val="24"/>
                <w:highlight w:val="none"/>
              </w:rPr>
            </w:pPr>
            <w:r>
              <w:rPr>
                <w:rFonts w:ascii="Segoe UI" w:hAnsi="Segoe UI" w:eastAsia="Segoe UI" w:cs="Segoe UI"/>
                <w:color w:val="auto"/>
                <w:sz w:val="24"/>
                <w:highlight w:val="none"/>
                <w:shd w:val="clear" w:color="auto" w:fill="FFFFFF"/>
              </w:rPr>
              <w:t>千瓦时</w:t>
            </w:r>
          </w:p>
        </w:tc>
        <w:tc>
          <w:tcPr>
            <w:tcW w:w="1307" w:type="dxa"/>
            <w:noWrap w:val="0"/>
          </w:tcPr>
          <w:p w14:paraId="4134862F">
            <w:pPr>
              <w:spacing w:before="169"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约1200万</w:t>
            </w:r>
          </w:p>
        </w:tc>
      </w:tr>
      <w:tr w14:paraId="0AFE6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720" w:type="dxa"/>
            <w:gridSpan w:val="5"/>
            <w:noWrap w:val="0"/>
          </w:tcPr>
          <w:p w14:paraId="6917FAEE">
            <w:pPr>
              <w:spacing w:before="169"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以上电量为参考电量，最终电量数据以实际发生额为准。</w:t>
            </w:r>
          </w:p>
        </w:tc>
      </w:tr>
    </w:tbl>
    <w:p w14:paraId="2CD847A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（二）项目范围及要求</w:t>
      </w:r>
    </w:p>
    <w:p w14:paraId="15731BF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1、为采购人提供交易周期内优惠电价，生产经营所需全部用电的购售电代理交易。供应商应按国家有关法规、规定和技术规范，提供全周期电力交易服务和用电增值服务。</w:t>
      </w:r>
    </w:p>
    <w:p w14:paraId="54AF385C">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2、交易周期（合同履行期限）：</w:t>
      </w:r>
      <w:r>
        <w:rPr>
          <w:rFonts w:hint="eastAsia" w:ascii="宋体" w:hAnsi="宋体" w:eastAsia="宋体" w:cs="宋体"/>
          <w:b w:val="0"/>
          <w:bCs/>
          <w:color w:val="auto"/>
          <w:sz w:val="24"/>
          <w:highlight w:val="none"/>
        </w:rPr>
        <w:t>自合同签订且完成交易中心备案之日起12个月（2026年度内执行的月份按届时有效的电力市场交易规则执行，2027年1月1日起按苏电交易〔2026〕11号文件执行）。</w:t>
      </w:r>
    </w:p>
    <w:p w14:paraId="1A9AC26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3、服务内容：</w:t>
      </w:r>
    </w:p>
    <w:p w14:paraId="2425D5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3.4.1按照国家有关法规、规定和技术规范，为甲方提供电力交易和参与江苏电力辅助服务市场相关服务，参与电力市场交易并按规定结算。</w:t>
      </w:r>
    </w:p>
    <w:p w14:paraId="1E31F16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3.4.2按照国家规定，作为可再生能源电力的消纳责任主体，承担可再生能源电力的消纳责任。</w:t>
      </w:r>
    </w:p>
    <w:p w14:paraId="4165B3B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3.4.3按照电力市场信息发布管理规定，向甲方、交易中心提供真实准确的有关电力直接交易的相关信息及资料；</w:t>
      </w:r>
    </w:p>
    <w:p w14:paraId="2E6BC8B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3.4.4根据国家有关法规支付电力交易相关费用；</w:t>
      </w:r>
    </w:p>
    <w:p w14:paraId="557E9EE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3.4.5协助甲方申请办理电力交易有关手续；</w:t>
      </w:r>
    </w:p>
    <w:p w14:paraId="0AC012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3.4.6按照相关规则、规定向交易中心提交银行履约保函，担保合同的履约。</w:t>
      </w:r>
    </w:p>
    <w:p w14:paraId="7D4712F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3.4.7发生紧急情况时，按照相关规定执行。</w:t>
      </w:r>
    </w:p>
    <w:p w14:paraId="464B9ED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4、交易模式：</w:t>
      </w:r>
    </w:p>
    <w:p w14:paraId="03F9A74D">
      <w:pPr>
        <w:spacing w:line="360" w:lineRule="auto"/>
        <w:ind w:firstLine="480"/>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4.1供应商在成交后，与采购人签订购售电合同，采用零售套餐</w:t>
      </w:r>
      <w:r>
        <w:rPr>
          <w:rFonts w:hint="eastAsia" w:ascii="宋体" w:hAnsi="宋体" w:eastAsia="宋体" w:cs="宋体"/>
          <w:b w:val="0"/>
          <w:bCs/>
          <w:color w:val="auto"/>
          <w:sz w:val="24"/>
          <w:highlight w:val="none"/>
          <w:lang w:val="en-US" w:eastAsia="zh-CN"/>
        </w:rPr>
        <w:t>电能量价格</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批发市场价格+浮动价格+K</w:t>
      </w:r>
      <w:r>
        <w:rPr>
          <w:rFonts w:hint="eastAsia" w:ascii="宋体" w:hAnsi="宋体" w:eastAsia="宋体" w:cs="宋体"/>
          <w:b w:val="0"/>
          <w:bCs/>
          <w:color w:val="auto"/>
          <w:sz w:val="24"/>
          <w:highlight w:val="none"/>
          <w:vertAlign w:val="subscript"/>
          <w:lang w:val="en-US" w:eastAsia="zh-CN"/>
        </w:rPr>
        <w:t>分摊</w:t>
      </w:r>
      <w:r>
        <w:rPr>
          <w:rFonts w:hint="eastAsia" w:ascii="宋体" w:hAnsi="宋体" w:eastAsia="宋体" w:cs="宋体"/>
          <w:b w:val="0"/>
          <w:bCs/>
          <w:color w:val="auto"/>
          <w:sz w:val="24"/>
          <w:highlight w:val="none"/>
          <w:lang w:val="en-US" w:eastAsia="zh-CN"/>
        </w:rPr>
        <w:t>*当月分摊价格的结算方式。浮动价格</w:t>
      </w:r>
      <w:r>
        <w:rPr>
          <w:rFonts w:hint="eastAsia" w:ascii="宋体" w:hAnsi="宋体" w:eastAsia="宋体" w:cs="宋体"/>
          <w:b w:val="0"/>
          <w:bCs/>
          <w:color w:val="auto"/>
          <w:sz w:val="24"/>
          <w:highlight w:val="none"/>
        </w:rPr>
        <w:t>按中标结果确定，年度执行过程中不予调整</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K</w:t>
      </w:r>
      <w:r>
        <w:rPr>
          <w:rFonts w:hint="eastAsia" w:ascii="宋体" w:hAnsi="宋体" w:eastAsia="宋体" w:cs="宋体"/>
          <w:b w:val="0"/>
          <w:bCs/>
          <w:color w:val="auto"/>
          <w:sz w:val="24"/>
          <w:highlight w:val="none"/>
          <w:vertAlign w:val="subscript"/>
          <w:lang w:val="en-US" w:eastAsia="zh-CN"/>
        </w:rPr>
        <w:t>分摊1</w:t>
      </w:r>
      <w:r>
        <w:rPr>
          <w:rFonts w:hint="eastAsia" w:ascii="宋体" w:hAnsi="宋体" w:eastAsia="宋体" w:cs="宋体"/>
          <w:b w:val="0"/>
          <w:bCs/>
          <w:color w:val="auto"/>
          <w:sz w:val="24"/>
          <w:highlight w:val="none"/>
          <w:lang w:val="en-US" w:eastAsia="zh-CN"/>
        </w:rPr>
        <w:t>为100%、K</w:t>
      </w:r>
      <w:r>
        <w:rPr>
          <w:rFonts w:hint="eastAsia" w:ascii="宋体" w:hAnsi="宋体" w:eastAsia="宋体" w:cs="宋体"/>
          <w:b w:val="0"/>
          <w:bCs/>
          <w:color w:val="auto"/>
          <w:sz w:val="24"/>
          <w:highlight w:val="none"/>
          <w:vertAlign w:val="subscript"/>
          <w:lang w:val="en-US" w:eastAsia="zh-CN"/>
        </w:rPr>
        <w:t>分摊2</w:t>
      </w:r>
      <w:r>
        <w:rPr>
          <w:rFonts w:hint="eastAsia" w:ascii="宋体" w:hAnsi="宋体" w:eastAsia="宋体" w:cs="宋体"/>
          <w:b w:val="0"/>
          <w:bCs/>
          <w:color w:val="auto"/>
          <w:sz w:val="24"/>
          <w:highlight w:val="none"/>
          <w:lang w:val="en-US" w:eastAsia="zh-CN"/>
        </w:rPr>
        <w:t>为70%、K分摊3为50%、电能量封顶价格系数F为0；</w:t>
      </w:r>
      <w:r>
        <w:rPr>
          <w:rFonts w:ascii="宋体" w:hAnsi="宋体" w:eastAsia="宋体"/>
          <w:b w:val="0"/>
          <w:bCs/>
          <w:color w:val="auto"/>
          <w:sz w:val="24"/>
        </w:rPr>
        <w:t>合同履行期间，如江苏电力交易中心或政府主管部门对零售套餐参数（浮动价格预警阈值、分摊系数K分摊、电能量封顶系数F等）作出调整的，按届时有效的规定执行。本项目的浮动价格为不分时段的统一浮动价格（分时套餐下各时段执行同一浮动价格）。</w:t>
      </w:r>
    </w:p>
    <w:p w14:paraId="33E116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4.2中标人代采购人参与全年的双边协商和集中竞价等电力市场交易，采购人将提供必要的配合。</w:t>
      </w:r>
    </w:p>
    <w:p w14:paraId="478141D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4.3中标人必须承担电量偏差引起的一切费用风险。</w:t>
      </w:r>
    </w:p>
    <w:p w14:paraId="080E450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5、电能计量：</w:t>
      </w:r>
    </w:p>
    <w:p w14:paraId="407FA00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5.1电力交易涉及的电量计量点、电能计量装置要求、电能计量装置校验要求和计量装置异常处理办法等，需在合同约定中执行。</w:t>
      </w:r>
    </w:p>
    <w:p w14:paraId="336D1AF0">
      <w:pPr>
        <w:spacing w:line="360" w:lineRule="auto"/>
        <w:ind w:firstLine="480"/>
        <w:rPr>
          <w:rFonts w:hint="eastAsia" w:ascii="宋体" w:hAnsi="宋体" w:eastAsia="宋体" w:cs="宋体"/>
          <w:color w:val="auto"/>
          <w:sz w:val="44"/>
          <w:szCs w:val="44"/>
          <w:highlight w:val="none"/>
        </w:rPr>
      </w:pPr>
      <w:r>
        <w:rPr>
          <w:rFonts w:hint="eastAsia" w:ascii="宋体" w:hAnsi="宋体" w:eastAsia="宋体" w:cs="宋体"/>
          <w:color w:val="auto"/>
          <w:sz w:val="24"/>
          <w:highlight w:val="none"/>
        </w:rPr>
        <w:t>5.2电力交易结算电量以采购人计量点关口表计量的电量为结算依据。</w:t>
      </w:r>
    </w:p>
    <w:p w14:paraId="34F39BE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三、采购标的对应的中小企业划分标准所属行业一览表</w:t>
      </w:r>
    </w:p>
    <w:tbl>
      <w:tblPr>
        <w:tblStyle w:val="31"/>
        <w:tblW w:w="7969" w:type="dxa"/>
        <w:jc w:val="center"/>
        <w:tblCellSpacing w:w="0" w:type="dxa"/>
        <w:tblLayout w:type="fixed"/>
        <w:tblCellMar>
          <w:top w:w="0" w:type="dxa"/>
          <w:left w:w="108" w:type="dxa"/>
          <w:bottom w:w="0" w:type="dxa"/>
          <w:right w:w="108" w:type="dxa"/>
        </w:tblCellMar>
      </w:tblPr>
      <w:tblGrid>
        <w:gridCol w:w="794"/>
        <w:gridCol w:w="3543"/>
        <w:gridCol w:w="3632"/>
      </w:tblGrid>
      <w:tr w14:paraId="6FC6AEE4">
        <w:tblPrEx>
          <w:tblCellMar>
            <w:top w:w="0" w:type="dxa"/>
            <w:left w:w="108" w:type="dxa"/>
            <w:bottom w:w="0" w:type="dxa"/>
            <w:right w:w="108" w:type="dxa"/>
          </w:tblCellMar>
        </w:tblPrEx>
        <w:trPr>
          <w:tblCellSpacing w:w="0" w:type="dxa"/>
          <w:jc w:val="center"/>
        </w:trPr>
        <w:tc>
          <w:tcPr>
            <w:tcW w:w="794" w:type="dxa"/>
            <w:tcBorders>
              <w:top w:val="single" w:color="000000" w:sz="4" w:space="0"/>
              <w:left w:val="single" w:color="000000" w:sz="4" w:space="0"/>
              <w:bottom w:val="single" w:color="000000" w:sz="4" w:space="0"/>
              <w:right w:val="single" w:color="000000" w:sz="4" w:space="0"/>
            </w:tcBorders>
            <w:noWrap w:val="0"/>
            <w:vAlign w:val="center"/>
          </w:tcPr>
          <w:p w14:paraId="61A6C76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3543" w:type="dxa"/>
            <w:tcBorders>
              <w:top w:val="single" w:color="000000" w:sz="4" w:space="0"/>
              <w:left w:val="single" w:color="000000" w:sz="4" w:space="0"/>
              <w:bottom w:val="single" w:color="000000" w:sz="4" w:space="0"/>
              <w:right w:val="single" w:color="000000" w:sz="4" w:space="0"/>
            </w:tcBorders>
            <w:noWrap w:val="0"/>
            <w:vAlign w:val="center"/>
          </w:tcPr>
          <w:p w14:paraId="2D4B90E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采购标的</w:t>
            </w:r>
          </w:p>
        </w:tc>
        <w:tc>
          <w:tcPr>
            <w:tcW w:w="3632" w:type="dxa"/>
            <w:tcBorders>
              <w:top w:val="single" w:color="000000" w:sz="4" w:space="0"/>
              <w:left w:val="single" w:color="000000" w:sz="4" w:space="0"/>
              <w:bottom w:val="single" w:color="000000" w:sz="4" w:space="0"/>
              <w:right w:val="single" w:color="000000" w:sz="4" w:space="0"/>
            </w:tcBorders>
            <w:noWrap w:val="0"/>
            <w:vAlign w:val="center"/>
          </w:tcPr>
          <w:p w14:paraId="6EFB7A3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对应中小企业划分标准所属行业</w:t>
            </w:r>
          </w:p>
        </w:tc>
      </w:tr>
      <w:tr w14:paraId="22D1FA35">
        <w:tblPrEx>
          <w:tblCellMar>
            <w:top w:w="0" w:type="dxa"/>
            <w:left w:w="108" w:type="dxa"/>
            <w:bottom w:w="0" w:type="dxa"/>
            <w:right w:w="108" w:type="dxa"/>
          </w:tblCellMar>
        </w:tblPrEx>
        <w:trPr>
          <w:trHeight w:val="291" w:hRule="atLeast"/>
          <w:tblCellSpacing w:w="0" w:type="dxa"/>
          <w:jc w:val="center"/>
        </w:trPr>
        <w:tc>
          <w:tcPr>
            <w:tcW w:w="794" w:type="dxa"/>
            <w:tcBorders>
              <w:top w:val="single" w:color="000000" w:sz="4" w:space="0"/>
              <w:left w:val="single" w:color="000000" w:sz="4" w:space="0"/>
              <w:bottom w:val="single" w:color="000000" w:sz="4" w:space="0"/>
              <w:right w:val="single" w:color="000000" w:sz="4" w:space="0"/>
            </w:tcBorders>
            <w:noWrap w:val="0"/>
            <w:vAlign w:val="center"/>
          </w:tcPr>
          <w:p w14:paraId="5FAA471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3543" w:type="dxa"/>
            <w:tcBorders>
              <w:top w:val="single" w:color="000000" w:sz="4" w:space="0"/>
              <w:left w:val="single" w:color="000000" w:sz="4" w:space="0"/>
              <w:bottom w:val="single" w:color="000000" w:sz="4" w:space="0"/>
              <w:right w:val="single" w:color="000000" w:sz="4" w:space="0"/>
            </w:tcBorders>
            <w:noWrap w:val="0"/>
            <w:vAlign w:val="center"/>
          </w:tcPr>
          <w:p w14:paraId="7823B82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滨海县城市照明2026年度购电项目</w:t>
            </w:r>
          </w:p>
        </w:tc>
        <w:tc>
          <w:tcPr>
            <w:tcW w:w="3632" w:type="dxa"/>
            <w:tcBorders>
              <w:top w:val="single" w:color="000000" w:sz="4" w:space="0"/>
              <w:left w:val="single" w:color="000000" w:sz="4" w:space="0"/>
              <w:bottom w:val="single" w:color="000000" w:sz="4" w:space="0"/>
              <w:right w:val="single" w:color="000000" w:sz="4" w:space="0"/>
            </w:tcBorders>
            <w:noWrap w:val="0"/>
            <w:vAlign w:val="center"/>
          </w:tcPr>
          <w:p w14:paraId="0EA8B0E0">
            <w:pPr>
              <w:spacing w:line="360" w:lineRule="auto"/>
              <w:jc w:val="center"/>
              <w:rPr>
                <w:rFonts w:hint="eastAsia" w:ascii="宋体" w:hAnsi="宋体" w:eastAsia="宋体" w:cs="宋体"/>
                <w:color w:val="auto"/>
                <w:sz w:val="24"/>
                <w:highlight w:val="none"/>
              </w:rPr>
            </w:pPr>
            <w:r>
              <w:rPr>
                <w:rStyle w:val="34"/>
                <w:rFonts w:ascii="Segoe UI" w:hAnsi="Segoe UI" w:eastAsia="Segoe UI" w:cs="Segoe UI"/>
                <w:b w:val="0"/>
                <w:bCs/>
                <w:color w:val="auto"/>
                <w:sz w:val="24"/>
                <w:highlight w:val="none"/>
                <w:shd w:val="clear" w:color="auto" w:fill="FFFFFF"/>
              </w:rPr>
              <w:t>租赁和商务服务业</w:t>
            </w:r>
          </w:p>
        </w:tc>
      </w:tr>
    </w:tbl>
    <w:p w14:paraId="4DB06E10">
      <w:pPr>
        <w:pStyle w:val="29"/>
        <w:spacing w:beforeAutospacing="0" w:afterAutospacing="0"/>
        <w:jc w:val="both"/>
        <w:rPr>
          <w:rFonts w:hint="eastAsia" w:ascii="宋体" w:hAnsi="宋体" w:eastAsia="宋体" w:cs="宋体"/>
          <w:color w:val="auto"/>
          <w:highlight w:val="none"/>
        </w:rPr>
      </w:pPr>
    </w:p>
    <w:p w14:paraId="79161E18">
      <w:pPr>
        <w:pStyle w:val="29"/>
        <w:spacing w:beforeAutospacing="0" w:afterAutospacing="0"/>
        <w:jc w:val="both"/>
        <w:rPr>
          <w:rFonts w:hint="eastAsia" w:ascii="宋体" w:hAnsi="宋体" w:eastAsia="宋体" w:cs="宋体"/>
          <w:color w:val="auto"/>
          <w:highlight w:val="none"/>
        </w:rPr>
      </w:pPr>
    </w:p>
    <w:p w14:paraId="703780F0">
      <w:pPr>
        <w:pStyle w:val="29"/>
        <w:spacing w:beforeAutospacing="0" w:afterAutospacing="0"/>
        <w:jc w:val="both"/>
        <w:rPr>
          <w:rFonts w:hint="eastAsia" w:ascii="宋体" w:hAnsi="宋体" w:eastAsia="宋体" w:cs="宋体"/>
          <w:color w:val="auto"/>
          <w:highlight w:val="none"/>
        </w:rPr>
      </w:pPr>
    </w:p>
    <w:p w14:paraId="63393F65">
      <w:pPr>
        <w:pStyle w:val="29"/>
        <w:spacing w:beforeAutospacing="0" w:afterAutospacing="0"/>
        <w:jc w:val="both"/>
        <w:rPr>
          <w:rFonts w:hint="eastAsia" w:ascii="宋体" w:hAnsi="宋体" w:eastAsia="宋体" w:cs="宋体"/>
          <w:color w:val="auto"/>
          <w:highlight w:val="none"/>
        </w:rPr>
      </w:pPr>
    </w:p>
    <w:p w14:paraId="6D7DBA74">
      <w:pPr>
        <w:pStyle w:val="29"/>
        <w:spacing w:beforeAutospacing="0" w:afterAutospacing="0"/>
        <w:jc w:val="both"/>
        <w:rPr>
          <w:rFonts w:hint="eastAsia" w:ascii="宋体" w:hAnsi="宋体" w:eastAsia="宋体" w:cs="宋体"/>
          <w:color w:val="auto"/>
          <w:highlight w:val="none"/>
        </w:rPr>
      </w:pPr>
    </w:p>
    <w:p w14:paraId="1D723519">
      <w:pPr>
        <w:pStyle w:val="29"/>
        <w:spacing w:beforeAutospacing="0" w:afterAutospacing="0"/>
        <w:jc w:val="both"/>
        <w:rPr>
          <w:rFonts w:hint="eastAsia" w:ascii="宋体" w:hAnsi="宋体" w:eastAsia="宋体" w:cs="宋体"/>
          <w:color w:val="auto"/>
          <w:highlight w:val="none"/>
        </w:rPr>
      </w:pPr>
    </w:p>
    <w:p w14:paraId="45CB3A69">
      <w:pPr>
        <w:pStyle w:val="29"/>
        <w:spacing w:beforeAutospacing="0" w:afterAutospacing="0"/>
        <w:jc w:val="both"/>
        <w:rPr>
          <w:rFonts w:hint="eastAsia" w:ascii="宋体" w:hAnsi="宋体" w:eastAsia="宋体" w:cs="宋体"/>
          <w:color w:val="auto"/>
          <w:highlight w:val="none"/>
        </w:rPr>
      </w:pPr>
    </w:p>
    <w:p w14:paraId="57A4AA2B">
      <w:pPr>
        <w:pStyle w:val="29"/>
        <w:spacing w:beforeAutospacing="0" w:afterAutospacing="0"/>
        <w:jc w:val="both"/>
        <w:rPr>
          <w:rFonts w:hint="eastAsia" w:ascii="宋体" w:hAnsi="宋体" w:eastAsia="宋体" w:cs="宋体"/>
          <w:color w:val="auto"/>
          <w:highlight w:val="none"/>
        </w:rPr>
      </w:pPr>
    </w:p>
    <w:p w14:paraId="05EF0EAA">
      <w:pPr>
        <w:pStyle w:val="29"/>
        <w:spacing w:beforeAutospacing="0" w:afterAutospacing="0"/>
        <w:jc w:val="both"/>
        <w:rPr>
          <w:rFonts w:hint="eastAsia" w:ascii="宋体" w:hAnsi="宋体" w:eastAsia="宋体" w:cs="宋体"/>
          <w:color w:val="auto"/>
          <w:highlight w:val="none"/>
        </w:rPr>
      </w:pPr>
    </w:p>
    <w:p w14:paraId="4231F98E">
      <w:pPr>
        <w:pStyle w:val="29"/>
        <w:spacing w:beforeAutospacing="0" w:afterAutospacing="0"/>
        <w:jc w:val="both"/>
        <w:rPr>
          <w:rFonts w:hint="eastAsia" w:ascii="宋体" w:hAnsi="宋体" w:eastAsia="宋体" w:cs="宋体"/>
          <w:color w:val="auto"/>
          <w:highlight w:val="none"/>
        </w:rPr>
      </w:pPr>
    </w:p>
    <w:p w14:paraId="4F9F542F">
      <w:pPr>
        <w:pStyle w:val="29"/>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0B5F494">
      <w:pPr>
        <w:pStyle w:val="29"/>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第五章  </w:t>
      </w:r>
      <w:r>
        <w:rPr>
          <w:rFonts w:hint="eastAsia" w:ascii="宋体" w:hAnsi="宋体" w:eastAsia="宋体" w:cs="宋体"/>
          <w:b/>
          <w:color w:val="auto"/>
          <w:sz w:val="44"/>
          <w:szCs w:val="44"/>
          <w:highlight w:val="none"/>
        </w:rPr>
        <w:t>评标方法与评标标准</w:t>
      </w:r>
    </w:p>
    <w:p w14:paraId="29511D97">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B32581E">
      <w:pPr>
        <w:spacing w:line="360" w:lineRule="auto"/>
        <w:ind w:firstLine="422"/>
        <w:rPr>
          <w:rFonts w:hint="eastAsia" w:ascii="宋体" w:hAnsi="宋体" w:eastAsia="宋体" w:cs="宋体"/>
          <w:b/>
          <w:bCs/>
          <w:color w:val="auto"/>
          <w:sz w:val="24"/>
          <w:highlight w:val="none"/>
        </w:rPr>
      </w:pPr>
      <w:bookmarkStart w:id="167" w:name="_Hlk149904248"/>
      <w:r>
        <w:rPr>
          <w:rFonts w:hint="eastAsia" w:ascii="宋体" w:hAnsi="宋体" w:eastAsia="宋体" w:cs="宋体"/>
          <w:b/>
          <w:bCs/>
          <w:color w:val="auto"/>
          <w:sz w:val="24"/>
          <w:highlight w:val="none"/>
        </w:rPr>
        <w:t>一、定标原则</w:t>
      </w:r>
    </w:p>
    <w:p w14:paraId="0BBA4338">
      <w:pPr>
        <w:spacing w:line="360" w:lineRule="auto"/>
        <w:ind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1.1</w:t>
      </w:r>
      <w:r>
        <w:rPr>
          <w:rFonts w:hint="eastAsia" w:ascii="宋体" w:hAnsi="宋体" w:eastAsia="宋体" w:cs="宋体"/>
          <w:b w:val="0"/>
          <w:bCs/>
          <w:color w:val="auto"/>
          <w:sz w:val="24"/>
          <w:highlight w:val="none"/>
        </w:rPr>
        <w:t>本次评审采用最低评标价法：是指在投标文件能够满足招标文件全部实质性要求的投标人中，按评标价格由低到高排序，评标价格最低的为第一中标候选人，采购人确认为中标单位。评标单价价格=</w:t>
      </w:r>
      <w:r>
        <w:rPr>
          <w:rFonts w:hint="eastAsia" w:ascii="宋体" w:hAnsi="宋体" w:eastAsia="宋体" w:cs="宋体"/>
          <w:b w:val="0"/>
          <w:bCs/>
          <w:color w:val="auto"/>
          <w:sz w:val="24"/>
          <w:highlight w:val="none"/>
          <w:lang w:val="en-US" w:eastAsia="zh-CN"/>
        </w:rPr>
        <w:t>P</w:t>
      </w:r>
      <w:r>
        <w:rPr>
          <w:rFonts w:hint="eastAsia" w:ascii="宋体" w:hAnsi="宋体" w:eastAsia="宋体" w:cs="宋体"/>
          <w:b w:val="0"/>
          <w:bCs/>
          <w:color w:val="auto"/>
          <w:sz w:val="24"/>
          <w:highlight w:val="none"/>
          <w:vertAlign w:val="subscript"/>
          <w:lang w:val="en-US" w:eastAsia="zh-CN"/>
        </w:rPr>
        <w:t>浮动价格</w:t>
      </w:r>
      <w:r>
        <w:rPr>
          <w:rFonts w:hint="eastAsia" w:ascii="宋体" w:hAnsi="宋体" w:eastAsia="宋体" w:cs="宋体"/>
          <w:b w:val="0"/>
          <w:bCs/>
          <w:color w:val="auto"/>
          <w:sz w:val="24"/>
          <w:highlight w:val="none"/>
        </w:rPr>
        <w:t>。如两家或两家以上投标单位的评标价格相同且都为最低，由采购人代表现场随机抽取确定排序，抽取过程当场记录并归档。</w:t>
      </w:r>
    </w:p>
    <w:p w14:paraId="782B02A6">
      <w:pPr>
        <w:spacing w:line="360" w:lineRule="auto"/>
        <w:ind w:firstLine="482"/>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1.2 </w:t>
      </w:r>
      <w:r>
        <w:rPr>
          <w:rFonts w:hint="eastAsia" w:ascii="宋体" w:hAnsi="宋体" w:eastAsia="宋体" w:cs="宋体"/>
          <w:b w:val="0"/>
          <w:bCs/>
          <w:color w:val="auto"/>
          <w:sz w:val="24"/>
          <w:highlight w:val="none"/>
        </w:rPr>
        <w:t>最高限价</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单价</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投标人投标时高于</w:t>
      </w:r>
      <w:r>
        <w:rPr>
          <w:rFonts w:hint="eastAsia" w:ascii="宋体" w:hAnsi="宋体" w:eastAsia="宋体" w:cs="宋体"/>
          <w:b w:val="0"/>
          <w:bCs/>
          <w:color w:val="auto"/>
          <w:sz w:val="24"/>
          <w:highlight w:val="none"/>
        </w:rPr>
        <w:t>20 元/兆瓦时</w:t>
      </w:r>
      <w:r>
        <w:rPr>
          <w:rFonts w:hint="default"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20 元/兆瓦时= 0.02 元/千瓦时</w:t>
      </w:r>
      <w:r>
        <w:rPr>
          <w:rFonts w:hint="default"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的投标无效。</w:t>
      </w:r>
      <w:r>
        <w:rPr>
          <w:rFonts w:ascii="Segoe UI" w:hAnsi="Segoe UI" w:eastAsia="Segoe UI" w:cs="Segoe UI"/>
          <w:b w:val="0"/>
          <w:bCs/>
          <w:i w:val="0"/>
          <w:iCs w:val="0"/>
          <w:caps w:val="0"/>
          <w:color w:val="auto"/>
          <w:spacing w:val="0"/>
          <w:sz w:val="24"/>
          <w:szCs w:val="24"/>
          <w:highlight w:val="none"/>
          <w:shd w:val="clear" w:fill="FFFFFF"/>
        </w:rPr>
        <w:t>在苏采云项目设置中确认开标一览表单价项按"元/兆瓦时"</w:t>
      </w:r>
      <w:r>
        <w:rPr>
          <w:rFonts w:hint="eastAsia" w:ascii="Segoe UI" w:hAnsi="Segoe UI" w:eastAsia="宋体" w:cs="Segoe UI"/>
          <w:b w:val="0"/>
          <w:bCs/>
          <w:i w:val="0"/>
          <w:iCs w:val="0"/>
          <w:caps w:val="0"/>
          <w:color w:val="auto"/>
          <w:spacing w:val="0"/>
          <w:sz w:val="24"/>
          <w:szCs w:val="24"/>
          <w:highlight w:val="none"/>
          <w:shd w:val="clear" w:fill="FFFFFF"/>
          <w:lang w:val="en-US" w:eastAsia="zh-CN"/>
        </w:rPr>
        <w:t>统一</w:t>
      </w:r>
      <w:r>
        <w:rPr>
          <w:rFonts w:ascii="Segoe UI" w:hAnsi="Segoe UI" w:eastAsia="Segoe UI" w:cs="Segoe UI"/>
          <w:b w:val="0"/>
          <w:bCs/>
          <w:i w:val="0"/>
          <w:iCs w:val="0"/>
          <w:caps w:val="0"/>
          <w:color w:val="auto"/>
          <w:spacing w:val="0"/>
          <w:sz w:val="24"/>
          <w:szCs w:val="24"/>
          <w:highlight w:val="none"/>
          <w:shd w:val="clear" w:fill="FFFFFF"/>
        </w:rPr>
        <w:t>填报</w:t>
      </w:r>
      <w:r>
        <w:rPr>
          <w:rFonts w:hint="eastAsia" w:ascii="Segoe UI" w:hAnsi="Segoe UI" w:eastAsia="宋体" w:cs="Segoe UI"/>
          <w:b w:val="0"/>
          <w:bCs/>
          <w:i w:val="0"/>
          <w:iCs w:val="0"/>
          <w:caps w:val="0"/>
          <w:color w:val="auto"/>
          <w:spacing w:val="0"/>
          <w:sz w:val="24"/>
          <w:szCs w:val="24"/>
          <w:highlight w:val="none"/>
          <w:shd w:val="clear" w:fill="FFFFFF"/>
          <w:lang w:eastAsia="zh-CN"/>
        </w:rPr>
        <w:t>。</w:t>
      </w:r>
      <w:r>
        <w:rPr>
          <w:rFonts w:hint="eastAsia" w:ascii="宋体" w:hAnsi="宋体" w:eastAsia="宋体" w:cs="宋体"/>
          <w:b w:val="0"/>
          <w:bCs/>
          <w:color w:val="auto"/>
          <w:sz w:val="24"/>
          <w:highlight w:val="none"/>
          <w:lang w:val="en-US" w:eastAsia="zh-CN"/>
        </w:rPr>
        <w:t>精确到</w:t>
      </w:r>
      <w:r>
        <w:rPr>
          <w:rFonts w:hint="eastAsia" w:ascii="宋体" w:hAnsi="宋体" w:eastAsia="宋体" w:cs="宋体"/>
          <w:b w:val="0"/>
          <w:bCs/>
          <w:color w:val="auto"/>
          <w:sz w:val="24"/>
          <w:highlight w:val="none"/>
        </w:rPr>
        <w:t>小数</w:t>
      </w:r>
      <w:r>
        <w:rPr>
          <w:rFonts w:hint="eastAsia" w:ascii="宋体" w:hAnsi="宋体" w:eastAsia="宋体" w:cs="宋体"/>
          <w:b w:val="0"/>
          <w:bCs/>
          <w:color w:val="auto"/>
          <w:sz w:val="24"/>
          <w:highlight w:val="none"/>
          <w:lang w:val="en-US" w:eastAsia="zh-CN"/>
        </w:rPr>
        <w:t>点后</w:t>
      </w:r>
      <w:r>
        <w:rPr>
          <w:rFonts w:hint="eastAsia" w:ascii="宋体" w:hAnsi="宋体" w:eastAsia="宋体" w:cs="宋体"/>
          <w:b w:val="0"/>
          <w:bCs/>
          <w:color w:val="auto"/>
          <w:sz w:val="24"/>
          <w:highlight w:val="none"/>
        </w:rPr>
        <w:t>两位</w:t>
      </w:r>
      <w:r>
        <w:rPr>
          <w:rFonts w:hint="eastAsia" w:ascii="宋体" w:hAnsi="宋体" w:eastAsia="宋体" w:cs="宋体"/>
          <w:b w:val="0"/>
          <w:bCs/>
          <w:color w:val="auto"/>
          <w:sz w:val="24"/>
          <w:highlight w:val="none"/>
          <w:lang w:eastAsia="zh-CN"/>
        </w:rPr>
        <w:t>。</w:t>
      </w:r>
    </w:p>
    <w:p w14:paraId="3C36DB18">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二、报价说明</w:t>
      </w:r>
    </w:p>
    <w:p w14:paraId="7DE3A13B">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b/>
          <w:color w:val="auto"/>
          <w:sz w:val="24"/>
          <w:highlight w:val="none"/>
        </w:rPr>
        <w:t>报价说明：</w:t>
      </w:r>
      <w:r>
        <w:rPr>
          <w:rFonts w:hint="eastAsia" w:ascii="宋体" w:hAnsi="宋体" w:eastAsia="宋体" w:cs="宋体"/>
          <w:b w:val="0"/>
          <w:bCs/>
          <w:color w:val="auto"/>
          <w:sz w:val="24"/>
          <w:highlight w:val="none"/>
          <w:lang w:val="en-US" w:eastAsia="zh-CN"/>
        </w:rPr>
        <w:t>按照江苏省电力交易中心苏电交易〔2026〕11号文件，即《2027年江苏电力零售市场交易工作指引》的规定，</w:t>
      </w:r>
      <w:r>
        <w:rPr>
          <w:rFonts w:hint="eastAsia" w:ascii="宋体" w:hAnsi="宋体" w:eastAsia="宋体" w:cs="宋体"/>
          <w:b w:val="0"/>
          <w:bCs/>
          <w:color w:val="auto"/>
          <w:sz w:val="24"/>
          <w:highlight w:val="none"/>
        </w:rPr>
        <w:t>甲方市场化成交电价按零售套餐</w:t>
      </w:r>
      <w:r>
        <w:rPr>
          <w:rFonts w:hint="eastAsia" w:ascii="宋体" w:hAnsi="宋体" w:eastAsia="宋体" w:cs="宋体"/>
          <w:b w:val="0"/>
          <w:bCs/>
          <w:color w:val="auto"/>
          <w:sz w:val="24"/>
          <w:highlight w:val="none"/>
          <w:lang w:val="en-US" w:eastAsia="zh-CN"/>
        </w:rPr>
        <w:t>电能量价格</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批发市场价格+浮动价格+K</w:t>
      </w:r>
      <w:r>
        <w:rPr>
          <w:rFonts w:hint="eastAsia" w:ascii="宋体" w:hAnsi="宋体" w:eastAsia="宋体" w:cs="宋体"/>
          <w:b w:val="0"/>
          <w:bCs/>
          <w:color w:val="auto"/>
          <w:sz w:val="24"/>
          <w:highlight w:val="none"/>
          <w:vertAlign w:val="subscript"/>
          <w:lang w:val="en-US" w:eastAsia="zh-CN"/>
        </w:rPr>
        <w:t>分摊</w:t>
      </w:r>
      <w:r>
        <w:rPr>
          <w:rFonts w:hint="eastAsia" w:ascii="宋体" w:hAnsi="宋体" w:eastAsia="宋体" w:cs="宋体"/>
          <w:b w:val="0"/>
          <w:bCs/>
          <w:color w:val="auto"/>
          <w:sz w:val="24"/>
          <w:highlight w:val="none"/>
          <w:lang w:val="en-US" w:eastAsia="zh-CN"/>
        </w:rPr>
        <w:t>*当月分摊价格。</w:t>
      </w:r>
    </w:p>
    <w:p w14:paraId="68189C16">
      <w:pPr>
        <w:spacing w:line="360" w:lineRule="auto"/>
        <w:ind w:firstLine="48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零售套餐</w:t>
      </w:r>
      <w:r>
        <w:rPr>
          <w:rFonts w:hint="eastAsia" w:ascii="宋体" w:hAnsi="宋体" w:eastAsia="宋体" w:cs="宋体"/>
          <w:b w:val="0"/>
          <w:bCs/>
          <w:color w:val="auto"/>
          <w:sz w:val="24"/>
          <w:highlight w:val="none"/>
          <w:lang w:val="en-US" w:eastAsia="zh-CN"/>
        </w:rPr>
        <w:t>电能量价格</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val="en-US" w:eastAsia="zh-CN"/>
        </w:rPr>
        <w:t>批发市场价格+浮动价格+K</w:t>
      </w:r>
      <w:r>
        <w:rPr>
          <w:rFonts w:hint="eastAsia" w:ascii="宋体" w:hAnsi="宋体" w:eastAsia="宋体" w:cs="宋体"/>
          <w:b w:val="0"/>
          <w:bCs/>
          <w:color w:val="auto"/>
          <w:sz w:val="24"/>
          <w:highlight w:val="none"/>
          <w:vertAlign w:val="subscript"/>
          <w:lang w:val="en-US" w:eastAsia="zh-CN"/>
        </w:rPr>
        <w:t>分摊</w:t>
      </w:r>
      <w:r>
        <w:rPr>
          <w:rFonts w:hint="eastAsia" w:ascii="宋体" w:hAnsi="宋体" w:eastAsia="宋体" w:cs="宋体"/>
          <w:b w:val="0"/>
          <w:bCs/>
          <w:color w:val="auto"/>
          <w:sz w:val="24"/>
          <w:highlight w:val="none"/>
          <w:lang w:val="en-US" w:eastAsia="zh-CN"/>
        </w:rPr>
        <w:t>*当月分摊价格。其中，批发市场价格由所有售电公司在批发侧中长期市场、日前市场以及</w:t>
      </w:r>
      <w:r>
        <w:rPr>
          <w:rFonts w:hint="eastAsia" w:ascii="宋体" w:hAnsi="宋体" w:eastAsia="宋体" w:cs="宋体"/>
          <w:b w:val="0"/>
          <w:bCs w:val="0"/>
          <w:color w:val="auto"/>
          <w:sz w:val="24"/>
          <w:highlight w:val="none"/>
          <w:lang w:val="en-US" w:eastAsia="zh-CN"/>
        </w:rPr>
        <w:t>实时市场</w:t>
      </w:r>
      <w:r>
        <w:rPr>
          <w:rFonts w:hint="eastAsia" w:ascii="宋体" w:hAnsi="宋体" w:eastAsia="宋体" w:cs="宋体"/>
          <w:b w:val="0"/>
          <w:bCs/>
          <w:color w:val="auto"/>
          <w:sz w:val="24"/>
          <w:highlight w:val="none"/>
          <w:lang w:val="en-US" w:eastAsia="zh-CN"/>
        </w:rPr>
        <w:t>整体分时电能量购电量价水平确定；K</w:t>
      </w:r>
      <w:r>
        <w:rPr>
          <w:rFonts w:hint="eastAsia" w:ascii="宋体" w:hAnsi="宋体" w:eastAsia="宋体" w:cs="宋体"/>
          <w:b w:val="0"/>
          <w:bCs/>
          <w:color w:val="auto"/>
          <w:sz w:val="24"/>
          <w:highlight w:val="none"/>
          <w:vertAlign w:val="subscript"/>
          <w:lang w:val="en-US" w:eastAsia="zh-CN"/>
        </w:rPr>
        <w:t>分摊1</w:t>
      </w:r>
      <w:r>
        <w:rPr>
          <w:rFonts w:hint="eastAsia" w:ascii="宋体" w:hAnsi="宋体" w:eastAsia="宋体" w:cs="宋体"/>
          <w:b w:val="0"/>
          <w:bCs/>
          <w:color w:val="auto"/>
          <w:sz w:val="24"/>
          <w:highlight w:val="none"/>
          <w:lang w:val="en-US" w:eastAsia="zh-CN"/>
        </w:rPr>
        <w:t>为100%、K</w:t>
      </w:r>
      <w:r>
        <w:rPr>
          <w:rFonts w:hint="eastAsia" w:ascii="宋体" w:hAnsi="宋体" w:eastAsia="宋体" w:cs="宋体"/>
          <w:b w:val="0"/>
          <w:bCs/>
          <w:color w:val="auto"/>
          <w:sz w:val="24"/>
          <w:highlight w:val="none"/>
          <w:vertAlign w:val="subscript"/>
          <w:lang w:val="en-US" w:eastAsia="zh-CN"/>
        </w:rPr>
        <w:t>分摊2</w:t>
      </w:r>
      <w:r>
        <w:rPr>
          <w:rFonts w:hint="eastAsia" w:ascii="宋体" w:hAnsi="宋体" w:eastAsia="宋体" w:cs="宋体"/>
          <w:b w:val="0"/>
          <w:bCs/>
          <w:color w:val="auto"/>
          <w:sz w:val="24"/>
          <w:highlight w:val="none"/>
          <w:lang w:val="en-US" w:eastAsia="zh-CN"/>
        </w:rPr>
        <w:t>为70%、K分摊3为50%。本项目浮动价格为不分时段的统一浮动价格（分时套餐下各时段执行同一浮动价格），合同期内按中标浮动价格执行，不作调整。</w:t>
      </w:r>
    </w:p>
    <w:p w14:paraId="62065D28">
      <w:pPr>
        <w:spacing w:line="360" w:lineRule="auto"/>
        <w:ind w:firstLine="480"/>
        <w:rPr>
          <w:rFonts w:hint="default" w:ascii="宋体" w:hAnsi="宋体" w:eastAsia="宋体" w:cs="宋体"/>
          <w:b w:val="0"/>
          <w:bCs/>
          <w:color w:val="auto"/>
          <w:sz w:val="24"/>
          <w:highlight w:val="none"/>
          <w:lang w:val="en-US"/>
        </w:rPr>
      </w:pPr>
      <w:r>
        <w:rPr>
          <w:rFonts w:hint="eastAsia" w:ascii="宋体" w:hAnsi="宋体" w:eastAsia="宋体" w:cs="宋体"/>
          <w:b w:val="0"/>
          <w:bCs/>
          <w:color w:val="auto"/>
          <w:sz w:val="24"/>
          <w:highlight w:val="none"/>
          <w:lang w:val="en-US" w:eastAsia="zh-CN"/>
        </w:rPr>
        <w:t>电能量封顶价格=零售套餐参考价格+F*批发市场价格+当月分摊价格。当零售用户通过零售套餐结算的电能量均价大于电能量封顶价格时，按照电能量封顶价格结算。其中，零售套餐参考价格由自身用电曲线与中长期年度市场、月度市场、月内市场、日前市场、实时市场等价格水平分时取最大值后确定；F为0。</w:t>
      </w:r>
    </w:p>
    <w:p w14:paraId="33EB66C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三、政府采购政策功能落实</w:t>
      </w:r>
      <w:bookmarkEnd w:id="167"/>
    </w:p>
    <w:p w14:paraId="4C94CF9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1、小微型企业价格扣除</w:t>
      </w:r>
    </w:p>
    <w:p w14:paraId="695AA62B">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rPr>
        <w:t>（1）本项目不专门面向中小企业采购，对符合规定的小型和微型企业报价给予20%的扣除价格，用扣除后的价格参与评审。</w:t>
      </w:r>
      <w:r>
        <w:rPr>
          <w:rFonts w:hint="eastAsia" w:ascii="宋体" w:hAnsi="宋体" w:eastAsia="宋体" w:cs="宋体"/>
          <w:b w:val="0"/>
          <w:bCs/>
          <w:color w:val="auto"/>
          <w:sz w:val="24"/>
          <w:highlight w:val="none"/>
        </w:rPr>
        <w:t>注：上述价格扣除针对本章规定的评标</w:t>
      </w:r>
      <w:r>
        <w:rPr>
          <w:rFonts w:hint="eastAsia" w:ascii="宋体" w:hAnsi="宋体" w:eastAsia="宋体" w:cs="宋体"/>
          <w:b w:val="0"/>
          <w:bCs/>
          <w:color w:val="auto"/>
          <w:sz w:val="24"/>
          <w:highlight w:val="none"/>
          <w:lang w:val="en-US" w:eastAsia="zh-CN"/>
        </w:rPr>
        <w:t>单价</w:t>
      </w:r>
      <w:r>
        <w:rPr>
          <w:rFonts w:hint="eastAsia" w:ascii="宋体" w:hAnsi="宋体" w:eastAsia="宋体" w:cs="宋体"/>
          <w:b w:val="0"/>
          <w:bCs/>
          <w:color w:val="auto"/>
          <w:sz w:val="24"/>
          <w:highlight w:val="none"/>
        </w:rPr>
        <w:t>价格（</w:t>
      </w:r>
      <w:r>
        <w:rPr>
          <w:rFonts w:hint="eastAsia" w:ascii="宋体" w:hAnsi="宋体" w:eastAsia="宋体" w:cs="宋体"/>
          <w:b w:val="0"/>
          <w:bCs/>
          <w:color w:val="auto"/>
          <w:sz w:val="24"/>
          <w:highlight w:val="none"/>
          <w:lang w:val="en-US" w:eastAsia="zh-CN"/>
        </w:rPr>
        <w:t>P</w:t>
      </w:r>
      <w:r>
        <w:rPr>
          <w:rFonts w:hint="eastAsia" w:ascii="宋体" w:hAnsi="宋体" w:eastAsia="宋体" w:cs="宋体"/>
          <w:b w:val="0"/>
          <w:bCs/>
          <w:color w:val="auto"/>
          <w:sz w:val="24"/>
          <w:highlight w:val="none"/>
          <w:vertAlign w:val="subscript"/>
          <w:lang w:val="en-US" w:eastAsia="zh-CN"/>
        </w:rPr>
        <w:t>浮动价格</w:t>
      </w:r>
      <w:r>
        <w:rPr>
          <w:rFonts w:hint="eastAsia" w:ascii="宋体" w:hAnsi="宋体" w:eastAsia="宋体" w:cs="宋体"/>
          <w:b w:val="0"/>
          <w:bCs/>
          <w:color w:val="auto"/>
          <w:sz w:val="24"/>
          <w:highlight w:val="none"/>
        </w:rPr>
        <w:t>）执行，即小微企业评标价格=</w:t>
      </w:r>
      <w:r>
        <w:rPr>
          <w:rFonts w:hint="eastAsia" w:ascii="宋体" w:hAnsi="宋体" w:eastAsia="宋体" w:cs="宋体"/>
          <w:b w:val="0"/>
          <w:bCs/>
          <w:color w:val="auto"/>
          <w:sz w:val="24"/>
          <w:highlight w:val="none"/>
          <w:lang w:val="en-US" w:eastAsia="zh-CN"/>
        </w:rPr>
        <w:t>P</w:t>
      </w:r>
      <w:r>
        <w:rPr>
          <w:rFonts w:hint="eastAsia" w:ascii="宋体" w:hAnsi="宋体" w:eastAsia="宋体" w:cs="宋体"/>
          <w:b w:val="0"/>
          <w:bCs/>
          <w:color w:val="auto"/>
          <w:sz w:val="24"/>
          <w:highlight w:val="none"/>
          <w:vertAlign w:val="subscript"/>
          <w:lang w:val="en-US" w:eastAsia="zh-CN"/>
        </w:rPr>
        <w:t>浮动价格</w:t>
      </w:r>
      <w:r>
        <w:rPr>
          <w:rFonts w:hint="eastAsia" w:ascii="宋体" w:hAnsi="宋体" w:eastAsia="宋体" w:cs="宋体"/>
          <w:b w:val="0"/>
          <w:bCs/>
          <w:color w:val="auto"/>
          <w:sz w:val="24"/>
          <w:highlight w:val="none"/>
        </w:rPr>
        <w:t>×（1-20%），下同。</w:t>
      </w:r>
    </w:p>
    <w:p w14:paraId="247050B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（2）供应商需按照采购文件的要求提供相应的《小微企业声明函》。</w:t>
      </w:r>
    </w:p>
    <w:p w14:paraId="41F1CC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（3）企业标准请参照《关于印发中小企业划型标准规定的通知》（工信部联企业[2011]300号）文件规定自行填写。</w:t>
      </w:r>
    </w:p>
    <w:p w14:paraId="6C3175B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2、残疾人福利单位价格扣除</w:t>
      </w:r>
    </w:p>
    <w:p w14:paraId="595D9F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（1）本项目不专门面向中小企业采购，对符合规定的小型和微型企业报价给予20%的扣除价格，用扣除后的价格参与评审。</w:t>
      </w:r>
    </w:p>
    <w:p w14:paraId="4260A50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（2）残疾人福利单位需按照采购文件的要求提供《残疾人福利性单位声明函》。</w:t>
      </w:r>
    </w:p>
    <w:p w14:paraId="65EB31A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（3）残疾人福利单位标准请参照《关于促进残疾人就业政府采购政策的通知》（财库〔2017〕141号）。</w:t>
      </w:r>
    </w:p>
    <w:p w14:paraId="0DEDB12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3、监狱和戒毒企业价格扣除</w:t>
      </w:r>
    </w:p>
    <w:p w14:paraId="55B3053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（1）本项目对监狱和戒毒企业（简称监狱企业）视同小型、微型企业，给予20%的价格扣除。</w:t>
      </w:r>
    </w:p>
    <w:p w14:paraId="2327ACD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725E2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（3）监狱企业标准请参照《关于政府采购支持监狱企业发展有关问题的通知》（财库[2014]68号）。</w:t>
      </w:r>
    </w:p>
    <w:p w14:paraId="6F07D71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4、残疾人福利单位、监狱企业属于小型、微型企业的，不重复享受政策。</w:t>
      </w:r>
    </w:p>
    <w:p w14:paraId="6F8794C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2F16BB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6、联合体各方均为小型、微型企业（残疾人福利单位、监狱企业）的，联合体享受20%的价格扣除。</w:t>
      </w:r>
    </w:p>
    <w:p w14:paraId="7A5DDE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A68240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四、评标标准</w:t>
      </w:r>
    </w:p>
    <w:p w14:paraId="178C6DC9">
      <w:pPr>
        <w:spacing w:line="360" w:lineRule="auto"/>
        <w:ind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本次评审采用最低评标价法：是指在投标文件能够满足招标文件全部实质性要求的投标人中，按评标价格由低到高排序，评标价格最低的为第一中标候选人，采购人确认为中标单位。评标价格=</w:t>
      </w:r>
      <w:r>
        <w:rPr>
          <w:rFonts w:hint="eastAsia" w:ascii="宋体" w:hAnsi="宋体" w:eastAsia="宋体" w:cs="宋体"/>
          <w:b w:val="0"/>
          <w:bCs/>
          <w:color w:val="auto"/>
          <w:sz w:val="24"/>
          <w:highlight w:val="none"/>
          <w:lang w:val="en-US" w:eastAsia="zh-CN"/>
        </w:rPr>
        <w:t>P</w:t>
      </w:r>
      <w:r>
        <w:rPr>
          <w:rFonts w:hint="eastAsia" w:ascii="宋体" w:hAnsi="宋体" w:eastAsia="宋体" w:cs="宋体"/>
          <w:b w:val="0"/>
          <w:bCs/>
          <w:color w:val="auto"/>
          <w:sz w:val="24"/>
          <w:highlight w:val="none"/>
          <w:vertAlign w:val="subscript"/>
          <w:lang w:val="en-US" w:eastAsia="zh-CN"/>
        </w:rPr>
        <w:t>浮动价格</w:t>
      </w:r>
      <w:r>
        <w:rPr>
          <w:rFonts w:hint="eastAsia" w:ascii="宋体" w:hAnsi="宋体" w:eastAsia="宋体" w:cs="宋体"/>
          <w:b w:val="0"/>
          <w:bCs/>
          <w:color w:val="auto"/>
          <w:sz w:val="24"/>
          <w:highlight w:val="none"/>
        </w:rPr>
        <w:t>，其中</w:t>
      </w:r>
      <w:r>
        <w:rPr>
          <w:rFonts w:hint="eastAsia" w:ascii="宋体" w:hAnsi="宋体" w:eastAsia="宋体" w:cs="宋体"/>
          <w:b w:val="0"/>
          <w:bCs/>
          <w:color w:val="auto"/>
          <w:sz w:val="24"/>
          <w:highlight w:val="none"/>
          <w:lang w:val="en-US" w:eastAsia="zh-CN"/>
        </w:rPr>
        <w:t>P</w:t>
      </w:r>
      <w:r>
        <w:rPr>
          <w:rFonts w:hint="eastAsia" w:ascii="宋体" w:hAnsi="宋体" w:eastAsia="宋体" w:cs="宋体"/>
          <w:b w:val="0"/>
          <w:bCs/>
          <w:color w:val="auto"/>
          <w:sz w:val="24"/>
          <w:highlight w:val="none"/>
          <w:vertAlign w:val="subscript"/>
          <w:lang w:val="en-US" w:eastAsia="zh-CN"/>
        </w:rPr>
        <w:t>浮动价格</w:t>
      </w:r>
      <w:r>
        <w:rPr>
          <w:rFonts w:hint="eastAsia" w:ascii="宋体" w:hAnsi="宋体" w:eastAsia="宋体" w:cs="宋体"/>
          <w:b w:val="0"/>
          <w:bCs/>
          <w:color w:val="auto"/>
          <w:sz w:val="24"/>
          <w:highlight w:val="none"/>
        </w:rPr>
        <w:t>以开标一览表填报为准。如两家或两家以上投标单位的评标价格相同且都为最低，由采购人代表现场随机抽取确定排序，抽取过程当场记录并归档。</w:t>
      </w:r>
      <w:r>
        <w:rPr>
          <w:rFonts w:hint="eastAsia" w:ascii="宋体" w:hAnsi="宋体" w:eastAsia="宋体" w:cs="宋体"/>
          <w:b w:val="0"/>
          <w:bCs/>
          <w:color w:val="auto"/>
          <w:sz w:val="24"/>
          <w:highlight w:val="none"/>
        </w:rPr>
        <w:t>价格扣除后的评标价格仅用于评审排序，中标后按中标人投标报价的浮动价格签订合同并据以结算。</w:t>
      </w:r>
    </w:p>
    <w:p w14:paraId="795C1D45">
      <w:pPr>
        <w:spacing w:line="360" w:lineRule="auto"/>
        <w:ind w:firstLine="482"/>
        <w:jc w:val="both"/>
        <w:rPr>
          <w:rFonts w:hint="default" w:ascii="宋体" w:hAnsi="宋体" w:eastAsia="宋体" w:cs="宋体"/>
          <w:b w:val="0"/>
          <w:bCs/>
          <w:color w:val="FF0000"/>
          <w:sz w:val="24"/>
          <w:highlight w:val="none"/>
          <w:lang w:val="en-US" w:eastAsia="zh-CN"/>
        </w:rPr>
      </w:pPr>
      <w:r>
        <w:rPr>
          <w:rFonts w:hint="eastAsia" w:ascii="宋体" w:hAnsi="宋体" w:eastAsia="宋体" w:cs="宋体"/>
          <w:b w:val="0"/>
          <w:bCs/>
          <w:i/>
          <w:iCs/>
          <w:color w:val="FF0000"/>
          <w:sz w:val="24"/>
          <w:highlight w:val="none"/>
        </w:rPr>
        <w:t>零售套餐中的浮动价格，不低于0元/兆瓦时；低于0元/兆瓦时（即负价）或高于20元/兆瓦时（20元/兆瓦时=0.02元/千瓦时）时，评标委员会认定为无效标书。</w:t>
      </w:r>
    </w:p>
    <w:p w14:paraId="784E5337">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7BA9EC0">
      <w:pPr>
        <w:pStyle w:val="29"/>
        <w:spacing w:beforeAutospacing="0" w:afterAutospacing="0"/>
        <w:jc w:val="both"/>
        <w:rPr>
          <w:rFonts w:hint="eastAsia" w:ascii="宋体" w:hAnsi="宋体" w:eastAsia="宋体" w:cs="宋体"/>
          <w:color w:val="auto"/>
          <w:highlight w:val="none"/>
        </w:rPr>
      </w:pPr>
    </w:p>
    <w:p w14:paraId="71C0FF84">
      <w:pPr>
        <w:pStyle w:val="29"/>
        <w:spacing w:beforeAutospacing="0" w:afterAutospacing="0"/>
        <w:jc w:val="both"/>
        <w:rPr>
          <w:rFonts w:hint="eastAsia" w:ascii="宋体" w:hAnsi="宋体" w:eastAsia="宋体" w:cs="宋体"/>
          <w:color w:val="auto"/>
          <w:highlight w:val="none"/>
        </w:rPr>
      </w:pPr>
    </w:p>
    <w:p w14:paraId="62B60382">
      <w:pPr>
        <w:pStyle w:val="29"/>
        <w:spacing w:beforeAutospacing="0" w:afterAutospacing="0"/>
        <w:jc w:val="both"/>
        <w:rPr>
          <w:rFonts w:hint="eastAsia" w:ascii="宋体" w:hAnsi="宋体" w:eastAsia="宋体" w:cs="宋体"/>
          <w:color w:val="auto"/>
          <w:highlight w:val="none"/>
        </w:rPr>
      </w:pPr>
    </w:p>
    <w:p w14:paraId="7FBC88F3">
      <w:pPr>
        <w:pStyle w:val="29"/>
        <w:spacing w:beforeAutospacing="0" w:afterAutospacing="0"/>
        <w:jc w:val="both"/>
        <w:rPr>
          <w:rFonts w:hint="eastAsia" w:ascii="宋体" w:hAnsi="宋体" w:eastAsia="宋体" w:cs="宋体"/>
          <w:color w:val="auto"/>
          <w:highlight w:val="none"/>
        </w:rPr>
      </w:pPr>
    </w:p>
    <w:p w14:paraId="681881DF">
      <w:pPr>
        <w:pStyle w:val="29"/>
        <w:spacing w:beforeAutospacing="0" w:afterAutospacing="0"/>
        <w:jc w:val="both"/>
        <w:rPr>
          <w:rFonts w:hint="eastAsia" w:ascii="宋体" w:hAnsi="宋体" w:eastAsia="宋体" w:cs="宋体"/>
          <w:color w:val="auto"/>
          <w:highlight w:val="none"/>
        </w:rPr>
      </w:pPr>
    </w:p>
    <w:p w14:paraId="39338D9C">
      <w:pPr>
        <w:pStyle w:val="29"/>
        <w:spacing w:beforeAutospacing="0" w:afterAutospacing="0"/>
        <w:jc w:val="both"/>
        <w:rPr>
          <w:rFonts w:hint="eastAsia" w:ascii="宋体" w:hAnsi="宋体" w:eastAsia="宋体" w:cs="宋体"/>
          <w:color w:val="auto"/>
          <w:highlight w:val="none"/>
        </w:rPr>
      </w:pPr>
    </w:p>
    <w:p w14:paraId="22A1BF6B">
      <w:pPr>
        <w:pStyle w:val="29"/>
        <w:spacing w:beforeAutospacing="0" w:afterAutospacing="0"/>
        <w:jc w:val="both"/>
        <w:rPr>
          <w:rFonts w:hint="eastAsia" w:ascii="宋体" w:hAnsi="宋体" w:eastAsia="宋体" w:cs="宋体"/>
          <w:color w:val="auto"/>
          <w:highlight w:val="none"/>
        </w:rPr>
      </w:pPr>
    </w:p>
    <w:p w14:paraId="50F18267">
      <w:pPr>
        <w:pStyle w:val="29"/>
        <w:spacing w:beforeAutospacing="0" w:afterAutospacing="0"/>
        <w:jc w:val="both"/>
        <w:rPr>
          <w:rFonts w:hint="eastAsia" w:ascii="宋体" w:hAnsi="宋体" w:eastAsia="宋体" w:cs="宋体"/>
          <w:color w:val="auto"/>
          <w:highlight w:val="none"/>
        </w:rPr>
      </w:pPr>
    </w:p>
    <w:p w14:paraId="3708CEFC">
      <w:pPr>
        <w:pStyle w:val="29"/>
        <w:spacing w:beforeAutospacing="0" w:afterAutospacing="0"/>
        <w:jc w:val="both"/>
        <w:rPr>
          <w:rFonts w:hint="eastAsia" w:ascii="宋体" w:hAnsi="宋体" w:eastAsia="宋体" w:cs="宋体"/>
          <w:color w:val="auto"/>
          <w:highlight w:val="none"/>
        </w:rPr>
      </w:pPr>
    </w:p>
    <w:p w14:paraId="644D080E">
      <w:pPr>
        <w:pStyle w:val="29"/>
        <w:spacing w:beforeAutospacing="0" w:afterAutospacing="0"/>
        <w:jc w:val="both"/>
        <w:rPr>
          <w:rFonts w:hint="eastAsia" w:ascii="宋体" w:hAnsi="宋体" w:eastAsia="宋体" w:cs="宋体"/>
          <w:color w:val="auto"/>
          <w:highlight w:val="none"/>
        </w:rPr>
      </w:pPr>
    </w:p>
    <w:p w14:paraId="6FCCADDD">
      <w:pPr>
        <w:pStyle w:val="29"/>
        <w:spacing w:beforeAutospacing="0" w:afterAutospacing="0"/>
        <w:jc w:val="both"/>
        <w:rPr>
          <w:rFonts w:hint="eastAsia" w:ascii="宋体" w:hAnsi="宋体" w:eastAsia="宋体" w:cs="宋体"/>
          <w:color w:val="auto"/>
          <w:highlight w:val="none"/>
        </w:rPr>
      </w:pPr>
    </w:p>
    <w:p w14:paraId="2D57D087">
      <w:pPr>
        <w:pStyle w:val="29"/>
        <w:spacing w:beforeAutospacing="0" w:afterAutospacing="0"/>
        <w:jc w:val="both"/>
        <w:rPr>
          <w:rFonts w:hint="eastAsia" w:ascii="宋体" w:hAnsi="宋体" w:eastAsia="宋体" w:cs="宋体"/>
          <w:color w:val="auto"/>
          <w:highlight w:val="none"/>
        </w:rPr>
      </w:pPr>
    </w:p>
    <w:p w14:paraId="0C0391A9">
      <w:pPr>
        <w:pStyle w:val="29"/>
        <w:spacing w:beforeAutospacing="0" w:afterAutospacing="0"/>
        <w:jc w:val="both"/>
        <w:rPr>
          <w:rFonts w:hint="eastAsia" w:ascii="宋体" w:hAnsi="宋体" w:eastAsia="宋体" w:cs="宋体"/>
          <w:color w:val="auto"/>
          <w:highlight w:val="none"/>
        </w:rPr>
      </w:pPr>
    </w:p>
    <w:p w14:paraId="13CFDB05">
      <w:pPr>
        <w:pStyle w:val="29"/>
        <w:spacing w:beforeAutospacing="0" w:afterAutospacing="0"/>
        <w:jc w:val="both"/>
        <w:rPr>
          <w:rFonts w:hint="eastAsia" w:ascii="宋体" w:hAnsi="宋体" w:eastAsia="宋体" w:cs="宋体"/>
          <w:color w:val="auto"/>
          <w:highlight w:val="none"/>
        </w:rPr>
      </w:pPr>
    </w:p>
    <w:p w14:paraId="0B6709CE">
      <w:pPr>
        <w:pStyle w:val="29"/>
        <w:spacing w:beforeAutospacing="0" w:afterAutospacing="0"/>
        <w:jc w:val="both"/>
        <w:rPr>
          <w:rFonts w:hint="eastAsia" w:ascii="宋体" w:hAnsi="宋体" w:eastAsia="宋体" w:cs="宋体"/>
          <w:color w:val="auto"/>
          <w:highlight w:val="none"/>
        </w:rPr>
      </w:pPr>
    </w:p>
    <w:p w14:paraId="79344BD8">
      <w:pPr>
        <w:pStyle w:val="29"/>
        <w:spacing w:beforeAutospacing="0" w:afterAutospacing="0"/>
        <w:jc w:val="both"/>
        <w:rPr>
          <w:rFonts w:hint="eastAsia" w:ascii="宋体" w:hAnsi="宋体" w:eastAsia="宋体" w:cs="宋体"/>
          <w:color w:val="auto"/>
          <w:highlight w:val="none"/>
        </w:rPr>
      </w:pPr>
    </w:p>
    <w:p w14:paraId="17656B9A">
      <w:pPr>
        <w:pStyle w:val="29"/>
        <w:spacing w:beforeAutospacing="0" w:afterAutospacing="0"/>
        <w:jc w:val="both"/>
        <w:rPr>
          <w:rFonts w:hint="eastAsia" w:ascii="宋体" w:hAnsi="宋体" w:eastAsia="宋体" w:cs="宋体"/>
          <w:color w:val="auto"/>
          <w:highlight w:val="none"/>
        </w:rPr>
      </w:pPr>
    </w:p>
    <w:p w14:paraId="20390161">
      <w:pPr>
        <w:pStyle w:val="29"/>
        <w:spacing w:beforeAutospacing="0" w:afterAutospacing="0"/>
        <w:jc w:val="both"/>
        <w:rPr>
          <w:rFonts w:hint="eastAsia" w:ascii="宋体" w:hAnsi="宋体" w:eastAsia="宋体" w:cs="宋体"/>
          <w:color w:val="auto"/>
          <w:highlight w:val="none"/>
        </w:rPr>
      </w:pPr>
    </w:p>
    <w:p w14:paraId="766E3CE7">
      <w:pPr>
        <w:pStyle w:val="29"/>
        <w:spacing w:beforeAutospacing="0" w:afterAutospacing="0"/>
        <w:jc w:val="both"/>
        <w:rPr>
          <w:rFonts w:hint="eastAsia" w:ascii="宋体" w:hAnsi="宋体" w:eastAsia="宋体" w:cs="宋体"/>
          <w:color w:val="auto"/>
          <w:highlight w:val="none"/>
        </w:rPr>
      </w:pPr>
    </w:p>
    <w:p w14:paraId="5B9ABD84">
      <w:pPr>
        <w:pStyle w:val="29"/>
        <w:spacing w:beforeAutospacing="0" w:afterAutospacing="0"/>
        <w:jc w:val="both"/>
        <w:rPr>
          <w:rFonts w:hint="eastAsia" w:ascii="宋体" w:hAnsi="宋体" w:eastAsia="宋体" w:cs="宋体"/>
          <w:color w:val="auto"/>
          <w:highlight w:val="none"/>
        </w:rPr>
      </w:pPr>
    </w:p>
    <w:p w14:paraId="749C57C0">
      <w:pPr>
        <w:pStyle w:val="29"/>
        <w:spacing w:beforeAutospacing="0" w:afterAutospacing="0"/>
        <w:jc w:val="both"/>
        <w:rPr>
          <w:rFonts w:hint="eastAsia" w:ascii="宋体" w:hAnsi="宋体" w:eastAsia="宋体" w:cs="宋体"/>
          <w:color w:val="auto"/>
          <w:highlight w:val="none"/>
        </w:rPr>
      </w:pPr>
    </w:p>
    <w:p w14:paraId="6DD6D24D">
      <w:pPr>
        <w:pStyle w:val="29"/>
        <w:spacing w:beforeAutospacing="0" w:afterAutospacing="0"/>
        <w:jc w:val="both"/>
        <w:rPr>
          <w:rFonts w:hint="eastAsia" w:ascii="宋体" w:hAnsi="宋体" w:eastAsia="宋体" w:cs="宋体"/>
          <w:color w:val="auto"/>
          <w:highlight w:val="none"/>
        </w:rPr>
      </w:pPr>
    </w:p>
    <w:p w14:paraId="57DB96E4">
      <w:pPr>
        <w:pStyle w:val="29"/>
        <w:spacing w:beforeAutospacing="0" w:afterAutospacing="0"/>
        <w:jc w:val="both"/>
        <w:rPr>
          <w:rFonts w:hint="eastAsia" w:ascii="宋体" w:hAnsi="宋体" w:eastAsia="宋体" w:cs="宋体"/>
          <w:color w:val="auto"/>
          <w:highlight w:val="none"/>
        </w:rPr>
      </w:pPr>
    </w:p>
    <w:p w14:paraId="53FE241B">
      <w:pPr>
        <w:pStyle w:val="29"/>
        <w:keepNext/>
        <w:spacing w:beforeAutospacing="0" w:afterAutospacing="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第六章  投标文件格式</w:t>
      </w:r>
    </w:p>
    <w:p w14:paraId="043B2744">
      <w:pPr>
        <w:pStyle w:val="29"/>
        <w:keepNext/>
        <w:spacing w:beforeAutospacing="0" w:afterAutospacing="0"/>
        <w:jc w:val="center"/>
        <w:rPr>
          <w:rFonts w:hint="eastAsia" w:ascii="宋体" w:hAnsi="宋体" w:eastAsia="宋体" w:cs="宋体"/>
          <w:color w:val="auto"/>
          <w:sz w:val="44"/>
          <w:szCs w:val="44"/>
          <w:highlight w:val="none"/>
        </w:rPr>
      </w:pPr>
    </w:p>
    <w:p w14:paraId="79A9E670">
      <w:pPr>
        <w:pStyle w:val="29"/>
        <w:keepNext/>
        <w:spacing w:beforeAutospacing="0" w:afterAutospacing="0"/>
        <w:jc w:val="center"/>
        <w:rPr>
          <w:rFonts w:hint="eastAsia" w:ascii="宋体" w:hAnsi="宋体" w:eastAsia="宋体" w:cs="宋体"/>
          <w:color w:val="auto"/>
          <w:sz w:val="44"/>
          <w:szCs w:val="44"/>
          <w:highlight w:val="none"/>
        </w:rPr>
      </w:pPr>
    </w:p>
    <w:p w14:paraId="478B88C6">
      <w:pPr>
        <w:pStyle w:val="29"/>
        <w:keepNext/>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 </w:t>
      </w:r>
    </w:p>
    <w:p w14:paraId="62419C5D">
      <w:pPr>
        <w:pStyle w:val="29"/>
        <w:spacing w:beforeAutospacing="0" w:afterAutospacing="0"/>
        <w:jc w:val="center"/>
        <w:rPr>
          <w:rFonts w:hint="eastAsia" w:ascii="宋体" w:hAnsi="宋体" w:eastAsia="宋体" w:cs="宋体"/>
          <w:color w:val="auto"/>
          <w:highlight w:val="none"/>
        </w:rPr>
      </w:pPr>
      <w:bookmarkStart w:id="168" w:name="_Hlt26955039"/>
      <w:bookmarkStart w:id="169" w:name="_Hlt26671244"/>
      <w:bookmarkStart w:id="170" w:name="_Toc26554094"/>
      <w:bookmarkStart w:id="171" w:name="_Toc49090576"/>
      <w:bookmarkStart w:id="172" w:name="_Toc120614282"/>
      <w:r>
        <w:rPr>
          <w:rFonts w:hint="eastAsia" w:ascii="宋体" w:hAnsi="宋体" w:eastAsia="宋体" w:cs="宋体"/>
          <w:b/>
          <w:color w:val="auto"/>
          <w:sz w:val="72"/>
          <w:szCs w:val="72"/>
          <w:highlight w:val="none"/>
        </w:rPr>
        <w:t>投  标  文  件</w:t>
      </w:r>
      <w:bookmarkEnd w:id="168"/>
      <w:bookmarkEnd w:id="169"/>
      <w:bookmarkEnd w:id="170"/>
    </w:p>
    <w:p w14:paraId="69DD3DFA">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41B5EF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2C1B2B1">
      <w:pPr>
        <w:pStyle w:val="29"/>
        <w:spacing w:beforeAutospacing="0" w:afterAutospacing="0"/>
        <w:jc w:val="center"/>
        <w:rPr>
          <w:rFonts w:hint="eastAsia" w:ascii="宋体" w:hAnsi="宋体" w:eastAsia="宋体" w:cs="宋体"/>
          <w:color w:val="auto"/>
          <w:highlight w:val="none"/>
        </w:rPr>
      </w:pPr>
    </w:p>
    <w:p w14:paraId="2C0B94BC">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DE56F5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C754891">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EB9F3DF">
      <w:pPr>
        <w:pStyle w:val="29"/>
        <w:spacing w:beforeAutospacing="0" w:afterAutospacing="0"/>
        <w:jc w:val="both"/>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w:t>
      </w:r>
    </w:p>
    <w:p w14:paraId="7D9B0703">
      <w:pPr>
        <w:pStyle w:val="29"/>
        <w:spacing w:beforeAutospacing="0" w:afterAutospacing="0"/>
        <w:jc w:val="both"/>
        <w:rPr>
          <w:rFonts w:hint="eastAsia" w:ascii="宋体" w:hAnsi="宋体" w:eastAsia="宋体" w:cs="宋体"/>
          <w:b/>
          <w:color w:val="auto"/>
          <w:sz w:val="36"/>
          <w:szCs w:val="36"/>
          <w:highlight w:val="none"/>
          <w:u w:val="single"/>
        </w:rPr>
      </w:pPr>
    </w:p>
    <w:p w14:paraId="2AB25E46">
      <w:pPr>
        <w:pStyle w:val="29"/>
        <w:spacing w:beforeAutospacing="0" w:afterAutospacing="0"/>
        <w:jc w:val="both"/>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w:t>
      </w:r>
    </w:p>
    <w:p w14:paraId="4D48C72C">
      <w:pPr>
        <w:pStyle w:val="29"/>
        <w:spacing w:beforeAutospacing="0" w:afterAutospacing="0"/>
        <w:jc w:val="both"/>
        <w:rPr>
          <w:rFonts w:hint="eastAsia" w:ascii="宋体" w:hAnsi="宋体" w:eastAsia="宋体" w:cs="宋体"/>
          <w:b/>
          <w:color w:val="auto"/>
          <w:sz w:val="36"/>
          <w:szCs w:val="36"/>
          <w:highlight w:val="none"/>
          <w:u w:val="single"/>
        </w:rPr>
      </w:pPr>
    </w:p>
    <w:p w14:paraId="2E9FE7A7">
      <w:pPr>
        <w:pStyle w:val="29"/>
        <w:spacing w:beforeAutospacing="0" w:afterAutospacing="0"/>
        <w:jc w:val="both"/>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（加盖CA电子公章）</w:t>
      </w:r>
    </w:p>
    <w:p w14:paraId="6071B6B0">
      <w:pPr>
        <w:pStyle w:val="29"/>
        <w:spacing w:beforeAutospacing="0" w:afterAutospacing="0"/>
        <w:jc w:val="both"/>
        <w:rPr>
          <w:rFonts w:hint="eastAsia" w:ascii="宋体" w:hAnsi="宋体" w:eastAsia="宋体" w:cs="宋体"/>
          <w:b/>
          <w:color w:val="auto"/>
          <w:sz w:val="36"/>
          <w:szCs w:val="36"/>
          <w:highlight w:val="none"/>
          <w:u w:val="single"/>
        </w:rPr>
      </w:pPr>
    </w:p>
    <w:p w14:paraId="2EEA5B12">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xml:space="preserve">                     </w:t>
      </w:r>
    </w:p>
    <w:p w14:paraId="13974353">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6E45E4D">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C7AF93F">
      <w:pPr>
        <w:pStyle w:val="29"/>
        <w:spacing w:beforeAutospacing="0" w:afterAutospacing="0" w:line="0" w:lineRule="atLeast"/>
        <w:jc w:val="center"/>
        <w:rPr>
          <w:rFonts w:hint="eastAsia" w:ascii="宋体" w:hAnsi="宋体" w:eastAsia="宋体" w:cs="宋体"/>
          <w:b/>
          <w:color w:val="auto"/>
          <w:sz w:val="36"/>
          <w:szCs w:val="36"/>
          <w:highlight w:val="none"/>
          <w:u w:val="single"/>
        </w:rPr>
      </w:pPr>
    </w:p>
    <w:p w14:paraId="061F8175">
      <w:pPr>
        <w:pStyle w:val="29"/>
        <w:spacing w:beforeAutospacing="0" w:afterAutospacing="0" w:line="0" w:lineRule="atLeast"/>
        <w:jc w:val="center"/>
        <w:rPr>
          <w:rFonts w:hint="eastAsia" w:ascii="宋体" w:hAnsi="宋体" w:eastAsia="宋体" w:cs="宋体"/>
          <w:b/>
          <w:color w:val="auto"/>
          <w:sz w:val="36"/>
          <w:szCs w:val="36"/>
          <w:highlight w:val="none"/>
          <w:u w:val="single"/>
        </w:rPr>
      </w:pPr>
    </w:p>
    <w:p w14:paraId="5E24D6BA">
      <w:pPr>
        <w:pStyle w:val="29"/>
        <w:spacing w:beforeAutospacing="0" w:afterAutospacing="0" w:line="0" w:lineRule="atLeast"/>
        <w:jc w:val="center"/>
        <w:rPr>
          <w:rFonts w:hint="eastAsia" w:ascii="宋体" w:hAnsi="宋体" w:eastAsia="宋体" w:cs="宋体"/>
          <w:b/>
          <w:color w:val="auto"/>
          <w:sz w:val="36"/>
          <w:szCs w:val="36"/>
          <w:highlight w:val="none"/>
          <w:u w:val="single"/>
        </w:rPr>
      </w:pPr>
    </w:p>
    <w:p w14:paraId="12E40AB3">
      <w:pPr>
        <w:pStyle w:val="29"/>
        <w:spacing w:beforeAutospacing="0" w:afterAutospacing="0" w:line="0" w:lineRule="atLeast"/>
        <w:jc w:val="both"/>
        <w:rPr>
          <w:rFonts w:hint="eastAsia" w:ascii="宋体" w:hAnsi="宋体" w:eastAsia="宋体" w:cs="宋体"/>
          <w:b/>
          <w:color w:val="auto"/>
          <w:sz w:val="36"/>
          <w:szCs w:val="36"/>
          <w:highlight w:val="none"/>
          <w:u w:val="single"/>
        </w:rPr>
      </w:pPr>
    </w:p>
    <w:p w14:paraId="6CFDAD18">
      <w:pPr>
        <w:jc w:val="both"/>
        <w:rPr>
          <w:rFonts w:hint="eastAsia" w:ascii="宋体" w:hAnsi="宋体" w:eastAsia="宋体" w:cs="宋体"/>
          <w:color w:val="auto"/>
          <w:highlight w:val="none"/>
        </w:rPr>
      </w:pPr>
      <w:r>
        <w:rPr>
          <w:rFonts w:hint="eastAsia" w:ascii="宋体" w:hAnsi="宋体" w:eastAsia="宋体" w:cs="宋体"/>
          <w:b/>
          <w:color w:val="auto"/>
          <w:sz w:val="36"/>
          <w:szCs w:val="36"/>
          <w:highlight w:val="none"/>
          <w:u w:val="single"/>
        </w:rPr>
        <w:br w:type="page" w:clear="all"/>
      </w:r>
      <w:r>
        <w:rPr>
          <w:rFonts w:hint="eastAsia" w:ascii="宋体" w:hAnsi="宋体" w:eastAsia="宋体" w:cs="宋体"/>
          <w:b/>
          <w:color w:val="auto"/>
          <w:sz w:val="32"/>
          <w:szCs w:val="32"/>
          <w:highlight w:val="none"/>
        </w:rPr>
        <w:t>投标文件目录</w:t>
      </w:r>
    </w:p>
    <w:p w14:paraId="7137CD6A">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55A9D93">
      <w:pPr>
        <w:pStyle w:val="2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color w:val="auto"/>
          <w:highlight w:val="none"/>
        </w:rPr>
        <w:t>一、法人或者其他组织的营业执照等证明文件，自然人的身份证明</w:t>
      </w:r>
    </w:p>
    <w:p w14:paraId="48C273F3">
      <w:pPr>
        <w:tabs>
          <w:tab w:val="left" w:pos="1331"/>
        </w:tabs>
        <w:ind w:firstLine="480"/>
        <w:jc w:val="left"/>
        <w:rPr>
          <w:rFonts w:hint="eastAsia" w:ascii="宋体" w:hAnsi="宋体" w:eastAsia="宋体" w:cs="宋体"/>
          <w:iCs/>
          <w:color w:val="auto"/>
          <w:sz w:val="24"/>
          <w:highlight w:val="none"/>
        </w:rPr>
      </w:pPr>
      <w:r>
        <w:rPr>
          <w:rFonts w:hint="eastAsia" w:ascii="宋体" w:hAnsi="宋体" w:eastAsia="宋体" w:cs="宋体"/>
          <w:color w:val="auto"/>
          <w:sz w:val="24"/>
          <w:highlight w:val="none"/>
        </w:rPr>
        <w:t>二、上一年度的财务状况报告（至少提供资产负债表、利润表、现金流量表，</w:t>
      </w:r>
    </w:p>
    <w:p w14:paraId="17B1949E">
      <w:pPr>
        <w:pStyle w:val="2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color w:val="auto"/>
          <w:highlight w:val="none"/>
        </w:rPr>
        <w:t>投标人成立不满一年无需提供）</w:t>
      </w:r>
    </w:p>
    <w:p w14:paraId="47CA7298">
      <w:pPr>
        <w:pStyle w:val="2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color w:val="auto"/>
          <w:highlight w:val="none"/>
        </w:rPr>
        <w:t>三、具备履行合同所必需的设备和专业技术能力的书面声明</w:t>
      </w:r>
    </w:p>
    <w:p w14:paraId="626CD52F">
      <w:pPr>
        <w:pStyle w:val="2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31944E1">
      <w:pPr>
        <w:pStyle w:val="2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714926AF">
      <w:pPr>
        <w:pStyle w:val="2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六、特定资格要求的证明文件（如果本项目设置特定资格要求，则需要提供）</w:t>
      </w:r>
    </w:p>
    <w:p w14:paraId="0F0C911F">
      <w:pPr>
        <w:pStyle w:val="2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七、法人授权书</w:t>
      </w:r>
    </w:p>
    <w:p w14:paraId="32940121">
      <w:pPr>
        <w:pStyle w:val="29"/>
        <w:spacing w:beforeAutospacing="0" w:afterAutospacing="0"/>
        <w:ind w:left="480"/>
        <w:jc w:val="both"/>
        <w:rPr>
          <w:rFonts w:hint="eastAsia" w:ascii="宋体" w:hAnsi="宋体" w:eastAsia="宋体" w:cs="宋体"/>
          <w:iCs/>
          <w:color w:val="auto"/>
          <w:highlight w:val="none"/>
        </w:rPr>
      </w:pPr>
      <w:r>
        <w:rPr>
          <w:rFonts w:hint="eastAsia" w:ascii="宋体" w:hAnsi="宋体" w:eastAsia="宋体" w:cs="宋体"/>
          <w:iCs/>
          <w:color w:val="auto"/>
          <w:highlight w:val="none"/>
        </w:rPr>
        <w:t>八、投标函</w:t>
      </w:r>
    </w:p>
    <w:p w14:paraId="39C3CE33">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九、中小企业声明函</w:t>
      </w:r>
    </w:p>
    <w:p w14:paraId="0753BC69">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十、残疾人福利性单位声明函</w:t>
      </w:r>
    </w:p>
    <w:p w14:paraId="7D908F2C">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十一、 关于符合本国产品标准的声明函</w:t>
      </w:r>
    </w:p>
    <w:p w14:paraId="0F26CDD7">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十二、联合体协议</w:t>
      </w:r>
    </w:p>
    <w:p w14:paraId="4F63072E">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十三、技术要求响应及偏离表</w:t>
      </w:r>
    </w:p>
    <w:p w14:paraId="62D13F56">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十四、商务要求响应及偏离表</w:t>
      </w:r>
    </w:p>
    <w:p w14:paraId="1C1397F4">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十五、开标一览表</w:t>
      </w:r>
    </w:p>
    <w:p w14:paraId="760D9EC2">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十六、技术方案、服务承诺、培训承诺等</w:t>
      </w:r>
    </w:p>
    <w:p w14:paraId="46949FBD">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十七、服务承诺书</w:t>
      </w:r>
    </w:p>
    <w:p w14:paraId="45C10942">
      <w:pPr>
        <w:pStyle w:val="29"/>
        <w:spacing w:beforeAutospacing="0" w:afterAutospacing="0" w:line="0" w:lineRule="atLeast"/>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十八、盐城市政府采购事前信用承诺书</w:t>
      </w:r>
    </w:p>
    <w:p w14:paraId="41F153A4">
      <w:pPr>
        <w:pStyle w:val="29"/>
        <w:spacing w:beforeAutospacing="0" w:afterAutospacing="0" w:line="0" w:lineRule="atLeast"/>
        <w:ind w:firstLine="480"/>
        <w:jc w:val="both"/>
        <w:rPr>
          <w:rFonts w:hint="eastAsia" w:ascii="宋体" w:hAnsi="宋体" w:eastAsia="宋体" w:cs="宋体"/>
          <w:color w:val="auto"/>
          <w:highlight w:val="none"/>
        </w:rPr>
      </w:pPr>
    </w:p>
    <w:p w14:paraId="36555BEC">
      <w:pPr>
        <w:pStyle w:val="29"/>
        <w:spacing w:beforeAutospacing="0" w:afterAutospacing="0" w:line="0" w:lineRule="atLeast"/>
        <w:ind w:firstLine="480"/>
        <w:jc w:val="both"/>
        <w:rPr>
          <w:rFonts w:hint="eastAsia" w:ascii="宋体" w:hAnsi="宋体" w:eastAsia="宋体" w:cs="宋体"/>
          <w:color w:val="auto"/>
          <w:highlight w:val="none"/>
        </w:rPr>
      </w:pPr>
    </w:p>
    <w:p w14:paraId="31FCD735">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39E5718">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E80D10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3A25A11">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F1F1556">
      <w:pPr>
        <w:pStyle w:val="29"/>
        <w:spacing w:beforeAutospacing="0" w:afterAutospacing="0" w:line="0" w:lineRule="atLeast"/>
        <w:ind w:firstLine="480"/>
        <w:jc w:val="both"/>
        <w:rPr>
          <w:rFonts w:hint="eastAsia" w:ascii="宋体" w:hAnsi="宋体" w:eastAsia="宋体" w:cs="宋体"/>
          <w:color w:val="auto"/>
          <w:highlight w:val="none"/>
        </w:rPr>
      </w:pPr>
    </w:p>
    <w:p w14:paraId="4261C90D">
      <w:pPr>
        <w:pStyle w:val="29"/>
        <w:spacing w:beforeAutospacing="0" w:afterAutospacing="0" w:line="0" w:lineRule="atLeast"/>
        <w:ind w:firstLine="480"/>
        <w:jc w:val="both"/>
        <w:rPr>
          <w:rFonts w:hint="eastAsia" w:ascii="宋体" w:hAnsi="宋体" w:eastAsia="宋体" w:cs="宋体"/>
          <w:color w:val="auto"/>
          <w:highlight w:val="none"/>
        </w:rPr>
      </w:pPr>
    </w:p>
    <w:p w14:paraId="06FFF550">
      <w:pPr>
        <w:pStyle w:val="29"/>
        <w:spacing w:beforeAutospacing="0" w:afterAutospacing="0" w:line="0" w:lineRule="atLeast"/>
        <w:ind w:firstLine="480"/>
        <w:jc w:val="both"/>
        <w:rPr>
          <w:rFonts w:hint="eastAsia" w:ascii="宋体" w:hAnsi="宋体" w:eastAsia="宋体" w:cs="宋体"/>
          <w:color w:val="auto"/>
          <w:highlight w:val="none"/>
        </w:rPr>
      </w:pPr>
    </w:p>
    <w:p w14:paraId="18AF04C0">
      <w:pPr>
        <w:pStyle w:val="29"/>
        <w:spacing w:beforeAutospacing="0" w:afterAutospacing="0" w:line="0" w:lineRule="atLeast"/>
        <w:ind w:firstLine="480"/>
        <w:jc w:val="both"/>
        <w:rPr>
          <w:rFonts w:hint="eastAsia" w:ascii="宋体" w:hAnsi="宋体" w:eastAsia="宋体" w:cs="宋体"/>
          <w:color w:val="auto"/>
          <w:highlight w:val="none"/>
        </w:rPr>
      </w:pPr>
    </w:p>
    <w:p w14:paraId="1D0A250D">
      <w:pPr>
        <w:pStyle w:val="29"/>
        <w:spacing w:beforeAutospacing="0" w:afterAutospacing="0" w:line="0" w:lineRule="atLeast"/>
        <w:ind w:firstLine="480"/>
        <w:jc w:val="both"/>
        <w:rPr>
          <w:rFonts w:hint="eastAsia" w:ascii="宋体" w:hAnsi="宋体" w:eastAsia="宋体" w:cs="宋体"/>
          <w:color w:val="auto"/>
          <w:highlight w:val="none"/>
        </w:rPr>
      </w:pPr>
    </w:p>
    <w:p w14:paraId="470CD86E">
      <w:pPr>
        <w:pStyle w:val="29"/>
        <w:spacing w:beforeAutospacing="0" w:afterAutospacing="0" w:line="0" w:lineRule="atLeast"/>
        <w:ind w:firstLine="480"/>
        <w:jc w:val="both"/>
        <w:rPr>
          <w:rFonts w:hint="eastAsia" w:ascii="宋体" w:hAnsi="宋体" w:eastAsia="宋体" w:cs="宋体"/>
          <w:color w:val="auto"/>
          <w:highlight w:val="none"/>
        </w:rPr>
      </w:pPr>
    </w:p>
    <w:p w14:paraId="09C8C5DD">
      <w:pPr>
        <w:pStyle w:val="29"/>
        <w:spacing w:beforeAutospacing="0" w:afterAutospacing="0" w:line="0" w:lineRule="atLeast"/>
        <w:ind w:firstLine="480"/>
        <w:jc w:val="both"/>
        <w:rPr>
          <w:rFonts w:hint="eastAsia" w:ascii="宋体" w:hAnsi="宋体" w:eastAsia="宋体" w:cs="宋体"/>
          <w:color w:val="auto"/>
          <w:highlight w:val="none"/>
        </w:rPr>
      </w:pPr>
    </w:p>
    <w:p w14:paraId="746A585D">
      <w:pPr>
        <w:pStyle w:val="29"/>
        <w:spacing w:beforeAutospacing="0" w:afterAutospacing="0" w:line="0" w:lineRule="atLeast"/>
        <w:ind w:firstLine="480"/>
        <w:jc w:val="both"/>
        <w:rPr>
          <w:rFonts w:hint="eastAsia" w:ascii="宋体" w:hAnsi="宋体" w:eastAsia="宋体" w:cs="宋体"/>
          <w:color w:val="auto"/>
          <w:highlight w:val="none"/>
        </w:rPr>
      </w:pPr>
    </w:p>
    <w:p w14:paraId="4AF00D0E">
      <w:pPr>
        <w:pStyle w:val="29"/>
        <w:spacing w:beforeAutospacing="0" w:afterAutospacing="0" w:line="0" w:lineRule="atLeast"/>
        <w:ind w:firstLine="480"/>
        <w:jc w:val="both"/>
        <w:rPr>
          <w:rFonts w:hint="eastAsia" w:ascii="宋体" w:hAnsi="宋体" w:eastAsia="宋体" w:cs="宋体"/>
          <w:color w:val="auto"/>
          <w:highlight w:val="none"/>
        </w:rPr>
      </w:pPr>
    </w:p>
    <w:p w14:paraId="7C91FE33">
      <w:pPr>
        <w:pStyle w:val="29"/>
        <w:spacing w:beforeAutospacing="0" w:afterAutospacing="0" w:line="0" w:lineRule="atLeast"/>
        <w:ind w:firstLine="480"/>
        <w:jc w:val="both"/>
        <w:rPr>
          <w:rFonts w:hint="eastAsia" w:ascii="宋体" w:hAnsi="宋体" w:eastAsia="宋体" w:cs="宋体"/>
          <w:color w:val="auto"/>
          <w:highlight w:val="none"/>
        </w:rPr>
      </w:pPr>
    </w:p>
    <w:p w14:paraId="53F4C6E0">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86A898E">
      <w:pPr>
        <w:pStyle w:val="29"/>
        <w:spacing w:beforeAutospacing="0" w:afterAutospacing="0" w:line="0" w:lineRule="atLeast"/>
        <w:jc w:val="both"/>
        <w:rPr>
          <w:rFonts w:hint="eastAsia" w:ascii="宋体" w:hAnsi="宋体" w:eastAsia="宋体" w:cs="宋体"/>
          <w:color w:val="auto"/>
          <w:highlight w:val="none"/>
        </w:rPr>
      </w:pPr>
    </w:p>
    <w:p w14:paraId="7CFB8350">
      <w:pPr>
        <w:pStyle w:val="29"/>
        <w:spacing w:beforeAutospacing="0" w:afterAutospacing="0" w:line="0" w:lineRule="atLeast"/>
        <w:jc w:val="both"/>
        <w:rPr>
          <w:rFonts w:hint="eastAsia" w:ascii="宋体" w:hAnsi="宋体" w:eastAsia="宋体" w:cs="宋体"/>
          <w:color w:val="auto"/>
          <w:highlight w:val="none"/>
        </w:rPr>
      </w:pPr>
    </w:p>
    <w:p w14:paraId="222F39D1">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一、法人或者其他组织的营业执照等证明文件，自然人的身份证明</w:t>
      </w:r>
    </w:p>
    <w:p w14:paraId="053E6BA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EAD9292">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二、上一年度的财务状况报告</w:t>
      </w:r>
    </w:p>
    <w:p w14:paraId="3EDC390F">
      <w:pPr>
        <w:tabs>
          <w:tab w:val="left" w:pos="1331"/>
        </w:tabs>
        <w:jc w:val="lef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（至少提供资产负债表、利润表、现金流量表，投标人成立不满一年无需提供）</w:t>
      </w:r>
    </w:p>
    <w:p w14:paraId="1FB1A27F">
      <w:pPr>
        <w:pStyle w:val="29"/>
        <w:spacing w:beforeAutospacing="0" w:afterAutospacing="0" w:line="0" w:lineRule="atLeast"/>
        <w:ind w:firstLine="480"/>
        <w:jc w:val="both"/>
        <w:rPr>
          <w:rFonts w:hint="eastAsia" w:ascii="宋体" w:hAnsi="宋体" w:eastAsia="宋体" w:cs="宋体"/>
          <w:color w:val="auto"/>
          <w:highlight w:val="none"/>
        </w:rPr>
      </w:pPr>
    </w:p>
    <w:p w14:paraId="36286AD5">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13AC0C">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190A144">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三、具备履行合同所必需的设备和专业技术能力的书面声明</w:t>
      </w:r>
    </w:p>
    <w:p w14:paraId="35E5D09F">
      <w:pPr>
        <w:pStyle w:val="29"/>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36212D5">
      <w:pPr>
        <w:pStyle w:val="29"/>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148E903">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C2FCA67">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四、依法缴纳税收和社会保障资金的相关材料</w:t>
      </w:r>
    </w:p>
    <w:p w14:paraId="60D2BAC8">
      <w:pPr>
        <w:pStyle w:val="29"/>
        <w:spacing w:beforeAutospacing="0" w:afterAutospacing="0"/>
        <w:ind w:firstLine="480"/>
        <w:jc w:val="both"/>
        <w:rPr>
          <w:rFonts w:hint="eastAsia" w:ascii="宋体" w:hAnsi="宋体" w:eastAsia="宋体" w:cs="宋体"/>
          <w:color w:val="auto"/>
          <w:highlight w:val="none"/>
        </w:rPr>
      </w:pPr>
      <w:bookmarkStart w:id="173"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73"/>
    </w:p>
    <w:p w14:paraId="676C9482">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3262E06E">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sz w:val="44"/>
          <w:szCs w:val="44"/>
          <w:highlight w:val="none"/>
        </w:rPr>
        <w:t>       声  明</w:t>
      </w:r>
    </w:p>
    <w:p w14:paraId="46C865FF">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1D05D03F">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C2AA657">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六、特定资格要求的证明文件</w:t>
      </w:r>
    </w:p>
    <w:p w14:paraId="5E76FFE1">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0935BDAE">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B1298ED">
      <w:pPr>
        <w:pStyle w:val="29"/>
        <w:spacing w:beforeAutospacing="0" w:afterAutospacing="0"/>
        <w:jc w:val="center"/>
        <w:rPr>
          <w:rFonts w:hint="eastAsia" w:ascii="宋体" w:hAnsi="宋体" w:eastAsia="宋体" w:cs="宋体"/>
          <w:i/>
          <w:color w:val="auto"/>
          <w:sz w:val="32"/>
          <w:szCs w:val="32"/>
          <w:highlight w:val="none"/>
          <w:u w:val="single"/>
        </w:rPr>
      </w:pPr>
    </w:p>
    <w:p w14:paraId="017E32CC">
      <w:pPr>
        <w:pStyle w:val="29"/>
        <w:spacing w:beforeAutospacing="0" w:afterAutospacing="0"/>
        <w:jc w:val="center"/>
        <w:rPr>
          <w:rFonts w:hint="eastAsia" w:ascii="宋体" w:hAnsi="宋体" w:eastAsia="宋体" w:cs="宋体"/>
          <w:i/>
          <w:color w:val="auto"/>
          <w:sz w:val="32"/>
          <w:szCs w:val="32"/>
          <w:highlight w:val="none"/>
          <w:u w:val="single"/>
        </w:rPr>
      </w:pPr>
    </w:p>
    <w:p w14:paraId="1C2F241B">
      <w:pPr>
        <w:pStyle w:val="29"/>
        <w:spacing w:beforeAutospacing="0" w:afterAutospacing="0"/>
        <w:jc w:val="center"/>
        <w:rPr>
          <w:rFonts w:hint="eastAsia" w:ascii="宋体" w:hAnsi="宋体" w:eastAsia="宋体" w:cs="宋体"/>
          <w:bCs/>
          <w:i/>
          <w:color w:val="auto"/>
          <w:sz w:val="32"/>
          <w:szCs w:val="32"/>
          <w:highlight w:val="none"/>
          <w:u w:val="single"/>
        </w:rPr>
      </w:pPr>
    </w:p>
    <w:p w14:paraId="4F6D6835">
      <w:pPr>
        <w:pStyle w:val="29"/>
        <w:spacing w:beforeAutospacing="0" w:afterAutospacing="0"/>
        <w:jc w:val="center"/>
        <w:rPr>
          <w:rFonts w:hint="eastAsia" w:ascii="宋体" w:hAnsi="宋体" w:eastAsia="宋体" w:cs="宋体"/>
          <w:bCs/>
          <w:i/>
          <w:color w:val="auto"/>
          <w:sz w:val="32"/>
          <w:szCs w:val="32"/>
          <w:highlight w:val="none"/>
          <w:u w:val="single"/>
        </w:rPr>
      </w:pPr>
    </w:p>
    <w:p w14:paraId="3ABCBB36">
      <w:pPr>
        <w:pStyle w:val="29"/>
        <w:spacing w:beforeAutospacing="0" w:afterAutospacing="0"/>
        <w:jc w:val="center"/>
        <w:rPr>
          <w:rFonts w:hint="eastAsia" w:ascii="宋体" w:hAnsi="宋体" w:eastAsia="宋体" w:cs="宋体"/>
          <w:bCs/>
          <w:i/>
          <w:color w:val="auto"/>
          <w:sz w:val="32"/>
          <w:szCs w:val="32"/>
          <w:highlight w:val="none"/>
          <w:u w:val="single"/>
        </w:rPr>
      </w:pPr>
    </w:p>
    <w:p w14:paraId="3C56748A">
      <w:pPr>
        <w:pStyle w:val="29"/>
        <w:spacing w:beforeAutospacing="0" w:afterAutospacing="0"/>
        <w:jc w:val="center"/>
        <w:rPr>
          <w:rFonts w:hint="eastAsia" w:ascii="宋体" w:hAnsi="宋体" w:eastAsia="宋体" w:cs="宋体"/>
          <w:bCs/>
          <w:i/>
          <w:color w:val="auto"/>
          <w:sz w:val="32"/>
          <w:szCs w:val="32"/>
          <w:highlight w:val="none"/>
          <w:u w:val="single"/>
        </w:rPr>
      </w:pPr>
    </w:p>
    <w:p w14:paraId="173DB0BA">
      <w:pPr>
        <w:pStyle w:val="29"/>
        <w:spacing w:beforeAutospacing="0" w:afterAutospacing="0"/>
        <w:jc w:val="center"/>
        <w:rPr>
          <w:rFonts w:hint="eastAsia" w:ascii="宋体" w:hAnsi="宋体" w:eastAsia="宋体" w:cs="宋体"/>
          <w:bCs/>
          <w:i/>
          <w:color w:val="auto"/>
          <w:sz w:val="32"/>
          <w:szCs w:val="32"/>
          <w:highlight w:val="none"/>
          <w:u w:val="single"/>
        </w:rPr>
      </w:pPr>
    </w:p>
    <w:p w14:paraId="4F623AB8">
      <w:pPr>
        <w:pStyle w:val="29"/>
        <w:spacing w:beforeAutospacing="0" w:afterAutospacing="0"/>
        <w:jc w:val="center"/>
        <w:rPr>
          <w:rFonts w:hint="eastAsia" w:ascii="宋体" w:hAnsi="宋体" w:eastAsia="宋体" w:cs="宋体"/>
          <w:bCs/>
          <w:i/>
          <w:color w:val="auto"/>
          <w:sz w:val="32"/>
          <w:szCs w:val="32"/>
          <w:highlight w:val="none"/>
          <w:u w:val="single"/>
        </w:rPr>
      </w:pPr>
    </w:p>
    <w:p w14:paraId="1C5E08BB">
      <w:pPr>
        <w:pStyle w:val="29"/>
        <w:spacing w:beforeAutospacing="0" w:afterAutospacing="0"/>
        <w:jc w:val="center"/>
        <w:rPr>
          <w:rFonts w:hint="eastAsia" w:ascii="宋体" w:hAnsi="宋体" w:eastAsia="宋体" w:cs="宋体"/>
          <w:i/>
          <w:color w:val="auto"/>
          <w:sz w:val="32"/>
          <w:szCs w:val="32"/>
          <w:highlight w:val="none"/>
          <w:u w:val="single"/>
        </w:rPr>
      </w:pPr>
    </w:p>
    <w:p w14:paraId="7452BDE3">
      <w:pPr>
        <w:pStyle w:val="29"/>
        <w:spacing w:beforeAutospacing="0" w:afterAutospacing="0"/>
        <w:jc w:val="center"/>
        <w:rPr>
          <w:rFonts w:hint="eastAsia" w:ascii="宋体" w:hAnsi="宋体" w:eastAsia="宋体" w:cs="宋体"/>
          <w:i/>
          <w:color w:val="auto"/>
          <w:sz w:val="32"/>
          <w:szCs w:val="32"/>
          <w:highlight w:val="none"/>
          <w:u w:val="single"/>
        </w:rPr>
      </w:pPr>
    </w:p>
    <w:p w14:paraId="0EB7AC7C">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七、法人授权书</w:t>
      </w:r>
    </w:p>
    <w:p w14:paraId="7B4678C3">
      <w:pPr>
        <w:pStyle w:val="29"/>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0D00F6D6">
      <w:pPr>
        <w:pStyle w:val="29"/>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5860BE64">
      <w:pPr>
        <w:pStyle w:val="29"/>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3ED41E8C">
      <w:pPr>
        <w:pStyle w:val="29"/>
        <w:tabs>
          <w:tab w:val="left" w:pos="360"/>
        </w:tabs>
        <w:spacing w:beforeAutospacing="0" w:afterAutospacing="0"/>
        <w:jc w:val="both"/>
        <w:rPr>
          <w:rFonts w:hint="eastAsia" w:ascii="宋体" w:hAnsi="宋体" w:eastAsia="宋体" w:cs="宋体"/>
          <w:color w:val="auto"/>
          <w:highlight w:val="none"/>
          <w:u w:val="single"/>
        </w:rPr>
      </w:pPr>
      <w:r>
        <w:rPr>
          <w:rFonts w:hint="eastAsia" w:ascii="宋体" w:hAnsi="宋体" w:eastAsia="宋体" w:cs="宋体"/>
          <w:color w:val="auto"/>
          <w:highlight w:val="none"/>
        </w:rPr>
        <w:t>  被授权人联系电话：（手机）</w:t>
      </w:r>
      <w:r>
        <w:rPr>
          <w:rFonts w:hint="eastAsia" w:ascii="宋体" w:hAnsi="宋体" w:eastAsia="宋体" w:cs="宋体"/>
          <w:color w:val="auto"/>
          <w:highlight w:val="none"/>
          <w:u w:val="single"/>
        </w:rPr>
        <w:t>            </w:t>
      </w:r>
    </w:p>
    <w:p w14:paraId="57A2510C">
      <w:pPr>
        <w:pStyle w:val="29"/>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p>
    <w:p w14:paraId="186E5DC1">
      <w:pPr>
        <w:pStyle w:val="29"/>
        <w:tabs>
          <w:tab w:val="left" w:pos="360"/>
        </w:tabs>
        <w:spacing w:beforeAutospacing="0" w:afterAutospacing="0"/>
        <w:ind w:firstLine="480"/>
        <w:jc w:val="both"/>
        <w:rPr>
          <w:rFonts w:hint="eastAsia"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w:t>
      </w:r>
    </w:p>
    <w:p w14:paraId="5B042DC0">
      <w:pPr>
        <w:pStyle w:val="29"/>
        <w:tabs>
          <w:tab w:val="left" w:pos="360"/>
        </w:tabs>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日期：</w:t>
      </w:r>
      <w:bookmarkStart w:id="174" w:name="_格式3__银行出具的资信证明"/>
      <w:bookmarkStart w:id="175" w:name="_Hlt26955070"/>
      <w:bookmarkStart w:id="176" w:name="_Hlt26671380"/>
      <w:r>
        <w:rPr>
          <w:rFonts w:hint="eastAsia" w:ascii="宋体" w:hAnsi="宋体" w:eastAsia="宋体" w:cs="宋体"/>
          <w:color w:val="auto"/>
          <w:highlight w:val="none"/>
          <w:u w:val="single"/>
        </w:rPr>
        <w:t>                  </w:t>
      </w:r>
    </w:p>
    <w:p w14:paraId="34F9A3F2">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46484AD">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45F0F0F">
      <w:pPr>
        <w:pStyle w:val="29"/>
        <w:keepNext/>
        <w:keepLines/>
        <w:spacing w:before="260" w:beforeAutospacing="0" w:after="260" w:afterAutospacing="0" w:line="415" w:lineRule="auto"/>
        <w:ind w:firstLine="3390"/>
        <w:jc w:val="both"/>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w:t>
      </w:r>
      <w:r>
        <w:rPr>
          <w:rFonts w:hint="eastAsia" w:ascii="宋体" w:hAnsi="宋体" w:eastAsia="宋体" w:cs="宋体"/>
          <w:b/>
          <w:color w:val="auto"/>
          <w:sz w:val="32"/>
          <w:szCs w:val="32"/>
          <w:highlight w:val="none"/>
        </w:rPr>
        <w:t>八、投标函</w:t>
      </w:r>
    </w:p>
    <w:p w14:paraId="56D9FF20">
      <w:pPr>
        <w:pStyle w:val="29"/>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致：滨海县城市管理局</w:t>
      </w:r>
    </w:p>
    <w:p w14:paraId="2C565C0A">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eastAsia="宋体" w:cs="宋体"/>
          <w:b w:val="0"/>
          <w:bCs/>
          <w:color w:val="auto"/>
          <w:highlight w:val="none"/>
        </w:rPr>
        <w:t>JSZC-320922-ZQYC-G2026-0026</w:t>
      </w:r>
      <w:r>
        <w:rPr>
          <w:rFonts w:hint="eastAsia" w:ascii="宋体" w:hAnsi="宋体" w:eastAsia="宋体" w:cs="宋体"/>
          <w:color w:val="auto"/>
          <w:highlight w:val="none"/>
        </w:rPr>
        <w:t>号招标文件，正式授权下述签字人______(姓名)代表我方______________（投标人的名称），全权处理本次项目投标的有关事宜。</w:t>
      </w:r>
    </w:p>
    <w:p w14:paraId="786D01A5">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6C3A7E33">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4A8DB8EB">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16916011">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3AA4D72D">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0CD40739">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1404E171">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494B5976">
      <w:pPr>
        <w:pStyle w:val="29"/>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2E919EB9">
      <w:pPr>
        <w:pStyle w:val="29"/>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地          址：</w:t>
      </w:r>
    </w:p>
    <w:p w14:paraId="5494A498">
      <w:pPr>
        <w:pStyle w:val="29"/>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邮          编：</w:t>
      </w:r>
    </w:p>
    <w:p w14:paraId="2D44AFA7">
      <w:pPr>
        <w:pStyle w:val="29"/>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电          话：</w:t>
      </w:r>
    </w:p>
    <w:p w14:paraId="520AF820">
      <w:pPr>
        <w:pStyle w:val="29"/>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传          真：</w:t>
      </w:r>
    </w:p>
    <w:p w14:paraId="02C98B47">
      <w:pPr>
        <w:pStyle w:val="29"/>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投标人开户行：</w:t>
      </w:r>
    </w:p>
    <w:p w14:paraId="18F89ABA">
      <w:pPr>
        <w:pStyle w:val="29"/>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767B9B1F">
      <w:pPr>
        <w:pStyle w:val="29"/>
        <w:spacing w:beforeAutospacing="0" w:afterAutospacing="0" w:line="0" w:lineRule="atLeast"/>
        <w:ind w:left="420" w:firstLine="480"/>
        <w:rPr>
          <w:rFonts w:hint="eastAsia" w:ascii="宋体" w:hAnsi="宋体" w:eastAsia="宋体" w:cs="宋体"/>
          <w:color w:val="auto"/>
          <w:highlight w:val="none"/>
        </w:rPr>
      </w:pPr>
      <w:r>
        <w:rPr>
          <w:rFonts w:hint="eastAsia" w:ascii="宋体" w:hAnsi="宋体" w:eastAsia="宋体" w:cs="宋体"/>
          <w:color w:val="auto"/>
          <w:highlight w:val="none"/>
        </w:rPr>
        <w:t>日           期：________年____月____日</w:t>
      </w:r>
    </w:p>
    <w:p w14:paraId="027F8AF6">
      <w:pPr>
        <w:pStyle w:val="29"/>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19F0511">
      <w:pPr>
        <w:pStyle w:val="29"/>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B953BED">
      <w:pPr>
        <w:pStyle w:val="29"/>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38B5009">
      <w:pPr>
        <w:pStyle w:val="29"/>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229FA23">
      <w:pPr>
        <w:pStyle w:val="29"/>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39C7BBA">
      <w:pPr>
        <w:pStyle w:val="29"/>
        <w:spacing w:beforeAutospacing="0" w:afterAutospacing="0" w:line="0" w:lineRule="atLeast"/>
        <w:ind w:firstLine="240"/>
        <w:jc w:val="center"/>
        <w:rPr>
          <w:rFonts w:hint="eastAsia" w:ascii="宋体" w:hAnsi="宋体" w:eastAsia="宋体" w:cs="宋体"/>
          <w:color w:val="auto"/>
          <w:highlight w:val="none"/>
        </w:rPr>
      </w:pPr>
    </w:p>
    <w:p w14:paraId="0D753504">
      <w:pPr>
        <w:pStyle w:val="29"/>
        <w:spacing w:beforeAutospacing="0" w:afterAutospacing="0" w:line="0" w:lineRule="atLeast"/>
        <w:ind w:firstLine="240"/>
        <w:jc w:val="center"/>
        <w:rPr>
          <w:rFonts w:hint="eastAsia" w:ascii="宋体" w:hAnsi="宋体" w:eastAsia="宋体" w:cs="宋体"/>
          <w:color w:val="auto"/>
          <w:highlight w:val="none"/>
        </w:rPr>
      </w:pPr>
    </w:p>
    <w:p w14:paraId="60679EA2">
      <w:pPr>
        <w:pStyle w:val="29"/>
        <w:spacing w:beforeAutospacing="0" w:afterAutospacing="0" w:line="0" w:lineRule="atLeast"/>
        <w:ind w:firstLine="240"/>
        <w:jc w:val="center"/>
        <w:rPr>
          <w:rFonts w:hint="eastAsia" w:ascii="宋体" w:hAnsi="宋体" w:eastAsia="宋体" w:cs="宋体"/>
          <w:color w:val="auto"/>
          <w:highlight w:val="none"/>
        </w:rPr>
      </w:pPr>
    </w:p>
    <w:p w14:paraId="3ECDDD6E">
      <w:pPr>
        <w:pStyle w:val="29"/>
        <w:spacing w:beforeAutospacing="0" w:afterAutospacing="0" w:line="0" w:lineRule="atLeast"/>
        <w:ind w:firstLine="240"/>
        <w:jc w:val="center"/>
        <w:rPr>
          <w:rFonts w:hint="eastAsia" w:ascii="宋体" w:hAnsi="宋体" w:eastAsia="宋体" w:cs="宋体"/>
          <w:color w:val="auto"/>
          <w:highlight w:val="none"/>
        </w:rPr>
      </w:pPr>
    </w:p>
    <w:p w14:paraId="24FDF7B3">
      <w:pPr>
        <w:pStyle w:val="29"/>
        <w:spacing w:beforeAutospacing="0" w:afterAutospacing="0" w:line="0" w:lineRule="atLeast"/>
        <w:ind w:firstLine="240"/>
        <w:jc w:val="center"/>
        <w:rPr>
          <w:rFonts w:hint="eastAsia" w:ascii="宋体" w:hAnsi="宋体" w:eastAsia="宋体" w:cs="宋体"/>
          <w:color w:val="auto"/>
          <w:highlight w:val="none"/>
        </w:rPr>
      </w:pPr>
    </w:p>
    <w:p w14:paraId="171320E7">
      <w:pPr>
        <w:pStyle w:val="29"/>
        <w:spacing w:beforeAutospacing="0" w:afterAutospacing="0" w:line="0" w:lineRule="atLeast"/>
        <w:ind w:firstLine="240"/>
        <w:jc w:val="center"/>
        <w:rPr>
          <w:rFonts w:hint="eastAsia" w:ascii="宋体" w:hAnsi="宋体" w:eastAsia="宋体" w:cs="宋体"/>
          <w:color w:val="auto"/>
          <w:highlight w:val="none"/>
        </w:rPr>
      </w:pPr>
    </w:p>
    <w:p w14:paraId="351F762A">
      <w:pPr>
        <w:pStyle w:val="29"/>
        <w:spacing w:beforeAutospacing="0" w:afterAutospacing="0" w:line="0" w:lineRule="atLeast"/>
        <w:ind w:firstLine="240"/>
        <w:jc w:val="center"/>
        <w:rPr>
          <w:rFonts w:hint="eastAsia" w:ascii="宋体" w:hAnsi="宋体" w:eastAsia="宋体" w:cs="宋体"/>
          <w:color w:val="auto"/>
          <w:highlight w:val="none"/>
        </w:rPr>
      </w:pPr>
    </w:p>
    <w:p w14:paraId="162EA1BF">
      <w:pPr>
        <w:pStyle w:val="29"/>
        <w:spacing w:beforeAutospacing="0" w:afterAutospacing="0" w:line="0" w:lineRule="atLeast"/>
        <w:ind w:firstLine="240"/>
        <w:jc w:val="center"/>
        <w:rPr>
          <w:rFonts w:hint="eastAsia" w:ascii="宋体" w:hAnsi="宋体" w:eastAsia="宋体" w:cs="宋体"/>
          <w:color w:val="auto"/>
          <w:highlight w:val="none"/>
        </w:rPr>
      </w:pPr>
    </w:p>
    <w:p w14:paraId="497C7009">
      <w:pPr>
        <w:pStyle w:val="29"/>
        <w:spacing w:beforeAutospacing="0" w:afterAutospacing="0" w:line="0" w:lineRule="atLeast"/>
        <w:ind w:firstLine="240"/>
        <w:jc w:val="center"/>
        <w:rPr>
          <w:rFonts w:hint="eastAsia" w:ascii="宋体" w:hAnsi="宋体" w:eastAsia="宋体" w:cs="宋体"/>
          <w:color w:val="auto"/>
          <w:highlight w:val="none"/>
        </w:rPr>
      </w:pPr>
    </w:p>
    <w:p w14:paraId="08C5C093">
      <w:pPr>
        <w:pStyle w:val="29"/>
        <w:spacing w:beforeAutospacing="0" w:afterAutospacing="0" w:line="0" w:lineRule="atLeast"/>
        <w:ind w:firstLine="240"/>
        <w:jc w:val="center"/>
        <w:rPr>
          <w:rFonts w:hint="eastAsia" w:ascii="宋体" w:hAnsi="宋体" w:eastAsia="宋体" w:cs="宋体"/>
          <w:color w:val="auto"/>
          <w:highlight w:val="none"/>
        </w:rPr>
      </w:pPr>
    </w:p>
    <w:p w14:paraId="680E2596">
      <w:pPr>
        <w:pStyle w:val="29"/>
        <w:spacing w:beforeAutospacing="0" w:afterAutospacing="0" w:line="0" w:lineRule="atLeast"/>
        <w:ind w:firstLine="240"/>
        <w:jc w:val="center"/>
        <w:rPr>
          <w:rFonts w:hint="eastAsia" w:ascii="宋体" w:hAnsi="宋体" w:eastAsia="宋体" w:cs="宋体"/>
          <w:color w:val="auto"/>
          <w:highlight w:val="none"/>
        </w:rPr>
      </w:pPr>
    </w:p>
    <w:p w14:paraId="103093B5">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98DDF54">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九、中小企业声明函（服务）（分包号：**）</w:t>
      </w:r>
    </w:p>
    <w:p w14:paraId="48E20CB3">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号）的规定，本公司（联合体）参加滨海县城市管理局组织的</w:t>
      </w:r>
      <w:r>
        <w:rPr>
          <w:rFonts w:hint="eastAsia" w:ascii="宋体" w:hAnsi="宋体" w:eastAsia="宋体" w:cs="宋体"/>
          <w:i/>
          <w:iCs/>
          <w:color w:val="auto"/>
          <w:sz w:val="24"/>
          <w:highlight w:val="none"/>
          <w:u w:val="single"/>
        </w:rPr>
        <w:t>（单位名称）</w:t>
      </w:r>
      <w:r>
        <w:rPr>
          <w:rFonts w:hint="eastAsia" w:ascii="宋体" w:hAnsi="宋体" w:eastAsia="宋体" w:cs="宋体"/>
          <w:color w:val="auto"/>
          <w:sz w:val="24"/>
          <w:szCs w:val="20"/>
          <w:highlight w:val="none"/>
        </w:rPr>
        <w:t>，</w:t>
      </w:r>
      <w:r>
        <w:rPr>
          <w:rFonts w:hint="eastAsia" w:ascii="宋体" w:hAnsi="宋体" w:eastAsia="宋体" w:cs="宋体"/>
          <w:color w:val="auto"/>
          <w:sz w:val="24"/>
          <w:highlight w:val="none"/>
        </w:rPr>
        <w:t>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i/>
          <w:iCs/>
          <w:color w:val="auto"/>
          <w:sz w:val="24"/>
          <w:highlight w:val="none"/>
          <w:u w:val="single"/>
        </w:rPr>
        <w:t>（项目名称）</w:t>
      </w:r>
      <w:r>
        <w:rPr>
          <w:rFonts w:hint="eastAsia" w:ascii="宋体" w:hAnsi="宋体" w:eastAsia="宋体" w:cs="宋体"/>
          <w:color w:val="auto"/>
          <w:sz w:val="24"/>
          <w:highlight w:val="none"/>
        </w:rPr>
        <w:t>的采购活动，服务全部由符合政策要求的中小企业承接。相关企业（含联合体中的中小企业、签订分包意向协议的中小企业）的具体情况如下：</w:t>
      </w:r>
    </w:p>
    <w:p w14:paraId="37E6C90E">
      <w:pPr>
        <w:numPr>
          <w:ilvl w:val="0"/>
          <w:numId w:val="3"/>
        </w:numPr>
        <w:spacing w:line="500" w:lineRule="exact"/>
        <w:ind w:firstLine="480"/>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；承建（承接）企业为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258F7662">
      <w:pPr>
        <w:numPr>
          <w:ilvl w:val="0"/>
          <w:numId w:val="3"/>
        </w:numPr>
        <w:spacing w:line="500" w:lineRule="exact"/>
        <w:ind w:firstLine="480"/>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；承建（承接）企业为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732F7BD8">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692C7A9C">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1BF43ADE">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0136D482">
      <w:pPr>
        <w:pStyle w:val="29"/>
        <w:spacing w:beforeAutospacing="0" w:afterAutospacing="0" w:line="0" w:lineRule="atLeast"/>
        <w:ind w:right="7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A507E5E">
      <w:pPr>
        <w:pStyle w:val="29"/>
        <w:spacing w:beforeAutospacing="0" w:afterAutospacing="0" w:line="0" w:lineRule="atLeas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3DD8BC90">
      <w:pPr>
        <w:pStyle w:val="29"/>
        <w:spacing w:beforeAutospacing="0" w:afterAutospacing="0" w:line="0" w:lineRule="atLeast"/>
        <w:ind w:right="480" w:firstLine="54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160DC390">
      <w:pPr>
        <w:pStyle w:val="29"/>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730C2D4">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4D5AAD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4F698BB4">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十、残疾人福利性单位声明函（分包号：**）</w:t>
      </w:r>
    </w:p>
    <w:p w14:paraId="72C5D90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56FD3469">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75DFC8AE">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0857EAB">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w:t>
      </w:r>
    </w:p>
    <w:p w14:paraId="6E0FBE1C">
      <w:pPr>
        <w:pStyle w:val="29"/>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592385E8">
      <w:pPr>
        <w:pStyle w:val="29"/>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50074EF">
      <w:pPr>
        <w:pStyle w:val="29"/>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highlight w:val="none"/>
        </w:rPr>
        <w:t>供应商全称（加盖CA电子公章）：</w:t>
      </w:r>
    </w:p>
    <w:p w14:paraId="4DA73605">
      <w:pPr>
        <w:pStyle w:val="29"/>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B94C904">
      <w:pPr>
        <w:pStyle w:val="29"/>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p>
    <w:p w14:paraId="64C2CB2C">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E6695B6">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4584113">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049DC4E">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BE0E4B9">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8C789FE">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736E0AE">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50DCCFA">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7329012">
      <w:pPr>
        <w:pStyle w:val="29"/>
        <w:spacing w:beforeAutospacing="0" w:afterAutospacing="0" w:line="0" w:lineRule="atLeast"/>
        <w:jc w:val="center"/>
        <w:rPr>
          <w:rFonts w:hint="eastAsia" w:ascii="宋体" w:hAnsi="宋体" w:eastAsia="宋体" w:cs="宋体"/>
          <w:color w:val="auto"/>
          <w:highlight w:val="none"/>
        </w:rPr>
      </w:pPr>
    </w:p>
    <w:p w14:paraId="1F9D1B08">
      <w:pPr>
        <w:pStyle w:val="29"/>
        <w:spacing w:beforeAutospacing="0" w:afterAutospacing="0" w:line="0" w:lineRule="atLeast"/>
        <w:jc w:val="center"/>
        <w:rPr>
          <w:rFonts w:hint="eastAsia" w:ascii="宋体" w:hAnsi="宋体" w:eastAsia="宋体" w:cs="宋体"/>
          <w:color w:val="auto"/>
          <w:highlight w:val="none"/>
        </w:rPr>
      </w:pPr>
    </w:p>
    <w:p w14:paraId="4912E803">
      <w:pPr>
        <w:pStyle w:val="29"/>
        <w:spacing w:beforeAutospacing="0" w:afterAutospacing="0" w:line="0" w:lineRule="atLeast"/>
        <w:jc w:val="center"/>
        <w:rPr>
          <w:rFonts w:hint="eastAsia" w:ascii="宋体" w:hAnsi="宋体" w:eastAsia="宋体" w:cs="宋体"/>
          <w:color w:val="auto"/>
          <w:highlight w:val="none"/>
        </w:rPr>
      </w:pPr>
    </w:p>
    <w:p w14:paraId="729311F6">
      <w:pPr>
        <w:pStyle w:val="29"/>
        <w:spacing w:beforeAutospacing="0" w:afterAutospacing="0" w:line="0" w:lineRule="atLeast"/>
        <w:jc w:val="center"/>
        <w:rPr>
          <w:rFonts w:hint="eastAsia" w:ascii="宋体" w:hAnsi="宋体" w:eastAsia="宋体" w:cs="宋体"/>
          <w:color w:val="auto"/>
          <w:highlight w:val="none"/>
        </w:rPr>
      </w:pPr>
    </w:p>
    <w:p w14:paraId="557692F3">
      <w:pPr>
        <w:pStyle w:val="29"/>
        <w:spacing w:beforeAutospacing="0" w:afterAutospacing="0" w:line="0" w:lineRule="atLeast"/>
        <w:jc w:val="center"/>
        <w:rPr>
          <w:rFonts w:hint="eastAsia" w:ascii="宋体" w:hAnsi="宋体" w:eastAsia="宋体" w:cs="宋体"/>
          <w:color w:val="auto"/>
          <w:highlight w:val="none"/>
        </w:rPr>
      </w:pPr>
    </w:p>
    <w:p w14:paraId="2A71CD4E">
      <w:pPr>
        <w:pStyle w:val="29"/>
        <w:spacing w:beforeAutospacing="0" w:afterAutospacing="0" w:line="0" w:lineRule="atLeast"/>
        <w:jc w:val="center"/>
        <w:rPr>
          <w:rFonts w:hint="eastAsia" w:ascii="宋体" w:hAnsi="宋体" w:eastAsia="宋体" w:cs="宋体"/>
          <w:color w:val="auto"/>
          <w:highlight w:val="none"/>
        </w:rPr>
      </w:pPr>
    </w:p>
    <w:p w14:paraId="3B20019D">
      <w:pPr>
        <w:pStyle w:val="29"/>
        <w:spacing w:beforeAutospacing="0" w:afterAutospacing="0" w:line="0" w:lineRule="atLeast"/>
        <w:jc w:val="center"/>
        <w:rPr>
          <w:rFonts w:hint="eastAsia" w:ascii="宋体" w:hAnsi="宋体" w:eastAsia="宋体" w:cs="宋体"/>
          <w:color w:val="auto"/>
          <w:highlight w:val="none"/>
        </w:rPr>
      </w:pPr>
    </w:p>
    <w:p w14:paraId="26511FFB">
      <w:pPr>
        <w:pStyle w:val="29"/>
        <w:spacing w:beforeAutospacing="0" w:afterAutospacing="0" w:line="0" w:lineRule="atLeast"/>
        <w:jc w:val="center"/>
        <w:rPr>
          <w:rFonts w:hint="eastAsia" w:ascii="宋体" w:hAnsi="宋体" w:eastAsia="宋体" w:cs="宋体"/>
          <w:color w:val="auto"/>
          <w:highlight w:val="none"/>
        </w:rPr>
      </w:pPr>
    </w:p>
    <w:p w14:paraId="10BA8B72">
      <w:pPr>
        <w:pStyle w:val="29"/>
        <w:spacing w:beforeAutospacing="0" w:afterAutospacing="0" w:line="0" w:lineRule="atLeast"/>
        <w:jc w:val="center"/>
        <w:rPr>
          <w:rFonts w:hint="eastAsia" w:ascii="宋体" w:hAnsi="宋体" w:eastAsia="宋体" w:cs="宋体"/>
          <w:color w:val="auto"/>
          <w:highlight w:val="none"/>
        </w:rPr>
      </w:pPr>
    </w:p>
    <w:p w14:paraId="537DD8A0">
      <w:pPr>
        <w:pStyle w:val="29"/>
        <w:spacing w:beforeAutospacing="0" w:afterAutospacing="0" w:line="0" w:lineRule="atLeast"/>
        <w:jc w:val="center"/>
        <w:rPr>
          <w:rFonts w:hint="eastAsia" w:ascii="宋体" w:hAnsi="宋体" w:eastAsia="宋体" w:cs="宋体"/>
          <w:color w:val="auto"/>
          <w:highlight w:val="none"/>
        </w:rPr>
      </w:pPr>
    </w:p>
    <w:p w14:paraId="4494B6BF">
      <w:pPr>
        <w:pStyle w:val="29"/>
        <w:spacing w:beforeAutospacing="0" w:afterAutospacing="0" w:line="0" w:lineRule="atLeast"/>
        <w:jc w:val="center"/>
        <w:rPr>
          <w:rFonts w:hint="eastAsia" w:ascii="宋体" w:hAnsi="宋体" w:eastAsia="宋体" w:cs="宋体"/>
          <w:color w:val="auto"/>
          <w:highlight w:val="none"/>
        </w:rPr>
      </w:pPr>
    </w:p>
    <w:p w14:paraId="4BC683C5">
      <w:pPr>
        <w:pStyle w:val="29"/>
        <w:spacing w:beforeAutospacing="0" w:afterAutospacing="0" w:line="0" w:lineRule="atLeast"/>
        <w:jc w:val="center"/>
        <w:rPr>
          <w:rFonts w:hint="eastAsia" w:ascii="宋体" w:hAnsi="宋体" w:eastAsia="宋体" w:cs="宋体"/>
          <w:color w:val="auto"/>
          <w:highlight w:val="none"/>
        </w:rPr>
      </w:pPr>
    </w:p>
    <w:p w14:paraId="5175A86E">
      <w:pPr>
        <w:pStyle w:val="29"/>
        <w:spacing w:beforeAutospacing="0" w:afterAutospacing="0" w:line="0" w:lineRule="atLeast"/>
        <w:jc w:val="center"/>
        <w:rPr>
          <w:rFonts w:hint="eastAsia" w:ascii="宋体" w:hAnsi="宋体" w:eastAsia="宋体" w:cs="宋体"/>
          <w:color w:val="auto"/>
          <w:highlight w:val="none"/>
        </w:rPr>
      </w:pPr>
    </w:p>
    <w:p w14:paraId="489B0D17">
      <w:pPr>
        <w:pStyle w:val="29"/>
        <w:spacing w:beforeAutospacing="0" w:afterAutospacing="0" w:line="0" w:lineRule="atLeast"/>
        <w:jc w:val="center"/>
        <w:rPr>
          <w:rFonts w:hint="eastAsia" w:ascii="宋体" w:hAnsi="宋体" w:eastAsia="宋体" w:cs="宋体"/>
          <w:color w:val="auto"/>
          <w:highlight w:val="none"/>
        </w:rPr>
      </w:pPr>
    </w:p>
    <w:p w14:paraId="2B65EF21">
      <w:pPr>
        <w:pStyle w:val="29"/>
        <w:spacing w:beforeAutospacing="0" w:afterAutospacing="0" w:line="0" w:lineRule="atLeast"/>
        <w:jc w:val="center"/>
        <w:rPr>
          <w:rFonts w:hint="eastAsia" w:ascii="宋体" w:hAnsi="宋体" w:eastAsia="宋体" w:cs="宋体"/>
          <w:color w:val="auto"/>
          <w:highlight w:val="none"/>
        </w:rPr>
      </w:pPr>
    </w:p>
    <w:p w14:paraId="082502A1">
      <w:pPr>
        <w:pStyle w:val="29"/>
        <w:spacing w:beforeAutospacing="0" w:afterAutospacing="0" w:line="0" w:lineRule="atLeast"/>
        <w:jc w:val="center"/>
        <w:rPr>
          <w:rFonts w:hint="eastAsia" w:ascii="宋体" w:hAnsi="宋体" w:eastAsia="宋体" w:cs="宋体"/>
          <w:color w:val="auto"/>
          <w:highlight w:val="none"/>
        </w:rPr>
      </w:pPr>
    </w:p>
    <w:p w14:paraId="1476295C">
      <w:pPr>
        <w:pStyle w:val="29"/>
        <w:spacing w:beforeAutospacing="0" w:afterAutospacing="0" w:line="0" w:lineRule="atLeast"/>
        <w:jc w:val="center"/>
        <w:rPr>
          <w:rFonts w:hint="eastAsia" w:ascii="宋体" w:hAnsi="宋体" w:eastAsia="宋体" w:cs="宋体"/>
          <w:color w:val="auto"/>
          <w:highlight w:val="none"/>
        </w:rPr>
      </w:pPr>
    </w:p>
    <w:p w14:paraId="481174EA">
      <w:pPr>
        <w:pStyle w:val="29"/>
        <w:spacing w:beforeAutospacing="0" w:afterAutospacing="0" w:line="0" w:lineRule="atLeast"/>
        <w:jc w:val="center"/>
        <w:rPr>
          <w:rFonts w:hint="eastAsia" w:ascii="宋体" w:hAnsi="宋体" w:eastAsia="宋体" w:cs="宋体"/>
          <w:color w:val="auto"/>
          <w:highlight w:val="none"/>
        </w:rPr>
      </w:pPr>
    </w:p>
    <w:p w14:paraId="43647A13">
      <w:pPr>
        <w:pStyle w:val="29"/>
        <w:spacing w:beforeAutospacing="0" w:afterAutospacing="0" w:line="0" w:lineRule="atLeast"/>
        <w:jc w:val="center"/>
        <w:rPr>
          <w:rFonts w:hint="eastAsia" w:ascii="宋体" w:hAnsi="宋体" w:eastAsia="宋体" w:cs="宋体"/>
          <w:color w:val="auto"/>
          <w:highlight w:val="none"/>
        </w:rPr>
      </w:pPr>
    </w:p>
    <w:p w14:paraId="039CE9D8">
      <w:pPr>
        <w:pStyle w:val="29"/>
        <w:spacing w:beforeAutospacing="0" w:afterAutospacing="0" w:line="0" w:lineRule="atLeast"/>
        <w:jc w:val="center"/>
        <w:rPr>
          <w:rFonts w:hint="eastAsia" w:ascii="宋体" w:hAnsi="宋体" w:eastAsia="宋体" w:cs="宋体"/>
          <w:color w:val="auto"/>
          <w:highlight w:val="none"/>
        </w:rPr>
      </w:pPr>
    </w:p>
    <w:p w14:paraId="66DD28EA">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10072B7">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14719B4">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488F222">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725DB41">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十一、 关于符合本国产品标准的声明函（采购包号：**）</w:t>
      </w:r>
    </w:p>
    <w:p w14:paraId="08B28B7D">
      <w:pPr>
        <w:pStyle w:val="29"/>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6FADD71">
      <w:pPr>
        <w:pStyle w:val="29"/>
        <w:spacing w:beforeAutospacing="0" w:afterAutospacing="0"/>
        <w:ind w:firstLine="42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4B7025EE">
      <w:pPr>
        <w:pStyle w:val="29"/>
        <w:spacing w:before="30" w:beforeAutospacing="0" w:after="30" w:afterAutospacing="0"/>
        <w:ind w:firstLine="42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1.</w:t>
      </w:r>
      <w:r>
        <w:rPr>
          <w:rFonts w:hint="eastAsia" w:ascii="宋体" w:hAnsi="宋体" w:eastAsia="宋体" w:cs="宋体"/>
          <w:b/>
          <w:bCs/>
          <w:color w:val="auto"/>
          <w:highlight w:val="none"/>
          <w:u w:val="single"/>
          <w:shd w:val="clear" w:color="auto" w:fill="FFFFFF"/>
        </w:rPr>
        <w:t>（产品名称1）</w:t>
      </w:r>
      <w:r>
        <w:rPr>
          <w:rFonts w:hint="eastAsia" w:ascii="宋体" w:hAnsi="宋体" w:eastAsia="宋体" w:cs="宋体"/>
          <w:b/>
          <w:bCs/>
          <w:color w:val="auto"/>
          <w:highlight w:val="none"/>
          <w:shd w:val="clear" w:color="auto" w:fill="FFFFFF"/>
          <w:vertAlign w:val="superscript"/>
        </w:rPr>
        <w:t>1</w:t>
      </w:r>
      <w:r>
        <w:rPr>
          <w:rFonts w:hint="eastAsia" w:ascii="宋体" w:hAnsi="宋体" w:eastAsia="宋体" w:cs="宋体"/>
          <w:b/>
          <w:bCs/>
          <w:color w:val="auto"/>
          <w:highlight w:val="none"/>
          <w:shd w:val="clear" w:color="auto" w:fill="FFFFFF"/>
        </w:rPr>
        <w:t>，生产厂为</w:t>
      </w:r>
      <w:r>
        <w:rPr>
          <w:rFonts w:hint="eastAsia" w:ascii="宋体" w:hAnsi="宋体" w:eastAsia="宋体" w:cs="宋体"/>
          <w:b/>
          <w:bCs/>
          <w:color w:val="auto"/>
          <w:highlight w:val="none"/>
          <w:u w:val="single"/>
          <w:shd w:val="clear" w:color="auto" w:fill="FFFFFF"/>
        </w:rPr>
        <w:t>（厂名）</w:t>
      </w:r>
      <w:r>
        <w:rPr>
          <w:rFonts w:hint="eastAsia" w:ascii="宋体" w:hAnsi="宋体" w:eastAsia="宋体" w:cs="宋体"/>
          <w:b/>
          <w:bCs/>
          <w:color w:val="auto"/>
          <w:highlight w:val="none"/>
          <w:shd w:val="clear" w:color="auto" w:fill="FFFFFF"/>
          <w:vertAlign w:val="superscript"/>
        </w:rPr>
        <w:t>2</w:t>
      </w:r>
      <w:r>
        <w:rPr>
          <w:rFonts w:hint="eastAsia" w:ascii="宋体" w:hAnsi="宋体" w:eastAsia="宋体" w:cs="宋体"/>
          <w:b/>
          <w:bCs/>
          <w:color w:val="auto"/>
          <w:highlight w:val="none"/>
          <w:shd w:val="clear" w:color="auto" w:fill="FFFFFF"/>
        </w:rPr>
        <w:t>，厂址为</w:t>
      </w:r>
      <w:r>
        <w:rPr>
          <w:rFonts w:hint="eastAsia" w:ascii="宋体" w:hAnsi="宋体" w:eastAsia="宋体" w:cs="宋体"/>
          <w:b/>
          <w:bCs/>
          <w:color w:val="auto"/>
          <w:highlight w:val="none"/>
          <w:u w:val="single"/>
          <w:shd w:val="clear" w:color="auto" w:fill="FFFFFF"/>
        </w:rPr>
        <w:t>（生产厂址）</w:t>
      </w:r>
      <w:r>
        <w:rPr>
          <w:rFonts w:hint="eastAsia" w:ascii="宋体" w:hAnsi="宋体" w:eastAsia="宋体" w:cs="宋体"/>
          <w:b/>
          <w:bCs/>
          <w:color w:val="auto"/>
          <w:highlight w:val="none"/>
          <w:shd w:val="clear" w:color="auto" w:fill="FFFFFF"/>
        </w:rPr>
        <w:t>在中国境内完成。</w:t>
      </w:r>
    </w:p>
    <w:p w14:paraId="62226850">
      <w:pPr>
        <w:pStyle w:val="29"/>
        <w:spacing w:before="30" w:beforeAutospacing="0" w:after="30" w:afterAutospacing="0"/>
        <w:ind w:firstLine="42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w:t>
      </w:r>
    </w:p>
    <w:p w14:paraId="008C870E">
      <w:pPr>
        <w:pStyle w:val="29"/>
        <w:spacing w:before="30" w:beforeAutospacing="0" w:after="30" w:afterAutospacing="0"/>
        <w:ind w:firstLine="42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本公司（单位）对上述声明内容的真实性负责。如有虚假，愿承担相应法律责任。</w:t>
      </w:r>
    </w:p>
    <w:p w14:paraId="312EBA70">
      <w:pPr>
        <w:pStyle w:val="29"/>
        <w:spacing w:before="30" w:beforeAutospacing="0" w:after="30" w:afterAutospacing="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 </w:t>
      </w:r>
    </w:p>
    <w:p w14:paraId="4B7EA60D">
      <w:pPr>
        <w:pStyle w:val="29"/>
        <w:spacing w:before="30" w:beforeAutospacing="0" w:after="30" w:afterAutospacing="0"/>
        <w:ind w:right="480" w:firstLine="372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公司（单位）名称（盖章）：　</w:t>
      </w:r>
    </w:p>
    <w:p w14:paraId="6B6AA415">
      <w:pPr>
        <w:pStyle w:val="29"/>
        <w:spacing w:before="30" w:beforeAutospacing="0" w:after="30" w:afterAutospacing="0"/>
        <w:jc w:val="center"/>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               日期：　   年　  月　  日         </w:t>
      </w:r>
    </w:p>
    <w:p w14:paraId="1E82F21F">
      <w:pPr>
        <w:pStyle w:val="29"/>
        <w:spacing w:before="30" w:beforeAutospacing="0" w:after="30" w:afterAutospacing="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__________________</w:t>
      </w:r>
    </w:p>
    <w:p w14:paraId="7031A483">
      <w:pPr>
        <w:pStyle w:val="29"/>
        <w:spacing w:before="30" w:beforeAutospacing="0" w:after="30" w:afterAutospacing="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1.产品如有型号，请在“产品名称”栏一并填写。</w:t>
      </w:r>
    </w:p>
    <w:p w14:paraId="1A0BBB07">
      <w:pPr>
        <w:pStyle w:val="29"/>
        <w:spacing w:before="30" w:beforeAutospacing="0" w:after="30" w:afterAutospacing="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2.生产厂名与厂址应与生产厂营业执照载明的相关信息保持一致。</w:t>
      </w:r>
    </w:p>
    <w:p w14:paraId="25B2EAF4">
      <w:pPr>
        <w:pStyle w:val="29"/>
        <w:spacing w:before="30" w:beforeAutospacing="0" w:after="30" w:afterAutospacing="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3.该产品的中国境内生产的组件成本占比相关要求实施前，“规定比例”栏可不填，下同。</w:t>
      </w:r>
    </w:p>
    <w:p w14:paraId="5B6AC18B">
      <w:pPr>
        <w:pStyle w:val="29"/>
        <w:spacing w:before="30" w:beforeAutospacing="0" w:after="30" w:afterAutospacing="0"/>
        <w:jc w:val="both"/>
        <w:rPr>
          <w:rFonts w:hint="eastAsia" w:ascii="宋体" w:hAnsi="宋体" w:eastAsia="宋体" w:cs="宋体"/>
          <w:b/>
          <w:bCs/>
          <w:color w:val="auto"/>
          <w:highlight w:val="none"/>
        </w:rPr>
      </w:pPr>
      <w:r>
        <w:rPr>
          <w:rFonts w:hint="eastAsia" w:ascii="宋体" w:hAnsi="宋体" w:eastAsia="宋体" w:cs="宋体"/>
          <w:b/>
          <w:bCs/>
          <w:color w:val="auto"/>
          <w:highlight w:val="none"/>
          <w:shd w:val="clear" w:color="auto" w:fill="FFFFFF"/>
        </w:rPr>
        <w:t>4.该产品的关键组件要求实施前，“关键组件”栏可不填，下同。</w:t>
      </w:r>
    </w:p>
    <w:p w14:paraId="3DA7FE04">
      <w:pPr>
        <w:pStyle w:val="29"/>
        <w:spacing w:before="30" w:beforeAutospacing="0" w:after="30" w:afterAutospacing="0"/>
        <w:jc w:val="both"/>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5.该产品的关键工序要求实施前，“关键工序”栏可不填，下同。</w:t>
      </w:r>
    </w:p>
    <w:p w14:paraId="7CBC5A66">
      <w:pPr>
        <w:pStyle w:val="29"/>
        <w:spacing w:before="30" w:beforeAutospacing="0" w:after="30" w:afterAutospacing="0"/>
        <w:jc w:val="both"/>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6.用横线划除的地方无需填写。</w:t>
      </w:r>
    </w:p>
    <w:p w14:paraId="37C9BCEB">
      <w:pPr>
        <w:pStyle w:val="29"/>
        <w:spacing w:before="30" w:beforeAutospacing="0" w:after="30" w:afterAutospacing="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highlight w:val="none"/>
          <w:u w:val="single"/>
        </w:rPr>
        <w:t>故，如供应商所提供产品为本国产品的，应当对其提供的产品出具《关于符合本国产品标准的声明函》（以下简称《声明函》），不出具《声明函》的，不享受政府采购对本国产品的支持政策。</w:t>
      </w:r>
    </w:p>
    <w:p w14:paraId="30A0444C">
      <w:pPr>
        <w:pStyle w:val="29"/>
        <w:spacing w:before="30" w:beforeAutospacing="0" w:after="30" w:afterAutospacing="0"/>
        <w:jc w:val="both"/>
        <w:rPr>
          <w:rFonts w:hint="eastAsia" w:ascii="宋体" w:hAnsi="宋体" w:eastAsia="宋体" w:cs="宋体"/>
          <w:b/>
          <w:bCs/>
          <w:color w:val="auto"/>
          <w:highlight w:val="none"/>
          <w:shd w:val="clear" w:color="auto" w:fill="FFFFFF"/>
        </w:rPr>
      </w:pPr>
    </w:p>
    <w:p w14:paraId="26D76280">
      <w:pPr>
        <w:jc w:val="center"/>
        <w:rPr>
          <w:rFonts w:hint="eastAsia" w:ascii="宋体" w:hAnsi="宋体" w:eastAsia="宋体" w:cs="宋体"/>
          <w:b/>
          <w:bCs/>
          <w:color w:val="auto"/>
          <w:sz w:val="24"/>
          <w:highlight w:val="none"/>
        </w:rPr>
      </w:pPr>
    </w:p>
    <w:p w14:paraId="0EE34C18">
      <w:pPr>
        <w:spacing w:line="241" w:lineRule="auto"/>
        <w:rPr>
          <w:rFonts w:hint="eastAsia" w:ascii="宋体" w:hAnsi="宋体" w:eastAsia="宋体" w:cs="宋体"/>
          <w:b/>
          <w:bCs/>
          <w:color w:val="auto"/>
          <w:highlight w:val="none"/>
        </w:rPr>
      </w:pPr>
    </w:p>
    <w:p w14:paraId="58B37AFF">
      <w:pPr>
        <w:spacing w:line="241" w:lineRule="auto"/>
        <w:rPr>
          <w:rFonts w:hint="eastAsia" w:ascii="宋体" w:hAnsi="宋体" w:eastAsia="宋体" w:cs="宋体"/>
          <w:b/>
          <w:bCs/>
          <w:color w:val="auto"/>
          <w:highlight w:val="none"/>
        </w:rPr>
      </w:pPr>
    </w:p>
    <w:p w14:paraId="2F0AE6E4">
      <w:pPr>
        <w:pStyle w:val="29"/>
        <w:spacing w:beforeAutospacing="0" w:afterAutospacing="0" w:line="0" w:lineRule="atLeast"/>
        <w:jc w:val="center"/>
        <w:rPr>
          <w:rFonts w:hint="eastAsia" w:ascii="宋体" w:hAnsi="宋体" w:eastAsia="宋体" w:cs="宋体"/>
          <w:b/>
          <w:bCs/>
          <w:color w:val="auto"/>
          <w:highlight w:val="none"/>
        </w:rPr>
      </w:pPr>
    </w:p>
    <w:p w14:paraId="4A9D3251">
      <w:pPr>
        <w:pStyle w:val="29"/>
        <w:spacing w:beforeAutospacing="0" w:afterAutospacing="0" w:line="0" w:lineRule="atLeast"/>
        <w:jc w:val="center"/>
        <w:rPr>
          <w:rFonts w:hint="eastAsia" w:ascii="宋体" w:hAnsi="宋体" w:eastAsia="宋体" w:cs="宋体"/>
          <w:b/>
          <w:bCs/>
          <w:color w:val="auto"/>
          <w:highlight w:val="none"/>
        </w:rPr>
      </w:pPr>
    </w:p>
    <w:p w14:paraId="1FA719D6">
      <w:pPr>
        <w:pStyle w:val="29"/>
        <w:spacing w:beforeAutospacing="0" w:afterAutospacing="0" w:line="0" w:lineRule="atLeas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w:t>
      </w:r>
    </w:p>
    <w:p w14:paraId="3D132ECF">
      <w:pPr>
        <w:pStyle w:val="29"/>
        <w:spacing w:beforeAutospacing="0" w:afterAutospacing="0" w:line="0" w:lineRule="atLeast"/>
        <w:jc w:val="center"/>
        <w:rPr>
          <w:rFonts w:hint="eastAsia" w:ascii="宋体" w:hAnsi="宋体" w:eastAsia="宋体" w:cs="宋体"/>
          <w:b/>
          <w:bCs/>
          <w:color w:val="auto"/>
          <w:highlight w:val="none"/>
        </w:rPr>
      </w:pPr>
    </w:p>
    <w:p w14:paraId="23B0C2F4">
      <w:pPr>
        <w:pStyle w:val="29"/>
        <w:spacing w:beforeAutospacing="0" w:afterAutospacing="0" w:line="0" w:lineRule="atLeast"/>
        <w:jc w:val="center"/>
        <w:rPr>
          <w:rFonts w:hint="eastAsia" w:ascii="宋体" w:hAnsi="宋体" w:eastAsia="宋体" w:cs="宋体"/>
          <w:color w:val="auto"/>
          <w:highlight w:val="none"/>
        </w:rPr>
      </w:pPr>
    </w:p>
    <w:p w14:paraId="1913E2B2">
      <w:pPr>
        <w:pStyle w:val="29"/>
        <w:spacing w:beforeAutospacing="0" w:afterAutospacing="0" w:line="0" w:lineRule="atLeast"/>
        <w:jc w:val="center"/>
        <w:rPr>
          <w:rFonts w:hint="eastAsia" w:ascii="宋体" w:hAnsi="宋体" w:eastAsia="宋体" w:cs="宋体"/>
          <w:color w:val="auto"/>
          <w:highlight w:val="none"/>
        </w:rPr>
      </w:pPr>
    </w:p>
    <w:p w14:paraId="43BC1E20">
      <w:pPr>
        <w:pStyle w:val="29"/>
        <w:spacing w:beforeAutospacing="0" w:afterAutospacing="0" w:line="0" w:lineRule="atLeast"/>
        <w:jc w:val="center"/>
        <w:rPr>
          <w:rFonts w:hint="eastAsia" w:ascii="宋体" w:hAnsi="宋体" w:eastAsia="宋体" w:cs="宋体"/>
          <w:color w:val="auto"/>
          <w:highlight w:val="none"/>
        </w:rPr>
      </w:pPr>
    </w:p>
    <w:p w14:paraId="1784D6E5">
      <w:pPr>
        <w:pStyle w:val="29"/>
        <w:spacing w:beforeAutospacing="0" w:afterAutospacing="0" w:line="0" w:lineRule="atLeast"/>
        <w:jc w:val="center"/>
        <w:rPr>
          <w:rFonts w:hint="eastAsia" w:ascii="宋体" w:hAnsi="宋体" w:eastAsia="宋体" w:cs="宋体"/>
          <w:color w:val="auto"/>
          <w:highlight w:val="none"/>
        </w:rPr>
      </w:pPr>
    </w:p>
    <w:p w14:paraId="14A4CD7B">
      <w:pPr>
        <w:rPr>
          <w:rFonts w:hint="eastAsia" w:ascii="宋体" w:hAnsi="宋体" w:eastAsia="宋体" w:cs="宋体"/>
          <w:b/>
          <w:color w:val="auto"/>
          <w:sz w:val="32"/>
          <w:szCs w:val="32"/>
          <w:highlight w:val="none"/>
        </w:rPr>
      </w:pPr>
    </w:p>
    <w:p w14:paraId="1A794BE8">
      <w:pPr>
        <w:pStyle w:val="29"/>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十二、联合体协议（参考格式）（分包号：**）</w:t>
      </w:r>
    </w:p>
    <w:p w14:paraId="7B464F66">
      <w:pPr>
        <w:pStyle w:val="29"/>
        <w:spacing w:beforeAutospacing="0" w:afterAutospacing="0" w:line="0" w:lineRule="atLeast"/>
        <w:ind w:firstLine="645"/>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4B96922">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本项目不接受联合体投标。 </w:t>
      </w:r>
    </w:p>
    <w:p w14:paraId="755B0F2C">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8EE79BD">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899C2DA">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E33BD41">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04FD943">
      <w:pPr>
        <w:pStyle w:val="29"/>
        <w:spacing w:beforeAutospacing="0" w:afterAutospacing="0" w:line="0" w:lineRule="atLeast"/>
        <w:jc w:val="both"/>
        <w:rPr>
          <w:rFonts w:hint="eastAsia" w:ascii="宋体" w:hAnsi="宋体" w:eastAsia="宋体" w:cs="宋体"/>
          <w:color w:val="auto"/>
          <w:highlight w:val="none"/>
        </w:rPr>
      </w:pPr>
    </w:p>
    <w:p w14:paraId="15248BCE">
      <w:pPr>
        <w:pStyle w:val="29"/>
        <w:spacing w:beforeAutospacing="0" w:afterAutospacing="0" w:line="0" w:lineRule="atLeast"/>
        <w:jc w:val="both"/>
        <w:rPr>
          <w:rFonts w:hint="eastAsia" w:ascii="宋体" w:hAnsi="宋体" w:eastAsia="宋体" w:cs="宋体"/>
          <w:color w:val="auto"/>
          <w:highlight w:val="none"/>
        </w:rPr>
      </w:pPr>
    </w:p>
    <w:p w14:paraId="4B8A1F8D">
      <w:pPr>
        <w:pStyle w:val="29"/>
        <w:spacing w:beforeAutospacing="0" w:afterAutospacing="0" w:line="0" w:lineRule="atLeast"/>
        <w:jc w:val="both"/>
        <w:rPr>
          <w:rFonts w:hint="eastAsia" w:ascii="宋体" w:hAnsi="宋体" w:eastAsia="宋体" w:cs="宋体"/>
          <w:color w:val="auto"/>
          <w:highlight w:val="none"/>
        </w:rPr>
      </w:pPr>
    </w:p>
    <w:p w14:paraId="6B73BAF1">
      <w:pPr>
        <w:pStyle w:val="29"/>
        <w:spacing w:beforeAutospacing="0" w:afterAutospacing="0" w:line="0" w:lineRule="atLeast"/>
        <w:jc w:val="both"/>
        <w:rPr>
          <w:rFonts w:hint="eastAsia" w:ascii="宋体" w:hAnsi="宋体" w:eastAsia="宋体" w:cs="宋体"/>
          <w:color w:val="auto"/>
          <w:highlight w:val="none"/>
        </w:rPr>
      </w:pPr>
    </w:p>
    <w:p w14:paraId="77CAC321">
      <w:pPr>
        <w:pStyle w:val="29"/>
        <w:spacing w:beforeAutospacing="0" w:afterAutospacing="0" w:line="0" w:lineRule="atLeast"/>
        <w:jc w:val="both"/>
        <w:rPr>
          <w:rFonts w:hint="eastAsia" w:ascii="宋体" w:hAnsi="宋体" w:eastAsia="宋体" w:cs="宋体"/>
          <w:color w:val="auto"/>
          <w:highlight w:val="none"/>
        </w:rPr>
      </w:pPr>
    </w:p>
    <w:p w14:paraId="2D9D641D">
      <w:pPr>
        <w:pStyle w:val="29"/>
        <w:spacing w:beforeAutospacing="0" w:afterAutospacing="0" w:line="0" w:lineRule="atLeast"/>
        <w:jc w:val="both"/>
        <w:rPr>
          <w:rFonts w:hint="eastAsia" w:ascii="宋体" w:hAnsi="宋体" w:eastAsia="宋体" w:cs="宋体"/>
          <w:color w:val="auto"/>
          <w:highlight w:val="none"/>
        </w:rPr>
      </w:pPr>
    </w:p>
    <w:p w14:paraId="575990DC">
      <w:pPr>
        <w:pStyle w:val="29"/>
        <w:spacing w:beforeAutospacing="0" w:afterAutospacing="0" w:line="0" w:lineRule="atLeast"/>
        <w:jc w:val="both"/>
        <w:rPr>
          <w:rFonts w:hint="eastAsia" w:ascii="宋体" w:hAnsi="宋体" w:eastAsia="宋体" w:cs="宋体"/>
          <w:color w:val="auto"/>
          <w:highlight w:val="none"/>
        </w:rPr>
      </w:pPr>
    </w:p>
    <w:p w14:paraId="63A558C8">
      <w:pPr>
        <w:pStyle w:val="29"/>
        <w:spacing w:beforeAutospacing="0" w:afterAutospacing="0" w:line="0" w:lineRule="atLeast"/>
        <w:jc w:val="both"/>
        <w:rPr>
          <w:rFonts w:hint="eastAsia" w:ascii="宋体" w:hAnsi="宋体" w:eastAsia="宋体" w:cs="宋体"/>
          <w:color w:val="auto"/>
          <w:highlight w:val="none"/>
        </w:rPr>
      </w:pPr>
    </w:p>
    <w:p w14:paraId="173A25BF">
      <w:pPr>
        <w:pStyle w:val="29"/>
        <w:spacing w:beforeAutospacing="0" w:afterAutospacing="0" w:line="0" w:lineRule="atLeast"/>
        <w:jc w:val="both"/>
        <w:rPr>
          <w:rFonts w:hint="eastAsia" w:ascii="宋体" w:hAnsi="宋体" w:eastAsia="宋体" w:cs="宋体"/>
          <w:color w:val="auto"/>
          <w:highlight w:val="none"/>
        </w:rPr>
      </w:pPr>
    </w:p>
    <w:p w14:paraId="645ED6B7">
      <w:pPr>
        <w:pStyle w:val="29"/>
        <w:spacing w:beforeAutospacing="0" w:afterAutospacing="0" w:line="0" w:lineRule="atLeast"/>
        <w:jc w:val="both"/>
        <w:rPr>
          <w:rFonts w:hint="eastAsia" w:ascii="宋体" w:hAnsi="宋体" w:eastAsia="宋体" w:cs="宋体"/>
          <w:color w:val="auto"/>
          <w:highlight w:val="none"/>
        </w:rPr>
      </w:pPr>
    </w:p>
    <w:p w14:paraId="4FCD94CD">
      <w:pPr>
        <w:pStyle w:val="29"/>
        <w:spacing w:beforeAutospacing="0" w:afterAutospacing="0" w:line="0" w:lineRule="atLeast"/>
        <w:jc w:val="both"/>
        <w:rPr>
          <w:rFonts w:hint="eastAsia" w:ascii="宋体" w:hAnsi="宋体" w:eastAsia="宋体" w:cs="宋体"/>
          <w:color w:val="auto"/>
          <w:highlight w:val="none"/>
        </w:rPr>
      </w:pPr>
    </w:p>
    <w:p w14:paraId="4DDC8BAC">
      <w:pPr>
        <w:pStyle w:val="29"/>
        <w:spacing w:beforeAutospacing="0" w:afterAutospacing="0" w:line="0" w:lineRule="atLeast"/>
        <w:jc w:val="both"/>
        <w:rPr>
          <w:rFonts w:hint="eastAsia" w:ascii="宋体" w:hAnsi="宋体" w:eastAsia="宋体" w:cs="宋体"/>
          <w:color w:val="auto"/>
          <w:highlight w:val="none"/>
        </w:rPr>
      </w:pPr>
    </w:p>
    <w:p w14:paraId="749D39D9">
      <w:pPr>
        <w:pStyle w:val="29"/>
        <w:spacing w:beforeAutospacing="0" w:afterAutospacing="0" w:line="0" w:lineRule="atLeast"/>
        <w:jc w:val="both"/>
        <w:rPr>
          <w:rFonts w:hint="eastAsia" w:ascii="宋体" w:hAnsi="宋体" w:eastAsia="宋体" w:cs="宋体"/>
          <w:color w:val="auto"/>
          <w:highlight w:val="none"/>
        </w:rPr>
      </w:pPr>
    </w:p>
    <w:p w14:paraId="1D1E69DC">
      <w:pPr>
        <w:pStyle w:val="29"/>
        <w:spacing w:beforeAutospacing="0" w:afterAutospacing="0" w:line="0" w:lineRule="atLeast"/>
        <w:jc w:val="both"/>
        <w:rPr>
          <w:rFonts w:hint="eastAsia" w:ascii="宋体" w:hAnsi="宋体" w:eastAsia="宋体" w:cs="宋体"/>
          <w:color w:val="auto"/>
          <w:highlight w:val="none"/>
        </w:rPr>
      </w:pPr>
    </w:p>
    <w:p w14:paraId="4B860F28">
      <w:pPr>
        <w:pStyle w:val="29"/>
        <w:spacing w:beforeAutospacing="0" w:afterAutospacing="0" w:line="0" w:lineRule="atLeast"/>
        <w:jc w:val="both"/>
        <w:rPr>
          <w:rFonts w:hint="eastAsia" w:ascii="宋体" w:hAnsi="宋体" w:eastAsia="宋体" w:cs="宋体"/>
          <w:color w:val="auto"/>
          <w:highlight w:val="none"/>
        </w:rPr>
      </w:pPr>
    </w:p>
    <w:p w14:paraId="02C111ED">
      <w:pPr>
        <w:pStyle w:val="29"/>
        <w:spacing w:beforeAutospacing="0" w:afterAutospacing="0" w:line="0" w:lineRule="atLeast"/>
        <w:jc w:val="both"/>
        <w:rPr>
          <w:rFonts w:hint="eastAsia" w:ascii="宋体" w:hAnsi="宋体" w:eastAsia="宋体" w:cs="宋体"/>
          <w:color w:val="auto"/>
          <w:highlight w:val="none"/>
        </w:rPr>
      </w:pPr>
    </w:p>
    <w:p w14:paraId="47E21DE0">
      <w:pPr>
        <w:pStyle w:val="29"/>
        <w:spacing w:beforeAutospacing="0" w:afterAutospacing="0" w:line="0" w:lineRule="atLeast"/>
        <w:jc w:val="both"/>
        <w:rPr>
          <w:rFonts w:hint="eastAsia" w:ascii="宋体" w:hAnsi="宋体" w:eastAsia="宋体" w:cs="宋体"/>
          <w:color w:val="auto"/>
          <w:highlight w:val="none"/>
        </w:rPr>
      </w:pPr>
    </w:p>
    <w:p w14:paraId="740810D2">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F7D1213">
      <w:pPr>
        <w:pStyle w:val="29"/>
        <w:spacing w:beforeAutospacing="0" w:afterAutospacing="0" w:line="0" w:lineRule="atLeast"/>
        <w:jc w:val="both"/>
        <w:rPr>
          <w:rFonts w:hint="eastAsia" w:ascii="宋体" w:hAnsi="宋体" w:eastAsia="宋体" w:cs="宋体"/>
          <w:color w:val="auto"/>
          <w:highlight w:val="none"/>
        </w:rPr>
      </w:pPr>
    </w:p>
    <w:p w14:paraId="3E49C7AB">
      <w:pPr>
        <w:pStyle w:val="29"/>
        <w:spacing w:beforeAutospacing="0" w:afterAutospacing="0" w:line="0" w:lineRule="atLeast"/>
        <w:jc w:val="both"/>
        <w:rPr>
          <w:rFonts w:hint="eastAsia" w:ascii="宋体" w:hAnsi="宋体" w:eastAsia="宋体" w:cs="宋体"/>
          <w:color w:val="auto"/>
          <w:highlight w:val="none"/>
        </w:rPr>
      </w:pPr>
    </w:p>
    <w:p w14:paraId="1E246EFD">
      <w:pPr>
        <w:pStyle w:val="29"/>
        <w:spacing w:beforeAutospacing="0" w:afterAutospacing="0" w:line="0" w:lineRule="atLeast"/>
        <w:jc w:val="both"/>
        <w:rPr>
          <w:rFonts w:hint="eastAsia" w:ascii="宋体" w:hAnsi="宋体" w:eastAsia="宋体" w:cs="宋体"/>
          <w:color w:val="auto"/>
          <w:highlight w:val="none"/>
        </w:rPr>
      </w:pPr>
    </w:p>
    <w:p w14:paraId="14E3FA83">
      <w:pPr>
        <w:pStyle w:val="29"/>
        <w:spacing w:beforeAutospacing="0" w:afterAutospacing="0" w:line="0" w:lineRule="atLeast"/>
        <w:jc w:val="both"/>
        <w:rPr>
          <w:rFonts w:hint="eastAsia" w:ascii="宋体" w:hAnsi="宋体" w:eastAsia="宋体" w:cs="宋体"/>
          <w:color w:val="auto"/>
          <w:highlight w:val="none"/>
        </w:rPr>
      </w:pPr>
    </w:p>
    <w:p w14:paraId="1C74C4E1">
      <w:pPr>
        <w:pStyle w:val="29"/>
        <w:spacing w:beforeAutospacing="0" w:afterAutospacing="0" w:line="0" w:lineRule="atLeast"/>
        <w:jc w:val="both"/>
        <w:rPr>
          <w:rFonts w:hint="eastAsia" w:ascii="宋体" w:hAnsi="宋体" w:eastAsia="宋体" w:cs="宋体"/>
          <w:color w:val="auto"/>
          <w:highlight w:val="none"/>
        </w:rPr>
      </w:pPr>
    </w:p>
    <w:p w14:paraId="24316462">
      <w:pPr>
        <w:pStyle w:val="29"/>
        <w:spacing w:beforeAutospacing="0" w:afterAutospacing="0" w:line="0" w:lineRule="atLeast"/>
        <w:jc w:val="both"/>
        <w:rPr>
          <w:rFonts w:hint="eastAsia" w:ascii="宋体" w:hAnsi="宋体" w:eastAsia="宋体" w:cs="宋体"/>
          <w:color w:val="auto"/>
          <w:highlight w:val="none"/>
        </w:rPr>
      </w:pPr>
    </w:p>
    <w:p w14:paraId="3D7A283A">
      <w:pPr>
        <w:pStyle w:val="29"/>
        <w:spacing w:beforeAutospacing="0" w:afterAutospacing="0" w:line="0" w:lineRule="atLeast"/>
        <w:jc w:val="both"/>
        <w:rPr>
          <w:rFonts w:hint="eastAsia" w:ascii="宋体" w:hAnsi="宋体" w:eastAsia="宋体" w:cs="宋体"/>
          <w:color w:val="auto"/>
          <w:highlight w:val="none"/>
        </w:rPr>
      </w:pPr>
    </w:p>
    <w:p w14:paraId="7D704FD3">
      <w:pPr>
        <w:pStyle w:val="29"/>
        <w:spacing w:beforeAutospacing="0" w:afterAutospacing="0" w:line="0" w:lineRule="atLeast"/>
        <w:jc w:val="both"/>
        <w:rPr>
          <w:rFonts w:hint="eastAsia" w:ascii="宋体" w:hAnsi="宋体" w:eastAsia="宋体" w:cs="宋体"/>
          <w:color w:val="auto"/>
          <w:highlight w:val="none"/>
        </w:rPr>
      </w:pPr>
    </w:p>
    <w:p w14:paraId="49B57CD2">
      <w:pPr>
        <w:pStyle w:val="29"/>
        <w:spacing w:beforeAutospacing="0" w:afterAutospacing="0" w:line="0" w:lineRule="atLeast"/>
        <w:jc w:val="both"/>
        <w:rPr>
          <w:rFonts w:hint="eastAsia" w:ascii="宋体" w:hAnsi="宋体" w:eastAsia="宋体" w:cs="宋体"/>
          <w:color w:val="auto"/>
          <w:highlight w:val="none"/>
        </w:rPr>
      </w:pPr>
    </w:p>
    <w:p w14:paraId="501FD045">
      <w:pPr>
        <w:pStyle w:val="29"/>
        <w:spacing w:beforeAutospacing="0" w:afterAutospacing="0" w:line="0" w:lineRule="atLeast"/>
        <w:jc w:val="both"/>
        <w:rPr>
          <w:rFonts w:hint="eastAsia" w:ascii="宋体" w:hAnsi="宋体" w:eastAsia="宋体" w:cs="宋体"/>
          <w:color w:val="auto"/>
          <w:highlight w:val="none"/>
        </w:rPr>
      </w:pPr>
    </w:p>
    <w:p w14:paraId="12F566D5">
      <w:pPr>
        <w:pStyle w:val="29"/>
        <w:spacing w:beforeAutospacing="0" w:afterAutospacing="0" w:line="0" w:lineRule="atLeast"/>
        <w:jc w:val="both"/>
        <w:rPr>
          <w:rFonts w:hint="eastAsia" w:ascii="宋体" w:hAnsi="宋体" w:eastAsia="宋体" w:cs="宋体"/>
          <w:color w:val="auto"/>
          <w:highlight w:val="none"/>
        </w:rPr>
      </w:pPr>
    </w:p>
    <w:p w14:paraId="5ABF4821">
      <w:pPr>
        <w:pStyle w:val="29"/>
        <w:spacing w:beforeAutospacing="0" w:afterAutospacing="0" w:line="0" w:lineRule="atLeast"/>
        <w:jc w:val="both"/>
        <w:rPr>
          <w:rFonts w:hint="eastAsia" w:ascii="宋体" w:hAnsi="宋体" w:eastAsia="宋体" w:cs="宋体"/>
          <w:color w:val="auto"/>
          <w:highlight w:val="none"/>
        </w:rPr>
      </w:pPr>
    </w:p>
    <w:p w14:paraId="04266443">
      <w:pPr>
        <w:pStyle w:val="29"/>
        <w:spacing w:beforeAutospacing="0" w:afterAutospacing="0" w:line="0" w:lineRule="atLeast"/>
        <w:jc w:val="both"/>
        <w:rPr>
          <w:rFonts w:hint="eastAsia" w:ascii="宋体" w:hAnsi="宋体" w:eastAsia="宋体" w:cs="宋体"/>
          <w:color w:val="auto"/>
          <w:highlight w:val="none"/>
        </w:rPr>
      </w:pPr>
    </w:p>
    <w:p w14:paraId="01ECFD62">
      <w:pPr>
        <w:pStyle w:val="29"/>
        <w:spacing w:beforeAutospacing="0" w:afterAutospacing="0" w:line="0" w:lineRule="atLeast"/>
        <w:jc w:val="both"/>
        <w:rPr>
          <w:rFonts w:hint="eastAsia" w:ascii="宋体" w:hAnsi="宋体" w:eastAsia="宋体" w:cs="宋体"/>
          <w:color w:val="auto"/>
          <w:highlight w:val="none"/>
        </w:rPr>
      </w:pPr>
    </w:p>
    <w:p w14:paraId="48BC866A">
      <w:pPr>
        <w:pStyle w:val="29"/>
        <w:spacing w:beforeAutospacing="0" w:afterAutospacing="0" w:line="0" w:lineRule="atLeast"/>
        <w:jc w:val="both"/>
        <w:rPr>
          <w:rFonts w:hint="eastAsia" w:ascii="宋体" w:hAnsi="宋体" w:eastAsia="宋体" w:cs="宋体"/>
          <w:color w:val="auto"/>
          <w:highlight w:val="none"/>
        </w:rPr>
      </w:pPr>
    </w:p>
    <w:p w14:paraId="53121C49">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F762E7A">
      <w:pPr>
        <w:pStyle w:val="29"/>
        <w:spacing w:beforeAutospacing="0" w:afterAutospacing="0"/>
        <w:jc w:val="both"/>
        <w:rPr>
          <w:rFonts w:hint="eastAsia" w:ascii="宋体" w:hAnsi="宋体" w:eastAsia="宋体" w:cs="宋体"/>
          <w:color w:val="auto"/>
          <w:highlight w:val="none"/>
        </w:rPr>
      </w:pPr>
    </w:p>
    <w:p w14:paraId="7D3E92EA">
      <w:pPr>
        <w:pStyle w:val="29"/>
        <w:spacing w:beforeAutospacing="0" w:afterAutospacing="0"/>
        <w:jc w:val="both"/>
        <w:rPr>
          <w:rFonts w:hint="eastAsia" w:ascii="宋体" w:hAnsi="宋体" w:eastAsia="宋体" w:cs="宋体"/>
          <w:color w:val="auto"/>
          <w:highlight w:val="none"/>
        </w:rPr>
      </w:pPr>
    </w:p>
    <w:p w14:paraId="09C4A63F">
      <w:pPr>
        <w:pStyle w:val="29"/>
        <w:spacing w:beforeAutospacing="0" w:afterAutospacing="0"/>
        <w:jc w:val="both"/>
        <w:rPr>
          <w:rFonts w:hint="eastAsia" w:ascii="宋体" w:hAnsi="宋体" w:eastAsia="宋体" w:cs="宋体"/>
          <w:color w:val="auto"/>
          <w:highlight w:val="none"/>
        </w:rPr>
      </w:pPr>
    </w:p>
    <w:p w14:paraId="546B2370">
      <w:pPr>
        <w:pStyle w:val="29"/>
        <w:spacing w:beforeAutospacing="0" w:afterAutospacing="0"/>
        <w:ind w:firstLine="964"/>
        <w:jc w:val="both"/>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十三、技术要求响应及偏离表（分包号：**）</w:t>
      </w:r>
    </w:p>
    <w:tbl>
      <w:tblPr>
        <w:tblStyle w:val="3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17C97B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247FE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BC29C6F">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F507DB7">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3A0F050">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D3507F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7441AA0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3517F6A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5A3DBA7">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916140D">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2B8859E">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1DEEC6B">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568AA87">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4AC188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97B9C1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CCCE381">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57D2A44">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887563C">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30ED0F4">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0B8339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5CA87D">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452F5E1">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F7B907A">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4E11B5F">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934A84F">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31008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54A556C">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58500FF">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91C70D3">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858ABC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178C17A">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2D8678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372315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82C2C5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38974C6">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2241863">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3D12C7F">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AFE092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47578CA">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D70FCA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1FC25AA">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858BC4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B0DB891">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032B41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568AE1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BF8596F">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0FBAE1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74F5F9E">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DF852E0">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9B5537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099785E">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FFC1D6E">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5B940F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19EAF6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91C9C60">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728FC06A">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60B4849A">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D79342C">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13B62FD">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DF9403D">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73B89E0">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38206B8">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5BEEBE6">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FD6C56">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D3E653A">
      <w:pPr>
        <w:pStyle w:val="29"/>
        <w:spacing w:beforeAutospacing="0" w:afterAutospacing="0"/>
        <w:jc w:val="both"/>
        <w:rPr>
          <w:rFonts w:hint="eastAsia" w:ascii="宋体" w:hAnsi="宋体" w:eastAsia="宋体" w:cs="宋体"/>
          <w:color w:val="auto"/>
          <w:highlight w:val="none"/>
        </w:rPr>
      </w:pPr>
    </w:p>
    <w:p w14:paraId="16D829F8">
      <w:pPr>
        <w:pStyle w:val="29"/>
        <w:spacing w:beforeAutospacing="0" w:afterAutospacing="0"/>
        <w:jc w:val="both"/>
        <w:rPr>
          <w:rFonts w:hint="eastAsia" w:ascii="宋体" w:hAnsi="宋体" w:eastAsia="宋体" w:cs="宋体"/>
          <w:color w:val="auto"/>
          <w:highlight w:val="none"/>
        </w:rPr>
      </w:pPr>
    </w:p>
    <w:p w14:paraId="140EB581">
      <w:pPr>
        <w:pStyle w:val="29"/>
        <w:spacing w:beforeAutospacing="0" w:afterAutospacing="0"/>
        <w:jc w:val="both"/>
        <w:rPr>
          <w:rFonts w:hint="eastAsia" w:ascii="宋体" w:hAnsi="宋体" w:eastAsia="宋体" w:cs="宋体"/>
          <w:color w:val="auto"/>
          <w:highlight w:val="none"/>
        </w:rPr>
      </w:pPr>
    </w:p>
    <w:p w14:paraId="4C7D022E">
      <w:pPr>
        <w:pStyle w:val="29"/>
        <w:spacing w:beforeAutospacing="0" w:afterAutospacing="0"/>
        <w:jc w:val="both"/>
        <w:rPr>
          <w:rFonts w:hint="eastAsia" w:ascii="宋体" w:hAnsi="宋体" w:eastAsia="宋体" w:cs="宋体"/>
          <w:color w:val="auto"/>
          <w:highlight w:val="none"/>
        </w:rPr>
      </w:pPr>
    </w:p>
    <w:p w14:paraId="797CDE37">
      <w:pPr>
        <w:pStyle w:val="29"/>
        <w:spacing w:beforeAutospacing="0" w:afterAutospacing="0"/>
        <w:jc w:val="both"/>
        <w:rPr>
          <w:rFonts w:hint="eastAsia" w:ascii="宋体" w:hAnsi="宋体" w:eastAsia="宋体" w:cs="宋体"/>
          <w:color w:val="auto"/>
          <w:highlight w:val="none"/>
        </w:rPr>
      </w:pPr>
    </w:p>
    <w:p w14:paraId="5CD71A34">
      <w:pPr>
        <w:pStyle w:val="29"/>
        <w:spacing w:beforeAutospacing="0" w:afterAutospacing="0"/>
        <w:jc w:val="both"/>
        <w:rPr>
          <w:rFonts w:hint="eastAsia" w:ascii="宋体" w:hAnsi="宋体" w:eastAsia="宋体" w:cs="宋体"/>
          <w:color w:val="auto"/>
          <w:highlight w:val="none"/>
        </w:rPr>
      </w:pPr>
    </w:p>
    <w:p w14:paraId="3A68C95F">
      <w:pPr>
        <w:pStyle w:val="29"/>
        <w:spacing w:beforeAutospacing="0" w:afterAutospacing="0"/>
        <w:jc w:val="both"/>
        <w:rPr>
          <w:rFonts w:hint="eastAsia" w:ascii="宋体" w:hAnsi="宋体" w:eastAsia="宋体" w:cs="宋体"/>
          <w:color w:val="auto"/>
          <w:highlight w:val="none"/>
        </w:rPr>
      </w:pPr>
    </w:p>
    <w:p w14:paraId="64CB5797">
      <w:pPr>
        <w:pStyle w:val="29"/>
        <w:spacing w:beforeAutospacing="0" w:afterAutospacing="0"/>
        <w:jc w:val="both"/>
        <w:rPr>
          <w:rFonts w:hint="eastAsia" w:ascii="宋体" w:hAnsi="宋体" w:eastAsia="宋体" w:cs="宋体"/>
          <w:color w:val="auto"/>
          <w:highlight w:val="none"/>
        </w:rPr>
      </w:pPr>
    </w:p>
    <w:p w14:paraId="510ADFCE">
      <w:pPr>
        <w:pStyle w:val="29"/>
        <w:spacing w:beforeAutospacing="0" w:afterAutospacing="0"/>
        <w:jc w:val="both"/>
        <w:rPr>
          <w:rFonts w:hint="eastAsia" w:ascii="宋体" w:hAnsi="宋体" w:eastAsia="宋体" w:cs="宋体"/>
          <w:color w:val="auto"/>
          <w:highlight w:val="none"/>
        </w:rPr>
      </w:pPr>
    </w:p>
    <w:p w14:paraId="2C2AC2A2">
      <w:pPr>
        <w:pStyle w:val="29"/>
        <w:spacing w:beforeAutospacing="0" w:afterAutospacing="0"/>
        <w:jc w:val="both"/>
        <w:rPr>
          <w:rFonts w:hint="eastAsia" w:ascii="宋体" w:hAnsi="宋体" w:eastAsia="宋体" w:cs="宋体"/>
          <w:color w:val="auto"/>
          <w:highlight w:val="none"/>
        </w:rPr>
      </w:pPr>
    </w:p>
    <w:p w14:paraId="1C789BF0">
      <w:pPr>
        <w:pStyle w:val="29"/>
        <w:spacing w:beforeAutospacing="0" w:afterAutospacing="0"/>
        <w:jc w:val="both"/>
        <w:rPr>
          <w:rFonts w:hint="eastAsia" w:ascii="宋体" w:hAnsi="宋体" w:eastAsia="宋体" w:cs="宋体"/>
          <w:color w:val="auto"/>
          <w:highlight w:val="none"/>
        </w:rPr>
      </w:pPr>
    </w:p>
    <w:p w14:paraId="1703D4EA">
      <w:pPr>
        <w:pStyle w:val="29"/>
        <w:spacing w:beforeAutospacing="0" w:afterAutospacing="0"/>
        <w:jc w:val="both"/>
        <w:rPr>
          <w:rFonts w:hint="eastAsia" w:ascii="宋体" w:hAnsi="宋体" w:eastAsia="宋体" w:cs="宋体"/>
          <w:color w:val="auto"/>
          <w:highlight w:val="none"/>
        </w:rPr>
      </w:pPr>
    </w:p>
    <w:p w14:paraId="5271749B">
      <w:pPr>
        <w:pStyle w:val="29"/>
        <w:spacing w:beforeAutospacing="0" w:afterAutospacing="0"/>
        <w:jc w:val="both"/>
        <w:rPr>
          <w:rFonts w:hint="eastAsia" w:ascii="宋体" w:hAnsi="宋体" w:eastAsia="宋体" w:cs="宋体"/>
          <w:color w:val="auto"/>
          <w:highlight w:val="none"/>
        </w:rPr>
      </w:pPr>
    </w:p>
    <w:p w14:paraId="27131756">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42FC18C">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14E82C7">
      <w:pPr>
        <w:pStyle w:val="29"/>
        <w:spacing w:beforeAutospacing="0" w:afterAutospacing="0"/>
        <w:jc w:val="center"/>
        <w:rPr>
          <w:rFonts w:hint="eastAsia" w:ascii="宋体" w:hAnsi="宋体" w:eastAsia="宋体" w:cs="宋体"/>
          <w:color w:val="auto"/>
          <w:highlight w:val="none"/>
        </w:rPr>
      </w:pPr>
      <w:bookmarkStart w:id="177" w:name="_Hlt26955054"/>
      <w:r>
        <w:rPr>
          <w:rFonts w:hint="eastAsia" w:ascii="宋体" w:hAnsi="宋体" w:eastAsia="宋体" w:cs="宋体"/>
          <w:b/>
          <w:color w:val="auto"/>
          <w:sz w:val="32"/>
          <w:szCs w:val="32"/>
          <w:highlight w:val="none"/>
        </w:rPr>
        <w:t>十四、商务要求响应及偏离表（分包号：**）</w:t>
      </w:r>
    </w:p>
    <w:tbl>
      <w:tblPr>
        <w:tblStyle w:val="31"/>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6B1A8297">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A5392C0">
            <w:pPr>
              <w:pStyle w:val="29"/>
              <w:spacing w:beforeAutospacing="0" w:afterAutospacing="0"/>
              <w:jc w:val="center"/>
              <w:rPr>
                <w:rFonts w:hint="eastAsia" w:ascii="宋体" w:hAnsi="宋体" w:eastAsia="宋体" w:cs="宋体"/>
                <w:color w:val="auto"/>
                <w:highlight w:val="none"/>
              </w:rPr>
            </w:pPr>
            <w:bookmarkStart w:id="178" w:name="_Hlt26955056"/>
            <w:bookmarkStart w:id="179" w:name="_Hlt26671372"/>
            <w:bookmarkStart w:id="180" w:name="_Hlt26782999"/>
            <w:bookmarkStart w:id="181" w:name="_Hlt26609391"/>
            <w:bookmarkStart w:id="182" w:name="_Hlt26955064"/>
            <w:bookmarkStart w:id="183" w:name="_Hlt26580838"/>
            <w:bookmarkStart w:id="184" w:name="_Hlt24879081"/>
            <w:bookmarkStart w:id="185" w:name="_Hlt26671343"/>
            <w:r>
              <w:rPr>
                <w:rFonts w:hint="eastAsia" w:ascii="宋体" w:hAnsi="宋体" w:eastAsia="宋体" w:cs="宋体"/>
                <w:color w:val="auto"/>
                <w:highlight w:val="none"/>
              </w:rPr>
              <w:t>序号</w:t>
            </w:r>
            <w:bookmarkEnd w:id="178"/>
            <w:bookmarkEnd w:id="179"/>
            <w:bookmarkEnd w:id="180"/>
            <w:bookmarkEnd w:id="181"/>
            <w:bookmarkEnd w:id="182"/>
            <w:bookmarkEnd w:id="183"/>
            <w:bookmarkEnd w:id="184"/>
            <w:bookmarkEnd w:id="185"/>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C34EC0E">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8D7A9C5">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79E7B36">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335C6D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202A8B70">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5BA0744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BC95B74">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119A905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FE8550D">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2BA45BD">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BE9EFD0">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151D3F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556E70A">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87DA16B">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3021CAD">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13C8651B">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349025E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B69452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B6333C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128713F6">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1B737A3">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A5B35A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6650E25">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0E7108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FDAEF70">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72F8D3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6D426F4">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9E213FB">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D401386">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86AF8A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7B734D57">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AE586CF">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B31E2F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E24DD3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779C0B0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60F2C7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EAB75D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DBB9324">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1AFE1D3">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BED0E72">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3EA8B9FD">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71CC93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3E747656">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41999920">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D36A73C">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CE24A5E">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90B92B1">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BE9399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B9E48BE">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0A4D8238">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B48DB9C">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06B72B9">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77AB1D84">
            <w:pPr>
              <w:pStyle w:val="29"/>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3571E4E8">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553CB614">
      <w:pPr>
        <w:pStyle w:val="29"/>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DA8DF20">
      <w:pPr>
        <w:pStyle w:val="29"/>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5A1F296">
      <w:pPr>
        <w:pStyle w:val="29"/>
        <w:spacing w:beforeAutospacing="0" w:afterAutospacing="0"/>
        <w:jc w:val="center"/>
        <w:rPr>
          <w:rFonts w:hint="eastAsia" w:ascii="宋体" w:hAnsi="宋体" w:eastAsia="宋体" w:cs="宋体"/>
          <w:color w:val="auto"/>
          <w:highlight w:val="none"/>
        </w:rPr>
      </w:pPr>
      <w:bookmarkStart w:id="186" w:name="_Toc462564146"/>
      <w:bookmarkStart w:id="187" w:name="_Hlt26955066"/>
      <w:bookmarkStart w:id="188" w:name="_格式2__法定代表人授权书"/>
      <w:bookmarkStart w:id="189" w:name="_Hlt26671374"/>
      <w:bookmarkStart w:id="190" w:name="_Hlt26609389"/>
      <w:r>
        <w:rPr>
          <w:rFonts w:hint="eastAsia" w:ascii="宋体" w:hAnsi="宋体" w:eastAsia="宋体" w:cs="宋体"/>
          <w:color w:val="auto"/>
          <w:highlight w:val="none"/>
        </w:rPr>
        <w:t> </w:t>
      </w:r>
    </w:p>
    <w:p w14:paraId="037CF578">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E5EB523">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0AF35FC">
      <w:pPr>
        <w:pStyle w:val="29"/>
        <w:spacing w:beforeAutospacing="0" w:afterAutospacing="0"/>
        <w:jc w:val="both"/>
        <w:rPr>
          <w:rFonts w:hint="eastAsia" w:ascii="宋体" w:hAnsi="宋体" w:eastAsia="宋体" w:cs="宋体"/>
          <w:color w:val="auto"/>
          <w:highlight w:val="none"/>
        </w:rPr>
      </w:pPr>
    </w:p>
    <w:p w14:paraId="03D24C9C">
      <w:pPr>
        <w:pStyle w:val="29"/>
        <w:spacing w:beforeAutospacing="0" w:afterAutospacing="0"/>
        <w:jc w:val="both"/>
        <w:rPr>
          <w:rFonts w:hint="eastAsia" w:ascii="宋体" w:hAnsi="宋体" w:eastAsia="宋体" w:cs="宋体"/>
          <w:color w:val="auto"/>
          <w:highlight w:val="none"/>
        </w:rPr>
      </w:pPr>
    </w:p>
    <w:p w14:paraId="1450414B">
      <w:pPr>
        <w:pStyle w:val="29"/>
        <w:spacing w:beforeAutospacing="0" w:afterAutospacing="0"/>
        <w:jc w:val="both"/>
        <w:rPr>
          <w:rFonts w:hint="eastAsia" w:ascii="宋体" w:hAnsi="宋体" w:eastAsia="宋体" w:cs="宋体"/>
          <w:color w:val="auto"/>
          <w:highlight w:val="none"/>
        </w:rPr>
      </w:pPr>
    </w:p>
    <w:p w14:paraId="599FF938">
      <w:pPr>
        <w:pStyle w:val="29"/>
        <w:spacing w:beforeAutospacing="0" w:afterAutospacing="0"/>
        <w:jc w:val="both"/>
        <w:rPr>
          <w:rFonts w:hint="eastAsia" w:ascii="宋体" w:hAnsi="宋体" w:eastAsia="宋体" w:cs="宋体"/>
          <w:color w:val="auto"/>
          <w:highlight w:val="none"/>
        </w:rPr>
      </w:pPr>
    </w:p>
    <w:p w14:paraId="1F9C1BEA">
      <w:pPr>
        <w:pStyle w:val="29"/>
        <w:spacing w:beforeAutospacing="0" w:afterAutospacing="0"/>
        <w:jc w:val="both"/>
        <w:rPr>
          <w:rFonts w:hint="eastAsia" w:ascii="宋体" w:hAnsi="宋体" w:eastAsia="宋体" w:cs="宋体"/>
          <w:color w:val="auto"/>
          <w:highlight w:val="none"/>
        </w:rPr>
      </w:pPr>
    </w:p>
    <w:p w14:paraId="1F007761">
      <w:pPr>
        <w:pStyle w:val="29"/>
        <w:spacing w:beforeAutospacing="0" w:afterAutospacing="0"/>
        <w:jc w:val="both"/>
        <w:rPr>
          <w:rFonts w:hint="eastAsia" w:ascii="宋体" w:hAnsi="宋体" w:eastAsia="宋体" w:cs="宋体"/>
          <w:color w:val="auto"/>
          <w:highlight w:val="none"/>
        </w:rPr>
      </w:pPr>
    </w:p>
    <w:p w14:paraId="50A3E80D">
      <w:pPr>
        <w:pStyle w:val="29"/>
        <w:spacing w:beforeAutospacing="0" w:afterAutospacing="0"/>
        <w:jc w:val="both"/>
        <w:rPr>
          <w:rFonts w:hint="eastAsia" w:ascii="宋体" w:hAnsi="宋体" w:eastAsia="宋体" w:cs="宋体"/>
          <w:color w:val="auto"/>
          <w:highlight w:val="none"/>
        </w:rPr>
      </w:pPr>
    </w:p>
    <w:p w14:paraId="09FEE37F">
      <w:pPr>
        <w:pStyle w:val="29"/>
        <w:spacing w:beforeAutospacing="0" w:afterAutospacing="0"/>
        <w:jc w:val="both"/>
        <w:rPr>
          <w:rFonts w:hint="eastAsia" w:ascii="宋体" w:hAnsi="宋体" w:eastAsia="宋体" w:cs="宋体"/>
          <w:color w:val="auto"/>
          <w:highlight w:val="none"/>
        </w:rPr>
      </w:pPr>
    </w:p>
    <w:p w14:paraId="497A3E7C">
      <w:pPr>
        <w:pStyle w:val="29"/>
        <w:spacing w:beforeAutospacing="0" w:afterAutospacing="0"/>
        <w:jc w:val="both"/>
        <w:rPr>
          <w:rFonts w:hint="eastAsia" w:ascii="宋体" w:hAnsi="宋体" w:eastAsia="宋体" w:cs="宋体"/>
          <w:color w:val="auto"/>
          <w:highlight w:val="none"/>
        </w:rPr>
      </w:pPr>
    </w:p>
    <w:p w14:paraId="32831ABA">
      <w:pPr>
        <w:pStyle w:val="29"/>
        <w:spacing w:beforeAutospacing="0" w:afterAutospacing="0"/>
        <w:jc w:val="both"/>
        <w:rPr>
          <w:rFonts w:hint="eastAsia" w:ascii="宋体" w:hAnsi="宋体" w:eastAsia="宋体" w:cs="宋体"/>
          <w:color w:val="auto"/>
          <w:highlight w:val="none"/>
        </w:rPr>
      </w:pPr>
    </w:p>
    <w:p w14:paraId="623DC762">
      <w:pPr>
        <w:pStyle w:val="29"/>
        <w:spacing w:beforeAutospacing="0" w:afterAutospacing="0"/>
        <w:jc w:val="both"/>
        <w:rPr>
          <w:rFonts w:ascii="宋体" w:hAnsi="宋体" w:eastAsia="宋体" w:cs="宋体"/>
          <w:color w:val="auto"/>
          <w:highlight w:val="none"/>
        </w:rPr>
      </w:pPr>
    </w:p>
    <w:p w14:paraId="6B388D07">
      <w:pPr>
        <w:pStyle w:val="29"/>
        <w:spacing w:beforeAutospacing="0" w:afterAutospacing="0"/>
        <w:jc w:val="both"/>
        <w:rPr>
          <w:rFonts w:hint="eastAsia" w:ascii="宋体" w:hAnsi="宋体" w:eastAsia="宋体" w:cs="宋体"/>
          <w:color w:val="auto"/>
          <w:highlight w:val="none"/>
        </w:rPr>
      </w:pPr>
    </w:p>
    <w:p w14:paraId="66F48A58">
      <w:pPr>
        <w:pStyle w:val="29"/>
        <w:spacing w:beforeAutospacing="0" w:afterAutospacing="0"/>
        <w:jc w:val="both"/>
        <w:rPr>
          <w:rFonts w:hint="eastAsia" w:ascii="宋体" w:hAnsi="宋体" w:eastAsia="宋体" w:cs="宋体"/>
          <w:color w:val="auto"/>
          <w:highlight w:val="none"/>
        </w:rPr>
      </w:pPr>
    </w:p>
    <w:p w14:paraId="77854A9E">
      <w:pPr>
        <w:pStyle w:val="29"/>
        <w:spacing w:beforeAutospacing="0" w:afterAutospacing="0"/>
        <w:jc w:val="both"/>
        <w:rPr>
          <w:rFonts w:hint="eastAsia" w:ascii="宋体" w:hAnsi="宋体" w:eastAsia="宋体" w:cs="宋体"/>
          <w:color w:val="auto"/>
          <w:highlight w:val="none"/>
        </w:rPr>
      </w:pPr>
    </w:p>
    <w:p w14:paraId="567C2E0E">
      <w:pPr>
        <w:spacing w:line="360" w:lineRule="auto"/>
        <w:ind w:firstLine="482"/>
        <w:jc w:val="center"/>
        <w:rPr>
          <w:rFonts w:hint="eastAsia" w:ascii="宋体" w:hAnsi="宋体" w:eastAsia="宋体" w:cs="宋体"/>
          <w:b/>
          <w:i/>
          <w:color w:val="auto"/>
          <w:sz w:val="32"/>
          <w:szCs w:val="32"/>
          <w:highlight w:val="none"/>
        </w:rPr>
      </w:pPr>
      <w:r>
        <w:rPr>
          <w:rFonts w:hint="eastAsia" w:ascii="宋体" w:hAnsi="宋体" w:eastAsia="宋体" w:cs="宋体"/>
          <w:b/>
          <w:i/>
          <w:color w:val="auto"/>
          <w:sz w:val="32"/>
          <w:szCs w:val="32"/>
          <w:highlight w:val="none"/>
        </w:rPr>
        <w:t>十五、</w:t>
      </w:r>
      <w:r>
        <w:rPr>
          <w:rFonts w:hint="eastAsia" w:ascii="宋体" w:hAnsi="宋体" w:eastAsia="宋体" w:cs="宋体"/>
          <w:b/>
          <w:i/>
          <w:color w:val="auto"/>
          <w:sz w:val="32"/>
          <w:szCs w:val="32"/>
          <w:highlight w:val="none"/>
          <w:lang w:val="en-US" w:eastAsia="zh-CN"/>
        </w:rPr>
        <w:t>报价明细</w:t>
      </w:r>
      <w:r>
        <w:rPr>
          <w:rFonts w:hint="eastAsia" w:ascii="宋体" w:hAnsi="宋体" w:eastAsia="宋体" w:cs="宋体"/>
          <w:b/>
          <w:i/>
          <w:color w:val="auto"/>
          <w:sz w:val="32"/>
          <w:szCs w:val="32"/>
          <w:highlight w:val="none"/>
        </w:rPr>
        <w:t>表</w:t>
      </w:r>
    </w:p>
    <w:p w14:paraId="36BA2B1A">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投标人全称（加盖CA电子签章）：</w:t>
      </w:r>
    </w:p>
    <w:p w14:paraId="23271687">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项目名称：滨海县城市照明2026年度购电项目</w:t>
      </w:r>
    </w:p>
    <w:p w14:paraId="3EF86B42">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eastAsia="宋体" w:cs="宋体"/>
          <w:bCs/>
          <w:color w:val="auto"/>
          <w:sz w:val="24"/>
          <w:highlight w:val="none"/>
        </w:rPr>
        <w:t>项目编号：JSZC-320922-ZQYC-</w:t>
      </w:r>
      <w:r>
        <w:rPr>
          <w:rFonts w:hint="eastAsia" w:ascii="宋体" w:hAnsi="宋体" w:eastAsia="宋体" w:cs="宋体"/>
          <w:b w:val="0"/>
          <w:bCs w:val="0"/>
          <w:color w:val="auto"/>
          <w:sz w:val="24"/>
          <w:highlight w:val="none"/>
        </w:rPr>
        <w:t>G2026-0026</w:t>
      </w:r>
    </w:p>
    <w:p w14:paraId="0C2B4976">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分包号：包件一</w:t>
      </w:r>
    </w:p>
    <w:p w14:paraId="77958F57">
      <w:pPr>
        <w:numPr>
          <w:ilvl w:val="0"/>
          <w:numId w:val="4"/>
        </w:numPr>
        <w:spacing w:line="360" w:lineRule="auto"/>
        <w:ind w:firstLine="482"/>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零售套餐电能量价格</w:t>
      </w:r>
    </w:p>
    <w:p w14:paraId="0E66E135">
      <w:pPr>
        <w:numPr>
          <w:ilvl w:val="0"/>
          <w:numId w:val="0"/>
        </w:numPr>
        <w:spacing w:line="360" w:lineRule="auto"/>
        <w:ind w:firstLine="480" w:firstLineChars="200"/>
        <w:rPr>
          <w:rFonts w:hint="eastAsia" w:ascii="宋体" w:hAnsi="宋体" w:eastAsia="宋体" w:cs="宋体"/>
          <w:b w:val="0"/>
          <w:bCs w:val="0"/>
          <w:color w:val="auto"/>
          <w:sz w:val="24"/>
          <w:highlight w:val="none"/>
          <w:vertAlign w:val="subscript"/>
          <w:lang w:val="en-US" w:eastAsia="zh-CN"/>
        </w:rPr>
      </w:pPr>
      <w:r>
        <w:rPr>
          <w:rFonts w:hint="eastAsia" w:ascii="宋体" w:hAnsi="宋体" w:eastAsia="宋体" w:cs="宋体"/>
          <w:bCs/>
          <w:color w:val="auto"/>
          <w:sz w:val="24"/>
          <w:highlight w:val="none"/>
          <w:lang w:val="en-US" w:eastAsia="zh-CN"/>
        </w:rPr>
        <w:t>定义：甲方用电户号各计量点的用电电量，以月度为结算周期，零售套餐电能量价格=批发市场价格+浮动价格+K</w:t>
      </w:r>
      <w:r>
        <w:rPr>
          <w:rFonts w:hint="eastAsia" w:ascii="宋体" w:hAnsi="宋体" w:eastAsia="宋体" w:cs="宋体"/>
          <w:bCs/>
          <w:color w:val="auto"/>
          <w:sz w:val="24"/>
          <w:highlight w:val="none"/>
          <w:vertAlign w:val="subscript"/>
          <w:lang w:val="en-US" w:eastAsia="zh-CN"/>
        </w:rPr>
        <w:t>分摊</w:t>
      </w:r>
      <w:r>
        <w:rPr>
          <w:rFonts w:hint="eastAsia" w:ascii="宋体" w:hAnsi="宋体" w:eastAsia="宋体" w:cs="宋体"/>
          <w:b w:val="0"/>
          <w:bCs w:val="0"/>
          <w:color w:val="auto"/>
          <w:sz w:val="24"/>
          <w:highlight w:val="none"/>
          <w:lang w:val="en-US" w:eastAsia="zh-CN"/>
        </w:rPr>
        <w:t>*当月分摊价格</w:t>
      </w:r>
      <w:r>
        <w:rPr>
          <w:rFonts w:hint="eastAsia" w:ascii="宋体" w:hAnsi="宋体" w:eastAsia="宋体" w:cs="宋体"/>
          <w:b w:val="0"/>
          <w:bCs w:val="0"/>
          <w:color w:val="auto"/>
          <w:sz w:val="24"/>
          <w:highlight w:val="none"/>
          <w:vertAlign w:val="subscript"/>
          <w:lang w:val="en-US" w:eastAsia="zh-CN"/>
        </w:rPr>
        <w:t>。</w:t>
      </w:r>
    </w:p>
    <w:p w14:paraId="067CFD0A">
      <w:pPr>
        <w:numPr>
          <w:ilvl w:val="0"/>
          <w:numId w:val="0"/>
        </w:numPr>
        <w:spacing w:line="360" w:lineRule="auto"/>
        <w:ind w:firstLine="480" w:firstLineChars="200"/>
        <w:rPr>
          <w:rFonts w:hint="default" w:ascii="宋体" w:hAnsi="宋体" w:eastAsia="宋体" w:cs="宋体"/>
          <w:b w:val="0"/>
          <w:bCs/>
          <w:color w:val="auto"/>
          <w:sz w:val="24"/>
          <w:highlight w:val="none"/>
          <w:vertAlign w:val="subscript"/>
          <w:lang w:val="en-US" w:eastAsia="zh-CN"/>
        </w:rPr>
      </w:pPr>
      <w:r>
        <w:rPr>
          <w:rFonts w:hint="eastAsia" w:ascii="宋体" w:hAnsi="宋体" w:eastAsia="宋体" w:cs="宋体"/>
          <w:b w:val="0"/>
          <w:bCs/>
          <w:color w:val="auto"/>
          <w:sz w:val="24"/>
          <w:highlight w:val="none"/>
          <w:lang w:val="en-US" w:eastAsia="zh-CN"/>
        </w:rPr>
        <w:t>其中，批发市场价格由所有售电公司在批发侧中长期市场、日前市场以及</w:t>
      </w:r>
      <w:r>
        <w:rPr>
          <w:rFonts w:hint="eastAsia" w:ascii="宋体" w:hAnsi="宋体" w:eastAsia="宋体" w:cs="宋体"/>
          <w:b w:val="0"/>
          <w:bCs w:val="0"/>
          <w:color w:val="auto"/>
          <w:sz w:val="24"/>
          <w:highlight w:val="none"/>
          <w:lang w:val="en-US" w:eastAsia="zh-CN"/>
        </w:rPr>
        <w:t>实时市场</w:t>
      </w:r>
      <w:r>
        <w:rPr>
          <w:rFonts w:hint="eastAsia" w:ascii="宋体" w:hAnsi="宋体" w:eastAsia="宋体" w:cs="宋体"/>
          <w:b w:val="0"/>
          <w:bCs/>
          <w:color w:val="auto"/>
          <w:sz w:val="24"/>
          <w:highlight w:val="none"/>
          <w:lang w:val="en-US" w:eastAsia="zh-CN"/>
        </w:rPr>
        <w:t>整体分时电能量购电量价水平确定。非分时的批发市场价格P</w:t>
      </w:r>
      <w:r>
        <w:rPr>
          <w:rFonts w:hint="eastAsia" w:ascii="宋体" w:hAnsi="宋体" w:eastAsia="宋体" w:cs="宋体"/>
          <w:b w:val="0"/>
          <w:bCs/>
          <w:color w:val="auto"/>
          <w:sz w:val="24"/>
          <w:highlight w:val="none"/>
          <w:vertAlign w:val="subscript"/>
          <w:lang w:val="en-US" w:eastAsia="zh-CN"/>
        </w:rPr>
        <w:t>批发市场价格</w:t>
      </w:r>
      <w:r>
        <w:rPr>
          <w:rFonts w:hint="eastAsia" w:ascii="宋体" w:hAnsi="宋体" w:eastAsia="宋体" w:cs="宋体"/>
          <w:b w:val="0"/>
          <w:bCs/>
          <w:color w:val="auto"/>
          <w:sz w:val="24"/>
          <w:highlight w:val="none"/>
          <w:lang w:val="en-US" w:eastAsia="zh-CN"/>
        </w:rPr>
        <w:t>每月向经营主体公布。P分摊主要包括P</w:t>
      </w:r>
      <w:r>
        <w:rPr>
          <w:rFonts w:hint="eastAsia" w:ascii="宋体" w:hAnsi="宋体" w:eastAsia="宋体" w:cs="宋体"/>
          <w:b w:val="0"/>
          <w:bCs/>
          <w:color w:val="auto"/>
          <w:sz w:val="24"/>
          <w:highlight w:val="none"/>
          <w:vertAlign w:val="subscript"/>
          <w:lang w:val="en-US" w:eastAsia="zh-CN"/>
        </w:rPr>
        <w:t>分摊1</w:t>
      </w:r>
      <w:r>
        <w:rPr>
          <w:rFonts w:hint="eastAsia" w:ascii="宋体" w:hAnsi="宋体" w:eastAsia="宋体" w:cs="宋体"/>
          <w:b w:val="0"/>
          <w:bCs/>
          <w:color w:val="auto"/>
          <w:sz w:val="24"/>
          <w:highlight w:val="none"/>
          <w:lang w:val="en-US" w:eastAsia="zh-CN"/>
        </w:rPr>
        <w:t>（全省售电公司当月成本补偿费用的分摊平均度电价格）、P</w:t>
      </w:r>
      <w:r>
        <w:rPr>
          <w:rFonts w:hint="eastAsia" w:ascii="宋体" w:hAnsi="宋体" w:eastAsia="宋体" w:cs="宋体"/>
          <w:b w:val="0"/>
          <w:bCs/>
          <w:color w:val="auto"/>
          <w:sz w:val="24"/>
          <w:highlight w:val="none"/>
          <w:vertAlign w:val="subscript"/>
          <w:lang w:val="en-US" w:eastAsia="zh-CN"/>
        </w:rPr>
        <w:t>分摊2</w:t>
      </w:r>
      <w:r>
        <w:rPr>
          <w:rFonts w:hint="eastAsia" w:ascii="宋体" w:hAnsi="宋体" w:eastAsia="宋体" w:cs="宋体"/>
          <w:b w:val="0"/>
          <w:bCs/>
          <w:color w:val="auto"/>
          <w:sz w:val="24"/>
          <w:highlight w:val="none"/>
          <w:lang w:val="en-US" w:eastAsia="zh-CN"/>
        </w:rPr>
        <w:t>（全省售电公司当月不平衡费用的分摊返还平均度电价格）、P</w:t>
      </w:r>
      <w:r>
        <w:rPr>
          <w:rFonts w:hint="eastAsia" w:ascii="宋体" w:hAnsi="宋体" w:eastAsia="宋体" w:cs="宋体"/>
          <w:b w:val="0"/>
          <w:bCs/>
          <w:color w:val="auto"/>
          <w:sz w:val="24"/>
          <w:highlight w:val="none"/>
          <w:vertAlign w:val="subscript"/>
          <w:lang w:val="en-US" w:eastAsia="zh-CN"/>
        </w:rPr>
        <w:t>分摊3</w:t>
      </w:r>
      <w:r>
        <w:rPr>
          <w:rFonts w:hint="eastAsia" w:ascii="宋体" w:hAnsi="宋体" w:eastAsia="宋体" w:cs="宋体"/>
          <w:b w:val="0"/>
          <w:bCs/>
          <w:color w:val="auto"/>
          <w:sz w:val="24"/>
          <w:highlight w:val="none"/>
          <w:lang w:val="en-US" w:eastAsia="zh-CN"/>
        </w:rPr>
        <w:t>（全省售电公司当月市场调节费用的返还平均度电价格）。</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556DD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608AB42">
            <w:pPr>
              <w:spacing w:line="360" w:lineRule="auto"/>
              <w:jc w:val="center"/>
              <w:rPr>
                <w:rFonts w:hint="default" w:ascii="宋体" w:hAnsi="宋体" w:eastAsia="宋体" w:cs="宋体"/>
                <w:bCs/>
                <w:color w:val="auto"/>
                <w:sz w:val="24"/>
                <w:highlight w:val="none"/>
                <w:vertAlign w:val="baseline"/>
                <w:lang w:val="en-US" w:eastAsia="zh-CN"/>
              </w:rPr>
            </w:pPr>
            <w:r>
              <w:rPr>
                <w:rFonts w:hint="eastAsia" w:ascii="宋体" w:hAnsi="宋体" w:eastAsia="宋体" w:cs="宋体"/>
                <w:bCs/>
                <w:color w:val="auto"/>
                <w:sz w:val="24"/>
                <w:highlight w:val="none"/>
                <w:vertAlign w:val="baseline"/>
                <w:lang w:val="en-US" w:eastAsia="zh-CN"/>
              </w:rPr>
              <w:t>是否分时</w:t>
            </w:r>
          </w:p>
        </w:tc>
        <w:tc>
          <w:tcPr>
            <w:tcW w:w="4261" w:type="dxa"/>
            <w:vAlign w:val="center"/>
          </w:tcPr>
          <w:p w14:paraId="188629A7">
            <w:pPr>
              <w:spacing w:line="360" w:lineRule="auto"/>
              <w:jc w:val="center"/>
              <w:rPr>
                <w:rFonts w:hint="eastAsia" w:ascii="宋体" w:hAnsi="宋体" w:eastAsia="宋体" w:cs="宋体"/>
                <w:bCs/>
                <w:color w:val="auto"/>
                <w:sz w:val="24"/>
                <w:highlight w:val="none"/>
                <w:vertAlign w:val="baseline"/>
                <w:lang w:val="en-US" w:eastAsia="zh-CN"/>
              </w:rPr>
            </w:pPr>
            <w:r>
              <w:rPr>
                <w:rFonts w:hint="eastAsia" w:ascii="宋体" w:hAnsi="宋体" w:eastAsia="宋体" w:cs="宋体"/>
                <w:bCs/>
                <w:color w:val="auto"/>
                <w:sz w:val="24"/>
                <w:highlight w:val="none"/>
                <w:vertAlign w:val="baseline"/>
                <w:lang w:val="en-US" w:eastAsia="zh-CN"/>
              </w:rPr>
              <w:t>是</w:t>
            </w:r>
          </w:p>
        </w:tc>
      </w:tr>
      <w:tr w14:paraId="6CA30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57D53702">
            <w:pPr>
              <w:spacing w:line="360" w:lineRule="auto"/>
              <w:jc w:val="center"/>
              <w:rPr>
                <w:rFonts w:hint="eastAsia" w:ascii="宋体" w:hAnsi="宋体" w:eastAsia="宋体" w:cs="宋体"/>
                <w:b/>
                <w:bCs w:val="0"/>
                <w:color w:val="FF0000"/>
                <w:sz w:val="24"/>
                <w:highlight w:val="none"/>
                <w:vertAlign w:val="baseline"/>
                <w:lang w:val="en-US" w:eastAsia="zh-CN"/>
              </w:rPr>
            </w:pPr>
            <w:r>
              <w:rPr>
                <w:rFonts w:hint="eastAsia" w:ascii="宋体" w:hAnsi="宋体" w:eastAsia="宋体" w:cs="宋体"/>
                <w:b/>
                <w:bCs w:val="0"/>
                <w:color w:val="FF0000"/>
                <w:sz w:val="24"/>
                <w:highlight w:val="none"/>
                <w:vertAlign w:val="baseline"/>
                <w:lang w:val="en-US" w:eastAsia="zh-CN"/>
              </w:rPr>
              <w:t>电能量浮动价格</w:t>
            </w:r>
            <w:r>
              <w:rPr>
                <w:rFonts w:hint="eastAsia" w:ascii="宋体" w:hAnsi="宋体" w:eastAsia="宋体" w:cs="宋体"/>
                <w:b/>
                <w:bCs w:val="0"/>
                <w:color w:val="FF0000"/>
                <w:sz w:val="24"/>
                <w:highlight w:val="none"/>
                <w:lang w:val="en-US" w:eastAsia="zh-CN"/>
              </w:rPr>
              <w:t>P</w:t>
            </w:r>
            <w:r>
              <w:rPr>
                <w:rFonts w:hint="eastAsia" w:ascii="宋体" w:hAnsi="宋体" w:eastAsia="宋体" w:cs="宋体"/>
                <w:b/>
                <w:bCs w:val="0"/>
                <w:color w:val="FF0000"/>
                <w:sz w:val="24"/>
                <w:highlight w:val="none"/>
                <w:vertAlign w:val="subscript"/>
                <w:lang w:val="en-US" w:eastAsia="zh-CN"/>
              </w:rPr>
              <w:t>浮动价格</w:t>
            </w:r>
            <w:r>
              <w:rPr>
                <w:rFonts w:hint="eastAsia" w:ascii="宋体" w:hAnsi="宋体" w:eastAsia="宋体" w:cs="宋体"/>
                <w:b/>
                <w:bCs w:val="0"/>
                <w:color w:val="FF0000"/>
                <w:sz w:val="24"/>
                <w:highlight w:val="none"/>
                <w:vertAlign w:val="baseline"/>
                <w:lang w:val="en-US" w:eastAsia="zh-CN"/>
              </w:rPr>
              <w:t>，</w:t>
            </w:r>
          </w:p>
          <w:p w14:paraId="249473CB">
            <w:pPr>
              <w:spacing w:line="360" w:lineRule="auto"/>
              <w:jc w:val="center"/>
              <w:rPr>
                <w:rFonts w:hint="default" w:ascii="宋体" w:hAnsi="宋体" w:eastAsia="宋体" w:cs="宋体"/>
                <w:b w:val="0"/>
                <w:bCs/>
                <w:color w:val="FF0000"/>
                <w:sz w:val="24"/>
                <w:highlight w:val="none"/>
                <w:vertAlign w:val="subscript"/>
                <w:lang w:val="en-US" w:eastAsia="zh-CN"/>
              </w:rPr>
            </w:pPr>
            <w:r>
              <w:rPr>
                <w:rFonts w:hint="eastAsia" w:ascii="宋体" w:hAnsi="宋体" w:eastAsia="宋体" w:cs="宋体"/>
                <w:b/>
                <w:bCs w:val="0"/>
                <w:color w:val="FF0000"/>
                <w:sz w:val="24"/>
                <w:highlight w:val="none"/>
                <w:vertAlign w:val="baseline"/>
                <w:lang w:val="en-US" w:eastAsia="zh-CN"/>
              </w:rPr>
              <w:t>（评标单价，≤20元/兆瓦时）</w:t>
            </w:r>
          </w:p>
        </w:tc>
        <w:tc>
          <w:tcPr>
            <w:tcW w:w="4261" w:type="dxa"/>
            <w:vAlign w:val="center"/>
          </w:tcPr>
          <w:p w14:paraId="2380B92C">
            <w:pPr>
              <w:spacing w:line="360" w:lineRule="auto"/>
              <w:jc w:val="center"/>
              <w:rPr>
                <w:rFonts w:hint="default" w:ascii="宋体" w:hAnsi="宋体" w:eastAsia="宋体" w:cs="宋体"/>
                <w:bCs/>
                <w:color w:val="FF0000"/>
                <w:sz w:val="24"/>
                <w:highlight w:val="none"/>
                <w:u w:val="single"/>
                <w:vertAlign w:val="baseline"/>
                <w:lang w:val="en-US" w:eastAsia="zh-CN"/>
              </w:rPr>
            </w:pPr>
            <w:r>
              <w:rPr>
                <w:rFonts w:hint="eastAsia" w:ascii="宋体" w:hAnsi="宋体" w:eastAsia="宋体" w:cs="宋体"/>
                <w:b/>
                <w:bCs w:val="0"/>
                <w:color w:val="FF0000"/>
                <w:sz w:val="24"/>
                <w:highlight w:val="none"/>
                <w:u w:val="single"/>
                <w:vertAlign w:val="baseline"/>
                <w:lang w:val="en-US" w:eastAsia="zh-CN"/>
              </w:rPr>
              <w:t xml:space="preserve">       </w:t>
            </w:r>
            <w:r>
              <w:rPr>
                <w:rFonts w:hint="eastAsia" w:ascii="宋体" w:hAnsi="宋体" w:eastAsia="宋体" w:cs="宋体"/>
                <w:b/>
                <w:bCs w:val="0"/>
                <w:color w:val="FF0000"/>
                <w:sz w:val="24"/>
                <w:highlight w:val="none"/>
                <w:u w:val="none"/>
                <w:vertAlign w:val="baseline"/>
                <w:lang w:val="en-US" w:eastAsia="zh-CN"/>
              </w:rPr>
              <w:t>元/兆瓦时</w:t>
            </w:r>
          </w:p>
        </w:tc>
      </w:tr>
      <w:tr w14:paraId="3D47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5B0CA048">
            <w:pPr>
              <w:spacing w:line="360" w:lineRule="auto"/>
              <w:jc w:val="center"/>
              <w:rPr>
                <w:rFonts w:hint="default" w:ascii="宋体" w:hAnsi="宋体" w:eastAsia="宋体" w:cs="宋体"/>
                <w:bCs/>
                <w:color w:val="auto"/>
                <w:sz w:val="24"/>
                <w:highlight w:val="none"/>
                <w:vertAlign w:val="baseline"/>
                <w:lang w:val="en-US" w:eastAsia="zh-CN"/>
              </w:rPr>
            </w:pPr>
            <w:r>
              <w:rPr>
                <w:rFonts w:hint="eastAsia" w:ascii="宋体" w:hAnsi="宋体" w:eastAsia="宋体" w:cs="宋体"/>
                <w:bCs/>
                <w:color w:val="auto"/>
                <w:sz w:val="24"/>
                <w:highlight w:val="none"/>
                <w:vertAlign w:val="baseline"/>
                <w:lang w:val="en-US" w:eastAsia="zh-CN"/>
              </w:rPr>
              <w:t>分摊系数K分摊1（成本补偿费用）</w:t>
            </w:r>
          </w:p>
        </w:tc>
        <w:tc>
          <w:tcPr>
            <w:tcW w:w="4261" w:type="dxa"/>
            <w:vAlign w:val="center"/>
          </w:tcPr>
          <w:p w14:paraId="7375E681">
            <w:pPr>
              <w:spacing w:line="360" w:lineRule="auto"/>
              <w:jc w:val="center"/>
              <w:rPr>
                <w:rFonts w:hint="default" w:ascii="宋体" w:hAnsi="宋体" w:eastAsia="宋体" w:cs="宋体"/>
                <w:bCs/>
                <w:color w:val="auto"/>
                <w:sz w:val="24"/>
                <w:highlight w:val="none"/>
                <w:vertAlign w:val="baseline"/>
                <w:lang w:val="en-US" w:eastAsia="zh-CN"/>
              </w:rPr>
            </w:pPr>
            <w:r>
              <w:rPr>
                <w:rFonts w:hint="eastAsia" w:ascii="宋体" w:hAnsi="宋体" w:eastAsia="宋体" w:cs="宋体"/>
                <w:bCs/>
                <w:color w:val="auto"/>
                <w:sz w:val="24"/>
                <w:highlight w:val="none"/>
                <w:vertAlign w:val="baseline"/>
                <w:lang w:val="en-US" w:eastAsia="zh-CN"/>
              </w:rPr>
              <w:t>100%</w:t>
            </w:r>
          </w:p>
        </w:tc>
      </w:tr>
      <w:tr w14:paraId="3F20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657E0B8E">
            <w:pPr>
              <w:spacing w:line="360" w:lineRule="auto"/>
              <w:jc w:val="center"/>
              <w:rPr>
                <w:rFonts w:hint="default" w:ascii="宋体" w:hAnsi="宋体" w:eastAsia="宋体" w:cs="宋体"/>
                <w:bCs/>
                <w:color w:val="auto"/>
                <w:sz w:val="24"/>
                <w:highlight w:val="none"/>
                <w:vertAlign w:val="baseline"/>
                <w:lang w:val="en-US" w:eastAsia="zh-CN"/>
              </w:rPr>
            </w:pPr>
            <w:r>
              <w:rPr>
                <w:rFonts w:hint="eastAsia" w:ascii="宋体" w:hAnsi="宋体" w:eastAsia="宋体" w:cs="宋体"/>
                <w:bCs/>
                <w:color w:val="auto"/>
                <w:sz w:val="24"/>
                <w:highlight w:val="none"/>
                <w:vertAlign w:val="baseline"/>
                <w:lang w:val="en-US" w:eastAsia="zh-CN"/>
              </w:rPr>
              <w:t>分摊系数K分摊2（不平衡费用）</w:t>
            </w:r>
          </w:p>
        </w:tc>
        <w:tc>
          <w:tcPr>
            <w:tcW w:w="4261" w:type="dxa"/>
            <w:vAlign w:val="center"/>
          </w:tcPr>
          <w:p w14:paraId="72704912">
            <w:pPr>
              <w:spacing w:line="360" w:lineRule="auto"/>
              <w:jc w:val="center"/>
              <w:rPr>
                <w:rFonts w:hint="default" w:ascii="宋体" w:hAnsi="宋体" w:eastAsia="宋体" w:cs="宋体"/>
                <w:bCs/>
                <w:color w:val="auto"/>
                <w:sz w:val="24"/>
                <w:highlight w:val="none"/>
                <w:vertAlign w:val="baseline"/>
                <w:lang w:val="en-US" w:eastAsia="zh-CN"/>
              </w:rPr>
            </w:pPr>
            <w:r>
              <w:rPr>
                <w:rFonts w:hint="eastAsia" w:ascii="宋体" w:hAnsi="宋体" w:eastAsia="宋体" w:cs="宋体"/>
                <w:bCs/>
                <w:color w:val="auto"/>
                <w:sz w:val="24"/>
                <w:highlight w:val="none"/>
                <w:vertAlign w:val="baseline"/>
                <w:lang w:val="en-US" w:eastAsia="zh-CN"/>
              </w:rPr>
              <w:t>70%</w:t>
            </w:r>
          </w:p>
        </w:tc>
      </w:tr>
      <w:tr w14:paraId="29DB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D62462B">
            <w:pPr>
              <w:spacing w:line="360" w:lineRule="auto"/>
              <w:jc w:val="center"/>
              <w:rPr>
                <w:rFonts w:hint="eastAsia" w:ascii="宋体" w:hAnsi="宋体" w:eastAsia="宋体" w:cs="宋体"/>
                <w:bCs/>
                <w:color w:val="auto"/>
                <w:sz w:val="24"/>
                <w:highlight w:val="none"/>
                <w:vertAlign w:val="baseline"/>
              </w:rPr>
            </w:pPr>
            <w:r>
              <w:rPr>
                <w:rFonts w:hint="eastAsia" w:ascii="宋体" w:hAnsi="宋体" w:eastAsia="宋体" w:cs="宋体"/>
                <w:bCs/>
                <w:color w:val="auto"/>
                <w:sz w:val="24"/>
                <w:highlight w:val="none"/>
                <w:vertAlign w:val="baseline"/>
                <w:lang w:val="en-US" w:eastAsia="zh-CN"/>
              </w:rPr>
              <w:t>分摊系数K分摊3（市场调节费用）</w:t>
            </w:r>
          </w:p>
        </w:tc>
        <w:tc>
          <w:tcPr>
            <w:tcW w:w="4261" w:type="dxa"/>
            <w:vAlign w:val="center"/>
          </w:tcPr>
          <w:p w14:paraId="44E7D92C">
            <w:pPr>
              <w:spacing w:line="360" w:lineRule="auto"/>
              <w:jc w:val="center"/>
              <w:rPr>
                <w:rFonts w:hint="default" w:ascii="宋体" w:hAnsi="宋体" w:eastAsia="宋体" w:cs="宋体"/>
                <w:bCs/>
                <w:color w:val="auto"/>
                <w:sz w:val="24"/>
                <w:highlight w:val="none"/>
                <w:vertAlign w:val="baseline"/>
                <w:lang w:val="en-US" w:eastAsia="zh-CN"/>
              </w:rPr>
            </w:pPr>
            <w:r>
              <w:rPr>
                <w:rFonts w:hint="eastAsia" w:ascii="宋体" w:hAnsi="宋体" w:eastAsia="宋体" w:cs="宋体"/>
                <w:bCs/>
                <w:color w:val="auto"/>
                <w:sz w:val="24"/>
                <w:highlight w:val="none"/>
                <w:vertAlign w:val="baseline"/>
                <w:lang w:val="en-US" w:eastAsia="zh-CN"/>
              </w:rPr>
              <w:t>50%</w:t>
            </w:r>
          </w:p>
        </w:tc>
      </w:tr>
    </w:tbl>
    <w:p w14:paraId="05DC1EA8">
      <w:pPr>
        <w:numPr>
          <w:ilvl w:val="0"/>
          <w:numId w:val="4"/>
        </w:numPr>
        <w:spacing w:line="360" w:lineRule="auto"/>
        <w:ind w:left="0" w:leftChars="0" w:firstLine="482" w:firstLineChars="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零售套餐电能量封顶价格</w:t>
      </w:r>
    </w:p>
    <w:p w14:paraId="70442487">
      <w:pPr>
        <w:numPr>
          <w:ilvl w:val="0"/>
          <w:numId w:val="0"/>
        </w:numPr>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Cs/>
          <w:color w:val="auto"/>
          <w:sz w:val="24"/>
          <w:highlight w:val="none"/>
          <w:lang w:val="en-US" w:eastAsia="zh-CN"/>
        </w:rPr>
        <w:t>定义：电能量封顶价格=零售套餐参考价格+F*批发市场价格+当月分摊价格。</w:t>
      </w:r>
      <w:r>
        <w:rPr>
          <w:rFonts w:hint="eastAsia" w:ascii="宋体" w:hAnsi="宋体" w:eastAsia="宋体" w:cs="宋体"/>
          <w:b w:val="0"/>
          <w:bCs/>
          <w:color w:val="auto"/>
          <w:sz w:val="24"/>
          <w:highlight w:val="none"/>
          <w:lang w:val="en-US" w:eastAsia="zh-CN"/>
        </w:rPr>
        <w:t>当零售用户通过零售套餐结算的电能量均价</w:t>
      </w:r>
      <w:r>
        <w:rPr>
          <w:rFonts w:hint="eastAsia" w:ascii="宋体" w:hAnsi="宋体" w:eastAsia="宋体" w:cs="宋体"/>
          <w:b w:val="0"/>
          <w:bCs w:val="0"/>
          <w:color w:val="auto"/>
          <w:sz w:val="24"/>
          <w:highlight w:val="none"/>
          <w:lang w:val="en-US" w:eastAsia="zh-CN"/>
        </w:rPr>
        <w:t>大于</w:t>
      </w:r>
      <w:r>
        <w:rPr>
          <w:rFonts w:hint="eastAsia" w:ascii="宋体" w:hAnsi="宋体" w:eastAsia="宋体" w:cs="宋体"/>
          <w:b w:val="0"/>
          <w:bCs/>
          <w:color w:val="auto"/>
          <w:sz w:val="24"/>
          <w:highlight w:val="none"/>
          <w:lang w:val="en-US" w:eastAsia="zh-CN"/>
        </w:rPr>
        <w:t>电能量封顶价格时，按照电能量封顶价格结算。其中零售套餐参考价格由自身用电曲线与中长期年度市场、月度市场、月内市场、日前市场、实时市场等价格水平分时取最大值后确定。</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A1E2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89D1BBA">
            <w:pPr>
              <w:numPr>
                <w:ilvl w:val="0"/>
                <w:numId w:val="0"/>
              </w:numPr>
              <w:spacing w:line="360" w:lineRule="auto"/>
              <w:jc w:val="center"/>
              <w:rPr>
                <w:rFonts w:hint="default" w:ascii="宋体" w:hAnsi="宋体" w:eastAsia="宋体" w:cs="宋体"/>
                <w:b w:val="0"/>
                <w:bCs/>
                <w:color w:val="auto"/>
                <w:sz w:val="24"/>
                <w:highlight w:val="none"/>
                <w:vertAlign w:val="baseline"/>
                <w:lang w:val="en-US" w:eastAsia="zh-CN"/>
              </w:rPr>
            </w:pPr>
            <w:r>
              <w:rPr>
                <w:rFonts w:hint="eastAsia" w:ascii="宋体" w:hAnsi="宋体" w:eastAsia="宋体" w:cs="宋体"/>
                <w:b w:val="0"/>
                <w:bCs/>
                <w:color w:val="auto"/>
                <w:sz w:val="24"/>
                <w:highlight w:val="none"/>
                <w:vertAlign w:val="baseline"/>
                <w:lang w:val="en-US" w:eastAsia="zh-CN"/>
              </w:rPr>
              <w:t>电能量封顶系数F</w:t>
            </w:r>
          </w:p>
        </w:tc>
        <w:tc>
          <w:tcPr>
            <w:tcW w:w="4261" w:type="dxa"/>
            <w:vAlign w:val="center"/>
          </w:tcPr>
          <w:p w14:paraId="0732BA20">
            <w:pPr>
              <w:numPr>
                <w:ilvl w:val="0"/>
                <w:numId w:val="0"/>
              </w:numPr>
              <w:spacing w:line="360" w:lineRule="auto"/>
              <w:jc w:val="center"/>
              <w:rPr>
                <w:rFonts w:hint="default" w:ascii="宋体" w:hAnsi="宋体" w:eastAsia="宋体" w:cs="宋体"/>
                <w:b w:val="0"/>
                <w:bCs/>
                <w:color w:val="auto"/>
                <w:sz w:val="24"/>
                <w:highlight w:val="none"/>
                <w:vertAlign w:val="baseline"/>
                <w:lang w:val="en-US" w:eastAsia="zh-CN"/>
              </w:rPr>
            </w:pPr>
            <w:r>
              <w:rPr>
                <w:rFonts w:hint="eastAsia" w:ascii="宋体" w:hAnsi="宋体" w:eastAsia="宋体" w:cs="宋体"/>
                <w:b w:val="0"/>
                <w:bCs/>
                <w:color w:val="auto"/>
                <w:sz w:val="24"/>
                <w:highlight w:val="none"/>
                <w:vertAlign w:val="baseline"/>
                <w:lang w:val="en-US" w:eastAsia="zh-CN"/>
              </w:rPr>
              <w:t>0</w:t>
            </w:r>
          </w:p>
        </w:tc>
      </w:tr>
    </w:tbl>
    <w:p w14:paraId="6DDFE18D">
      <w:pPr>
        <w:tabs>
          <w:tab w:val="left" w:pos="2177"/>
        </w:tabs>
        <w:spacing w:before="329"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满足资格和实质性要求后，评标价格最低者中标。评标</w:t>
      </w:r>
      <w:r>
        <w:rPr>
          <w:rFonts w:hint="eastAsia" w:ascii="宋体" w:hAnsi="宋体" w:eastAsia="宋体" w:cs="宋体"/>
          <w:bCs/>
          <w:color w:val="auto"/>
          <w:sz w:val="24"/>
          <w:highlight w:val="none"/>
          <w:lang w:val="en-US" w:eastAsia="zh-CN"/>
        </w:rPr>
        <w:t>单价</w:t>
      </w:r>
      <w:r>
        <w:rPr>
          <w:rFonts w:hint="eastAsia" w:ascii="宋体" w:hAnsi="宋体" w:eastAsia="宋体" w:cs="宋体"/>
          <w:bCs/>
          <w:color w:val="auto"/>
          <w:sz w:val="24"/>
          <w:highlight w:val="none"/>
        </w:rPr>
        <w:t>价格=</w:t>
      </w:r>
      <w:r>
        <w:rPr>
          <w:rFonts w:hint="eastAsia" w:ascii="宋体" w:hAnsi="宋体" w:eastAsia="宋体" w:cs="宋体"/>
          <w:b/>
          <w:color w:val="auto"/>
          <w:sz w:val="24"/>
          <w:highlight w:val="none"/>
          <w:lang w:val="en-US" w:eastAsia="zh-CN"/>
        </w:rPr>
        <w:t>P</w:t>
      </w:r>
      <w:r>
        <w:rPr>
          <w:rFonts w:hint="eastAsia" w:ascii="宋体" w:hAnsi="宋体" w:eastAsia="宋体" w:cs="宋体"/>
          <w:b/>
          <w:color w:val="auto"/>
          <w:sz w:val="24"/>
          <w:highlight w:val="none"/>
          <w:vertAlign w:val="subscript"/>
          <w:lang w:val="en-US" w:eastAsia="zh-CN"/>
        </w:rPr>
        <w:t>浮动价格</w:t>
      </w:r>
      <w:r>
        <w:rPr>
          <w:rFonts w:hint="eastAsia" w:ascii="宋体" w:hAnsi="宋体" w:eastAsia="宋体" w:cs="宋体"/>
          <w:bCs/>
          <w:color w:val="auto"/>
          <w:sz w:val="24"/>
          <w:highlight w:val="none"/>
        </w:rPr>
        <w:t>，</w:t>
      </w:r>
      <w:r>
        <w:rPr>
          <w:rFonts w:hint="eastAsia" w:ascii="宋体" w:hAnsi="宋体" w:eastAsia="宋体" w:cs="宋体"/>
          <w:b/>
          <w:color w:val="auto"/>
          <w:sz w:val="24"/>
          <w:highlight w:val="none"/>
          <w:lang w:val="en-US" w:eastAsia="zh-CN"/>
        </w:rPr>
        <w:t>P</w:t>
      </w:r>
      <w:r>
        <w:rPr>
          <w:rFonts w:hint="eastAsia" w:ascii="宋体" w:hAnsi="宋体" w:eastAsia="宋体" w:cs="宋体"/>
          <w:b/>
          <w:color w:val="auto"/>
          <w:sz w:val="24"/>
          <w:highlight w:val="none"/>
          <w:vertAlign w:val="subscript"/>
          <w:lang w:val="en-US" w:eastAsia="zh-CN"/>
        </w:rPr>
        <w:t>浮动价格</w:t>
      </w:r>
      <w:r>
        <w:rPr>
          <w:rFonts w:hint="eastAsia" w:ascii="宋体" w:hAnsi="宋体" w:eastAsia="宋体" w:cs="宋体"/>
          <w:bCs/>
          <w:color w:val="auto"/>
          <w:sz w:val="24"/>
          <w:highlight w:val="none"/>
        </w:rPr>
        <w:t>以本表填报为准。</w:t>
      </w:r>
    </w:p>
    <w:p w14:paraId="5E9460E0">
      <w:pPr>
        <w:tabs>
          <w:tab w:val="left" w:pos="2177"/>
        </w:tabs>
        <w:spacing w:before="329" w:line="400" w:lineRule="exact"/>
        <w:ind w:firstLine="480"/>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评标单价价格</w:t>
      </w:r>
      <w:r>
        <w:rPr>
          <w:rFonts w:hint="eastAsia" w:ascii="宋体" w:hAnsi="宋体" w:eastAsia="宋体" w:cs="宋体"/>
          <w:b/>
          <w:color w:val="auto"/>
          <w:sz w:val="24"/>
          <w:highlight w:val="none"/>
          <w:lang w:val="en-US" w:eastAsia="zh-CN"/>
        </w:rPr>
        <w:t>P</w:t>
      </w:r>
      <w:r>
        <w:rPr>
          <w:rFonts w:hint="eastAsia" w:ascii="宋体" w:hAnsi="宋体" w:eastAsia="宋体" w:cs="宋体"/>
          <w:b/>
          <w:color w:val="auto"/>
          <w:sz w:val="24"/>
          <w:highlight w:val="none"/>
          <w:vertAlign w:val="subscript"/>
          <w:lang w:val="en-US" w:eastAsia="zh-CN"/>
        </w:rPr>
        <w:t>浮动价格</w:t>
      </w:r>
      <w:r>
        <w:rPr>
          <w:rFonts w:hint="eastAsia" w:ascii="宋体" w:hAnsi="宋体" w:eastAsia="宋体" w:cs="宋体"/>
          <w:b/>
          <w:bCs w:val="0"/>
          <w:color w:val="auto"/>
          <w:sz w:val="24"/>
          <w:highlight w:val="none"/>
          <w:lang w:val="en-US" w:eastAsia="zh-CN"/>
        </w:rPr>
        <w:t>以苏采云开标一览表的单价报价为准。</w:t>
      </w:r>
    </w:p>
    <w:p w14:paraId="42E89B01">
      <w:pPr>
        <w:spacing w:line="360" w:lineRule="auto"/>
        <w:ind w:firstLine="482"/>
        <w:rPr>
          <w:rFonts w:hint="eastAsia" w:ascii="宋体" w:hAnsi="宋体" w:eastAsia="宋体" w:cs="宋体"/>
          <w:b/>
          <w:bCs w:val="0"/>
          <w:i/>
          <w:iCs/>
          <w:color w:val="FF0000"/>
          <w:sz w:val="24"/>
          <w:highlight w:val="none"/>
          <w:lang w:val="en-US" w:eastAsia="zh-CN"/>
        </w:rPr>
      </w:pPr>
      <w:r>
        <w:rPr>
          <w:rFonts w:hint="eastAsia" w:ascii="宋体" w:hAnsi="宋体" w:eastAsia="宋体" w:cs="宋体"/>
          <w:b/>
          <w:bCs w:val="0"/>
          <w:i/>
          <w:iCs/>
          <w:color w:val="FF0000"/>
          <w:sz w:val="24"/>
          <w:highlight w:val="none"/>
          <w:lang w:val="en-US" w:eastAsia="zh-CN"/>
        </w:rPr>
        <w:t>投标人投标时零售套餐中的浮动价格，不低于0元/兆瓦时；低于0元/兆瓦时（即负价）或高于20元/兆瓦时（20元/兆瓦时=0.02元/千瓦时）时，评标委员会认定为无效标书。</w:t>
      </w:r>
      <w:r>
        <w:rPr>
          <w:rFonts w:ascii="Segoe UI" w:hAnsi="Segoe UI" w:eastAsia="Segoe UI" w:cs="Segoe UI"/>
          <w:b/>
          <w:bCs w:val="0"/>
          <w:i/>
          <w:iCs/>
          <w:caps w:val="0"/>
          <w:color w:val="FF0000"/>
          <w:spacing w:val="0"/>
          <w:sz w:val="24"/>
          <w:szCs w:val="24"/>
          <w:highlight w:val="none"/>
          <w:u w:val="single"/>
          <w:shd w:val="clear" w:fill="FFFFFF"/>
        </w:rPr>
        <w:t>在苏采云项目设置中确认开标一览表单价项按"元/兆瓦时"</w:t>
      </w:r>
      <w:r>
        <w:rPr>
          <w:rFonts w:hint="eastAsia" w:ascii="Segoe UI" w:hAnsi="Segoe UI" w:eastAsia="宋体" w:cs="Segoe UI"/>
          <w:b/>
          <w:bCs w:val="0"/>
          <w:i/>
          <w:iCs/>
          <w:caps w:val="0"/>
          <w:color w:val="FF0000"/>
          <w:spacing w:val="0"/>
          <w:sz w:val="24"/>
          <w:szCs w:val="24"/>
          <w:highlight w:val="none"/>
          <w:u w:val="single"/>
          <w:shd w:val="clear" w:fill="FFFFFF"/>
          <w:lang w:val="en-US" w:eastAsia="zh-CN"/>
        </w:rPr>
        <w:t>默认统一</w:t>
      </w:r>
      <w:r>
        <w:rPr>
          <w:rFonts w:ascii="Segoe UI" w:hAnsi="Segoe UI" w:eastAsia="Segoe UI" w:cs="Segoe UI"/>
          <w:b/>
          <w:bCs w:val="0"/>
          <w:i/>
          <w:iCs/>
          <w:caps w:val="0"/>
          <w:color w:val="FF0000"/>
          <w:spacing w:val="0"/>
          <w:sz w:val="24"/>
          <w:szCs w:val="24"/>
          <w:highlight w:val="none"/>
          <w:u w:val="single"/>
          <w:shd w:val="clear" w:fill="FFFFFF"/>
        </w:rPr>
        <w:t>填报</w:t>
      </w:r>
      <w:r>
        <w:rPr>
          <w:rFonts w:hint="eastAsia" w:ascii="Segoe UI" w:hAnsi="Segoe UI" w:eastAsia="宋体" w:cs="Segoe UI"/>
          <w:b/>
          <w:bCs w:val="0"/>
          <w:i/>
          <w:iCs/>
          <w:caps w:val="0"/>
          <w:color w:val="FF0000"/>
          <w:spacing w:val="0"/>
          <w:sz w:val="24"/>
          <w:szCs w:val="24"/>
          <w:highlight w:val="none"/>
          <w:u w:val="single"/>
          <w:shd w:val="clear" w:fill="FFFFFF"/>
          <w:lang w:eastAsia="zh-CN"/>
        </w:rPr>
        <w:t>，</w:t>
      </w:r>
      <w:r>
        <w:rPr>
          <w:rFonts w:hint="eastAsia" w:ascii="宋体" w:hAnsi="宋体" w:eastAsia="宋体" w:cs="宋体"/>
          <w:b/>
          <w:bCs w:val="0"/>
          <w:i/>
          <w:iCs/>
          <w:color w:val="FF0000"/>
          <w:sz w:val="24"/>
          <w:highlight w:val="none"/>
          <w:u w:val="single"/>
          <w:lang w:val="en-US" w:eastAsia="zh-CN"/>
        </w:rPr>
        <w:t>精确到</w:t>
      </w:r>
      <w:r>
        <w:rPr>
          <w:rFonts w:hint="eastAsia" w:ascii="宋体" w:hAnsi="宋体" w:eastAsia="宋体" w:cs="宋体"/>
          <w:b/>
          <w:bCs w:val="0"/>
          <w:i/>
          <w:iCs/>
          <w:color w:val="FF0000"/>
          <w:sz w:val="24"/>
          <w:highlight w:val="none"/>
          <w:u w:val="single"/>
        </w:rPr>
        <w:t>小数</w:t>
      </w:r>
      <w:r>
        <w:rPr>
          <w:rFonts w:hint="eastAsia" w:ascii="宋体" w:hAnsi="宋体" w:eastAsia="宋体" w:cs="宋体"/>
          <w:b/>
          <w:bCs w:val="0"/>
          <w:i/>
          <w:iCs/>
          <w:color w:val="FF0000"/>
          <w:sz w:val="24"/>
          <w:highlight w:val="none"/>
          <w:u w:val="single"/>
          <w:lang w:val="en-US" w:eastAsia="zh-CN"/>
        </w:rPr>
        <w:t>点后</w:t>
      </w:r>
      <w:r>
        <w:rPr>
          <w:rFonts w:hint="eastAsia" w:ascii="宋体" w:hAnsi="宋体" w:eastAsia="宋体" w:cs="宋体"/>
          <w:b/>
          <w:bCs w:val="0"/>
          <w:i/>
          <w:iCs/>
          <w:color w:val="FF0000"/>
          <w:sz w:val="24"/>
          <w:highlight w:val="none"/>
          <w:u w:val="single"/>
        </w:rPr>
        <w:t>两位</w:t>
      </w:r>
      <w:r>
        <w:rPr>
          <w:rFonts w:hint="eastAsia" w:ascii="宋体" w:hAnsi="宋体" w:eastAsia="宋体" w:cs="宋体"/>
          <w:b/>
          <w:bCs w:val="0"/>
          <w:i/>
          <w:iCs/>
          <w:color w:val="FF0000"/>
          <w:sz w:val="24"/>
          <w:highlight w:val="none"/>
          <w:lang w:eastAsia="zh-CN"/>
        </w:rPr>
        <w:t>。</w:t>
      </w:r>
      <w:bookmarkStart w:id="191" w:name="_GoBack"/>
      <w:bookmarkEnd w:id="191"/>
    </w:p>
    <w:p w14:paraId="498AFC70">
      <w:pPr>
        <w:widowControl/>
        <w:spacing w:beforeAutospacing="1" w:afterAutospacing="1"/>
        <w:jc w:val="left"/>
        <w:rPr>
          <w:rFonts w:ascii="Calibri" w:hAnsi="Calibri" w:eastAsia="宋体" w:cs="Times New Roman"/>
          <w:color w:val="auto"/>
          <w:sz w:val="24"/>
          <w:highlight w:val="none"/>
        </w:rPr>
      </w:pPr>
    </w:p>
    <w:p w14:paraId="63243894">
      <w:pPr>
        <w:widowControl/>
        <w:spacing w:beforeAutospacing="1" w:afterAutospacing="1"/>
        <w:ind w:firstLine="4800"/>
        <w:jc w:val="left"/>
        <w:rPr>
          <w:rFonts w:ascii="Calibri" w:hAnsi="Calibri" w:eastAsia="宋体" w:cs="Times New Roman"/>
          <w:color w:val="auto"/>
          <w:sz w:val="24"/>
          <w:highlight w:val="none"/>
        </w:rPr>
      </w:pPr>
      <w:r>
        <w:rPr>
          <w:rFonts w:ascii="Calibri" w:hAnsi="Calibri" w:eastAsia="宋体" w:cs="Times New Roman"/>
          <w:color w:val="auto"/>
          <w:sz w:val="24"/>
          <w:highlight w:val="none"/>
        </w:rPr>
        <w:t>投标人公章： （电子签章）</w:t>
      </w:r>
    </w:p>
    <w:p w14:paraId="786B9616">
      <w:pPr>
        <w:ind w:firstLine="5040"/>
        <w:rPr>
          <w:rFonts w:ascii="Calibri" w:hAnsi="Calibri" w:eastAsia="宋体" w:cs="Times New Roman"/>
          <w:color w:val="auto"/>
          <w:sz w:val="24"/>
          <w:highlight w:val="none"/>
        </w:rPr>
      </w:pPr>
      <w:r>
        <w:rPr>
          <w:rFonts w:ascii="宋体" w:hAnsi="宋体" w:eastAsia="宋体" w:cs="宋体"/>
          <w:color w:val="auto"/>
          <w:sz w:val="24"/>
          <w:highlight w:val="none"/>
        </w:rPr>
        <w:t>日期：</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年</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月</w:t>
      </w: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t>日</w:t>
      </w:r>
    </w:p>
    <w:p w14:paraId="4F69A8D0">
      <w:pPr>
        <w:widowControl/>
        <w:spacing w:before="50" w:after="50"/>
        <w:jc w:val="center"/>
        <w:rPr>
          <w:rFonts w:hint="eastAsia" w:ascii="宋体" w:hAnsi="宋体" w:eastAsia="宋体" w:cs="宋体"/>
          <w:color w:val="auto"/>
          <w:highlight w:val="none"/>
        </w:rPr>
      </w:pPr>
      <w:r>
        <w:rPr>
          <w:rFonts w:hint="eastAsia" w:ascii="宋体" w:hAnsi="宋体" w:eastAsia="宋体" w:cs="宋体"/>
          <w:color w:val="auto"/>
          <w:highlight w:val="none"/>
        </w:rPr>
        <w:tab/>
      </w:r>
    </w:p>
    <w:p w14:paraId="185357F5">
      <w:pPr>
        <w:widowControl/>
        <w:spacing w:before="50" w:after="50"/>
        <w:jc w:val="center"/>
        <w:rPr>
          <w:rFonts w:hint="eastAsia" w:ascii="宋体" w:hAnsi="宋体" w:eastAsia="宋体" w:cs="宋体"/>
          <w:color w:val="auto"/>
          <w:highlight w:val="none"/>
        </w:rPr>
      </w:pPr>
    </w:p>
    <w:p w14:paraId="51CE53DC">
      <w:pPr>
        <w:widowControl/>
        <w:spacing w:before="50" w:after="50"/>
        <w:jc w:val="center"/>
        <w:rPr>
          <w:rFonts w:hint="eastAsia" w:ascii="宋体" w:hAnsi="宋体" w:eastAsia="宋体" w:cs="宋体"/>
          <w:color w:val="auto"/>
          <w:highlight w:val="none"/>
        </w:rPr>
      </w:pPr>
    </w:p>
    <w:p w14:paraId="4FF88616">
      <w:pPr>
        <w:widowControl/>
        <w:spacing w:before="50" w:after="50"/>
        <w:jc w:val="center"/>
        <w:rPr>
          <w:rFonts w:hint="eastAsia" w:ascii="宋体" w:hAnsi="宋体" w:eastAsia="宋体" w:cs="宋体"/>
          <w:color w:val="auto"/>
          <w:highlight w:val="none"/>
        </w:rPr>
      </w:pPr>
    </w:p>
    <w:p w14:paraId="4F617F36">
      <w:pPr>
        <w:pStyle w:val="221"/>
        <w:rPr>
          <w:rFonts w:hint="eastAsia" w:hAnsi="宋体" w:eastAsia="宋体"/>
          <w:color w:val="auto"/>
          <w:highlight w:val="none"/>
        </w:rPr>
      </w:pPr>
    </w:p>
    <w:p w14:paraId="3F39BF96">
      <w:pPr>
        <w:widowControl/>
        <w:spacing w:before="50" w:after="50"/>
        <w:jc w:val="both"/>
        <w:rPr>
          <w:rFonts w:hint="eastAsia" w:ascii="宋体" w:hAnsi="宋体" w:eastAsia="宋体" w:cs="宋体"/>
          <w:color w:val="auto"/>
          <w:highlight w:val="none"/>
          <w:lang w:val="en-US" w:eastAsia="zh-CN"/>
        </w:rPr>
      </w:pPr>
    </w:p>
    <w:p w14:paraId="60803485">
      <w:pPr>
        <w:widowControl/>
        <w:spacing w:before="50" w:after="50"/>
        <w:jc w:val="center"/>
        <w:rPr>
          <w:rFonts w:hint="eastAsia" w:ascii="宋体" w:hAnsi="宋体" w:eastAsia="宋体" w:cs="宋体"/>
          <w:color w:val="auto"/>
          <w:highlight w:val="none"/>
        </w:rPr>
      </w:pPr>
    </w:p>
    <w:p w14:paraId="5BAEE293">
      <w:pPr>
        <w:widowControl/>
        <w:spacing w:before="50" w:after="50"/>
        <w:jc w:val="center"/>
        <w:rPr>
          <w:rFonts w:hint="eastAsia" w:ascii="宋体" w:hAnsi="宋体" w:eastAsia="宋体" w:cs="宋体"/>
          <w:color w:val="auto"/>
          <w:highlight w:val="none"/>
        </w:rPr>
      </w:pPr>
    </w:p>
    <w:p w14:paraId="4CA95743">
      <w:pPr>
        <w:widowControl/>
        <w:spacing w:before="50" w:after="50"/>
        <w:jc w:val="center"/>
        <w:rPr>
          <w:rFonts w:hint="eastAsia" w:ascii="宋体" w:hAnsi="宋体" w:eastAsia="宋体" w:cs="宋体"/>
          <w:color w:val="auto"/>
          <w:highlight w:val="none"/>
        </w:rPr>
      </w:pPr>
    </w:p>
    <w:p w14:paraId="76317269">
      <w:pPr>
        <w:widowControl/>
        <w:spacing w:before="50" w:after="50"/>
        <w:jc w:val="center"/>
        <w:rPr>
          <w:rFonts w:hint="eastAsia" w:ascii="宋体" w:hAnsi="宋体" w:eastAsia="宋体" w:cs="宋体"/>
          <w:color w:val="auto"/>
          <w:highlight w:val="none"/>
        </w:rPr>
      </w:pPr>
    </w:p>
    <w:p w14:paraId="7522B2DF">
      <w:pPr>
        <w:widowControl/>
        <w:spacing w:before="50" w:after="50"/>
        <w:jc w:val="center"/>
        <w:rPr>
          <w:rFonts w:hint="eastAsia" w:ascii="宋体" w:hAnsi="宋体" w:eastAsia="宋体" w:cs="宋体"/>
          <w:color w:val="auto"/>
          <w:highlight w:val="none"/>
        </w:rPr>
      </w:pPr>
    </w:p>
    <w:p w14:paraId="1373AAD8">
      <w:pPr>
        <w:widowControl/>
        <w:spacing w:before="50" w:after="50"/>
        <w:jc w:val="center"/>
        <w:rPr>
          <w:rFonts w:hint="eastAsia" w:ascii="宋体" w:hAnsi="宋体" w:eastAsia="宋体" w:cs="宋体"/>
          <w:color w:val="auto"/>
          <w:highlight w:val="none"/>
        </w:rPr>
      </w:pPr>
    </w:p>
    <w:p w14:paraId="27752931">
      <w:pPr>
        <w:widowControl/>
        <w:spacing w:before="50" w:after="50"/>
        <w:jc w:val="center"/>
        <w:rPr>
          <w:rFonts w:hint="eastAsia" w:ascii="宋体" w:hAnsi="宋体" w:eastAsia="宋体" w:cs="宋体"/>
          <w:color w:val="auto"/>
          <w:highlight w:val="none"/>
        </w:rPr>
      </w:pPr>
    </w:p>
    <w:p w14:paraId="7FCB5DC9">
      <w:pPr>
        <w:widowControl/>
        <w:spacing w:before="50" w:after="50"/>
        <w:jc w:val="center"/>
        <w:rPr>
          <w:rFonts w:hint="eastAsia" w:ascii="宋体" w:hAnsi="宋体" w:eastAsia="宋体" w:cs="宋体"/>
          <w:b/>
          <w:bCs/>
          <w:color w:val="auto"/>
          <w:sz w:val="32"/>
          <w:szCs w:val="32"/>
          <w:highlight w:val="none"/>
        </w:rPr>
      </w:pPr>
    </w:p>
    <w:p w14:paraId="40DA4DA3">
      <w:pPr>
        <w:widowControl/>
        <w:spacing w:before="50" w:after="50"/>
        <w:jc w:val="center"/>
        <w:rPr>
          <w:rFonts w:hint="eastAsia" w:ascii="宋体" w:hAnsi="宋体" w:eastAsia="宋体" w:cs="宋体"/>
          <w:b/>
          <w:bCs/>
          <w:color w:val="auto"/>
          <w:sz w:val="32"/>
          <w:szCs w:val="32"/>
          <w:highlight w:val="none"/>
        </w:rPr>
      </w:pPr>
    </w:p>
    <w:p w14:paraId="0D5B4D46">
      <w:pPr>
        <w:widowControl/>
        <w:spacing w:before="50" w:after="50"/>
        <w:jc w:val="center"/>
        <w:rPr>
          <w:rFonts w:hint="eastAsia" w:ascii="宋体" w:hAnsi="宋体" w:eastAsia="宋体" w:cs="宋体"/>
          <w:b/>
          <w:bCs/>
          <w:color w:val="auto"/>
          <w:sz w:val="32"/>
          <w:szCs w:val="32"/>
          <w:highlight w:val="none"/>
        </w:rPr>
      </w:pPr>
    </w:p>
    <w:p w14:paraId="7BE96A54">
      <w:pPr>
        <w:widowControl/>
        <w:spacing w:before="50" w:after="50"/>
        <w:jc w:val="center"/>
        <w:rPr>
          <w:rFonts w:hint="eastAsia" w:ascii="宋体" w:hAnsi="宋体" w:eastAsia="宋体" w:cs="宋体"/>
          <w:b/>
          <w:bCs/>
          <w:color w:val="auto"/>
          <w:sz w:val="32"/>
          <w:szCs w:val="32"/>
          <w:highlight w:val="none"/>
        </w:rPr>
      </w:pPr>
    </w:p>
    <w:p w14:paraId="7CFA706D">
      <w:pPr>
        <w:widowControl/>
        <w:spacing w:before="50" w:after="50"/>
        <w:jc w:val="center"/>
        <w:rPr>
          <w:rFonts w:hint="eastAsia" w:ascii="宋体" w:hAnsi="宋体" w:eastAsia="宋体" w:cs="宋体"/>
          <w:b/>
          <w:bCs/>
          <w:color w:val="auto"/>
          <w:sz w:val="32"/>
          <w:szCs w:val="32"/>
          <w:highlight w:val="none"/>
        </w:rPr>
      </w:pPr>
    </w:p>
    <w:p w14:paraId="344EAC59">
      <w:pPr>
        <w:widowControl/>
        <w:spacing w:before="50" w:after="50"/>
        <w:jc w:val="center"/>
        <w:rPr>
          <w:rFonts w:hint="eastAsia" w:ascii="宋体" w:hAnsi="宋体" w:eastAsia="宋体" w:cs="宋体"/>
          <w:b/>
          <w:bCs/>
          <w:color w:val="auto"/>
          <w:sz w:val="32"/>
          <w:szCs w:val="32"/>
          <w:highlight w:val="none"/>
        </w:rPr>
      </w:pPr>
    </w:p>
    <w:p w14:paraId="02676B7F">
      <w:pPr>
        <w:widowControl/>
        <w:spacing w:before="50" w:after="50"/>
        <w:jc w:val="center"/>
        <w:rPr>
          <w:rFonts w:hint="eastAsia" w:ascii="宋体" w:hAnsi="宋体" w:eastAsia="宋体" w:cs="宋体"/>
          <w:b/>
          <w:bCs/>
          <w:color w:val="auto"/>
          <w:sz w:val="32"/>
          <w:szCs w:val="32"/>
          <w:highlight w:val="none"/>
        </w:rPr>
      </w:pPr>
    </w:p>
    <w:p w14:paraId="654BBC0C">
      <w:pPr>
        <w:widowControl/>
        <w:spacing w:before="50" w:after="50"/>
        <w:jc w:val="center"/>
        <w:rPr>
          <w:rFonts w:hint="eastAsia" w:ascii="宋体" w:hAnsi="宋体" w:eastAsia="宋体" w:cs="宋体"/>
          <w:b/>
          <w:bCs/>
          <w:color w:val="auto"/>
          <w:sz w:val="32"/>
          <w:szCs w:val="32"/>
          <w:highlight w:val="none"/>
        </w:rPr>
      </w:pPr>
    </w:p>
    <w:p w14:paraId="673B7C05">
      <w:pPr>
        <w:widowControl/>
        <w:spacing w:before="50" w:after="50"/>
        <w:jc w:val="center"/>
        <w:rPr>
          <w:rFonts w:hint="eastAsia" w:ascii="宋体" w:hAnsi="宋体" w:eastAsia="宋体" w:cs="宋体"/>
          <w:b/>
          <w:bCs/>
          <w:color w:val="auto"/>
          <w:sz w:val="32"/>
          <w:szCs w:val="32"/>
          <w:highlight w:val="none"/>
        </w:rPr>
      </w:pPr>
    </w:p>
    <w:p w14:paraId="0086DD30">
      <w:pPr>
        <w:widowControl/>
        <w:spacing w:before="50" w:after="50"/>
        <w:jc w:val="center"/>
        <w:rPr>
          <w:rFonts w:hint="eastAsia" w:ascii="宋体" w:hAnsi="宋体" w:eastAsia="宋体" w:cs="宋体"/>
          <w:b/>
          <w:bCs/>
          <w:color w:val="auto"/>
          <w:sz w:val="32"/>
          <w:szCs w:val="32"/>
          <w:highlight w:val="none"/>
        </w:rPr>
      </w:pPr>
    </w:p>
    <w:p w14:paraId="022E1DFE">
      <w:pPr>
        <w:widowControl/>
        <w:spacing w:before="50" w:after="50"/>
        <w:jc w:val="center"/>
        <w:rPr>
          <w:rFonts w:hint="eastAsia" w:ascii="宋体" w:hAnsi="宋体" w:eastAsia="宋体" w:cs="宋体"/>
          <w:b/>
          <w:bCs/>
          <w:color w:val="auto"/>
          <w:sz w:val="32"/>
          <w:szCs w:val="32"/>
          <w:highlight w:val="none"/>
        </w:rPr>
      </w:pPr>
    </w:p>
    <w:p w14:paraId="45B3A2A8">
      <w:pPr>
        <w:widowControl/>
        <w:spacing w:before="50" w:after="50"/>
        <w:jc w:val="center"/>
        <w:rPr>
          <w:rFonts w:hint="eastAsia" w:ascii="宋体" w:hAnsi="宋体" w:eastAsia="宋体" w:cs="宋体"/>
          <w:b/>
          <w:bCs/>
          <w:color w:val="auto"/>
          <w:sz w:val="32"/>
          <w:szCs w:val="32"/>
          <w:highlight w:val="none"/>
        </w:rPr>
      </w:pPr>
    </w:p>
    <w:p w14:paraId="2405FC79">
      <w:pPr>
        <w:widowControl/>
        <w:spacing w:before="50" w:after="50"/>
        <w:jc w:val="both"/>
        <w:rPr>
          <w:rFonts w:hint="eastAsia" w:ascii="宋体" w:hAnsi="宋体" w:eastAsia="宋体" w:cs="宋体"/>
          <w:b/>
          <w:bCs/>
          <w:color w:val="auto"/>
          <w:sz w:val="32"/>
          <w:szCs w:val="32"/>
          <w:highlight w:val="none"/>
        </w:rPr>
      </w:pPr>
    </w:p>
    <w:p w14:paraId="66905A71">
      <w:pPr>
        <w:widowControl/>
        <w:spacing w:before="50" w:after="50"/>
        <w:jc w:val="center"/>
        <w:rPr>
          <w:rFonts w:hint="eastAsia" w:ascii="宋体" w:hAnsi="宋体" w:eastAsia="宋体" w:cs="宋体"/>
          <w:b/>
          <w:bCs/>
          <w:color w:val="auto"/>
          <w:sz w:val="32"/>
          <w:szCs w:val="32"/>
          <w:highlight w:val="none"/>
        </w:rPr>
      </w:pPr>
    </w:p>
    <w:p w14:paraId="3D86E807">
      <w:pPr>
        <w:widowControl/>
        <w:spacing w:before="50" w:after="50"/>
        <w:jc w:val="center"/>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十六、技术方案、服务承诺、培训承诺等</w:t>
      </w:r>
    </w:p>
    <w:p w14:paraId="4F8F4842">
      <w:pPr>
        <w:pStyle w:val="29"/>
        <w:tabs>
          <w:tab w:val="left" w:pos="2160"/>
        </w:tabs>
        <w:spacing w:beforeAutospacing="0" w:afterAutospacing="0"/>
        <w:jc w:val="both"/>
        <w:rPr>
          <w:rFonts w:hint="eastAsia" w:ascii="宋体" w:hAnsi="宋体" w:eastAsia="宋体" w:cs="宋体"/>
          <w:color w:val="auto"/>
          <w:highlight w:val="none"/>
        </w:rPr>
      </w:pPr>
    </w:p>
    <w:p w14:paraId="12783B33">
      <w:pPr>
        <w:spacing w:line="360" w:lineRule="auto"/>
        <w:jc w:val="both"/>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投标人自行承诺。</w:t>
      </w:r>
    </w:p>
    <w:p w14:paraId="7CB862FB">
      <w:pPr>
        <w:spacing w:line="360" w:lineRule="auto"/>
        <w:jc w:val="both"/>
        <w:rPr>
          <w:rFonts w:hint="eastAsia" w:ascii="宋体" w:hAnsi="宋体" w:eastAsia="宋体" w:cs="宋体"/>
          <w:b/>
          <w:bCs/>
          <w:color w:val="auto"/>
          <w:sz w:val="32"/>
          <w:szCs w:val="32"/>
          <w:highlight w:val="none"/>
        </w:rPr>
      </w:pPr>
    </w:p>
    <w:p w14:paraId="01F4AB26">
      <w:pPr>
        <w:spacing w:line="360" w:lineRule="auto"/>
        <w:jc w:val="both"/>
        <w:rPr>
          <w:rFonts w:hint="eastAsia" w:ascii="宋体" w:hAnsi="宋体" w:eastAsia="宋体" w:cs="宋体"/>
          <w:b/>
          <w:bCs/>
          <w:color w:val="auto"/>
          <w:sz w:val="32"/>
          <w:szCs w:val="32"/>
          <w:highlight w:val="none"/>
        </w:rPr>
      </w:pPr>
    </w:p>
    <w:p w14:paraId="3A048EC4">
      <w:pPr>
        <w:spacing w:line="360" w:lineRule="auto"/>
        <w:jc w:val="both"/>
        <w:rPr>
          <w:rFonts w:hint="eastAsia" w:ascii="宋体" w:hAnsi="宋体" w:eastAsia="宋体" w:cs="宋体"/>
          <w:b/>
          <w:bCs/>
          <w:color w:val="auto"/>
          <w:sz w:val="32"/>
          <w:szCs w:val="32"/>
          <w:highlight w:val="none"/>
        </w:rPr>
      </w:pPr>
    </w:p>
    <w:p w14:paraId="19A06EEF">
      <w:pPr>
        <w:spacing w:line="360" w:lineRule="auto"/>
        <w:jc w:val="both"/>
        <w:rPr>
          <w:rFonts w:hint="eastAsia" w:ascii="宋体" w:hAnsi="宋体" w:eastAsia="宋体" w:cs="宋体"/>
          <w:b/>
          <w:bCs/>
          <w:color w:val="auto"/>
          <w:sz w:val="32"/>
          <w:szCs w:val="32"/>
          <w:highlight w:val="none"/>
        </w:rPr>
      </w:pPr>
    </w:p>
    <w:p w14:paraId="623526BD">
      <w:pPr>
        <w:spacing w:line="360" w:lineRule="auto"/>
        <w:jc w:val="both"/>
        <w:rPr>
          <w:rFonts w:hint="eastAsia" w:ascii="宋体" w:hAnsi="宋体" w:eastAsia="宋体" w:cs="宋体"/>
          <w:b/>
          <w:bCs/>
          <w:color w:val="auto"/>
          <w:sz w:val="32"/>
          <w:szCs w:val="32"/>
          <w:highlight w:val="none"/>
        </w:rPr>
      </w:pPr>
    </w:p>
    <w:p w14:paraId="73355F5D">
      <w:pPr>
        <w:spacing w:line="360" w:lineRule="auto"/>
        <w:jc w:val="both"/>
        <w:rPr>
          <w:rFonts w:hint="eastAsia" w:ascii="宋体" w:hAnsi="宋体" w:eastAsia="宋体" w:cs="宋体"/>
          <w:b/>
          <w:bCs/>
          <w:color w:val="auto"/>
          <w:sz w:val="32"/>
          <w:szCs w:val="32"/>
          <w:highlight w:val="none"/>
        </w:rPr>
      </w:pPr>
    </w:p>
    <w:p w14:paraId="666B921E">
      <w:pPr>
        <w:spacing w:line="360" w:lineRule="auto"/>
        <w:jc w:val="both"/>
        <w:rPr>
          <w:rFonts w:hint="eastAsia" w:ascii="宋体" w:hAnsi="宋体" w:eastAsia="宋体" w:cs="宋体"/>
          <w:b/>
          <w:bCs/>
          <w:color w:val="auto"/>
          <w:sz w:val="32"/>
          <w:szCs w:val="32"/>
          <w:highlight w:val="none"/>
        </w:rPr>
      </w:pPr>
    </w:p>
    <w:p w14:paraId="1BA306A6">
      <w:pPr>
        <w:spacing w:line="360" w:lineRule="auto"/>
        <w:jc w:val="both"/>
        <w:rPr>
          <w:rFonts w:hint="eastAsia" w:ascii="宋体" w:hAnsi="宋体" w:eastAsia="宋体" w:cs="宋体"/>
          <w:b/>
          <w:bCs/>
          <w:color w:val="auto"/>
          <w:sz w:val="32"/>
          <w:szCs w:val="32"/>
          <w:highlight w:val="none"/>
        </w:rPr>
      </w:pPr>
    </w:p>
    <w:p w14:paraId="1F318C00">
      <w:pPr>
        <w:spacing w:line="360" w:lineRule="auto"/>
        <w:jc w:val="both"/>
        <w:rPr>
          <w:rFonts w:hint="eastAsia" w:ascii="宋体" w:hAnsi="宋体" w:eastAsia="宋体" w:cs="宋体"/>
          <w:b/>
          <w:bCs/>
          <w:color w:val="auto"/>
          <w:sz w:val="32"/>
          <w:szCs w:val="32"/>
          <w:highlight w:val="none"/>
        </w:rPr>
      </w:pPr>
    </w:p>
    <w:p w14:paraId="377673D8">
      <w:pPr>
        <w:spacing w:line="360" w:lineRule="auto"/>
        <w:jc w:val="both"/>
        <w:rPr>
          <w:rFonts w:hint="eastAsia" w:ascii="宋体" w:hAnsi="宋体" w:eastAsia="宋体" w:cs="宋体"/>
          <w:b/>
          <w:bCs/>
          <w:color w:val="auto"/>
          <w:sz w:val="32"/>
          <w:szCs w:val="32"/>
          <w:highlight w:val="none"/>
        </w:rPr>
      </w:pPr>
    </w:p>
    <w:p w14:paraId="58BDCE82">
      <w:pPr>
        <w:spacing w:line="360" w:lineRule="auto"/>
        <w:jc w:val="both"/>
        <w:rPr>
          <w:rFonts w:hint="eastAsia" w:ascii="宋体" w:hAnsi="宋体" w:eastAsia="宋体" w:cs="宋体"/>
          <w:b/>
          <w:bCs/>
          <w:color w:val="auto"/>
          <w:sz w:val="32"/>
          <w:szCs w:val="32"/>
          <w:highlight w:val="none"/>
        </w:rPr>
      </w:pPr>
    </w:p>
    <w:p w14:paraId="32BAB921">
      <w:pPr>
        <w:spacing w:line="360" w:lineRule="auto"/>
        <w:jc w:val="both"/>
        <w:rPr>
          <w:rFonts w:hint="eastAsia" w:ascii="宋体" w:hAnsi="宋体" w:eastAsia="宋体" w:cs="宋体"/>
          <w:b/>
          <w:bCs/>
          <w:color w:val="auto"/>
          <w:sz w:val="32"/>
          <w:szCs w:val="32"/>
          <w:highlight w:val="none"/>
        </w:rPr>
      </w:pPr>
    </w:p>
    <w:p w14:paraId="35BD3646">
      <w:pPr>
        <w:spacing w:line="360" w:lineRule="auto"/>
        <w:jc w:val="both"/>
        <w:rPr>
          <w:rFonts w:hint="eastAsia" w:ascii="宋体" w:hAnsi="宋体" w:eastAsia="宋体" w:cs="宋体"/>
          <w:b/>
          <w:bCs/>
          <w:color w:val="auto"/>
          <w:sz w:val="32"/>
          <w:szCs w:val="32"/>
          <w:highlight w:val="none"/>
        </w:rPr>
      </w:pPr>
    </w:p>
    <w:p w14:paraId="4E1D0AA7">
      <w:pPr>
        <w:spacing w:line="360" w:lineRule="auto"/>
        <w:jc w:val="both"/>
        <w:rPr>
          <w:rFonts w:hint="eastAsia" w:ascii="宋体" w:hAnsi="宋体" w:eastAsia="宋体" w:cs="宋体"/>
          <w:b/>
          <w:bCs/>
          <w:color w:val="auto"/>
          <w:sz w:val="32"/>
          <w:szCs w:val="32"/>
          <w:highlight w:val="none"/>
        </w:rPr>
      </w:pPr>
    </w:p>
    <w:p w14:paraId="78010A59">
      <w:pPr>
        <w:spacing w:line="360" w:lineRule="auto"/>
        <w:jc w:val="both"/>
        <w:rPr>
          <w:rFonts w:hint="eastAsia" w:ascii="宋体" w:hAnsi="宋体" w:eastAsia="宋体" w:cs="宋体"/>
          <w:b/>
          <w:bCs/>
          <w:color w:val="auto"/>
          <w:sz w:val="32"/>
          <w:szCs w:val="32"/>
          <w:highlight w:val="none"/>
        </w:rPr>
      </w:pPr>
    </w:p>
    <w:p w14:paraId="59F8590E">
      <w:pPr>
        <w:spacing w:line="360" w:lineRule="auto"/>
        <w:jc w:val="both"/>
        <w:rPr>
          <w:rFonts w:hint="eastAsia" w:ascii="宋体" w:hAnsi="宋体" w:eastAsia="宋体" w:cs="宋体"/>
          <w:b/>
          <w:bCs/>
          <w:color w:val="auto"/>
          <w:sz w:val="32"/>
          <w:szCs w:val="32"/>
          <w:highlight w:val="none"/>
        </w:rPr>
      </w:pPr>
    </w:p>
    <w:p w14:paraId="09D4BBA2">
      <w:pPr>
        <w:spacing w:line="360" w:lineRule="auto"/>
        <w:jc w:val="both"/>
        <w:rPr>
          <w:rFonts w:hint="eastAsia" w:ascii="宋体" w:hAnsi="宋体" w:eastAsia="宋体" w:cs="宋体"/>
          <w:b/>
          <w:bCs/>
          <w:color w:val="auto"/>
          <w:sz w:val="32"/>
          <w:szCs w:val="32"/>
          <w:highlight w:val="none"/>
        </w:rPr>
      </w:pPr>
    </w:p>
    <w:p w14:paraId="5291B094">
      <w:pPr>
        <w:spacing w:line="360" w:lineRule="auto"/>
        <w:jc w:val="both"/>
        <w:rPr>
          <w:rFonts w:hint="eastAsia" w:ascii="宋体" w:hAnsi="宋体" w:eastAsia="宋体" w:cs="宋体"/>
          <w:b/>
          <w:bCs/>
          <w:color w:val="auto"/>
          <w:sz w:val="32"/>
          <w:szCs w:val="32"/>
          <w:highlight w:val="none"/>
        </w:rPr>
      </w:pPr>
    </w:p>
    <w:p w14:paraId="35107DC7">
      <w:pPr>
        <w:spacing w:line="360" w:lineRule="auto"/>
        <w:jc w:val="both"/>
        <w:rPr>
          <w:rFonts w:hint="eastAsia" w:ascii="宋体" w:hAnsi="宋体" w:eastAsia="宋体" w:cs="宋体"/>
          <w:b/>
          <w:bCs/>
          <w:color w:val="auto"/>
          <w:sz w:val="32"/>
          <w:szCs w:val="32"/>
          <w:highlight w:val="none"/>
        </w:rPr>
      </w:pPr>
    </w:p>
    <w:p w14:paraId="2C67D608">
      <w:pPr>
        <w:spacing w:line="360" w:lineRule="auto"/>
        <w:jc w:val="center"/>
        <w:rPr>
          <w:rFonts w:hint="eastAsia" w:ascii="宋体" w:hAnsi="宋体" w:eastAsia="宋体" w:cs="Times New Roman"/>
          <w:b/>
          <w:bCs/>
          <w:color w:val="auto"/>
          <w:sz w:val="28"/>
          <w:szCs w:val="28"/>
          <w:highlight w:val="none"/>
        </w:rPr>
      </w:pPr>
      <w:r>
        <w:rPr>
          <w:rFonts w:hint="eastAsia" w:ascii="宋体" w:hAnsi="宋体" w:eastAsia="宋体" w:cs="宋体"/>
          <w:b/>
          <w:bCs/>
          <w:color w:val="auto"/>
          <w:sz w:val="32"/>
          <w:szCs w:val="32"/>
          <w:highlight w:val="none"/>
        </w:rPr>
        <w:t>十七、</w:t>
      </w:r>
      <w:r>
        <w:rPr>
          <w:rFonts w:hint="eastAsia" w:ascii="宋体" w:hAnsi="宋体" w:eastAsia="宋体" w:cs="Times New Roman"/>
          <w:b/>
          <w:bCs/>
          <w:color w:val="auto"/>
          <w:sz w:val="32"/>
          <w:szCs w:val="32"/>
          <w:highlight w:val="none"/>
        </w:rPr>
        <w:t>服务承诺书</w:t>
      </w:r>
    </w:p>
    <w:p w14:paraId="4FE36944">
      <w:pPr>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u w:val="single"/>
        </w:rPr>
        <w:t>滨海县城市管理局</w:t>
      </w:r>
      <w:r>
        <w:rPr>
          <w:rFonts w:hint="eastAsia" w:ascii="宋体" w:hAnsi="宋体" w:eastAsia="宋体" w:cs="Times New Roman"/>
          <w:color w:val="auto"/>
          <w:sz w:val="24"/>
          <w:highlight w:val="none"/>
        </w:rPr>
        <w:t>：</w:t>
      </w:r>
    </w:p>
    <w:p w14:paraId="601635C4">
      <w:pPr>
        <w:spacing w:line="360" w:lineRule="auto"/>
        <w:ind w:firstLine="555"/>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我司在此承诺：</w:t>
      </w:r>
    </w:p>
    <w:p w14:paraId="5C617B5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1、若因我方原因，导致合同无法执行。我方将赔偿你方违约金，违约金金额=|市场化成交电价-直接交易基准价|×剩余未执行合约电量。</w:t>
      </w:r>
    </w:p>
    <w:p w14:paraId="13C221C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2、若在合同周期内，我方未按双方约定给你方进行结算，我方将按照双方约定的结算电费和实际结算电费的差额部分的3倍赔偿给你方。</w:t>
      </w:r>
    </w:p>
    <w:p w14:paraId="58F21F0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3、我方将为你方提供同区域同类、同量用电企业的优惠价格及优质服务。</w:t>
      </w:r>
    </w:p>
    <w:p w14:paraId="78326A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4、我方将为你方提供用电特性分析、用能质量分析、综合节能管理咨询等服务，提高你方用能管理水平。</w:t>
      </w:r>
    </w:p>
    <w:p w14:paraId="4B0CDFB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5、我方将为你方提供真实准确的有关电力直接交易的相关信息及资料，协助你方申请办理电力交易有关手续。</w:t>
      </w:r>
    </w:p>
    <w:p w14:paraId="1D66B87E">
      <w:pPr>
        <w:spacing w:line="360" w:lineRule="auto"/>
        <w:ind w:firstLine="480"/>
        <w:rPr>
          <w:rFonts w:hint="eastAsia" w:ascii="宋体" w:hAnsi="宋体" w:eastAsia="宋体" w:cs="宋体"/>
          <w:b w:val="0"/>
          <w:bCs/>
          <w:color w:val="auto"/>
          <w:sz w:val="24"/>
          <w:highlight w:val="none"/>
        </w:rPr>
      </w:pPr>
      <w:r>
        <w:rPr>
          <w:rFonts w:hint="eastAsia" w:ascii="宋体" w:hAnsi="宋体" w:eastAsia="宋体" w:cs="宋体"/>
          <w:b w:val="0"/>
          <w:bCs/>
          <w:color w:val="FF0000"/>
          <w:sz w:val="24"/>
          <w:highlight w:val="none"/>
        </w:rPr>
        <w:t>6、我方承诺你方本项目合同期内全部电量均按中标浮动价格及合同约定的零售套餐价格机制结算；当你方实际用电量超出预计电量时，我方保证超用部分电量供应，且超用部分仍按上述同一价格机制结算。</w:t>
      </w:r>
    </w:p>
    <w:p w14:paraId="690C062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7、我方承诺招标用电量偏差考核费用全部由我方承担。</w:t>
      </w:r>
    </w:p>
    <w:p w14:paraId="454649EE">
      <w:pPr>
        <w:spacing w:line="360" w:lineRule="auto"/>
        <w:ind w:firstLine="555"/>
        <w:rPr>
          <w:rFonts w:hint="eastAsia" w:ascii="宋体" w:hAnsi="宋体" w:eastAsia="宋体" w:cs="Times New Roman"/>
          <w:color w:val="auto"/>
          <w:sz w:val="24"/>
          <w:highlight w:val="none"/>
        </w:rPr>
      </w:pPr>
    </w:p>
    <w:p w14:paraId="0F2A55FD">
      <w:pPr>
        <w:tabs>
          <w:tab w:val="left" w:pos="851"/>
        </w:tabs>
        <w:spacing w:line="360" w:lineRule="auto"/>
        <w:ind w:left="42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承诺单位：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（盖单位公章）</w:t>
      </w:r>
    </w:p>
    <w:p w14:paraId="66995862">
      <w:pPr>
        <w:ind w:firstLine="16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F01D89A">
      <w:pPr>
        <w:ind w:firstLine="161"/>
        <w:jc w:val="center"/>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677943B4">
      <w:pPr>
        <w:widowControl/>
        <w:spacing w:line="499" w:lineRule="atLeast"/>
        <w:rPr>
          <w:rFonts w:hint="eastAsia" w:ascii="宋体" w:hAnsi="宋体" w:eastAsia="宋体" w:cs="宋体"/>
          <w:b/>
          <w:bCs/>
          <w:color w:val="auto"/>
          <w:sz w:val="32"/>
          <w:szCs w:val="32"/>
          <w:highlight w:val="none"/>
        </w:rPr>
      </w:pPr>
    </w:p>
    <w:p w14:paraId="7F3C6FDE">
      <w:pPr>
        <w:widowControl/>
        <w:spacing w:line="499" w:lineRule="atLeast"/>
        <w:ind w:firstLine="1600"/>
        <w:rPr>
          <w:rFonts w:hint="eastAsia" w:ascii="宋体" w:hAnsi="宋体" w:eastAsia="宋体" w:cs="宋体"/>
          <w:b/>
          <w:bCs/>
          <w:color w:val="auto"/>
          <w:sz w:val="32"/>
          <w:szCs w:val="32"/>
          <w:highlight w:val="none"/>
        </w:rPr>
      </w:pPr>
    </w:p>
    <w:p w14:paraId="6C0E4EDE">
      <w:pPr>
        <w:widowControl/>
        <w:spacing w:line="499" w:lineRule="atLeast"/>
        <w:ind w:firstLine="1600"/>
        <w:rPr>
          <w:rFonts w:hint="eastAsia" w:ascii="宋体" w:hAnsi="宋体" w:eastAsia="宋体" w:cs="宋体"/>
          <w:b/>
          <w:bCs/>
          <w:color w:val="auto"/>
          <w:sz w:val="32"/>
          <w:szCs w:val="32"/>
          <w:highlight w:val="none"/>
        </w:rPr>
      </w:pPr>
    </w:p>
    <w:p w14:paraId="512A17A9">
      <w:pPr>
        <w:widowControl/>
        <w:spacing w:line="499" w:lineRule="atLeast"/>
        <w:ind w:firstLine="1600"/>
        <w:rPr>
          <w:rFonts w:hint="eastAsia" w:ascii="宋体" w:hAnsi="宋体" w:eastAsia="宋体" w:cs="宋体"/>
          <w:b/>
          <w:bCs/>
          <w:color w:val="auto"/>
          <w:sz w:val="32"/>
          <w:szCs w:val="32"/>
          <w:highlight w:val="none"/>
        </w:rPr>
      </w:pPr>
    </w:p>
    <w:p w14:paraId="0757878E">
      <w:pPr>
        <w:widowControl/>
        <w:spacing w:line="499" w:lineRule="atLeast"/>
        <w:ind w:firstLine="1600"/>
        <w:rPr>
          <w:rFonts w:hint="eastAsia" w:ascii="宋体" w:hAnsi="宋体" w:eastAsia="宋体" w:cs="宋体"/>
          <w:b/>
          <w:bCs/>
          <w:color w:val="auto"/>
          <w:sz w:val="32"/>
          <w:szCs w:val="32"/>
          <w:highlight w:val="none"/>
        </w:rPr>
      </w:pPr>
    </w:p>
    <w:p w14:paraId="3BF380DE">
      <w:pPr>
        <w:widowControl/>
        <w:spacing w:line="499" w:lineRule="atLeast"/>
        <w:ind w:firstLine="1600"/>
        <w:rPr>
          <w:rFonts w:hint="eastAsia" w:ascii="宋体" w:hAnsi="宋体" w:eastAsia="宋体" w:cs="宋体"/>
          <w:b/>
          <w:bCs/>
          <w:color w:val="auto"/>
          <w:sz w:val="32"/>
          <w:szCs w:val="32"/>
          <w:highlight w:val="none"/>
        </w:rPr>
      </w:pPr>
    </w:p>
    <w:p w14:paraId="6B78AA1A">
      <w:pPr>
        <w:widowControl/>
        <w:spacing w:line="499" w:lineRule="atLeast"/>
        <w:ind w:firstLine="1600"/>
        <w:rPr>
          <w:rFonts w:hint="eastAsia" w:ascii="宋体" w:hAnsi="宋体" w:eastAsia="宋体" w:cs="宋体"/>
          <w:b/>
          <w:bCs/>
          <w:color w:val="auto"/>
          <w:sz w:val="32"/>
          <w:szCs w:val="32"/>
          <w:highlight w:val="none"/>
        </w:rPr>
      </w:pPr>
    </w:p>
    <w:p w14:paraId="22B7605C">
      <w:pPr>
        <w:widowControl/>
        <w:spacing w:line="499" w:lineRule="atLeast"/>
        <w:ind w:firstLine="1600"/>
        <w:rPr>
          <w:rFonts w:hint="eastAsia" w:ascii="宋体" w:hAnsi="宋体" w:eastAsia="宋体" w:cs="宋体"/>
          <w:b/>
          <w:bCs/>
          <w:color w:val="auto"/>
          <w:sz w:val="32"/>
          <w:szCs w:val="32"/>
          <w:highlight w:val="none"/>
        </w:rPr>
      </w:pPr>
    </w:p>
    <w:p w14:paraId="18EBB479">
      <w:pPr>
        <w:widowControl/>
        <w:spacing w:line="499" w:lineRule="atLeast"/>
        <w:ind w:firstLine="1600"/>
        <w:rPr>
          <w:rFonts w:hint="eastAsia" w:ascii="宋体" w:hAnsi="宋体" w:eastAsia="宋体" w:cs="宋体"/>
          <w:b/>
          <w:bCs/>
          <w:color w:val="auto"/>
          <w:sz w:val="32"/>
          <w:szCs w:val="32"/>
          <w:highlight w:val="none"/>
        </w:rPr>
      </w:pPr>
    </w:p>
    <w:p w14:paraId="29D9541D">
      <w:pPr>
        <w:widowControl/>
        <w:spacing w:line="499" w:lineRule="atLeast"/>
        <w:ind w:firstLine="1600"/>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十八、盐城市政府采购事前信用承诺书</w:t>
      </w:r>
    </w:p>
    <w:p w14:paraId="2793F3B9">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9D6C568">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43DC840">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E874E9C">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21CCFFE8">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18949FF1">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7E49B42">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2EEE6D24">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F5E1120">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179E9E00">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5B600FEB">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ADCC2E7">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  月  日</w:t>
      </w:r>
      <w:bookmarkEnd w:id="31"/>
      <w:bookmarkEnd w:id="41"/>
      <w:bookmarkEnd w:id="86"/>
      <w:bookmarkEnd w:id="87"/>
      <w:bookmarkEnd w:id="88"/>
      <w:bookmarkEnd w:id="91"/>
      <w:bookmarkEnd w:id="92"/>
      <w:bookmarkEnd w:id="93"/>
      <w:bookmarkEnd w:id="94"/>
      <w:bookmarkEnd w:id="95"/>
      <w:bookmarkEnd w:id="96"/>
      <w:bookmarkEnd w:id="97"/>
      <w:bookmarkEnd w:id="98"/>
      <w:bookmarkEnd w:id="99"/>
      <w:bookmarkEnd w:id="100"/>
      <w:bookmarkEnd w:id="101"/>
      <w:bookmarkEnd w:id="102"/>
      <w:bookmarkEnd w:id="103"/>
      <w:bookmarkEnd w:id="108"/>
      <w:bookmarkEnd w:id="109"/>
      <w:bookmarkEnd w:id="110"/>
      <w:bookmarkEnd w:id="115"/>
      <w:bookmarkEnd w:id="116"/>
      <w:bookmarkEnd w:id="123"/>
      <w:bookmarkEnd w:id="166"/>
      <w:bookmarkEnd w:id="171"/>
      <w:bookmarkEnd w:id="172"/>
      <w:bookmarkEnd w:id="174"/>
      <w:bookmarkEnd w:id="175"/>
      <w:bookmarkEnd w:id="176"/>
      <w:bookmarkEnd w:id="177"/>
      <w:bookmarkEnd w:id="186"/>
      <w:bookmarkEnd w:id="187"/>
      <w:bookmarkEnd w:id="188"/>
      <w:bookmarkEnd w:id="189"/>
      <w:bookmarkEnd w:id="190"/>
    </w:p>
    <w:p w14:paraId="24126F42">
      <w:pPr>
        <w:pStyle w:val="29"/>
        <w:spacing w:beforeAutospacing="0" w:afterAutospacing="0"/>
        <w:jc w:val="center"/>
        <w:rPr>
          <w:rFonts w:hint="eastAsia" w:ascii="宋体" w:hAnsi="宋体" w:eastAsia="宋体" w:cs="宋体"/>
          <w:color w:val="auto"/>
          <w:highlight w:val="none"/>
        </w:rPr>
      </w:pPr>
    </w:p>
    <w:p w14:paraId="1BA2FC51">
      <w:pPr>
        <w:rPr>
          <w:rFonts w:ascii="宋体" w:hAnsi="宋体" w:eastAsia="宋体" w:cs="宋体"/>
          <w:color w:val="auto"/>
          <w:highlight w:val="none"/>
        </w:rPr>
      </w:pPr>
    </w:p>
    <w:p w14:paraId="7F369D7D">
      <w:pPr>
        <w:rPr>
          <w:rFonts w:ascii="宋体" w:hAnsi="宋体" w:eastAsia="宋体" w:cs="宋体"/>
          <w:color w:val="auto"/>
          <w:highlight w:val="none"/>
        </w:rPr>
      </w:pPr>
    </w:p>
    <w:p w14:paraId="4E1D3F11">
      <w:pPr>
        <w:rPr>
          <w:rFonts w:hint="eastAsia" w:ascii="宋体" w:hAnsi="宋体" w:eastAsia="宋体" w:cs="宋体"/>
          <w:color w:val="auto"/>
          <w:highlight w:val="none"/>
        </w:rPr>
      </w:pPr>
    </w:p>
    <w:p w14:paraId="74E4B70C">
      <w:pPr>
        <w:rPr>
          <w:rFonts w:hint="eastAsia" w:ascii="宋体" w:hAnsi="宋体" w:eastAsia="宋体" w:cs="宋体"/>
          <w:color w:val="auto"/>
          <w:highlight w:val="none"/>
        </w:rPr>
      </w:pPr>
    </w:p>
    <w:p w14:paraId="1192C240">
      <w:pPr>
        <w:pStyle w:val="29"/>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7601373">
      <w:pPr>
        <w:pStyle w:val="29"/>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33DF5FF5">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3F66949">
      <w:pPr>
        <w:pStyle w:val="29"/>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5549F78A">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2C17293">
      <w:pPr>
        <w:pStyle w:val="29"/>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CE7B20">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75EC0BA">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A85F136">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6C10467">
      <w:pPr>
        <w:pStyle w:val="29"/>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EB90EF1">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727E6430">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2CA95A9F">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7BAE529C">
      <w:pPr>
        <w:pStyle w:val="29"/>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41A9DECA">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610D1DE">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4C1670AC">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79381869">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79DE6F01">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C6CDBD3">
      <w:pPr>
        <w:pStyle w:val="2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5AC58C35">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4394B2D">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62DCFD82">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795B6EE4">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0C133563">
      <w:pPr>
        <w:pStyle w:val="29"/>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6F3DD43D">
      <w:pPr>
        <w:pStyle w:val="2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1EFC68F">
      <w:pPr>
        <w:pStyle w:val="29"/>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3F2531E8">
      <w:pPr>
        <w:pStyle w:val="2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3741BBC0">
      <w:pPr>
        <w:pStyle w:val="2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82A9DB1">
      <w:pPr>
        <w:pStyle w:val="2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22E82349">
      <w:pPr>
        <w:pStyle w:val="2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58746C6E">
      <w:pPr>
        <w:pStyle w:val="2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04CF4AD9">
      <w:pPr>
        <w:pStyle w:val="29"/>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4ADD64F2">
      <w:pPr>
        <w:pStyle w:val="29"/>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D637E07">
      <w:pPr>
        <w:rPr>
          <w:rFonts w:hint="eastAsia" w:ascii="宋体" w:hAnsi="宋体" w:eastAsia="宋体" w:cs="宋体"/>
          <w:color w:val="auto"/>
          <w:highlight w:val="none"/>
        </w:rPr>
      </w:pP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94002">
    <w:pPr>
      <w:tabs>
        <w:tab w:val="center" w:pos="4153"/>
        <w:tab w:val="right" w:pos="8306"/>
      </w:tabs>
      <w:jc w:val="left"/>
      <w:rPr>
        <w:rFonts w:ascii="Calibri" w:hAnsi="Calibri" w:eastAsia="宋体" w:cs="Times New Roman"/>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959330">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jYEI2AgAAYwQAAA4AAABkcnMvZTJvRG9jLnhtbK1UzW7UMBC+I/EO&#10;lu9stq2o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n72et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OjYEI2AgAAYwQAAA4AAAAAAAAAAQAgAAAAHwEAAGRycy9lMm9Eb2MueG1s&#10;UEsFBgAAAAAGAAYAWQEAAMcFAAAAAA==&#10;">
              <v:fill on="f" focussize="0,0"/>
              <v:stroke on="f" weight="0.5pt"/>
              <v:imagedata o:title=""/>
              <o:lock v:ext="edit" aspectratio="f"/>
              <v:textbox inset="0mm,0mm,0mm,0mm" style="mso-fit-shape-to-text:t;">
                <w:txbxContent>
                  <w:p w14:paraId="49959330">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038CD">
    <w:pPr>
      <w:tabs>
        <w:tab w:val="center" w:pos="4758"/>
        <w:tab w:val="right" w:pos="8306"/>
      </w:tabs>
      <w:jc w:val="left"/>
      <w:rPr>
        <w:rFonts w:ascii="Calibri" w:hAnsi="Calibri" w:eastAsia="宋体" w:cs="Times New Roman"/>
        <w:sz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401D34">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JVmm9A2AgAAYwQAAA4AAAAAAAAAAQAgAAAAHwEAAGRycy9lMm9Eb2MueG1s&#10;UEsFBgAAAAAGAAYAWQEAAMcFAAAAAA==&#10;">
              <v:fill on="f" focussize="0,0"/>
              <v:stroke on="f" weight="0.5pt"/>
              <v:imagedata o:title=""/>
              <o:lock v:ext="edit" aspectratio="f"/>
              <v:textbox inset="0mm,0mm,0mm,0mm" style="mso-fit-shape-to-text:t;">
                <w:txbxContent>
                  <w:p w14:paraId="63401D34">
                    <w:pPr>
                      <w:pStyle w:val="1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Calibri" w:hAnsi="Calibri" w:eastAsia="宋体" w:cs="Times New Roman"/>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EBA6B">
    <w:pPr>
      <w:spacing w:line="14" w:lineRule="auto"/>
      <w:rPr>
        <w:rFonts w:ascii="Times New Roman" w:hAnsi="Arial" w:eastAsia="宋体" w:cs="Times New Roman"/>
        <w:sz w:val="20"/>
        <w:szCs w:val="28"/>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CF25C">
                          <w:pPr>
                            <w:pStyle w:val="19"/>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nHhiINwIAAGMEAAAOAAAAAAAAAAEAIAAAAB8BAABkcnMvZTJvRG9jLnht&#10;bFBLBQYAAAAABgAGAFkBAADIBQAAAAA=&#10;">
              <v:fill on="f" focussize="0,0"/>
              <v:stroke on="f" weight="0.5pt"/>
              <v:imagedata o:title=""/>
              <o:lock v:ext="edit" aspectratio="f"/>
              <v:textbox inset="0mm,0mm,0mm,0mm" style="mso-fit-shape-to-text:t;">
                <w:txbxContent>
                  <w:p w14:paraId="2AACF25C">
                    <w:pPr>
                      <w:pStyle w:val="19"/>
                    </w:pPr>
                    <w:r>
                      <w:fldChar w:fldCharType="begin"/>
                    </w:r>
                    <w:r>
                      <w:instrText xml:space="preserve"> PAGE  \* MERGEFORMAT </w:instrText>
                    </w:r>
                    <w:r>
                      <w:fldChar w:fldCharType="separate"/>
                    </w:r>
                    <w:r>
                      <w:t>17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89B260"/>
    <w:multiLevelType w:val="singleLevel"/>
    <w:tmpl w:val="A989B260"/>
    <w:lvl w:ilvl="0" w:tentative="0">
      <w:start w:val="3"/>
      <w:numFmt w:val="decimal"/>
      <w:lvlText w:val="%1."/>
      <w:lvlJc w:val="left"/>
      <w:pPr>
        <w:tabs>
          <w:tab w:val="left" w:pos="312"/>
        </w:tabs>
      </w:pPr>
    </w:lvl>
  </w:abstractNum>
  <w:abstractNum w:abstractNumId="1">
    <w:nsid w:val="B74D4BC7"/>
    <w:multiLevelType w:val="singleLevel"/>
    <w:tmpl w:val="B74D4BC7"/>
    <w:lvl w:ilvl="0" w:tentative="0">
      <w:start w:val="1"/>
      <w:numFmt w:val="decimal"/>
      <w:lvlText w:val="%1."/>
      <w:lvlJc w:val="left"/>
      <w:pPr>
        <w:tabs>
          <w:tab w:val="left" w:pos="312"/>
        </w:tabs>
      </w:pPr>
    </w:lvl>
  </w:abstractNum>
  <w:abstractNum w:abstractNumId="2">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070172"/>
    <w:multiLevelType w:val="singleLevel"/>
    <w:tmpl w:val="59070172"/>
    <w:lvl w:ilvl="0" w:tentative="0">
      <w:start w:val="1"/>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12EA8"/>
    <w:rsid w:val="00872E8A"/>
    <w:rsid w:val="04AF6A38"/>
    <w:rsid w:val="201A4C35"/>
    <w:rsid w:val="2D7A3EB0"/>
    <w:rsid w:val="2E452E4D"/>
    <w:rsid w:val="35BC2BB3"/>
    <w:rsid w:val="3C122A1A"/>
    <w:rsid w:val="3C430F28"/>
    <w:rsid w:val="3F0F15C0"/>
    <w:rsid w:val="416F2B40"/>
    <w:rsid w:val="432A1D2F"/>
    <w:rsid w:val="44A5067F"/>
    <w:rsid w:val="4AD5655D"/>
    <w:rsid w:val="4D0E297B"/>
    <w:rsid w:val="4D272418"/>
    <w:rsid w:val="580422D3"/>
    <w:rsid w:val="5B971EAC"/>
    <w:rsid w:val="5BE33601"/>
    <w:rsid w:val="73502804"/>
    <w:rsid w:val="7B446D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rPr>
  </w:style>
  <w:style w:type="paragraph" w:styleId="2">
    <w:name w:val="heading 1"/>
    <w:basedOn w:val="1"/>
    <w:next w:val="1"/>
    <w:link w:val="7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7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7"/>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7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1"/>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semiHidden/>
    <w:qFormat/>
    <w:uiPriority w:val="0"/>
    <w:rPr>
      <w:rFonts w:ascii="仿宋" w:hAnsi="仿宋" w:eastAsia="仿宋" w:cs="仿宋"/>
      <w:sz w:val="31"/>
      <w:szCs w:val="31"/>
      <w:lang w:eastAsia="en-US"/>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219"/>
    <w:semiHidden/>
    <w:unhideWhenUsed/>
    <w:qFormat/>
    <w:uiPriority w:val="99"/>
    <w:rPr>
      <w:sz w:val="20"/>
    </w:rPr>
  </w:style>
  <w:style w:type="paragraph" w:styleId="19">
    <w:name w:val="footer"/>
    <w:basedOn w:val="1"/>
    <w:link w:val="223"/>
    <w:qFormat/>
    <w:uiPriority w:val="0"/>
    <w:pPr>
      <w:tabs>
        <w:tab w:val="center" w:pos="4153"/>
        <w:tab w:val="right" w:pos="8306"/>
      </w:tabs>
      <w:jc w:val="left"/>
    </w:pPr>
    <w:rPr>
      <w:sz w:val="18"/>
      <w:szCs w:val="18"/>
    </w:rPr>
  </w:style>
  <w:style w:type="paragraph" w:styleId="20">
    <w:name w:val="header"/>
    <w:basedOn w:val="1"/>
    <w:link w:val="222"/>
    <w:qFormat/>
    <w:uiPriority w:val="0"/>
    <w:pPr>
      <w:pBdr>
        <w:bottom w:val="single" w:color="auto" w:sz="6" w:space="1"/>
      </w:pBdr>
      <w:tabs>
        <w:tab w:val="center" w:pos="4153"/>
        <w:tab w:val="right" w:pos="8306"/>
      </w:tabs>
      <w:jc w:val="center"/>
    </w:pPr>
    <w:rPr>
      <w:sz w:val="18"/>
      <w:szCs w:val="18"/>
    </w:r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85"/>
    <w:qFormat/>
    <w:uiPriority w:val="11"/>
    <w:pPr>
      <w:spacing w:before="200" w:after="200"/>
    </w:pPr>
    <w:rPr>
      <w:sz w:val="24"/>
    </w:rPr>
  </w:style>
  <w:style w:type="paragraph" w:styleId="24">
    <w:name w:val="footnote text"/>
    <w:basedOn w:val="1"/>
    <w:link w:val="218"/>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qFormat/>
    <w:uiPriority w:val="0"/>
    <w:pPr>
      <w:spacing w:beforeAutospacing="1" w:afterAutospacing="1"/>
      <w:jc w:val="left"/>
    </w:pPr>
    <w:rPr>
      <w:rFonts w:cs="Times New Roman"/>
      <w:sz w:val="24"/>
    </w:rPr>
  </w:style>
  <w:style w:type="paragraph" w:styleId="30">
    <w:name w:val="Title"/>
    <w:basedOn w:val="1"/>
    <w:next w:val="1"/>
    <w:link w:val="84"/>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0"/>
    <w:rPr>
      <w:b/>
    </w:rPr>
  </w:style>
  <w:style w:type="character" w:styleId="35">
    <w:name w:val="endnote reference"/>
    <w:basedOn w:val="33"/>
    <w:semiHidden/>
    <w:unhideWhenUsed/>
    <w:qFormat/>
    <w:uiPriority w:val="99"/>
    <w:rPr>
      <w:vertAlign w:val="superscript"/>
    </w:rPr>
  </w:style>
  <w:style w:type="character" w:styleId="36">
    <w:name w:val="Emphasis"/>
    <w:qFormat/>
    <w:uiPriority w:val="0"/>
    <w:rPr>
      <w:i/>
    </w:rPr>
  </w:style>
  <w:style w:type="character" w:styleId="37">
    <w:name w:val="Hyperlink"/>
    <w:unhideWhenUsed/>
    <w:qFormat/>
    <w:uiPriority w:val="99"/>
    <w:rPr>
      <w:color w:val="0563C1" w:themeColor="hyperlink"/>
      <w:u w:val="single"/>
      <w14:textFill>
        <w14:solidFill>
          <w14:schemeClr w14:val="hlink"/>
        </w14:solidFill>
      </w14:textFill>
    </w:rPr>
  </w:style>
  <w:style w:type="character" w:styleId="38">
    <w:name w:val="footnote reference"/>
    <w:basedOn w:val="33"/>
    <w:unhideWhenUsed/>
    <w:qFormat/>
    <w:uiPriority w:val="99"/>
    <w:rPr>
      <w:vertAlign w:val="superscript"/>
    </w:rPr>
  </w:style>
  <w:style w:type="character" w:customStyle="1" w:styleId="39">
    <w:name w:val="Heading 1 Char"/>
    <w:basedOn w:val="33"/>
    <w:qFormat/>
    <w:uiPriority w:val="9"/>
    <w:rPr>
      <w:rFonts w:ascii="Arial" w:hAnsi="Arial" w:eastAsia="Arial" w:cs="Arial"/>
      <w:sz w:val="40"/>
      <w:szCs w:val="40"/>
    </w:rPr>
  </w:style>
  <w:style w:type="character" w:customStyle="1" w:styleId="40">
    <w:name w:val="Heading 3 Char"/>
    <w:basedOn w:val="33"/>
    <w:qFormat/>
    <w:uiPriority w:val="9"/>
    <w:rPr>
      <w:rFonts w:ascii="Arial" w:hAnsi="Arial" w:eastAsia="Arial" w:cs="Arial"/>
      <w:sz w:val="30"/>
      <w:szCs w:val="30"/>
    </w:rPr>
  </w:style>
  <w:style w:type="character" w:customStyle="1" w:styleId="41">
    <w:name w:val="Heading 4 Char"/>
    <w:basedOn w:val="33"/>
    <w:qFormat/>
    <w:uiPriority w:val="9"/>
    <w:rPr>
      <w:rFonts w:ascii="Arial" w:hAnsi="Arial" w:eastAsia="Arial" w:cs="Arial"/>
      <w:b/>
      <w:bCs/>
      <w:sz w:val="26"/>
      <w:szCs w:val="26"/>
    </w:rPr>
  </w:style>
  <w:style w:type="character" w:customStyle="1" w:styleId="42">
    <w:name w:val="Heading 5 Char"/>
    <w:basedOn w:val="33"/>
    <w:qFormat/>
    <w:uiPriority w:val="9"/>
    <w:rPr>
      <w:rFonts w:ascii="Arial" w:hAnsi="Arial" w:eastAsia="Arial" w:cs="Arial"/>
      <w:b/>
      <w:bCs/>
      <w:sz w:val="24"/>
      <w:szCs w:val="24"/>
    </w:rPr>
  </w:style>
  <w:style w:type="character" w:customStyle="1" w:styleId="43">
    <w:name w:val="Heading 6 Char"/>
    <w:basedOn w:val="33"/>
    <w:qFormat/>
    <w:uiPriority w:val="9"/>
    <w:rPr>
      <w:rFonts w:ascii="Arial" w:hAnsi="Arial" w:eastAsia="Arial" w:cs="Arial"/>
      <w:b/>
      <w:bCs/>
      <w:sz w:val="22"/>
      <w:szCs w:val="22"/>
    </w:rPr>
  </w:style>
  <w:style w:type="character" w:customStyle="1" w:styleId="44">
    <w:name w:val="Heading 7 Char"/>
    <w:basedOn w:val="33"/>
    <w:qFormat/>
    <w:uiPriority w:val="9"/>
    <w:rPr>
      <w:rFonts w:ascii="Arial" w:hAnsi="Arial" w:eastAsia="Arial" w:cs="Arial"/>
      <w:b/>
      <w:bCs/>
      <w:i/>
      <w:iCs/>
      <w:sz w:val="22"/>
      <w:szCs w:val="22"/>
    </w:rPr>
  </w:style>
  <w:style w:type="character" w:customStyle="1" w:styleId="45">
    <w:name w:val="Heading 8 Char"/>
    <w:basedOn w:val="33"/>
    <w:qFormat/>
    <w:uiPriority w:val="9"/>
    <w:rPr>
      <w:rFonts w:ascii="Arial" w:hAnsi="Arial" w:eastAsia="Arial" w:cs="Arial"/>
      <w:i/>
      <w:iCs/>
      <w:sz w:val="22"/>
      <w:szCs w:val="22"/>
    </w:rPr>
  </w:style>
  <w:style w:type="character" w:customStyle="1" w:styleId="46">
    <w:name w:val="Heading 9 Char"/>
    <w:basedOn w:val="33"/>
    <w:qFormat/>
    <w:uiPriority w:val="9"/>
    <w:rPr>
      <w:rFonts w:ascii="Arial" w:hAnsi="Arial" w:eastAsia="Arial" w:cs="Arial"/>
      <w:i/>
      <w:iCs/>
      <w:sz w:val="21"/>
      <w:szCs w:val="21"/>
    </w:rPr>
  </w:style>
  <w:style w:type="character" w:customStyle="1" w:styleId="47">
    <w:name w:val="Title Char"/>
    <w:basedOn w:val="33"/>
    <w:qFormat/>
    <w:uiPriority w:val="10"/>
    <w:rPr>
      <w:sz w:val="48"/>
      <w:szCs w:val="48"/>
    </w:rPr>
  </w:style>
  <w:style w:type="character" w:customStyle="1" w:styleId="48">
    <w:name w:val="Subtitle Char"/>
    <w:basedOn w:val="33"/>
    <w:qFormat/>
    <w:uiPriority w:val="11"/>
    <w:rPr>
      <w:sz w:val="24"/>
      <w:szCs w:val="24"/>
    </w:rPr>
  </w:style>
  <w:style w:type="character" w:customStyle="1" w:styleId="49">
    <w:name w:val="Quote Char"/>
    <w:qFormat/>
    <w:uiPriority w:val="29"/>
    <w:rPr>
      <w:i/>
    </w:rPr>
  </w:style>
  <w:style w:type="character" w:customStyle="1" w:styleId="50">
    <w:name w:val="Intense Quote Char"/>
    <w:qFormat/>
    <w:uiPriority w:val="30"/>
    <w:rPr>
      <w:i/>
    </w:rPr>
  </w:style>
  <w:style w:type="table" w:customStyle="1" w:styleId="51">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0">
    <w:name w:val="Footnote Text Char"/>
    <w:qFormat/>
    <w:uiPriority w:val="99"/>
    <w:rPr>
      <w:sz w:val="18"/>
    </w:rPr>
  </w:style>
  <w:style w:type="character" w:customStyle="1" w:styleId="71">
    <w:name w:val="Endnote Text Char"/>
    <w:qFormat/>
    <w:uiPriority w:val="99"/>
    <w:rPr>
      <w:sz w:val="20"/>
    </w:rPr>
  </w:style>
  <w:style w:type="paragraph" w:customStyle="1" w:styleId="72">
    <w:name w:val="TOC Heading"/>
    <w:unhideWhenUsed/>
    <w:qFormat/>
    <w:uiPriority w:val="39"/>
    <w:rPr>
      <w:rFonts w:hint="default" w:ascii="Times New Roman" w:hAnsi="Times New Roman" w:eastAsia="宋体" w:cs="Times New Roman"/>
    </w:rPr>
  </w:style>
  <w:style w:type="character" w:customStyle="1" w:styleId="73">
    <w:name w:val="标题 1 字符"/>
    <w:basedOn w:val="33"/>
    <w:link w:val="2"/>
    <w:qFormat/>
    <w:uiPriority w:val="9"/>
    <w:rPr>
      <w:rFonts w:ascii="Arial" w:hAnsi="Arial" w:eastAsia="Arial" w:cs="Arial"/>
      <w:sz w:val="40"/>
      <w:szCs w:val="40"/>
    </w:rPr>
  </w:style>
  <w:style w:type="character" w:customStyle="1" w:styleId="74">
    <w:name w:val="Heading 2 Char"/>
    <w:basedOn w:val="33"/>
    <w:qFormat/>
    <w:uiPriority w:val="9"/>
    <w:rPr>
      <w:rFonts w:ascii="Arial" w:hAnsi="Arial" w:eastAsia="Arial" w:cs="Arial"/>
      <w:sz w:val="34"/>
    </w:rPr>
  </w:style>
  <w:style w:type="character" w:customStyle="1" w:styleId="75">
    <w:name w:val="标题 3 字符"/>
    <w:basedOn w:val="33"/>
    <w:link w:val="4"/>
    <w:qFormat/>
    <w:uiPriority w:val="9"/>
    <w:rPr>
      <w:rFonts w:ascii="Arial" w:hAnsi="Arial" w:eastAsia="Arial" w:cs="Arial"/>
      <w:sz w:val="30"/>
      <w:szCs w:val="30"/>
    </w:rPr>
  </w:style>
  <w:style w:type="character" w:customStyle="1" w:styleId="76">
    <w:name w:val="标题 4 字符"/>
    <w:basedOn w:val="33"/>
    <w:link w:val="5"/>
    <w:qFormat/>
    <w:uiPriority w:val="9"/>
    <w:rPr>
      <w:rFonts w:ascii="Arial" w:hAnsi="Arial" w:eastAsia="Arial" w:cs="Arial"/>
      <w:b/>
      <w:bCs/>
      <w:sz w:val="26"/>
      <w:szCs w:val="26"/>
    </w:rPr>
  </w:style>
  <w:style w:type="character" w:customStyle="1" w:styleId="77">
    <w:name w:val="标题 5 字符"/>
    <w:basedOn w:val="33"/>
    <w:link w:val="6"/>
    <w:qFormat/>
    <w:uiPriority w:val="9"/>
    <w:rPr>
      <w:rFonts w:ascii="Arial" w:hAnsi="Arial" w:eastAsia="Arial" w:cs="Arial"/>
      <w:b/>
      <w:bCs/>
      <w:sz w:val="24"/>
      <w:szCs w:val="24"/>
    </w:rPr>
  </w:style>
  <w:style w:type="character" w:customStyle="1" w:styleId="78">
    <w:name w:val="标题 6 字符"/>
    <w:basedOn w:val="33"/>
    <w:link w:val="7"/>
    <w:qFormat/>
    <w:uiPriority w:val="9"/>
    <w:rPr>
      <w:rFonts w:ascii="Arial" w:hAnsi="Arial" w:eastAsia="Arial" w:cs="Arial"/>
      <w:b/>
      <w:bCs/>
      <w:sz w:val="22"/>
      <w:szCs w:val="22"/>
    </w:rPr>
  </w:style>
  <w:style w:type="character" w:customStyle="1" w:styleId="79">
    <w:name w:val="标题 7 字符"/>
    <w:basedOn w:val="33"/>
    <w:link w:val="8"/>
    <w:qFormat/>
    <w:uiPriority w:val="9"/>
    <w:rPr>
      <w:rFonts w:ascii="Arial" w:hAnsi="Arial" w:eastAsia="Arial" w:cs="Arial"/>
      <w:b/>
      <w:bCs/>
      <w:i/>
      <w:iCs/>
      <w:sz w:val="22"/>
      <w:szCs w:val="22"/>
    </w:rPr>
  </w:style>
  <w:style w:type="character" w:customStyle="1" w:styleId="80">
    <w:name w:val="标题 8 字符"/>
    <w:basedOn w:val="33"/>
    <w:link w:val="9"/>
    <w:qFormat/>
    <w:uiPriority w:val="9"/>
    <w:rPr>
      <w:rFonts w:ascii="Arial" w:hAnsi="Arial" w:eastAsia="Arial" w:cs="Arial"/>
      <w:i/>
      <w:iCs/>
      <w:sz w:val="22"/>
      <w:szCs w:val="22"/>
    </w:rPr>
  </w:style>
  <w:style w:type="character" w:customStyle="1" w:styleId="81">
    <w:name w:val="标题 9 字符"/>
    <w:basedOn w:val="33"/>
    <w:link w:val="10"/>
    <w:qFormat/>
    <w:uiPriority w:val="9"/>
    <w:rPr>
      <w:rFonts w:ascii="Arial" w:hAnsi="Arial" w:eastAsia="Arial" w:cs="Arial"/>
      <w:i/>
      <w:iCs/>
      <w:sz w:val="21"/>
      <w:szCs w:val="21"/>
    </w:rPr>
  </w:style>
  <w:style w:type="paragraph" w:styleId="82">
    <w:name w:val="List Paragraph"/>
    <w:basedOn w:val="1"/>
    <w:qFormat/>
    <w:uiPriority w:val="34"/>
    <w:pPr>
      <w:ind w:left="720"/>
      <w:contextualSpacing/>
    </w:pPr>
  </w:style>
  <w:style w:type="paragraph" w:styleId="83">
    <w:name w:val="No Spacing"/>
    <w:qFormat/>
    <w:uiPriority w:val="1"/>
    <w:rPr>
      <w:rFonts w:hint="default" w:ascii="Times New Roman" w:hAnsi="Times New Roman" w:eastAsia="宋体" w:cs="Times New Roman"/>
    </w:rPr>
  </w:style>
  <w:style w:type="character" w:customStyle="1" w:styleId="84">
    <w:name w:val="标题 字符"/>
    <w:basedOn w:val="33"/>
    <w:link w:val="30"/>
    <w:qFormat/>
    <w:uiPriority w:val="10"/>
    <w:rPr>
      <w:sz w:val="48"/>
      <w:szCs w:val="48"/>
    </w:rPr>
  </w:style>
  <w:style w:type="character" w:customStyle="1" w:styleId="85">
    <w:name w:val="副标题 字符"/>
    <w:basedOn w:val="33"/>
    <w:link w:val="23"/>
    <w:qFormat/>
    <w:uiPriority w:val="11"/>
    <w:rPr>
      <w:sz w:val="24"/>
      <w:szCs w:val="24"/>
    </w:rPr>
  </w:style>
  <w:style w:type="paragraph" w:styleId="86">
    <w:name w:val="Quote"/>
    <w:basedOn w:val="1"/>
    <w:next w:val="1"/>
    <w:link w:val="87"/>
    <w:qFormat/>
    <w:uiPriority w:val="29"/>
    <w:pPr>
      <w:ind w:left="720" w:right="720"/>
    </w:pPr>
    <w:rPr>
      <w:i/>
    </w:rPr>
  </w:style>
  <w:style w:type="character" w:customStyle="1" w:styleId="87">
    <w:name w:val="引用 字符"/>
    <w:link w:val="86"/>
    <w:qFormat/>
    <w:uiPriority w:val="29"/>
    <w:rPr>
      <w:i/>
    </w:rPr>
  </w:style>
  <w:style w:type="paragraph" w:styleId="88">
    <w:name w:val="Intense Quote"/>
    <w:basedOn w:val="1"/>
    <w:next w:val="1"/>
    <w:link w:val="8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9">
    <w:name w:val="明显引用 字符"/>
    <w:link w:val="88"/>
    <w:qFormat/>
    <w:uiPriority w:val="30"/>
    <w:rPr>
      <w:i/>
    </w:rPr>
  </w:style>
  <w:style w:type="character" w:customStyle="1" w:styleId="90">
    <w:name w:val="Header Char"/>
    <w:basedOn w:val="33"/>
    <w:qFormat/>
    <w:uiPriority w:val="99"/>
  </w:style>
  <w:style w:type="character" w:customStyle="1" w:styleId="91">
    <w:name w:val="Footer Char"/>
    <w:basedOn w:val="33"/>
    <w:qFormat/>
    <w:uiPriority w:val="99"/>
  </w:style>
  <w:style w:type="character" w:customStyle="1" w:styleId="92">
    <w:name w:val="Caption Char"/>
    <w:qFormat/>
    <w:uiPriority w:val="99"/>
  </w:style>
  <w:style w:type="table" w:customStyle="1" w:styleId="93">
    <w:name w:val="Table Grid Light"/>
    <w:basedOn w:val="3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4">
    <w:name w:val="无格式表格 11"/>
    <w:basedOn w:val="3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3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3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3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3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3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3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1">
    <w:name w:val="Grid Table 1 Light - Accent 2"/>
    <w:basedOn w:val="3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2">
    <w:name w:val="Grid Table 1 Light - Accent 3"/>
    <w:basedOn w:val="3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3">
    <w:name w:val="Grid Table 1 Light - Accent 4"/>
    <w:basedOn w:val="3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4">
    <w:name w:val="Grid Table 1 Light - Accent 5"/>
    <w:basedOn w:val="3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05">
    <w:name w:val="Grid Table 1 Light - Accent 6"/>
    <w:basedOn w:val="3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6">
    <w:name w:val="网格表 2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3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8">
    <w:name w:val="Grid Table 2 - Accent 2"/>
    <w:basedOn w:val="3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2 - Accent 3"/>
    <w:basedOn w:val="3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2 - Accent 4"/>
    <w:basedOn w:val="3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2 - Accent 5"/>
    <w:basedOn w:val="3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2 - Accent 6"/>
    <w:basedOn w:val="3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3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3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5">
    <w:name w:val="Grid Table 3 - Accent 2"/>
    <w:basedOn w:val="31"/>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3 - Accent 3"/>
    <w:basedOn w:val="31"/>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3 - Accent 4"/>
    <w:basedOn w:val="31"/>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3 - Accent 5"/>
    <w:basedOn w:val="31"/>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9">
    <w:name w:val="Grid Table 3 - Accent 6"/>
    <w:basedOn w:val="31"/>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网格表 41"/>
    <w:basedOn w:val="3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3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2">
    <w:name w:val="Grid Table 4 - Accent 2"/>
    <w:basedOn w:val="31"/>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4 - Accent 3"/>
    <w:basedOn w:val="31"/>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4 - Accent 4"/>
    <w:basedOn w:val="31"/>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4 - Accent 5"/>
    <w:basedOn w:val="31"/>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6">
    <w:name w:val="Grid Table 4 - Accent 6"/>
    <w:basedOn w:val="31"/>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5 深色1"/>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9">
    <w:name w:val="Grid Table 5 Dark - Accent 2"/>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0">
    <w:name w:val="Grid Table 5 Dark - Accent 3"/>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1">
    <w:name w:val="Grid Table 5 Dark- Accent 4"/>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2">
    <w:name w:val="Grid Table 5 Dark - Accent 5"/>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3">
    <w:name w:val="Grid Table 5 Dark - Accent 6"/>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4">
    <w:name w:val="网格表 6 彩色1"/>
    <w:basedOn w:val="3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3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3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31"/>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8">
    <w:name w:val="Grid Table 6 Colorful - Accent 4"/>
    <w:basedOn w:val="3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31"/>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0">
    <w:name w:val="Grid Table 6 Colorful - Accent 6"/>
    <w:basedOn w:val="31"/>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1">
    <w:name w:val="网格表 7 彩色1"/>
    <w:basedOn w:val="3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3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31"/>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31"/>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5">
    <w:name w:val="Grid Table 7 Colorful - Accent 4"/>
    <w:basedOn w:val="31"/>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31"/>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7">
    <w:name w:val="Grid Table 7 Colorful - Accent 6"/>
    <w:basedOn w:val="31"/>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8">
    <w:name w:val="清单表 1 浅色1"/>
    <w:basedOn w:val="3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31"/>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0">
    <w:name w:val="List Table 1 Light - Accent 2"/>
    <w:basedOn w:val="31"/>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1">
    <w:name w:val="List Table 1 Light - Accent 3"/>
    <w:basedOn w:val="31"/>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2">
    <w:name w:val="List Table 1 Light - Accent 4"/>
    <w:basedOn w:val="31"/>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3">
    <w:name w:val="List Table 1 Light - Accent 5"/>
    <w:basedOn w:val="31"/>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54">
    <w:name w:val="List Table 1 Light - Accent 6"/>
    <w:basedOn w:val="31"/>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5">
    <w:name w:val="清单表 21"/>
    <w:basedOn w:val="3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3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7">
    <w:name w:val="List Table 2 - Accent 2"/>
    <w:basedOn w:val="31"/>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2 - Accent 3"/>
    <w:basedOn w:val="31"/>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2 - Accent 4"/>
    <w:basedOn w:val="31"/>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2 - Accent 5"/>
    <w:basedOn w:val="31"/>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1">
    <w:name w:val="List Table 2 - Accent 6"/>
    <w:basedOn w:val="31"/>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清单表 3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3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64">
    <w:name w:val="List Table 3 - Accent 2"/>
    <w:basedOn w:val="31"/>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5">
    <w:name w:val="List Table 3 - Accent 3"/>
    <w:basedOn w:val="31"/>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6">
    <w:name w:val="List Table 3 - Accent 4"/>
    <w:basedOn w:val="31"/>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7">
    <w:name w:val="List Table 3 - Accent 5"/>
    <w:basedOn w:val="31"/>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8">
    <w:name w:val="List Table 3 - Accent 6"/>
    <w:basedOn w:val="31"/>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9">
    <w:name w:val="清单表 4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3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1">
    <w:name w:val="List Table 4 - Accent 2"/>
    <w:basedOn w:val="31"/>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4 - Accent 3"/>
    <w:basedOn w:val="31"/>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4 - Accent 4"/>
    <w:basedOn w:val="31"/>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4 - Accent 5"/>
    <w:basedOn w:val="31"/>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5">
    <w:name w:val="List Table 4 - Accent 6"/>
    <w:basedOn w:val="31"/>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清单表 5 深色1"/>
    <w:basedOn w:val="3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3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78">
    <w:name w:val="List Table 5 Dark - Accent 2"/>
    <w:basedOn w:val="31"/>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9">
    <w:name w:val="List Table 5 Dark - Accent 3"/>
    <w:basedOn w:val="31"/>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0">
    <w:name w:val="List Table 5 Dark - Accent 4"/>
    <w:basedOn w:val="31"/>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1">
    <w:name w:val="List Table 5 Dark - Accent 5"/>
    <w:basedOn w:val="31"/>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2">
    <w:name w:val="List Table 5 Dark - Accent 6"/>
    <w:basedOn w:val="31"/>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3">
    <w:name w:val="清单表 6 彩色1"/>
    <w:basedOn w:val="3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31"/>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5">
    <w:name w:val="List Table 6 Colorful - Accent 2"/>
    <w:basedOn w:val="31"/>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31"/>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31"/>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31"/>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31"/>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3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31"/>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2">
    <w:name w:val="List Table 7 Colorful - Accent 2"/>
    <w:basedOn w:val="31"/>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31"/>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31"/>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31"/>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31"/>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3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31"/>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9">
    <w:name w:val="Lined - Accent 2"/>
    <w:basedOn w:val="31"/>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0">
    <w:name w:val="Lined - Accent 3"/>
    <w:basedOn w:val="31"/>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1">
    <w:name w:val="Lined - Accent 4"/>
    <w:basedOn w:val="31"/>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2">
    <w:name w:val="Lined - Accent 5"/>
    <w:basedOn w:val="31"/>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3">
    <w:name w:val="Lined - Accent 6"/>
    <w:basedOn w:val="31"/>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4">
    <w:name w:val="Bordered &amp; Lined - Accent"/>
    <w:basedOn w:val="3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3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6">
    <w:name w:val="Bordered &amp; Lined - Accent 2"/>
    <w:basedOn w:val="31"/>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7">
    <w:name w:val="Bordered &amp; Lined - Accent 3"/>
    <w:basedOn w:val="31"/>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8">
    <w:name w:val="Bordered &amp; Lined - Accent 4"/>
    <w:basedOn w:val="31"/>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9">
    <w:name w:val="Bordered &amp; Lined - Accent 5"/>
    <w:basedOn w:val="31"/>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0">
    <w:name w:val="Bordered &amp; Lined - Accent 6"/>
    <w:basedOn w:val="31"/>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1">
    <w:name w:val="Bordered"/>
    <w:basedOn w:val="3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3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3">
    <w:name w:val="Bordered - Accent 2"/>
    <w:basedOn w:val="31"/>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4">
    <w:name w:val="Bordered - Accent 3"/>
    <w:basedOn w:val="31"/>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5">
    <w:name w:val="Bordered - Accent 4"/>
    <w:basedOn w:val="31"/>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6">
    <w:name w:val="Bordered - Accent 5"/>
    <w:basedOn w:val="31"/>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17">
    <w:name w:val="Bordered - Accent 6"/>
    <w:basedOn w:val="31"/>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8">
    <w:name w:val="脚注文本 字符"/>
    <w:link w:val="24"/>
    <w:qFormat/>
    <w:uiPriority w:val="99"/>
    <w:rPr>
      <w:sz w:val="18"/>
    </w:rPr>
  </w:style>
  <w:style w:type="character" w:customStyle="1" w:styleId="219">
    <w:name w:val="尾注文本 字符"/>
    <w:link w:val="18"/>
    <w:qFormat/>
    <w:uiPriority w:val="99"/>
    <w:rPr>
      <w:sz w:val="20"/>
    </w:rPr>
  </w:style>
  <w:style w:type="paragraph" w:customStyle="1" w:styleId="220">
    <w:name w:val="TOC 标题1"/>
    <w:unhideWhenUsed/>
    <w:qFormat/>
    <w:uiPriority w:val="39"/>
    <w:rPr>
      <w:rFonts w:hint="default" w:ascii="Times New Roman" w:hAnsi="Times New Roman" w:eastAsia="宋体" w:cs="Times New Roman"/>
    </w:rPr>
  </w:style>
  <w:style w:type="paragraph" w:customStyle="1" w:styleId="221">
    <w:name w:val="Default"/>
    <w:basedOn w:val="1"/>
    <w:semiHidden/>
    <w:qFormat/>
    <w:uiPriority w:val="0"/>
    <w:pPr>
      <w:jc w:val="left"/>
    </w:pPr>
    <w:rPr>
      <w:rFonts w:ascii="宋体" w:hAnsi="Calibri" w:cs="宋体"/>
      <w:color w:val="000000"/>
      <w:sz w:val="24"/>
    </w:rPr>
  </w:style>
  <w:style w:type="character" w:customStyle="1" w:styleId="222">
    <w:name w:val="页眉 字符"/>
    <w:basedOn w:val="33"/>
    <w:link w:val="20"/>
    <w:qFormat/>
    <w:uiPriority w:val="0"/>
    <w:rPr>
      <w:rFonts w:asciiTheme="minorHAnsi" w:hAnsiTheme="minorHAnsi" w:eastAsiaTheme="minorEastAsia" w:cstheme="minorBidi"/>
      <w:sz w:val="18"/>
      <w:szCs w:val="18"/>
    </w:rPr>
  </w:style>
  <w:style w:type="character" w:customStyle="1" w:styleId="223">
    <w:name w:val="页脚 字符"/>
    <w:basedOn w:val="33"/>
    <w:link w:val="19"/>
    <w:qFormat/>
    <w:uiPriority w:val="0"/>
    <w:rPr>
      <w:rFonts w:asciiTheme="minorHAnsi" w:hAnsiTheme="minorHAnsi" w:eastAsiaTheme="minorEastAsia" w:cstheme="minorBidi"/>
      <w:sz w:val="18"/>
      <w:szCs w:val="18"/>
    </w:rPr>
  </w:style>
  <w:style w:type="paragraph" w:customStyle="1" w:styleId="224">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25">
    <w:name w:val="正文首行缩进 21"/>
    <w:basedOn w:val="226"/>
    <w:qFormat/>
    <w:uiPriority w:val="0"/>
    <w:pPr>
      <w:ind w:firstLine="420"/>
    </w:pPr>
  </w:style>
  <w:style w:type="paragraph" w:customStyle="1" w:styleId="226">
    <w:name w:val="正文文本缩进1"/>
    <w:basedOn w:val="1"/>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50</Pages>
  <Words>20930</Words>
  <Characters>22642</Characters>
  <TotalTime>42</TotalTime>
  <ScaleCrop>false</ScaleCrop>
  <LinksUpToDate>false</LinksUpToDate>
  <CharactersWithSpaces>23033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GQ</cp:lastModifiedBy>
  <dcterms:modified xsi:type="dcterms:W3CDTF">2026-10-23T09:11:04Z</dcterms:modified>
  <cp:revision>284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7989E845DC914108B69831B4F6FAFFB2_13</vt:lpwstr>
  </property>
  <property fmtid="{D5CDD505-2E9C-101B-9397-08002B2CF9AE}" pid="4" name="KSOTemplateDocerSaveRecord">
    <vt:lpwstr>eyJoZGlkIjoiMjU0NzQ2YzAyN2QxOWYzODJjODhlMjEyZWM0NTBmZWIiLCJ1c2VySWQiOiIyNTg2MjM1MDcifQ==</vt:lpwstr>
  </property>
</Properties>
</file>