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color w:val="auto"/>
          <w:sz w:val="72"/>
          <w:szCs w:val="20"/>
          <w:highlight w:val="none"/>
          <w:shd w:val="clear" w:color="auto" w:fill="ffffff"/>
        </w:rPr>
      </w:pPr>
      <w:r>
        <w:rPr>
          <w:rFonts w:ascii="宋体" w:hAnsi="宋体" w:eastAsia="宋体" w:cs="宋体"/>
          <w:b/>
          <w:color w:val="auto"/>
          <w:sz w:val="72"/>
          <w:szCs w:val="20"/>
          <w:highlight w:val="none"/>
          <w:shd w:val="clear" w:color="auto" w:fill="ffffff"/>
        </w:rPr>
      </w:r>
      <w:r/>
    </w:p>
    <w:p>
      <w:pPr>
        <w:jc w:val="center"/>
        <w:spacing w:line="360" w:lineRule="auto"/>
        <w:rPr>
          <w:rFonts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苏州市政府采购</w:t>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jc w:val="center"/>
        <w:spacing w:line="360" w:lineRule="auto"/>
        <w:rPr>
          <w:rFonts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招 标 文 件</w:t>
      </w:r>
      <w:r/>
    </w:p>
    <w:p>
      <w:pPr>
        <w:jc w:val="center"/>
        <w:spacing w:line="360" w:lineRule="auto"/>
        <w:rPr>
          <w:rFonts w:ascii="宋体" w:hAnsi="宋体" w:eastAsia="宋体" w:cs="宋体"/>
          <w:color w:val="auto"/>
          <w:sz w:val="26"/>
          <w:szCs w:val="26"/>
          <w:highlight w:val="none"/>
          <w:shd w:val="clear" w:color="auto" w:fill="ffffff"/>
        </w:rPr>
      </w:pPr>
      <w:r>
        <w:rPr>
          <w:rFonts w:ascii="宋体" w:hAnsi="宋体" w:eastAsia="宋体" w:cs="宋体"/>
          <w:color w:val="auto"/>
          <w:sz w:val="26"/>
          <w:szCs w:val="26"/>
          <w:highlight w:val="none"/>
          <w:shd w:val="clear" w:color="auto" w:fill="ffffff"/>
        </w:rPr>
        <w:t xml:space="preserve"> </w:t>
      </w:r>
      <w:r/>
    </w:p>
    <w:p>
      <w:pPr>
        <w:pStyle w:val="929"/>
        <w:ind w:firstLine="0"/>
        <w:jc w:val="center"/>
        <w:spacing w:line="360" w:lineRule="auto"/>
        <w:rPr>
          <w:rFonts w:ascii="宋体" w:hAnsi="宋体" w:cs="宋体"/>
          <w:color w:val="auto"/>
          <w:highlight w:val="none"/>
        </w:rPr>
      </w:pPr>
      <w:r>
        <w:rPr>
          <w:rFonts w:ascii="宋体" w:hAnsi="宋体" w:cs="宋体"/>
          <w:color w:val="auto"/>
          <w:highlight w:val="none"/>
        </w:rPr>
      </w:r>
      <w:r/>
    </w:p>
    <w:p>
      <w:pPr>
        <w:ind w:firstLine="2249"/>
        <w:spacing w:line="360" w:lineRule="auto"/>
        <w:rPr>
          <w:rFonts w:hint="eastAsia" w:ascii="宋体" w:hAnsi="宋体" w:eastAsia="宋体" w:cs="宋体"/>
          <w:b/>
          <w:bCs/>
          <w:color w:val="auto"/>
          <w:sz w:val="32"/>
          <w:szCs w:val="20"/>
          <w:highlight w:val="none"/>
          <w:shd w:val="clear" w:color="auto" w:fill="ffffff"/>
          <w:lang w:eastAsia="zh-CN"/>
        </w:rPr>
      </w:pPr>
      <w:r>
        <w:rPr>
          <w:rFonts w:hint="eastAsia" w:ascii="宋体" w:hAnsi="宋体" w:eastAsia="宋体" w:cs="宋体"/>
          <w:b/>
          <w:bCs/>
          <w:color w:val="auto"/>
          <w:sz w:val="32"/>
          <w:szCs w:val="20"/>
          <w:highlight w:val="none"/>
          <w:shd w:val="clear" w:color="auto" w:fill="ffffff"/>
        </w:rPr>
        <w:t xml:space="preserve">采购编号：</w:t>
      </w:r>
      <w:r>
        <w:rPr>
          <w:rFonts w:hint="eastAsia" w:ascii="宋体" w:hAnsi="宋体" w:eastAsia="宋体" w:cs="宋体"/>
          <w:b/>
          <w:bCs/>
          <w:color w:val="auto"/>
          <w:sz w:val="32"/>
          <w:szCs w:val="20"/>
          <w:highlight w:val="none"/>
          <w:shd w:val="clear" w:color="auto" w:fill="ffffff"/>
          <w:lang w:eastAsia="zh-CN"/>
        </w:rPr>
        <w:t xml:space="preserve">JSZC-320500-SZCH-G2026-0053</w:t>
      </w:r>
      <w:r/>
    </w:p>
    <w:p>
      <w:pPr>
        <w:ind w:firstLine="2249"/>
        <w:spacing w:line="360" w:lineRule="auto"/>
        <w:tabs>
          <w:tab w:val="left" w:pos="8820" w:leader="none"/>
        </w:tabs>
        <w:rPr>
          <w:rFonts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 购 人：苏州大学</w:t>
      </w:r>
      <w:r/>
    </w:p>
    <w:p>
      <w:pPr>
        <w:ind w:firstLine="2249"/>
        <w:spacing w:line="360" w:lineRule="auto"/>
        <w:rPr>
          <w:rFonts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采购内容：手动膜片钳</w:t>
      </w:r>
      <w:r/>
    </w:p>
    <w:p>
      <w:pPr>
        <w:ind w:firstLine="2249"/>
        <w:spacing w:line="360" w:lineRule="auto"/>
        <w:rPr>
          <w:rFonts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采购类别：货物类</w:t>
      </w:r>
      <w:r/>
    </w:p>
    <w:p>
      <w:pPr>
        <w:pStyle w:val="764"/>
        <w:ind w:left="0" w:firstLine="0"/>
        <w:jc w:val="center"/>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26"/>
          <w:szCs w:val="26"/>
          <w:highlight w:val="none"/>
          <w:shd w:val="clear" w:color="auto" w:fill="ffffff"/>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64"/>
        <w:ind w:left="0" w:firstLine="0"/>
        <w:jc w:val="center"/>
        <w:rPr>
          <w:rFonts w:ascii="宋体" w:hAnsi="宋体" w:eastAsia="宋体" w:cs="宋体"/>
          <w:color w:val="auto"/>
          <w:highlight w:val="none"/>
        </w:rPr>
      </w:pPr>
      <w:r>
        <w:rPr>
          <w:rFonts w:ascii="宋体" w:hAnsi="宋体" w:eastAsia="宋体" w:cs="宋体"/>
          <w:color w:val="auto"/>
          <w:highlight w:val="none"/>
        </w:rPr>
      </w:r>
      <w:r/>
    </w:p>
    <w:p>
      <w:pPr>
        <w:pStyle w:val="764"/>
        <w:ind w:left="0" w:firstLine="0"/>
        <w:jc w:val="center"/>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26"/>
          <w:szCs w:val="26"/>
          <w:highlight w:val="none"/>
          <w:shd w:val="clear" w:color="auto" w:fill="ffffff"/>
        </w:rPr>
      </w:pPr>
      <w:r>
        <w:rPr>
          <w:rFonts w:hint="eastAsia" w:ascii="宋体" w:hAnsi="宋体" w:eastAsia="宋体" w:cs="宋体"/>
          <w:b/>
          <w:color w:val="auto"/>
          <w:sz w:val="32"/>
          <w:highlight w:val="none"/>
        </w:rPr>
        <w:t xml:space="preserve">苏州诚和招投标咨询有限公司</w:t>
      </w:r>
      <w:r/>
    </w:p>
    <w:p>
      <w:pPr>
        <w:jc w:val="center"/>
        <w:spacing w:line="360" w:lineRule="auto"/>
        <w:rPr>
          <w:rFonts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t xml:space="preserve">二○二六年十月</w:t>
      </w:r>
      <w:r/>
    </w:p>
    <w:p>
      <w:pPr>
        <w:jc w:val="center"/>
        <w:spacing w:line="360" w:lineRule="auto"/>
        <w:rPr>
          <w:rFonts w:ascii="宋体" w:hAnsi="宋体" w:eastAsia="宋体" w:cs="宋体"/>
          <w:b/>
          <w:color w:val="auto"/>
          <w:sz w:val="32"/>
          <w:szCs w:val="32"/>
          <w:highlight w:val="none"/>
          <w:shd w:val="clear" w:color="auto" w:fill="ffffff"/>
        </w:rPr>
      </w:pPr>
      <w:r>
        <w:rPr>
          <w:rFonts w:ascii="宋体" w:hAnsi="宋体" w:eastAsia="宋体" w:cs="宋体"/>
          <w:b/>
          <w:color w:val="auto"/>
          <w:sz w:val="32"/>
          <w:szCs w:val="32"/>
          <w:highlight w:val="none"/>
          <w:shd w:val="clear" w:color="auto" w:fill="ffffff"/>
        </w:rPr>
      </w:r>
      <w:r/>
    </w:p>
    <w:p>
      <w:pPr>
        <w:jc w:val="center"/>
        <w:spacing w:line="360" w:lineRule="auto"/>
        <w:rPr>
          <w:rFonts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br w:type="page" w:clear="all"/>
      </w:r>
      <w:r>
        <w:rPr>
          <w:rFonts w:hint="eastAsia" w:ascii="宋体" w:hAnsi="宋体" w:eastAsia="宋体" w:cs="宋体"/>
          <w:b/>
          <w:color w:val="auto"/>
          <w:sz w:val="32"/>
          <w:szCs w:val="32"/>
          <w:highlight w:val="none"/>
          <w:shd w:val="clear" w:color="auto" w:fill="ffffff"/>
        </w:rPr>
        <w:t xml:space="preserve">前附表</w:t>
      </w:r>
      <w:r/>
    </w:p>
    <w:tbl>
      <w:tblPr>
        <w:tblStyle w:val="722"/>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序号</w:t>
            </w:r>
            <w:r/>
          </w:p>
        </w:tc>
        <w:tc>
          <w:tcPr>
            <w:tcW w:w="9144" w:type="dxa"/>
            <w:vAlign w:val="center"/>
            <w:textDirection w:val="lrTb"/>
            <w:noWrap w:val="false"/>
          </w:tcPr>
          <w:p>
            <w:pPr>
              <w:jc w:val="cente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9144"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采购内容：手动膜片钳</w:t>
            </w:r>
            <w:r/>
          </w:p>
        </w:tc>
      </w:tr>
      <w:tr>
        <w:trPr>
          <w:jc w:val="center"/>
          <w:trHeight w:val="373"/>
        </w:trPr>
        <w:tc>
          <w:tcPr>
            <w:tcW w:w="664"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9144"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投标有效期：自投标截止日起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tcW w:w="9144"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投标保证金：</w:t>
            </w:r>
            <w:r/>
          </w:p>
          <w:p>
            <w:pPr>
              <w:rPr>
                <w:rFonts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color w:val="auto"/>
                <w:sz w:val="24"/>
                <w:szCs w:val="24"/>
                <w:highlight w:val="none"/>
                <w:shd w:val="clear" w:color="auto" w:fill="ffffff"/>
              </w:rPr>
              <w:t xml:space="preserve">不需提交，招标文件中有关投标保证金的规定均不适用。</w:t>
            </w:r>
            <w:r/>
          </w:p>
          <w:p>
            <w:pPr>
              <w:pStyle w:val="732"/>
              <w:ind w:left="0"/>
              <w:spacing w:line="240" w:lineRule="auto"/>
              <w:rPr>
                <w:rFonts w:ascii="宋体" w:hAnsi="宋体" w:eastAsia="宋体" w:cs="宋体"/>
                <w:color w:val="auto"/>
                <w:szCs w:val="24"/>
                <w:highlight w:val="none"/>
              </w:rPr>
            </w:pPr>
            <w:r>
              <w:rPr>
                <w:rFonts w:ascii="Wingdings" w:hAnsi="Wingdings" w:eastAsia="Wingdings" w:cs="Wingdings"/>
                <w:bCs/>
                <w:color w:val="auto"/>
                <w:szCs w:val="24"/>
                <w:highlight w:val="none"/>
              </w:rPr>
              <w:t xml:space="preserve"></w:t>
            </w:r>
            <w:r>
              <w:rPr>
                <w:rFonts w:hint="eastAsia" w:ascii="宋体" w:hAnsi="宋体" w:eastAsia="宋体" w:cs="宋体"/>
                <w:color w:val="auto"/>
                <w:szCs w:val="24"/>
                <w:highlight w:val="none"/>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tcW w:w="9144"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投标文件：</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tcW w:w="9144"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开标信息</w:t>
            </w:r>
            <w:r/>
          </w:p>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投标截止时间：</w:t>
            </w:r>
            <w:bookmarkStart w:id="81" w:name="_GoBack"/>
            <w:r/>
            <w:bookmarkEnd w:id="81"/>
            <w:r>
              <w:rPr>
                <w:rFonts w:hint="eastAsia" w:ascii="宋体" w:hAnsi="宋体" w:eastAsia="宋体" w:cs="宋体"/>
                <w:color w:val="auto"/>
                <w:sz w:val="24"/>
                <w:szCs w:val="24"/>
                <w:highlight w:val="none"/>
                <w:shd w:val="clear" w:color="auto" w:fill="ffffff"/>
                <w:lang w:eastAsia="zh-CN"/>
              </w:rPr>
              <w:t xml:space="preserve">2026年11月10日</w:t>
            </w:r>
            <w:r>
              <w:rPr>
                <w:rFonts w:hint="eastAsia" w:ascii="宋体" w:hAnsi="宋体" w:eastAsia="宋体" w:cs="宋体"/>
                <w:color w:val="auto"/>
                <w:sz w:val="24"/>
                <w:szCs w:val="24"/>
                <w:highlight w:val="none"/>
                <w:shd w:val="clear" w:color="auto" w:fill="ffffff"/>
              </w:rPr>
              <w:t xml:space="preserve">13点30分（北京时间）</w:t>
            </w:r>
            <w:r/>
          </w:p>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开标时间：</w:t>
            </w:r>
            <w:r>
              <w:rPr>
                <w:rFonts w:hint="eastAsia" w:ascii="宋体" w:hAnsi="宋体" w:eastAsia="宋体" w:cs="宋体"/>
                <w:color w:val="auto"/>
                <w:sz w:val="24"/>
                <w:szCs w:val="24"/>
                <w:highlight w:val="none"/>
                <w:shd w:val="clear" w:color="auto" w:fill="ffffff"/>
                <w:lang w:eastAsia="zh-CN"/>
              </w:rPr>
              <w:t xml:space="preserve">2026年11月10日</w:t>
            </w:r>
            <w:r>
              <w:rPr>
                <w:rFonts w:hint="eastAsia" w:ascii="宋体" w:hAnsi="宋体" w:eastAsia="宋体" w:cs="宋体"/>
                <w:color w:val="auto"/>
                <w:sz w:val="24"/>
                <w:szCs w:val="24"/>
                <w:highlight w:val="none"/>
                <w:shd w:val="clear" w:color="auto" w:fill="ffffff"/>
              </w:rPr>
              <w:t xml:space="preserve">13点30分（北京时间）</w:t>
            </w:r>
            <w:r/>
          </w:p>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开标地点：“苏采云”系统（网址：http://jszfcg.jsczt.cn/）</w:t>
            </w:r>
            <w:r/>
          </w:p>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履约保证金：</w:t>
            </w:r>
            <w:r/>
          </w:p>
          <w:p>
            <w:pPr>
              <w:jc w:val="left"/>
              <w:rPr>
                <w:rFonts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color w:val="auto"/>
                <w:sz w:val="24"/>
                <w:szCs w:val="24"/>
                <w:highlight w:val="none"/>
                <w:shd w:val="clear" w:color="auto" w:fill="ffffff"/>
              </w:rPr>
              <w:t xml:space="preserve">不需提交，招标文件中有关履约保证金的规定均不适用。</w:t>
            </w:r>
            <w:r/>
          </w:p>
          <w:p>
            <w:pPr>
              <w:ind w:right="-159"/>
              <w:jc w:val="left"/>
              <w:widowControl/>
              <w:rPr>
                <w:rFonts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þ</w:t>
            </w:r>
            <w:r>
              <w:rPr>
                <w:rFonts w:hint="eastAsia" w:ascii="宋体" w:hAnsi="宋体" w:eastAsia="宋体" w:cs="宋体"/>
                <w:color w:val="auto"/>
                <w:sz w:val="24"/>
                <w:szCs w:val="24"/>
                <w:highlight w:val="none"/>
                <w:shd w:val="clear" w:color="auto" w:fill="ffffff"/>
              </w:rPr>
              <w:t xml:space="preserve">需提交，中标合同金额的10%。</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144"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代理服务费:</w:t>
            </w:r>
            <w:r/>
          </w:p>
          <w:p>
            <w:pPr>
              <w:rPr>
                <w:rFonts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color w:val="auto"/>
                <w:sz w:val="24"/>
                <w:szCs w:val="24"/>
                <w:highlight w:val="none"/>
              </w:rPr>
              <w:t xml:space="preserve">由采购人承担并直接支付</w:t>
            </w:r>
            <w:r>
              <w:rPr>
                <w:rFonts w:hint="eastAsia" w:ascii="宋体" w:hAnsi="宋体" w:eastAsia="宋体" w:cs="宋体"/>
                <w:color w:val="auto"/>
                <w:sz w:val="24"/>
                <w:szCs w:val="24"/>
                <w:highlight w:val="none"/>
                <w:shd w:val="clear" w:color="auto" w:fill="ffffff"/>
              </w:rPr>
              <w:t xml:space="preserve">，采购文件中有关代理服务费的规定均不适用。</w:t>
            </w:r>
            <w:r/>
          </w:p>
          <w:p>
            <w:pPr>
              <w:ind w:right="18"/>
              <w:jc w:val="left"/>
              <w:tabs>
                <w:tab w:val="left" w:pos="720" w:leader="none"/>
              </w:tabs>
              <w:rPr>
                <w:rFonts w:ascii="宋体" w:hAnsi="宋体" w:eastAsia="宋体" w:cs="宋体"/>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color w:val="auto"/>
                <w:sz w:val="24"/>
                <w:szCs w:val="24"/>
                <w:highlight w:val="none"/>
              </w:rPr>
              <w:t xml:space="preserve">由中标（成交）供应商承担并支付：</w:t>
            </w:r>
            <w:r/>
          </w:p>
          <w:p>
            <w:pPr>
              <w:ind w:right="18"/>
              <w:jc w:val="left"/>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本项目代理服务费：¥</w:t>
            </w: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048</w:t>
            </w:r>
            <w:r>
              <w:rPr>
                <w:rFonts w:hint="eastAsia" w:ascii="宋体" w:hAnsi="宋体" w:eastAsia="宋体" w:cs="宋体"/>
                <w:color w:val="auto"/>
                <w:sz w:val="24"/>
                <w:szCs w:val="24"/>
                <w:highlight w:val="none"/>
              </w:rPr>
              <w:t xml:space="preserve">.00</w:t>
            </w:r>
            <w:r/>
          </w:p>
          <w:p>
            <w:pPr>
              <w:ind w:right="18"/>
              <w:jc w:val="left"/>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付款方式：银行转账、现金解款</w:t>
            </w:r>
            <w:r/>
          </w:p>
          <w:p>
            <w:pPr>
              <w:ind w:right="18"/>
              <w:jc w:val="left"/>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服务费收款账号：8314122601346</w:t>
            </w:r>
            <w:r/>
          </w:p>
          <w:p>
            <w:pPr>
              <w:ind w:right="18"/>
              <w:jc w:val="left"/>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账户名：苏州诚和招投标咨询有限公司</w:t>
            </w:r>
            <w:r/>
          </w:p>
          <w:p>
            <w:pPr>
              <w:ind w:right="18"/>
              <w:jc w:val="left"/>
              <w:tabs>
                <w:tab w:val="left" w:pos="7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w:t>
            </w:r>
            <w:r/>
          </w:p>
        </w:tc>
        <w:tc>
          <w:tcPr>
            <w:tcW w:w="9144"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政府采购监督电话：025-83633058</w:t>
            </w:r>
            <w:r/>
          </w:p>
        </w:tc>
      </w:tr>
    </w:tbl>
    <w:p>
      <w:pPr>
        <w:jc w:val="center"/>
        <w:spacing w:line="360" w:lineRule="auto"/>
        <w:rPr>
          <w:rFonts w:ascii="宋体" w:hAnsi="宋体" w:eastAsia="宋体" w:cs="宋体"/>
          <w:color w:val="auto"/>
          <w:sz w:val="52"/>
          <w:szCs w:val="52"/>
          <w:highlight w:val="none"/>
          <w:shd w:val="clear" w:color="auto" w:fill="ffffff"/>
        </w:rPr>
      </w:pPr>
      <w:r>
        <w:rPr>
          <w:rFonts w:hint="eastAsia" w:ascii="宋体" w:hAnsi="宋体" w:eastAsia="宋体" w:cs="宋体"/>
          <w:color w:val="auto"/>
          <w:sz w:val="52"/>
          <w:szCs w:val="52"/>
          <w:highlight w:val="none"/>
          <w:shd w:val="clear" w:color="auto" w:fill="ffffff"/>
        </w:rPr>
        <w:br w:type="page" w:clear="all"/>
      </w:r>
      <w:r/>
    </w:p>
    <w:p>
      <w:pPr>
        <w:jc w:val="center"/>
        <w:spacing w:line="360" w:lineRule="auto"/>
        <w:rPr>
          <w:rFonts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t xml:space="preserve">总目录</w:t>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b/>
          <w:bCs/>
          <w:color w:val="auto"/>
          <w:sz w:val="24"/>
          <w:szCs w:val="24"/>
          <w:highlight w:val="none"/>
          <w:shd w:val="clear" w:color="auto" w:fill="ffffff"/>
        </w:rPr>
        <w:fldChar w:fldCharType="begin"/>
      </w:r>
      <w:r>
        <w:rPr>
          <w:rFonts w:hint="eastAsia" w:ascii="宋体" w:hAnsi="宋体" w:eastAsia="宋体" w:cs="宋体"/>
          <w:b/>
          <w:bCs/>
          <w:color w:val="auto"/>
          <w:sz w:val="24"/>
          <w:szCs w:val="24"/>
          <w:highlight w:val="none"/>
          <w:shd w:val="clear" w:color="auto" w:fill="ffffff"/>
        </w:rPr>
        <w:instrText xml:space="preserve"> TOC \o "1-1"</w:instrText>
      </w:r>
      <w:r>
        <w:rPr>
          <w:rFonts w:hint="eastAsia" w:ascii="宋体" w:hAnsi="宋体" w:eastAsia="宋体" w:cs="宋体"/>
          <w:b/>
          <w:bCs/>
          <w:color w:val="auto"/>
          <w:sz w:val="24"/>
          <w:szCs w:val="24"/>
          <w:highlight w:val="none"/>
          <w:shd w:val="clear" w:color="auto" w:fill="ffffff"/>
        </w:rPr>
        <w:fldChar w:fldCharType="separate"/>
      </w:r>
      <w:r>
        <w:rPr>
          <w:rFonts w:hint="eastAsia" w:ascii="宋体" w:hAnsi="宋体" w:eastAsia="宋体" w:cs="宋体"/>
          <w:color w:val="auto"/>
          <w:sz w:val="24"/>
          <w:szCs w:val="20"/>
          <w:highlight w:val="none"/>
          <w:shd w:val="clear" w:color="auto" w:fill="ffffff"/>
        </w:rPr>
        <w:t xml:space="preserve">第一章 投标邀请函</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_Toc105940237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第二章 供应商须知</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_Toc105940238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第三章 投标文件格式</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_Toc105940239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24</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第四章 招标书</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_Toc105940240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42</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第五章 合同主要条款</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_Toc105940241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48</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第六章 评分标准</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_Toc105940242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55</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第七章 附件</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_Toc105940243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58</w:t>
      </w:r>
      <w:r>
        <w:rPr>
          <w:rFonts w:hint="eastAsia" w:ascii="宋体" w:hAnsi="宋体" w:eastAsia="宋体" w:cs="宋体"/>
          <w:color w:val="auto"/>
          <w:sz w:val="24"/>
          <w:szCs w:val="20"/>
          <w:highlight w:val="none"/>
        </w:rPr>
        <w:fldChar w:fldCharType="end"/>
      </w:r>
      <w:r/>
    </w:p>
    <w:p>
      <w:pPr>
        <w:spacing w:line="360" w:lineRule="auto"/>
        <w:rPr>
          <w:rFonts w:ascii="宋体" w:hAnsi="宋体" w:eastAsia="宋体" w:cs="宋体"/>
          <w:b/>
          <w:color w:val="auto"/>
          <w:sz w:val="32"/>
          <w:szCs w:val="20"/>
          <w:highlight w:val="none"/>
          <w:shd w:val="clear" w:color="auto" w:fill="ffffff"/>
        </w:rPr>
      </w:pPr>
      <w:r>
        <w:rPr>
          <w:rFonts w:hint="eastAsia" w:ascii="宋体" w:hAnsi="宋体" w:eastAsia="宋体" w:cs="宋体"/>
          <w:bCs/>
          <w:color w:val="auto"/>
          <w:sz w:val="24"/>
          <w:szCs w:val="24"/>
          <w:highlight w:val="none"/>
          <w:shd w:val="clear" w:color="auto" w:fill="ffffff"/>
        </w:rPr>
        <w:fldChar w:fldCharType="end"/>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tabs>
          <w:tab w:val="left" w:pos="6398" w:leader="none"/>
        </w:tabs>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ab/>
      </w:r>
      <w:r/>
    </w:p>
    <w:p>
      <w:pPr>
        <w:spacing w:line="360" w:lineRule="auto"/>
        <w:rPr>
          <w:rFonts w:ascii="宋体" w:hAnsi="宋体" w:eastAsia="宋体" w:cs="宋体"/>
          <w:b/>
          <w:color w:val="auto"/>
          <w:sz w:val="30"/>
          <w:szCs w:val="3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bookmarkStart w:id="0" w:name="_Toc105940237"/>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rPr>
          <w:rFonts w:ascii="宋体" w:hAnsi="宋体" w:eastAsia="宋体" w:cs="宋体"/>
          <w:b/>
          <w:color w:val="auto"/>
          <w:sz w:val="52"/>
          <w:szCs w:val="20"/>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rPr>
          <w:rFonts w:ascii="宋体" w:hAnsi="宋体" w:eastAsia="宋体" w:cs="宋体"/>
          <w:b/>
          <w:color w:val="auto"/>
          <w:sz w:val="52"/>
          <w:szCs w:val="20"/>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rPr>
          <w:rFonts w:ascii="宋体" w:hAnsi="宋体" w:eastAsia="宋体" w:cs="宋体"/>
          <w:b/>
          <w:color w:val="auto"/>
          <w:sz w:val="52"/>
          <w:szCs w:val="20"/>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rPr>
          <w:rFonts w:ascii="宋体" w:hAnsi="宋体" w:eastAsia="宋体" w:cs="宋体"/>
          <w:b/>
          <w:color w:val="auto"/>
          <w:sz w:val="52"/>
          <w:szCs w:val="20"/>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t xml:space="preserve">第一章 投标邀请函</w:t>
      </w:r>
      <w:bookmarkEnd w:id="0"/>
      <w:r/>
      <w:r/>
    </w:p>
    <w:p>
      <w:pPr>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tbl>
      <w:tblPr>
        <w:tblStyle w:val="722"/>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项目概况：</w:t>
            </w:r>
            <w:r/>
          </w:p>
          <w:p>
            <w:pPr>
              <w:ind w:firstLine="480"/>
              <w:spacing w:line="360" w:lineRule="auto"/>
              <w:rPr>
                <w:rFonts w:ascii="宋体" w:hAnsi="宋体" w:eastAsia="宋体" w:cs="宋体"/>
                <w:color w:val="auto"/>
                <w:szCs w:val="21"/>
                <w:highlight w:val="none"/>
              </w:rPr>
            </w:pPr>
            <w:r>
              <w:rPr>
                <w:rFonts w:hint="eastAsia" w:ascii="宋体" w:hAnsi="宋体" w:eastAsia="宋体" w:cs="宋体"/>
                <w:color w:val="auto"/>
                <w:sz w:val="24"/>
                <w:highlight w:val="none"/>
              </w:rPr>
              <w:t xml:space="preserve">手动膜片钳</w:t>
            </w:r>
            <w:r>
              <w:rPr>
                <w:rFonts w:hint="eastAsia" w:ascii="宋体" w:hAnsi="宋体" w:eastAsia="宋体" w:cs="宋体"/>
                <w:color w:val="auto"/>
                <w:sz w:val="24"/>
                <w:highlight w:val="none"/>
                <w:lang w:eastAsia="zh-CN"/>
              </w:rPr>
              <w:t xml:space="preserve">JSZC-320500-SZCH-G2026-0053</w:t>
            </w:r>
            <w:r>
              <w:rPr>
                <w:rFonts w:hint="eastAsia" w:ascii="宋体" w:hAnsi="宋体" w:eastAsia="宋体" w:cs="宋体"/>
                <w:color w:val="auto"/>
                <w:sz w:val="24"/>
                <w:highlight w:val="none"/>
              </w:rPr>
              <w:t xml:space="preserve">的潜在投标人应在江苏省政府采购一体化平台“苏采云”系统自行免费下载招标（采购）文件，并于</w:t>
            </w:r>
            <w:r>
              <w:rPr>
                <w:rFonts w:hint="eastAsia" w:ascii="宋体" w:hAnsi="宋体" w:eastAsia="宋体" w:cs="宋体"/>
                <w:color w:val="auto"/>
                <w:sz w:val="24"/>
                <w:highlight w:val="none"/>
                <w:lang w:eastAsia="zh-CN"/>
              </w:rPr>
              <w:t xml:space="preserve">2026年11月10日</w:t>
            </w:r>
            <w:r>
              <w:rPr>
                <w:rFonts w:hint="eastAsia" w:ascii="宋体" w:hAnsi="宋体" w:eastAsia="宋体" w:cs="宋体"/>
                <w:color w:val="auto"/>
                <w:sz w:val="24"/>
                <w:highlight w:val="none"/>
              </w:rPr>
              <w:t xml:space="preserve">13点30分（北京时间）前递交投标文件。</w:t>
            </w:r>
            <w:r/>
          </w:p>
        </w:tc>
      </w:tr>
    </w:tbl>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JSZC-320500-SZCH-G2026-0053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项目名称：手动膜片钳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spacing w:line="360" w:lineRule="auto"/>
        <w:rPr>
          <w:rFonts w:ascii="宋体" w:hAnsi="宋体" w:eastAsia="宋体" w:cs="宋体"/>
          <w:color w:val="auto"/>
          <w:sz w:val="24"/>
          <w:szCs w:val="24"/>
          <w:highlight w:val="none"/>
        </w:rPr>
      </w:pPr>
      <w:r/>
      <w:bookmarkStart w:id="1" w:name="_Hlk193370935"/>
      <w:r>
        <w:rPr>
          <w:rFonts w:hint="eastAsia" w:ascii="宋体" w:hAnsi="宋体" w:eastAsia="宋体" w:cs="宋体"/>
          <w:color w:val="auto"/>
          <w:sz w:val="24"/>
          <w:szCs w:val="24"/>
          <w:highlight w:val="none"/>
        </w:rPr>
        <w:t xml:space="preserve">预算金额：</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人民币（大写）：壹佰陆拾万元整</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人民币（小写）：¥1,600,000.00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bookmarkEnd w:id="1"/>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人民币（大写）：壹佰陆拾万元整</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人民币（小写）：¥1,600,000.00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采购需求：手动膜片钳1套。本项目不接受进口产品投标。具体采购需求详见招标文件。</w:t>
      </w:r>
      <w:r/>
    </w:p>
    <w:p>
      <w:pPr>
        <w:ind w:firstLine="480"/>
        <w:spacing w:line="360" w:lineRule="auto"/>
        <w:tabs>
          <w:tab w:val="left" w:pos="903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合同履行期限：中标供应商应当在合同签订后</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个月内将货物运送至采购人指定实验室（采购方另行约定的时间除外，但最迟不得晚于2027年3月31日）。</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本项目（是/否）接受联合体：否。</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pStyle w:val="725"/>
        <w:ind w:firstLine="480"/>
        <w:spacing w:line="360" w:lineRule="auto"/>
        <w:rPr>
          <w:rFonts w:ascii="宋体" w:hAnsi="宋体" w:eastAsia="宋体" w:cs="宋体"/>
          <w:color w:val="auto"/>
          <w:szCs w:val="24"/>
          <w:highlight w:val="none"/>
        </w:rPr>
      </w:pPr>
      <w:r/>
      <w:bookmarkStart w:id="2" w:name="_Hlk193371023"/>
      <w:r>
        <w:rPr>
          <w:rFonts w:hint="eastAsia" w:ascii="宋体" w:hAnsi="宋体" w:eastAsia="宋体" w:cs="宋体"/>
          <w:color w:val="auto"/>
          <w:szCs w:val="24"/>
          <w:highlight w:val="none"/>
        </w:rPr>
        <w:t xml:space="preserve">1.具有独立承担民事责任的能力；</w:t>
      </w:r>
      <w:r/>
    </w:p>
    <w:p>
      <w:pPr>
        <w:pStyle w:val="725"/>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2.具有良好的商业信誉和健全的财务会计制度；</w:t>
      </w:r>
      <w:r/>
    </w:p>
    <w:p>
      <w:pPr>
        <w:pStyle w:val="725"/>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3.具有履行合同所必需的设备和专业技术能力；</w:t>
      </w:r>
      <w:r/>
    </w:p>
    <w:p>
      <w:pPr>
        <w:pStyle w:val="725"/>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4.有依法缴纳税收和社会保障资金的良好记录；</w:t>
      </w:r>
      <w:r/>
    </w:p>
    <w:p>
      <w:pPr>
        <w:pStyle w:val="725"/>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5.参加政府采购活动前三年内，在经营活动中没有重大违法记录；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2"/>
      <w:r/>
      <w:r/>
    </w:p>
    <w:p>
      <w:pPr>
        <w:pStyle w:val="760"/>
        <w:ind w:firstLine="480"/>
        <w:spacing w:before="0" w:beforeAutospacing="0" w:after="0" w:afterAutospacing="0" w:line="360" w:lineRule="auto"/>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（二）落实政府采购政策需满足的资格要求：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未被“信用中国”网站（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）列入失信被执行人、重大税收违法案件当事人名单、政府采购严重失信行为记录名单。</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bookmarkStart w:id="3" w:name="_Hlk97035982"/>
      <w:r>
        <w:rPr>
          <w:rFonts w:hint="eastAsia" w:ascii="宋体" w:hAnsi="宋体" w:eastAsia="宋体" w:cs="宋体"/>
          <w:color w:val="auto"/>
          <w:sz w:val="24"/>
          <w:szCs w:val="24"/>
          <w:highlight w:val="none"/>
        </w:rPr>
        <w:t xml:space="preserve">1、时间：自招标公告发布之日起</w:t>
      </w:r>
      <w:r>
        <w:rPr>
          <w:rFonts w:hint="eastAsia" w:ascii="宋体" w:hAnsi="宋体" w:eastAsia="宋体" w:cs="宋体"/>
          <w:color w:val="auto"/>
          <w:sz w:val="24"/>
          <w:szCs w:val="24"/>
          <w:highlight w:val="none"/>
          <w:shd w:val="clear" w:color="auto" w:fill="ffffff"/>
        </w:rPr>
        <w:t xml:space="preserve">5个工作日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shd w:val="clear" w:color="auto" w:fill="ffffff"/>
        </w:rPr>
        <w:t xml:space="preserve">地点：江苏省政府采购一体化平台“苏采云”系统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4" w:name="_Hlk193371285"/>
      <w:r>
        <w:rPr>
          <w:rFonts w:hint="eastAsia" w:ascii="宋体" w:hAnsi="宋体" w:eastAsia="宋体" w:cs="宋体"/>
          <w:color w:val="auto"/>
          <w:sz w:val="24"/>
          <w:szCs w:val="24"/>
          <w:highlight w:val="none"/>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w:t>
      </w:r>
      <w:bookmarkEnd w:id="3"/>
      <w:r/>
      <w:r/>
    </w:p>
    <w:p>
      <w:pPr>
        <w:ind w:firstLine="48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2026年11月10日</w:t>
      </w:r>
      <w:r>
        <w:rPr>
          <w:rFonts w:hint="eastAsia" w:ascii="宋体" w:hAnsi="宋体" w:eastAsia="宋体" w:cs="宋体"/>
          <w:color w:val="auto"/>
          <w:sz w:val="24"/>
          <w:szCs w:val="24"/>
          <w:highlight w:val="none"/>
        </w:rPr>
        <w:t xml:space="preserve">13点30分（北京时间）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769"/>
          <w:rFonts w:hint="eastAsia" w:ascii="宋体" w:hAnsi="宋体" w:eastAsia="宋体" w:cs="宋体"/>
          <w:color w:val="auto"/>
          <w:sz w:val="24"/>
          <w:szCs w:val="24"/>
          <w:highlight w:val="none"/>
        </w:rPr>
        <w:t xml:space="preserve">http://jszfcg.jsczt.cn/）</w:t>
      </w:r>
      <w:r>
        <w:rPr>
          <w:rStyle w:val="769"/>
          <w:rFonts w:ascii="宋体" w:hAnsi="宋体" w:eastAsia="宋体" w:cs="宋体"/>
          <w:color w:val="auto"/>
          <w:sz w:val="24"/>
          <w:szCs w:val="24"/>
          <w:highlight w:val="none"/>
        </w:rPr>
        <w:fldChar w:fldCharType="end"/>
      </w:r>
      <w:r/>
    </w:p>
    <w:p>
      <w:pPr>
        <w:ind w:firstLine="482"/>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五、公告期限：自本公告发布之日起5个工作日。</w:t>
      </w:r>
      <w:r/>
    </w:p>
    <w:p>
      <w:pPr>
        <w:ind w:firstLine="48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color w:val="auto"/>
          <w:sz w:val="24"/>
          <w:szCs w:val="24"/>
          <w:highlight w:val="none"/>
        </w:rPr>
      </w:pPr>
      <w:r/>
      <w:bookmarkStart w:id="5" w:name="_Hlk193371515"/>
      <w:r>
        <w:rPr>
          <w:rFonts w:hint="eastAsia" w:ascii="宋体" w:hAnsi="宋体" w:eastAsia="宋体" w:cs="宋体"/>
          <w:color w:val="auto"/>
          <w:sz w:val="24"/>
          <w:szCs w:val="24"/>
          <w:highlight w:val="none"/>
        </w:rPr>
        <w:t xml:space="preserve">4、CA证书办理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w:t>
      </w:r>
      <w:r>
        <w:rPr>
          <w:rFonts w:hint="eastAsia" w:ascii="宋体" w:hAnsi="宋体" w:eastAsia="宋体" w:cs="宋体"/>
          <w:color w:val="auto"/>
          <w:sz w:val="24"/>
          <w:szCs w:val="24"/>
          <w:highlight w:val="none"/>
          <w:shd w:val="clear" w:color="auto" w:fill="ffffff"/>
          <w:lang w:bidi="ar"/>
        </w:rPr>
        <w:t xml:space="preserve">苏州市高新区邓尉路105号狮山科技馆一楼服务大厅，咨询电话：0512-65737699。</w:t>
      </w:r>
      <w:bookmarkEnd w:id="5"/>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pPr>
      <w:r/>
      <w:bookmarkStart w:id="6" w:name="_Hlk193371550"/>
      <w:r>
        <w:rPr>
          <w:rFonts w:hint="eastAsia" w:ascii="宋体" w:hAnsi="宋体" w:eastAsia="宋体" w:cs="宋体"/>
          <w:color w:val="auto"/>
          <w:sz w:val="24"/>
          <w:szCs w:val="24"/>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7、如不同投标（响应）文件制作机器码一致，则投标（响应）无效。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8、制作电子投标（响应）文件：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color w:val="auto"/>
          <w:sz w:val="24"/>
          <w:szCs w:val="24"/>
          <w:highlight w:val="none"/>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color w:val="auto"/>
          <w:sz w:val="24"/>
          <w:szCs w:val="24"/>
          <w:highlight w:val="none"/>
        </w:rPr>
      </w:pPr>
      <w:r/>
      <w:bookmarkStart w:id="7" w:name="_Hlk193371673"/>
      <w:r>
        <w:rPr>
          <w:rFonts w:hint="eastAsia" w:ascii="宋体" w:hAnsi="宋体" w:eastAsia="宋体" w:cs="宋体"/>
          <w:color w:val="auto"/>
          <w:sz w:val="24"/>
          <w:szCs w:val="24"/>
          <w:highlight w:val="none"/>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电子签章技术咨询服务电话：15380932027、15371015030、13675197356、13675197221</w:t>
      </w:r>
      <w:r/>
    </w:p>
    <w:p>
      <w:pPr>
        <w:ind w:firstLine="480"/>
        <w:jc w:val="left"/>
        <w:spacing w:line="360" w:lineRule="auto"/>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13、本项目支持政府采购合同信用融资。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14、政府采购监督电话：025-83633058。</w:t>
      </w:r>
      <w:r/>
    </w:p>
    <w:p>
      <w:pPr>
        <w:ind w:firstLine="482"/>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单位名称：苏州大学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单位地址：苏州市东环路50号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联系人：秦老师</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w:t>
      </w:r>
      <w:r>
        <w:rPr>
          <w:rFonts w:ascii="宋体" w:hAnsi="宋体" w:eastAsia="宋体" w:cs="宋体"/>
          <w:color w:val="auto"/>
          <w:sz w:val="24"/>
          <w:highlight w:val="none"/>
        </w:rPr>
        <w:t xml:space="preserve">169460</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单位名称：苏州诚和招投标咨询有限公司</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单位地址：苏州市竹辉路477号咨询大厦二楼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联系人：邬汝超、沈川渝、张萱</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联系电话：0512-65161672、0512-65161797</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项目联系人：邬汝超、沈川渝、张萱</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电话：0512-65161672、0512-65161797</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rPr>
          <w:rFonts w:ascii="宋体" w:hAnsi="宋体" w:eastAsia="宋体" w:cs="宋体"/>
          <w:color w:val="auto"/>
          <w:highlight w:val="none"/>
        </w:rPr>
      </w:pPr>
      <w:r>
        <w:rPr>
          <w:rFonts w:ascii="宋体" w:hAnsi="宋体" w:eastAsia="宋体" w:cs="宋体"/>
          <w:color w:val="auto"/>
          <w:highlight w:val="none"/>
        </w:rPr>
      </w:r>
      <w:r/>
    </w:p>
    <w:p>
      <w:pPr>
        <w:pStyle w:val="733"/>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3"/>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3"/>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3"/>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3"/>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3"/>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bookmarkStart w:id="8" w:name="_Toc105940238"/>
      <w:r>
        <w:rPr>
          <w:rFonts w:hint="eastAsia" w:ascii="宋体" w:hAnsi="宋体" w:eastAsia="宋体" w:cs="宋体"/>
          <w:b/>
          <w:color w:val="auto"/>
          <w:sz w:val="52"/>
          <w:szCs w:val="20"/>
          <w:highlight w:val="none"/>
          <w:shd w:val="clear" w:color="auto" w:fill="ffffff"/>
        </w:rPr>
        <w:t xml:space="preserve">第二章供应商须知</w:t>
      </w:r>
      <w:bookmarkEnd w:id="8"/>
      <w:r/>
      <w:r/>
    </w:p>
    <w:p>
      <w:pPr>
        <w:ind w:firstLine="480"/>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A.说明和释义</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1.3本招标文件的解释权属于苏州诚和招投标咨询有限公司。</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2.词语释义</w:t>
      </w:r>
      <w:r/>
    </w:p>
    <w:p>
      <w:pPr>
        <w:ind w:firstLine="480"/>
        <w:spacing w:line="360" w:lineRule="auto"/>
        <w:rPr>
          <w:rFonts w:ascii="宋体" w:hAnsi="宋体" w:eastAsia="宋体" w:cs="宋体"/>
          <w:color w:val="auto"/>
          <w:sz w:val="24"/>
          <w:szCs w:val="24"/>
          <w:highlight w:val="none"/>
          <w:shd w:val="clear" w:color="auto" w:fill="ffffff"/>
        </w:rPr>
      </w:pPr>
      <w:r/>
      <w:bookmarkStart w:id="9" w:name="_Hlk193372031"/>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2.11天：日历天。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bookmarkEnd w:id="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ascii="宋体" w:hAnsi="宋体" w:eastAsia="宋体" w:cs="宋体"/>
          <w:color w:val="auto"/>
          <w:sz w:val="24"/>
          <w:szCs w:val="24"/>
          <w:highlight w:val="none"/>
        </w:rPr>
        <w:t xml:space="preserve">书面形式：指书面文字、合同书、信件和传真等可以有形地表现所载内容的形式。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ascii="宋体" w:hAnsi="宋体" w:eastAsia="宋体" w:cs="宋体"/>
          <w:color w:val="auto"/>
          <w:sz w:val="24"/>
          <w:szCs w:val="24"/>
          <w:highlight w:val="none"/>
        </w:rPr>
        <w:t xml:space="preserve">核心产品：根据本项目技术构成、产品价格比重等合理确定的产品。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s="宋体"/>
          <w:color w:val="auto"/>
          <w:sz w:val="24"/>
          <w:szCs w:val="24"/>
          <w:highlight w:val="none"/>
        </w:rPr>
        <w:t xml:space="preserve">本国产品：符合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rPr>
        <w:t xml:space="preserve">的产品视为本国产品。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ffffff"/>
        </w:rPr>
        <w:t xml:space="preserve">2.22</w:t>
      </w:r>
      <w:r>
        <w:rPr>
          <w:rFonts w:hint="eastAsia" w:ascii="宋体" w:hAnsi="宋体" w:eastAsia="宋体" w:cs="宋体"/>
          <w:color w:val="auto"/>
          <w:sz w:val="24"/>
          <w:highlight w:val="none"/>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B.供应商</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3、申请人的资格要求：</w:t>
      </w:r>
      <w:r/>
    </w:p>
    <w:p>
      <w:pPr>
        <w:ind w:firstLine="480"/>
        <w:spacing w:line="360" w:lineRule="auto"/>
        <w:rPr>
          <w:rFonts w:ascii="宋体" w:hAnsi="宋体" w:eastAsia="宋体" w:cs="宋体"/>
          <w:color w:val="auto"/>
          <w:sz w:val="24"/>
          <w:szCs w:val="24"/>
          <w:highlight w:val="none"/>
          <w:shd w:val="clear" w:color="auto" w:fill="ffffff"/>
        </w:rPr>
      </w:pPr>
      <w:r/>
      <w:bookmarkStart w:id="10" w:name="_Hlk193372108"/>
      <w:r>
        <w:rPr>
          <w:rFonts w:hint="eastAsia" w:ascii="宋体" w:hAnsi="宋体" w:eastAsia="宋体" w:cs="宋体"/>
          <w:color w:val="auto"/>
          <w:sz w:val="24"/>
          <w:szCs w:val="24"/>
          <w:highlight w:val="none"/>
          <w:shd w:val="clear" w:color="auto" w:fill="ffffff"/>
        </w:rPr>
        <w:t xml:space="preserve">详见本项目招标公告中的“申请人的资格要求”。</w:t>
      </w:r>
      <w:bookmarkEnd w:id="10"/>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4.供应商代表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指全权代表供应商参加投标（响应）活动并签署投标（响应）文件的人，如果供应商代表不是法人代表，须持有《法定代表人授权委托书》（</w:t>
      </w:r>
      <w:bookmarkStart w:id="11" w:name="_Hlk193372244"/>
      <w:r>
        <w:rPr>
          <w:rFonts w:hint="eastAsia" w:ascii="宋体" w:hAnsi="宋体" w:eastAsia="宋体" w:cs="宋体"/>
          <w:color w:val="auto"/>
          <w:sz w:val="24"/>
          <w:szCs w:val="24"/>
          <w:highlight w:val="none"/>
          <w:shd w:val="clear" w:color="auto" w:fill="ffffff"/>
        </w:rPr>
        <w:t xml:space="preserve">详见统一格式</w:t>
      </w:r>
      <w:bookmarkEnd w:id="11"/>
      <w:r>
        <w:rPr>
          <w:rFonts w:hint="eastAsia" w:ascii="宋体" w:hAnsi="宋体" w:eastAsia="宋体" w:cs="宋体"/>
          <w:color w:val="auto"/>
          <w:sz w:val="24"/>
          <w:szCs w:val="24"/>
          <w:highlight w:val="none"/>
          <w:shd w:val="clear" w:color="auto" w:fill="ffffff"/>
        </w:rPr>
        <w:t xml:space="preserve">）。</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5.投标费用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color w:val="auto"/>
          <w:sz w:val="24"/>
          <w:szCs w:val="24"/>
          <w:highlight w:val="none"/>
        </w:rPr>
      </w:pPr>
      <w:r/>
      <w:bookmarkStart w:id="12" w:name="_Hlk193372378"/>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color w:val="auto"/>
          <w:sz w:val="24"/>
          <w:szCs w:val="24"/>
          <w:highlight w:val="none"/>
        </w:rPr>
        <w:t xml:space="preserve">联合投标（响应）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color w:val="auto"/>
          <w:sz w:val="24"/>
          <w:szCs w:val="24"/>
          <w:highlight w:val="none"/>
        </w:rPr>
      </w:pPr>
      <w:r/>
      <w:bookmarkStart w:id="13" w:name="_Hlk193372188"/>
      <w:r>
        <w:rPr>
          <w:rFonts w:hint="eastAsia" w:ascii="宋体" w:hAnsi="宋体" w:eastAsia="宋体" w:cs="宋体"/>
          <w:color w:val="auto"/>
          <w:sz w:val="24"/>
          <w:szCs w:val="24"/>
          <w:highlight w:val="none"/>
          <w:shd w:val="clear" w:color="auto" w:fill="ffffff"/>
        </w:rPr>
        <w:t xml:space="preserve">6.2</w:t>
      </w:r>
      <w:r>
        <w:rPr>
          <w:rFonts w:hint="eastAsia" w:ascii="宋体" w:hAnsi="宋体" w:eastAsia="宋体" w:cs="宋体"/>
          <w:color w:val="auto"/>
          <w:sz w:val="24"/>
          <w:szCs w:val="24"/>
          <w:highlight w:val="none"/>
        </w:rPr>
        <w:t xml:space="preserve">联合体除应符合上述</w:t>
      </w: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条要求外，还应遵守以下规定：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2"/>
      <w:r/>
      <w:bookmarkEnd w:id="13"/>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C.招标文件和投标文件的说明</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7.招标文件</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w:t>
      </w:r>
      <w:bookmarkStart w:id="14" w:name="_Hlk193372537"/>
      <w:r>
        <w:rPr>
          <w:rFonts w:hint="eastAsia" w:ascii="宋体" w:hAnsi="宋体" w:eastAsia="宋体" w:cs="宋体"/>
          <w:color w:val="auto"/>
          <w:sz w:val="24"/>
          <w:szCs w:val="24"/>
          <w:highlight w:val="none"/>
        </w:rPr>
        <w:t xml:space="preserve">招标文件由招标文件总目录所列内容组成，</w:t>
      </w:r>
      <w:bookmarkEnd w:id="14"/>
      <w:r>
        <w:rPr>
          <w:rFonts w:hint="eastAsia" w:ascii="宋体" w:hAnsi="宋体" w:eastAsia="宋体" w:cs="宋体"/>
          <w:color w:val="auto"/>
          <w:sz w:val="24"/>
          <w:szCs w:val="24"/>
          <w:highlight w:val="none"/>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color w:val="auto"/>
          <w:sz w:val="24"/>
          <w:szCs w:val="24"/>
          <w:highlight w:val="none"/>
        </w:rPr>
        <w:t xml:space="preserve">该电子投标（响应）文件将被视为未实质性响应。</w:t>
      </w:r>
      <w:bookmarkEnd w:id="15"/>
      <w:r/>
      <w:r/>
    </w:p>
    <w:p>
      <w:pPr>
        <w:ind w:firstLine="480"/>
        <w:jc w:val="left"/>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7.2招标文件及其补充文件</w:t>
      </w:r>
      <w:bookmarkStart w:id="16" w:name="_Hlk193372622"/>
      <w:r>
        <w:rPr>
          <w:rFonts w:hint="eastAsia" w:ascii="宋体" w:hAnsi="宋体" w:eastAsia="宋体" w:cs="宋体"/>
          <w:color w:val="auto"/>
          <w:sz w:val="24"/>
          <w:szCs w:val="24"/>
          <w:highlight w:val="none"/>
        </w:rPr>
        <w:t xml:space="preserve">未按规定的方式获得的</w:t>
      </w:r>
      <w:bookmarkEnd w:id="16"/>
      <w:r>
        <w:rPr>
          <w:rFonts w:hint="eastAsia" w:ascii="宋体" w:hAnsi="宋体" w:eastAsia="宋体" w:cs="宋体"/>
          <w:color w:val="auto"/>
          <w:sz w:val="24"/>
          <w:szCs w:val="24"/>
          <w:highlight w:val="none"/>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bookmarkStart w:id="17" w:name="_Hlk193372773"/>
      <w:r>
        <w:rPr>
          <w:rFonts w:hint="eastAsia" w:ascii="宋体" w:hAnsi="宋体" w:eastAsia="宋体" w:cs="宋体"/>
          <w:b/>
          <w:color w:val="auto"/>
          <w:sz w:val="24"/>
          <w:szCs w:val="24"/>
          <w:highlight w:val="none"/>
          <w:shd w:val="clear" w:color="auto" w:fill="ffffff"/>
        </w:rPr>
        <w:t xml:space="preserve">8.招标文件的询问</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9.现场踏勘</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10.集中现场考察</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①采购人不组织集中现场考察；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②采购人组织集中现场考察，请供应商持在“苏采云”系统中下载本项目采购文件的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11.招标文件的澄清或修改</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7"/>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12.提示与要求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13.投标（响应）文件计量单位和使用文字</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color w:val="auto"/>
          <w:sz w:val="24"/>
          <w:szCs w:val="24"/>
          <w:highlight w:val="none"/>
          <w:shd w:val="clear" w:color="auto" w:fill="ffffff"/>
        </w:rPr>
        <w:t xml:space="preserve">采购人或采购代理机构概不负责。</w:t>
      </w:r>
      <w:bookmarkEnd w:id="18"/>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14.投标（响应）文件的组成</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14.1投标（响应）书：</w:t>
      </w:r>
      <w:r/>
    </w:p>
    <w:p>
      <w:pPr>
        <w:ind w:firstLine="482"/>
        <w:spacing w:line="360" w:lineRule="auto"/>
        <w:rPr>
          <w:rFonts w:ascii="宋体" w:hAnsi="宋体" w:eastAsia="宋体" w:cs="宋体"/>
          <w:color w:val="auto"/>
          <w:highlight w:val="none"/>
        </w:rPr>
      </w:pPr>
      <w:r>
        <w:rPr>
          <w:rFonts w:hint="eastAsia" w:ascii="宋体" w:hAnsi="宋体" w:eastAsia="宋体" w:cs="宋体"/>
          <w:b/>
          <w:color w:val="auto"/>
          <w:sz w:val="24"/>
          <w:highlight w:val="none"/>
        </w:rPr>
        <w:t xml:space="preserve">14.1.1封面；</w:t>
      </w:r>
      <w:r/>
    </w:p>
    <w:p>
      <w:pPr>
        <w:ind w:firstLine="482"/>
        <w:spacing w:line="360" w:lineRule="auto"/>
        <w:tabs>
          <w:tab w:val="left" w:pos="0" w:leader="none"/>
        </w:tabs>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14.1.2开标一览表（格式详见第三章）；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14.1.3投标</w:t>
      </w:r>
      <w:r>
        <w:rPr>
          <w:rFonts w:hint="eastAsia" w:ascii="宋体" w:hAnsi="宋体" w:eastAsia="宋体" w:cs="宋体"/>
          <w:b/>
          <w:color w:val="auto"/>
          <w:sz w:val="24"/>
          <w:szCs w:val="24"/>
          <w:highlight w:val="none"/>
          <w:shd w:val="clear" w:color="auto" w:fill="ffffff"/>
        </w:rPr>
        <w:t xml:space="preserve">（响应）</w:t>
      </w:r>
      <w:r>
        <w:rPr>
          <w:rFonts w:hint="eastAsia" w:ascii="宋体" w:hAnsi="宋体" w:eastAsia="宋体" w:cs="宋体"/>
          <w:b/>
          <w:bCs/>
          <w:color w:val="auto"/>
          <w:sz w:val="24"/>
          <w:szCs w:val="24"/>
          <w:highlight w:val="none"/>
          <w:shd w:val="clear" w:color="auto" w:fill="ffffff"/>
        </w:rPr>
        <w:t xml:space="preserve">报价明细表（格式详见第三章）；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14.1.4资格性审查文件</w:t>
      </w:r>
      <w:r/>
    </w:p>
    <w:tbl>
      <w:tblPr>
        <w:tblStyle w:val="722"/>
        <w:tblW w:w="46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167"/>
        <w:gridCol w:w="4386"/>
      </w:tblGrid>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color w:val="auto"/>
                <w:sz w:val="21"/>
                <w:highlight w:val="none"/>
              </w:rPr>
            </w:pPr>
            <w:r/>
            <w:bookmarkStart w:id="19" w:name="_Hlk193373287"/>
            <w:r>
              <w:rPr>
                <w:rFonts w:hint="eastAsia" w:ascii="宋体" w:hAnsi="宋体" w:eastAsia="宋体" w:cs="宋体"/>
                <w:color w:val="auto"/>
                <w:sz w:val="21"/>
                <w:highlight w:val="none"/>
              </w:rPr>
              <w:t xml:space="preserve">序号</w:t>
            </w:r>
            <w:r/>
          </w:p>
        </w:tc>
        <w:tc>
          <w:tcPr>
            <w:tcW w:w="2324"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评审项</w:t>
            </w:r>
            <w:r/>
          </w:p>
        </w:tc>
        <w:tc>
          <w:tcPr>
            <w:tcW w:w="2443"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评审要求</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2324"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2443"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2324"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2443"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供应商提供最近一期的财务报告，或财政部门认可的政府采购专业担保机构出具的投标担保函；其他组织、自然人及成立未满一年的法人应提供银行出具的资信证明。</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2324"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2443"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2324"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具有依法缴纳税收和社会保障资金的良好记录</w:t>
            </w:r>
            <w:r/>
          </w:p>
        </w:tc>
        <w:tc>
          <w:tcPr>
            <w:tcW w:w="2443" w:type="pct"/>
            <w:vAlign w:val="center"/>
            <w:textDirection w:val="lrTb"/>
            <w:noWrap w:val="false"/>
          </w:tcPr>
          <w:p>
            <w:pPr>
              <w:jc w:val="left"/>
              <w:rPr>
                <w:rFonts w:ascii="宋体" w:hAnsi="宋体" w:eastAsia="宋体" w:cs="宋体"/>
                <w:color w:val="auto"/>
                <w:highlight w:val="none"/>
              </w:rPr>
            </w:pPr>
            <w:r>
              <w:rPr>
                <w:rFonts w:hint="eastAsia" w:ascii="宋体" w:hAnsi="宋体" w:eastAsia="宋体" w:cs="宋体"/>
                <w:color w:val="auto"/>
                <w:szCs w:val="21"/>
                <w:highlight w:val="none"/>
              </w:rPr>
              <w:t xml:space="preserve">供应商提供</w:t>
            </w:r>
            <w:r>
              <w:rPr>
                <w:rFonts w:hint="eastAsia" w:ascii="宋体" w:hAnsi="宋体" w:eastAsia="宋体" w:cs="宋体"/>
                <w:color w:val="auto"/>
                <w:szCs w:val="21"/>
                <w:highlight w:val="none"/>
                <w:shd w:val="clear" w:color="auto" w:fill="ffffff"/>
              </w:rPr>
              <w:t xml:space="preserve">参加本次政府采购活动前一段时间内依法缴纳税收和社会保险的凭据；依法免税或不需要缴纳社会保障资金的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shd w:val="clear" w:color="auto" w:fill="ffffff"/>
              </w:rPr>
              <w:t xml:space="preserve">，应提供相应证明资料证明其依法免税或不需要缴纳社会保障资金。</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2324"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2443"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2324"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2443"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2324"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无</w:t>
            </w:r>
            <w:r/>
          </w:p>
        </w:tc>
        <w:tc>
          <w:tcPr>
            <w:tcW w:w="2443" w:type="pct"/>
            <w:textDirection w:val="lrTb"/>
            <w:noWrap w:val="false"/>
          </w:tcPr>
          <w:p>
            <w:pPr>
              <w:pStyle w:val="731"/>
              <w:jc w:val="left"/>
              <w:spacing w:line="240" w:lineRule="auto"/>
              <w:rPr>
                <w:rFonts w:ascii="宋体" w:hAnsi="宋体" w:eastAsia="宋体" w:cs="宋体"/>
                <w:color w:val="auto"/>
                <w:sz w:val="21"/>
                <w:highlight w:val="none"/>
              </w:rPr>
            </w:pPr>
            <w:r>
              <w:rPr>
                <w:rFonts w:hint="eastAsia" w:ascii="宋体" w:hAnsi="宋体" w:eastAsia="宋体" w:cs="宋体"/>
                <w:color w:val="auto"/>
                <w:sz w:val="21"/>
                <w:szCs w:val="21"/>
                <w:highlight w:val="none"/>
              </w:rPr>
              <w:t xml:space="preserve">无</w:t>
            </w:r>
            <w:r/>
          </w:p>
        </w:tc>
      </w:tr>
      <w:tr>
        <w:trPr>
          <w:jc w:val="center"/>
          <w:trHeight w:val="23"/>
        </w:trPr>
        <w:tc>
          <w:tcPr>
            <w:gridSpan w:val="3"/>
            <w:tcW w:w="5000" w:type="pct"/>
            <w:vAlign w:val="center"/>
            <w:textDirection w:val="lrTb"/>
            <w:noWrap w:val="false"/>
          </w:tcPr>
          <w:p>
            <w:pPr>
              <w:pStyle w:val="731"/>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231" w:type="pct"/>
            <w:vAlign w:val="center"/>
            <w:textDirection w:val="lrTb"/>
            <w:noWrap w:val="false"/>
          </w:tcPr>
          <w:p>
            <w:pPr>
              <w:pStyle w:val="731"/>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2324"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2443"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bookmarkEnd w:id="19"/>
            <w:r/>
            <w:r/>
          </w:p>
        </w:tc>
      </w:tr>
    </w:tbl>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14.1.5符合性审查响应文件</w:t>
      </w:r>
      <w:r/>
    </w:p>
    <w:tbl>
      <w:tblPr>
        <w:tblStyle w:val="722"/>
        <w:tblW w:w="47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7"/>
        <w:gridCol w:w="2608"/>
        <w:gridCol w:w="6146"/>
      </w:tblGrid>
      <w:tr>
        <w:trPr>
          <w:trHeight w:val="23"/>
        </w:trPr>
        <w:tc>
          <w:tcPr>
            <w:tcW w:w="238" w:type="pct"/>
            <w:vAlign w:val="center"/>
            <w:textDirection w:val="lrTb"/>
            <w:noWrap w:val="false"/>
          </w:tcPr>
          <w:p>
            <w:pPr>
              <w:pStyle w:val="731"/>
              <w:jc w:val="center"/>
              <w:spacing w:line="24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419" w:type="pct"/>
            <w:vAlign w:val="center"/>
            <w:textDirection w:val="lrTb"/>
            <w:noWrap w:val="false"/>
          </w:tcPr>
          <w:p>
            <w:pPr>
              <w:pStyle w:val="731"/>
              <w:jc w:val="center"/>
              <w:spacing w:line="240" w:lineRule="auto"/>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3342" w:type="pct"/>
            <w:vAlign w:val="center"/>
            <w:textDirection w:val="lrTb"/>
            <w:noWrap w:val="false"/>
          </w:tcPr>
          <w:p>
            <w:pPr>
              <w:pStyle w:val="731"/>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19"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报价符合性审查</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属于投标</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报价低于采购项目最高限价45%的，即投标</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采购项目最高限价</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45%，供应商可随投标</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文件一</w:t>
            </w:r>
            <w:r>
              <w:rPr>
                <w:rFonts w:hint="eastAsia" w:ascii="宋体" w:hAnsi="宋体" w:eastAsia="宋体" w:cs="宋体"/>
                <w:color w:val="auto"/>
                <w:sz w:val="21"/>
                <w:szCs w:val="21"/>
                <w:highlight w:val="none"/>
              </w:rPr>
              <w:t xml:space="preserve">并</w:t>
            </w:r>
            <w:r>
              <w:rPr>
                <w:rFonts w:ascii="宋体" w:hAnsi="宋体" w:eastAsia="宋体" w:cs="宋体"/>
                <w:color w:val="auto"/>
                <w:sz w:val="21"/>
                <w:szCs w:val="21"/>
                <w:highlight w:val="none"/>
              </w:rPr>
              <w:t xml:space="preserve">提交相关书面说明及必要的证明材料。</w:t>
            </w:r>
            <w:r/>
          </w:p>
        </w:tc>
      </w:tr>
      <w:tr>
        <w:trPr>
          <w:trHeight w:val="23"/>
        </w:trPr>
        <w:tc>
          <w:tcPr>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19"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以投标文件报价为准（供应商无须单独提供资料）</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23"/>
        </w:trPr>
        <w:tc>
          <w:tcPr>
            <w:shd w:val="clear" w:color="auto" w:fill="auto"/>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419" w:type="pct"/>
            <w:vAlign w:val="center"/>
            <w:textDirection w:val="lrTb"/>
            <w:noWrap w:val="false"/>
          </w:tcPr>
          <w:p>
            <w:pPr>
              <w:pStyle w:val="731"/>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1419" w:type="pct"/>
            <w:vAlign w:val="center"/>
            <w:textDirection w:val="lrTb"/>
            <w:noWrap w:val="false"/>
          </w:tcPr>
          <w:p>
            <w:pPr>
              <w:pStyle w:val="731"/>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w:t>
            </w:r>
            <w:r/>
          </w:p>
        </w:tc>
        <w:tc>
          <w:tcPr>
            <w:tcW w:w="1419" w:type="pct"/>
            <w:vAlign w:val="center"/>
            <w:textDirection w:val="lrTb"/>
            <w:noWrap w:val="false"/>
          </w:tcPr>
          <w:p>
            <w:pPr>
              <w:pStyle w:val="731"/>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23"/>
        </w:trPr>
        <w:tc>
          <w:tcPr>
            <w:shd w:val="clear" w:color="auto" w:fill="auto"/>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1419" w:type="pct"/>
            <w:vAlign w:val="center"/>
            <w:textDirection w:val="lrTb"/>
            <w:noWrap w:val="false"/>
          </w:tcPr>
          <w:p>
            <w:pPr>
              <w:pStyle w:val="731"/>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p>
        </w:tc>
        <w:tc>
          <w:tcPr>
            <w:tcW w:w="1419" w:type="pct"/>
            <w:vAlign w:val="center"/>
            <w:textDirection w:val="lrTb"/>
            <w:noWrap w:val="false"/>
          </w:tcPr>
          <w:p>
            <w:pPr>
              <w:pStyle w:val="731"/>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w:t>
            </w:r>
            <w:r/>
          </w:p>
        </w:tc>
        <w:tc>
          <w:tcPr>
            <w:tcW w:w="1419"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w:t>
            </w:r>
            <w:r/>
          </w:p>
        </w:tc>
        <w:tc>
          <w:tcPr>
            <w:tcW w:w="1419" w:type="pct"/>
            <w:vAlign w:val="center"/>
            <w:textDirection w:val="lrTb"/>
            <w:noWrap w:val="false"/>
          </w:tcPr>
          <w:p>
            <w:pPr>
              <w:pStyle w:val="731"/>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《拟投入本项目人员配备一览表》</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gridSpan w:val="3"/>
            <w:tcW w:w="5000" w:type="pct"/>
            <w:vAlign w:val="center"/>
            <w:textDirection w:val="lrTb"/>
            <w:noWrap w:val="false"/>
          </w:tcPr>
          <w:p>
            <w:pPr>
              <w:pStyle w:val="731"/>
              <w:jc w:val="center"/>
              <w:spacing w:line="24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23"/>
        </w:trPr>
        <w:tc>
          <w:tcPr>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19"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《技术或服务要求偏离表》</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19"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《投标货物和服务数量、品牌型号、技术要求、交货期》</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419"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《针对本项目制定的实施方案》</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rPr>
            </w:pPr>
            <w:r/>
            <w:bookmarkStart w:id="20" w:name="_Hlk193373412"/>
            <w:r>
              <w:rPr>
                <w:rFonts w:hint="eastAsia" w:ascii="宋体" w:hAnsi="宋体" w:eastAsia="宋体" w:cs="宋体"/>
                <w:color w:val="auto"/>
                <w:sz w:val="21"/>
                <w:szCs w:val="21"/>
                <w:highlight w:val="none"/>
              </w:rPr>
              <w:t xml:space="preserve">4</w:t>
            </w:r>
            <w:r/>
          </w:p>
        </w:tc>
        <w:tc>
          <w:tcPr>
            <w:shd w:val="clear" w:color="auto" w:fill="auto"/>
            <w:tcW w:w="1419"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带“★”项技术参数要求的相关佐证材料</w:t>
            </w:r>
            <w:r/>
          </w:p>
        </w:tc>
        <w:tc>
          <w:tcPr>
            <w:shd w:val="clear" w:color="auto" w:fill="auto"/>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直接反映该产品技术参数的彩页或产品说明书等相关佐证材料扫描件</w:t>
            </w:r>
            <w:r/>
          </w:p>
        </w:tc>
      </w:tr>
      <w:tr>
        <w:trPr>
          <w:trHeight w:val="23"/>
        </w:trPr>
        <w:tc>
          <w:tcPr>
            <w:tcW w:w="238" w:type="pct"/>
            <w:vAlign w:val="center"/>
            <w:textDirection w:val="lrTb"/>
            <w:noWrap w:val="false"/>
          </w:tcPr>
          <w:p>
            <w:pPr>
              <w:pStyle w:val="731"/>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419"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3342" w:type="pct"/>
            <w:vAlign w:val="center"/>
            <w:textDirection w:val="lrTb"/>
            <w:noWrap w:val="false"/>
          </w:tcPr>
          <w:p>
            <w:pPr>
              <w:pStyle w:val="731"/>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格式自拟</w:t>
            </w:r>
            <w:bookmarkEnd w:id="20"/>
            <w:r/>
            <w:r/>
          </w:p>
        </w:tc>
      </w:tr>
    </w:tbl>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w:t>
      </w:r>
      <w:bookmarkStart w:id="21" w:name="_Hlk193373771"/>
      <w:r>
        <w:rPr>
          <w:rFonts w:hint="eastAsia" w:ascii="宋体" w:hAnsi="宋体" w:eastAsia="宋体" w:cs="宋体"/>
          <w:b/>
          <w:bCs/>
          <w:color w:val="auto"/>
          <w:sz w:val="24"/>
          <w:szCs w:val="24"/>
          <w:highlight w:val="none"/>
          <w:u w:val="single"/>
          <w:shd w:val="clear" w:color="auto" w:fill="ffffff"/>
        </w:rPr>
        <w:t xml:space="preserve">未按要求提供</w:t>
      </w:r>
      <w:bookmarkEnd w:id="21"/>
      <w:r>
        <w:rPr>
          <w:rFonts w:hint="eastAsia" w:ascii="宋体" w:hAnsi="宋体" w:eastAsia="宋体" w:cs="宋体"/>
          <w:b/>
          <w:bCs/>
          <w:color w:val="auto"/>
          <w:sz w:val="24"/>
          <w:szCs w:val="24"/>
          <w:highlight w:val="none"/>
          <w:u w:val="single"/>
          <w:shd w:val="clear" w:color="auto" w:fill="ffffff"/>
        </w:rPr>
        <w:t xml:space="preserve">的投标（响应）无效。</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.5款规定的资料。否则，投标响应文件将被视为因未实质性响应招标文件要求而被拒绝。</w:t>
      </w:r>
      <w:r/>
    </w:p>
    <w:p>
      <w:pPr>
        <w:ind w:firstLine="480"/>
        <w:spacing w:line="360" w:lineRule="auto"/>
        <w:rPr>
          <w:rFonts w:ascii="宋体" w:hAnsi="宋体" w:eastAsia="宋体" w:cs="宋体"/>
          <w:color w:val="auto"/>
          <w:sz w:val="24"/>
          <w:szCs w:val="24"/>
          <w:highlight w:val="none"/>
          <w:shd w:val="clear" w:color="auto" w:fill="ffffff"/>
        </w:rPr>
      </w:pPr>
      <w:r/>
      <w:bookmarkStart w:id="22" w:name="_Hlk158131259"/>
      <w:r/>
      <w:bookmarkStart w:id="23" w:name="_Hlk193374074"/>
      <w:r>
        <w:rPr>
          <w:rFonts w:hint="eastAsia" w:ascii="宋体" w:hAnsi="宋体" w:eastAsia="宋体" w:cs="宋体"/>
          <w:color w:val="auto"/>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w:t>
      </w:r>
      <w:r>
        <w:rPr>
          <w:rFonts w:hint="eastAsia" w:ascii="宋体" w:hAnsi="宋体" w:eastAsia="宋体" w:cs="宋体"/>
          <w:b/>
          <w:color w:val="auto"/>
          <w:sz w:val="24"/>
          <w:szCs w:val="24"/>
          <w:highlight w:val="none"/>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bookmarkStart w:id="24" w:name="_Hlk140247794"/>
      <w:r>
        <w:rPr>
          <w:rFonts w:hint="eastAsia" w:ascii="宋体" w:hAnsi="宋体" w:eastAsia="宋体" w:cs="宋体"/>
          <w:color w:val="auto"/>
          <w:sz w:val="24"/>
          <w:szCs w:val="24"/>
          <w:highlight w:val="none"/>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bookmarkStart w:id="25" w:name="_Hlk158134955"/>
      <w:r>
        <w:rPr>
          <w:rFonts w:hint="eastAsia" w:ascii="宋体" w:hAnsi="宋体" w:eastAsia="宋体" w:cs="宋体"/>
          <w:color w:val="auto"/>
          <w:sz w:val="24"/>
          <w:szCs w:val="24"/>
          <w:highlight w:val="none"/>
        </w:rPr>
        <w:t xml:space="preserve">15.4联合体投标（响应）：如招标公告中允许联合体投标（响应），联合体投标（响应）的投标（响应）文件制作上传操作如下：</w:t>
      </w:r>
      <w:r/>
    </w:p>
    <w:p>
      <w:pPr>
        <w:pStyle w:val="732"/>
        <w:ind w:left="0" w:firstLine="48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第一步：在投标（响应）文件中上传联合体投标（响应）协议书。</w:t>
      </w:r>
      <w:r>
        <w:rPr>
          <w:rFonts w:hint="eastAsia" w:ascii="宋体" w:hAnsi="宋体" w:eastAsia="宋体" w:cs="宋体"/>
          <w:bCs/>
          <w:color w:val="auto"/>
          <w:szCs w:val="24"/>
          <w:highlight w:val="none"/>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第二步：在投标（响应）文件中，由联合体中的牵头人制作投标（响应）文件。</w:t>
      </w:r>
      <w:bookmarkEnd w:id="25"/>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15.5如不同投标（响应）文件制作机器码一致，则投标（响应）无效。</w:t>
      </w:r>
      <w:bookmarkEnd w:id="24"/>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16.投标（响应）报价（编制）要求的说明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16.1</w:t>
      </w:r>
      <w:bookmarkStart w:id="26" w:name="_Hlk193374411"/>
      <w:r>
        <w:rPr>
          <w:rFonts w:hint="eastAsia" w:ascii="宋体" w:hAnsi="宋体" w:eastAsia="宋体" w:cs="宋体"/>
          <w:color w:val="auto"/>
          <w:sz w:val="24"/>
          <w:szCs w:val="24"/>
          <w:highlight w:val="none"/>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16.4投标（响应）文件报价中的单价和总价全部采用人民币表示，除非合同的特殊条款另有规定。</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16.5最低报价不能作为中标的保证。</w:t>
      </w:r>
      <w:r/>
    </w:p>
    <w:p>
      <w:pPr>
        <w:ind w:firstLine="482"/>
        <w:spacing w:line="360" w:lineRule="auto"/>
        <w:rPr>
          <w:rFonts w:ascii="宋体" w:hAnsi="宋体" w:eastAsia="宋体" w:cs="宋体"/>
          <w:b/>
          <w:color w:val="auto"/>
          <w:sz w:val="24"/>
          <w:szCs w:val="24"/>
          <w:highlight w:val="none"/>
          <w:shd w:val="clear" w:color="auto" w:fill="ffffff"/>
        </w:rPr>
      </w:pPr>
      <w:r/>
      <w:bookmarkStart w:id="27" w:name="_Hlk193374841"/>
      <w:r>
        <w:rPr>
          <w:rFonts w:hint="eastAsia" w:ascii="宋体" w:hAnsi="宋体" w:eastAsia="宋体" w:cs="宋体"/>
          <w:b/>
          <w:color w:val="auto"/>
          <w:sz w:val="24"/>
          <w:szCs w:val="24"/>
          <w:highlight w:val="none"/>
          <w:shd w:val="clear" w:color="auto" w:fill="ffffff"/>
        </w:rPr>
        <w:t xml:space="preserve">17.履约保证金：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17.1中标单位应按前附表的规定提交履约保证金。履约保证金形式：以转账、支票、汇票、本票或者金融机构、担保机构出具的见索即付保函等非现金形式提交（保函内容须经采购人认可）。</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17.2中标单位须在签订合同前，向采购人缴纳合同金额的10%作为履约保证金，至采购人签署最终验收合格证明之日起稳定运行1年后无息退还。</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17.4若中标单位对货物缺陷不予更正，采购人有权另请其他单位更正，所发生的费用在履约保证金中扣除。</w:t>
      </w:r>
      <w:bookmarkEnd w:id="27"/>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18.投标（响应）文件的有效期</w:t>
      </w:r>
      <w:r/>
    </w:p>
    <w:p>
      <w:pPr>
        <w:ind w:firstLine="480"/>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18.1自投标（响应）截止日起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天内，投标（响应）书应保持有效。</w:t>
      </w:r>
      <w:r>
        <w:rPr>
          <w:rFonts w:hint="eastAsia" w:ascii="宋体" w:hAnsi="宋体" w:eastAsia="宋体" w:cs="宋体"/>
          <w:b/>
          <w:bCs/>
          <w:color w:val="auto"/>
          <w:sz w:val="24"/>
          <w:szCs w:val="24"/>
          <w:highlight w:val="none"/>
          <w:shd w:val="clear" w:color="auto" w:fill="ffffff"/>
        </w:rPr>
        <w:t xml:space="preserve">有效期短于这个规定期限的投标（响应）将被拒绝。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w:t>
      </w:r>
      <w:r>
        <w:rPr>
          <w:rFonts w:hint="eastAsia" w:ascii="宋体" w:hAnsi="宋体" w:eastAsia="宋体" w:cs="宋体"/>
          <w:b/>
          <w:color w:val="auto"/>
          <w:sz w:val="24"/>
          <w:szCs w:val="24"/>
          <w:highlight w:val="none"/>
        </w:rPr>
        <w:t xml:space="preserve">投标（响应）截止时间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bookmarkStart w:id="28" w:name="_Hlk193375017"/>
      <w:r>
        <w:rPr>
          <w:rFonts w:hint="eastAsia" w:ascii="宋体" w:hAnsi="宋体" w:eastAsia="宋体" w:cs="宋体"/>
          <w:color w:val="auto"/>
          <w:sz w:val="24"/>
          <w:szCs w:val="24"/>
          <w:highlight w:val="none"/>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w:t>
      </w:r>
      <w:bookmarkStart w:id="29" w:name="_Hlk116314345"/>
      <w:r/>
      <w:bookmarkStart w:id="30" w:name="_Hlk117242692"/>
      <w:r>
        <w:rPr>
          <w:rFonts w:hint="eastAsia" w:ascii="宋体" w:hAnsi="宋体" w:eastAsia="宋体" w:cs="宋体"/>
          <w:color w:val="auto"/>
          <w:sz w:val="24"/>
          <w:szCs w:val="24"/>
          <w:highlight w:val="none"/>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29"/>
      <w:r/>
      <w:bookmarkEnd w:id="30"/>
      <w:r/>
      <w:r/>
    </w:p>
    <w:p>
      <w:pPr>
        <w:ind w:firstLine="482"/>
        <w:spacing w:line="360" w:lineRule="auto"/>
        <w:rPr>
          <w:rFonts w:ascii="宋体" w:hAnsi="宋体" w:eastAsia="宋体" w:cs="宋体"/>
          <w:color w:val="auto"/>
          <w:highlight w:val="none"/>
        </w:rPr>
      </w:pPr>
      <w:r>
        <w:rPr>
          <w:rFonts w:hint="eastAsia" w:ascii="宋体" w:hAnsi="宋体" w:eastAsia="宋体" w:cs="宋体"/>
          <w:b/>
          <w:bCs/>
          <w:color w:val="auto"/>
          <w:sz w:val="24"/>
          <w:szCs w:val="20"/>
          <w:highlight w:val="none"/>
          <w:shd w:val="clear" w:color="auto" w:fill="ffffff"/>
        </w:rPr>
        <w:t xml:space="preserve">D.开标和评标</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20.开标</w:t>
      </w:r>
      <w:r/>
    </w:p>
    <w:p>
      <w:pPr>
        <w:ind w:firstLine="480"/>
        <w:spacing w:line="360" w:lineRule="auto"/>
        <w:widowControl/>
        <w:rPr>
          <w:rFonts w:ascii="宋体" w:hAnsi="宋体" w:eastAsia="宋体" w:cs="宋体"/>
          <w:color w:val="auto"/>
          <w:sz w:val="24"/>
          <w:szCs w:val="24"/>
          <w:highlight w:val="none"/>
        </w:rPr>
      </w:pPr>
      <w:r/>
      <w:bookmarkStart w:id="31" w:name="_Hlk92794076"/>
      <w:r>
        <w:rPr>
          <w:rFonts w:hint="eastAsia" w:ascii="宋体" w:hAnsi="宋体" w:eastAsia="宋体" w:cs="宋体"/>
          <w:color w:val="auto"/>
          <w:sz w:val="24"/>
          <w:szCs w:val="24"/>
          <w:highlight w:val="none"/>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color w:val="auto"/>
          <w:sz w:val="24"/>
          <w:szCs w:val="24"/>
          <w:highlight w:val="none"/>
        </w:rPr>
      </w:pPr>
      <w:r/>
      <w:bookmarkStart w:id="32" w:name="_Hlk90652960"/>
      <w:r>
        <w:rPr>
          <w:rFonts w:hint="eastAsia" w:ascii="宋体" w:hAnsi="宋体" w:eastAsia="宋体" w:cs="宋体"/>
          <w:color w:val="auto"/>
          <w:sz w:val="24"/>
          <w:szCs w:val="24"/>
          <w:highlight w:val="none"/>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ascii="宋体" w:hAnsi="宋体" w:eastAsia="宋体" w:cs="宋体"/>
          <w:color w:val="auto"/>
          <w:sz w:val="24"/>
          <w:szCs w:val="24"/>
          <w:highlight w:val="none"/>
        </w:rPr>
      </w:pPr>
      <w:r/>
      <w:bookmarkStart w:id="33" w:name="_Hlk158135485"/>
      <w:r>
        <w:rPr>
          <w:rFonts w:hint="eastAsia" w:ascii="宋体" w:hAnsi="宋体" w:eastAsia="宋体" w:cs="宋体"/>
          <w:color w:val="auto"/>
          <w:sz w:val="24"/>
          <w:szCs w:val="24"/>
          <w:highlight w:val="none"/>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20.5供应商在“苏采云”系统规定的时间内未成功解密电子投标（响应）文件的，投标（响应）无效。</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20.8至投标（响应）文件提交截止时间，递交投标（响应）文件的供应商不足三家的，不得开标。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color w:val="auto"/>
          <w:highlight w:val="none"/>
        </w:rPr>
      </w:pPr>
      <w:r/>
      <w:bookmarkStart w:id="34" w:name="_Hlk193375492"/>
      <w:r>
        <w:rPr>
          <w:rFonts w:hint="eastAsia" w:ascii="宋体" w:hAnsi="宋体" w:eastAsia="宋体" w:cs="宋体"/>
          <w:color w:val="auto"/>
          <w:sz w:val="24"/>
          <w:szCs w:val="24"/>
          <w:highlight w:val="none"/>
        </w:rPr>
        <w:t xml:space="preserve">20.10以上开标活动</w:t>
      </w:r>
      <w:bookmarkStart w:id="35" w:name="_Hlk193375633"/>
      <w:r>
        <w:rPr>
          <w:rFonts w:hint="eastAsia" w:ascii="宋体" w:hAnsi="宋体" w:eastAsia="宋体" w:cs="宋体"/>
          <w:color w:val="auto"/>
          <w:sz w:val="24"/>
          <w:szCs w:val="24"/>
          <w:highlight w:val="none"/>
        </w:rPr>
        <w:t xml:space="preserve">所涉及系统操作，以“苏采云”系统最新要求为准</w:t>
      </w:r>
      <w:bookmarkEnd w:id="35"/>
      <w:r>
        <w:rPr>
          <w:rFonts w:hint="eastAsia" w:ascii="宋体" w:hAnsi="宋体" w:eastAsia="宋体" w:cs="宋体"/>
          <w:color w:val="auto"/>
          <w:sz w:val="24"/>
          <w:szCs w:val="24"/>
          <w:highlight w:val="none"/>
        </w:rPr>
        <w:t xml:space="preserve">。</w:t>
      </w:r>
      <w:bookmarkEnd w:id="31"/>
      <w:r/>
      <w:bookmarkEnd w:id="34"/>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21.信用查询</w:t>
      </w:r>
      <w:r/>
    </w:p>
    <w:p>
      <w:pPr>
        <w:ind w:firstLine="480"/>
        <w:spacing w:line="360" w:lineRule="auto"/>
        <w:rPr>
          <w:rFonts w:ascii="宋体" w:hAnsi="宋体" w:eastAsia="宋体" w:cs="宋体"/>
          <w:color w:val="auto"/>
          <w:sz w:val="24"/>
          <w:szCs w:val="24"/>
          <w:highlight w:val="none"/>
        </w:rPr>
      </w:pPr>
      <w:r/>
      <w:bookmarkStart w:id="36" w:name="_Hlk193375658"/>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21.1查询时间：投标（响应）文件提交截止时间。</w:t>
      </w:r>
      <w:r/>
    </w:p>
    <w:p>
      <w:pPr>
        <w:ind w:firstLine="480"/>
        <w:spacing w:line="360" w:lineRule="auto"/>
        <w:tabs>
          <w:tab w:val="left" w:pos="753"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21.2查询渠道：</w:t>
      </w:r>
      <w:bookmarkStart w:id="37"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宋体" w:hAnsi="宋体" w:eastAsia="宋体" w:cs="宋体"/>
          <w:bCs/>
          <w:color w:val="auto"/>
          <w:sz w:val="24"/>
          <w:szCs w:val="24"/>
          <w:highlight w:val="none"/>
        </w:rPr>
        <w:t xml:space="preserve">www.jscredit.gov.cn</w:t>
      </w:r>
      <w:r>
        <w:rPr>
          <w:rFonts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spacing w:line="360" w:lineRule="auto"/>
        <w:tabs>
          <w:tab w:val="left" w:pos="753"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21.3查询证据留存方式：</w:t>
      </w:r>
      <w:bookmarkEnd w:id="37"/>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color w:val="auto"/>
          <w:highlight w:val="none"/>
        </w:rPr>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21.4.2.1被列入失信被执行人名单；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21.4.2.2被列入重大税收违法案件当事人名单；</w:t>
      </w:r>
      <w:r/>
    </w:p>
    <w:p>
      <w:pPr>
        <w:ind w:firstLine="480"/>
        <w:spacing w:line="360" w:lineRule="auto"/>
        <w:rPr>
          <w:rFonts w:ascii="宋体" w:hAnsi="宋体" w:eastAsia="宋体" w:cs="宋体"/>
          <w:color w:val="auto"/>
          <w:sz w:val="24"/>
          <w:szCs w:val="24"/>
          <w:highlight w:val="none"/>
        </w:rPr>
      </w:pPr>
      <w:r/>
      <w:bookmarkStart w:id="38"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6"/>
      <w:r/>
      <w:bookmarkEnd w:id="38"/>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22.评标委员会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22.1评标委员会由采购人或采购代理机构依法组建,由采购单位代表、专家评委组成。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22.2评标委员会负责具体的评标事务，并独立履行以下职责：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22.2.1审查、评价投标（响应）文件是否符合招标文件的商务、技术等实质性要求；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22.2.2要求供应商对投标（响应）文件有关事项作出澄清或者说明；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22.2.3对投标（响应）文件进行比较和评价；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22.2.4</w:t>
      </w:r>
      <w:r>
        <w:rPr>
          <w:rFonts w:hint="eastAsia" w:ascii="宋体" w:hAnsi="宋体" w:eastAsia="宋体" w:cs="宋体"/>
          <w:color w:val="auto"/>
          <w:sz w:val="24"/>
          <w:szCs w:val="24"/>
          <w:highlight w:val="none"/>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22.2.5向采购人、采购代理机构或者有关部门报告评标中发现的违法行为；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22.3评标委员会成员应当履行下列义务：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22.3.1遵纪守法，客观、公正、廉洁地履行职责；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22.3.2按照招标文件规定的评标办法和评标标准进行评标，对评审意见承担个人责任；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22.3.3对评标过程和结果，以及供应商的商业秘密保密；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22.3.4参与评审报告的起草；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22.3.5配合相关部门的投诉处理工作；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22.3.6配合采购人或采购代理机构答复投标（响应）供应商提出的质疑。</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23.评标内容的保密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23.3在评标期间，</w:t>
      </w:r>
      <w:bookmarkStart w:id="39" w:name="_Hlk193376556"/>
      <w:r>
        <w:rPr>
          <w:rFonts w:hint="eastAsia" w:ascii="宋体" w:hAnsi="宋体" w:eastAsia="宋体" w:cs="宋体"/>
          <w:color w:val="auto"/>
          <w:sz w:val="24"/>
          <w:szCs w:val="24"/>
          <w:highlight w:val="none"/>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24.对投标（响应）文件初审</w:t>
      </w:r>
      <w:r/>
    </w:p>
    <w:p>
      <w:pPr>
        <w:ind w:firstLine="476"/>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24.1开标结束后，采购人依法对供应商的资格进行审查。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24.2.1供应商的投标（响应）文件未按照本须知规定制作的；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24.2.2与招标文件有重大偏离；</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24.2.3供应商拒绝修正错误；</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24.2.4供应商的报价是选择性的；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24.2.5供应商的报价只投了部分内容；</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 xml:space="preserve">24.2.7其他被评标委员会认定无效的情况。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color w:val="auto"/>
          <w:sz w:val="24"/>
          <w:szCs w:val="24"/>
          <w:highlight w:val="none"/>
          <w:shd w:val="clear" w:color="auto" w:fill="ffffff"/>
        </w:rPr>
      </w:pPr>
      <w:r/>
      <w:bookmarkStart w:id="40" w:name="_Hlk193377260"/>
      <w:r>
        <w:rPr>
          <w:rFonts w:hint="eastAsia" w:ascii="宋体" w:hAnsi="宋体" w:eastAsia="宋体" w:cs="宋体"/>
          <w:color w:val="auto"/>
          <w:sz w:val="24"/>
          <w:szCs w:val="24"/>
          <w:highlight w:val="none"/>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24.6.2大写金额和小写金额不一致的，以大写金额为准；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24.7供应商不同意以上修正，则其投标（响应）将被拒绝。</w:t>
      </w:r>
      <w:bookmarkEnd w:id="40"/>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41"/>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bookmarkStart w:id="42" w:name="_Hlk193377421"/>
      <w:r>
        <w:rPr>
          <w:rFonts w:hint="eastAsia" w:ascii="宋体" w:hAnsi="宋体" w:eastAsia="宋体" w:cs="宋体"/>
          <w:color w:val="auto"/>
          <w:sz w:val="24"/>
          <w:szCs w:val="24"/>
          <w:highlight w:val="none"/>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25.投标的澄清</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color w:val="auto"/>
          <w:sz w:val="24"/>
          <w:szCs w:val="24"/>
          <w:highlight w:val="none"/>
          <w:shd w:val="clear" w:color="auto" w:fill="ffffff"/>
        </w:rPr>
      </w:pPr>
      <w:r/>
      <w:bookmarkStart w:id="43" w:name="_Hlk158140503"/>
      <w:r/>
      <w:bookmarkStart w:id="44" w:name="_Hlk158140452"/>
      <w:r/>
      <w:bookmarkStart w:id="45" w:name="_Hlk90656398"/>
      <w:r/>
      <w:bookmarkStart w:id="46" w:name="_Hlk193377538"/>
      <w:r>
        <w:rPr>
          <w:rFonts w:hint="eastAsia" w:ascii="宋体" w:hAnsi="宋体" w:eastAsia="宋体" w:cs="宋体"/>
          <w:color w:val="auto"/>
          <w:sz w:val="24"/>
          <w:szCs w:val="24"/>
          <w:highlight w:val="none"/>
          <w:shd w:val="clear" w:color="auto" w:fill="ffffff"/>
        </w:rPr>
        <w:t xml:space="preserve">25.2本项目采用线上澄清</w:t>
      </w:r>
      <w:bookmarkEnd w:id="43"/>
      <w:r>
        <w:rPr>
          <w:rFonts w:hint="eastAsia" w:ascii="宋体" w:hAnsi="宋体" w:eastAsia="宋体" w:cs="宋体"/>
          <w:color w:val="auto"/>
          <w:sz w:val="24"/>
          <w:szCs w:val="24"/>
          <w:highlight w:val="none"/>
          <w:shd w:val="clear" w:color="auto" w:fill="ffffff"/>
        </w:rPr>
        <w:t xml:space="preserve">。</w:t>
      </w:r>
      <w:bookmarkEnd w:id="44"/>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26.废标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26.1在招标过程中，出现下列情况之一的，应予废标：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26.1.2出现影响采购公正的违法、违规行为的；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26.1.3供应商的报价均超过了采购预算，采购人不能支付的；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26.1.4因重大变故，采购任务取消的；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26.2废标后，采购代理机构将把废标的理由通知所有供应商。</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27.2.1投标（响应）者的资信情况和履约能力；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27.2.2投标（响应）者提供的其他优惠条件；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28.中标单位的确认</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28.1评标委员会根据供应商资格审查情况，以及对投标（响应）文件进行评价和比较，按照评标办法和标准进行评标，并根据采购人的委托，按照中标候选人的顺序在中标候选人中直接确定中标人。</w:t>
      </w:r>
      <w:r/>
    </w:p>
    <w:p>
      <w:pPr>
        <w:ind w:firstLine="480"/>
        <w:spacing w:line="360" w:lineRule="auto"/>
        <w:widowControl/>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28.2经评</w:t>
      </w:r>
      <w:r>
        <w:rPr>
          <w:rFonts w:hint="eastAsia" w:ascii="宋体" w:hAnsi="宋体" w:eastAsia="宋体" w:cs="宋体"/>
          <w:color w:val="auto"/>
          <w:sz w:val="24"/>
          <w:szCs w:val="24"/>
          <w:highlight w:val="none"/>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E.授予合同</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29.合同授予标准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30.中标通知书</w:t>
      </w:r>
      <w:r/>
    </w:p>
    <w:p>
      <w:pPr>
        <w:ind w:firstLine="480"/>
        <w:spacing w:line="360" w:lineRule="auto"/>
        <w:rPr>
          <w:rFonts w:ascii="宋体" w:hAnsi="宋体" w:eastAsia="宋体" w:cs="宋体"/>
          <w:color w:val="auto"/>
          <w:sz w:val="24"/>
          <w:szCs w:val="24"/>
          <w:highlight w:val="none"/>
          <w:shd w:val="clear" w:color="auto" w:fill="ffffff"/>
        </w:rPr>
      </w:pPr>
      <w:r/>
      <w:bookmarkStart w:id="47" w:name="_Hlk193377906"/>
      <w:r>
        <w:rPr>
          <w:rFonts w:hint="eastAsia" w:ascii="宋体" w:hAnsi="宋体" w:eastAsia="宋体" w:cs="宋体"/>
          <w:color w:val="auto"/>
          <w:sz w:val="24"/>
          <w:szCs w:val="24"/>
          <w:highlight w:val="none"/>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30.3中标通知书将成为合同的组成部分。</w:t>
      </w:r>
      <w:bookmarkEnd w:id="47"/>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31.合同的签订</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color w:val="auto"/>
          <w:sz w:val="24"/>
          <w:szCs w:val="24"/>
          <w:highlight w:val="none"/>
          <w:shd w:val="clear" w:color="auto" w:fill="ffffff"/>
        </w:rPr>
      </w:pPr>
      <w:r/>
      <w:bookmarkStart w:id="48" w:name="_Hlk193378097"/>
      <w:r>
        <w:rPr>
          <w:rFonts w:hint="eastAsia" w:ascii="宋体" w:hAnsi="宋体" w:eastAsia="宋体" w:cs="宋体"/>
          <w:b/>
          <w:bCs/>
          <w:color w:val="auto"/>
          <w:sz w:val="24"/>
          <w:szCs w:val="20"/>
          <w:highlight w:val="none"/>
          <w:shd w:val="clear" w:color="auto" w:fill="ffffff"/>
        </w:rPr>
        <w:t xml:space="preserve">F.其他事项</w:t>
      </w:r>
      <w:bookmarkEnd w:id="48"/>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32.质疑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32.1质疑及答复遵守《政府采购质疑和投诉办法》（财政部令第94号）规定。</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32.2.2对采购过程提出质疑的，为各采购程序环节结束之日；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32.2.3对中标结果提出质疑的，为中标结果公告期限届满之日。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32.7</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shd w:val="clear" w:color="auto" w:fill="ffffff"/>
        </w:rPr>
        <w:t xml:space="preserve">32.8</w:t>
      </w:r>
      <w:r>
        <w:rPr>
          <w:rFonts w:hint="eastAsia" w:ascii="宋体" w:hAnsi="宋体" w:eastAsia="宋体" w:cs="宋体"/>
          <w:color w:val="auto"/>
          <w:sz w:val="24"/>
          <w:szCs w:val="24"/>
          <w:highlight w:val="none"/>
          <w:lang w:val="zh-CN"/>
        </w:rPr>
        <w:t xml:space="preserve">质疑递交信息：详见第一章采购人及采购代理机构联系信息。</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33.代理服务费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33.1中标单位须按前附表的规定计算并支付代理服务费。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34.监督和公证</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34.1有关监督部门将对招投标全过程进行监督。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34.2开、评标过程将通过公证机关进行公证（如有）。</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35.未尽事宜</w:t>
      </w:r>
      <w:r/>
    </w:p>
    <w:p>
      <w:pPr>
        <w:ind w:firstLine="480"/>
        <w:spacing w:line="360" w:lineRule="auto"/>
        <w:rPr>
          <w:rFonts w:ascii="宋体" w:hAnsi="宋体" w:eastAsia="宋体" w:cs="宋体"/>
          <w:color w:val="auto"/>
          <w:sz w:val="32"/>
          <w:szCs w:val="32"/>
          <w:highlight w:val="none"/>
          <w:shd w:val="clear" w:color="auto" w:fill="ffffff"/>
        </w:rPr>
      </w:pPr>
      <w:r/>
      <w:bookmarkStart w:id="49" w:name="_Hlk193378690"/>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未尽事宜应按《中华人民共和国民法典》、《中华人民共和国政府采购法》以及其他相关法律、法规之规定解释。</w:t>
      </w:r>
      <w:bookmarkEnd w:id="49"/>
      <w:r>
        <w:rPr>
          <w:rFonts w:hint="eastAsia" w:ascii="宋体" w:hAnsi="宋体" w:eastAsia="宋体" w:cs="宋体"/>
          <w:color w:val="auto"/>
          <w:sz w:val="32"/>
          <w:szCs w:val="32"/>
          <w:highlight w:val="none"/>
          <w:shd w:val="clear" w:color="auto" w:fill="ffffff"/>
        </w:rPr>
        <w:br w:type="page" w:clear="all"/>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jc w:val="center"/>
        <w:keepLines/>
        <w:keepNext/>
        <w:spacing w:before="340" w:after="330" w:line="360" w:lineRule="auto"/>
        <w:rPr>
          <w:rFonts w:ascii="宋体" w:hAnsi="宋体" w:eastAsia="宋体" w:cs="宋体"/>
          <w:color w:val="auto"/>
          <w:sz w:val="52"/>
          <w:szCs w:val="20"/>
          <w:highlight w:val="none"/>
          <w:shd w:val="clear" w:color="auto" w:fill="ffffff"/>
        </w:rPr>
        <w:outlineLvl w:val="0"/>
      </w:pPr>
      <w:r/>
      <w:bookmarkStart w:id="50" w:name="_Toc105940239"/>
      <w:r>
        <w:rPr>
          <w:rFonts w:hint="eastAsia" w:ascii="宋体" w:hAnsi="宋体" w:eastAsia="宋体" w:cs="宋体"/>
          <w:b/>
          <w:color w:val="auto"/>
          <w:sz w:val="52"/>
          <w:szCs w:val="20"/>
          <w:highlight w:val="none"/>
          <w:shd w:val="clear" w:color="auto" w:fill="ffffff"/>
        </w:rPr>
        <w:t xml:space="preserve">第三章投标文件格式</w:t>
      </w:r>
      <w:bookmarkEnd w:id="50"/>
      <w:r/>
      <w:r/>
    </w:p>
    <w:p>
      <w:pPr>
        <w:jc w:val="left"/>
        <w:spacing w:line="360" w:lineRule="auto"/>
        <w:rPr>
          <w:rFonts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t xml:space="preserve">说明：</w:t>
      </w:r>
      <w:r/>
    </w:p>
    <w:p>
      <w:pPr>
        <w:ind w:firstLine="482"/>
        <w:jc w:val="left"/>
        <w:spacing w:line="360" w:lineRule="auto"/>
        <w:rPr>
          <w:rFonts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1"/>
          <w:highlight w:val="non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color w:val="auto"/>
          <w:sz w:val="24"/>
          <w:szCs w:val="20"/>
          <w:highlight w:val="none"/>
          <w:shd w:val="clear" w:color="auto" w:fill="ffffff"/>
        </w:rPr>
        <w:t xml:space="preserve">。</w:t>
      </w:r>
      <w:r/>
    </w:p>
    <w:p>
      <w:pPr>
        <w:spacing w:line="360" w:lineRule="auto"/>
        <w:rPr>
          <w:rFonts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8"/>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1、（供应商）法定代表人授权委托书</w:t>
      </w:r>
      <w:r/>
    </w:p>
    <w:p>
      <w:pPr>
        <w:jc w:val="cente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0"/>
          <w:highlight w:val="none"/>
        </w:rPr>
        <w:t xml:space="preserve">授权委托书</w:t>
      </w:r>
      <w:r/>
    </w:p>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360" w:lineRule="auto"/>
        <w:rPr>
          <w:rFonts w:ascii="宋体" w:hAnsi="宋体" w:eastAsia="宋体" w:cs="宋体"/>
          <w:color w:val="auto"/>
          <w:sz w:val="24"/>
          <w:szCs w:val="20"/>
          <w:highlight w:val="none"/>
        </w:rPr>
      </w:pPr>
      <w:r/>
      <w:bookmarkStart w:id="51" w:name="_Hlk117242496"/>
      <w:r>
        <w:rPr>
          <w:rFonts w:hint="eastAsia" w:ascii="宋体" w:hAnsi="宋体" w:eastAsia="宋体" w:cs="宋体"/>
          <w:color w:val="auto"/>
          <w:sz w:val="24"/>
          <w:szCs w:val="20"/>
          <w:highlight w:val="none"/>
        </w:rPr>
        <w:t xml:space="preserve">本授权委托书声明：我</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（姓名）系</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（供应商名称）的法定代表人，现授权委托</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（姓名+手机号码）为本公司代理人，以本公司的名义参加本项目采购代理机构组织实施的编号为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highlight w:val="none"/>
          <w:u w:val="single"/>
          <w:lang w:eastAsia="zh-CN"/>
        </w:rPr>
        <w:t xml:space="preserve">JSZC-320500-SZCH-G2026-0053</w:t>
      </w:r>
      <w:r>
        <w:rPr>
          <w:rFonts w:hint="eastAsia" w:ascii="宋体" w:hAnsi="宋体" w:eastAsia="宋体" w:cs="宋体"/>
          <w:color w:val="auto"/>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代理人无转委托权。特此委托。</w:t>
      </w:r>
      <w:bookmarkEnd w:id="51"/>
      <w:r/>
      <w:r/>
    </w:p>
    <w:p>
      <w:pPr>
        <w:ind w:firstLine="480"/>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br w:type="page" w:clear="all"/>
      </w:r>
      <w:r/>
    </w:p>
    <w:p>
      <w:pPr>
        <w:jc w:val="left"/>
        <w:spacing w:line="360" w:lineRule="auto"/>
        <w:rPr>
          <w:rFonts w:ascii="宋体" w:hAnsi="宋体" w:eastAsia="宋体" w:cs="宋体"/>
          <w:b/>
          <w:color w:val="auto"/>
          <w:sz w:val="24"/>
          <w:szCs w:val="20"/>
          <w:highlight w:val="none"/>
        </w:rPr>
        <w:outlineLvl w:val="1"/>
      </w:pPr>
      <w:r>
        <w:rPr>
          <w:rFonts w:hint="eastAsia" w:ascii="宋体" w:hAnsi="宋体" w:eastAsia="宋体" w:cs="宋体"/>
          <w:b/>
          <w:color w:val="auto"/>
          <w:sz w:val="24"/>
          <w:szCs w:val="20"/>
          <w:highlight w:val="none"/>
        </w:rPr>
        <w:t xml:space="preserve">2、投标（响应）函</w:t>
      </w:r>
      <w:r/>
    </w:p>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投标（响应）函</w:t>
      </w:r>
      <w:r/>
    </w:p>
    <w:p>
      <w:pPr>
        <w:rPr>
          <w:rFonts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shd w:val="clear" w:color="auto" w:fill="ffffff"/>
        </w:rPr>
        <w:t xml:space="preserve">苏州诚和招投标咨询有限公司</w:t>
      </w:r>
      <w:r>
        <w:rPr>
          <w:rFonts w:hint="eastAsia" w:ascii="宋体" w:hAnsi="宋体" w:eastAsia="宋体" w:cs="宋体"/>
          <w:color w:val="auto"/>
          <w:sz w:val="24"/>
          <w:szCs w:val="24"/>
          <w:highlight w:val="none"/>
          <w:u w:val="single"/>
        </w:rPr>
        <w:t xml:space="preserve">：</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本公司收到贵司</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号招标文件，经仔细阅读和研究，本公司决定参加投标。</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1、本公司愿意按照招标文件的一切要求，提供完成该项目的全部内容，本公司的投标报价</w:t>
      </w:r>
      <w:r>
        <w:rPr>
          <w:rFonts w:hint="eastAsia" w:ascii="宋体" w:hAnsi="宋体" w:eastAsia="宋体" w:cs="宋体"/>
          <w:color w:val="auto"/>
          <w:sz w:val="24"/>
          <w:szCs w:val="24"/>
          <w:highlight w:val="none"/>
          <w:shd w:val="clear" w:color="auto" w:fill="ffffff"/>
        </w:rPr>
        <w:t xml:space="preserve">包括完成对应采购包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3、本公司已详细审查全部招标文件，包括补充文件（更正公告，如有）。本公司完全理解并同意放弃对这方面有不明及误解的权利。</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4、本公司同意按招标文件中的规定，本投标书的有效期限为投标截止日起</w:t>
      </w:r>
      <w:r>
        <w:rPr>
          <w:rFonts w:hint="eastAsia" w:ascii="宋体" w:hAnsi="宋体" w:eastAsia="宋体" w:cs="宋体"/>
          <w:color w:val="auto"/>
          <w:sz w:val="24"/>
          <w:szCs w:val="20"/>
          <w:highlight w:val="none"/>
          <w:u w:val="single"/>
          <w:shd w:val="clear" w:color="auto" w:fill="ffffff"/>
        </w:rPr>
        <w:t xml:space="preserve">90</w:t>
      </w:r>
      <w:r>
        <w:rPr>
          <w:rFonts w:hint="eastAsia" w:ascii="宋体" w:hAnsi="宋体" w:eastAsia="宋体" w:cs="宋体"/>
          <w:color w:val="auto"/>
          <w:sz w:val="24"/>
          <w:szCs w:val="20"/>
          <w:highlight w:val="none"/>
          <w:shd w:val="clear" w:color="auto" w:fill="ffffff"/>
        </w:rPr>
        <w:t xml:space="preserve">天。</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5、本公司愿意提供采购人或采购代理机构在招标文件中要求的所有资料。</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本公司声明：本公司在参加本次政府采购活动前3年内在经营活动中没有重大违法记录。</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7、本公司愿意遵守招标公告及招标文件中所列的收费标准。</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8、本公司承诺该项投标在开标后的全过程中保持有效，不作任何更改和变动。</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9、如果本公司中标（成交），本公司愿意按采购文件规定支付履约保证金（如有）。</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10、本公司承诺符合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0"/>
          <w:highlight w:val="none"/>
          <w:shd w:val="clear" w:color="auto" w:fill="ffffff"/>
        </w:rPr>
        <w:t xml:space="preserve">的要求，若与真实情况不符，本公司愿意承担由此而产生的一切后果。</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11、综合说明：</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（1）伴随服务及配合措施；</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（2）要求甲方提供的配合；</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（3）对招标文件有不同意见的偏离说明；</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（4）其他说明。</w:t>
      </w:r>
      <w:r/>
    </w:p>
    <w:p>
      <w:pPr>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所有有关</w:t>
      </w:r>
      <w:r>
        <w:rPr>
          <w:rFonts w:hint="eastAsia" w:ascii="宋体" w:hAnsi="宋体" w:eastAsia="宋体" w:cs="宋体"/>
          <w:color w:val="auto"/>
          <w:sz w:val="24"/>
          <w:szCs w:val="24"/>
          <w:highlight w:val="none"/>
        </w:rPr>
        <w:t xml:space="preserve">投标（响应）文件</w:t>
      </w:r>
      <w:r>
        <w:rPr>
          <w:rFonts w:hint="eastAsia" w:ascii="宋体" w:hAnsi="宋体" w:eastAsia="宋体" w:cs="宋体"/>
          <w:color w:val="auto"/>
          <w:sz w:val="24"/>
          <w:szCs w:val="20"/>
          <w:highlight w:val="none"/>
          <w:shd w:val="clear" w:color="auto" w:fill="ffffff"/>
        </w:rPr>
        <w:t xml:space="preserve">的函电，请按下列地址联系：</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                     联系人：                 地址：</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邮政编码：                 联系电话：               传真：</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公司电子邮箱：</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银行账号：</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银行开户行：</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数字人民币开户行（如有）：</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数字人民币账户（数币钱包ID）：</w:t>
      </w:r>
      <w:r/>
    </w:p>
    <w:p>
      <w:pPr>
        <w:pStyle w:val="731"/>
        <w:spacing w:line="240" w:lineRule="auto"/>
        <w:rPr>
          <w:rFonts w:ascii="宋体" w:hAnsi="宋体" w:eastAsia="宋体" w:cs="宋体"/>
          <w:color w:val="auto"/>
          <w:highlight w:val="none"/>
        </w:rPr>
      </w:pPr>
      <w:r>
        <w:rPr>
          <w:rFonts w:ascii="宋体" w:hAnsi="宋体" w:eastAsia="宋体" w:cs="宋体"/>
          <w:color w:val="auto"/>
          <w:highlight w:val="none"/>
        </w:rPr>
      </w:r>
      <w:r/>
    </w:p>
    <w:p>
      <w:pPr>
        <w:ind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725"/>
        <w:ind w:firstLine="0"/>
        <w:jc w:val="both"/>
        <w:spacing w:line="360" w:lineRule="auto"/>
        <w:rPr>
          <w:rFonts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3、开标一览表</w:t>
      </w:r>
      <w:r/>
    </w:p>
    <w:p>
      <w:pPr>
        <w:pStyle w:val="1022"/>
        <w:jc w:val="center"/>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开标一览表</w:t>
      </w:r>
      <w:r/>
    </w:p>
    <w:p>
      <w:pPr>
        <w:ind w:firstLine="420"/>
        <w:spacing w:line="44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供应商全称：</w:t>
      </w:r>
      <w:bookmarkStart w:id="52" w:name="TBR"/>
      <w:r/>
      <w:bookmarkEnd w:id="52"/>
      <w:r/>
      <w:r/>
    </w:p>
    <w:p>
      <w:pPr>
        <w:ind w:firstLine="420"/>
        <w:spacing w:line="44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53" w:name="XMBH"/>
      <w:r/>
      <w:bookmarkEnd w:id="53"/>
      <w:r/>
      <w:r/>
    </w:p>
    <w:p>
      <w:pPr>
        <w:ind w:firstLine="420"/>
        <w:spacing w:line="44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分包号：</w:t>
      </w:r>
      <w:bookmarkStart w:id="54" w:name="FBH"/>
      <w:r/>
      <w:bookmarkEnd w:id="54"/>
      <w:r/>
      <w:r/>
    </w:p>
    <w:tbl>
      <w:tblPr>
        <w:tblStyle w:val="722"/>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color w:val="auto"/>
                <w:sz w:val="24"/>
                <w:szCs w:val="24"/>
                <w:highlight w:val="none"/>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56" w:name="JEXX"/>
            <w:r/>
            <w:bookmarkEnd w:id="56"/>
            <w:r>
              <w:rPr>
                <w:rFonts w:hint="eastAsia" w:ascii="宋体" w:hAnsi="宋体" w:eastAsia="宋体" w:cs="宋体"/>
                <w:color w:val="auto"/>
                <w:sz w:val="24"/>
                <w:szCs w:val="24"/>
                <w:highlight w:val="none"/>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color w:val="auto"/>
                <w:sz w:val="24"/>
                <w:szCs w:val="24"/>
                <w:highlight w:val="none"/>
              </w:rPr>
            </w:pPr>
            <w:r/>
            <w:bookmarkStart w:id="57" w:name="JEDX"/>
            <w:r/>
            <w:bookmarkEnd w:id="57"/>
            <w:r/>
            <w:r/>
          </w:p>
        </w:tc>
      </w:tr>
    </w:tbl>
    <w:p>
      <w:pPr>
        <w:ind w:left="1024"/>
        <w:spacing w:line="60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4、</w:t>
      </w:r>
      <w:r>
        <w:rPr>
          <w:rFonts w:hint="eastAsia" w:ascii="宋体" w:hAnsi="宋体" w:eastAsia="宋体" w:cs="宋体"/>
          <w:b/>
          <w:bCs/>
          <w:color w:val="auto"/>
          <w:sz w:val="24"/>
          <w:szCs w:val="24"/>
          <w:highlight w:val="none"/>
          <w:shd w:val="clear" w:color="auto" w:fill="ffffff"/>
        </w:rPr>
        <w:t xml:space="preserve">投标</w:t>
      </w:r>
      <w:r>
        <w:rPr>
          <w:rFonts w:hint="eastAsia" w:ascii="宋体" w:hAnsi="宋体" w:eastAsia="宋体" w:cs="宋体"/>
          <w:b/>
          <w:color w:val="auto"/>
          <w:sz w:val="24"/>
          <w:szCs w:val="24"/>
          <w:highlight w:val="none"/>
          <w:shd w:val="clear" w:color="auto" w:fill="ffffff"/>
        </w:rPr>
        <w:t xml:space="preserve">（响应）</w:t>
      </w:r>
      <w:r>
        <w:rPr>
          <w:rFonts w:hint="eastAsia" w:ascii="宋体" w:hAnsi="宋体" w:eastAsia="宋体" w:cs="宋体"/>
          <w:b/>
          <w:bCs/>
          <w:color w:val="auto"/>
          <w:sz w:val="24"/>
          <w:szCs w:val="24"/>
          <w:highlight w:val="none"/>
          <w:shd w:val="clear" w:color="auto" w:fill="ffffff"/>
        </w:rPr>
        <w:t xml:space="preserve">报价明细表</w:t>
      </w:r>
      <w:r/>
    </w:p>
    <w:p>
      <w:pPr>
        <w:pStyle w:val="733"/>
        <w:ind w:left="0" w:right="0" w:firstLine="0"/>
        <w:jc w:val="center"/>
        <w:rPr>
          <w:rFonts w:hint="default" w:ascii="宋体" w:hAnsi="宋体" w:eastAsia="宋体" w:cs="宋体"/>
          <w:b/>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 xml:space="preserve">投标</w:t>
      </w:r>
      <w:r>
        <w:rPr>
          <w:rFonts w:ascii="宋体" w:hAnsi="宋体" w:eastAsia="宋体" w:cs="宋体"/>
          <w:b/>
          <w:color w:val="auto"/>
          <w:sz w:val="24"/>
          <w:szCs w:val="24"/>
          <w:highlight w:val="none"/>
          <w:shd w:val="clear" w:color="auto" w:fill="ffffff"/>
        </w:rPr>
        <w:t xml:space="preserve">（响应）</w:t>
      </w:r>
      <w:r>
        <w:rPr>
          <w:rFonts w:ascii="宋体" w:hAnsi="宋体" w:eastAsia="宋体" w:cs="宋体"/>
          <w:b/>
          <w:bCs/>
          <w:color w:val="auto"/>
          <w:sz w:val="24"/>
          <w:szCs w:val="24"/>
          <w:highlight w:val="none"/>
          <w:shd w:val="clear" w:color="auto" w:fill="ffffff"/>
        </w:rPr>
        <w:t xml:space="preserve">报价明细表</w:t>
      </w:r>
      <w:r/>
    </w:p>
    <w:tbl>
      <w:tblPr>
        <w:tblStyle w:val="722"/>
        <w:tblW w:w="4423" w:type="pct"/>
        <w:jc w:val="center"/>
        <w:tblLayout w:type="autofit"/>
        <w:tblCellMar>
          <w:left w:w="0" w:type="dxa"/>
          <w:top w:w="0" w:type="dxa"/>
          <w:right w:w="0" w:type="dxa"/>
          <w:bottom w:w="0" w:type="dxa"/>
        </w:tblCellMar>
        <w:tblLook w:val="04A0" w:firstRow="1" w:lastRow="0" w:firstColumn="1" w:lastColumn="0" w:noHBand="0" w:noVBand="1"/>
      </w:tblPr>
      <w:tblGrid>
        <w:gridCol w:w="595"/>
        <w:gridCol w:w="1420"/>
        <w:gridCol w:w="916"/>
        <w:gridCol w:w="1033"/>
        <w:gridCol w:w="1061"/>
        <w:gridCol w:w="735"/>
        <w:gridCol w:w="657"/>
        <w:gridCol w:w="1113"/>
        <w:gridCol w:w="996"/>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color w:val="auto"/>
                <w:szCs w:val="21"/>
                <w:highlight w:val="none"/>
              </w:rPr>
            </w:pPr>
            <w:r>
              <w:rPr>
                <w:rFonts w:hint="eastAsia" w:ascii="宋体" w:hAnsi="宋体" w:eastAsia="宋体" w:cs="宋体"/>
                <w:b/>
                <w:color w:val="auto"/>
                <w:spacing w:val="20"/>
                <w:szCs w:val="24"/>
                <w:highlight w:val="none"/>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品牌</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9" w:type="pct"/>
            <w:vAlign w:val="center"/>
            <w:textDirection w:val="lrTb"/>
            <w:noWrap w:val="false"/>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7"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6"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2"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31"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8"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t xml:space="preserve">投标总价：</w:t>
            </w:r>
            <w:r>
              <w:rPr>
                <w:rFonts w:hint="eastAsia" w:ascii="宋体" w:hAnsi="宋体" w:eastAsia="宋体" w:cs="宋体"/>
                <w:b/>
                <w:color w:val="auto"/>
                <w:szCs w:val="21"/>
                <w:highlight w:val="none"/>
              </w:rPr>
              <w:t xml:space="preserve">（大写）人民币元                      （</w:t>
            </w:r>
            <w:r>
              <w:rPr>
                <w:rFonts w:hint="eastAsia" w:ascii="宋体" w:hAnsi="宋体" w:eastAsia="宋体" w:cs="宋体"/>
                <w:color w:val="auto"/>
                <w:sz w:val="24"/>
                <w:szCs w:val="20"/>
                <w:highlight w:val="none"/>
              </w:rPr>
              <w:t xml:space="preserve">¥</w:t>
            </w:r>
            <w:r>
              <w:rPr>
                <w:rFonts w:hint="eastAsia" w:ascii="宋体" w:hAnsi="宋体" w:eastAsia="宋体" w:cs="宋体"/>
                <w:b/>
                <w:color w:val="auto"/>
                <w:szCs w:val="21"/>
                <w:highlight w:val="none"/>
              </w:rPr>
              <w:t xml:space="preserve">           元）</w:t>
            </w:r>
            <w:r/>
          </w:p>
        </w:tc>
      </w:tr>
    </w:tbl>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jc w:val="left"/>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5、投标货物和服务数量、品牌型号、技术要求、交货期</w:t>
      </w:r>
      <w:r/>
    </w:p>
    <w:p>
      <w:pPr>
        <w:pStyle w:val="725"/>
        <w:ind w:firstLine="0"/>
        <w:jc w:val="center"/>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投标货物和服务数量、品牌型号、技术要求、交货期</w:t>
      </w:r>
      <w:r/>
    </w:p>
    <w:tbl>
      <w:tblPr>
        <w:tblStyle w:val="7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7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2"/>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bl>
    <w:p>
      <w:pPr>
        <w:pStyle w:val="725"/>
        <w:ind w:firstLine="0"/>
        <w:jc w:val="both"/>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1036"/>
        <w:ind w:firstLine="480"/>
        <w:spacing w:line="320" w:lineRule="exact"/>
        <w:rPr>
          <w:rFonts w:hAnsi="宋体" w:eastAsia="宋体" w:cs="宋体"/>
          <w:color w:val="auto"/>
          <w:sz w:val="24"/>
          <w:szCs w:val="24"/>
          <w:highlight w:val="none"/>
          <w:shd w:val="clear" w:color="auto" w:fill="ffffff"/>
        </w:rPr>
      </w:pPr>
      <w:r>
        <w:rPr>
          <w:rFonts w:hAnsi="宋体" w:eastAsia="宋体" w:cs="宋体"/>
          <w:color w:val="auto"/>
          <w:sz w:val="24"/>
          <w:szCs w:val="24"/>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6、针对本项目制定的实施方案</w:t>
      </w:r>
      <w:r/>
    </w:p>
    <w:p>
      <w:pPr>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针对本项目制定的实施方案</w:t>
      </w:r>
      <w:r/>
    </w:p>
    <w:tbl>
      <w:tblPr>
        <w:tblStyle w:val="722"/>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color w:val="auto"/>
                <w:sz w:val="24"/>
                <w:szCs w:val="21"/>
                <w:highlight w:val="none"/>
                <w:shd w:val="clear" w:color="auto" w:fill="ffffff"/>
              </w:rPr>
            </w:pPr>
            <w:r>
              <w:rPr>
                <w:rFonts w:hint="eastAsia" w:ascii="宋体" w:hAnsi="宋体" w:eastAsia="宋体" w:cs="宋体"/>
                <w:color w:val="auto"/>
                <w:sz w:val="24"/>
                <w:szCs w:val="24"/>
                <w:highlight w:val="none"/>
                <w:shd w:val="clear" w:color="auto" w:fill="ffffff"/>
              </w:rPr>
              <w:t xml:space="preserve">提示：</w:t>
            </w:r>
            <w:r>
              <w:rPr>
                <w:rFonts w:hint="eastAsia" w:ascii="宋体" w:hAnsi="宋体" w:eastAsia="宋体" w:cs="宋体"/>
                <w:bCs/>
                <w:color w:val="auto"/>
                <w:sz w:val="24"/>
                <w:szCs w:val="24"/>
                <w:highlight w:val="none"/>
              </w:rPr>
              <w:t xml:space="preserve">供应商应根据本次采购项目要求，对实施方案等进行详细的说明与描述。</w:t>
            </w:r>
            <w:r>
              <w:rPr>
                <w:rFonts w:hint="eastAsia" w:ascii="宋体" w:hAnsi="宋体" w:eastAsia="宋体" w:cs="宋体"/>
                <w:color w:val="auto"/>
                <w:sz w:val="24"/>
                <w:szCs w:val="24"/>
                <w:highlight w:val="none"/>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260"/>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ind w:firstLine="260"/>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tc>
      </w:tr>
    </w:tbl>
    <w:p>
      <w:pPr>
        <w:ind w:firstLine="480"/>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7、</w:t>
      </w:r>
      <w:r>
        <w:rPr>
          <w:rFonts w:hint="eastAsia" w:ascii="宋体" w:hAnsi="宋体" w:eastAsia="宋体" w:cs="宋体"/>
          <w:b/>
          <w:color w:val="auto"/>
          <w:sz w:val="24"/>
          <w:szCs w:val="24"/>
          <w:highlight w:val="none"/>
        </w:rPr>
        <w:t xml:space="preserve">技术或服务</w:t>
      </w:r>
      <w:r>
        <w:rPr>
          <w:rFonts w:hint="eastAsia" w:ascii="宋体" w:hAnsi="宋体" w:eastAsia="宋体" w:cs="宋体"/>
          <w:b/>
          <w:color w:val="auto"/>
          <w:sz w:val="24"/>
          <w:szCs w:val="24"/>
          <w:highlight w:val="none"/>
          <w:shd w:val="clear" w:color="auto" w:fill="ffffff"/>
        </w:rPr>
        <w:t xml:space="preserve">要求偏离表</w:t>
      </w:r>
      <w:r/>
    </w:p>
    <w:p>
      <w:pPr>
        <w:pStyle w:val="732"/>
        <w:ind w:left="0"/>
        <w:jc w:val="center"/>
        <w:spacing w:line="360" w:lineRule="auto"/>
        <w:rPr>
          <w:color w:val="auto"/>
          <w:highlight w:val="none"/>
          <w:lang w:val="zh-CN"/>
        </w:rPr>
      </w:pPr>
      <w:r>
        <w:rPr>
          <w:rFonts w:hint="eastAsia" w:ascii="宋体" w:hAnsi="宋体" w:eastAsia="宋体" w:cs="宋体"/>
          <w:b/>
          <w:color w:val="auto"/>
          <w:szCs w:val="24"/>
          <w:highlight w:val="none"/>
        </w:rPr>
        <w:t xml:space="preserve">技术或服务</w:t>
      </w:r>
      <w:r>
        <w:rPr>
          <w:rFonts w:hint="eastAsia" w:ascii="宋体" w:hAnsi="宋体" w:eastAsia="宋体" w:cs="宋体"/>
          <w:b/>
          <w:color w:val="auto"/>
          <w:szCs w:val="24"/>
          <w:highlight w:val="none"/>
          <w:shd w:val="clear" w:color="auto" w:fill="ffffff"/>
        </w:rPr>
        <w:t xml:space="preserve">要求偏离表</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bl>
    <w:p>
      <w:pPr>
        <w:pStyle w:val="764"/>
        <w:ind w:firstLine="520"/>
        <w:rPr>
          <w:rFonts w:ascii="宋体" w:hAnsi="宋体" w:eastAsia="宋体" w:cs="宋体"/>
          <w:color w:val="auto"/>
          <w:highlight w:val="none"/>
        </w:rPr>
      </w:pPr>
      <w:r>
        <w:rPr>
          <w:rFonts w:ascii="宋体" w:hAnsi="宋体" w:eastAsia="宋体" w:cs="宋体"/>
          <w:color w:val="auto"/>
          <w:highlight w:val="none"/>
        </w:rPr>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w:t>
      </w:r>
      <w:r>
        <w:rPr>
          <w:rFonts w:hint="eastAsia" w:ascii="宋体" w:hAnsi="宋体" w:eastAsia="宋体" w:cs="宋体"/>
          <w:b/>
          <w:color w:val="auto"/>
          <w:sz w:val="24"/>
          <w:szCs w:val="24"/>
          <w:highlight w:val="none"/>
          <w:shd w:val="clear" w:color="auto" w:fill="ffffff"/>
        </w:rPr>
        <w:t xml:space="preserve">服务</w:t>
      </w:r>
      <w:r>
        <w:rPr>
          <w:rFonts w:hint="eastAsia" w:ascii="宋体" w:hAnsi="宋体" w:eastAsia="宋体" w:cs="宋体"/>
          <w:b/>
          <w:color w:val="auto"/>
          <w:sz w:val="24"/>
          <w:szCs w:val="24"/>
          <w:highlight w:val="none"/>
          <w:shd w:val="clear" w:color="auto" w:fill="ffffff"/>
          <w:lang w:eastAsia="zh"/>
        </w:rPr>
        <w:t xml:space="preserve">条款详细描述和说明的替代。</w:t>
      </w:r>
      <w:r/>
    </w:p>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8、商务要求偏离表</w:t>
      </w:r>
      <w:r/>
    </w:p>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商务要求偏离表</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828"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292"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2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440"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699"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757" w:type="dxa"/>
            <w:textDirection w:val="lrTb"/>
            <w:noWrap w:val="false"/>
          </w:tcPr>
          <w:p>
            <w:pPr>
              <w:pStyle w:val="1038"/>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bl>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9、拟投入本项目人员配备一览表</w:t>
      </w:r>
      <w:r/>
    </w:p>
    <w:p>
      <w:pPr>
        <w:jc w:val="center"/>
        <w:spacing w:line="360" w:lineRule="auto"/>
        <w:rPr>
          <w:rFonts w:ascii="宋体" w:hAnsi="宋体" w:eastAsia="宋体" w:cs="宋体"/>
          <w:b/>
          <w:color w:val="auto"/>
          <w:sz w:val="26"/>
          <w:szCs w:val="20"/>
          <w:highlight w:val="none"/>
        </w:rPr>
      </w:pPr>
      <w:r>
        <w:rPr>
          <w:rFonts w:hint="eastAsia" w:ascii="宋体" w:hAnsi="宋体" w:eastAsia="宋体" w:cs="宋体"/>
          <w:b/>
          <w:color w:val="auto"/>
          <w:sz w:val="24"/>
          <w:szCs w:val="24"/>
          <w:highlight w:val="none"/>
        </w:rPr>
        <w:t xml:space="preserve">拟投入本项目人员配备一览表</w:t>
      </w:r>
      <w:r/>
    </w:p>
    <w:tbl>
      <w:tblPr>
        <w:tblStyle w:val="722"/>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注：投标人根据招标文件要求及自身情况配备项目团队成员。</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1"/>
          <w:highlight w:val="none"/>
        </w:rPr>
        <w:t xml:space="preserve">10、类似业绩情况表</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类似业绩情况表（如有）</w:t>
      </w:r>
      <w:r/>
    </w:p>
    <w:tbl>
      <w:tblPr>
        <w:tblStyle w:val="722"/>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合同金额（万元）</w:t>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pStyle w:val="733"/>
        <w:rPr>
          <w:rFonts w:hint="default" w:ascii="宋体" w:hAnsi="宋体" w:eastAsia="宋体" w:cs="宋体"/>
          <w:color w:val="auto"/>
          <w:highlight w:val="none"/>
        </w:rPr>
      </w:pPr>
      <w:r>
        <w:rPr>
          <w:rFonts w:hint="default" w:ascii="宋体" w:hAnsi="宋体" w:eastAsia="宋体" w:cs="宋体"/>
          <w:color w:val="auto"/>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spacing w:line="360" w:lineRule="auto"/>
        <w:rPr>
          <w:rFonts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4"/>
          <w:szCs w:val="21"/>
          <w:highlight w:val="none"/>
        </w:rPr>
        <w:t xml:space="preserve">11、资格证明文件</w:t>
      </w:r>
      <w:r/>
    </w:p>
    <w:p>
      <w:pPr>
        <w:spacing w:line="360" w:lineRule="auto"/>
        <w:rPr>
          <w:rFonts w:ascii="宋体" w:hAnsi="宋体" w:eastAsia="宋体" w:cs="宋体"/>
          <w:b/>
          <w:color w:val="auto"/>
          <w:sz w:val="24"/>
          <w:szCs w:val="20"/>
          <w:highlight w:val="none"/>
          <w:shd w:val="clear" w:color="auto" w:fill="ffffff"/>
        </w:rPr>
      </w:pPr>
      <w:r>
        <w:rPr>
          <w:rFonts w:ascii="宋体" w:hAnsi="宋体" w:eastAsia="宋体" w:cs="宋体"/>
          <w:b/>
          <w:color w:val="auto"/>
          <w:sz w:val="24"/>
          <w:szCs w:val="20"/>
          <w:highlight w:val="none"/>
          <w:shd w:val="clear" w:color="auto" w:fill="ffffff"/>
        </w:rPr>
      </w:r>
      <w:r/>
    </w:p>
    <w:p>
      <w:pPr>
        <w:spacing w:line="360" w:lineRule="auto"/>
        <w:rPr>
          <w:rFonts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（1）资格文件的声明函</w:t>
      </w:r>
      <w:r/>
    </w:p>
    <w:p>
      <w:pPr>
        <w:jc w:val="center"/>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资格文件的声明函</w:t>
      </w:r>
      <w:r/>
    </w:p>
    <w:p>
      <w:pPr>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shd w:val="clear" w:color="auto" w:fill="ffffff"/>
        </w:rPr>
        <w:t xml:space="preserve">苏州诚和招投标咨询有限公司</w:t>
      </w:r>
      <w:r>
        <w:rPr>
          <w:rFonts w:hint="eastAsia" w:ascii="宋体" w:hAnsi="宋体" w:eastAsia="宋体" w:cs="宋体"/>
          <w:color w:val="auto"/>
          <w:sz w:val="24"/>
          <w:szCs w:val="24"/>
          <w:highlight w:val="none"/>
          <w:u w:val="single"/>
        </w:rPr>
        <w:t xml:space="preserve">：</w:t>
      </w:r>
      <w:r/>
    </w:p>
    <w:p>
      <w:pPr>
        <w:ind w:firstLine="480"/>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本公司愿就由贵司组织实施的编号为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480"/>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（2）供应商基本情况表</w:t>
      </w:r>
      <w:r/>
    </w:p>
    <w:p>
      <w:pPr>
        <w:jc w:val="center"/>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供应商基本情况表</w:t>
      </w:r>
      <w:r/>
    </w:p>
    <w:p>
      <w:pPr>
        <w:ind w:firstLine="480"/>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单位名称：</w:t>
      </w:r>
      <w:r/>
    </w:p>
    <w:tbl>
      <w:tblPr>
        <w:tblStyle w:val="7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92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92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92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gridSpan w:val="2"/>
            <w:tcW w:w="350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920"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920"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2025年    万元</w:t>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92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2025年  万元</w:t>
            </w:r>
            <w:r/>
          </w:p>
        </w:tc>
        <w:tc>
          <w:tcPr>
            <w:tcW w:w="14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920" w:type="dxa"/>
            <w:vAlign w:val="center"/>
            <w:textDirection w:val="lrTb"/>
            <w:noWrap w:val="false"/>
          </w:tcPr>
          <w:p>
            <w:pPr>
              <w:ind w:firstLine="96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4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bCs/>
          <w:color w:val="auto"/>
          <w:szCs w:val="24"/>
          <w:highlight w:val="none"/>
          <w:shd w:val="clear" w:color="auto" w:fill="ffffff"/>
        </w:rPr>
      </w:pPr>
      <w:r>
        <w:rPr>
          <w:rFonts w:hint="eastAsia" w:ascii="宋体" w:hAnsi="宋体" w:eastAsia="宋体" w:cs="宋体"/>
          <w:b/>
          <w:bCs/>
          <w:color w:val="auto"/>
          <w:szCs w:val="24"/>
          <w:highlight w:val="none"/>
          <w:shd w:val="clear" w:color="auto" w:fill="ffffff"/>
        </w:rPr>
        <w:br w:type="page" w:clear="all"/>
      </w:r>
      <w:r/>
    </w:p>
    <w:p>
      <w:pPr>
        <w:spacing w:line="360" w:lineRule="auto"/>
        <w:rPr>
          <w:rFonts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（3）关于符合本国产品标准的声明函</w:t>
      </w:r>
      <w:r/>
    </w:p>
    <w:p>
      <w:pPr>
        <w:ind w:firstLine="200"/>
        <w:spacing w:line="360" w:lineRule="auto"/>
        <w:rPr>
          <w:rFonts w:ascii="宋体" w:hAnsi="宋体" w:eastAsia="宋体" w:cs="宋体"/>
          <w:color w:val="auto"/>
          <w:sz w:val="24"/>
          <w:szCs w:val="24"/>
          <w:highlight w:val="none"/>
        </w:rPr>
      </w:pPr>
      <w:r/>
      <w:bookmarkStart w:id="58" w:name="OLE_LINK5"/>
      <w:r/>
      <w:bookmarkEnd w:id="58"/>
      <w:r/>
      <w:bookmarkStart w:id="59" w:name="OLE_LINK6"/>
      <w:r/>
      <w:bookmarkEnd w:id="59"/>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60"/>
        <w:ind w:firstLine="480"/>
        <w:jc w:val="both"/>
        <w:spacing w:before="0" w:beforeAutospacing="0" w:after="0" w:afterAutospacing="0" w:line="360" w:lineRule="auto"/>
        <w:rPr>
          <w:rFonts w:ascii="宋体" w:hAnsi="宋体" w:eastAsia="宋体" w:cs="宋体"/>
          <w:color w:val="auto"/>
          <w:szCs w:val="24"/>
          <w:highlight w:val="none"/>
        </w:rPr>
      </w:pPr>
      <w:r/>
      <w:bookmarkStart w:id="60" w:name="OLE_LINK12"/>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firstLine="480"/>
        <w:jc w:val="both"/>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w:t xml:space="preserve">1.</w:t>
      </w:r>
      <w:r>
        <w:rPr>
          <w:rStyle w:val="770"/>
          <w:rFonts w:hint="eastAsia" w:ascii="宋体" w:hAnsi="宋体" w:eastAsia="宋体" w:cs="宋体"/>
          <w:i w:val="0"/>
          <w:color w:val="auto"/>
          <w:szCs w:val="24"/>
          <w:highlight w:val="none"/>
          <w:u w:val="single"/>
          <w:shd w:val="clear" w:color="auto" w:fill="ffffff"/>
        </w:rPr>
        <w:t xml:space="preserve">（产品名称1）</w:t>
      </w:r>
      <w:r>
        <w:rPr>
          <w:rStyle w:val="770"/>
          <w:rFonts w:hint="eastAsia" w:ascii="宋体" w:hAnsi="宋体" w:eastAsia="宋体" w:cs="宋体"/>
          <w:i w:val="0"/>
          <w:color w:val="auto"/>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770"/>
          <w:rFonts w:hint="eastAsia" w:ascii="宋体" w:hAnsi="宋体" w:eastAsia="宋体" w:cs="宋体"/>
          <w:i w:val="0"/>
          <w:color w:val="auto"/>
          <w:szCs w:val="24"/>
          <w:highlight w:val="none"/>
          <w:u w:val="single"/>
          <w:shd w:val="clear" w:color="auto" w:fill="ffffff"/>
        </w:rPr>
        <w:t xml:space="preserve">（厂名）</w:t>
      </w:r>
      <w:r>
        <w:rPr>
          <w:rStyle w:val="770"/>
          <w:rFonts w:hint="eastAsia" w:ascii="宋体" w:hAnsi="宋体" w:eastAsia="宋体" w:cs="宋体"/>
          <w:i w:val="0"/>
          <w:color w:val="auto"/>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770"/>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770"/>
          <w:rFonts w:hint="eastAsia" w:ascii="宋体" w:hAnsi="宋体" w:eastAsia="宋体" w:cs="宋体"/>
          <w:i w:val="0"/>
          <w:color w:val="auto"/>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770"/>
          <w:rFonts w:hint="eastAsia" w:ascii="宋体" w:hAnsi="宋体" w:eastAsia="宋体" w:cs="宋体"/>
          <w:i w:val="0"/>
          <w:color w:val="auto"/>
          <w:szCs w:val="24"/>
          <w:highlight w:val="none"/>
          <w:u w:val="single"/>
          <w:shd w:val="clear" w:color="auto" w:fill="ffffff"/>
        </w:rPr>
        <w:t xml:space="preserve">（规定比例）</w:t>
      </w:r>
      <w:r>
        <w:rPr>
          <w:rStyle w:val="770"/>
          <w:rFonts w:hint="eastAsia" w:ascii="宋体" w:hAnsi="宋体" w:eastAsia="宋体" w:cs="宋体"/>
          <w:i w:val="0"/>
          <w:color w:val="auto"/>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770"/>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770"/>
          <w:rFonts w:hint="eastAsia" w:ascii="宋体" w:hAnsi="宋体" w:eastAsia="宋体" w:cs="宋体"/>
          <w:i w:val="0"/>
          <w:color w:val="auto"/>
          <w:szCs w:val="24"/>
          <w:highlight w:val="none"/>
          <w:u w:val="single"/>
          <w:shd w:val="clear" w:color="auto" w:fill="ffffff"/>
        </w:rPr>
        <w:t xml:space="preserve">（关键组件）</w:t>
      </w:r>
      <w:r>
        <w:rPr>
          <w:rStyle w:val="770"/>
          <w:rFonts w:hint="eastAsia" w:ascii="宋体" w:hAnsi="宋体" w:eastAsia="宋体" w:cs="宋体"/>
          <w:i w:val="0"/>
          <w:color w:val="auto"/>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770"/>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770"/>
          <w:rFonts w:hint="eastAsia" w:ascii="宋体" w:hAnsi="宋体" w:eastAsia="宋体" w:cs="宋体"/>
          <w:i w:val="0"/>
          <w:color w:val="auto"/>
          <w:szCs w:val="24"/>
          <w:highlight w:val="none"/>
          <w:u w:val="single"/>
          <w:shd w:val="clear" w:color="auto" w:fill="ffffff"/>
        </w:rPr>
        <w:t xml:space="preserve">（关键工序）</w:t>
      </w:r>
      <w:r>
        <w:rPr>
          <w:rStyle w:val="770"/>
          <w:rFonts w:hint="eastAsia" w:ascii="宋体" w:hAnsi="宋体" w:eastAsia="宋体" w:cs="宋体"/>
          <w:i w:val="0"/>
          <w:color w:val="auto"/>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w:t xml:space="preserve">2.</w:t>
      </w:r>
      <w:r>
        <w:rPr>
          <w:rStyle w:val="770"/>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，生产厂为</w:t>
      </w:r>
      <w:r>
        <w:rPr>
          <w:rStyle w:val="770"/>
          <w:rFonts w:hint="eastAsia" w:ascii="宋体" w:hAnsi="宋体" w:eastAsia="宋体" w:cs="宋体"/>
          <w:i w:val="0"/>
          <w:color w:val="auto"/>
          <w:sz w:val="24"/>
          <w:szCs w:val="24"/>
          <w:highlight w:val="none"/>
          <w:u w:val="single"/>
        </w:rPr>
        <w:t xml:space="preserve">（厂名）</w:t>
      </w:r>
      <w:r>
        <w:rPr>
          <w:rFonts w:hint="eastAsia" w:ascii="宋体" w:hAnsi="宋体" w:eastAsia="宋体" w:cs="宋体"/>
          <w:color w:val="auto"/>
          <w:sz w:val="24"/>
          <w:szCs w:val="24"/>
          <w:highlight w:val="none"/>
        </w:rPr>
        <w:t xml:space="preserve">，厂址为</w:t>
      </w:r>
      <w:r>
        <w:rPr>
          <w:rStyle w:val="770"/>
          <w:rFonts w:hint="eastAsia" w:ascii="宋体" w:hAnsi="宋体" w:eastAsia="宋体" w:cs="宋体"/>
          <w:i w:val="0"/>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Style w:val="770"/>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的中国境内生产的组件成本占比≥</w:t>
      </w:r>
      <w:r>
        <w:rPr>
          <w:rStyle w:val="770"/>
          <w:rFonts w:hint="eastAsia" w:ascii="宋体" w:hAnsi="宋体" w:eastAsia="宋体" w:cs="宋体"/>
          <w:i w:val="0"/>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w:t>
      </w:r>
      <w:r>
        <w:rPr>
          <w:rStyle w:val="770"/>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770"/>
          <w:rFonts w:hint="eastAsia" w:ascii="宋体" w:hAnsi="宋体" w:eastAsia="宋体" w:cs="宋体"/>
          <w:i w:val="0"/>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在中国境内生产。</w:t>
      </w:r>
      <w:r>
        <w:rPr>
          <w:rStyle w:val="770"/>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770"/>
          <w:rFonts w:hint="eastAsia" w:ascii="宋体" w:hAnsi="宋体" w:eastAsia="宋体" w:cs="宋体"/>
          <w:i w:val="0"/>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在中国境内完成。</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__________________</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1.产品如有型号，请在“产品名称”栏一并填写。</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bookmarkEnd w:id="61"/>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4.该产品的关键组件要求实施前，“关键组件”栏可不填，下同。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5.该产品的关键工序要求实施前，“关键工序”栏可不填，下同。</w:t>
      </w:r>
      <w:r/>
    </w:p>
    <w:p>
      <w:pPr>
        <w:pStyle w:val="760"/>
        <w:ind w:firstLine="480"/>
        <w:jc w:val="both"/>
        <w:spacing w:before="0" w:beforeAutospacing="0" w:after="0" w:afterAutospacing="0" w:line="360" w:lineRule="auto"/>
        <w:rPr>
          <w:rFonts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6.用斜线划除的地方无需填写。</w:t>
      </w:r>
      <w:r/>
    </w:p>
    <w:p>
      <w:pPr>
        <w:pStyle w:val="731"/>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394"/>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60"/>
      <w:r/>
      <w:r/>
    </w:p>
    <w:p>
      <w:pPr>
        <w:pStyle w:val="731"/>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spacing w:line="360" w:lineRule="auto"/>
        <w:rPr>
          <w:rFonts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pStyle w:val="725"/>
        <w:ind w:firstLine="0"/>
        <w:jc w:val="both"/>
        <w:spacing w:line="360" w:lineRule="auto"/>
        <w:rPr>
          <w:rFonts w:ascii="宋体" w:hAnsi="宋体" w:eastAsia="宋体" w:cs="宋体"/>
          <w:b/>
          <w:color w:val="auto"/>
          <w:highlight w:val="none"/>
          <w:shd w:val="clear" w:color="auto" w:fill="ffffff"/>
        </w:rPr>
        <w:outlineLvl w:val="2"/>
      </w:pPr>
      <w:r>
        <w:rPr>
          <w:rFonts w:hint="eastAsia" w:ascii="宋体" w:hAnsi="宋体" w:eastAsia="宋体" w:cs="宋体"/>
          <w:b/>
          <w:color w:val="auto"/>
          <w:highlight w:val="none"/>
          <w:shd w:val="clear" w:color="auto" w:fill="ffffff"/>
        </w:rPr>
        <w:t xml:space="preserve">（5）中小企业声明函</w:t>
      </w:r>
      <w:r/>
    </w:p>
    <w:p>
      <w:pPr>
        <w:ind w:firstLine="482"/>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中小企业声明函（货物）</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zh-CN"/>
        </w:rPr>
        <w:t xml:space="preserve">）郑重声明，根据《政府采购促进中小企业发展管理办法》（财库﹝2020﹞46 号）的规定，本公司（</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zh-CN"/>
        </w:rPr>
        <w:t xml:space="preserve">）参加</w:t>
      </w:r>
      <w:r>
        <w:rPr>
          <w:rFonts w:hint="eastAsia" w:ascii="宋体" w:hAnsi="宋体" w:eastAsia="宋体" w:cs="宋体"/>
          <w:color w:val="auto"/>
          <w:sz w:val="24"/>
          <w:szCs w:val="20"/>
          <w:highlight w:val="none"/>
          <w:u w:val="single"/>
          <w:shd w:val="clear" w:color="auto" w:fill="ffffff"/>
        </w:rPr>
        <w:t xml:space="preserve">苏州大学</w:t>
      </w:r>
      <w:r>
        <w:rPr>
          <w:rFonts w:hint="eastAsia" w:ascii="宋体" w:hAnsi="宋体" w:eastAsia="宋体" w:cs="宋体"/>
          <w:color w:val="auto"/>
          <w:sz w:val="24"/>
          <w:szCs w:val="20"/>
          <w:highlight w:val="none"/>
          <w:shd w:val="clear" w:color="auto" w:fill="ffffff"/>
        </w:rPr>
        <w:t xml:space="preserve">的</w:t>
      </w:r>
      <w:r>
        <w:rPr>
          <w:rFonts w:hint="eastAsia" w:ascii="宋体" w:hAnsi="宋体" w:eastAsia="宋体" w:cs="宋体"/>
          <w:color w:val="auto"/>
          <w:sz w:val="24"/>
          <w:szCs w:val="20"/>
          <w:highlight w:val="none"/>
          <w:u w:val="single"/>
          <w:shd w:val="clear" w:color="auto" w:fill="ffffff"/>
        </w:rPr>
        <w:t xml:space="preserve">手动膜片钳</w:t>
      </w:r>
      <w:r>
        <w:rPr>
          <w:rFonts w:hint="eastAsia" w:ascii="宋体" w:hAnsi="宋体" w:eastAsia="宋体" w:cs="宋体"/>
          <w:color w:val="auto"/>
          <w:sz w:val="24"/>
          <w:szCs w:val="24"/>
          <w:highlight w:val="none"/>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4"/>
          <w:highlight w:val="none"/>
          <w:lang w:val="zh-CN"/>
        </w:rPr>
        <w:t xml:space="preserve">制造商</w:t>
      </w:r>
      <w:r>
        <w:rPr>
          <w:rFonts w:hint="eastAsia" w:ascii="宋体" w:hAnsi="宋体" w:eastAsia="宋体" w:cs="宋体"/>
          <w:color w:val="auto"/>
          <w:sz w:val="24"/>
          <w:szCs w:val="20"/>
          <w:highlight w:val="none"/>
          <w:shd w:val="clear" w:color="auto" w:fill="ffffff"/>
        </w:rPr>
        <w:t xml:space="preserve">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numPr>
          <w:ilvl w:val="0"/>
          <w:numId w:val="3"/>
        </w:numPr>
        <w:ind w:firstLine="480"/>
        <w:jc w:val="left"/>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4"/>
          <w:highlight w:val="none"/>
          <w:lang w:val="zh-CN"/>
        </w:rPr>
        <w:t xml:space="preserve">制造商</w:t>
      </w:r>
      <w:r>
        <w:rPr>
          <w:rFonts w:hint="eastAsia" w:ascii="宋体" w:hAnsi="宋体" w:eastAsia="宋体" w:cs="宋体"/>
          <w:color w:val="auto"/>
          <w:sz w:val="24"/>
          <w:szCs w:val="20"/>
          <w:highlight w:val="none"/>
          <w:shd w:val="clear" w:color="auto" w:fill="ffffff"/>
        </w:rPr>
        <w:t xml:space="preserve">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pStyle w:val="731"/>
        <w:rPr>
          <w:rFonts w:ascii="宋体" w:hAnsi="宋体" w:eastAsia="宋体" w:cs="宋体"/>
          <w:color w:val="auto"/>
          <w:highlight w:val="none"/>
          <w:lang w:val="zh-CN"/>
        </w:rPr>
      </w:pPr>
      <w:r>
        <w:rPr>
          <w:rFonts w:ascii="宋体" w:hAnsi="宋体" w:eastAsia="宋体" w:cs="宋体"/>
          <w:color w:val="auto"/>
          <w:highlight w:val="none"/>
          <w:lang w:val="zh-CN"/>
        </w:rPr>
      </w:r>
      <w:r/>
    </w:p>
    <w:p>
      <w:pPr>
        <w:ind w:left="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企业名称（盖章）：</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22"/>
        <w:spacing w:line="380" w:lineRule="exact"/>
        <w:rPr>
          <w:rFonts w:ascii="宋体" w:hAnsi="宋体" w:eastAsia="宋体" w:cs="宋体"/>
          <w:color w:val="auto"/>
          <w:sz w:val="24"/>
          <w:szCs w:val="24"/>
          <w:highlight w:val="none"/>
          <w:shd w:val="clear" w:color="auto" w:fill="ffffff"/>
        </w:rPr>
      </w:pPr>
      <w:r>
        <w:rPr>
          <w:rFonts w:hint="eastAsia" w:ascii="宋体" w:hAnsi="宋体" w:eastAsia="宋体" w:cs="宋体"/>
          <w:b/>
          <w:color w:val="auto"/>
          <w:szCs w:val="21"/>
          <w:highlight w:val="none"/>
        </w:rPr>
        <w:t xml:space="preserve">备注：</w:t>
      </w:r>
      <w:r/>
    </w:p>
    <w:p>
      <w:pPr>
        <w:numPr>
          <w:ilvl w:val="255"/>
          <w:numId w:val="0"/>
        </w:numPr>
        <w:ind w:firstLine="420"/>
        <w:spacing w:line="380" w:lineRule="exact"/>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1、从业人员、营业收入、资产总额填报上一年度数据，无上一年度数据的新成立企业可不填报。</w:t>
      </w:r>
      <w:r/>
    </w:p>
    <w:p>
      <w:pPr>
        <w:rPr>
          <w:rFonts w:ascii="宋体" w:hAnsi="宋体" w:eastAsia="宋体" w:cs="宋体"/>
          <w:b/>
          <w:color w:val="auto"/>
          <w:sz w:val="24"/>
          <w:szCs w:val="20"/>
          <w:highlight w:val="none"/>
          <w:shd w:val="clear" w:color="auto" w:fill="ffffff"/>
        </w:rPr>
      </w:pPr>
      <w:r>
        <w:rPr>
          <w:rFonts w:hint="eastAsia" w:ascii="宋体" w:hAnsi="宋体" w:eastAsia="宋体" w:cs="宋体"/>
          <w:color w:val="auto"/>
          <w:sz w:val="24"/>
          <w:highlight w:val="none"/>
          <w:shd w:val="clear" w:color="auto" w:fill="ffffff"/>
        </w:rPr>
        <w:br w:type="page" w:clear="all"/>
      </w:r>
      <w:r/>
    </w:p>
    <w:p>
      <w:pPr>
        <w:pStyle w:val="725"/>
        <w:ind w:firstLine="0"/>
        <w:jc w:val="both"/>
        <w:spacing w:line="360" w:lineRule="auto"/>
        <w:rPr>
          <w:rFonts w:ascii="宋体" w:hAnsi="宋体" w:eastAsia="宋体" w:cs="宋体"/>
          <w:b/>
          <w:color w:val="auto"/>
          <w:highlight w:val="none"/>
          <w:shd w:val="clear" w:color="auto" w:fill="ffffff"/>
        </w:rPr>
        <w:outlineLvl w:val="2"/>
      </w:pPr>
      <w:r>
        <w:rPr>
          <w:rFonts w:hint="eastAsia" w:ascii="宋体" w:hAnsi="宋体" w:eastAsia="宋体" w:cs="宋体"/>
          <w:b/>
          <w:color w:val="auto"/>
          <w:highlight w:val="none"/>
          <w:shd w:val="clear" w:color="auto" w:fill="ffffff"/>
        </w:rPr>
        <w:t xml:space="preserve">（6）残疾人福利性单位声明函</w:t>
      </w:r>
      <w:r/>
    </w:p>
    <w:p>
      <w:pPr>
        <w:jc w:val="center"/>
        <w:spacing w:before="100" w:after="100" w:line="360" w:lineRule="auto"/>
        <w:widowControl/>
        <w:rPr>
          <w:rFonts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单位名称（盖章）：</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br w:type="page" w:clear="all"/>
      </w:r>
      <w:r/>
    </w:p>
    <w:p>
      <w:pPr>
        <w:jc w:val="left"/>
        <w:spacing w:line="360" w:lineRule="auto"/>
        <w:rPr>
          <w:rFonts w:ascii="宋体" w:hAnsi="宋体" w:eastAsia="宋体" w:cs="宋体"/>
          <w:b/>
          <w:color w:val="auto"/>
          <w:sz w:val="24"/>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（7）</w:t>
      </w:r>
      <w:r>
        <w:rPr>
          <w:rFonts w:hint="eastAsia" w:ascii="宋体" w:hAnsi="宋体" w:eastAsia="宋体" w:cs="宋体"/>
          <w:b/>
          <w:bCs/>
          <w:color w:val="auto"/>
          <w:sz w:val="24"/>
          <w:highlight w:val="none"/>
          <w:shd w:val="clear" w:color="auto" w:fill="ffffff"/>
        </w:rPr>
        <w:t xml:space="preserve">对投标人（供应商）有直接控股、管理关系的单位情况表</w:t>
      </w:r>
      <w:r/>
    </w:p>
    <w:p>
      <w:pPr>
        <w:jc w:val="center"/>
        <w:spacing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对投标人（供应商）有直接控股、管理关系的单位情况表</w:t>
      </w:r>
      <w:r/>
    </w:p>
    <w:p>
      <w:pPr>
        <w:ind w:firstLine="42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单位名称：</w:t>
      </w:r>
      <w:r/>
    </w:p>
    <w:tbl>
      <w:tblPr>
        <w:tblStyle w:val="722"/>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单位名称</w:t>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是否为大型企业</w:t>
            </w:r>
            <w:r/>
          </w:p>
          <w:p>
            <w:pPr>
              <w:jc w:val="center"/>
              <w:widowControl/>
              <w:rPr>
                <w:rFonts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直接控股关系情况说明</w:t>
            </w:r>
            <w:r>
              <w:rPr>
                <w:rFonts w:hint="eastAsia" w:ascii="宋体" w:hAnsi="宋体" w:eastAsia="宋体" w:cs="宋体"/>
                <w:b/>
                <w:color w:val="auto"/>
                <w:sz w:val="18"/>
                <w:szCs w:val="18"/>
                <w:highlight w:val="none"/>
                <w:shd w:val="clear" w:color="auto" w:fill="ffffff"/>
              </w:rPr>
              <w:t xml:space="preserve">（持股比例等）</w:t>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单位名称</w:t>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是否为大型企业</w:t>
            </w:r>
            <w:r/>
          </w:p>
          <w:p>
            <w:pPr>
              <w:jc w:val="center"/>
              <w:widowControl/>
              <w:rPr>
                <w:rFonts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3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2025"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47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98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610" w:type="dxa"/>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bl>
    <w:p>
      <w:pPr>
        <w:ind w:firstLine="482"/>
        <w:jc w:val="left"/>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color w:val="auto"/>
          <w:sz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rPr>
        <w:t xml:space="preserve">如填写“无”或不填写，均视为投标人（供应商）声明不存在有关情形。</w:t>
      </w:r>
      <w:r/>
    </w:p>
    <w:p>
      <w:pPr>
        <w:pStyle w:val="732"/>
        <w:ind w:left="0" w:firstLine="482"/>
        <w:jc w:val="left"/>
        <w:spacing w:line="360" w:lineRule="auto"/>
        <w:rPr>
          <w:rFonts w:ascii="宋体" w:hAnsi="宋体" w:eastAsia="宋体" w:cs="宋体"/>
          <w:color w:val="auto"/>
          <w:highlight w:val="none"/>
        </w:rPr>
      </w:pPr>
      <w:r>
        <w:rPr>
          <w:rFonts w:hint="eastAsia" w:ascii="宋体" w:hAnsi="宋体" w:eastAsia="宋体" w:cs="宋体"/>
          <w:b/>
          <w:color w:val="auto"/>
          <w:szCs w:val="24"/>
          <w:highlight w:val="none"/>
          <w:shd w:val="clear" w:color="auto" w:fill="ffffff"/>
        </w:rPr>
        <w:t xml:space="preserve">2、其中“直接控股”是指投标人（供应商）与大型企业之间存在直接投资并控股（非普通持股）的关系。</w:t>
      </w:r>
      <w:r/>
    </w:p>
    <w:p>
      <w:pPr>
        <w:pStyle w:val="1022"/>
        <w:ind w:firstLine="480"/>
        <w:jc w:val="left"/>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1022"/>
        <w:ind w:firstLine="480"/>
        <w:jc w:val="left"/>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022"/>
        <w:ind w:firstLine="4440"/>
        <w:jc w:val="right"/>
        <w:spacing w:line="36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jc w:val="right"/>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rPr>
          <w:rFonts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br w:type="page" w:clear="all"/>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pStyle w:val="733"/>
        <w:rPr>
          <w:rFonts w:hint="default" w:ascii="宋体" w:hAnsi="宋体" w:eastAsia="宋体" w:cs="宋体"/>
          <w:color w:val="auto"/>
          <w:sz w:val="30"/>
          <w:szCs w:val="30"/>
          <w:highlight w:val="none"/>
          <w:shd w:val="clear" w:color="auto" w:fill="ffffff"/>
        </w:rPr>
      </w:pPr>
      <w:r>
        <w:rPr>
          <w:rFonts w:hint="default" w:ascii="宋体" w:hAnsi="宋体" w:eastAsia="宋体" w:cs="宋体"/>
          <w:color w:val="auto"/>
          <w:sz w:val="30"/>
          <w:szCs w:val="30"/>
          <w:highlight w:val="none"/>
          <w:shd w:val="clear" w:color="auto" w:fill="ffffff"/>
        </w:rPr>
      </w:r>
      <w:r/>
    </w:p>
    <w:p>
      <w:pPr>
        <w:pStyle w:val="733"/>
        <w:rPr>
          <w:rFonts w:hint="default" w:ascii="宋体" w:hAnsi="宋体" w:eastAsia="宋体" w:cs="宋体"/>
          <w:color w:val="auto"/>
          <w:sz w:val="30"/>
          <w:szCs w:val="30"/>
          <w:highlight w:val="none"/>
          <w:shd w:val="clear" w:color="auto" w:fill="ffffff"/>
        </w:rPr>
      </w:pPr>
      <w:r>
        <w:rPr>
          <w:rFonts w:hint="default"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bookmarkStart w:id="62" w:name="_Toc13642115"/>
      <w:r/>
      <w:bookmarkStart w:id="63" w:name="_Toc105940240"/>
      <w:r>
        <w:rPr>
          <w:rFonts w:hint="eastAsia" w:ascii="宋体" w:hAnsi="宋体" w:eastAsia="宋体" w:cs="宋体"/>
          <w:b/>
          <w:color w:val="auto"/>
          <w:sz w:val="52"/>
          <w:szCs w:val="20"/>
          <w:highlight w:val="none"/>
          <w:shd w:val="clear" w:color="auto" w:fill="ffffff"/>
        </w:rPr>
        <w:t xml:space="preserve">第四章 招标书</w:t>
      </w:r>
      <w:bookmarkEnd w:id="62"/>
      <w:r/>
      <w:bookmarkEnd w:id="63"/>
      <w:r/>
      <w:r/>
    </w:p>
    <w:p>
      <w:pPr>
        <w:jc w:val="center"/>
        <w:spacing w:line="360" w:lineRule="auto"/>
        <w:rPr>
          <w:rFonts w:ascii="宋体" w:hAnsi="宋体" w:eastAsia="宋体" w:cs="宋体"/>
          <w:b/>
          <w:color w:val="auto"/>
          <w:sz w:val="48"/>
          <w:szCs w:val="48"/>
          <w:highlight w:val="none"/>
          <w:shd w:val="clear" w:color="auto" w:fill="ffffff"/>
        </w:rPr>
      </w:pPr>
      <w:r/>
      <w:bookmarkStart w:id="64" w:name="_Toc13543212"/>
      <w:r>
        <w:rPr>
          <w:rFonts w:hint="eastAsia" w:ascii="宋体" w:hAnsi="宋体" w:eastAsia="宋体" w:cs="宋体"/>
          <w:b/>
          <w:color w:val="auto"/>
          <w:sz w:val="48"/>
          <w:szCs w:val="48"/>
          <w:highlight w:val="none"/>
          <w:shd w:val="clear" w:color="auto" w:fill="ffffff"/>
        </w:rPr>
        <w:br w:type="page" w:clear="all"/>
      </w:r>
      <w:r>
        <w:rPr>
          <w:rFonts w:hint="eastAsia" w:ascii="宋体" w:hAnsi="宋体" w:eastAsia="宋体" w:cs="宋体"/>
          <w:b/>
          <w:color w:val="auto"/>
          <w:sz w:val="48"/>
          <w:szCs w:val="48"/>
          <w:highlight w:val="none"/>
          <w:shd w:val="clear" w:color="auto" w:fill="ffffff"/>
        </w:rPr>
        <w:t xml:space="preserve">招标书</w:t>
      </w:r>
      <w:bookmarkEnd w:id="64"/>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苏州诚和招投标咨询有限公司受苏州大学的委托，就其所需的手动膜片钳进行国内公开招标。欢迎有资格的供应商前来参加投标（响应）。</w:t>
      </w:r>
      <w:r/>
    </w:p>
    <w:p>
      <w:pPr>
        <w:ind w:firstLine="482"/>
        <w:jc w:val="left"/>
        <w:spacing w:line="360" w:lineRule="auto"/>
        <w:rPr>
          <w:rFonts w:hint="eastAsia" w:ascii="宋体" w:hAnsi="宋体" w:eastAsia="宋体" w:cs="宋体"/>
          <w:b/>
          <w:color w:val="auto"/>
          <w:sz w:val="24"/>
          <w:szCs w:val="24"/>
          <w:highlight w:val="none"/>
          <w:shd w:val="clear" w:color="auto" w:fill="ffffff"/>
          <w:lang w:eastAsia="zh-CN"/>
        </w:rPr>
        <w:outlineLvl w:val="1"/>
      </w:pPr>
      <w:r>
        <w:rPr>
          <w:rFonts w:hint="eastAsia" w:ascii="宋体" w:hAnsi="宋体" w:eastAsia="宋体" w:cs="宋体"/>
          <w:b/>
          <w:color w:val="auto"/>
          <w:sz w:val="24"/>
          <w:szCs w:val="24"/>
          <w:highlight w:val="none"/>
          <w:shd w:val="clear" w:color="auto" w:fill="ffffff"/>
        </w:rPr>
        <w:t xml:space="preserve">一、招标编号：</w:t>
      </w:r>
      <w:bookmarkStart w:id="65" w:name="OLE_LINK1"/>
      <w:r>
        <w:rPr>
          <w:rFonts w:hint="eastAsia" w:ascii="宋体" w:hAnsi="宋体" w:eastAsia="宋体" w:cs="宋体"/>
          <w:color w:val="auto"/>
          <w:sz w:val="24"/>
          <w:highlight w:val="none"/>
          <w:lang w:eastAsia="zh-CN"/>
        </w:rPr>
        <w:t xml:space="preserve">JSZC-320500-SZCH-G2026-0053</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二、采购需求</w:t>
      </w:r>
      <w:r/>
    </w:p>
    <w:p>
      <w:pPr>
        <w:ind w:firstLine="482"/>
        <w:jc w:val="left"/>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shd w:val="clear" w:color="auto" w:fill="ffffff"/>
        </w:rPr>
        <w:t xml:space="preserve">手动膜片钳 </w:t>
      </w:r>
      <w:r>
        <w:rPr>
          <w:rFonts w:ascii="宋体" w:hAnsi="宋体" w:eastAsia="宋体" w:cs="宋体"/>
          <w:b/>
          <w:bCs/>
          <w:color w:val="auto"/>
          <w:sz w:val="24"/>
          <w:szCs w:val="24"/>
          <w:highlight w:val="none"/>
          <w:shd w:val="clear" w:color="auto" w:fill="ffffff"/>
        </w:rPr>
        <w:t xml:space="preserve">  </w:t>
      </w:r>
      <w:r>
        <w:rPr>
          <w:rFonts w:hint="eastAsia" w:ascii="宋体" w:hAnsi="宋体" w:eastAsia="宋体" w:cs="宋体"/>
          <w:b/>
          <w:bCs/>
          <w:color w:val="auto"/>
          <w:sz w:val="24"/>
          <w:szCs w:val="24"/>
          <w:highlight w:val="none"/>
          <w:shd w:val="clear" w:color="auto" w:fill="ffffff"/>
        </w:rPr>
        <w:t xml:space="preserve">1套</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（一）技术参数</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★1、配备两个相同且独立的全功能探头，同时支持电压钳与电流钳记录模式切换。电压钳模式下须提供4种反馈电阻（50 MΩ、500 MΩ、5 GΩ、50 GΩ），可测定0.2 pA至200 nA范围的电流。</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2、具备电极电位偏置手动与自动调整功能；全细胞膜电容补偿范围应覆盖 1～250 pF（Rf=500 MΩ档），串联电阻补偿范围应覆盖 0.4～700 MΩ，串联电阻补偿最大到100%；</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3、具备在串联电阻补偿及电极电容中和时自动防止电极震颤的功能，避免对细胞或封接部位产生损伤。</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4、数模转换器须为独立设备，具备不低于16位分辨率。模拟输入与输出不少于8通道，采样率不低于4 MHz，电压范围为±10 V。</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5、数据采集软件与分析程序须为同一品牌，集采样与分析功能于一体；</w:t>
      </w:r>
      <w:r>
        <w:rPr>
          <w:rFonts w:hint="eastAsia" w:ascii="宋体" w:hAnsi="宋体" w:eastAsia="宋体" w:cs="宋体"/>
          <w:color w:val="auto"/>
          <w:sz w:val="24"/>
          <w:szCs w:val="24"/>
          <w:highlight w:val="none"/>
        </w:rPr>
        <w:t xml:space="preserve">分析程序可在至少20台电脑上无需密钥安装使用。</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6、分析程序可独立完成突触活动分析、Burst分析、KS分析、统计检验、方差分析、潜伏期分析、V-S分析等数据处理与作图，无需借助第三方软件。</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7、拉制参数编辑须采用彩色触摸屏，输入玻璃管类型及电极类型后系统自动生成对应拉制程序；可稳定控制的电极尖端直径小于0.1 μm。</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8、双手臂四轴电动微操，行程X、Y、Z及斜线方向均不小于25 mm，最高分辨率不大于62.5 nm/步，漂移小于1 μm/2 </w:t>
      </w:r>
      <w:r>
        <w:rPr>
          <w:rFonts w:hint="eastAsia" w:ascii="宋体" w:hAnsi="宋体" w:eastAsia="宋体" w:cs="宋体"/>
          <w:color w:val="auto"/>
          <w:sz w:val="24"/>
          <w:szCs w:val="24"/>
          <w:highlight w:val="none"/>
        </w:rPr>
        <w:t xml:space="preserve">h</w:t>
      </w:r>
      <w:r>
        <w:rPr>
          <w:rFonts w:hint="eastAsia" w:ascii="宋体" w:hAnsi="宋体" w:eastAsia="宋体" w:cs="宋体"/>
          <w:color w:val="auto"/>
          <w:sz w:val="24"/>
          <w:szCs w:val="24"/>
          <w:highlight w:val="none"/>
        </w:rPr>
        <w:t xml:space="preserve">，具备一键归位功能。</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9、通道灌流给药系统，给药延迟小于150 ms，停药延迟小于200 ms。</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★10、研究级正置显微镜，无限远校正光学系统（齐焦距离≤45 mm），可作明场/DIC/荧光多种观察，载物台固定、物镜转盘上下调焦。物镜配置：5倍平场半复消色差物镜（NA≥0.10，WD≥20.0 mm）；40倍长工作距红外专用水镜（NA≥0.8，WD≥3.3 mm）。荧光系统含U/B/G三色激发块，配长寿命LED光源及DIC附件。</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11、自动调平防震台，台板尺寸≥1200×750 mm，载荷≤270 kg，配铜网屏蔽网。</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12、八通道独立刺激器，每串可输出不少于50,000个脉冲，脉冲宽度40 μs至</w:t>
      </w:r>
      <w:r>
        <w:rPr>
          <w:rFonts w:hint="eastAsia" w:ascii="宋体" w:hAnsi="宋体" w:eastAsia="宋体" w:cs="宋体"/>
          <w:color w:val="auto"/>
          <w:sz w:val="24"/>
          <w:szCs w:val="24"/>
          <w:highlight w:val="none"/>
        </w:rPr>
        <w:t xml:space="preserve">3,000s</w:t>
      </w:r>
      <w:r>
        <w:rPr>
          <w:rFonts w:hint="eastAsia" w:ascii="宋体" w:hAnsi="宋体" w:eastAsia="宋体" w:cs="宋体"/>
          <w:color w:val="auto"/>
          <w:sz w:val="24"/>
          <w:szCs w:val="24"/>
          <w:highlight w:val="none"/>
        </w:rPr>
        <w:t xml:space="preserve">；配隔离器，可切换恒流/恒压模式。</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13、电动振动切片机：样品垂直进样≥20 mm，切片频率≥85 Hz，切片速度0.01至1.5 mm/s可调，支持振动测量可将纵向振动偏离最小化至1 μm以下。</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14、红外相机：像素≥2048×2048，满井电子≥30,000 e⁻，动态范围≥33,000:1，满幅帧速≥30 fps，16 bit输出，USB 3.0接口。触发输入支持边沿/电平触发，触发输出不少于3个可编程通道。</w:t>
      </w:r>
      <w:r/>
    </w:p>
    <w:p>
      <w:pPr>
        <w:pStyle w:val="1013"/>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15、冰点渗透压仪：样品量30~50 μl，测量范围0~3,000 mOsm/kg H₂O，准确性：0~400 mOsm为±2 mOsm。</w:t>
      </w:r>
      <w:r/>
    </w:p>
    <w:p>
      <w:pPr>
        <w:ind w:firstLine="482"/>
        <w:jc w:val="left"/>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16、配备计算工作站：配置不低于Intel Core i7处理器、16 GB内存、512 GB固态硬盘，Windows 11专业版，配21.5英寸显示器2台。</w:t>
      </w:r>
      <w:r/>
    </w:p>
    <w:p>
      <w:pPr>
        <w:ind w:firstLine="482"/>
        <w:jc w:val="left"/>
        <w:spacing w:line="360" w:lineRule="auto"/>
        <w:rPr>
          <w:rFonts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注：带“★”项为实质性响应内容，投标人须全部满足，不得存在负偏离。以投标人提供的能直接反映该产品技术参数的彩页或产品说明书等相关佐证材料作为主要评判依据。否则将视为未实质性响应招标文件，其投标将被否决（作无效投标处理）。</w:t>
      </w:r>
      <w:r/>
    </w:p>
    <w:p>
      <w:pPr>
        <w:numPr>
          <w:ilvl w:val="0"/>
          <w:numId w:val="4"/>
        </w:numPr>
        <w:ind w:firstLine="482"/>
        <w:jc w:val="left"/>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主要配置清单</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1、膜片钳放大器1台（含双探头）</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2、数模转换器1台</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3、数据采集与分析软件1套</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4、电动微操1套（含两个操作手臂）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5、水平拉制仪1台</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6、振动切片机1台</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7、灌流给药系统1套</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8、电生理荧光显微镜1套（含5倍物镜、40倍水镜、DIC附件、荧光系统）</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9、渗透压仪1台</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10、红外相机1台</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11、电刺激系统1套（含刺激器及隔离器）</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12、防震台及屏蔽网1套</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13、计算工作站1套（含2台21.5英寸显示器）</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（三）交付及安装调试</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1、交付流程：中标供应商应当在合同签订后</w:t>
      </w:r>
      <w:r>
        <w:rPr>
          <w:rFonts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rPr>
        <w:t xml:space="preserve">个月内将货物运送至采购人指定实验室（采购方另行约定的时间除外，但最迟不得晚于2027年3月31日）。</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安装、调试及培训：供应商将设备运送至指定地点后的5个工作日内，采购方与供应方应确认安装调试日期，采购方应根据供应方要求准备好安装调试条件，供应方派专人到现场进行安装调试，并对采购方人员进行相关培训。</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（四）验收标准</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安装调试完毕，由采购人组织最终验收，设备配置、所有技术参数等须符合招标文件和中标商投标响应文件要求。验收内容还包括资料完整性、设备“三漏”(漏水、漏电、漏气)检查、设备运行稳定性、技术规格符合性。各项指标还应符合国家质量和安全标准，设备可以在现有条件下安全稳定运行。</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（五）质保服务要求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1、设备免费质保期不少于5年，自最终验收完成合格之日起算；</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（六）付款条款</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2、全部设备完成安装、调试并正常运行后，经采购人签署最终验收合格证明文件（以采购人统一制式标准及签章为准），采购人再行支付合同总价10%的尾款。</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3、每次付款前，中标单位均须提供对应金额的、合法有效增值税专用发票。</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（七）采购主要标的物数量、交付期及交付方式、付款方式、质保期、质保方式及★参数属于实质性响应要求，不得出现负偏离，否则视为无效投标。</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三、综合说明及其他要求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4、售后服务：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质保期内根据采购人需要提供免费保养服务，质保期满后每年提供一次免费保养，软件终身免费升级，保证零配件的供给。</w:t>
      </w:r>
      <w:r/>
    </w:p>
    <w:p>
      <w:pPr>
        <w:ind w:firstLine="48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、报价要求：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（1）报价币种为人民币。</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共一个采购包，投标总报价一次报定，投标总报价应包括完成对应采购包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（3）报价为固定价格，在合同执行过程中不因交货时间更改、物价变动、政策变动、投标人漏项或少报等风险因素而调整。</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7、单位负责人为同一人或者存在直接控股、管理关系的不同供应商，不得参加同一合同项下的政府采购活动。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8、为本项目提供整体设计、规范编制或者项目管理、监理、检测等服务的供应商，不得再参加该采购项目的其他采购活动。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9、如接受进口产品投标的项目，优先采购向我国企业转让技术、与我国企业签订消化吸收再创新方案的供应商的进口产品。</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10、采购项目需要落实的政府采购政策：</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10.1根据财政部、工业和信息化部关于印发《政府采购促进中小企业发展管理办法》的规定执行。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10.2根据财政部、司法部《关于政府采购支持监狱企业发展有关问题的通知》（财库〔2014〕68号）的规定执行。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10.3根据财政部、民政部、中国残疾人联合会《关于促进残疾人就业政府采购政策的通知》（财库〔2017〕141号）的规定执行。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10.4绿色采购（本项目不涉及节能环保产品采购）</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11、凡涉及采购文件的补充说明和修改，均以政府采购网所发布的公告为准。</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928"/>
        <w:rPr>
          <w:rFonts w:hAnsi="宋体"/>
          <w:color w:val="auto"/>
          <w:highlight w:val="none"/>
        </w:rPr>
      </w:pPr>
      <w:r>
        <w:rPr>
          <w:rFonts w:hAnsi="宋体"/>
          <w:color w:val="auto"/>
          <w:highlight w:val="none"/>
        </w:rPr>
      </w:r>
      <w:r/>
    </w:p>
    <w:p>
      <w:pPr>
        <w:pStyle w:val="732"/>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jc w:val="center"/>
        <w:keepLines/>
        <w:keepNext/>
        <w:spacing w:before="340" w:after="330" w:line="360" w:lineRule="auto"/>
        <w:rPr>
          <w:rFonts w:ascii="宋体" w:hAnsi="宋体" w:eastAsia="宋体" w:cs="宋体"/>
          <w:b/>
          <w:color w:val="auto"/>
          <w:sz w:val="48"/>
          <w:szCs w:val="48"/>
          <w:highlight w:val="none"/>
          <w:shd w:val="clear" w:color="auto" w:fill="ffffff"/>
        </w:rPr>
        <w:outlineLvl w:val="0"/>
      </w:pPr>
      <w:r/>
      <w:bookmarkStart w:id="66" w:name="_Toc396747046"/>
      <w:r/>
      <w:bookmarkStart w:id="67" w:name="_Toc105940241"/>
      <w:r>
        <w:rPr>
          <w:rFonts w:hint="eastAsia" w:ascii="宋体" w:hAnsi="宋体" w:eastAsia="宋体" w:cs="宋体"/>
          <w:b/>
          <w:color w:val="auto"/>
          <w:sz w:val="48"/>
          <w:szCs w:val="48"/>
          <w:highlight w:val="none"/>
          <w:shd w:val="clear" w:color="auto" w:fill="ffffff"/>
        </w:rPr>
        <w:t xml:space="preserve">第五章 合同主要条款</w:t>
      </w:r>
      <w:bookmarkEnd w:id="66"/>
      <w:r/>
      <w:bookmarkEnd w:id="67"/>
      <w:r/>
      <w:r/>
    </w:p>
    <w:p>
      <w:pPr>
        <w:rPr>
          <w:rFonts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br w:type="page" w:clear="all"/>
      </w:r>
      <w:bookmarkEnd w:id="65"/>
      <w:r/>
      <w:r/>
    </w:p>
    <w:p>
      <w:pPr>
        <w:ind w:firstLine="482"/>
        <w:jc w:val="center"/>
        <w:spacing w:after="181"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68" w:name="_Toc13889378"/>
      <w:r/>
      <w:bookmarkStart w:id="69" w:name="_Toc13642118"/>
      <w:r>
        <w:rPr>
          <w:rFonts w:hint="eastAsia" w:ascii="宋体" w:hAnsi="宋体" w:eastAsia="宋体" w:cs="宋体"/>
          <w:b/>
          <w:color w:val="auto"/>
          <w:sz w:val="44"/>
          <w:highlight w:val="none"/>
        </w:rPr>
        <w:t xml:space="preserve">政府采购合同书</w:t>
      </w:r>
      <w:r/>
    </w:p>
    <w:p>
      <w:pPr>
        <w:jc w:val="right"/>
        <w:spacing w:line="360" w:lineRule="auto"/>
        <w:rPr>
          <w:b/>
          <w:color w:val="auto"/>
          <w:sz w:val="24"/>
          <w:highlight w:val="none"/>
        </w:rPr>
      </w:pPr>
      <w:r>
        <w:rPr>
          <w:rFonts w:hint="eastAsia"/>
          <w:b/>
          <w:color w:val="auto"/>
          <w:sz w:val="24"/>
          <w:highlight w:val="none"/>
        </w:rPr>
        <w:t xml:space="preserve">合同编号：              </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甲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方：苏州大学</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址：苏州市东环路50号</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联</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系</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人：</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联系电话：</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乙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方：</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址：</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联</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系</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 xml:space="preserve">人：</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联系电话：</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根据政府采购编号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号采购文件及乙方中标的投标文件和中标通知书，甲乙双方就此次中标的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事宜，签订本合同书。</w:t>
      </w:r>
      <w:r/>
    </w:p>
    <w:p>
      <w:pPr>
        <w:ind w:left="1325" w:hanging="765"/>
        <w:jc w:val="left"/>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第一条 </w:t>
      </w:r>
      <w:r>
        <w:rPr>
          <w:rFonts w:hint="eastAsia" w:ascii="宋体" w:hAnsi="宋体" w:eastAsia="宋体" w:cs="宋体"/>
          <w:color w:val="auto"/>
          <w:sz w:val="24"/>
          <w:szCs w:val="24"/>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31"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701"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型号、规格</w:t>
            </w:r>
            <w:r/>
          </w:p>
        </w:tc>
        <w:tc>
          <w:tcPr>
            <w:tcW w:w="8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right w:val="single" w:color="auto" w:sz="4" w:space="0"/>
            </w:tcBorders>
            <w:tcW w:w="15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单价（万元人民币）</w:t>
            </w:r>
            <w:r/>
          </w:p>
        </w:tc>
        <w:tc>
          <w:tcPr>
            <w:tcBorders>
              <w:left w:val="single" w:color="auto" w:sz="4" w:space="0"/>
              <w:right w:val="single" w:color="auto" w:sz="4" w:space="0"/>
            </w:tcBorders>
            <w:tcW w:w="14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总价（万元人民币）</w:t>
            </w:r>
            <w:r/>
          </w:p>
        </w:tc>
        <w:tc>
          <w:tcPr>
            <w:tcBorders>
              <w:lef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9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r>
      <w:tr>
        <w:trPr>
          <w:trHeight w:val="300"/>
        </w:trPr>
        <w:tc>
          <w:tcPr>
            <w:tcBorders>
              <w:bottom w:val="single" w:color="auto" w:sz="4" w:space="0"/>
            </w:tcBorders>
            <w:tcW w:w="64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bottom w:val="single" w:color="auto" w:sz="4" w:space="0"/>
            </w:tcBorders>
            <w:tcW w:w="1331"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auto" w:sz="4" w:space="0"/>
            </w:tcBorders>
            <w:tcW w:w="1701"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auto" w:sz="4" w:space="0"/>
              <w:right w:val="single" w:color="auto" w:sz="4" w:space="0"/>
            </w:tcBorders>
            <w:tcW w:w="15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46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left w:val="single" w:color="auto" w:sz="4" w:space="0"/>
              <w:bottom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bottom w:val="single" w:color="auto" w:sz="4" w:space="0"/>
            </w:tcBorders>
            <w:tcW w:w="109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left="1325" w:hanging="765"/>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设备配置、技术指标、安装条件及验收指标等详见附件一技术协议。</w:t>
      </w:r>
      <w:r/>
    </w:p>
    <w:p>
      <w:pPr>
        <w:ind w:left="1325" w:hanging="765"/>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第二条 合同总价款   </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本合同项下货物总价款为人民币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款包括完成对应采购包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本合同执行期间合同总价款不变。</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  履约保证金</w:t>
      </w:r>
      <w:r/>
    </w:p>
    <w:p>
      <w:pPr>
        <w:ind w:firstLine="56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乙方须在签订合同前缴纳合同金额的10%作为履约保证金，</w:t>
      </w:r>
      <w:r>
        <w:rPr>
          <w:rFonts w:hint="eastAsia" w:ascii="宋体" w:hAnsi="宋体" w:eastAsia="宋体" w:cs="宋体"/>
          <w:bCs/>
          <w:color w:val="auto"/>
          <w:sz w:val="24"/>
          <w:szCs w:val="24"/>
          <w:highlight w:val="none"/>
        </w:rPr>
        <w:t xml:space="preserve">至采购人签署最终验收合格证明之日起稳定运行1年后无息退还</w:t>
      </w:r>
      <w:r>
        <w:rPr>
          <w:rFonts w:hint="eastAsia" w:ascii="宋体" w:hAnsi="宋体" w:eastAsia="宋体" w:cs="宋体"/>
          <w:bCs/>
          <w:color w:val="auto"/>
          <w:sz w:val="24"/>
          <w:szCs w:val="24"/>
          <w:highlight w:val="none"/>
        </w:rPr>
        <w:t xml:space="preserve">。履约保证金形式：以转账、支票、汇票、本票或者金融机构、担保机构出具的见索即付保函等非现金形式提交（保函内容须经甲方认可）。</w:t>
      </w:r>
      <w:r/>
    </w:p>
    <w:p>
      <w:pPr>
        <w:ind w:firstLine="560"/>
        <w:jc w:val="left"/>
        <w:spacing w:line="360" w:lineRule="auto"/>
        <w:tabs>
          <w:tab w:val="left" w:pos="162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第四条  权利保证</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tabs>
          <w:tab w:val="left" w:pos="162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第五条  质量保证</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3、设备的质保期为最终验收合格之日起</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rPr>
        <w:t xml:space="preserve">。质保期内仪器设备本身所发生的问题（人为因素除外），由乙方提供完全无偿的维修服务。</w:t>
      </w:r>
      <w:r/>
    </w:p>
    <w:p>
      <w:pPr>
        <w:ind w:firstLine="560"/>
        <w:jc w:val="left"/>
        <w:spacing w:line="360" w:lineRule="auto"/>
        <w:tabs>
          <w:tab w:val="left" w:pos="162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  包装要求</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2、每一包装单元内应附详细的装箱单、质量合格凭证以及其他必须的相关材料。</w:t>
      </w:r>
      <w:r/>
    </w:p>
    <w:p>
      <w:pPr>
        <w:ind w:firstLine="560"/>
        <w:jc w:val="left"/>
        <w:spacing w:line="360" w:lineRule="auto"/>
        <w:tabs>
          <w:tab w:val="left" w:pos="162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第七条  交货</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1、乙方应当在合同签订    个月内将货物运送至采购人指定实验室（采购方另行约定的时间除外，但最迟不得晚于2027年3月31日）。</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tabs>
          <w:tab w:val="left" w:pos="162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第八条 安装调试、培训和验收</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2、验收条款</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完毕，由甲方组织最终验收，设备配置、所有技术参数须符合招标文件和乙方投标响应文件要求。验收内容还包括资料完整性、设备“三漏”(漏水、漏电、漏气)检查、设备运行稳定性、技术规格符合性。各项指标还应符合国家质量和安全标准，设备可以在现有条件下安全稳定运行。</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如果双方对验收结果有争议，可委托双方一致认可的国家相关权威检测中心进行检测，以检测结果作为最终验收结果，费用由乙方承担。</w:t>
      </w:r>
      <w:r/>
    </w:p>
    <w:p>
      <w:pPr>
        <w:ind w:firstLine="560"/>
        <w:jc w:val="left"/>
        <w:spacing w:line="360" w:lineRule="auto"/>
        <w:tabs>
          <w:tab w:val="left" w:pos="162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第九条  伴随服务／售后服务</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2、除前款规定外，乙方还应提供下列服务：</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（1）货物的现场安装、调试和/或启动监督；</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（2）就货物的安装、启动、运行及维护等对甲方人员进行免费培训。</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6、质保期后的货物维护由双方协商确定。</w:t>
      </w:r>
      <w:r/>
    </w:p>
    <w:p>
      <w:pPr>
        <w:ind w:firstLine="560"/>
        <w:jc w:val="left"/>
        <w:spacing w:line="360" w:lineRule="auto"/>
        <w:tabs>
          <w:tab w:val="left" w:pos="162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第十条   货款支付</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2、本合同按照以下付款节点及条件支付：</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（3）每次付款前，乙方均须提供对应金额的、合法有效增值税专用发票。</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（4）乙方指定账户信息</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乙方开户银行：</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3、付款方式：银行汇票或转账</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127125" cy="1096010"/>
                      <wp:effectExtent l="0" t="0" r="31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560"/>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第十一条　违约责任</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1、乙方逾期将货物运送至甲方指定地点的，每逾期1周（不足1周按1周计算），乙方向甲方偿付逾期交货部分货款总额的5‰的滞纳金。如乙方逾期</w:t>
      </w:r>
      <w:r>
        <w:rPr>
          <w:rFonts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2、乙方所交付的货物品种、型号、规格不符合合同规定的，甲方有权拒收，乙方应向甲方支付货款总额</w:t>
      </w:r>
      <w:r>
        <w:rPr>
          <w:rFonts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%的违约金，甲方有权直接从乙方缴纳的履约保证金中扣除上述违约金。</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天内向甲方赔偿不足部分。</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第十二条  不可抗力</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5、因合同一方延迟履行合同后发生不可抗力的，不能免除延迟履行方的相应责任。</w:t>
      </w:r>
      <w:r/>
    </w:p>
    <w:p>
      <w:pPr>
        <w:ind w:firstLine="560"/>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第十三条　合同的变更和终止</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本合同一经签订，甲乙双方不得擅自变更、中止或终止合同。</w:t>
      </w:r>
      <w:r/>
    </w:p>
    <w:p>
      <w:pPr>
        <w:ind w:firstLine="560"/>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第十四条　合同的转让</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未经甲方书面同意，乙方不得擅自部分或全部转让其应履行的合同义务。</w:t>
      </w:r>
      <w:r/>
    </w:p>
    <w:p>
      <w:pPr>
        <w:ind w:firstLine="560"/>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第十五条  争议的解决</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第十六条   合同生效及其他</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1、下列文件作为本合同不可分割的部分：</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采购文件及其附件；</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乙方的响应文件；</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乙方在采购过程中所作的其他承诺、声明、书面澄清等；</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合同附件等。</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2、本合同自合同双方签字、盖章之日起生效。</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3、本合同一式5 份，甲方执 3 份，乙方执 1 份，代理机构执1份，具有同等法律效力。</w:t>
      </w:r>
      <w:r/>
    </w:p>
    <w:p>
      <w:pPr>
        <w:ind w:firstLine="56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    </w:t>
      </w:r>
      <w:r/>
    </w:p>
    <w:p>
      <w:pPr>
        <w:ind w:firstLine="480"/>
        <w:jc w:val="left"/>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单位地址： </w:t>
      </w:r>
      <w:r/>
    </w:p>
    <w:p>
      <w:pPr>
        <w:ind w:firstLine="480"/>
        <w:jc w:val="left"/>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设备购置负责人：                 授权代表：</w:t>
      </w:r>
      <w:r/>
    </w:p>
    <w:p>
      <w:pPr>
        <w:ind w:firstLine="480"/>
        <w:jc w:val="left"/>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w:t>
      </w:r>
      <w:r/>
    </w:p>
    <w:p>
      <w:pPr>
        <w:ind w:firstLine="480"/>
        <w:jc w:val="left"/>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采购部门经办人：                 经办人：</w:t>
      </w:r>
      <w:r/>
    </w:p>
    <w:p>
      <w:pPr>
        <w:ind w:firstLine="480"/>
        <w:jc w:val="left"/>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审核人：</w:t>
      </w:r>
      <w:r/>
    </w:p>
    <w:p>
      <w:pPr>
        <w:ind w:firstLine="480"/>
        <w:jc w:val="left"/>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ind w:firstLine="480"/>
        <w:jc w:val="left"/>
        <w:spacing w:line="48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日期：   年     月    日           </w:t>
      </w:r>
      <w:r/>
    </w:p>
    <w:p>
      <w:pPr>
        <w:jc w:val="left"/>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bookmarkStart w:id="70" w:name="_Toc105940242"/>
      <w:r>
        <w:rPr>
          <w:rFonts w:hint="eastAsia" w:ascii="宋体" w:hAnsi="宋体" w:eastAsia="宋体" w:cs="宋体"/>
          <w:b/>
          <w:color w:val="auto"/>
          <w:sz w:val="52"/>
          <w:szCs w:val="20"/>
          <w:highlight w:val="none"/>
          <w:shd w:val="clear" w:color="auto" w:fill="ffffff"/>
        </w:rPr>
        <w:t xml:space="preserve">第六章 评分</w:t>
      </w:r>
      <w:bookmarkEnd w:id="68"/>
      <w:r/>
      <w:bookmarkEnd w:id="69"/>
      <w:r>
        <w:rPr>
          <w:rFonts w:hint="eastAsia" w:ascii="宋体" w:hAnsi="宋体" w:eastAsia="宋体" w:cs="宋体"/>
          <w:b/>
          <w:color w:val="auto"/>
          <w:sz w:val="52"/>
          <w:szCs w:val="20"/>
          <w:highlight w:val="none"/>
          <w:shd w:val="clear" w:color="auto" w:fill="ffffff"/>
        </w:rPr>
        <w:t xml:space="preserve">标准</w:t>
      </w:r>
      <w:bookmarkEnd w:id="70"/>
      <w:r/>
      <w:r/>
    </w:p>
    <w:p>
      <w:pPr>
        <w:ind w:firstLine="520"/>
        <w:spacing w:line="360" w:lineRule="auto"/>
        <w:rPr>
          <w:rFonts w:ascii="宋体" w:hAnsi="宋体" w:eastAsia="宋体" w:cs="宋体"/>
          <w:color w:val="auto"/>
          <w:sz w:val="24"/>
          <w:szCs w:val="24"/>
          <w:highlight w:val="none"/>
        </w:rPr>
        <w:outlineLvl w:val="1"/>
      </w:pPr>
      <w:r/>
      <w:bookmarkStart w:id="71" w:name="OLE_LINK2"/>
      <w:r>
        <w:rPr>
          <w:rFonts w:hint="eastAsia" w:ascii="宋体" w:hAnsi="宋体" w:eastAsia="宋体" w:cs="宋体"/>
          <w:color w:val="auto"/>
          <w:sz w:val="26"/>
          <w:szCs w:val="20"/>
          <w:highlight w:val="none"/>
          <w:shd w:val="clear" w:color="auto" w:fill="ffffff"/>
        </w:rPr>
        <w:br w:type="page" w:clear="all"/>
      </w:r>
      <w:bookmarkEnd w:id="71"/>
      <w:r>
        <w:rPr>
          <w:rFonts w:hint="eastAsia" w:ascii="宋体" w:hAnsi="宋体" w:eastAsia="宋体" w:cs="宋体"/>
          <w:b/>
          <w:bCs/>
          <w:color w:val="auto"/>
          <w:sz w:val="24"/>
          <w:szCs w:val="24"/>
          <w:highlight w:val="none"/>
        </w:rPr>
        <w:t xml:space="preserve">一、评标办法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投标（响应）报价低于采购项目最高限价45%的，即投标（响应）报价&lt;采购项目最高限价×45%；</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（2）异常低价投标(响应)审查启动后，</w:t>
      </w:r>
      <w:r>
        <w:rPr>
          <w:rFonts w:hint="eastAsia" w:ascii="宋体" w:hAnsi="宋体" w:eastAsia="宋体" w:cs="宋体"/>
          <w:color w:val="auto"/>
          <w:sz w:val="24"/>
          <w:szCs w:val="24"/>
          <w:highlight w:val="none"/>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732"/>
        <w:ind w:left="0" w:firstLine="480"/>
        <w:spacing w:line="360" w:lineRule="auto"/>
        <w:rPr>
          <w:rFonts w:ascii="宋体" w:hAnsi="宋体" w:eastAsia="宋体" w:cs="宋体"/>
          <w:color w:val="auto"/>
          <w:highlight w:val="none"/>
        </w:rPr>
      </w:pPr>
      <w:r>
        <w:rPr>
          <w:rFonts w:hint="eastAsia" w:ascii="宋体" w:hAnsi="宋体" w:eastAsia="宋体" w:cs="宋体"/>
          <w:color w:val="auto"/>
          <w:szCs w:val="24"/>
          <w:highlight w:val="none"/>
        </w:rPr>
        <w:t xml:space="preserve">其中，属于第</w:t>
      </w:r>
      <w:r>
        <w:rPr>
          <w:rFonts w:hint="eastAsia" w:ascii="宋体" w:hAnsi="宋体" w:eastAsia="宋体" w:cs="宋体"/>
          <w:color w:val="auto"/>
          <w:szCs w:val="24"/>
          <w:highlight w:val="none"/>
        </w:rPr>
        <w:t xml:space="preserve">③</w:t>
      </w:r>
      <w:r>
        <w:rPr>
          <w:rFonts w:hint="eastAsia" w:ascii="宋体" w:hAnsi="宋体" w:eastAsia="宋体" w:cs="宋体"/>
          <w:color w:val="auto"/>
          <w:szCs w:val="24"/>
          <w:highlight w:val="none"/>
        </w:rPr>
        <w:t xml:space="preserve">项情形，供应商已随投标（响应）文件一并提交相关书面说明及必要的证明材料的，在评审现场可不再重复提交。</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u w:val="single"/>
        </w:rPr>
        <w:t xml:space="preserve"> 30 </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bookmarkStart w:id="72" w:name="_Hlk193379726"/>
      <w:r>
        <w:rPr>
          <w:rFonts w:hint="eastAsia" w:ascii="宋体" w:hAnsi="宋体" w:eastAsia="宋体" w:cs="宋体"/>
          <w:color w:val="auto"/>
          <w:sz w:val="24"/>
          <w:szCs w:val="24"/>
          <w:highlight w:val="none"/>
        </w:rPr>
        <w:t xml:space="preserve">第一步：投标（响应）报价低于或等于财政预算（最高限价）且符合采购文件要求的，为有效投标（响应）报价。无效投标（响应）报价的投标（响应）文件不参与进一步评审。</w:t>
      </w:r>
      <w:bookmarkEnd w:id="7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w:t>
      </w:r>
      <w:bookmarkStart w:id="73" w:name="_Hlk193380191"/>
      <w:r>
        <w:rPr>
          <w:rFonts w:hint="eastAsia" w:ascii="宋体" w:hAnsi="宋体" w:eastAsia="宋体" w:cs="宋体"/>
          <w:color w:val="auto"/>
          <w:sz w:val="24"/>
          <w:szCs w:val="24"/>
          <w:highlight w:val="none"/>
        </w:rPr>
        <w:t xml:space="preserve">满足招标文件要求，且投标（响应）价格最低的投标（响应）报价为评标基准价</w:t>
      </w:r>
      <w:bookmarkEnd w:id="73"/>
      <w:r>
        <w:rPr>
          <w:rFonts w:hint="eastAsia" w:ascii="宋体" w:hAnsi="宋体" w:eastAsia="宋体" w:cs="宋体"/>
          <w:color w:val="auto"/>
          <w:sz w:val="24"/>
          <w:szCs w:val="24"/>
          <w:highlight w:val="none"/>
        </w:rPr>
        <w:t xml:space="preserve">，</w:t>
      </w:r>
      <w:bookmarkStart w:id="74" w:name="_Hlk193380219"/>
      <w:r>
        <w:rPr>
          <w:rFonts w:hint="eastAsia" w:ascii="宋体" w:hAnsi="宋体" w:eastAsia="宋体" w:cs="宋体"/>
          <w:color w:val="auto"/>
          <w:sz w:val="24"/>
          <w:szCs w:val="24"/>
          <w:highlight w:val="none"/>
        </w:rPr>
        <w:t xml:space="preserve">其价格分为满分，即</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分</w:t>
      </w:r>
      <w:bookmarkEnd w:id="74"/>
      <w:r>
        <w:rPr>
          <w:rFonts w:hint="eastAsia" w:ascii="宋体" w:hAnsi="宋体" w:eastAsia="宋体" w:cs="宋体"/>
          <w:color w:val="auto"/>
          <w:sz w:val="24"/>
          <w:szCs w:val="24"/>
          <w:highlight w:val="none"/>
        </w:rPr>
        <w:t xml:space="preserve">。其他报价得分统一按照下列公式计算（计算结果四舍五入，保留两位小数）：</w:t>
      </w:r>
      <w:r/>
    </w:p>
    <w:p>
      <w:pPr>
        <w:pStyle w:val="731"/>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投标（响应）报价得分=（评标基准价/有效投标（响应）报价）×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%×100</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（二）技术参数及技术方案：</w:t>
      </w:r>
      <w:r>
        <w:rPr>
          <w:rFonts w:hint="eastAsia" w:ascii="宋体" w:hAnsi="宋体" w:eastAsia="宋体" w:cs="宋体"/>
          <w:b/>
          <w:color w:val="auto"/>
          <w:sz w:val="24"/>
          <w:szCs w:val="24"/>
          <w:highlight w:val="none"/>
          <w:u w:val="single"/>
        </w:rPr>
        <w:t xml:space="preserve">39</w:t>
      </w:r>
      <w:r>
        <w:rPr>
          <w:rFonts w:hint="eastAsia" w:ascii="宋体" w:hAnsi="宋体" w:eastAsia="宋体" w:cs="宋体"/>
          <w:b/>
          <w:color w:val="auto"/>
          <w:sz w:val="24"/>
          <w:szCs w:val="24"/>
          <w:highlight w:val="none"/>
        </w:rPr>
        <w:t xml:space="preserve">分</w:t>
      </w:r>
      <w:r/>
    </w:p>
    <w:tbl>
      <w:tblPr>
        <w:tblStyle w:val="7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832"/>
        <w:gridCol w:w="7374"/>
        <w:gridCol w:w="902"/>
      </w:tblGrid>
      <w:tr>
        <w:trPr>
          <w:jc w:val="center"/>
        </w:trPr>
        <w:tc>
          <w:tcPr>
            <w:shd w:val="clear" w:color="auto" w:fill="auto"/>
            <w:tcW w:w="520"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83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shd w:val="clear" w:color="auto" w:fill="auto"/>
            <w:tcW w:w="7374"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shd w:val="clear" w:color="auto" w:fill="auto"/>
            <w:tcW w:w="90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shd w:val="clear" w:color="auto" w:fill="auto"/>
            <w:tcW w:w="520"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shd w:val="clear" w:color="auto" w:fill="auto"/>
            <w:tcW w:w="83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技术参数及配置</w:t>
            </w:r>
            <w:r/>
          </w:p>
        </w:tc>
        <w:tc>
          <w:tcPr>
            <w:shd w:val="clear" w:color="auto" w:fill="auto"/>
            <w:tcW w:w="7374" w:type="dxa"/>
            <w:vAlign w:val="center"/>
            <w:textDirection w:val="lrTb"/>
            <w:noWrap w:val="false"/>
          </w:tcPr>
          <w:p>
            <w:pPr>
              <w:jc w:val="left"/>
              <w:rPr>
                <w:rFonts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以投标人提供的能直接反映该产品技术参数的彩页或产品说明书等作为主要评判依据，其他情况由评标委员会根据实际情况进行评判。</w:t>
            </w:r>
            <w:r/>
          </w:p>
          <w:p>
            <w:pPr>
              <w:jc w:val="lef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所提供产品不满足招标文件要求（负偏离）、配置不详、技术参数不明确、缺漏项的，每处扣</w:t>
            </w:r>
            <w:r>
              <w:rPr>
                <w:rFonts w:ascii="宋体" w:hAnsi="宋体" w:eastAsia="宋体" w:cs="宋体"/>
                <w:bCs/>
                <w:color w:val="auto"/>
                <w:sz w:val="24"/>
                <w:szCs w:val="24"/>
                <w:highlight w:val="none"/>
              </w:rPr>
              <w:t xml:space="preserve">2分，扣完为止。</w:t>
            </w:r>
            <w:r/>
          </w:p>
        </w:tc>
        <w:tc>
          <w:tcPr>
            <w:shd w:val="clear" w:color="auto" w:fill="auto"/>
            <w:tcW w:w="90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w:t>
            </w:r>
            <w:r/>
          </w:p>
        </w:tc>
      </w:tr>
      <w:tr>
        <w:trPr>
          <w:jc w:val="center"/>
        </w:trPr>
        <w:tc>
          <w:tcPr>
            <w:shd w:val="clear" w:color="auto" w:fill="auto"/>
            <w:tcW w:w="520"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shd w:val="clear" w:color="auto" w:fill="auto"/>
            <w:tcW w:w="83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技术方案</w:t>
            </w:r>
            <w:r/>
          </w:p>
        </w:tc>
        <w:tc>
          <w:tcPr>
            <w:shd w:val="clear" w:color="auto" w:fill="auto"/>
            <w:tcW w:w="7374" w:type="dxa"/>
            <w:vAlign w:val="center"/>
            <w:textDirection w:val="lrTb"/>
            <w:noWrap w:val="false"/>
          </w:tcPr>
          <w:p>
            <w:pPr>
              <w:jc w:val="lef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提供为实现本项目招标文件技术参数要求而制定的技术方案。技术方案详尽合理、针对性强，能完全符合用户科研需求的得10分。技术方案基本规范合理、具有较强针对性，能基本符合用户科研需求的得6分。技术方案有疏漏、合理性及针对性较差，仅能符合用户部分科研需求的得2分。技术方案完全不能符合用户科研需求或未提供技术方案的不得分。</w:t>
            </w:r>
            <w:r/>
          </w:p>
        </w:tc>
        <w:tc>
          <w:tcPr>
            <w:shd w:val="clear" w:color="auto" w:fill="auto"/>
            <w:tcW w:w="90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p>
        </w:tc>
      </w:tr>
      <w:tr>
        <w:trPr>
          <w:jc w:val="center"/>
        </w:trPr>
        <w:tc>
          <w:tcPr>
            <w:shd w:val="clear" w:color="auto" w:fill="auto"/>
            <w:tcW w:w="520"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shd w:val="clear" w:color="auto" w:fill="auto"/>
            <w:tcW w:w="83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项目实施方案</w:t>
            </w:r>
            <w:r/>
          </w:p>
        </w:tc>
        <w:tc>
          <w:tcPr>
            <w:shd w:val="clear" w:color="auto" w:fill="auto"/>
            <w:tcW w:w="7374" w:type="dxa"/>
            <w:vAlign w:val="center"/>
            <w:textDirection w:val="lrTb"/>
            <w:noWrap w:val="false"/>
          </w:tcPr>
          <w:p>
            <w:pPr>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应包括但不限于（1）安装调试、系统集成、试运行测试调优等内容，（2）组织机构、工作时间进度表、工作程序和步骤、管理措施；（3）实施协调方法、关键步骤的思路和要点等。</w:t>
            </w:r>
            <w:r/>
          </w:p>
          <w:p>
            <w:pPr>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tc>
        <w:tc>
          <w:tcPr>
            <w:shd w:val="clear" w:color="auto" w:fill="auto"/>
            <w:tcW w:w="902" w:type="dxa"/>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w:t>
            </w:r>
            <w:r/>
          </w:p>
        </w:tc>
      </w:tr>
    </w:tbl>
    <w:p>
      <w:pPr>
        <w:ind w:firstLine="482"/>
        <w:spacing w:line="360" w:lineRule="auto"/>
        <w:rPr>
          <w:color w:val="auto"/>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31 </w:t>
      </w:r>
      <w:r>
        <w:rPr>
          <w:rFonts w:hint="eastAsia" w:ascii="宋体" w:hAnsi="宋体" w:eastAsia="宋体" w:cs="宋体"/>
          <w:b/>
          <w:color w:val="auto"/>
          <w:sz w:val="24"/>
          <w:szCs w:val="24"/>
          <w:highlight w:val="none"/>
        </w:rPr>
        <w:t xml:space="preserve">分</w:t>
      </w:r>
      <w:r/>
    </w:p>
    <w:tbl>
      <w:tblPr>
        <w:tblStyle w:val="722"/>
        <w:tblW w:w="47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
        <w:gridCol w:w="1360"/>
        <w:gridCol w:w="6660"/>
        <w:gridCol w:w="712"/>
      </w:tblGrid>
      <w:tr>
        <w:trPr>
          <w:jc w:val="center"/>
        </w:trPr>
        <w:tc>
          <w:tcPr>
            <w:tcW w:w="231"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74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3636"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231"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74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业绩</w:t>
            </w:r>
            <w:r/>
          </w:p>
        </w:tc>
        <w:tc>
          <w:tcPr>
            <w:tcW w:w="3636"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提供所投产品（同型号设备）自2023年</w:t>
            </w:r>
            <w:r>
              <w:rPr>
                <w:rFonts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月1日起至今的销售业绩，每提供1份业绩得1分，</w:t>
            </w:r>
            <w:r>
              <w:rPr>
                <w:rFonts w:ascii="宋体" w:hAnsi="宋体" w:eastAsia="宋体" w:cs="宋体"/>
                <w:bCs/>
                <w:color w:val="auto"/>
                <w:sz w:val="24"/>
                <w:szCs w:val="24"/>
                <w:highlight w:val="none"/>
              </w:rPr>
              <w:t xml:space="preserve">本项最高得</w:t>
            </w:r>
            <w:r>
              <w:rPr>
                <w:rFonts w:hint="eastAsia" w:ascii="宋体" w:hAnsi="宋体" w:eastAsia="宋体" w:cs="宋体"/>
                <w:bCs/>
                <w:color w:val="auto"/>
                <w:sz w:val="24"/>
                <w:szCs w:val="24"/>
                <w:highlight w:val="none"/>
              </w:rPr>
              <w:t xml:space="preserve">4</w:t>
            </w:r>
            <w:r>
              <w:rPr>
                <w:rFonts w:ascii="宋体" w:hAnsi="宋体" w:eastAsia="宋体" w:cs="宋体"/>
                <w:bCs/>
                <w:color w:val="auto"/>
                <w:sz w:val="24"/>
                <w:szCs w:val="24"/>
                <w:highlight w:val="none"/>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（注：①提供业绩合同扫描件；②以合同签订日期为准；③同一单位业绩不重复计分；④对应完整发票扫描件；⑤履约</w:t>
            </w:r>
            <w:r>
              <w:rPr>
                <w:rFonts w:hint="eastAsia" w:ascii="宋体" w:hAnsi="宋体" w:eastAsia="宋体" w:cs="宋体"/>
                <w:color w:val="auto"/>
                <w:sz w:val="24"/>
                <w:szCs w:val="24"/>
                <w:highlight w:val="none"/>
                <w:lang w:val="zh-CN"/>
              </w:rPr>
              <w:t xml:space="preserve">验收</w:t>
            </w:r>
            <w:r>
              <w:rPr>
                <w:rFonts w:hint="eastAsia" w:ascii="宋体" w:hAnsi="宋体" w:eastAsia="宋体" w:cs="宋体"/>
                <w:color w:val="auto"/>
                <w:sz w:val="24"/>
                <w:szCs w:val="24"/>
                <w:highlight w:val="none"/>
              </w:rPr>
              <w:t xml:space="preserve">合格相关</w:t>
            </w:r>
            <w:r>
              <w:rPr>
                <w:rFonts w:hint="eastAsia" w:ascii="宋体" w:hAnsi="宋体" w:eastAsia="宋体" w:cs="宋体"/>
                <w:color w:val="auto"/>
                <w:sz w:val="24"/>
                <w:szCs w:val="24"/>
                <w:highlight w:val="none"/>
                <w:lang w:val="zh-CN"/>
              </w:rPr>
              <w:t xml:space="preserve">证明</w:t>
            </w:r>
            <w:r>
              <w:rPr>
                <w:rFonts w:hint="eastAsia" w:ascii="宋体" w:hAnsi="宋体" w:eastAsia="宋体" w:cs="宋体"/>
                <w:color w:val="auto"/>
                <w:sz w:val="24"/>
                <w:szCs w:val="24"/>
                <w:highlight w:val="none"/>
              </w:rPr>
              <w:t xml:space="preserve">材料扫描件。）</w:t>
            </w:r>
            <w:r/>
          </w:p>
        </w:tc>
        <w:tc>
          <w:tcPr>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r>
      <w:tr>
        <w:trPr>
          <w:jc w:val="center"/>
        </w:trPr>
        <w:tc>
          <w:tcPr>
            <w:tcW w:w="231"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74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市场反馈情况</w:t>
            </w:r>
            <w:r/>
          </w:p>
        </w:tc>
        <w:tc>
          <w:tcPr>
            <w:tcW w:w="3636"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提供所投产品（同型号设备）现有用户反馈情况，每提供1份得1分，</w:t>
            </w:r>
            <w:r>
              <w:rPr>
                <w:rFonts w:ascii="宋体" w:hAnsi="宋体" w:eastAsia="宋体" w:cs="宋体"/>
                <w:bCs/>
                <w:color w:val="auto"/>
                <w:sz w:val="24"/>
                <w:szCs w:val="24"/>
                <w:highlight w:val="none"/>
              </w:rPr>
              <w:t xml:space="preserve">本项最高得</w:t>
            </w:r>
            <w:r>
              <w:rPr>
                <w:rFonts w:hint="eastAsia" w:ascii="宋体" w:hAnsi="宋体" w:eastAsia="宋体" w:cs="宋体"/>
                <w:bCs/>
                <w:color w:val="auto"/>
                <w:sz w:val="24"/>
                <w:szCs w:val="24"/>
                <w:highlight w:val="none"/>
              </w:rPr>
              <w:t xml:space="preserve">5</w:t>
            </w:r>
            <w:r>
              <w:rPr>
                <w:rFonts w:ascii="宋体" w:hAnsi="宋体" w:eastAsia="宋体" w:cs="宋体"/>
                <w:bCs/>
                <w:color w:val="auto"/>
                <w:sz w:val="24"/>
                <w:szCs w:val="24"/>
                <w:highlight w:val="none"/>
              </w:rPr>
              <w:t xml:space="preserve">分</w:t>
            </w:r>
            <w:r>
              <w:rPr>
                <w:rFonts w:hint="eastAsia" w:ascii="宋体" w:hAnsi="宋体" w:eastAsia="宋体" w:cs="宋体"/>
                <w:color w:val="auto"/>
                <w:sz w:val="24"/>
                <w:szCs w:val="24"/>
                <w:highlight w:val="none"/>
              </w:rPr>
              <w:t xml:space="preserve">。反馈情况需含项目名称、型号、采购时间、满意度、联系人及电话（注：材料须加盖所属用户单位公章）。</w:t>
            </w:r>
            <w:r/>
          </w:p>
        </w:tc>
        <w:tc>
          <w:tcPr>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r>
      <w:tr>
        <w:trPr>
          <w:jc w:val="center"/>
        </w:trPr>
        <w:tc>
          <w:tcPr>
            <w:tcW w:w="231"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74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售后服务方案</w:t>
            </w:r>
            <w:r/>
          </w:p>
        </w:tc>
        <w:tc>
          <w:tcPr>
            <w:tcW w:w="3636"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包括①针对本项目制定的售后服务响应机制及响应时间；②针对投标人服务体系的完备性；③投入本项目专业技术服务人员及技术力量保障性。</w:t>
            </w:r>
            <w:r/>
          </w:p>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上述每项应逐条叙述，方案全面合理、可行性强、操作性强、贴合项目实际的每项得</w:t>
            </w:r>
            <w:r>
              <w:rPr>
                <w:rFonts w:ascii="宋体" w:hAnsi="宋体" w:eastAsia="宋体" w:cs="宋体"/>
                <w:color w:val="auto"/>
                <w:sz w:val="24"/>
                <w:szCs w:val="24"/>
                <w:highlight w:val="none"/>
              </w:rPr>
              <w:t xml:space="preserve">4分；方案</w:t>
            </w:r>
            <w:r>
              <w:rPr>
                <w:rFonts w:hint="eastAsia" w:ascii="宋体" w:hAnsi="宋体" w:eastAsia="宋体" w:cs="宋体"/>
                <w:color w:val="auto"/>
                <w:sz w:val="24"/>
                <w:szCs w:val="24"/>
                <w:highlight w:val="none"/>
              </w:rPr>
              <w:t xml:space="preserve">较</w:t>
            </w:r>
            <w:r>
              <w:rPr>
                <w:rFonts w:ascii="宋体" w:hAnsi="宋体" w:eastAsia="宋体" w:cs="宋体"/>
                <w:color w:val="auto"/>
                <w:sz w:val="24"/>
                <w:szCs w:val="24"/>
                <w:highlight w:val="none"/>
              </w:rPr>
              <w:t xml:space="preserve">合理可行、</w:t>
            </w:r>
            <w:r>
              <w:rPr>
                <w:rFonts w:hint="eastAsia" w:ascii="宋体" w:hAnsi="宋体" w:eastAsia="宋体" w:cs="宋体"/>
                <w:color w:val="auto"/>
                <w:sz w:val="24"/>
                <w:szCs w:val="24"/>
                <w:highlight w:val="none"/>
              </w:rPr>
              <w:t xml:space="preserve">具有</w:t>
            </w:r>
            <w:r>
              <w:rPr>
                <w:rFonts w:ascii="宋体" w:hAnsi="宋体" w:eastAsia="宋体" w:cs="宋体"/>
                <w:color w:val="auto"/>
                <w:sz w:val="24"/>
                <w:szCs w:val="24"/>
                <w:highlight w:val="none"/>
              </w:rPr>
              <w:t xml:space="preserve">操作性、与项目实际</w:t>
            </w:r>
            <w:r>
              <w:rPr>
                <w:rFonts w:hint="eastAsia" w:ascii="宋体" w:hAnsi="宋体" w:eastAsia="宋体" w:cs="宋体"/>
                <w:color w:val="auto"/>
                <w:sz w:val="24"/>
                <w:szCs w:val="24"/>
                <w:highlight w:val="none"/>
              </w:rPr>
              <w:t xml:space="preserve">较</w:t>
            </w:r>
            <w:r>
              <w:rPr>
                <w:rFonts w:ascii="宋体" w:hAnsi="宋体" w:eastAsia="宋体" w:cs="宋体"/>
                <w:color w:val="auto"/>
                <w:sz w:val="24"/>
                <w:szCs w:val="24"/>
                <w:highlight w:val="none"/>
              </w:rPr>
              <w:t xml:space="preserve">贴合的得</w:t>
            </w: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分；方案合理性较弱、可行性有所欠缺、操作性不强、与项目实际贴合度不高的得</w:t>
            </w: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分；每项叙述内容完全脱离采购需求或未作完整叙述的不得分。本项最高得12分。</w:t>
            </w:r>
            <w:r/>
          </w:p>
        </w:tc>
        <w:tc>
          <w:tcPr>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w:t>
            </w:r>
            <w:r/>
          </w:p>
        </w:tc>
      </w:tr>
      <w:tr>
        <w:trPr>
          <w:jc w:val="center"/>
        </w:trPr>
        <w:tc>
          <w:tcPr>
            <w:tcW w:w="231"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74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培训方案</w:t>
            </w:r>
            <w:r/>
          </w:p>
        </w:tc>
        <w:tc>
          <w:tcPr>
            <w:tcW w:w="3636"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包括（1）培训内容、时间、地点、人次、安装维护、调试、配置；（2）使用技能、业务人员培训、应用操作及使用等。</w:t>
            </w:r>
            <w:r/>
          </w:p>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上述每项应逐条叙述，方案全面合理、可行性强、操作性强、贴合项目实际的每项得</w:t>
            </w:r>
            <w:r>
              <w:rPr>
                <w:rFonts w:ascii="宋体" w:hAnsi="宋体" w:eastAsia="宋体" w:cs="宋体"/>
                <w:color w:val="auto"/>
                <w:sz w:val="24"/>
                <w:szCs w:val="24"/>
                <w:highlight w:val="none"/>
              </w:rPr>
              <w:t xml:space="preserve">4分；方案</w:t>
            </w:r>
            <w:r>
              <w:rPr>
                <w:rFonts w:hint="eastAsia" w:ascii="宋体" w:hAnsi="宋体" w:eastAsia="宋体" w:cs="宋体"/>
                <w:color w:val="auto"/>
                <w:sz w:val="24"/>
                <w:szCs w:val="24"/>
                <w:highlight w:val="none"/>
              </w:rPr>
              <w:t xml:space="preserve">较</w:t>
            </w:r>
            <w:r>
              <w:rPr>
                <w:rFonts w:ascii="宋体" w:hAnsi="宋体" w:eastAsia="宋体" w:cs="宋体"/>
                <w:color w:val="auto"/>
                <w:sz w:val="24"/>
                <w:szCs w:val="24"/>
                <w:highlight w:val="none"/>
              </w:rPr>
              <w:t xml:space="preserve">合理可行、</w:t>
            </w:r>
            <w:r>
              <w:rPr>
                <w:rFonts w:hint="eastAsia" w:ascii="宋体" w:hAnsi="宋体" w:eastAsia="宋体" w:cs="宋体"/>
                <w:color w:val="auto"/>
                <w:sz w:val="24"/>
                <w:szCs w:val="24"/>
                <w:highlight w:val="none"/>
              </w:rPr>
              <w:t xml:space="preserve">具有</w:t>
            </w:r>
            <w:r>
              <w:rPr>
                <w:rFonts w:ascii="宋体" w:hAnsi="宋体" w:eastAsia="宋体" w:cs="宋体"/>
                <w:color w:val="auto"/>
                <w:sz w:val="24"/>
                <w:szCs w:val="24"/>
                <w:highlight w:val="none"/>
              </w:rPr>
              <w:t xml:space="preserve">操作性、与项目实际</w:t>
            </w:r>
            <w:r>
              <w:rPr>
                <w:rFonts w:hint="eastAsia" w:ascii="宋体" w:hAnsi="宋体" w:eastAsia="宋体" w:cs="宋体"/>
                <w:color w:val="auto"/>
                <w:sz w:val="24"/>
                <w:szCs w:val="24"/>
                <w:highlight w:val="none"/>
              </w:rPr>
              <w:t xml:space="preserve">较</w:t>
            </w:r>
            <w:r>
              <w:rPr>
                <w:rFonts w:ascii="宋体" w:hAnsi="宋体" w:eastAsia="宋体" w:cs="宋体"/>
                <w:color w:val="auto"/>
                <w:sz w:val="24"/>
                <w:szCs w:val="24"/>
                <w:highlight w:val="none"/>
              </w:rPr>
              <w:t xml:space="preserve">贴合的得</w:t>
            </w: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分；方案合理性较弱、可行性有所欠缺、操作性不强、与项目实际贴合度不高的得</w:t>
            </w: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分；每项叙述内容完全脱离采购需求或未作完整叙述的不得分。本项最高得8分</w:t>
            </w:r>
            <w:r>
              <w:rPr>
                <w:rFonts w:hint="eastAsia" w:ascii="宋体" w:hAnsi="宋体" w:eastAsia="宋体" w:cs="宋体"/>
                <w:color w:val="auto"/>
                <w:sz w:val="24"/>
                <w:szCs w:val="24"/>
                <w:highlight w:val="none"/>
              </w:rPr>
              <w:t xml:space="preserve">。</w:t>
            </w:r>
            <w:r/>
          </w:p>
        </w:tc>
        <w:tc>
          <w:tcPr>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w:t>
            </w:r>
            <w:r/>
          </w:p>
        </w:tc>
      </w:tr>
      <w:tr>
        <w:trPr>
          <w:jc w:val="center"/>
        </w:trPr>
        <w:tc>
          <w:tcPr>
            <w:tcW w:w="231"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74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其他优惠措施</w:t>
            </w:r>
            <w:r/>
          </w:p>
        </w:tc>
        <w:tc>
          <w:tcPr>
            <w:tcW w:w="3636"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投标人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r/>
          </w:p>
        </w:tc>
        <w:tc>
          <w:tcPr>
            <w:tcW w:w="38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r>
    </w:tbl>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spacing w:line="360" w:lineRule="auto"/>
        <w:rPr>
          <w:rFonts w:ascii="宋体" w:hAnsi="宋体" w:eastAsia="宋体" w:cs="宋体"/>
          <w:b/>
          <w:bCs/>
          <w:color w:val="auto"/>
          <w:sz w:val="24"/>
          <w:szCs w:val="24"/>
          <w:highlight w:val="none"/>
        </w:rPr>
      </w:pPr>
      <w:r/>
      <w:bookmarkStart w:id="75" w:name="_Toc48723925"/>
      <w:r/>
      <w:bookmarkStart w:id="76" w:name="_Toc105940243"/>
      <w:r>
        <w:rPr>
          <w:rFonts w:hint="eastAsia" w:ascii="宋体" w:hAnsi="宋体" w:eastAsia="宋体" w:cs="宋体"/>
          <w:b/>
          <w:bCs/>
          <w:color w:val="auto"/>
          <w:sz w:val="24"/>
          <w:szCs w:val="24"/>
          <w:highlight w:val="none"/>
        </w:rPr>
        <w:t xml:space="preserve">说明：</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numPr>
          <w:ilvl w:val="0"/>
          <w:numId w:val="5"/>
        </w:num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政府采购政策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w:t>
      </w:r>
      <w:r>
        <w:rPr>
          <w:rFonts w:hint="eastAsia" w:ascii="宋体" w:hAnsi="宋体" w:eastAsia="宋体" w:cs="宋体"/>
          <w:color w:val="auto"/>
          <w:sz w:val="24"/>
          <w:szCs w:val="24"/>
          <w:highlight w:val="none"/>
          <w:lang w:val="zh-CN"/>
        </w:rPr>
        <w:t xml:space="preserve">《国务院办公厅关于在政府采购中实施本国产品标准及相关政策的通知》</w:t>
      </w:r>
      <w:bookmarkStart w:id="77" w:name="OLE_LINK13"/>
      <w:r>
        <w:rPr>
          <w:rFonts w:hint="eastAsia" w:ascii="宋体" w:hAnsi="宋体" w:eastAsia="宋体" w:cs="宋体"/>
          <w:color w:val="auto"/>
          <w:sz w:val="24"/>
          <w:szCs w:val="24"/>
          <w:highlight w:val="none"/>
          <w:lang w:val="zh-CN"/>
        </w:rPr>
        <w:t xml:space="preserve">（国办发［2025］34号）</w:t>
      </w:r>
      <w:bookmarkEnd w:id="77"/>
      <w:r>
        <w:rPr>
          <w:rFonts w:hint="eastAsia" w:ascii="宋体" w:hAnsi="宋体" w:eastAsia="宋体" w:cs="宋体"/>
          <w:color w:val="auto"/>
          <w:sz w:val="24"/>
          <w:szCs w:val="24"/>
          <w:highlight w:val="none"/>
          <w:lang w:val="zh-CN"/>
        </w:rPr>
        <w:t xml:space="preserve">（以下简称“本国产品扶持政策”）的规定，</w:t>
      </w:r>
      <w:r>
        <w:rPr>
          <w:rFonts w:hint="eastAsia" w:ascii="宋体" w:hAnsi="宋体" w:eastAsia="宋体" w:cs="宋体"/>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color w:val="auto"/>
          <w:sz w:val="24"/>
          <w:szCs w:val="24"/>
          <w:highlight w:val="none"/>
          <w:lang w:val="zh-CN"/>
        </w:rPr>
        <w:t xml:space="preserve">关于本国产品成本占比的声明函》，</w:t>
      </w:r>
      <w:r>
        <w:rPr>
          <w:rFonts w:hint="eastAsia" w:ascii="宋体" w:hAnsi="宋体" w:eastAsia="宋体" w:cs="宋体"/>
          <w:color w:val="auto"/>
          <w:sz w:val="24"/>
          <w:szCs w:val="24"/>
          <w:highlight w:val="none"/>
        </w:rPr>
        <w:t xml:space="preserve">未填写比例数值，或比例数值未达到80%的，将不享受本国产品价格评审优惠。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3、本国产品标准的适用范围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4、供应商应当提供符合</w:t>
      </w:r>
      <w:r>
        <w:rPr>
          <w:rFonts w:hint="eastAsia" w:ascii="宋体" w:hAnsi="宋体" w:eastAsia="宋体" w:cs="宋体"/>
          <w:color w:val="auto"/>
          <w:sz w:val="24"/>
          <w:szCs w:val="24"/>
          <w:highlight w:val="none"/>
          <w:lang w:val="zh-CN"/>
        </w:rPr>
        <w:t xml:space="preserve">本国产品扶持政策</w:t>
      </w:r>
      <w:r>
        <w:rPr>
          <w:rFonts w:hint="eastAsia" w:ascii="宋体" w:hAnsi="宋体" w:eastAsia="宋体" w:cs="宋体"/>
          <w:color w:val="auto"/>
          <w:sz w:val="24"/>
          <w:szCs w:val="24"/>
          <w:highlight w:val="none"/>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多种产品采购时，还应提供《</w:t>
      </w:r>
      <w:r>
        <w:rPr>
          <w:rFonts w:hint="eastAsia" w:ascii="宋体" w:hAnsi="宋体" w:eastAsia="宋体" w:cs="宋体"/>
          <w:color w:val="auto"/>
          <w:sz w:val="24"/>
          <w:szCs w:val="24"/>
          <w:highlight w:val="none"/>
          <w:lang w:val="zh-CN"/>
        </w:rPr>
        <w:t xml:space="preserve">关于本国产品成本占比的声明函》</w:t>
      </w:r>
      <w:r>
        <w:rPr>
          <w:rFonts w:hint="eastAsia" w:ascii="宋体" w:hAnsi="宋体" w:eastAsia="宋体" w:cs="宋体"/>
          <w:color w:val="auto"/>
          <w:sz w:val="24"/>
          <w:szCs w:val="24"/>
          <w:highlight w:val="none"/>
        </w:rPr>
        <w:t xml:space="preserve">（格式见第三章）。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未按上述要求提供的，不享受本国产品扶持政策。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6、若供应商提供虚假《关于符合本国产品标准的声明函》、《</w:t>
      </w:r>
      <w:r>
        <w:rPr>
          <w:rFonts w:hint="eastAsia" w:ascii="宋体" w:hAnsi="宋体" w:eastAsia="宋体" w:cs="宋体"/>
          <w:color w:val="auto"/>
          <w:sz w:val="24"/>
          <w:szCs w:val="24"/>
          <w:highlight w:val="none"/>
          <w:lang w:val="zh-CN"/>
        </w:rPr>
        <w:t xml:space="preserve">关于本国产品成本占比的声明函》、</w:t>
      </w:r>
      <w:r>
        <w:rPr>
          <w:rFonts w:hint="eastAsia" w:ascii="宋体" w:hAnsi="宋体" w:eastAsia="宋体" w:cs="宋体"/>
          <w:color w:val="auto"/>
          <w:sz w:val="24"/>
          <w:szCs w:val="24"/>
          <w:highlight w:val="none"/>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spacing w:line="360" w:lineRule="auto"/>
        <w:rPr>
          <w:rFonts w:ascii="宋体" w:hAnsi="宋体" w:eastAsia="宋体" w:cs="宋体"/>
          <w:color w:val="auto"/>
          <w:sz w:val="24"/>
          <w:szCs w:val="24"/>
          <w:highlight w:val="none"/>
        </w:rPr>
      </w:pPr>
      <w:r/>
      <w:bookmarkStart w:id="78"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78"/>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732"/>
        <w:ind w:left="0"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如</w:t>
      </w:r>
      <w:bookmarkStart w:id="79" w:name="OLE_LINK9"/>
      <w:r/>
      <w:bookmarkStart w:id="80" w:name="OLE_LINK8"/>
      <w:r>
        <w:rPr>
          <w:rFonts w:hint="eastAsia" w:ascii="宋体" w:hAnsi="宋体" w:eastAsia="宋体" w:cs="宋体"/>
          <w:color w:val="auto"/>
          <w:szCs w:val="24"/>
          <w:highlight w:val="none"/>
        </w:rPr>
        <w:t xml:space="preserve">接受供应商为联合体投标（响应）</w:t>
      </w:r>
      <w:bookmarkEnd w:id="79"/>
      <w:r/>
      <w:bookmarkEnd w:id="80"/>
      <w:r>
        <w:rPr>
          <w:rFonts w:hint="eastAsia" w:ascii="宋体" w:hAnsi="宋体" w:eastAsia="宋体" w:cs="宋体"/>
          <w:color w:val="auto"/>
          <w:szCs w:val="24"/>
          <w:highlight w:val="none"/>
        </w:rPr>
        <w:t xml:space="preserve">，联合体各方均为小微企业的，对联合体报价在评审时给予</w:t>
      </w:r>
      <w:r>
        <w:rPr>
          <w:rFonts w:hint="eastAsia" w:ascii="宋体" w:hAnsi="宋体" w:eastAsia="宋体" w:cs="宋体"/>
          <w:color w:val="auto"/>
          <w:szCs w:val="24"/>
          <w:highlight w:val="none"/>
          <w:u w:val="single"/>
        </w:rPr>
        <w:t xml:space="preserve"> / %</w:t>
      </w:r>
      <w:r>
        <w:rPr>
          <w:rFonts w:hint="eastAsia" w:ascii="宋体" w:hAnsi="宋体" w:eastAsia="宋体" w:cs="宋体"/>
          <w:color w:val="auto"/>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Cs w:val="24"/>
          <w:highlight w:val="none"/>
          <w:u w:val="single"/>
        </w:rPr>
        <w:t xml:space="preserve"> / %</w:t>
      </w:r>
      <w:r>
        <w:rPr>
          <w:rFonts w:hint="eastAsia" w:ascii="宋体" w:hAnsi="宋体" w:eastAsia="宋体" w:cs="宋体"/>
          <w:color w:val="auto"/>
          <w:szCs w:val="24"/>
          <w:highlight w:val="none"/>
        </w:rPr>
        <w:t xml:space="preserve">的扣除，用扣除后的价格参与评审。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（四）监狱企业</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（五）绿色采购</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1、根据苏财购【2019】10号文：</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2、绿色采购</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bookmarkEnd w:id="75"/>
      <w:r/>
      <w:bookmarkEnd w:id="76"/>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center"/>
        <w:keepLines/>
        <w:keepNext/>
        <w:spacing w:before="340" w:after="330" w:line="360" w:lineRule="auto"/>
        <w:rPr>
          <w:rFonts w:ascii="宋体" w:hAnsi="宋体" w:eastAsia="宋体" w:cs="宋体"/>
          <w:color w:val="auto"/>
          <w:highlight w:val="none"/>
        </w:rPr>
        <w:outlineLvl w:val="0"/>
      </w:pPr>
      <w:r>
        <w:rPr>
          <w:rFonts w:hint="eastAsia" w:ascii="宋体" w:hAnsi="宋体" w:eastAsia="宋体" w:cs="宋体"/>
          <w:b/>
          <w:color w:val="auto"/>
          <w:sz w:val="52"/>
          <w:szCs w:val="20"/>
          <w:highlight w:val="none"/>
          <w:shd w:val="clear" w:color="auto" w:fill="ffffff"/>
        </w:rPr>
        <w:t xml:space="preserve">第七章 附件</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附件1：政府采购合同信用融资政策告知函</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附件2：中小企业</w:t>
      </w:r>
      <w:r>
        <w:rPr>
          <w:rFonts w:hint="eastAsia" w:ascii="宋体" w:hAnsi="宋体" w:eastAsia="宋体" w:cs="宋体"/>
          <w:b/>
          <w:bCs/>
          <w:color w:val="auto"/>
          <w:sz w:val="24"/>
          <w:szCs w:val="24"/>
          <w:highlight w:val="none"/>
        </w:rPr>
        <w:t xml:space="preserve">相关要求</w:t>
      </w:r>
      <w:r/>
    </w:p>
    <w:p>
      <w:pPr>
        <w:spacing w:line="360" w:lineRule="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br w:type="page" w:clear="all"/>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8"/>
          <w:szCs w:val="24"/>
          <w:highlight w:val="none"/>
        </w:rPr>
        <w:t xml:space="preserve">政府采购合同信用融资政策告知函</w:t>
      </w:r>
      <w:r/>
    </w:p>
    <w:p>
      <w:pPr>
        <w:ind w:firstLine="48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64"/>
        <w:ind w:firstLine="0"/>
        <w:jc w:val="left"/>
        <w:rPr>
          <w:rFonts w:ascii="宋体" w:hAnsi="宋体" w:eastAsia="宋体" w:cs="宋体"/>
          <w:b/>
          <w:bCs/>
          <w:color w:val="auto"/>
          <w:highlight w:val="none"/>
        </w:rPr>
      </w:pPr>
      <w:r>
        <w:rPr>
          <w:rFonts w:hint="eastAsia" w:ascii="宋体" w:hAnsi="宋体" w:eastAsia="宋体" w:cs="宋体"/>
          <w:b/>
          <w:bCs/>
          <w:color w:val="auto"/>
          <w:highlight w:val="none"/>
        </w:rPr>
        <w:t xml:space="preserve">附件2：</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中小企业</w:t>
      </w:r>
      <w:r>
        <w:rPr>
          <w:rFonts w:hint="eastAsia" w:ascii="宋体" w:hAnsi="宋体" w:eastAsia="宋体" w:cs="宋体"/>
          <w:b/>
          <w:bCs/>
          <w:color w:val="auto"/>
          <w:sz w:val="24"/>
          <w:szCs w:val="24"/>
          <w:highlight w:val="none"/>
        </w:rPr>
        <w:t xml:space="preserve">相关要求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highlight w:val="none"/>
        </w:rPr>
        <w:t xml:space="preserve">本采购标的对应的中小企业划分标准所属行业，以采购文件中具体规定为准。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如未在</w:t>
      </w:r>
      <w:r>
        <w:rPr>
          <w:rFonts w:hint="eastAsia" w:ascii="宋体" w:hAnsi="宋体" w:eastAsia="宋体" w:cs="宋体"/>
          <w:color w:val="auto"/>
          <w:sz w:val="24"/>
          <w:szCs w:val="24"/>
          <w:highlight w:val="none"/>
        </w:rPr>
        <w:t xml:space="preserve">《中小企业声明函》中填写注明具体企业类型</w:t>
      </w:r>
      <w:r>
        <w:rPr>
          <w:rFonts w:hint="eastAsia" w:ascii="宋体" w:hAnsi="宋体" w:eastAsia="宋体" w:cs="宋体"/>
          <w:b/>
          <w:color w:val="auto"/>
          <w:sz w:val="24"/>
          <w:szCs w:val="24"/>
          <w:highlight w:val="none"/>
        </w:rPr>
        <w:t xml:space="preserve">（中型企业、小型企业或微型企业），不视为中小微企业，不享受相应扶持政策</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b/>
          <w:color w:val="auto"/>
          <w:highlight w:val="none"/>
        </w:rPr>
      </w:pPr>
      <w:r>
        <w:rPr>
          <w:rFonts w:hint="eastAsia" w:ascii="宋体" w:hAnsi="宋体" w:eastAsia="宋体" w:cs="宋体"/>
          <w:color w:val="auto"/>
          <w:sz w:val="24"/>
          <w:szCs w:val="24"/>
          <w:highlight w:val="none"/>
        </w:rPr>
        <w:t xml:space="preserve">4.中标（成交）单位为中小企业的，《中小企业声明函》将随中标（成交）结果同时公告。</w:t>
      </w:r>
      <w:r>
        <w:rPr>
          <w:rFonts w:hint="eastAsia" w:ascii="宋体" w:hAnsi="宋体" w:eastAsia="宋体" w:cs="宋体"/>
          <w:b/>
          <w:color w:val="auto"/>
          <w:highlight w:val="none"/>
        </w:rPr>
        <w:br w:type="page" w:clear="all"/>
      </w:r>
      <w:r/>
    </w:p>
    <w:p>
      <w:pPr>
        <w:pStyle w:val="964"/>
        <w:ind w:firstLine="0"/>
        <w:jc w:val="left"/>
        <w:rPr>
          <w:rFonts w:ascii="宋体" w:hAnsi="宋体" w:eastAsia="宋体" w:cs="宋体"/>
          <w:b/>
          <w:bCs/>
          <w:color w:val="auto"/>
          <w:highlight w:val="none"/>
        </w:rPr>
      </w:pPr>
      <w:r>
        <w:rPr>
          <w:rFonts w:hint="eastAsia" w:ascii="宋体" w:hAnsi="宋体" w:eastAsia="宋体" w:cs="宋体"/>
          <w:b/>
          <w:bCs/>
          <w:color w:val="auto"/>
          <w:highlight w:val="none"/>
        </w:rPr>
        <w:t xml:space="preserve">附件3：</w:t>
      </w:r>
      <w:r/>
    </w:p>
    <w:p>
      <w:pPr>
        <w:pStyle w:val="964"/>
        <w:ind w:firstLine="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中小企业划型标准规定</w:t>
      </w:r>
      <w:r>
        <w:rPr>
          <w:rFonts w:hint="eastAsia" w:ascii="宋体" w:hAnsi="宋体" w:eastAsia="宋体" w:cs="宋体"/>
          <w:b/>
          <w:color w:val="auto"/>
          <w:highlight w:val="none"/>
        </w:rPr>
        <w:t xml:space="preserve">（工信部联企业〔2011〕300号）</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jc w:val="right"/>
        <w:rPr>
          <w:rFonts w:ascii="宋体" w:hAnsi="宋体" w:eastAsia="宋体" w:cs="宋体"/>
          <w:b/>
          <w:bCs/>
          <w:color w:val="auto"/>
          <w:highlight w:val="none"/>
        </w:rPr>
      </w:pPr>
      <w:r>
        <w:rPr>
          <w:rFonts w:hint="eastAsia" w:ascii="宋体" w:hAnsi="宋体" w:eastAsia="宋体" w:cs="宋体"/>
          <w:b/>
          <w:bCs/>
          <w:color w:val="auto"/>
          <w:sz w:val="24"/>
          <w:szCs w:val="20"/>
          <w:highlight w:val="none"/>
          <w:shd w:val="clear" w:color="auto" w:fill="ffffff"/>
        </w:rPr>
        <w:t xml:space="preserve">（全文完）</w:t>
      </w:r>
      <w:r/>
    </w:p>
    <w:p>
      <w:pPr>
        <w:pStyle w:val="731"/>
        <w:rPr>
          <w:rFonts w:ascii="宋体" w:hAnsi="宋体" w:eastAsia="宋体" w:cs="宋体"/>
          <w:color w:val="auto"/>
          <w:highlight w:val="none"/>
        </w:rPr>
      </w:pPr>
      <w:r>
        <w:rPr>
          <w:rFonts w:ascii="宋体" w:hAnsi="宋体" w:eastAsia="宋体" w:cs="宋体"/>
          <w:color w:val="auto"/>
          <w:highlight w:val="none"/>
        </w:rPr>
      </w:r>
      <w:r/>
    </w:p>
    <w:p>
      <w:pPr>
        <w:ind w:right="480"/>
        <w:spacing w:line="360" w:lineRule="auto"/>
        <w:rPr>
          <w:rFonts w:ascii="宋体" w:hAnsi="宋体" w:eastAsia="宋体" w:cs="宋体"/>
          <w:b/>
          <w:bCs/>
          <w:color w:val="auto"/>
          <w:highlight w:val="none"/>
        </w:rPr>
      </w:pPr>
      <w:r>
        <w:rPr>
          <w:rFonts w:ascii="宋体" w:hAnsi="宋体" w:eastAsia="宋体" w:cs="宋体"/>
          <w:b/>
          <w:bCs/>
          <w:color w:val="auto"/>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59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JSZC-320500-SZCH-G2026-0053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993"/>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8"/>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2">
    <w:name w:val="Heading 1"/>
    <w:basedOn w:val="711"/>
    <w:next w:val="711"/>
    <w:link w:val="930"/>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13">
    <w:name w:val="Heading 2"/>
    <w:basedOn w:val="711"/>
    <w:next w:val="711"/>
    <w:link w:val="931"/>
    <w:uiPriority w:val="0"/>
    <w:qFormat/>
    <w:pPr>
      <w:jc w:val="left"/>
      <w:keepLines/>
      <w:keepNext/>
      <w:outlineLvl w:val="1"/>
    </w:pPr>
    <w:rPr>
      <w:rFonts w:ascii="宋体" w:hAnsi="宋体" w:eastAsia="楷体_GB2312" w:cs="Times New Roman"/>
      <w:b/>
      <w:sz w:val="26"/>
      <w:szCs w:val="20"/>
    </w:rPr>
  </w:style>
  <w:style w:type="paragraph" w:styleId="714">
    <w:name w:val="Heading 3"/>
    <w:basedOn w:val="711"/>
    <w:next w:val="711"/>
    <w:link w:val="932"/>
    <w:uiPriority w:val="0"/>
    <w:qFormat/>
    <w:pPr>
      <w:jc w:val="left"/>
      <w:keepLines/>
      <w:keepNext/>
      <w:outlineLvl w:val="2"/>
    </w:pPr>
    <w:rPr>
      <w:rFonts w:ascii="Calibri" w:hAnsi="Calibri" w:eastAsia="楷体_GB2312" w:cs="Times New Roman"/>
      <w:b/>
      <w:sz w:val="26"/>
      <w:szCs w:val="20"/>
    </w:rPr>
  </w:style>
  <w:style w:type="paragraph" w:styleId="715">
    <w:name w:val="Heading 4"/>
    <w:basedOn w:val="711"/>
    <w:next w:val="711"/>
    <w:link w:val="933"/>
    <w:uiPriority w:val="0"/>
    <w:qFormat/>
    <w:pPr>
      <w:keepLines/>
      <w:keepNext/>
      <w:spacing w:before="280" w:after="290" w:line="376" w:lineRule="auto"/>
      <w:outlineLvl w:val="3"/>
    </w:pPr>
    <w:rPr>
      <w:rFonts w:ascii="Arial" w:hAnsi="Arial" w:eastAsia="黑体" w:cs="Times New Roman"/>
      <w:b/>
      <w:bCs/>
      <w:sz w:val="28"/>
      <w:szCs w:val="28"/>
    </w:rPr>
  </w:style>
  <w:style w:type="paragraph" w:styleId="716">
    <w:name w:val="Heading 5"/>
    <w:basedOn w:val="711"/>
    <w:next w:val="711"/>
    <w:link w:val="934"/>
    <w:uiPriority w:val="0"/>
    <w:qFormat/>
    <w:pPr>
      <w:keepNext/>
      <w:outlineLvl w:val="4"/>
    </w:pPr>
    <w:rPr>
      <w:rFonts w:ascii="宋体" w:hAnsi="宋体" w:eastAsia="宋体" w:cs="Times New Roman"/>
      <w:color w:val="000000"/>
      <w:sz w:val="28"/>
      <w:szCs w:val="20"/>
    </w:rPr>
  </w:style>
  <w:style w:type="paragraph" w:styleId="717">
    <w:name w:val="Heading 6"/>
    <w:basedOn w:val="711"/>
    <w:next w:val="711"/>
    <w:link w:val="935"/>
    <w:uiPriority w:val="0"/>
    <w:qFormat/>
    <w:pPr>
      <w:keepNext/>
      <w:outlineLvl w:val="5"/>
    </w:pPr>
    <w:rPr>
      <w:rFonts w:ascii="宋体" w:hAnsi="宋体" w:eastAsia="宋体" w:cs="Times New Roman"/>
      <w:sz w:val="28"/>
      <w:szCs w:val="20"/>
    </w:rPr>
  </w:style>
  <w:style w:type="paragraph" w:styleId="718">
    <w:name w:val="Heading 7"/>
    <w:basedOn w:val="711"/>
    <w:next w:val="711"/>
    <w:link w:val="806"/>
    <w:uiPriority w:val="9"/>
    <w:unhideWhenUsed/>
    <w:qFormat/>
    <w:pPr>
      <w:keepLines/>
      <w:keepNext/>
      <w:spacing w:before="320" w:after="200"/>
      <w:outlineLvl w:val="6"/>
    </w:pPr>
    <w:rPr>
      <w:rFonts w:ascii="Arial" w:hAnsi="Arial" w:eastAsia="Arial" w:cs="Arial"/>
      <w:b/>
      <w:bCs/>
      <w:i/>
      <w:iCs/>
      <w:sz w:val="22"/>
    </w:rPr>
  </w:style>
  <w:style w:type="paragraph" w:styleId="719">
    <w:name w:val="Heading 8"/>
    <w:basedOn w:val="711"/>
    <w:next w:val="711"/>
    <w:link w:val="807"/>
    <w:uiPriority w:val="9"/>
    <w:unhideWhenUsed/>
    <w:qFormat/>
    <w:pPr>
      <w:keepLines/>
      <w:keepNext/>
      <w:spacing w:before="320" w:after="200"/>
      <w:outlineLvl w:val="7"/>
    </w:pPr>
    <w:rPr>
      <w:rFonts w:ascii="Arial" w:hAnsi="Arial" w:eastAsia="Arial" w:cs="Arial"/>
      <w:i/>
      <w:iCs/>
      <w:sz w:val="22"/>
    </w:rPr>
  </w:style>
  <w:style w:type="paragraph" w:styleId="720">
    <w:name w:val="Heading 9"/>
    <w:basedOn w:val="711"/>
    <w:next w:val="711"/>
    <w:link w:val="808"/>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0"/>
    <w:qFormat/>
    <w:pPr>
      <w:ind w:left="2520"/>
    </w:pPr>
    <w:rPr>
      <w:rFonts w:ascii="Calibri" w:hAnsi="Calibri" w:eastAsia="楷体_GB2312" w:cs="Times New Roman"/>
      <w:sz w:val="26"/>
      <w:szCs w:val="20"/>
    </w:rPr>
  </w:style>
  <w:style w:type="paragraph" w:styleId="724">
    <w:name w:val="index 8"/>
    <w:basedOn w:val="711"/>
    <w:next w:val="711"/>
    <w:uiPriority w:val="0"/>
    <w:qFormat/>
    <w:pPr>
      <w:ind w:left="2940"/>
    </w:pPr>
    <w:rPr>
      <w:rFonts w:ascii="Calibri" w:hAnsi="Calibri" w:eastAsia="楷体_GB2312" w:cs="Times New Roman"/>
      <w:sz w:val="26"/>
      <w:szCs w:val="20"/>
    </w:rPr>
  </w:style>
  <w:style w:type="paragraph" w:styleId="725">
    <w:name w:val="Normal Indent"/>
    <w:basedOn w:val="711"/>
    <w:next w:val="711"/>
    <w:link w:val="936"/>
    <w:uiPriority w:val="0"/>
    <w:qFormat/>
    <w:pPr>
      <w:ind w:firstLine="420"/>
      <w:jc w:val="left"/>
    </w:pPr>
    <w:rPr>
      <w:rFonts w:ascii="Calibri" w:hAnsi="Calibri" w:eastAsia="楷体_GB2312" w:cs="Times New Roman"/>
      <w:sz w:val="24"/>
      <w:szCs w:val="20"/>
    </w:rPr>
  </w:style>
  <w:style w:type="paragraph" w:styleId="726">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index 5"/>
    <w:basedOn w:val="711"/>
    <w:next w:val="711"/>
    <w:uiPriority w:val="0"/>
    <w:qFormat/>
    <w:pPr>
      <w:ind w:left="1680"/>
    </w:pPr>
    <w:rPr>
      <w:rFonts w:ascii="Calibri" w:hAnsi="Calibri" w:eastAsia="楷体_GB2312" w:cs="Times New Roman"/>
      <w:sz w:val="26"/>
      <w:szCs w:val="20"/>
    </w:rPr>
  </w:style>
  <w:style w:type="paragraph" w:styleId="728">
    <w:name w:val="Document Map"/>
    <w:basedOn w:val="711"/>
    <w:link w:val="937"/>
    <w:uiPriority w:val="0"/>
    <w:qFormat/>
    <w:pPr>
      <w:shd w:val="clear" w:color="auto" w:fill="000080"/>
    </w:pPr>
    <w:rPr>
      <w:rFonts w:ascii="Calibri" w:hAnsi="Calibri" w:eastAsia="楷体_GB2312" w:cs="Times New Roman"/>
      <w:sz w:val="26"/>
      <w:szCs w:val="20"/>
    </w:rPr>
  </w:style>
  <w:style w:type="paragraph" w:styleId="729">
    <w:name w:val="annotation text"/>
    <w:basedOn w:val="711"/>
    <w:link w:val="938"/>
    <w:uiPriority w:val="0"/>
    <w:qFormat/>
    <w:pPr>
      <w:jc w:val="left"/>
    </w:pPr>
    <w:rPr>
      <w:rFonts w:ascii="Calibri" w:hAnsi="Calibri" w:eastAsia="楷体_GB2312" w:cs="Times New Roman"/>
      <w:sz w:val="26"/>
      <w:szCs w:val="20"/>
    </w:rPr>
  </w:style>
  <w:style w:type="paragraph" w:styleId="730">
    <w:name w:val="index 6"/>
    <w:basedOn w:val="711"/>
    <w:next w:val="711"/>
    <w:uiPriority w:val="0"/>
    <w:qFormat/>
    <w:pPr>
      <w:ind w:left="2100"/>
    </w:pPr>
    <w:rPr>
      <w:rFonts w:ascii="Calibri" w:hAnsi="Calibri" w:eastAsia="楷体_GB2312" w:cs="Times New Roman"/>
      <w:sz w:val="26"/>
      <w:szCs w:val="20"/>
    </w:rPr>
  </w:style>
  <w:style w:type="paragraph" w:styleId="731">
    <w:name w:val="Body Text"/>
    <w:basedOn w:val="711"/>
    <w:link w:val="939"/>
    <w:uiPriority w:val="0"/>
    <w:qFormat/>
    <w:pPr>
      <w:spacing w:line="400" w:lineRule="exact"/>
    </w:pPr>
    <w:rPr>
      <w:rFonts w:ascii="楷体_GB2312" w:hAnsi="Calibri" w:eastAsia="楷体_GB2312" w:cs="Times New Roman"/>
      <w:sz w:val="28"/>
      <w:szCs w:val="20"/>
    </w:rPr>
  </w:style>
  <w:style w:type="paragraph" w:styleId="732">
    <w:name w:val="Body Text Indent"/>
    <w:basedOn w:val="711"/>
    <w:link w:val="940"/>
    <w:uiPriority w:val="99"/>
    <w:qFormat/>
    <w:pPr>
      <w:ind w:left="570"/>
      <w:spacing w:line="520" w:lineRule="exact"/>
    </w:pPr>
    <w:rPr>
      <w:rFonts w:ascii="方正仿宋简体" w:hAnsi="创艺简仿宋" w:eastAsia="方正仿宋简体" w:cs="Times New Roman"/>
      <w:sz w:val="24"/>
      <w:szCs w:val="20"/>
    </w:rPr>
  </w:style>
  <w:style w:type="paragraph" w:styleId="733">
    <w:name w:val="Block Text"/>
    <w:basedOn w:val="711"/>
    <w:next w:val="711"/>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34">
    <w:name w:val="index 4"/>
    <w:basedOn w:val="711"/>
    <w:next w:val="711"/>
    <w:uiPriority w:val="0"/>
    <w:qFormat/>
    <w:pPr>
      <w:ind w:left="1260"/>
    </w:pPr>
    <w:rPr>
      <w:rFonts w:ascii="Calibri" w:hAnsi="Calibri" w:eastAsia="楷体_GB2312" w:cs="Times New Roman"/>
      <w:sz w:val="26"/>
      <w:szCs w:val="20"/>
    </w:rPr>
  </w:style>
  <w:style w:type="paragraph" w:styleId="735">
    <w:name w:val="toc 5"/>
    <w:basedOn w:val="711"/>
    <w:next w:val="711"/>
    <w:uiPriority w:val="0"/>
    <w:qFormat/>
    <w:pPr>
      <w:ind w:left="1680"/>
    </w:pPr>
    <w:rPr>
      <w:rFonts w:ascii="Calibri" w:hAnsi="Calibri" w:eastAsia="楷体_GB2312" w:cs="Times New Roman"/>
      <w:sz w:val="26"/>
      <w:szCs w:val="20"/>
    </w:rPr>
  </w:style>
  <w:style w:type="paragraph" w:styleId="736">
    <w:name w:val="toc 3"/>
    <w:basedOn w:val="711"/>
    <w:next w:val="711"/>
    <w:uiPriority w:val="0"/>
    <w:qFormat/>
    <w:pPr>
      <w:ind w:left="840"/>
    </w:pPr>
    <w:rPr>
      <w:rFonts w:ascii="Calibri" w:hAnsi="Calibri" w:eastAsia="楷体_GB2312" w:cs="Times New Roman"/>
      <w:sz w:val="26"/>
      <w:szCs w:val="20"/>
    </w:rPr>
  </w:style>
  <w:style w:type="paragraph" w:styleId="737">
    <w:name w:val="Plain Text"/>
    <w:basedOn w:val="711"/>
    <w:link w:val="941"/>
    <w:uiPriority w:val="0"/>
    <w:qFormat/>
    <w:rPr>
      <w:rFonts w:ascii="宋体" w:hAnsi="Courier New" w:eastAsia="楷体_GB2312" w:cs="Times New Roman"/>
      <w:sz w:val="26"/>
      <w:szCs w:val="20"/>
    </w:rPr>
  </w:style>
  <w:style w:type="paragraph" w:styleId="738">
    <w:name w:val="toc 8"/>
    <w:basedOn w:val="711"/>
    <w:next w:val="711"/>
    <w:uiPriority w:val="0"/>
    <w:qFormat/>
    <w:pPr>
      <w:ind w:left="2940"/>
    </w:pPr>
    <w:rPr>
      <w:rFonts w:ascii="Calibri" w:hAnsi="Calibri" w:eastAsia="楷体_GB2312" w:cs="Times New Roman"/>
      <w:sz w:val="26"/>
      <w:szCs w:val="20"/>
    </w:rPr>
  </w:style>
  <w:style w:type="paragraph" w:styleId="739">
    <w:name w:val="index 3"/>
    <w:basedOn w:val="711"/>
    <w:next w:val="711"/>
    <w:uiPriority w:val="0"/>
    <w:qFormat/>
    <w:pPr>
      <w:ind w:left="840"/>
    </w:pPr>
    <w:rPr>
      <w:rFonts w:ascii="Calibri" w:hAnsi="Calibri" w:eastAsia="楷体_GB2312" w:cs="Times New Roman"/>
      <w:sz w:val="26"/>
      <w:szCs w:val="20"/>
    </w:rPr>
  </w:style>
  <w:style w:type="paragraph" w:styleId="740">
    <w:name w:val="Date"/>
    <w:basedOn w:val="711"/>
    <w:next w:val="711"/>
    <w:link w:val="942"/>
    <w:uiPriority w:val="0"/>
    <w:qFormat/>
    <w:rPr>
      <w:rFonts w:ascii="宋体" w:hAnsi="宋体" w:eastAsia="楷体_GB2312" w:cs="Times New Roman"/>
      <w:sz w:val="24"/>
      <w:szCs w:val="20"/>
    </w:rPr>
  </w:style>
  <w:style w:type="paragraph" w:styleId="741">
    <w:name w:val="Body Text Indent 2"/>
    <w:basedOn w:val="711"/>
    <w:link w:val="943"/>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42">
    <w:name w:val="endnote text"/>
    <w:basedOn w:val="711"/>
    <w:link w:val="944"/>
    <w:uiPriority w:val="0"/>
    <w:qFormat/>
    <w:pPr>
      <w:jc w:val="left"/>
    </w:pPr>
    <w:rPr>
      <w:rFonts w:ascii="Calibri" w:hAnsi="Calibri" w:eastAsia="楷体_GB2312" w:cs="Times New Roman"/>
      <w:sz w:val="26"/>
      <w:szCs w:val="20"/>
    </w:rPr>
  </w:style>
  <w:style w:type="paragraph" w:styleId="743">
    <w:name w:val="Balloon Text"/>
    <w:basedOn w:val="711"/>
    <w:link w:val="945"/>
    <w:uiPriority w:val="99"/>
    <w:qFormat/>
    <w:rPr>
      <w:rFonts w:ascii="Calibri" w:hAnsi="Calibri" w:eastAsia="楷体_GB2312" w:cs="Times New Roman"/>
      <w:sz w:val="18"/>
      <w:szCs w:val="18"/>
    </w:rPr>
  </w:style>
  <w:style w:type="paragraph" w:styleId="744">
    <w:name w:val="Footer"/>
    <w:basedOn w:val="711"/>
    <w:link w:val="946"/>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45">
    <w:name w:val="Header"/>
    <w:basedOn w:val="711"/>
    <w:link w:val="947"/>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46">
    <w:name w:val="toc 1"/>
    <w:basedOn w:val="711"/>
    <w:next w:val="711"/>
    <w:uiPriority w:val="39"/>
    <w:qFormat/>
    <w:pPr>
      <w:jc w:val="left"/>
    </w:pPr>
    <w:rPr>
      <w:rFonts w:ascii="Calibri" w:hAnsi="Calibri" w:eastAsia="楷体_GB2312" w:cs="Times New Roman"/>
      <w:sz w:val="24"/>
      <w:szCs w:val="20"/>
    </w:rPr>
  </w:style>
  <w:style w:type="paragraph" w:styleId="747">
    <w:name w:val="toc 4"/>
    <w:basedOn w:val="711"/>
    <w:next w:val="711"/>
    <w:uiPriority w:val="0"/>
    <w:qFormat/>
    <w:pPr>
      <w:ind w:left="1260"/>
    </w:pPr>
    <w:rPr>
      <w:rFonts w:ascii="Calibri" w:hAnsi="Calibri" w:eastAsia="楷体_GB2312" w:cs="Times New Roman"/>
      <w:sz w:val="26"/>
      <w:szCs w:val="20"/>
    </w:rPr>
  </w:style>
  <w:style w:type="paragraph" w:styleId="748">
    <w:name w:val="index heading"/>
    <w:basedOn w:val="711"/>
    <w:next w:val="749"/>
    <w:uiPriority w:val="0"/>
    <w:qFormat/>
    <w:rPr>
      <w:rFonts w:ascii="Calibri" w:hAnsi="Calibri" w:eastAsia="楷体_GB2312" w:cs="Times New Roman"/>
      <w:sz w:val="26"/>
      <w:szCs w:val="20"/>
    </w:rPr>
  </w:style>
  <w:style w:type="paragraph" w:styleId="749">
    <w:name w:val="index 1"/>
    <w:basedOn w:val="711"/>
    <w:next w:val="711"/>
    <w:uiPriority w:val="0"/>
    <w:unhideWhenUsed/>
    <w:qFormat/>
  </w:style>
  <w:style w:type="paragraph" w:styleId="750">
    <w:name w:val="Subtitle"/>
    <w:basedOn w:val="711"/>
    <w:next w:val="711"/>
    <w:link w:val="948"/>
    <w:uiPriority w:val="0"/>
    <w:qFormat/>
    <w:pPr>
      <w:jc w:val="left"/>
      <w:spacing w:before="120"/>
      <w:outlineLvl w:val="1"/>
    </w:pPr>
    <w:rPr>
      <w:rFonts w:ascii="Cambria" w:hAnsi="Cambria" w:eastAsia="宋体" w:cs="Times New Roman"/>
      <w:b/>
      <w:bCs/>
      <w:sz w:val="24"/>
      <w:szCs w:val="32"/>
    </w:rPr>
  </w:style>
  <w:style w:type="paragraph" w:styleId="751">
    <w:name w:val="footnote text"/>
    <w:basedOn w:val="711"/>
    <w:link w:val="949"/>
    <w:uiPriority w:val="0"/>
    <w:qFormat/>
    <w:pPr>
      <w:jc w:val="left"/>
    </w:pPr>
    <w:rPr>
      <w:rFonts w:ascii="Calibri" w:hAnsi="Calibri" w:eastAsia="楷体_GB2312" w:cs="Times New Roman"/>
      <w:sz w:val="18"/>
      <w:szCs w:val="20"/>
    </w:rPr>
  </w:style>
  <w:style w:type="paragraph" w:styleId="752">
    <w:name w:val="toc 6"/>
    <w:basedOn w:val="711"/>
    <w:next w:val="711"/>
    <w:uiPriority w:val="0"/>
    <w:qFormat/>
    <w:pPr>
      <w:ind w:left="2100"/>
    </w:pPr>
    <w:rPr>
      <w:rFonts w:ascii="Calibri" w:hAnsi="Calibri" w:eastAsia="楷体_GB2312" w:cs="Times New Roman"/>
      <w:sz w:val="26"/>
      <w:szCs w:val="20"/>
    </w:rPr>
  </w:style>
  <w:style w:type="paragraph" w:styleId="753">
    <w:name w:val="Body Text Indent 3"/>
    <w:basedOn w:val="711"/>
    <w:link w:val="950"/>
    <w:uiPriority w:val="0"/>
    <w:qFormat/>
    <w:pPr>
      <w:ind w:firstLine="617"/>
      <w:spacing w:line="360" w:lineRule="auto"/>
    </w:pPr>
    <w:rPr>
      <w:rFonts w:ascii="Calibri" w:hAnsi="Calibri" w:eastAsia="宋体" w:cs="Times New Roman"/>
      <w:sz w:val="24"/>
      <w:szCs w:val="24"/>
    </w:rPr>
  </w:style>
  <w:style w:type="paragraph" w:styleId="754">
    <w:name w:val="index 7"/>
    <w:basedOn w:val="711"/>
    <w:next w:val="711"/>
    <w:uiPriority w:val="0"/>
    <w:qFormat/>
    <w:pPr>
      <w:ind w:left="2520"/>
    </w:pPr>
    <w:rPr>
      <w:rFonts w:ascii="Calibri" w:hAnsi="Calibri" w:eastAsia="楷体_GB2312" w:cs="Times New Roman"/>
      <w:sz w:val="26"/>
      <w:szCs w:val="20"/>
    </w:rPr>
  </w:style>
  <w:style w:type="paragraph" w:styleId="755">
    <w:name w:val="index 9"/>
    <w:basedOn w:val="711"/>
    <w:next w:val="711"/>
    <w:uiPriority w:val="0"/>
    <w:qFormat/>
    <w:pPr>
      <w:ind w:left="3360"/>
    </w:pPr>
    <w:rPr>
      <w:rFonts w:ascii="Calibri" w:hAnsi="Calibri" w:eastAsia="楷体_GB2312" w:cs="Times New Roman"/>
      <w:sz w:val="26"/>
      <w:szCs w:val="20"/>
    </w:rPr>
  </w:style>
  <w:style w:type="paragraph" w:styleId="756">
    <w:name w:val="table of figures"/>
    <w:basedOn w:val="711"/>
    <w:next w:val="711"/>
    <w:uiPriority w:val="0"/>
    <w:qFormat/>
    <w:pPr>
      <w:ind w:left="420" w:hanging="420"/>
      <w:jc w:val="left"/>
    </w:pPr>
    <w:rPr>
      <w:rFonts w:ascii="Calibri" w:hAnsi="Calibri" w:eastAsia="楷体_GB2312" w:cs="Times New Roman"/>
      <w:smallCaps/>
      <w:sz w:val="24"/>
      <w:szCs w:val="20"/>
    </w:rPr>
  </w:style>
  <w:style w:type="paragraph" w:styleId="757">
    <w:name w:val="toc 2"/>
    <w:basedOn w:val="711"/>
    <w:next w:val="711"/>
    <w:uiPriority w:val="0"/>
    <w:qFormat/>
    <w:pPr>
      <w:ind w:left="420"/>
    </w:pPr>
    <w:rPr>
      <w:rFonts w:ascii="Calibri" w:hAnsi="Calibri" w:eastAsia="楷体_GB2312" w:cs="Times New Roman"/>
      <w:sz w:val="26"/>
      <w:szCs w:val="20"/>
    </w:rPr>
  </w:style>
  <w:style w:type="paragraph" w:styleId="758">
    <w:name w:val="toc 9"/>
    <w:basedOn w:val="711"/>
    <w:next w:val="711"/>
    <w:uiPriority w:val="0"/>
    <w:qFormat/>
    <w:pPr>
      <w:ind w:left="3360"/>
    </w:pPr>
    <w:rPr>
      <w:rFonts w:ascii="Calibri" w:hAnsi="Calibri" w:eastAsia="楷体_GB2312" w:cs="Times New Roman"/>
      <w:sz w:val="26"/>
      <w:szCs w:val="20"/>
    </w:rPr>
  </w:style>
  <w:style w:type="paragraph" w:styleId="759">
    <w:name w:val="HTML Preformatted"/>
    <w:basedOn w:val="711"/>
    <w:link w:val="9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60">
    <w:name w:val="Normal (Web)"/>
    <w:basedOn w:val="711"/>
    <w:uiPriority w:val="99"/>
    <w:qFormat/>
    <w:pPr>
      <w:jc w:val="left"/>
      <w:spacing w:before="100" w:beforeAutospacing="1" w:after="100" w:afterAutospacing="1"/>
    </w:pPr>
    <w:rPr>
      <w:rFonts w:ascii="Calibri" w:hAnsi="Calibri" w:eastAsia="楷体_GB2312" w:cs="Times New Roman"/>
      <w:sz w:val="24"/>
    </w:rPr>
  </w:style>
  <w:style w:type="paragraph" w:styleId="761">
    <w:name w:val="index 2"/>
    <w:basedOn w:val="711"/>
    <w:next w:val="711"/>
    <w:uiPriority w:val="0"/>
    <w:qFormat/>
    <w:pPr>
      <w:ind w:left="420"/>
    </w:pPr>
    <w:rPr>
      <w:rFonts w:ascii="Calibri" w:hAnsi="Calibri" w:eastAsia="楷体_GB2312" w:cs="Times New Roman"/>
      <w:sz w:val="26"/>
      <w:szCs w:val="20"/>
    </w:rPr>
  </w:style>
  <w:style w:type="paragraph" w:styleId="762">
    <w:name w:val="Title"/>
    <w:basedOn w:val="711"/>
    <w:next w:val="711"/>
    <w:link w:val="952"/>
    <w:uiPriority w:val="0"/>
    <w:qFormat/>
    <w:pPr>
      <w:jc w:val="center"/>
      <w:spacing w:before="240" w:after="60"/>
      <w:outlineLvl w:val="0"/>
    </w:pPr>
    <w:rPr>
      <w:rFonts w:ascii="Cambria" w:hAnsi="Cambria" w:eastAsia="宋体" w:cs="Times New Roman"/>
      <w:b/>
      <w:bCs/>
      <w:sz w:val="32"/>
      <w:szCs w:val="32"/>
    </w:rPr>
  </w:style>
  <w:style w:type="paragraph" w:styleId="763">
    <w:name w:val="annotation subject"/>
    <w:basedOn w:val="729"/>
    <w:next w:val="729"/>
    <w:link w:val="953"/>
    <w:uiPriority w:val="99"/>
    <w:qFormat/>
    <w:rPr>
      <w:b/>
      <w:bCs/>
    </w:rPr>
  </w:style>
  <w:style w:type="paragraph" w:styleId="764">
    <w:name w:val="Body Text First Indent 2"/>
    <w:basedOn w:val="732"/>
    <w:link w:val="954"/>
    <w:uiPriority w:val="0"/>
    <w:qFormat/>
    <w:pPr>
      <w:ind w:left="420" w:firstLine="420"/>
      <w:spacing w:after="120" w:line="240" w:lineRule="auto"/>
    </w:pPr>
    <w:rPr>
      <w:rFonts w:ascii="Calibri" w:hAnsi="Calibri" w:eastAsia="楷体_GB2312"/>
      <w:sz w:val="26"/>
    </w:rPr>
  </w:style>
  <w:style w:type="table" w:styleId="765">
    <w:name w:val="Table Grid"/>
    <w:basedOn w:val="7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basedOn w:val="721"/>
    <w:uiPriority w:val="0"/>
    <w:qFormat/>
    <w:rPr>
      <w:b/>
    </w:rPr>
  </w:style>
  <w:style w:type="character" w:styleId="767">
    <w:name w:val="endnote reference"/>
    <w:uiPriority w:val="0"/>
    <w:qFormat/>
    <w:rPr>
      <w:vertAlign w:val="superscript"/>
    </w:rPr>
  </w:style>
  <w:style w:type="character" w:styleId="768">
    <w:name w:val="page number"/>
    <w:basedOn w:val="721"/>
    <w:uiPriority w:val="0"/>
    <w:qFormat/>
  </w:style>
  <w:style w:type="character" w:styleId="769">
    <w:name w:val="FollowedHyperlink"/>
    <w:uiPriority w:val="99"/>
    <w:unhideWhenUsed/>
    <w:qFormat/>
    <w:rPr>
      <w:color w:val="800080"/>
      <w:u w:val="single"/>
    </w:rPr>
  </w:style>
  <w:style w:type="character" w:styleId="770">
    <w:name w:val="Emphasis"/>
    <w:uiPriority w:val="0"/>
    <w:qFormat/>
    <w:rPr>
      <w:i/>
    </w:rPr>
  </w:style>
  <w:style w:type="character" w:styleId="771">
    <w:name w:val="Hyperlink"/>
    <w:uiPriority w:val="0"/>
    <w:unhideWhenUsed/>
    <w:qFormat/>
    <w:rPr>
      <w:color w:val="0000ff"/>
      <w:u w:val="single"/>
    </w:rPr>
  </w:style>
  <w:style w:type="character" w:styleId="772">
    <w:name w:val="annotation reference"/>
    <w:basedOn w:val="721"/>
    <w:uiPriority w:val="99"/>
    <w:qFormat/>
    <w:rPr>
      <w:sz w:val="21"/>
      <w:szCs w:val="21"/>
    </w:rPr>
  </w:style>
  <w:style w:type="character" w:styleId="773">
    <w:name w:val="footnote reference"/>
    <w:uiPriority w:val="0"/>
    <w:qFormat/>
    <w:rPr>
      <w:vertAlign w:val="superscript"/>
    </w:rPr>
  </w:style>
  <w:style w:type="table" w:styleId="774" w:customStyle="1">
    <w:name w:val="无格式表格 1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2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网格表 31"/>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网格表 5 深色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网格表 6 彩色1"/>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网格表 7 彩色1"/>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清单表 1 浅色1"/>
    <w:basedOn w:val="72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清单表 21"/>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清单表 3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清单表 41"/>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5 深色1"/>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清单表 6 彩色1"/>
    <w:basedOn w:val="72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清单表 7 彩色1"/>
    <w:basedOn w:val="72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TOC 标题1"/>
    <w:uiPriority w:val="39"/>
    <w:unhideWhenUsed/>
    <w:qFormat/>
    <w:rPr>
      <w:rFonts w:ascii="Times New Roman" w:hAnsi="Times New Roman" w:eastAsia="宋体" w:cs="Times New Roman"/>
      <w:lang w:val="en-US" w:eastAsia="zh-CN" w:bidi="ar-SA"/>
    </w:rPr>
  </w:style>
  <w:style w:type="character" w:styleId="794" w:customStyle="1">
    <w:name w:val="Heading 7 Char"/>
    <w:basedOn w:val="721"/>
    <w:uiPriority w:val="9"/>
    <w:qFormat/>
    <w:rPr>
      <w:rFonts w:ascii="Arial" w:hAnsi="Arial" w:eastAsia="Arial" w:cs="Arial"/>
      <w:b/>
      <w:bCs/>
      <w:i/>
      <w:iCs/>
      <w:sz w:val="22"/>
      <w:szCs w:val="22"/>
    </w:rPr>
  </w:style>
  <w:style w:type="character" w:styleId="795" w:customStyle="1">
    <w:name w:val="Heading 8 Char"/>
    <w:basedOn w:val="721"/>
    <w:uiPriority w:val="9"/>
    <w:qFormat/>
    <w:rPr>
      <w:rFonts w:ascii="Arial" w:hAnsi="Arial" w:eastAsia="Arial" w:cs="Arial"/>
      <w:i/>
      <w:iCs/>
      <w:sz w:val="22"/>
      <w:szCs w:val="22"/>
    </w:rPr>
  </w:style>
  <w:style w:type="character" w:styleId="796" w:customStyle="1">
    <w:name w:val="Heading 9 Char"/>
    <w:basedOn w:val="721"/>
    <w:uiPriority w:val="9"/>
    <w:qFormat/>
    <w:rPr>
      <w:rFonts w:ascii="Arial" w:hAnsi="Arial" w:eastAsia="Arial" w:cs="Arial"/>
      <w:i/>
      <w:iCs/>
      <w:sz w:val="21"/>
      <w:szCs w:val="21"/>
    </w:rPr>
  </w:style>
  <w:style w:type="character" w:styleId="797" w:customStyle="1">
    <w:name w:val="Quote Char"/>
    <w:uiPriority w:val="29"/>
    <w:qFormat/>
    <w:rPr>
      <w:i/>
    </w:rPr>
  </w:style>
  <w:style w:type="character" w:styleId="798" w:customStyle="1">
    <w:name w:val="Intense Quote Char"/>
    <w:uiPriority w:val="30"/>
    <w:qFormat/>
    <w:rPr>
      <w:i/>
    </w:rPr>
  </w:style>
  <w:style w:type="paragraph" w:styleId="799" w:customStyle="1">
    <w:name w:val="TOC 标题111"/>
    <w:uiPriority w:val="39"/>
    <w:unhideWhenUsed/>
    <w:qFormat/>
    <w:rPr>
      <w:rFonts w:ascii="Times New Roman" w:hAnsi="Times New Roman" w:eastAsia="宋体" w:cs="Times New Roman"/>
      <w:lang w:val="en-US" w:eastAsia="zh-CN" w:bidi="ar-SA"/>
    </w:rPr>
  </w:style>
  <w:style w:type="character" w:styleId="800" w:customStyle="1">
    <w:name w:val="Heading 1 Char"/>
    <w:basedOn w:val="721"/>
    <w:uiPriority w:val="9"/>
    <w:qFormat/>
    <w:rPr>
      <w:rFonts w:ascii="Arial" w:hAnsi="Arial" w:eastAsia="Arial" w:cs="Arial"/>
      <w:sz w:val="40"/>
      <w:szCs w:val="40"/>
    </w:rPr>
  </w:style>
  <w:style w:type="character" w:styleId="801" w:customStyle="1">
    <w:name w:val="Heading 2 Char"/>
    <w:basedOn w:val="721"/>
    <w:uiPriority w:val="9"/>
    <w:qFormat/>
    <w:rPr>
      <w:rFonts w:ascii="Arial" w:hAnsi="Arial" w:eastAsia="Arial" w:cs="Arial"/>
      <w:sz w:val="34"/>
    </w:rPr>
  </w:style>
  <w:style w:type="character" w:styleId="802" w:customStyle="1">
    <w:name w:val="Heading 3 Char"/>
    <w:basedOn w:val="721"/>
    <w:uiPriority w:val="9"/>
    <w:qFormat/>
    <w:rPr>
      <w:rFonts w:ascii="Arial" w:hAnsi="Arial" w:eastAsia="Arial" w:cs="Arial"/>
      <w:sz w:val="30"/>
      <w:szCs w:val="30"/>
    </w:rPr>
  </w:style>
  <w:style w:type="character" w:styleId="803" w:customStyle="1">
    <w:name w:val="Heading 4 Char"/>
    <w:basedOn w:val="721"/>
    <w:uiPriority w:val="9"/>
    <w:qFormat/>
    <w:rPr>
      <w:rFonts w:ascii="Arial" w:hAnsi="Arial" w:eastAsia="Arial" w:cs="Arial"/>
      <w:b/>
      <w:bCs/>
      <w:sz w:val="26"/>
      <w:szCs w:val="26"/>
    </w:rPr>
  </w:style>
  <w:style w:type="character" w:styleId="804" w:customStyle="1">
    <w:name w:val="Heading 5 Char"/>
    <w:basedOn w:val="721"/>
    <w:uiPriority w:val="9"/>
    <w:qFormat/>
    <w:rPr>
      <w:rFonts w:ascii="Arial" w:hAnsi="Arial" w:eastAsia="Arial" w:cs="Arial"/>
      <w:b/>
      <w:bCs/>
      <w:sz w:val="24"/>
      <w:szCs w:val="24"/>
    </w:rPr>
  </w:style>
  <w:style w:type="character" w:styleId="805" w:customStyle="1">
    <w:name w:val="Heading 6 Char"/>
    <w:basedOn w:val="721"/>
    <w:uiPriority w:val="9"/>
    <w:qFormat/>
    <w:rPr>
      <w:rFonts w:ascii="Arial" w:hAnsi="Arial" w:eastAsia="Arial" w:cs="Arial"/>
      <w:b/>
      <w:bCs/>
      <w:sz w:val="22"/>
      <w:szCs w:val="22"/>
    </w:rPr>
  </w:style>
  <w:style w:type="character" w:styleId="806" w:customStyle="1">
    <w:name w:val="标题 7 字符"/>
    <w:basedOn w:val="721"/>
    <w:link w:val="718"/>
    <w:uiPriority w:val="9"/>
    <w:qFormat/>
    <w:rPr>
      <w:rFonts w:ascii="Arial" w:hAnsi="Arial" w:eastAsia="Arial" w:cs="Arial"/>
      <w:b/>
      <w:bCs/>
      <w:i/>
      <w:iCs/>
      <w:sz w:val="22"/>
      <w:szCs w:val="22"/>
    </w:rPr>
  </w:style>
  <w:style w:type="character" w:styleId="807" w:customStyle="1">
    <w:name w:val="标题 8 字符"/>
    <w:basedOn w:val="721"/>
    <w:link w:val="719"/>
    <w:uiPriority w:val="9"/>
    <w:qFormat/>
    <w:rPr>
      <w:rFonts w:ascii="Arial" w:hAnsi="Arial" w:eastAsia="Arial" w:cs="Arial"/>
      <w:i/>
      <w:iCs/>
      <w:sz w:val="22"/>
      <w:szCs w:val="22"/>
    </w:rPr>
  </w:style>
  <w:style w:type="character" w:styleId="808" w:customStyle="1">
    <w:name w:val="标题 9 字符"/>
    <w:basedOn w:val="721"/>
    <w:link w:val="720"/>
    <w:uiPriority w:val="9"/>
    <w:qFormat/>
    <w:rPr>
      <w:rFonts w:ascii="Arial" w:hAnsi="Arial" w:eastAsia="Arial" w:cs="Arial"/>
      <w:i/>
      <w:iCs/>
      <w:sz w:val="21"/>
      <w:szCs w:val="21"/>
    </w:rPr>
  </w:style>
  <w:style w:type="paragraph" w:styleId="809">
    <w:name w:val="No Spacing"/>
    <w:uiPriority w:val="1"/>
    <w:qFormat/>
    <w:rPr>
      <w:rFonts w:ascii="Times New Roman" w:hAnsi="Times New Roman" w:eastAsia="宋体" w:cs="Times New Roman"/>
      <w:lang w:val="en-US" w:eastAsia="zh-CN" w:bidi="ar-SA"/>
    </w:rPr>
  </w:style>
  <w:style w:type="character" w:styleId="810" w:customStyle="1">
    <w:name w:val="Title Char"/>
    <w:basedOn w:val="721"/>
    <w:uiPriority w:val="10"/>
    <w:qFormat/>
    <w:rPr>
      <w:sz w:val="48"/>
      <w:szCs w:val="48"/>
    </w:rPr>
  </w:style>
  <w:style w:type="character" w:styleId="811" w:customStyle="1">
    <w:name w:val="Subtitle Char"/>
    <w:basedOn w:val="721"/>
    <w:uiPriority w:val="11"/>
    <w:qFormat/>
    <w:rPr>
      <w:sz w:val="24"/>
      <w:szCs w:val="24"/>
    </w:rPr>
  </w:style>
  <w:style w:type="paragraph" w:styleId="812">
    <w:name w:val="Quote"/>
    <w:basedOn w:val="711"/>
    <w:next w:val="711"/>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11"/>
    <w:next w:val="711"/>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Header Char"/>
    <w:basedOn w:val="721"/>
    <w:uiPriority w:val="99"/>
    <w:qFormat/>
  </w:style>
  <w:style w:type="character" w:styleId="817" w:customStyle="1">
    <w:name w:val="Footer Char"/>
    <w:basedOn w:val="721"/>
    <w:uiPriority w:val="99"/>
    <w:qFormat/>
  </w:style>
  <w:style w:type="character" w:styleId="818" w:customStyle="1">
    <w:name w:val="Caption Char"/>
    <w:uiPriority w:val="99"/>
    <w:qFormat/>
  </w:style>
  <w:style w:type="table" w:styleId="819" w:customStyle="1">
    <w:name w:val="Table Grid Light"/>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0" w:customStyle="1">
    <w:name w:val="Grid Table 1 Light - Accent 1"/>
    <w:basedOn w:val="7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basedOn w:val="7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basedOn w:val="7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basedOn w:val="7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basedOn w:val="7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basedOn w:val="7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 Accent 1"/>
    <w:basedOn w:val="7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 Accent 1"/>
    <w:basedOn w:val="72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2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2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2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2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2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 Accent 1"/>
    <w:basedOn w:val="72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basedOn w:val="72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basedOn w:val="72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basedOn w:val="72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basedOn w:val="72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basedOn w:val="72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Accent 1"/>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 Accent 1"/>
    <w:basedOn w:val="72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2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3" w:customStyle="1">
    <w:name w:val="Grid Table 6 Colorful - Accent 4"/>
    <w:basedOn w:val="7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2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basedOn w:val="72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 Accent 1"/>
    <w:basedOn w:val="72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2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2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2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2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2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 Accent 1"/>
    <w:basedOn w:val="72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2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2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2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2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2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 Accent 1"/>
    <w:basedOn w:val="72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2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2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2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2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2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 Accent 1"/>
    <w:basedOn w:val="72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basedOn w:val="7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2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2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2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2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 Accent 1"/>
    <w:basedOn w:val="72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basedOn w:val="72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basedOn w:val="72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basedOn w:val="72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basedOn w:val="72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basedOn w:val="72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 Accent 1"/>
    <w:basedOn w:val="72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2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2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2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2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2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 Accent 1"/>
    <w:basedOn w:val="72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basedOn w:val="72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basedOn w:val="72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basedOn w:val="72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basedOn w:val="72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basedOn w:val="72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 Accent 1"/>
    <w:basedOn w:val="72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2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2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2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2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2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2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2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2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2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2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2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2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2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2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2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2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2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2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2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Footnote Text Char"/>
    <w:uiPriority w:val="99"/>
    <w:qFormat/>
    <w:rPr>
      <w:sz w:val="18"/>
    </w:rPr>
  </w:style>
  <w:style w:type="character" w:styleId="926" w:customStyle="1">
    <w:name w:val="Endnote Text Char"/>
    <w:uiPriority w:val="99"/>
    <w:qFormat/>
    <w:rPr>
      <w:sz w:val="20"/>
    </w:rPr>
  </w:style>
  <w:style w:type="paragraph" w:styleId="927" w:customStyle="1">
    <w:name w:val="TOC 标题11"/>
    <w:uiPriority w:val="39"/>
    <w:unhideWhenUsed/>
    <w:qFormat/>
    <w:rPr>
      <w:rFonts w:ascii="Times New Roman" w:hAnsi="Times New Roman" w:eastAsia="宋体" w:cs="Times New Roman"/>
      <w:lang w:val="en-US" w:eastAsia="zh-CN" w:bidi="ar-SA"/>
    </w:rPr>
  </w:style>
  <w:style w:type="paragraph" w:styleId="928" w:customStyle="1">
    <w:name w:val="段"/>
    <w:next w:val="711"/>
    <w:uiPriority w:val="0"/>
    <w:qFormat/>
    <w:pPr>
      <w:ind w:firstLine="200"/>
      <w:jc w:val="both"/>
    </w:pPr>
    <w:rPr>
      <w:rFonts w:ascii="宋体" w:hAnsi="Times New Roman" w:eastAsia="宋体" w:cs="宋体"/>
      <w:sz w:val="21"/>
      <w:szCs w:val="21"/>
      <w:lang w:val="en-US" w:eastAsia="zh-CN" w:bidi="ar-SA"/>
    </w:rPr>
  </w:style>
  <w:style w:type="paragraph" w:styleId="929" w:customStyle="1">
    <w:name w:val="首行缩进"/>
    <w:basedOn w:val="711"/>
    <w:uiPriority w:val="0"/>
    <w:qFormat/>
    <w:pPr>
      <w:ind w:firstLine="480"/>
    </w:pPr>
    <w:rPr>
      <w:rFonts w:ascii="Calibri" w:hAnsi="Calibri" w:eastAsia="宋体" w:cs="Times New Roman"/>
      <w:szCs w:val="20"/>
      <w:lang w:val="zh-CN"/>
    </w:rPr>
  </w:style>
  <w:style w:type="character" w:styleId="930" w:customStyle="1">
    <w:name w:val="标题 1 字符"/>
    <w:basedOn w:val="721"/>
    <w:link w:val="712"/>
    <w:uiPriority w:val="0"/>
    <w:qFormat/>
    <w:rPr>
      <w:rFonts w:ascii="Calibri" w:hAnsi="Calibri" w:eastAsia="楷体_GB2312" w:cs="Times New Roman"/>
      <w:b/>
      <w:sz w:val="44"/>
      <w:szCs w:val="20"/>
    </w:rPr>
  </w:style>
  <w:style w:type="character" w:styleId="931" w:customStyle="1">
    <w:name w:val="标题 2 字符"/>
    <w:basedOn w:val="721"/>
    <w:link w:val="713"/>
    <w:uiPriority w:val="0"/>
    <w:qFormat/>
    <w:rPr>
      <w:rFonts w:ascii="宋体" w:hAnsi="宋体" w:eastAsia="楷体_GB2312" w:cs="Times New Roman"/>
      <w:b/>
      <w:sz w:val="26"/>
      <w:szCs w:val="20"/>
    </w:rPr>
  </w:style>
  <w:style w:type="character" w:styleId="932" w:customStyle="1">
    <w:name w:val="标题 3 字符"/>
    <w:basedOn w:val="721"/>
    <w:link w:val="714"/>
    <w:uiPriority w:val="0"/>
    <w:qFormat/>
    <w:rPr>
      <w:rFonts w:ascii="Calibri" w:hAnsi="Calibri" w:eastAsia="楷体_GB2312" w:cs="Times New Roman"/>
      <w:b/>
      <w:sz w:val="26"/>
      <w:szCs w:val="20"/>
    </w:rPr>
  </w:style>
  <w:style w:type="character" w:styleId="933" w:customStyle="1">
    <w:name w:val="标题 4 字符"/>
    <w:basedOn w:val="721"/>
    <w:link w:val="715"/>
    <w:uiPriority w:val="0"/>
    <w:qFormat/>
    <w:rPr>
      <w:rFonts w:ascii="Arial" w:hAnsi="Arial" w:eastAsia="黑体" w:cs="Times New Roman"/>
      <w:b/>
      <w:bCs/>
      <w:sz w:val="28"/>
      <w:szCs w:val="28"/>
    </w:rPr>
  </w:style>
  <w:style w:type="character" w:styleId="934" w:customStyle="1">
    <w:name w:val="标题 5 字符"/>
    <w:basedOn w:val="721"/>
    <w:link w:val="716"/>
    <w:uiPriority w:val="0"/>
    <w:qFormat/>
    <w:rPr>
      <w:rFonts w:ascii="宋体" w:hAnsi="宋体" w:eastAsia="宋体" w:cs="Times New Roman"/>
      <w:color w:val="000000"/>
      <w:sz w:val="28"/>
      <w:szCs w:val="20"/>
    </w:rPr>
  </w:style>
  <w:style w:type="character" w:styleId="935" w:customStyle="1">
    <w:name w:val="标题 6 字符"/>
    <w:basedOn w:val="721"/>
    <w:link w:val="717"/>
    <w:uiPriority w:val="0"/>
    <w:qFormat/>
    <w:rPr>
      <w:rFonts w:ascii="宋体" w:hAnsi="宋体" w:eastAsia="宋体" w:cs="Times New Roman"/>
      <w:sz w:val="28"/>
      <w:szCs w:val="20"/>
    </w:rPr>
  </w:style>
  <w:style w:type="character" w:styleId="936" w:customStyle="1">
    <w:name w:val="正文缩进 字符"/>
    <w:link w:val="725"/>
    <w:uiPriority w:val="0"/>
    <w:qFormat/>
    <w:rPr>
      <w:rFonts w:ascii="Calibri" w:hAnsi="Calibri" w:eastAsia="楷体_GB2312" w:cs="Times New Roman"/>
      <w:sz w:val="24"/>
      <w:szCs w:val="20"/>
    </w:rPr>
  </w:style>
  <w:style w:type="character" w:styleId="937" w:customStyle="1">
    <w:name w:val="文档结构图 字符"/>
    <w:basedOn w:val="721"/>
    <w:link w:val="728"/>
    <w:uiPriority w:val="0"/>
    <w:qFormat/>
    <w:rPr>
      <w:rFonts w:ascii="Calibri" w:hAnsi="Calibri" w:eastAsia="楷体_GB2312" w:cs="Times New Roman"/>
      <w:sz w:val="26"/>
      <w:szCs w:val="20"/>
      <w:shd w:val="clear" w:color="auto" w:fill="000080"/>
    </w:rPr>
  </w:style>
  <w:style w:type="character" w:styleId="938" w:customStyle="1">
    <w:name w:val="批注文字 字符"/>
    <w:basedOn w:val="721"/>
    <w:link w:val="729"/>
    <w:uiPriority w:val="0"/>
    <w:qFormat/>
    <w:rPr>
      <w:rFonts w:ascii="Calibri" w:hAnsi="Calibri" w:eastAsia="楷体_GB2312" w:cs="Times New Roman"/>
      <w:sz w:val="26"/>
      <w:szCs w:val="20"/>
    </w:rPr>
  </w:style>
  <w:style w:type="character" w:styleId="939" w:customStyle="1">
    <w:name w:val="正文文本 字符"/>
    <w:basedOn w:val="721"/>
    <w:link w:val="731"/>
    <w:uiPriority w:val="0"/>
    <w:qFormat/>
    <w:rPr>
      <w:rFonts w:ascii="楷体_GB2312" w:hAnsi="Calibri" w:eastAsia="楷体_GB2312" w:cs="Times New Roman"/>
      <w:sz w:val="28"/>
      <w:szCs w:val="20"/>
    </w:rPr>
  </w:style>
  <w:style w:type="character" w:styleId="940" w:customStyle="1">
    <w:name w:val="正文文本缩进 字符"/>
    <w:basedOn w:val="721"/>
    <w:link w:val="732"/>
    <w:uiPriority w:val="99"/>
    <w:qFormat/>
    <w:rPr>
      <w:rFonts w:ascii="方正仿宋简体" w:hAnsi="创艺简仿宋" w:eastAsia="方正仿宋简体" w:cs="Times New Roman"/>
      <w:sz w:val="24"/>
      <w:szCs w:val="20"/>
    </w:rPr>
  </w:style>
  <w:style w:type="character" w:styleId="941" w:customStyle="1">
    <w:name w:val="纯文本 字符"/>
    <w:basedOn w:val="721"/>
    <w:link w:val="737"/>
    <w:uiPriority w:val="0"/>
    <w:qFormat/>
    <w:rPr>
      <w:rFonts w:ascii="宋体" w:hAnsi="Courier New" w:eastAsia="楷体_GB2312" w:cs="Times New Roman"/>
      <w:sz w:val="26"/>
      <w:szCs w:val="20"/>
    </w:rPr>
  </w:style>
  <w:style w:type="character" w:styleId="942" w:customStyle="1">
    <w:name w:val="日期 字符"/>
    <w:basedOn w:val="721"/>
    <w:link w:val="740"/>
    <w:uiPriority w:val="0"/>
    <w:qFormat/>
    <w:rPr>
      <w:rFonts w:ascii="宋体" w:hAnsi="宋体" w:eastAsia="楷体_GB2312" w:cs="Times New Roman"/>
      <w:sz w:val="24"/>
      <w:szCs w:val="20"/>
    </w:rPr>
  </w:style>
  <w:style w:type="character" w:styleId="943" w:customStyle="1">
    <w:name w:val="正文文本缩进 2 字符"/>
    <w:basedOn w:val="721"/>
    <w:link w:val="741"/>
    <w:uiPriority w:val="0"/>
    <w:qFormat/>
    <w:rPr>
      <w:rFonts w:ascii="宋体" w:hAnsi="Calibri" w:eastAsia="宋体" w:cs="Times New Roman"/>
      <w:b/>
      <w:bCs/>
      <w:sz w:val="24"/>
      <w:szCs w:val="20"/>
    </w:rPr>
  </w:style>
  <w:style w:type="character" w:styleId="944" w:customStyle="1">
    <w:name w:val="尾注文本 字符"/>
    <w:basedOn w:val="721"/>
    <w:link w:val="742"/>
    <w:uiPriority w:val="0"/>
    <w:qFormat/>
    <w:rPr>
      <w:rFonts w:ascii="Calibri" w:hAnsi="Calibri" w:eastAsia="楷体_GB2312" w:cs="Times New Roman"/>
      <w:sz w:val="26"/>
      <w:szCs w:val="20"/>
    </w:rPr>
  </w:style>
  <w:style w:type="character" w:styleId="945" w:customStyle="1">
    <w:name w:val="批注框文本 字符"/>
    <w:basedOn w:val="721"/>
    <w:link w:val="743"/>
    <w:uiPriority w:val="99"/>
    <w:qFormat/>
    <w:rPr>
      <w:rFonts w:ascii="Calibri" w:hAnsi="Calibri" w:eastAsia="楷体_GB2312" w:cs="Times New Roman"/>
      <w:sz w:val="18"/>
      <w:szCs w:val="18"/>
    </w:rPr>
  </w:style>
  <w:style w:type="character" w:styleId="946" w:customStyle="1">
    <w:name w:val="页脚 字符"/>
    <w:basedOn w:val="721"/>
    <w:link w:val="744"/>
    <w:uiPriority w:val="99"/>
    <w:qFormat/>
    <w:rPr>
      <w:rFonts w:ascii="Calibri" w:hAnsi="Calibri" w:eastAsia="楷体_GB2312" w:cs="Times New Roman"/>
      <w:sz w:val="18"/>
      <w:szCs w:val="20"/>
    </w:rPr>
  </w:style>
  <w:style w:type="character" w:styleId="947" w:customStyle="1">
    <w:name w:val="页眉 字符"/>
    <w:basedOn w:val="721"/>
    <w:link w:val="745"/>
    <w:uiPriority w:val="99"/>
    <w:qFormat/>
    <w:rPr>
      <w:rFonts w:ascii="Calibri" w:hAnsi="Calibri" w:eastAsia="楷体_GB2312" w:cs="Times New Roman"/>
      <w:sz w:val="18"/>
      <w:szCs w:val="20"/>
    </w:rPr>
  </w:style>
  <w:style w:type="character" w:styleId="948" w:customStyle="1">
    <w:name w:val="副标题 字符"/>
    <w:basedOn w:val="721"/>
    <w:link w:val="750"/>
    <w:uiPriority w:val="0"/>
    <w:qFormat/>
    <w:rPr>
      <w:rFonts w:ascii="Cambria" w:hAnsi="Cambria" w:eastAsia="宋体" w:cs="Times New Roman"/>
      <w:b/>
      <w:bCs/>
      <w:sz w:val="24"/>
      <w:szCs w:val="32"/>
    </w:rPr>
  </w:style>
  <w:style w:type="character" w:styleId="949" w:customStyle="1">
    <w:name w:val="脚注文本 字符"/>
    <w:basedOn w:val="721"/>
    <w:link w:val="751"/>
    <w:uiPriority w:val="0"/>
    <w:qFormat/>
    <w:rPr>
      <w:rFonts w:ascii="Calibri" w:hAnsi="Calibri" w:eastAsia="楷体_GB2312" w:cs="Times New Roman"/>
      <w:sz w:val="18"/>
      <w:szCs w:val="20"/>
    </w:rPr>
  </w:style>
  <w:style w:type="character" w:styleId="950" w:customStyle="1">
    <w:name w:val="正文文本缩进 3 字符"/>
    <w:basedOn w:val="721"/>
    <w:link w:val="753"/>
    <w:uiPriority w:val="0"/>
    <w:qFormat/>
    <w:rPr>
      <w:rFonts w:ascii="Calibri" w:hAnsi="Calibri" w:eastAsia="宋体" w:cs="Times New Roman"/>
      <w:sz w:val="24"/>
      <w:szCs w:val="24"/>
    </w:rPr>
  </w:style>
  <w:style w:type="character" w:styleId="951" w:customStyle="1">
    <w:name w:val="HTML 预设格式 字符"/>
    <w:basedOn w:val="721"/>
    <w:link w:val="759"/>
    <w:uiPriority w:val="0"/>
    <w:qFormat/>
    <w:rPr>
      <w:rFonts w:ascii="黑体" w:hAnsi="Courier New" w:eastAsia="黑体" w:cs="Times New Roman"/>
      <w:sz w:val="20"/>
      <w:szCs w:val="20"/>
    </w:rPr>
  </w:style>
  <w:style w:type="character" w:styleId="952" w:customStyle="1">
    <w:name w:val="标题 字符"/>
    <w:basedOn w:val="721"/>
    <w:link w:val="762"/>
    <w:uiPriority w:val="0"/>
    <w:qFormat/>
    <w:rPr>
      <w:rFonts w:ascii="Cambria" w:hAnsi="Cambria" w:eastAsia="宋体" w:cs="Times New Roman"/>
      <w:b/>
      <w:bCs/>
      <w:sz w:val="32"/>
      <w:szCs w:val="32"/>
    </w:rPr>
  </w:style>
  <w:style w:type="character" w:styleId="953" w:customStyle="1">
    <w:name w:val="批注主题 字符"/>
    <w:basedOn w:val="938"/>
    <w:link w:val="763"/>
    <w:uiPriority w:val="99"/>
    <w:qFormat/>
    <w:rPr>
      <w:rFonts w:ascii="Calibri" w:hAnsi="Calibri" w:eastAsia="楷体_GB2312" w:cs="Times New Roman"/>
      <w:b/>
      <w:bCs/>
      <w:sz w:val="26"/>
      <w:szCs w:val="20"/>
    </w:rPr>
  </w:style>
  <w:style w:type="character" w:styleId="954" w:customStyle="1">
    <w:name w:val="正文文本首行缩进 2 字符"/>
    <w:basedOn w:val="940"/>
    <w:link w:val="764"/>
    <w:uiPriority w:val="0"/>
    <w:qFormat/>
    <w:rPr>
      <w:rFonts w:ascii="Calibri" w:hAnsi="Calibri" w:eastAsia="楷体_GB2312" w:cs="Times New Roman"/>
      <w:sz w:val="26"/>
      <w:szCs w:val="20"/>
    </w:rPr>
  </w:style>
  <w:style w:type="character" w:styleId="955" w:customStyle="1">
    <w:name w:val="Plain Text Char Char"/>
    <w:link w:val="956"/>
    <w:uiPriority w:val="0"/>
    <w:qFormat/>
    <w:rPr>
      <w:rFonts w:ascii="宋体" w:hAnsi="Courier New" w:eastAsia="楷体_GB2312"/>
      <w:sz w:val="26"/>
    </w:rPr>
  </w:style>
  <w:style w:type="paragraph" w:styleId="956" w:customStyle="1">
    <w:name w:val="纯文本3"/>
    <w:basedOn w:val="711"/>
    <w:link w:val="955"/>
    <w:uiPriority w:val="0"/>
    <w:qFormat/>
    <w:rPr>
      <w:rFonts w:ascii="宋体" w:hAnsi="Courier New" w:eastAsia="楷体_GB2312"/>
      <w:sz w:val="26"/>
    </w:rPr>
  </w:style>
  <w:style w:type="character" w:styleId="957" w:customStyle="1">
    <w:name w:val="styl81"/>
    <w:uiPriority w:val="0"/>
    <w:qFormat/>
    <w:rPr>
      <w:sz w:val="21"/>
    </w:rPr>
  </w:style>
  <w:style w:type="character" w:styleId="958" w:customStyle="1">
    <w:name w:val="Plain Text Char"/>
    <w:link w:val="959"/>
    <w:uiPriority w:val="0"/>
    <w:qFormat/>
    <w:rPr>
      <w:rFonts w:ascii="宋体" w:hAnsi="Courier New" w:eastAsia="楷体_GB2312"/>
      <w:sz w:val="26"/>
    </w:rPr>
  </w:style>
  <w:style w:type="paragraph" w:styleId="959" w:customStyle="1">
    <w:name w:val="纯文本1"/>
    <w:basedOn w:val="711"/>
    <w:link w:val="958"/>
    <w:uiPriority w:val="0"/>
    <w:qFormat/>
    <w:rPr>
      <w:rFonts w:ascii="宋体" w:hAnsi="Courier New" w:eastAsia="楷体_GB2312"/>
      <w:sz w:val="26"/>
    </w:rPr>
  </w:style>
  <w:style w:type="character" w:styleId="960" w:customStyle="1">
    <w:name w:val="表正文 Char1"/>
    <w:uiPriority w:val="0"/>
    <w:qFormat/>
    <w:rPr>
      <w:rFonts w:eastAsia="楷体_GB2312"/>
      <w:sz w:val="24"/>
      <w:lang w:val="en-US" w:eastAsia="zh-CN" w:bidi="ar-SA"/>
    </w:rPr>
  </w:style>
  <w:style w:type="character" w:styleId="961" w:customStyle="1">
    <w:name w:val="_正文段落 Char"/>
    <w:link w:val="962"/>
    <w:uiPriority w:val="0"/>
    <w:qFormat/>
    <w:rPr>
      <w:rFonts w:ascii="宋体" w:hAnsi="宋体"/>
      <w:sz w:val="24"/>
      <w:szCs w:val="24"/>
    </w:rPr>
  </w:style>
  <w:style w:type="paragraph" w:styleId="962" w:customStyle="1">
    <w:name w:val="_正文段落"/>
    <w:basedOn w:val="711"/>
    <w:link w:val="961"/>
    <w:uiPriority w:val="0"/>
    <w:qFormat/>
    <w:pPr>
      <w:ind w:firstLine="480"/>
      <w:spacing w:line="360" w:lineRule="auto"/>
    </w:pPr>
    <w:rPr>
      <w:rFonts w:ascii="宋体" w:hAnsi="宋体"/>
      <w:sz w:val="24"/>
      <w:szCs w:val="24"/>
    </w:rPr>
  </w:style>
  <w:style w:type="character" w:styleId="963" w:customStyle="1">
    <w:name w:val="Andy_正文 Char"/>
    <w:link w:val="964"/>
    <w:uiPriority w:val="0"/>
    <w:qFormat/>
    <w:rPr>
      <w:sz w:val="24"/>
      <w:szCs w:val="24"/>
    </w:rPr>
  </w:style>
  <w:style w:type="paragraph" w:styleId="964" w:customStyle="1">
    <w:name w:val="Andy_正文"/>
    <w:basedOn w:val="711"/>
    <w:link w:val="963"/>
    <w:uiPriority w:val="0"/>
    <w:qFormat/>
    <w:pPr>
      <w:ind w:firstLine="480"/>
      <w:spacing w:line="360" w:lineRule="auto"/>
    </w:pPr>
    <w:rPr>
      <w:sz w:val="24"/>
      <w:szCs w:val="24"/>
    </w:rPr>
  </w:style>
  <w:style w:type="character" w:styleId="965" w:customStyle="1">
    <w:name w:val="正文缩进 Char1"/>
    <w:uiPriority w:val="0"/>
    <w:qFormat/>
    <w:rPr>
      <w:rFonts w:eastAsia="楷体_GB2312"/>
      <w:sz w:val="24"/>
    </w:rPr>
  </w:style>
  <w:style w:type="character" w:styleId="966" w:customStyle="1">
    <w:name w:val="副标题 Char1"/>
    <w:uiPriority w:val="11"/>
    <w:qFormat/>
    <w:rPr>
      <w:rFonts w:ascii="Cambria" w:hAnsi="Cambria" w:cs="Times New Roman"/>
      <w:b/>
      <w:bCs/>
      <w:sz w:val="32"/>
      <w:szCs w:val="32"/>
    </w:rPr>
  </w:style>
  <w:style w:type="character" w:styleId="967" w:customStyle="1">
    <w:name w:val="Andy_2级 Char"/>
    <w:link w:val="968"/>
    <w:uiPriority w:val="0"/>
    <w:qFormat/>
    <w:rPr>
      <w:sz w:val="24"/>
    </w:rPr>
  </w:style>
  <w:style w:type="paragraph" w:styleId="968" w:customStyle="1">
    <w:name w:val="Andy_2级"/>
    <w:basedOn w:val="711"/>
    <w:link w:val="967"/>
    <w:uiPriority w:val="0"/>
    <w:qFormat/>
    <w:pPr>
      <w:numPr>
        <w:ilvl w:val="1"/>
        <w:numId w:val="1"/>
      </w:numPr>
      <w:spacing w:line="360" w:lineRule="auto"/>
    </w:pPr>
    <w:rPr>
      <w:sz w:val="24"/>
    </w:rPr>
  </w:style>
  <w:style w:type="character" w:styleId="969" w:customStyle="1">
    <w:name w:val="副标题 Char2"/>
    <w:uiPriority w:val="0"/>
    <w:qFormat/>
    <w:rPr>
      <w:rFonts w:ascii="Cambria" w:hAnsi="Cambria" w:cs="Times New Roman"/>
      <w:b/>
      <w:bCs/>
      <w:sz w:val="32"/>
      <w:szCs w:val="32"/>
    </w:rPr>
  </w:style>
  <w:style w:type="character" w:styleId="970" w:customStyle="1">
    <w:name w:val="正文首行缩进 2 Char1"/>
    <w:uiPriority w:val="0"/>
    <w:qFormat/>
    <w:rPr>
      <w:rFonts w:ascii="方正仿宋简体" w:hAnsi="创艺简仿宋" w:eastAsia="楷体_GB2312"/>
      <w:sz w:val="26"/>
    </w:rPr>
  </w:style>
  <w:style w:type="character" w:styleId="971" w:customStyle="1">
    <w:name w:val="ca-221"/>
    <w:uiPriority w:val="0"/>
    <w:qFormat/>
    <w:rPr>
      <w:rFonts w:hint="eastAsia" w:ascii="宋体" w:hAnsi="宋体" w:eastAsia="宋体"/>
      <w:color w:val="ff0000"/>
      <w:sz w:val="24"/>
      <w:szCs w:val="24"/>
    </w:rPr>
  </w:style>
  <w:style w:type="paragraph" w:styleId="972" w:customStyle="1">
    <w:name w:val="纯文本11"/>
    <w:basedOn w:val="711"/>
    <w:uiPriority w:val="0"/>
    <w:qFormat/>
    <w:rPr>
      <w:rFonts w:ascii="宋体" w:hAnsi="Courier New" w:eastAsia="楷体_GB2312" w:cs="Times New Roman"/>
      <w:sz w:val="26"/>
      <w:szCs w:val="20"/>
    </w:rPr>
  </w:style>
  <w:style w:type="paragraph" w:styleId="973" w:customStyle="1">
    <w:name w:val="xl70"/>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4" w:customStyle="1">
    <w:name w:val="xl69"/>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5" w:customStyle="1">
    <w:name w:val="xl79"/>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6" w:customStyle="1">
    <w:name w:val="xl86"/>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7" w:customStyle="1">
    <w:name w:val="纯文本2"/>
    <w:basedOn w:val="711"/>
    <w:uiPriority w:val="0"/>
    <w:qFormat/>
    <w:rPr>
      <w:rFonts w:ascii="宋体" w:hAnsi="Courier New" w:eastAsia="楷体_GB2312" w:cs="Times New Roman"/>
      <w:sz w:val="26"/>
      <w:szCs w:val="20"/>
    </w:rPr>
  </w:style>
  <w:style w:type="paragraph" w:styleId="978" w:customStyle="1">
    <w:name w:val="列出段落2"/>
    <w:basedOn w:val="711"/>
    <w:uiPriority w:val="0"/>
    <w:qFormat/>
    <w:pPr>
      <w:ind w:firstLine="420"/>
    </w:pPr>
    <w:rPr>
      <w:rFonts w:ascii="Calibri" w:hAnsi="Calibri" w:eastAsia="宋体" w:cs="Times New Roman"/>
    </w:rPr>
  </w:style>
  <w:style w:type="paragraph" w:styleId="979" w:customStyle="1">
    <w:name w:val="xl78"/>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80" w:customStyle="1">
    <w:name w:val="xl96"/>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1" w:customStyle="1">
    <w:name w:val="Char Char Char Char"/>
    <w:basedOn w:val="728"/>
    <w:uiPriority w:val="0"/>
    <w:qFormat/>
    <w:pPr>
      <w:ind w:left="357"/>
      <w:jc w:val="left"/>
      <w:spacing w:line="436" w:lineRule="exact"/>
      <w:outlineLvl w:val="3"/>
    </w:pPr>
    <w:rPr>
      <w:rFonts w:ascii="Tahoma" w:hAnsi="Tahoma" w:eastAsia="宋体"/>
      <w:b/>
      <w:sz w:val="24"/>
      <w:szCs w:val="24"/>
    </w:rPr>
  </w:style>
  <w:style w:type="paragraph" w:styleId="982" w:customStyle="1">
    <w:name w:val="列出段落1"/>
    <w:basedOn w:val="711"/>
    <w:uiPriority w:val="0"/>
    <w:qFormat/>
    <w:pPr>
      <w:ind w:firstLine="420"/>
    </w:pPr>
    <w:rPr>
      <w:rFonts w:ascii="Calibri" w:hAnsi="Calibri" w:eastAsia="楷体_GB2312" w:cs="Times New Roman"/>
      <w:sz w:val="26"/>
      <w:szCs w:val="20"/>
    </w:rPr>
  </w:style>
  <w:style w:type="paragraph" w:styleId="983" w:customStyle="1">
    <w:name w:val="xl74"/>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4" w:customStyle="1">
    <w:name w:val="纯文本4"/>
    <w:basedOn w:val="711"/>
    <w:uiPriority w:val="0"/>
    <w:qFormat/>
    <w:rPr>
      <w:rFonts w:ascii="宋体" w:hAnsi="Courier New" w:eastAsia="楷体_GB2312" w:cs="Times New Roman"/>
      <w:sz w:val="26"/>
      <w:szCs w:val="20"/>
    </w:rPr>
  </w:style>
  <w:style w:type="paragraph" w:styleId="985" w:customStyle="1">
    <w:name w:val="xl92"/>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6" w:customStyle="1">
    <w:name w:val="xl66"/>
    <w:basedOn w:val="71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7" w:customStyle="1">
    <w:name w:val="xl94"/>
    <w:basedOn w:val="71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8" w:customStyle="1">
    <w:name w:val="Char Char3"/>
    <w:basedOn w:val="711"/>
    <w:uiPriority w:val="0"/>
    <w:qFormat/>
    <w:pPr>
      <w:jc w:val="left"/>
      <w:spacing w:after="160" w:line="240" w:lineRule="exact"/>
      <w:widowControl/>
    </w:pPr>
    <w:rPr>
      <w:rFonts w:ascii="Calibri" w:hAnsi="Calibri" w:eastAsia="宋体" w:cs="Times New Roman"/>
      <w:sz w:val="24"/>
      <w:szCs w:val="24"/>
    </w:rPr>
  </w:style>
  <w:style w:type="paragraph" w:styleId="989" w:customStyle="1">
    <w:name w:val="xl95"/>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90" w:customStyle="1">
    <w:name w:val="xl85"/>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91" w:customStyle="1">
    <w:name w:val="q3"/>
    <w:basedOn w:val="711"/>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92" w:customStyle="1">
    <w:name w:val="xl91"/>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3" w:customStyle="1">
    <w:name w:val="Char Char Char"/>
    <w:basedOn w:val="711"/>
    <w:uiPriority w:val="0"/>
    <w:qFormat/>
    <w:pPr>
      <w:numPr>
        <w:ilvl w:val="0"/>
        <w:numId w:val="2"/>
      </w:numPr>
    </w:pPr>
    <w:rPr>
      <w:rFonts w:ascii="Calibri" w:hAnsi="Calibri" w:eastAsia="宋体" w:cs="Times New Roman"/>
      <w:sz w:val="24"/>
      <w:szCs w:val="24"/>
    </w:rPr>
  </w:style>
  <w:style w:type="paragraph" w:styleId="994" w:customStyle="1">
    <w:name w:val="xl80"/>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5" w:customStyle="1">
    <w:name w:val="修订1"/>
    <w:uiPriority w:val="99"/>
    <w:unhideWhenUsed/>
    <w:qFormat/>
    <w:rPr>
      <w:rFonts w:ascii="Calibri" w:hAnsi="Calibri" w:eastAsia="楷体_GB2312" w:cs="Times New Roman"/>
      <w:sz w:val="26"/>
      <w:lang w:val="en-US" w:eastAsia="zh-CN" w:bidi="ar-SA"/>
    </w:rPr>
  </w:style>
  <w:style w:type="paragraph" w:styleId="996" w:customStyle="1">
    <w:name w:val="xl72"/>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7"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8" w:customStyle="1">
    <w:name w:val="纯文本111"/>
    <w:basedOn w:val="711"/>
    <w:uiPriority w:val="0"/>
    <w:qFormat/>
    <w:rPr>
      <w:rFonts w:ascii="宋体" w:hAnsi="Courier New" w:eastAsia="楷体_GB2312" w:cs="Times New Roman"/>
      <w:sz w:val="26"/>
      <w:szCs w:val="20"/>
    </w:rPr>
  </w:style>
  <w:style w:type="paragraph" w:styleId="999" w:customStyle="1">
    <w:name w:val="xl93"/>
    <w:basedOn w:val="71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00"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01" w:customStyle="1">
    <w:name w:val="xl71"/>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2" w:customStyle="1">
    <w:name w:val="xl87"/>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03" w:customStyle="1">
    <w:name w:val="Char"/>
    <w:basedOn w:val="711"/>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4" w:customStyle="1">
    <w:name w:val="xl67"/>
    <w:basedOn w:val="711"/>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5" w:customStyle="1">
    <w:name w:val="xl81"/>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6" w:customStyle="1">
    <w:name w:val="xl73"/>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7" w:customStyle="1">
    <w:name w:val="xl68"/>
    <w:basedOn w:val="71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8" w:customStyle="1">
    <w:name w:val="正文1"/>
    <w:basedOn w:val="711"/>
    <w:next w:val="711"/>
    <w:uiPriority w:val="0"/>
    <w:qFormat/>
    <w:pPr>
      <w:ind w:left="420" w:firstLine="527"/>
      <w:spacing w:before="120" w:line="360" w:lineRule="auto"/>
    </w:pPr>
    <w:rPr>
      <w:rFonts w:ascii="宋体" w:hAnsi="宋体" w:eastAsia="宋体" w:cs="Times New Roman"/>
      <w:sz w:val="24"/>
      <w:szCs w:val="24"/>
    </w:rPr>
  </w:style>
  <w:style w:type="paragraph" w:styleId="1009" w:customStyle="1">
    <w:name w:val="xl90"/>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0" w:customStyle="1">
    <w:name w:val="xl83"/>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11" w:customStyle="1">
    <w:name w:val="xl76"/>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2" w:customStyle="1">
    <w:name w:val="xl82"/>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3">
    <w:name w:val="List Paragraph"/>
    <w:basedOn w:val="711"/>
    <w:uiPriority w:val="34"/>
    <w:qFormat/>
    <w:pPr>
      <w:ind w:firstLine="420"/>
    </w:pPr>
    <w:rPr>
      <w:rFonts w:ascii="Calibri" w:hAnsi="Calibri" w:eastAsia="楷体_GB2312" w:cs="Times New Roman"/>
      <w:sz w:val="26"/>
      <w:szCs w:val="20"/>
    </w:rPr>
  </w:style>
  <w:style w:type="paragraph" w:styleId="1014" w:customStyle="1">
    <w:name w:val="纯文本5"/>
    <w:basedOn w:val="711"/>
    <w:uiPriority w:val="0"/>
    <w:qFormat/>
    <w:rPr>
      <w:rFonts w:ascii="宋体" w:hAnsi="Courier New" w:eastAsia="楷体_GB2312" w:cs="Times New Roman"/>
      <w:sz w:val="26"/>
      <w:szCs w:val="20"/>
    </w:rPr>
  </w:style>
  <w:style w:type="paragraph" w:styleId="1015" w:customStyle="1">
    <w:name w:val="xl84"/>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6" w:customStyle="1">
    <w:name w:val="xl88"/>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7" w:customStyle="1">
    <w:name w:val="xl75"/>
    <w:basedOn w:val="7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8" w:customStyle="1">
    <w:name w:val="xl97"/>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9" w:customStyle="1">
    <w:name w:val="xl77"/>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20" w:customStyle="1">
    <w:name w:val="xl89"/>
    <w:basedOn w:val="7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21" w:customStyle="1">
    <w:name w:val="网格型1"/>
    <w:basedOn w:val="72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2" w:customStyle="1">
    <w:name w:val="Plain Text1"/>
    <w:basedOn w:val="711"/>
    <w:uiPriority w:val="0"/>
    <w:qFormat/>
    <w:rPr>
      <w:rFonts w:ascii="宋体" w:hAnsi="Courier New" w:eastAsia="楷体_GB2312" w:cs="Times New Roman"/>
      <w:sz w:val="26"/>
      <w:szCs w:val="20"/>
    </w:rPr>
  </w:style>
  <w:style w:type="paragraph" w:styleId="1023"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24"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25"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26"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7"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8"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9" w:customStyle="1">
    <w:name w:val="font81"/>
    <w:basedOn w:val="721"/>
    <w:uiPriority w:val="0"/>
    <w:qFormat/>
    <w:rPr>
      <w:rFonts w:hint="eastAsia" w:ascii="宋体" w:hAnsi="宋体" w:eastAsia="宋体" w:cs="宋体"/>
      <w:color w:val="000000"/>
      <w:sz w:val="18"/>
      <w:szCs w:val="18"/>
      <w:u w:val="none"/>
    </w:rPr>
  </w:style>
  <w:style w:type="character" w:styleId="1030" w:customStyle="1">
    <w:name w:val="font91"/>
    <w:basedOn w:val="721"/>
    <w:uiPriority w:val="0"/>
    <w:qFormat/>
    <w:rPr>
      <w:rFonts w:hint="eastAsia" w:ascii="宋体" w:hAnsi="宋体" w:eastAsia="宋体" w:cs="宋体"/>
      <w:b/>
      <w:bCs/>
      <w:color w:val="ff0000"/>
      <w:sz w:val="18"/>
      <w:szCs w:val="18"/>
      <w:u w:val="none"/>
    </w:rPr>
  </w:style>
  <w:style w:type="character" w:styleId="1031" w:customStyle="1">
    <w:name w:val="font21"/>
    <w:basedOn w:val="721"/>
    <w:uiPriority w:val="0"/>
    <w:qFormat/>
    <w:rPr>
      <w:rFonts w:hint="eastAsia" w:ascii="宋体" w:hAnsi="宋体" w:eastAsia="宋体" w:cs="宋体"/>
      <w:b/>
      <w:bCs/>
      <w:color w:val="000000"/>
      <w:sz w:val="22"/>
      <w:szCs w:val="22"/>
      <w:u w:val="none"/>
    </w:rPr>
  </w:style>
  <w:style w:type="character" w:styleId="1032" w:customStyle="1">
    <w:name w:val="font51"/>
    <w:basedOn w:val="721"/>
    <w:uiPriority w:val="0"/>
    <w:qFormat/>
    <w:rPr>
      <w:rFonts w:hint="eastAsia" w:ascii="宋体" w:hAnsi="宋体" w:eastAsia="宋体" w:cs="宋体"/>
      <w:b/>
      <w:bCs/>
      <w:color w:val="ff0000"/>
      <w:sz w:val="22"/>
      <w:szCs w:val="22"/>
      <w:u w:val="none"/>
    </w:rPr>
  </w:style>
  <w:style w:type="character" w:styleId="1033" w:customStyle="1">
    <w:name w:val="font31"/>
    <w:basedOn w:val="721"/>
    <w:uiPriority w:val="0"/>
    <w:qFormat/>
    <w:rPr>
      <w:rFonts w:hint="eastAsia" w:ascii="宋体" w:hAnsi="宋体" w:eastAsia="宋体" w:cs="宋体"/>
      <w:color w:val="000000"/>
      <w:sz w:val="22"/>
      <w:szCs w:val="22"/>
      <w:u w:val="none"/>
    </w:rPr>
  </w:style>
  <w:style w:type="character" w:styleId="1034" w:customStyle="1">
    <w:name w:val="font61"/>
    <w:basedOn w:val="721"/>
    <w:uiPriority w:val="0"/>
    <w:qFormat/>
    <w:rPr>
      <w:rFonts w:hint="eastAsia" w:ascii="宋体" w:hAnsi="宋体" w:eastAsia="宋体" w:cs="宋体"/>
      <w:color w:val="ff0000"/>
      <w:sz w:val="22"/>
      <w:szCs w:val="22"/>
      <w:u w:val="none"/>
    </w:rPr>
  </w:style>
  <w:style w:type="table" w:styleId="1035" w:customStyle="1">
    <w:name w:val="Table Normal"/>
    <w:uiPriority w:val="0"/>
    <w:unhideWhenUsed/>
    <w:qFormat/>
    <w:tblPr>
      <w:tblCellMar>
        <w:left w:w="0" w:type="dxa"/>
        <w:top w:w="0" w:type="dxa"/>
        <w:right w:w="0" w:type="dxa"/>
        <w:bottom w:w="0" w:type="dxa"/>
      </w:tblCellMar>
    </w:tblPr>
  </w:style>
  <w:style w:type="paragraph" w:styleId="1036" w:customStyle="1">
    <w:name w:val="纯文本6"/>
    <w:basedOn w:val="711"/>
    <w:uiPriority w:val="0"/>
    <w:qFormat/>
    <w:rPr>
      <w:rFonts w:ascii="宋体" w:hAnsi="Courier New"/>
    </w:rPr>
  </w:style>
  <w:style w:type="character" w:styleId="1037" w:customStyle="1">
    <w:name w:val="NormalCharacter"/>
    <w:uiPriority w:val="0"/>
    <w:semiHidden/>
    <w:qFormat/>
  </w:style>
  <w:style w:type="paragraph" w:styleId="1038" w:customStyle="1">
    <w:name w:val="正文缩进1"/>
    <w:basedOn w:val="711"/>
    <w:next w:val="711"/>
    <w:uiPriority w:val="0"/>
    <w:qFormat/>
    <w:pPr>
      <w:ind w:firstLine="420"/>
      <w:jc w:val="left"/>
    </w:pPr>
    <w:rPr>
      <w:sz w:val="24"/>
    </w:rPr>
  </w:style>
  <w:style w:type="paragraph" w:styleId="1039"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40"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1041" w:customStyle="1">
    <w:name w:val="p_text_indent_2"/>
    <w:basedOn w:val="711"/>
    <w:uiPriority w:val="0"/>
    <w:qFormat/>
    <w:pPr>
      <w:jc w:val="left"/>
      <w:spacing w:before="100" w:beforeAutospacing="1" w:after="100" w:afterAutospacing="1"/>
      <w:widowControl/>
    </w:pPr>
    <w:rPr>
      <w:rFonts w:ascii="宋体" w:hAnsi="宋体" w:eastAsia="宋体" w:cs="宋体"/>
      <w:sz w:val="24"/>
      <w:szCs w:val="24"/>
    </w:rPr>
  </w:style>
  <w:style w:type="paragraph" w:styleId="1042" w:customStyle="1">
    <w:name w:val="修订8"/>
    <w:hidden/>
    <w:uiPriority w:val="99"/>
    <w:unhideWhenUsed/>
    <w:qFormat/>
    <w:rPr>
      <w:rFonts w:asciiTheme="minorHAnsi" w:hAnsiTheme="minorHAnsi" w:eastAsiaTheme="minorEastAsia" w:cstheme="minorBidi"/>
      <w:sz w:val="21"/>
      <w:szCs w:val="22"/>
      <w:lang w:val="en-US" w:eastAsia="zh-CN" w:bidi="ar-SA"/>
    </w:r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281F77D-FEA6-4222-A39F-222A6207E2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沈川渝</cp:lastModifiedBy>
  <cp:revision>213</cp:revision>
  <dcterms:created xsi:type="dcterms:W3CDTF">2026-07-16T03:06:00Z</dcterms:created>
  <dcterms:modified xsi:type="dcterms:W3CDTF">2026-10-20T08:17:45Z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2F1F4EAF31774ABCBB8DC05D3506F2D7_13</vt:lpwstr>
  </property>
  <property fmtid="{D5CDD505-2E9C-101B-9397-08002B2CF9AE}" pid="4" name="KSOTemplateDocerSaveRecord">
    <vt:lpwstr>eyJoZGlkIjoiNDcyOTY2ZDg2ZWQ5ZmU4ZTI4MDIxMTM2NjJiNDA2MzYiLCJ1c2VySWQiOiI3MTc0Mjg4MTUifQ==</vt:lpwstr>
  </property>
</Properties>
</file>