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04"/>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0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112"/>
          <w:szCs w:val="112"/>
          <w:highlight w:val="none"/>
          <w14:textFill>
            <w14:solidFill>
              <w14:schemeClr w14:val="tx1"/>
            </w14:solidFill>
          </w14:textFill>
        </w:rPr>
      </w:pPr>
      <w:r>
        <w:rPr>
          <w:rFonts w:hint="eastAsia" w:ascii="宋体" w:hAnsi="宋体" w:eastAsia="宋体" w:cs="宋体"/>
          <w:b/>
          <w:color w:val="000000" w:themeColor="text1"/>
          <w:sz w:val="112"/>
          <w:szCs w:val="112"/>
          <w:highlight w:val="none"/>
          <w14:textFill>
            <w14:solidFill>
              <w14:schemeClr w14:val="tx1"/>
            </w14:solidFill>
          </w14:textFill>
        </w:rPr>
        <w:t xml:space="preserve">竞争性磋商文件</w:t>
      </w:r>
      <w:r/>
    </w:p>
    <w:p>
      <w:pPr>
        <w:pStyle w:val="911"/>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85"/>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5"/>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03" w:firstLine="1264"/>
        <w:jc w:val="both"/>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项目编号：JSZC-320324-JSDF-C2026-0004</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p>
    <w:p>
      <w:pPr>
        <w:ind w:left="-403" w:firstLine="1264"/>
        <w:jc w:val="both"/>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项目名称：</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王林社区全民健身及绿化提升工程</w:t>
      </w:r>
      <w:r/>
    </w:p>
    <w:p>
      <w:pPr>
        <w:ind w:left="-403" w:firstLine="1264"/>
        <w:jc w:val="both"/>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采购单位：</w:t>
      </w:r>
      <w:r>
        <w:rPr>
          <w:rFonts w:hint="eastAsia" w:ascii="宋体" w:hAnsi="宋体" w:cs="宋体"/>
          <w:b/>
          <w:bCs/>
          <w:color w:val="000000" w:themeColor="text1"/>
          <w:sz w:val="32"/>
          <w:szCs w:val="32"/>
          <w:highlight w:val="none"/>
          <w:lang w:eastAsia="zh-CN"/>
          <w14:textFill>
            <w14:solidFill>
              <w14:schemeClr w14:val="tx1"/>
            </w14:solidFill>
          </w14:textFill>
        </w:rPr>
        <w:t xml:space="preserve">睢宁县邱集镇人民政府</w:t>
      </w:r>
      <w:r/>
    </w:p>
    <w:p>
      <w:pPr>
        <w:pStyle w:val="911"/>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11"/>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11"/>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代理机构：</w:t>
      </w:r>
      <w:r>
        <w:rPr>
          <w:rFonts w:hint="eastAsia" w:ascii="宋体" w:hAnsi="宋体" w:cs="宋体"/>
          <w:b/>
          <w:bCs/>
          <w:color w:val="000000" w:themeColor="text1"/>
          <w:sz w:val="32"/>
          <w:szCs w:val="32"/>
          <w:highlight w:val="none"/>
          <w:lang w:eastAsia="zh-CN"/>
          <w14:textFill>
            <w14:solidFill>
              <w14:schemeClr w14:val="tx1"/>
            </w14:solidFill>
          </w14:textFill>
        </w:rPr>
        <w:t xml:space="preserve">江苏鼎汇项目管理有限公司</w:t>
      </w: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r>
      <w:r/>
    </w:p>
    <w:p>
      <w:pPr>
        <w:ind w:left="-403" w:firstLine="1264"/>
        <w:jc w:val="center"/>
        <w:keepLines w:val="0"/>
        <w:keepNext w:val="0"/>
        <w:pageBreakBefore w:val="0"/>
        <w:spacing w:line="48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二〇二六年</w:t>
      </w: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月</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1"/>
        <w:ind w:left="0"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jc w:val="center"/>
        <w:keepLines w:val="0"/>
        <w:keepNext w:val="0"/>
        <w:pageBreakBefore w:val="0"/>
        <w:spacing w:line="360" w:lineRule="auto"/>
        <w:widowControl w:val="off"/>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 xml:space="preserve">竞争性磋商文件</w:t>
      </w:r>
      <w:r/>
    </w:p>
    <w:p>
      <w:pPr>
        <w:pStyle w:val="92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项目编号：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JSZC-320324-JSDF-C2026-0004</w:t>
      </w:r>
      <w:r/>
    </w:p>
    <w:p>
      <w:pPr>
        <w:pStyle w:val="920"/>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（供应商）：</w:t>
      </w:r>
      <w:r/>
    </w:p>
    <w:p>
      <w:pPr>
        <w:pStyle w:val="920"/>
        <w:ind w:firstLine="480"/>
        <w:keepLines w:val="0"/>
        <w:keepNext w:val="0"/>
        <w:pageBreakBefore w:val="0"/>
        <w:spacing w:line="360" w:lineRule="auto"/>
        <w:widowControl w:val="off"/>
        <w:tabs>
          <w:tab w:val="left" w:pos="32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江苏鼎汇项目管理有限公司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王林社区全民健身及绿化提升工程</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采取竞争性磋商采购方式进行采购，竞争性磋商文件（以下简称《磋商文件》）内容如下：</w:t>
      </w:r>
      <w:r/>
    </w:p>
    <w:p>
      <w:pPr>
        <w:pStyle w:val="920"/>
        <w:numPr>
          <w:ilvl w:val="0"/>
          <w:numId w:val="18"/>
        </w:numPr>
        <w:ind w:firstLine="499"/>
        <w:jc w:val="center"/>
        <w:keepLines w:val="0"/>
        <w:keepNext w:val="0"/>
        <w:pageBreakBefore w:val="0"/>
        <w:spacing w:before="24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项目说明</w:t>
      </w:r>
      <w:r/>
    </w:p>
    <w:p>
      <w:pPr>
        <w:pStyle w:val="925"/>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一、采购人：</w:t>
      </w:r>
      <w:r>
        <w:rPr>
          <w:rFonts w:hint="eastAsia" w:ascii="宋体" w:hAnsi="宋体" w:cs="宋体"/>
          <w:color w:val="000000" w:themeColor="text1"/>
          <w:sz w:val="24"/>
          <w:szCs w:val="24"/>
          <w:highlight w:val="none"/>
          <w:lang w:eastAsia="zh-CN"/>
          <w14:textFill>
            <w14:solidFill>
              <w14:schemeClr w14:val="tx1"/>
            </w14:solidFill>
          </w14:textFill>
        </w:rPr>
        <w:t xml:space="preserve">睢宁县邱集镇人民政府</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二、项目名称：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王林社区全民健身及绿化提升工程</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三、项目编号：</w:t>
      </w:r>
      <w:r>
        <w:rPr>
          <w:rFonts w:hint="eastAsia" w:ascii="宋体" w:hAnsi="宋体" w:cs="宋体"/>
          <w:color w:val="000000" w:themeColor="text1"/>
          <w:sz w:val="24"/>
          <w:szCs w:val="24"/>
          <w:highlight w:val="none"/>
          <w:lang w:val="en-US" w:eastAsia="zh-CN"/>
          <w14:textFill>
            <w14:solidFill>
              <w14:schemeClr w14:val="tx1"/>
            </w14:solidFill>
          </w14:textFill>
        </w:rPr>
        <w:t xml:space="preserve">JSZC-320324-JSDF-C2026-0004</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四、采购邀请：通过发布公告的方式邀请符合相应资格条件的供应商参与竞争性磋商采购活动。</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采购方式：竞争性磋商采购方式</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供应商资格条件：见竞争性磋商公告（项目编号：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JSZC-320324-JSDF-C2026-0004</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0"/>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、采购预算（采购项目预算金额）：见《磋商文件》附件2、《项目要求（采购需求）》。</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、采购需求：见《竞争性磋商文件》附件2、《项目要求（采购需求）》。</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、合同草案条款：见《竞争性磋商文件》附件8、《拟签订的合同文本》。</w:t>
      </w:r>
      <w:r/>
    </w:p>
    <w:p>
      <w:pPr>
        <w:pStyle w:val="920"/>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b/>
          <w:bCs/>
          <w:color w:val="000000" w:themeColor="text1"/>
          <w:sz w:val="24"/>
          <w:szCs w:val="24"/>
          <w:highlight w:val="none"/>
          <w14:textFill>
            <w14:solidFill>
              <w14:schemeClr w14:val="tx1"/>
            </w14:solidFill>
          </w14:textFill>
        </w:rPr>
        <w:t xml:space="preserve">、报价要求：</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1、供应商报价为要约，</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江苏鼎汇项目管理有限公司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无承诺表示时视为未成交，</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江苏鼎汇项目管理有限公司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认为必要时可重新进行竞争性磋商采购或采取其它方式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2、按照《磋商报价表》要求填写首次报价。</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920"/>
        <w:numPr>
          <w:ilvl w:val="0"/>
          <w:numId w:val="0"/>
        </w:numPr>
        <w:jc w:val="center"/>
        <w:keepLines w:val="0"/>
        <w:keepNext w:val="0"/>
        <w:pageBreakBefore w:val="0"/>
        <w:spacing w:before="24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第二章 磋商保证金</w:t>
      </w:r>
      <w:r/>
    </w:p>
    <w:p>
      <w:pPr>
        <w:pStyle w:val="925"/>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、供应商提交磋商保证金：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4"/>
          <w:szCs w:val="24"/>
          <w:highlight w:val="none"/>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缴纳</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0"/>
        <w:numPr>
          <w:ilvl w:val="0"/>
          <w:numId w:val="0"/>
        </w:numPr>
        <w:jc w:val="center"/>
        <w:keepLines w:val="0"/>
        <w:keepNext w:val="0"/>
        <w:pageBreakBefore w:val="0"/>
        <w:spacing w:before="24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第三章 响应文件</w:t>
      </w:r>
      <w:r/>
    </w:p>
    <w:p>
      <w:pPr>
        <w:pStyle w:val="925"/>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十二、提交响应文件要求：</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供应商应当通过“苏采云”系统提交数据电文形式的响应文件（即电子投标）。未进行线上响应文件提交并解密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因“苏采云”系统导致解密失败的除外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的供应商，响应无效。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“CA数字证书”的获取：供应商需办理CA锁，“苏采云”系统目前仅支持“苏采云”系统下的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政务</w:t>
      </w:r>
      <w:r>
        <w:rPr>
          <w:rFonts w:hint="eastAsia" w:ascii="宋体" w:hAnsi="宋体" w:eastAsia="宋体" w:cs="宋体"/>
          <w:color w:val="000000" w:themeColor="text1"/>
          <w:sz w:val="24"/>
          <w:szCs w:val="24"/>
          <w:highlight w:val="none"/>
          <w14:textFill>
            <w14:solidFill>
              <w14:schemeClr w14:val="tx1"/>
            </w14:solidFill>
          </w14:textFill>
        </w:rPr>
        <w:t xml:space="preserve">CA，省内各地区办理的“苏采云”系统下的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政务</w:t>
      </w:r>
      <w:r>
        <w:rPr>
          <w:rFonts w:hint="eastAsia" w:ascii="宋体" w:hAnsi="宋体" w:eastAsia="宋体" w:cs="宋体"/>
          <w:color w:val="000000" w:themeColor="text1"/>
          <w:sz w:val="24"/>
          <w:szCs w:val="24"/>
          <w:highlight w:val="none"/>
          <w14:textFill>
            <w14:solidFill>
              <w14:schemeClr w14:val="tx1"/>
            </w14:solidFill>
          </w14:textFill>
        </w:rPr>
        <w:t xml:space="preserve">CA全省通用。“CA数字证书”的办理方法详见“徐州政府采购网-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办事指南</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资料下载”</w:t>
      </w:r>
      <w:r>
        <w:rPr>
          <w:rFonts w:hint="eastAsia" w:ascii="宋体" w:hAnsi="宋体" w:eastAsia="宋体" w:cs="宋体"/>
          <w:color w:val="000000" w:themeColor="text1"/>
          <w:sz w:val="24"/>
          <w:szCs w:val="24"/>
          <w:highlight w:val="none"/>
          <w14:textFill>
            <w14:solidFill>
              <w14:schemeClr w14:val="tx1"/>
            </w14:solidFill>
          </w14:textFill>
        </w:rPr>
        <w:t xml:space="preserve">《“苏采云”系统政务CA办理材料、操作手册及控件下载》。</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HYPERLINK "http://jszfcg.jsczt.cn/"</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https://jszfcg.jsczt.cn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；或进入徐州政府采购网（网址：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点击“苏采云”进入系统），按照要求通过互联网方式提交首次响应文件。</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“苏采云”系统使用要求：</w:t>
      </w:r>
      <w:r/>
    </w:p>
    <w:p>
      <w:pPr>
        <w:pStyle w:val="879"/>
        <w:numPr>
          <w:ilvl w:val="0"/>
          <w:numId w:val="19"/>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使用谷歌浏览器参与不见面开标及磋商环节。</w:t>
      </w:r>
      <w:r/>
    </w:p>
    <w:p>
      <w:pPr>
        <w:pStyle w:val="879"/>
        <w:numPr>
          <w:ilvl w:val="0"/>
          <w:numId w:val="19"/>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电脑需提前准备好麦克风、音箱，摄像头，提前检查保证能够正常使用。</w:t>
      </w:r>
      <w:r/>
    </w:p>
    <w:p>
      <w:pPr>
        <w:pStyle w:val="879"/>
        <w:numPr>
          <w:ilvl w:val="0"/>
          <w:numId w:val="19"/>
        </w:num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操作系统至少win7以上，建议使用win10操作系统。</w:t>
      </w:r>
      <w:r/>
    </w:p>
    <w:p>
      <w:pPr>
        <w:pStyle w:val="879"/>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（二）首次响应文件提交的截止时间：</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2026年</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月</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2</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7</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日北京时间09:</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i w:val="0"/>
          <w:iCs w:val="0"/>
          <w:caps w:val="0"/>
          <w:color w:val="000000" w:themeColor="text1"/>
          <w:spacing w:val="0"/>
          <w:sz w:val="24"/>
          <w:szCs w:val="24"/>
          <w:highlight w:val="none"/>
          <w:lang w:val="en-US" w:eastAsia="zh-CN" w:bidi="ar"/>
          <w14:textFill>
            <w14:solidFill>
              <w14:schemeClr w14:val="tx1"/>
            </w14:solidFill>
          </w14:textFill>
        </w:rPr>
      </w:r>
      <w:r>
        <w:rPr>
          <w:rFonts w:hint="eastAsia" w:ascii="宋体" w:hAnsi="宋体" w:eastAsia="宋体" w:cs="宋体"/>
          <w:b/>
          <w:bCs/>
          <w:i w:val="0"/>
          <w:iCs w:val="0"/>
          <w:caps w:val="0"/>
          <w:color w:val="000000" w:themeColor="text1"/>
          <w:spacing w:val="0"/>
          <w:sz w:val="24"/>
          <w:szCs w:val="24"/>
          <w:highlight w:val="none"/>
          <w:lang w:val="en-US" w:eastAsia="zh-CN" w:bidi="ar"/>
          <w14:textFill>
            <w14:solidFill>
              <w14:schemeClr w14:val="tx1"/>
            </w14:solidFill>
          </w14:textFill>
        </w:rPr>
      </w:r>
      <w:r>
        <w:rPr>
          <w:rFonts w:hint="eastAsia" w:ascii="宋体" w:hAnsi="宋体" w:eastAsia="宋体" w:cs="宋体"/>
          <w:b/>
          <w:bCs/>
          <w:color w:val="000000" w:themeColor="text1"/>
          <w:sz w:val="24"/>
          <w:szCs w:val="24"/>
          <w:highlight w:val="none"/>
          <w14:textFill>
            <w14:solidFill>
              <w14:schemeClr w14:val="tx1"/>
            </w14:solidFill>
          </w14:textFill>
        </w:rPr>
        <w:t xml:space="preserve">，在截止时间后提交的首次响应文件为无效文件，将被拒收。</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（三）首次响应文件提交时间、地点：</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1.提交时间</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首次响应文件提交的截止时间</w:t>
      </w: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b/>
          <w:bCs/>
          <w:color w:val="000000" w:themeColor="text1"/>
          <w:sz w:val="24"/>
          <w:szCs w:val="24"/>
          <w:highlight w:val="yellow"/>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6</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年</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1</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月</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2</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7</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日北京时间09:</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）前。</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2.提交地点：</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https://jszfcg.jsczt.cn</w:t>
      </w:r>
      <w:r>
        <w:rPr>
          <w:rFonts w:hint="eastAsia" w:ascii="宋体" w:hAnsi="宋体" w:eastAsia="宋体" w:cs="宋体"/>
          <w:color w:val="000000" w:themeColor="text1"/>
          <w:sz w:val="24"/>
          <w:szCs w:val="24"/>
          <w:highlight w:val="none"/>
          <w14:textFill>
            <w14:solidFill>
              <w14:schemeClr w14:val="tx1"/>
            </w14:solidFill>
          </w14:textFill>
        </w:rPr>
        <w:t xml:space="preserve">）“开标大厅”或进入徐州政府采购网（网址：https://czj.xz.gov.cn/zfcg/index.html）-业务工作-用户登录，点击“苏采云”进入系统“开标大厅”。 </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）首次响应文件开启时间：</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2026年</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1</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月</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2</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7</w:t>
      </w:r>
      <w:r>
        <w:rPr>
          <w:rFonts w:hint="eastAsia" w:hAnsi="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 </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日北京时间09:</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i w:val="0"/>
          <w:iCs w:val="0"/>
          <w:caps w:val="0"/>
          <w:color w:val="000000" w:themeColor="text1"/>
          <w:spacing w:val="0"/>
          <w:sz w:val="24"/>
          <w:szCs w:val="24"/>
          <w:highlight w:val="yellow"/>
          <w:lang w:val="en-US" w:eastAsia="zh-CN" w:bidi="ar"/>
          <w14:textFill>
            <w14:solidFill>
              <w14:schemeClr w14:val="tx1"/>
            </w14:solidFill>
          </w14:textFill>
        </w:rPr>
        <w:t xml:space="preserve">0</w:t>
      </w:r>
      <w:r>
        <w:rPr>
          <w:rFonts w:hint="eastAsia" w:ascii="宋体" w:hAnsi="宋体" w:eastAsia="宋体" w:cs="宋体"/>
          <w:b/>
          <w:bCs/>
          <w:i w:val="0"/>
          <w:iCs w:val="0"/>
          <w:caps w:val="0"/>
          <w:color w:val="000000" w:themeColor="text1"/>
          <w:spacing w:val="0"/>
          <w:sz w:val="24"/>
          <w:szCs w:val="24"/>
          <w:highlight w:val="none"/>
          <w:lang w:val="en-US" w:eastAsia="zh-CN" w:bidi="ar"/>
          <w14:textFill>
            <w14:solidFill>
              <w14:schemeClr w14:val="tx1"/>
            </w14:solidFill>
          </w14:textFill>
        </w:rPr>
      </w:r>
      <w:r>
        <w:rPr>
          <w:rFonts w:hint="eastAsia" w:ascii="宋体" w:hAnsi="宋体" w:eastAsia="宋体" w:cs="宋体"/>
          <w:b/>
          <w:bCs/>
          <w:i w:val="0"/>
          <w:iCs w:val="0"/>
          <w:caps w:val="0"/>
          <w:color w:val="000000" w:themeColor="text1"/>
          <w:spacing w:val="0"/>
          <w:sz w:val="24"/>
          <w:szCs w:val="24"/>
          <w:highlight w:val="none"/>
          <w:lang w:val="en-US" w:eastAsia="zh-CN" w:bidi="ar"/>
          <w14:textFill>
            <w14:solidFill>
              <w14:schemeClr w14:val="tx1"/>
            </w14:solidFill>
          </w14:textFill>
        </w:rPr>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）首次响应文件开启地点：</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“苏采云”系统（网址：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https://jszfcg.jsczt.cn</w:t>
      </w:r>
      <w:r>
        <w:rPr>
          <w:rFonts w:hint="eastAsia" w:ascii="宋体" w:hAnsi="宋体" w:eastAsia="宋体" w:cs="宋体"/>
          <w:color w:val="000000" w:themeColor="text1"/>
          <w:sz w:val="24"/>
          <w:szCs w:val="24"/>
          <w:highlight w:val="none"/>
          <w14:textFill>
            <w14:solidFill>
              <w14:schemeClr w14:val="tx1"/>
            </w14:solidFill>
          </w14:textFill>
        </w:rPr>
        <w:t xml:space="preserve">）“开标大厅”或进入徐州政府采购网（网址：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https://czj.xz.gov.cn/zfcg/index.html</w:t>
      </w:r>
      <w:r>
        <w:rPr>
          <w:rFonts w:hint="eastAsia" w:ascii="宋体" w:hAnsi="宋体" w:eastAsia="宋体" w:cs="宋体"/>
          <w:color w:val="000000" w:themeColor="text1"/>
          <w:sz w:val="24"/>
          <w:szCs w:val="24"/>
          <w:highlight w:val="none"/>
          <w14:textFill>
            <w14:solidFill>
              <w14:schemeClr w14:val="tx1"/>
            </w14:solidFill>
          </w14:textFill>
        </w:rPr>
        <w:t xml:space="preserve">）-业务工作-用户登录，点击“苏采云”进入系统“开标大厅”。</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）不接受不按要求加盖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（电子签章）的首次响应文件。电子签章相关要求见“苏采云”系统。</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）首次响应文件解密：</w:t>
      </w:r>
      <w:r>
        <w:rPr>
          <w:rFonts w:hint="eastAsia" w:ascii="宋体" w:hAnsi="宋体" w:eastAsia="宋体" w:cs="宋体"/>
          <w:bCs/>
          <w:color w:val="000000" w:themeColor="text1"/>
          <w:sz w:val="24"/>
          <w:szCs w:val="24"/>
          <w:highlight w:val="none"/>
          <w14:textFill>
            <w14:solidFill>
              <w14:schemeClr w14:val="tx1"/>
            </w14:solidFill>
          </w14:textFill>
        </w:rPr>
        <w:t xml:space="preserve">到达开启时间，</w:t>
      </w:r>
      <w:r>
        <w:rPr>
          <w:rFonts w:hint="eastAsia" w:ascii="宋体" w:hAnsi="宋体" w:eastAsia="宋体" w:cs="宋体"/>
          <w:color w:val="000000" w:themeColor="text1"/>
          <w:sz w:val="24"/>
          <w:szCs w:val="24"/>
          <w:highlight w:val="none"/>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szCs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szCs w:val="24"/>
          <w:highlight w:val="none"/>
          <w14:textFill>
            <w14:solidFill>
              <w14:schemeClr w14:val="tx1"/>
            </w14:solidFill>
          </w14:textFill>
        </w:rPr>
        <w:t xml:space="preserve">，通过“苏采云”系统（使用“CA数字证书”）解密。</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）采购文件（后缀名为“.kedt”）、供应商操作手册及政府采购客户端工具可通过“苏采云”系统（网址：</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HYPERLINK "http://jszfcg.jsczt.cn/"</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https://jszfcg.jsczt.cn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pStyle w:val="920"/>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）相关说明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供应商在“苏采云”系统中提交首次响应文件的时间即为数据电文（响应文件，下同）的发送时间和接收时间。</w:t>
      </w:r>
      <w:r/>
    </w:p>
    <w:p>
      <w:pPr>
        <w:pStyle w:val="920"/>
        <w:ind w:left="499"/>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十三、响应文件编制要求：</w:t>
      </w:r>
      <w:r/>
    </w:p>
    <w:p>
      <w:pPr>
        <w:pStyle w:val="920"/>
        <w:ind w:left="499"/>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请按照以下要求（包括但不限于以下要求）制作：</w:t>
      </w:r>
      <w:r/>
    </w:p>
    <w:p>
      <w:pPr>
        <w:pStyle w:val="879"/>
        <w:ind w:firstLine="425"/>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879"/>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《磋商报价表》（加盖电子签章，格式见《磋商文件》附件。政府采购客户端工具输入报价自动生成）；</w:t>
      </w:r>
      <w:r/>
    </w:p>
    <w:p>
      <w:pPr>
        <w:pStyle w:val="870"/>
        <w:ind w:firstLine="482"/>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供应商认为需要提供的其他资料的扫描件（如有）</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w:t>
      </w:r>
      <w:r/>
    </w:p>
    <w:p>
      <w:pPr>
        <w:pStyle w:val="87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  （二）</w:t>
      </w:r>
      <w:r>
        <w:rPr>
          <w:rFonts w:hint="eastAsia" w:ascii="宋体" w:hAnsi="宋体" w:eastAsia="宋体" w:cs="宋体"/>
          <w:b/>
          <w:bCs w:val="0"/>
          <w:color w:val="000000" w:themeColor="text1"/>
          <w:sz w:val="24"/>
          <w:szCs w:val="24"/>
          <w:highlight w:val="none"/>
          <w14:textFill>
            <w14:solidFill>
              <w14:schemeClr w14:val="tx1"/>
            </w14:solidFill>
          </w14:textFill>
        </w:rPr>
        <w:t xml:space="preserve">资格条件（</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项</w:t>
      </w:r>
      <w:r>
        <w:rPr>
          <w:rFonts w:hint="eastAsia" w:ascii="宋体" w:hAnsi="宋体" w:eastAsia="宋体" w:cs="宋体"/>
          <w:b/>
          <w:bCs w:val="0"/>
          <w:color w:val="000000" w:themeColor="text1"/>
          <w:sz w:val="24"/>
          <w:szCs w:val="24"/>
          <w:highlight w:val="none"/>
          <w14:textFill>
            <w14:solidFill>
              <w14:schemeClr w14:val="tx1"/>
            </w14:solidFill>
          </w14:textFill>
        </w:rPr>
        <w:t xml:space="preserve">必须提供</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原件扫描件</w:t>
      </w:r>
      <w:r>
        <w:rPr>
          <w:rFonts w:hint="eastAsia" w:ascii="宋体" w:hAnsi="宋体" w:eastAsia="宋体" w:cs="宋体"/>
          <w:b/>
          <w:bCs w:val="0"/>
          <w:color w:val="000000" w:themeColor="text1"/>
          <w:sz w:val="24"/>
          <w:szCs w:val="24"/>
          <w:highlight w:val="none"/>
          <w14:textFill>
            <w14:solidFill>
              <w14:schemeClr w14:val="tx1"/>
            </w14:solidFill>
          </w14:textFill>
        </w:rPr>
        <w:t xml:space="preserve">，否则响应无效）</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投标人合法有效的法人或者其他组织的营业执照等证明文件。以上证明文件提供原件的扫描件。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财务状况报告，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至少提供：</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 xml:space="preserve">供应商的“首次响应文件提交的截止时间”前6个月内任何1月（不含“首次响应文件提交的截止时间”当月）的资产负债表的扫描件1份；</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default"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年度，应包括审计报告正文、资产负债表、现金流量表、利润表）。</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具备履行合同所必需的设备和专业技术能力的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书面声明</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供应商参加政府采购活动前3年内在经营活动中没有重大违法记录的书面声明(格式见《磋商文件》附件)。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6、特定资格要求：</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（1）供应商具备市政工程施工总承包叁级（含）以上资质，并具有有效的安全生产许可证；</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（2）拟选派项目负责人：具备市政工程专业二级（含）以上注册建造师证书，取得《建筑施工企业安全生产考核合格证书》（B证），且无在建工程（提供承诺书,格式自拟）；</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供应商为中小企业（含中型、小型、微型企业，下同）的，提供《中小企业声明函》（本项目属于专门面向中小微企业采购的项目（必须提供，否则响应无效））</w:t>
      </w:r>
      <w:r>
        <w:rPr>
          <w:rFonts w:hint="eastAsia" w:ascii="宋体" w:hAnsi="宋体" w:eastAsia="宋体" w:cs="宋体"/>
          <w:bCs/>
          <w:color w:val="000000" w:themeColor="text1"/>
          <w:sz w:val="24"/>
          <w:szCs w:val="24"/>
          <w:highlight w:val="none"/>
          <w14:textFill>
            <w14:solidFill>
              <w14:schemeClr w14:val="tx1"/>
            </w14:solidFill>
          </w14:textFill>
        </w:rPr>
        <w:t xml:space="preserve">，加盖电子签章，填写完整，格式见《磋商文件》附件。“中小企业声明函” 查询渠道用微信搜索“中小企业规模类型自测小程序”。</w:t>
      </w:r>
      <w:r/>
    </w:p>
    <w:p>
      <w:pPr>
        <w:pStyle w:val="870"/>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注：中小微企业，应当同时符合以下条件：</w:t>
      </w:r>
      <w:r/>
    </w:p>
    <w:p>
      <w:pPr>
        <w:pStyle w:val="870"/>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870"/>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供应商为残疾人福利性单位的，视同小微企业，提供《残疾人福利性单位声明函》（电子签章，格式见附件》）。具体以《关于促进残疾人就业政府采购政策的通知》（财库〔2017〕141号）的规定为准。</w:t>
      </w:r>
      <w:r/>
    </w:p>
    <w:p>
      <w:pPr>
        <w:pStyle w:val="870"/>
        <w:ind w:right="-334"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供应商为监狱企业的，视同小微企业，提供省级以上监狱管理局、戒毒管理局（含新疆生产建设兵团）出具的属于监狱企业的证明文件</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原件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扫描件。具体以《财政部 司法部关于政府采购支持监狱企业发展有关问题的通知》（财库〔2014〕68号）的规定为准。</w:t>
      </w:r>
      <w:r/>
    </w:p>
    <w:p>
      <w:pPr>
        <w:pStyle w:val="87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color w:val="000000" w:themeColor="text1"/>
          <w:sz w:val="24"/>
          <w:szCs w:val="24"/>
          <w:highlight w:val="none"/>
          <w14:textFill>
            <w14:solidFill>
              <w14:schemeClr w14:val="tx1"/>
            </w14:solidFill>
          </w14:textFill>
        </w:rPr>
        <w:t xml:space="preserve">符合条件（必须提供，否则响应无效）</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1.《承诺书》（加盖电子签章，格式见《磋商文件》附件）；</w:t>
      </w:r>
      <w:r/>
    </w:p>
    <w:p>
      <w:pPr>
        <w:ind w:left="0" w:right="0" w:firstLine="480"/>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2.《授权委托书》</w:t>
      </w:r>
      <w:r>
        <w:rPr>
          <w:rFonts w:hint="eastAsia" w:ascii="宋体" w:hAnsi="宋体" w:cs="宋体"/>
          <w:color w:val="000000" w:themeColor="text1"/>
          <w:sz w:val="24"/>
          <w:highlight w:val="none"/>
          <w14:textFill>
            <w14:solidFill>
              <w14:schemeClr w14:val="tx1"/>
            </w14:solidFill>
          </w14:textFill>
        </w:rPr>
        <w:t xml:space="preserve">（提供授权委托书及受托人身份证原件的扫描件，格式见《磋商文件》附件）；</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（加盖电子签章，格式见《磋商文件》附件）；</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.《磋商报价表》（加盖电子签章，格式见《磋商文件》附件）；</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.《分项价格表》（加盖电子签章，格式见《磋商文件》附件）；</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.《偏离表》（加盖电子签章，格式见《磋商文件》附件）；</w:t>
      </w:r>
      <w:r/>
    </w:p>
    <w:p>
      <w:pPr>
        <w:pStyle w:val="8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（四）综合评审评分项</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.商务部分</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（1）业绩（要求见《磋商文件》附件：1.《评分细则》）</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（2）项目主要管理人员（要求见《磋商文件》附件：1.《评分细则》））</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2.技术部分</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（1）施工组织设计（要求见《磋商文件》附件：1.《评分细则》）</w:t>
      </w:r>
      <w:r/>
    </w:p>
    <w:p>
      <w:pPr>
        <w:ind w:left="0" w:right="0" w:firstLine="480"/>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（2）养护期方案及措施（要求见《磋商文件》附件：1.《评分细则》）</w:t>
      </w:r>
      <w:r/>
    </w:p>
    <w:p>
      <w:pPr>
        <w:pStyle w:val="879"/>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（五）价格折扣文件格式</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企业报价折扣证明：</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无</w:t>
      </w:r>
      <w:r/>
    </w:p>
    <w:p>
      <w:pPr>
        <w:pStyle w:val="879"/>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（六）提交的首次响应文件的密封、签署、盖章要求：</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密封（加密）要求：</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签署要求：</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见</w:t>
      </w:r>
      <w:r>
        <w:rPr>
          <w:rFonts w:hint="eastAsia" w:ascii="宋体" w:hAnsi="宋体" w:eastAsia="宋体" w:cs="宋体"/>
          <w:color w:val="000000" w:themeColor="text1"/>
          <w:sz w:val="24"/>
          <w:szCs w:val="24"/>
          <w:highlight w:val="none"/>
          <w14:textFill>
            <w14:solidFill>
              <w14:schemeClr w14:val="tx1"/>
            </w14:solidFill>
          </w14:textFill>
        </w:rPr>
        <w:t xml:space="preserve">《磋商文件》第九章附件中相关格式要求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特别提醒：竞争性磋商文件中如需“被授权代表签字或盖章”，供应商可打印成文档，签字或盖章后再扫描上传，最后再电子签章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盖章要求：见《磋商文件》第九章附件中相关格式要求。供应商须通过“苏采云”系统提供的政府采购客户端工具（使用“CA数字证书”）加盖电子签章。</w:t>
      </w:r>
      <w:r/>
    </w:p>
    <w:p>
      <w:pPr>
        <w:pStyle w:val="879"/>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（七）通过“苏采云”系统提交政府采购客户端工具导出加密的响应文件（后缀名为zip）。响应文件不得超过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50M</w:t>
      </w:r>
      <w:r>
        <w:rPr>
          <w:rFonts w:hint="eastAsia" w:ascii="宋体" w:hAnsi="宋体" w:eastAsia="宋体" w:cs="宋体"/>
          <w:b/>
          <w:bCs/>
          <w:color w:val="000000" w:themeColor="text1"/>
          <w:sz w:val="24"/>
          <w:szCs w:val="24"/>
          <w:highlight w:val="none"/>
          <w14:textFill>
            <w14:solidFill>
              <w14:schemeClr w14:val="tx1"/>
            </w14:solidFill>
          </w14:textFill>
        </w:rPr>
        <w:t xml:space="preserve">！（具体文件大小以苏彩云系统要求为准）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879"/>
        <w:ind w:firstLine="497"/>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供应商应当按照《磋商文件》的要求编制响应文件，并对其提交的响应文件的真实性、合法性承担法律责任。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920"/>
        <w:numPr>
          <w:ilvl w:val="0"/>
          <w:numId w:val="20"/>
        </w:num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2"/>
      </w:pPr>
      <w:r>
        <w:rPr>
          <w:rFonts w:hint="eastAsia" w:ascii="宋体" w:hAnsi="宋体" w:eastAsia="宋体" w:cs="宋体"/>
          <w:b/>
          <w:bCs/>
          <w:color w:val="000000" w:themeColor="text1"/>
          <w:sz w:val="24"/>
          <w:szCs w:val="24"/>
          <w:highlight w:val="none"/>
          <w14:textFill>
            <w14:solidFill>
              <w14:schemeClr w14:val="tx1"/>
            </w14:solidFill>
          </w14:textFill>
        </w:rPr>
        <w:t xml:space="preserve">磋商的相关说明</w:t>
      </w:r>
      <w:r/>
    </w:p>
    <w:p>
      <w:pPr>
        <w:pStyle w:val="925"/>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十四、评审程序：</w:t>
      </w:r>
      <w:r/>
    </w:p>
    <w:p>
      <w:pPr>
        <w:pStyle w:val="87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w:t>
      </w:r>
      <w:r>
        <w:rPr>
          <w:rFonts w:hint="eastAsia" w:ascii="宋体" w:hAnsi="宋体" w:eastAsia="宋体" w:cs="宋体"/>
          <w:bCs/>
          <w:color w:val="000000" w:themeColor="text1"/>
          <w:sz w:val="24"/>
          <w:szCs w:val="24"/>
          <w:highlight w:val="none"/>
          <w14:textFill>
            <w14:solidFill>
              <w14:schemeClr w14:val="tx1"/>
            </w14:solidFill>
          </w14:textFill>
        </w:rPr>
        <w:t xml:space="preserve">磋商要求</w:t>
      </w:r>
      <w:r/>
    </w:p>
    <w:p>
      <w:pPr>
        <w:pStyle w:val="87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1.被邀请参与磋商的供应商需按本竞争性磋商文件要求的截止时间、方式（地点）提交首次响应文件，同时派人</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通过“苏采云”系统在“开标大厅”等待</w:t>
      </w:r>
      <w:r>
        <w:rPr>
          <w:rFonts w:hint="eastAsia" w:ascii="宋体" w:hAnsi="宋体" w:eastAsia="宋体" w:cs="宋体"/>
          <w:bCs/>
          <w:color w:val="000000" w:themeColor="text1"/>
          <w:sz w:val="24"/>
          <w:szCs w:val="24"/>
          <w:highlight w:val="none"/>
          <w14:textFill>
            <w14:solidFill>
              <w14:schemeClr w14:val="tx1"/>
            </w14:solidFill>
          </w14:textFill>
        </w:rPr>
        <w:t xml:space="preserve">磋商。</w:t>
      </w:r>
      <w:r/>
    </w:p>
    <w:p>
      <w:pPr>
        <w:pStyle w:val="87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供应商可</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通过</w:t>
      </w:r>
      <w:r>
        <w:rPr>
          <w:rFonts w:hint="eastAsia" w:ascii="宋体" w:hAnsi="宋体" w:eastAsia="宋体" w:cs="宋体"/>
          <w:bCs/>
          <w:color w:val="000000" w:themeColor="text1"/>
          <w:sz w:val="24"/>
          <w:szCs w:val="24"/>
          <w:highlight w:val="none"/>
          <w14:textFill>
            <w14:solidFill>
              <w14:schemeClr w14:val="tx1"/>
            </w14:solidFill>
          </w14:textFill>
        </w:rPr>
        <w:t xml:space="preserve">CA数字证书，在首次响应文件开启时间后，使用CA数字证书</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在规定时间内</w:t>
      </w:r>
      <w:r>
        <w:rPr>
          <w:rFonts w:hint="eastAsia" w:ascii="宋体" w:hAnsi="宋体" w:eastAsia="宋体" w:cs="宋体"/>
          <w:bCs/>
          <w:color w:val="000000" w:themeColor="text1"/>
          <w:sz w:val="24"/>
          <w:szCs w:val="24"/>
          <w:highlight w:val="none"/>
          <w14:textFill>
            <w14:solidFill>
              <w14:schemeClr w14:val="tx1"/>
            </w14:solidFill>
          </w14:textFill>
        </w:rPr>
        <w:t xml:space="preserve">解密各自响应文件。</w:t>
      </w:r>
      <w:r/>
    </w:p>
    <w:p>
      <w:pPr>
        <w:pStyle w:val="87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供应商的授权代表或法人须全程守候在“苏采云”系统开标大厅，并确保视频设备正常使用。授权代表或法人须携带授权委托书原件及身份证原件，经磋商小组核查后参与磋商活动。</w:t>
      </w:r>
      <w:r/>
    </w:p>
    <w:p>
      <w:pPr>
        <w:pStyle w:val="879"/>
        <w:ind w:firstLine="480"/>
        <w:keepLines w:val="0"/>
        <w:keepNext w:val="0"/>
        <w:pageBreakBefore w:val="0"/>
        <w:spacing w:line="360" w:lineRule="auto"/>
        <w:widowControl w:val="off"/>
        <w:rPr>
          <w:rFonts w:hint="eastAsia" w:ascii="宋体" w:hAnsi="宋体" w:eastAsia="宋体" w:cs="宋体"/>
          <w:bCs w:val="0"/>
          <w:color w:val="000000" w:themeColor="text1"/>
          <w:sz w:val="24"/>
          <w:szCs w:val="24"/>
          <w:highlight w:val="none"/>
          <w14:textFill>
            <w14:solidFill>
              <w14:schemeClr w14:val="tx1"/>
            </w14:solidFill>
          </w14:textFill>
        </w:rPr>
      </w:pPr>
      <w:r>
        <w:rPr>
          <w:rFonts w:hint="eastAsia" w:ascii="宋体" w:hAnsi="宋体" w:eastAsia="宋体" w:cs="宋体"/>
          <w:bCs w:val="0"/>
          <w:color w:val="000000" w:themeColor="text1"/>
          <w:sz w:val="24"/>
          <w:szCs w:val="24"/>
          <w:highlight w:val="none"/>
          <w:lang w:val="en-US" w:eastAsia="zh-CN"/>
          <w14:textFill>
            <w14:solidFill>
              <w14:schemeClr w14:val="tx1"/>
            </w14:solidFill>
          </w14:textFill>
        </w:rPr>
        <w:t xml:space="preserve">4.磋商顺序按照电子标书解密先后时间进行，解密时间相同的，不分先后顺序。</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5.磋商方式：</w:t>
      </w:r>
      <w:r>
        <w:rPr>
          <w:rFonts w:hint="eastAsia" w:ascii="宋体" w:hAnsi="宋体" w:eastAsia="宋体" w:cs="宋体"/>
          <w:b/>
          <w:bCs/>
          <w:color w:val="000000" w:themeColor="text1"/>
          <w:sz w:val="24"/>
          <w:szCs w:val="24"/>
          <w:highlight w:val="none"/>
          <w14:textFill>
            <w14:solidFill>
              <w14:schemeClr w14:val="tx1"/>
            </w14:solidFill>
          </w14:textFill>
        </w:rPr>
        <w:t xml:space="preserve">本次</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bCs/>
          <w:color w:val="000000" w:themeColor="text1"/>
          <w:sz w:val="24"/>
          <w:szCs w:val="24"/>
          <w:highlight w:val="none"/>
          <w14:textFill>
            <w14:solidFill>
              <w14:schemeClr w14:val="tx1"/>
            </w14:solidFill>
          </w14:textFill>
        </w:rPr>
        <w:t xml:space="preserve">采用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苏采云</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系统中的视频会议</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自行选择任意地点参加远程</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bCs/>
          <w:color w:val="000000" w:themeColor="text1"/>
          <w:sz w:val="24"/>
          <w:szCs w:val="24"/>
          <w:highlight w:val="none"/>
          <w14:textFill>
            <w14:solidFill>
              <w14:schemeClr w14:val="tx1"/>
            </w14:solidFill>
          </w14:textFill>
        </w:rPr>
        <w:t xml:space="preserve">会议。请</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在</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b/>
          <w:bCs/>
          <w:color w:val="000000" w:themeColor="text1"/>
          <w:sz w:val="24"/>
          <w:szCs w:val="24"/>
          <w:highlight w:val="none"/>
          <w14:textFill>
            <w14:solidFill>
              <w14:schemeClr w14:val="tx1"/>
            </w14:solidFill>
          </w14:textFill>
        </w:rPr>
        <w:t xml:space="preserve">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等候在开标大厅，随时接听磋商小组发出的磋商视频邀请</w:t>
      </w:r>
      <w:r>
        <w:rPr>
          <w:rFonts w:hint="eastAsia" w:ascii="宋体" w:hAnsi="宋体" w:eastAsia="宋体" w:cs="宋体"/>
          <w:b/>
          <w:color w:val="000000" w:themeColor="text1"/>
          <w:sz w:val="24"/>
          <w:szCs w:val="24"/>
          <w:highlight w:val="none"/>
          <w14:textFill>
            <w14:solidFill>
              <w14:schemeClr w14:val="tx1"/>
            </w14:solidFill>
          </w14:textFill>
        </w:rPr>
        <w:t xml:space="preserve">（所有邀请等待时间2分钟，2分钟内所邀请供应商无响应，视同放弃磋商的权利，由解密顺序下一家进行磋商，不再后补）</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磋商邀请程序以开标当天“苏采云”系统为准。</w:t>
      </w:r>
      <w:r/>
    </w:p>
    <w:p>
      <w:pPr>
        <w:pStyle w:val="879"/>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6.未在规定时间内进行答疑澄清的，视同放弃澄清。</w:t>
      </w:r>
      <w:r/>
    </w:p>
    <w:p>
      <w:pPr>
        <w:pStyle w:val="879"/>
        <w:ind w:firstLine="48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7.未在规定时间内进行报价的，视为响应无效。</w:t>
      </w:r>
      <w:r/>
    </w:p>
    <w:p>
      <w:pPr>
        <w:pStyle w:val="902"/>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color w:val="000000" w:themeColor="text1"/>
          <w:sz w:val="24"/>
          <w:szCs w:val="24"/>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920"/>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.被邀请参与磋商的供应商如未按上述磋商要求执行，视同放弃磋商的权利。</w:t>
      </w:r>
      <w:r/>
    </w:p>
    <w:p>
      <w:pPr>
        <w:pStyle w:val="879"/>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14:textFill>
            <w14:solidFill>
              <w14:schemeClr w14:val="tx1"/>
            </w14:solidFill>
          </w14:textFill>
        </w:rPr>
        <w:t xml:space="preserve">（二）评审程序</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pStyle w:val="879"/>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具体审查要求如下：</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磋商小组启动异常低价投标（响应）审查的情形和具体要求，包括：</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（1）评审过程中出现下列情形之一的，磋商小组应当启动异常低价投标（响应）审查程序：</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①投标（响应）报价低于全部通过符合性审查供应商投标（响应）报价平均值 50%的，即投标（响应）报价〈全部通过符合性审查供应商投标（响应）报价平均值×50%；</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②投标（响应）报价低于通过符合性审查的次低报价供应商投标（响应）报价 50%的，即投标（响应）报价〈通过符合性审查的次低报价供应商投标（响应）报价×50%；</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③投标（响应）报价低于采购项目最高限价45%的，即投标（响应）报价〈采购项目最高限价×45%；</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④评审委员会基于专业判断，认为供应商报价过低，有可能影响产品质量或者不能诚信履约的其他情形。</w:t>
      </w:r>
      <w:r/>
    </w:p>
    <w:p>
      <w:pPr>
        <w:pStyle w:val="879"/>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相关内容和要求见：《中华人民共和国政府采购法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中华人民共和国政府采购法实施条例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政府采购竞争性磋商采购方式管理暂行办法》</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及《徐州市财政局转发财政部关于推动解决政府采购异常低价问题的通知》（苏财购〔2026〕3号）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firstLine="240"/>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（三） 查询及使用供应商信用记录</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1.由采购人查询信用信息。</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2.查询渠道包括：</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（1）“信用中国”网（www.creditchina.gov.cn）；</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（2）中国政府采购网（www.ccgp.gov.cn）；</w:t>
      </w:r>
      <w:r/>
    </w:p>
    <w:p>
      <w:pPr>
        <w:pStyle w:val="879"/>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（3）“信用江苏”网（http://credit.jiangsu.gov.cn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（4）“信用中国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江苏徐州</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”网（http://www.xuzhoucredit.gov.cn）。</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3.截止时点（查询环节）：首次响应文件开启后资格审查结束前。</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4.信用信息查询记录和证据留存的具体方式：</w:t>
      </w:r>
      <w:r/>
    </w:p>
    <w:p>
      <w:pPr>
        <w:pStyle w:val="879"/>
        <w:ind w:firstLine="482"/>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网页截屏打印，与其他采购文件一并保存。</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5.信用信息的使用规则：</w:t>
      </w:r>
      <w:r/>
    </w:p>
    <w:p>
      <w:pPr>
        <w:pStyle w:val="879"/>
        <w:ind w:firstLine="482"/>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20"/>
        <w:ind w:firstLine="477"/>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十五、评审方法和评审标准：</w:t>
      </w:r>
      <w:r/>
    </w:p>
    <w:p>
      <w:pPr>
        <w:pStyle w:val="920"/>
        <w:ind w:firstLine="477"/>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1、评审方法：综合评分法</w:t>
      </w:r>
      <w:r/>
    </w:p>
    <w:p>
      <w:pPr>
        <w:pStyle w:val="920"/>
        <w:ind w:left="2" w:right="29"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2、评审标准：详见《竞争性磋商文件》附件1、《评分细则》</w:t>
      </w:r>
      <w:r/>
    </w:p>
    <w:p>
      <w:pPr>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color w:val="000000" w:themeColor="text1"/>
          <w:sz w:val="24"/>
          <w:szCs w:val="24"/>
          <w:highlight w:val="none"/>
          <w14:textFill>
            <w14:solidFill>
              <w14:schemeClr w14:val="tx1"/>
            </w14:solidFill>
          </w14:textFill>
        </w:rPr>
        <w:t xml:space="preserve">有下列情形之一的，其响应无效：</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1、供应商未在规定时间内解密电子响应文件的；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2、电子响应文件未按磋商文件要求签章的；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3、供应商未在规定时间内进行二轮报价的；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4、供应商的法定代表人参加投标未提供法人资格证明的；授权代表无法定代表人授权委托书的；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8、响应文件含有采购人不能接受的附加条件的； </w:t>
      </w:r>
      <w:r/>
    </w:p>
    <w:p>
      <w:pPr>
        <w:pStyle w:val="879"/>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9、磋商报价超过本项目（采购包）预算或最高限价的； </w:t>
      </w:r>
      <w:r/>
    </w:p>
    <w:p>
      <w:pPr>
        <w:pStyle w:val="879"/>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10、响应文件中已标价工程量清单与磋商文件规定的暂估价、暂列金额及甲供材料价格不一致的； </w:t>
      </w:r>
      <w:r/>
    </w:p>
    <w:p>
      <w:pPr>
        <w:pStyle w:val="879"/>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中已标价工程量清单与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明确列出的不可竞争费用项目或费率或计算基础不一致的； </w:t>
      </w:r>
      <w:r/>
    </w:p>
    <w:p>
      <w:pPr>
        <w:pStyle w:val="879"/>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eastAsia="宋体" w:cs="宋体"/>
          <w:color w:val="000000" w:themeColor="text1"/>
          <w:sz w:val="24"/>
          <w:szCs w:val="24"/>
          <w:highlight w:val="none"/>
          <w14:textFill>
            <w14:solidFill>
              <w14:schemeClr w14:val="tx1"/>
            </w14:solidFill>
          </w14:textFill>
        </w:rPr>
        <w:t xml:space="preserve">的已标价工程量清单与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提供的工程量清单中的</w:t>
      </w:r>
      <w:r>
        <w:rPr>
          <w:rFonts w:hint="eastAsia" w:ascii="宋体" w:hAnsi="宋体" w:eastAsia="宋体" w:cs="宋体"/>
          <w:b/>
          <w:bCs/>
          <w:color w:val="000000" w:themeColor="text1"/>
          <w:sz w:val="24"/>
          <w:szCs w:val="24"/>
          <w:highlight w:val="none"/>
          <w14:textFill>
            <w14:solidFill>
              <w14:schemeClr w14:val="tx1"/>
            </w14:solidFill>
          </w14:textFill>
        </w:rPr>
        <w:t xml:space="preserve">项目编码</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项目名称、项目特征、计量单位、工程量不一致的</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、不同供应商的响应文件以及响应文件制作过程出现了磋商小组认为不应当雷同的情况的；</w:t>
      </w:r>
      <w:r/>
    </w:p>
    <w:p>
      <w:pPr>
        <w:pStyle w:val="870"/>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、不同供应商委托同一单位或者个人办理磋商事宜的。</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15、响应文件内容不全或不符合磋商文件中规定的其它实质性要求的； </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16、磋商小组认定供应商的报价明显低于其他通过符合性审查供应商的报价，有可能影响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工程</w:t>
      </w:r>
      <w:r>
        <w:rPr>
          <w:rFonts w:hint="eastAsia" w:ascii="宋体" w:hAnsi="宋体" w:eastAsia="宋体" w:cs="宋体"/>
          <w:color w:val="000000" w:themeColor="text1"/>
          <w:sz w:val="24"/>
          <w:szCs w:val="24"/>
          <w:highlight w:val="none"/>
          <w14:textFill>
            <w14:solidFill>
              <w14:schemeClr w14:val="tx1"/>
            </w14:solidFill>
          </w14:textFill>
        </w:rPr>
        <w:t xml:space="preserve">质量或者不能诚信履约，且供应商不能应磋商小组要求在评审过程中要求的合理时间内提供书面说明（必要时磋商小组可要求供应商提交相关证明材料）证明其报价合理性的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879"/>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17、法律法规和磋商文件规定的其它无效情形。</w:t>
      </w:r>
      <w:r/>
    </w:p>
    <w:p>
      <w:pPr>
        <w:pStyle w:val="920"/>
        <w:ind w:left="2" w:right="29"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、磋商过程中可能实质性变动的内容：在磋商过程中，磋商小组可以根据《磋商文件》和磋商情况实质性变动采购需求中的技术、服务要求以及合同草案条款。</w:t>
      </w:r>
      <w:r/>
    </w:p>
    <w:p>
      <w:pPr>
        <w:pStyle w:val="920"/>
        <w:ind w:left="2" w:right="29"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、采购人有权对供应商的响应文件的真实性进行核实，如供应商不能在采购人规定的时间内向采</w:t>
      </w:r>
      <w:r>
        <w:rPr>
          <w:rFonts w:hint="eastAsia" w:ascii="宋体" w:hAnsi="宋体" w:eastAsia="宋体" w:cs="宋体"/>
          <w:color w:val="000000" w:themeColor="text1"/>
          <w:sz w:val="24"/>
          <w:szCs w:val="24"/>
          <w:highlight w:val="none"/>
          <w14:textFill>
            <w14:solidFill>
              <w14:schemeClr w14:val="tx1"/>
            </w14:solidFill>
          </w14:textFill>
        </w:rPr>
        <w:t xml:space="preserve">购人提供有效的证明文件，将被采购人认定为具有《中华人民共和国政府采购法》第七十七条所规定的“提供虚假材料谋取中标、成交的”情形，并承担相应的法律责任。</w:t>
      </w:r>
      <w:r/>
    </w:p>
    <w:p>
      <w:pPr>
        <w:pStyle w:val="920"/>
        <w:ind w:left="2" w:right="29" w:firstLine="480"/>
        <w:jc w:val="center"/>
        <w:keepLines w:val="0"/>
        <w:keepNext w:val="0"/>
        <w:pageBreakBefore w:val="0"/>
        <w:spacing w:before="240" w:after="24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第五章 确定成交供应商及合同签订等</w:t>
      </w:r>
      <w:r/>
    </w:p>
    <w:p>
      <w:pPr>
        <w:pStyle w:val="920"/>
        <w:ind w:firstLine="482"/>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20"/>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二十</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、采购人与成交供应商应当在成交通知书发出之日起30日内，按照</w:t>
      </w:r>
      <w:r>
        <w:rPr>
          <w:rFonts w:hint="eastAsia" w:ascii="宋体" w:hAnsi="宋体" w:eastAsia="宋体" w:cs="宋体"/>
          <w:color w:val="000000" w:themeColor="text1"/>
          <w:sz w:val="24"/>
          <w:szCs w:val="24"/>
          <w:highlight w:val="none"/>
          <w14:textFill>
            <w14:solidFill>
              <w14:schemeClr w14:val="tx1"/>
            </w14:solidFill>
          </w14:textFill>
        </w:rPr>
        <w:t xml:space="preserve">《磋商文件》确定的合同文本以及采购标的、规格型号、采购金额、采购数量、技术和服务要求等事项签订政府采购合同。</w:t>
      </w:r>
      <w:r/>
    </w:p>
    <w:p>
      <w:pPr>
        <w:pStyle w:val="920"/>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 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》及其实施条例以及相关规定，中标或者成交后无正当理由拒不与采购人签订政府采购合同的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在一至三年内禁止参加政府采购活动，列入政府采购严重违法失信行为记录名单。</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color w:val="000000" w:themeColor="text1"/>
          <w:sz w:val="24"/>
          <w:szCs w:val="24"/>
          <w:highlight w:val="none"/>
          <w14:textFill>
            <w14:solidFill>
              <w14:schemeClr w14:val="tx1"/>
            </w14:solidFill>
          </w14:textFill>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20"/>
        <w:ind w:firstLine="480"/>
        <w:jc w:val="center"/>
        <w:keepLines w:val="0"/>
        <w:keepNext w:val="0"/>
        <w:pageBreakBefore w:val="0"/>
        <w:spacing w:before="240" w:after="24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第六章 磋商文件的澄清或者修改</w:t>
      </w:r>
      <w:r/>
    </w:p>
    <w:p>
      <w:pPr>
        <w:pStyle w:val="920"/>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、《磋商文件》的澄清或者修改：</w:t>
      </w:r>
      <w:r/>
    </w:p>
    <w:p>
      <w:pPr>
        <w:pStyle w:val="920"/>
        <w:ind w:firstLine="482"/>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敬请</w:t>
      </w:r>
      <w:r>
        <w:rPr>
          <w:rFonts w:hint="eastAsia" w:ascii="宋体" w:hAnsi="宋体" w:eastAsia="宋体" w:cs="宋体"/>
          <w:color w:val="000000" w:themeColor="text1"/>
          <w:sz w:val="24"/>
          <w:szCs w:val="24"/>
          <w:highlight w:val="none"/>
          <w14:textFill>
            <w14:solidFill>
              <w14:schemeClr w14:val="tx1"/>
            </w14:solidFill>
          </w14:textFill>
        </w:rPr>
        <w:t xml:space="preserve">所有获取《磋商文件》的供应商关注本项目的“更正公告”及附件，否则，将自行承担相应的风险。</w:t>
      </w:r>
      <w:r/>
    </w:p>
    <w:p>
      <w:pPr>
        <w:pStyle w:val="920"/>
        <w:ind w:firstLine="480"/>
        <w:jc w:val="center"/>
        <w:keepLines w:val="0"/>
        <w:keepNext w:val="0"/>
        <w:pageBreakBefore w:val="0"/>
        <w:spacing w:before="240" w:after="24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第七章 询问和质疑</w:t>
      </w:r>
      <w:r/>
    </w:p>
    <w:p>
      <w:pPr>
        <w:pStyle w:val="920"/>
        <w:ind w:firstLine="480"/>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二十</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、询问和质疑：</w:t>
      </w:r>
      <w:r/>
    </w:p>
    <w:p>
      <w:pPr>
        <w:pStyle w:val="920"/>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20"/>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2、质疑和投诉按《政府采购质疑和投诉办法》执行。</w:t>
      </w:r>
      <w:r/>
    </w:p>
    <w:p>
      <w:pPr>
        <w:pStyle w:val="920"/>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3、供应商对同一采购程序环节的质疑应在质疑期内一次性提出。</w:t>
      </w:r>
      <w:r/>
    </w:p>
    <w:p>
      <w:pPr>
        <w:pStyle w:val="920"/>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4、接收质疑函的方式：供应商直接送交或供应商通过EMS邮寄。</w:t>
      </w:r>
      <w:r/>
    </w:p>
    <w:p>
      <w:pPr>
        <w:pStyle w:val="920"/>
        <w:ind w:firstLine="2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质疑接收人：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钦昊天</w:t>
      </w:r>
      <w:r>
        <w:rPr>
          <w:rFonts w:hint="eastAsia" w:ascii="宋体" w:hAnsi="宋体" w:eastAsia="宋体" w:cs="宋体"/>
          <w:color w:val="000000" w:themeColor="text1"/>
          <w:sz w:val="24"/>
          <w:szCs w:val="24"/>
          <w:highlight w:val="none"/>
          <w14:textFill>
            <w14:solidFill>
              <w14:schemeClr w14:val="tx1"/>
            </w14:solidFill>
          </w14:textFill>
        </w:rPr>
        <w:t xml:space="preserve">       联系电话：</w:t>
      </w:r>
      <w:r>
        <w:rPr>
          <w:rFonts w:hint="eastAsia" w:ascii="宋体" w:hAnsi="宋体" w:cs="宋体"/>
          <w:color w:val="000000" w:themeColor="text1"/>
          <w:sz w:val="24"/>
          <w:szCs w:val="24"/>
          <w:highlight w:val="none"/>
          <w:lang w:eastAsia="zh-CN"/>
          <w14:textFill>
            <w14:solidFill>
              <w14:schemeClr w14:val="tx1"/>
            </w14:solidFill>
          </w14:textFill>
        </w:rPr>
        <w:t xml:space="preserve">18052220858</w:t>
      </w:r>
      <w:r/>
    </w:p>
    <w:p>
      <w:pPr>
        <w:pStyle w:val="920"/>
        <w:ind w:firstLine="200"/>
        <w:keepLines w:val="0"/>
        <w:keepNext w:val="0"/>
        <w:pageBreakBefore w:val="0"/>
        <w:spacing w:line="360" w:lineRule="auto"/>
        <w:widowControl w:val="off"/>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i w:val="0"/>
          <w:iCs w:val="0"/>
          <w:caps w:val="0"/>
          <w:color w:val="000000" w:themeColor="text1"/>
          <w:spacing w:val="0"/>
          <w:sz w:val="24"/>
          <w:szCs w:val="24"/>
          <w:highlight w:val="none"/>
          <w:lang w:val="en-US" w:eastAsia="zh-CN" w:bidi="ar"/>
          <w14:textFill>
            <w14:solidFill>
              <w14:schemeClr w14:val="tx1"/>
            </w14:solidFill>
          </w14:textFill>
        </w:rPr>
        <w:t xml:space="preserve">徐州市睢宁县永昶嘉园东门南侧（兴旺路3-7号）</w:t>
      </w:r>
      <w:r/>
    </w:p>
    <w:p>
      <w:pPr>
        <w:pStyle w:val="925"/>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9"/>
        <w:numPr>
          <w:ilvl w:val="0"/>
          <w:numId w:val="21"/>
        </w:numPr>
        <w:ind w:firstLine="48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w:t>
      </w:r>
      <w:r/>
    </w:p>
    <w:p>
      <w:pPr>
        <w:pStyle w:val="92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1、根据《关于进一步规范政府采购活动相关费用管理的通知》（苏财规〔2026〕1号）规定，本项目代理服务费由采购人支付。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2、本项目属于专门面向中小微企业采购的项目，供应商应为中小微企业、监狱企业、残疾人福利性单位。</w:t>
      </w:r>
      <w:r/>
    </w:p>
    <w:p>
      <w:pPr>
        <w:ind w:firstLine="48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3、采购人确定的采购项目属性：工程。</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、采购人信息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val="en-US" w:eastAsia="zh-CN"/>
          <w14:textFill>
            <w14:solidFill>
              <w14:schemeClr w14:val="tx1"/>
            </w14:solidFill>
          </w14:textFill>
        </w:rPr>
        <w:t xml:space="preserve">睢宁县邱集镇人民政府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地址：</w:t>
      </w:r>
      <w:r>
        <w:rPr>
          <w:rFonts w:hint="eastAsia" w:ascii="宋体" w:hAnsi="宋体" w:cs="宋体"/>
          <w:color w:val="000000" w:themeColor="text1"/>
          <w:sz w:val="24"/>
          <w:szCs w:val="24"/>
          <w:highlight w:val="none"/>
          <w:lang w:val="en-US" w:eastAsia="zh-CN"/>
          <w14:textFill>
            <w14:solidFill>
              <w14:schemeClr w14:val="tx1"/>
            </w14:solidFill>
          </w14:textFill>
        </w:rPr>
        <w:t xml:space="preserve">江苏省徐州市睢宁县邱集镇邱集街</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孙娇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14:textFill>
            <w14:solidFill>
              <w14:schemeClr w14:val="tx1"/>
            </w14:solidFill>
          </w14:textFill>
        </w:rPr>
        <w:t xml:space="preserve">18209203283</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、采购代理机构信息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江苏鼎汇项目管理有限公司</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lang w:eastAsia="zh-CN"/>
          <w14:textFill>
            <w14:solidFill>
              <w14:schemeClr w14:val="tx1"/>
            </w14:solidFill>
          </w14:textFill>
        </w:rPr>
        <w:t xml:space="preserve">徐州市睢宁县永昶嘉园东门南侧（兴旺路3-7号）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钦昊天</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w:t>
      </w:r>
      <w:r>
        <w:rPr>
          <w:rFonts w:hint="eastAsia" w:ascii="宋体" w:hAnsi="宋体" w:cs="宋体"/>
          <w:color w:val="000000" w:themeColor="text1"/>
          <w:sz w:val="24"/>
          <w:szCs w:val="24"/>
          <w:highlight w:val="none"/>
          <w:lang w:eastAsia="zh-CN"/>
          <w14:textFill>
            <w14:solidFill>
              <w14:schemeClr w14:val="tx1"/>
            </w14:solidFill>
          </w14:textFill>
        </w:rPr>
        <w:t xml:space="preserve">18052220858</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0"/>
        <w:numPr>
          <w:ilvl w:val="0"/>
          <w:numId w:val="21"/>
        </w:numPr>
        <w:ind w:left="0" w:firstLine="48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附件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1、《评分细则》</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3、《磋商报价表》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4、《分项价格表》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、《偏离表》</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、《拟签订的合同文本（合同草案条款）》</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、《承诺书》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、《授权委托书》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、《中小企业声明函》及自测小程序</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、《供应商参加政府采购活动前3年内在经营活动中没有重大违法记录的书面声明》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、《具备履行合同所必需的设备和专业技术能力的书面声明》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、《代理服务收费标准》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numPr>
          <w:ilvl w:val="0"/>
          <w:numId w:val="22"/>
        </w:num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color w:val="000000" w:themeColor="text1"/>
          <w:sz w:val="28"/>
          <w:szCs w:val="28"/>
          <w:highlight w:val="none"/>
          <w14:textFill>
            <w14:solidFill>
              <w14:schemeClr w14:val="tx1"/>
            </w14:solidFill>
          </w14:textFill>
        </w:rPr>
        <w:t xml:space="preserve">评分细则</w:t>
      </w:r>
      <w:r/>
    </w:p>
    <w:tbl>
      <w:tblPr>
        <w:tblStyle w:val="868"/>
        <w:tblW w:w="92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1449"/>
        <w:gridCol w:w="6425"/>
      </w:tblGrid>
      <w:tr>
        <w:trPr>
          <w:jc w:val="center"/>
          <w:trHeight w:val="567"/>
        </w:trPr>
        <w:tc>
          <w:tcPr>
            <w:gridSpan w:val="2"/>
            <w:tcW w:w="2787"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tc>
        <w:tc>
          <w:tcPr>
            <w:tcW w:w="6425"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评分细则</w:t>
            </w:r>
            <w:r/>
          </w:p>
        </w:tc>
      </w:tr>
      <w:tr>
        <w:trPr>
          <w:jc w:val="center"/>
          <w:trHeight w:val="567"/>
        </w:trPr>
        <w:tc>
          <w:tcPr>
            <w:tcW w:w="1338"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价格部分</w:t>
            </w:r>
            <w:r/>
          </w:p>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W w:w="1449"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采用低价优先法计算，即满足磋商文件要求且最后报价最低的供应商的价格为磋商基准价，其价格分为满分。其他供应商的价格分统一按照下列公式计算：</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磋商报价得分=（磋商基准价/最后磋商报价）×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0</w:t>
            </w:r>
            <w:r/>
          </w:p>
        </w:tc>
      </w:tr>
      <w:tr>
        <w:trPr>
          <w:jc w:val="center"/>
          <w:trHeight w:val="1478"/>
        </w:trPr>
        <w:tc>
          <w:tcPr>
            <w:tcW w:w="1338" w:type="dxa"/>
            <w:vAlign w:val="center"/>
            <w:vMerge w:val="restart"/>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商务部分（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1449" w:type="dxa"/>
            <w:vAlign w:val="center"/>
            <w:textDirection w:val="lrTb"/>
            <w:noWrap w:val="false"/>
          </w:tcPr>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业绩</w:t>
            </w:r>
            <w:r/>
          </w:p>
          <w:p>
            <w:pPr>
              <w:pStyle w:val="1251"/>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（4分）</w:t>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供应商自202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月1日（以竣工验收时间为准）以来承接过的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类似</w:t>
            </w:r>
            <w:r>
              <w:rPr>
                <w:rFonts w:hint="eastAsia" w:ascii="宋体" w:hAnsi="宋体" w:eastAsia="宋体" w:cs="宋体"/>
                <w:color w:val="000000" w:themeColor="text1"/>
                <w:sz w:val="24"/>
                <w:szCs w:val="24"/>
                <w:highlight w:val="none"/>
                <w14:textFill>
                  <w14:solidFill>
                    <w14:schemeClr w14:val="tx1"/>
                  </w14:solidFill>
                </w14:textFill>
              </w:rPr>
              <w:t xml:space="preserve">工程业绩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合同内容中至少包含园林绿化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，以网上中标公告截图、中标通知书、施工合同及竣工验收合格证明（直接发包项目以网上直接发包截图、施工合同及竣工验收合格证明）为准，必须同时具备。每提供一份得2分，本项最高得4分。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注：响应文件中提供扫描件，原件中标后核查。</w:t>
            </w:r>
            <w:r/>
          </w:p>
        </w:tc>
      </w:tr>
      <w:tr>
        <w:trPr>
          <w:jc w:val="center"/>
          <w:trHeight w:val="1198"/>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49" w:type="dxa"/>
            <w:vAlign w:val="center"/>
            <w:textDirection w:val="lrTb"/>
            <w:noWrap w:val="false"/>
          </w:tcPr>
          <w:p>
            <w:pPr>
              <w:pStyle w:val="87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项目主要管理人员</w:t>
            </w:r>
            <w:r/>
          </w:p>
          <w:p>
            <w:pPr>
              <w:pStyle w:val="87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（5分）</w:t>
            </w:r>
            <w:r/>
          </w:p>
        </w:tc>
        <w:tc>
          <w:tcPr>
            <w:tcW w:w="6425" w:type="dxa"/>
            <w:vAlign w:val="center"/>
            <w:textDirection w:val="lrTb"/>
            <w:noWrap w:val="false"/>
          </w:tcPr>
          <w:p>
            <w:pPr>
              <w:pStyle w:val="87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园林绿化类专业中级职称（如职称证书反映不出园林绿化专业则必须提供园林绿化专业毕业证书或职称评审表），并提供其在供应商本单位近6个月的任意一个月的社保。</w:t>
            </w:r>
            <w:r/>
          </w:p>
          <w:p>
            <w:pPr>
              <w:pStyle w:val="87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注：响应文件中提供扫描件，原件中标后核查。</w:t>
            </w:r>
            <w:r/>
          </w:p>
        </w:tc>
      </w:tr>
      <w:tr>
        <w:trPr>
          <w:jc w:val="center"/>
          <w:trHeight w:val="737"/>
        </w:trPr>
        <w:tc>
          <w:tcPr>
            <w:tcW w:w="1338" w:type="dxa"/>
            <w:vAlign w:val="center"/>
            <w:vMerge w:val="restart"/>
            <w:textDirection w:val="lrTb"/>
            <w:noWrap w:val="false"/>
          </w:tcPr>
          <w:p>
            <w:pPr>
              <w:pStyle w:val="1251"/>
              <w:ind w:firstLine="24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w:t>
            </w:r>
            <w:r/>
          </w:p>
          <w:p>
            <w:pPr>
              <w:pStyle w:val="1251"/>
              <w:ind w:firstLine="24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部分</w:t>
            </w:r>
            <w:r/>
          </w:p>
          <w:p>
            <w:pPr>
              <w:pStyle w:val="1251"/>
              <w:ind w:firstLine="24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1449" w:type="dxa"/>
            <w:vAlign w:val="center"/>
            <w:vMerge w:val="restart"/>
            <w:textDirection w:val="lrTb"/>
            <w:noWrap w:val="false"/>
          </w:tcPr>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施工组织设计</w:t>
            </w: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总体概述:施工组织总体设想（9分）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全面性(3分)：全面详实的得3分，基本具备的得2分，欠缺的得1分；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可行性(3分)：可行性强的得3分，可行性一般的得2分，可行性不强的得1分；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针对性(3分)：针对性强的得3分，针对性一般的得2分，针对性不强的得1分；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未提供的得0分，本项最高得9分，最低得0分。</w:t>
            </w:r>
            <w:r/>
          </w:p>
        </w:tc>
      </w:tr>
      <w:tr>
        <w:trPr>
          <w:jc w:val="center"/>
          <w:trHeight w:val="1220"/>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施工现场临时设施、临时道路布置（9分）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全面性(3分)：全面详实的得3分，基本具备的得2分，欠缺的得1分；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可行性(3分)：可行性强的得3分，可行性一般的得2分，可行性不强的得1分；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针对性(3分)：针对性强的得3分，针对性一般的得2分，针对性不强的得1分；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未提供的得0分，本项最高得9分，最低得0分。</w:t>
            </w: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87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施工进度计划及保证措施（</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分)：全面详实的得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分，欠缺的得1分；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分)：可行性强的得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分，可行性一般的得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分，可行性不强的得1分；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关键施工技术、施工工艺（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分)：全面详实的得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分，基本具备的得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分，欠缺的得1分；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分)：可行性强的得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分，可行性一般的得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分，可行性不强的得1分；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分，针对性不强的得1分；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分，最低得0分。</w:t>
            </w: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工程项目实施的重点、难点和解决方案（12分）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全面性(4分)：全面详实的得4分，基本具备的得3分，欠缺的得1分；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可行性(4分)：可行性强的得4分，可行性一般的得3分，可行性不强的得1分；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针对性(4分)：针对性强的得4分，针对性一般的得3分，针对性不强的得1分；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未提供的得0分，本项最高得12分，最低得0分。</w:t>
            </w:r>
            <w:r/>
          </w:p>
        </w:tc>
      </w:tr>
      <w:tr>
        <w:trPr>
          <w:jc w:val="center"/>
          <w:trHeight w:val="737"/>
        </w:trPr>
        <w:tc>
          <w:tcPr>
            <w:tcW w:w="1338"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49" w:type="dxa"/>
            <w:vAlign w:val="center"/>
            <w:vMerge w:val="continue"/>
            <w:textDirection w:val="lrTb"/>
            <w:noWrap w:val="false"/>
          </w:tcPr>
          <w:p>
            <w:pPr>
              <w:pStyle w:val="1251"/>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6425" w:type="dxa"/>
            <w:vAlign w:val="center"/>
            <w:textDirection w:val="lrTb"/>
            <w:noWrap w:val="false"/>
          </w:tcPr>
          <w:p>
            <w:pPr>
              <w:pStyle w:val="87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新技术、新产品、新工艺、新材料应用（9分）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全面性(3分)：全面详实的得3分，基本具备的得2分，欠缺的得1分；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可行性(3分)：可行性强的得3分，可行性一般的得2分，可行性不强的得1分；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针对性(3分)：针对性强的得3分，针对性一般的得2分，针对性不强的得1分；</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未提供的得0分，本项最高得9分，最低得0分。</w:t>
            </w:r>
            <w:r/>
          </w:p>
        </w:tc>
      </w:tr>
      <w:tr>
        <w:trPr>
          <w:jc w:val="center"/>
          <w:trHeight w:val="567"/>
        </w:trPr>
        <w:tc>
          <w:tcPr>
            <w:tcW w:w="1338" w:type="dxa"/>
            <w:vAlign w:val="center"/>
            <w:vMerge w:val="continue"/>
            <w:textDirection w:val="lrTb"/>
            <w:noWrap w:val="false"/>
          </w:tcPr>
          <w:p>
            <w:pPr>
              <w:pStyle w:val="872"/>
              <w:jc w:val="center"/>
              <w:keepLines w:val="0"/>
              <w:keepNext w:val="0"/>
              <w:pageBreakBefore w:val="0"/>
              <w:spacing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tc>
        <w:tc>
          <w:tcPr>
            <w:tcW w:w="1449" w:type="dxa"/>
            <w:vAlign w:val="center"/>
            <w:textDirection w:val="lrTb"/>
            <w:noWrap w:val="false"/>
          </w:tcPr>
          <w:p>
            <w:pPr>
              <w:pStyle w:val="87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养护期方案及措施（14分）</w:t>
            </w:r>
            <w:r/>
          </w:p>
        </w:tc>
        <w:tc>
          <w:tcPr>
            <w:tcW w:w="6425" w:type="dxa"/>
            <w:vAlign w:val="center"/>
            <w:textDirection w:val="lrTb"/>
            <w:noWrap w:val="false"/>
          </w:tcPr>
          <w:p>
            <w:pPr>
              <w:pStyle w:val="1251"/>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依据响应文件中的苗木的养护期方案及措施进行综合评分（14分）</w:t>
            </w: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全面性(4分)：全面详实的得4分，基本具备的得2分，欠缺的得1分；</w:t>
            </w: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可行性(5分)：可行性强的得5分，可行性一般的得3分，可行性不强的得1分；</w:t>
            </w: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针对性(5分)：针对性强的得5分，针对性一般的得3分，针对性不强的得1分；</w:t>
            </w:r>
            <w:r/>
          </w:p>
          <w:p>
            <w:pPr>
              <w:pStyle w:val="1251"/>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提供的得0分，本项最高得14分，最低得0分。</w:t>
            </w:r>
            <w:r/>
          </w:p>
        </w:tc>
      </w:tr>
    </w:tbl>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0"/>
        <w:contextualSpacing/>
        <w:ind w:firstLine="480"/>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说明：本项目采用综合评分法。（保留小数点后二位）</w:t>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br w:type="page" w:clear="all"/>
      </w:r>
      <w:r/>
    </w:p>
    <w:p>
      <w:pPr>
        <w:pStyle w:val="920"/>
        <w:numPr>
          <w:ilvl w:val="0"/>
          <w:numId w:val="0"/>
        </w:numPr>
        <w:jc w:val="center"/>
        <w:keepLines w:val="0"/>
        <w:keepNext w:val="0"/>
        <w:pageBreakBefore w:val="0"/>
        <w:spacing w:line="360" w:lineRule="auto"/>
        <w:widowControl w:val="off"/>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bidi="ar-SA"/>
          <w14:textFill>
            <w14:solidFill>
              <w14:schemeClr w14:val="tx1"/>
            </w14:solidFill>
          </w14:textFill>
        </w:rPr>
        <w:t xml:space="preserve">2、</w:t>
      </w:r>
      <w:r>
        <w:rPr>
          <w:rFonts w:hint="eastAsia" w:ascii="宋体" w:hAnsi="宋体" w:eastAsia="宋体" w:cs="宋体"/>
          <w:b/>
          <w:color w:val="000000" w:themeColor="text1"/>
          <w:sz w:val="28"/>
          <w:szCs w:val="28"/>
          <w:highlight w:val="none"/>
          <w14:textFill>
            <w14:solidFill>
              <w14:schemeClr w14:val="tx1"/>
            </w14:solidFill>
          </w14:textFill>
        </w:rPr>
        <w:t xml:space="preserve">采购需求</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一、项目名称</w:t>
      </w:r>
      <w:r/>
    </w:p>
    <w:p>
      <w:pPr>
        <w:pStyle w:val="877"/>
        <w:ind w:firstLine="482"/>
        <w:jc w:val="both"/>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王林社区全民健身及绿化提升工程</w:t>
      </w:r>
      <w:r/>
    </w:p>
    <w:p>
      <w:pPr>
        <w:pStyle w:val="877"/>
        <w:ind w:firstLine="482"/>
        <w:jc w:val="both"/>
        <w:keepLines w:val="0"/>
        <w:keepNext w:val="0"/>
        <w:pageBreakBefore w:val="0"/>
        <w:spacing w:line="360" w:lineRule="auto"/>
        <w:widowControl w:val="off"/>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项目报价</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本项目不接受超过</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98</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68298</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万元人民币（采购项目预算金额）的磋商报价。（首次和最后报价），报价包括为完成本工程所有施工、验收、售后服务等全部费用，采购人不再支付报价以外的任何费用。</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14:textFill>
            <w14:solidFill>
              <w14:schemeClr w14:val="tx1"/>
            </w14:solidFill>
          </w14:textFill>
        </w:rPr>
        <w:t xml:space="preserve">、项目</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概况</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1、项目名称：</w:t>
      </w:r>
      <w:r>
        <w:rPr>
          <w:rFonts w:hint="eastAsia" w:ascii="宋体" w:hAnsi="宋体" w:cs="宋体"/>
          <w:bCs/>
          <w:color w:val="000000" w:themeColor="text1"/>
          <w:sz w:val="24"/>
          <w:szCs w:val="24"/>
          <w:highlight w:val="none"/>
          <w:lang w:eastAsia="zh-CN"/>
          <w14:textFill>
            <w14:solidFill>
              <w14:schemeClr w14:val="tx1"/>
            </w14:solidFill>
          </w14:textFill>
        </w:rPr>
        <w:t xml:space="preserve">王林社区全民健身及绿化提升工程</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2、建设地点：</w:t>
      </w:r>
      <w:r>
        <w:rPr>
          <w:rFonts w:hint="eastAsia" w:ascii="宋体" w:hAnsi="宋体" w:cs="宋体"/>
          <w:bCs/>
          <w:color w:val="000000" w:themeColor="text1"/>
          <w:sz w:val="24"/>
          <w:szCs w:val="24"/>
          <w:highlight w:val="none"/>
          <w:lang w:eastAsia="zh-CN"/>
          <w14:textFill>
            <w14:solidFill>
              <w14:schemeClr w14:val="tx1"/>
            </w14:solidFill>
          </w14:textFill>
        </w:rPr>
        <w:t xml:space="preserve">睢宁县</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3、标段划分：本招标工程共分一个标段</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4、工程规模：造价约</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98</w:t>
      </w:r>
      <w:r>
        <w:rPr>
          <w:rFonts w:hint="eastAsia" w:ascii="宋体" w:hAnsi="宋体" w:cs="宋体"/>
          <w:b/>
          <w:bCs w:val="0"/>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u w:val="single"/>
          <w14:textFill>
            <w14:solidFill>
              <w14:schemeClr w14:val="tx1"/>
            </w14:solidFill>
          </w14:textFill>
        </w:rPr>
        <w:t xml:space="preserve">68298</w:t>
      </w:r>
      <w:r>
        <w:rPr>
          <w:rFonts w:hint="eastAsia" w:ascii="宋体" w:hAnsi="宋体" w:eastAsia="宋体" w:cs="宋体"/>
          <w:bCs/>
          <w:color w:val="000000" w:themeColor="text1"/>
          <w:sz w:val="24"/>
          <w:szCs w:val="24"/>
          <w:highlight w:val="none"/>
          <w14:textFill>
            <w14:solidFill>
              <w14:schemeClr w14:val="tx1"/>
            </w14:solidFill>
          </w14:textFill>
        </w:rPr>
        <w:t xml:space="preserve">万元。</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供应商资格条件：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投标人合法有效的法人或者其他组织的营业执照等证明文件。以上证明文件提供原件的扫描件。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财务状况报告，</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至少提供</w:t>
      </w:r>
      <w:r>
        <w:rPr>
          <w:rFonts w:hint="default"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 xml:space="preserve">供应商的“首次响应文件提交的截止时间”前6个月内任何1月（不含“首次响应文件提交的截止时间”当月）的资产负债表的扫描件1份；</w:t>
      </w:r>
      <w:r>
        <w:rPr>
          <w:rFonts w:hint="default"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 xml:space="preserve">供应商的“首次响应文件提交的截止时间”前6个月内任何1月（不含“首次响应文件提交的截止时间”当月）的利润表月报表的扫描件1份。或合法有效的经第三方机构审计的年度财务审计报告（复印件）（202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年度，应包括审计报告正文、资产负债表、现金流量表、利润表）。</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具备履行合同所必需的设备和专业技术能力的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书面声明</w:t>
      </w:r>
      <w:r>
        <w:rPr>
          <w:rFonts w:hint="eastAsia" w:ascii="宋体" w:hAnsi="宋体" w:eastAsia="宋体" w:cs="宋体"/>
          <w:bCs/>
          <w:color w:val="000000" w:themeColor="text1"/>
          <w:sz w:val="24"/>
          <w:szCs w:val="24"/>
          <w:highlight w:val="none"/>
          <w14:textFill>
            <w14:solidFill>
              <w14:schemeClr w14:val="tx1"/>
            </w14:solidFill>
          </w14:textFill>
        </w:rPr>
        <w:t xml:space="preserve">。响应文件中提供《具备履行合同所必需的设备和专业技术能力的书面声明》（加盖电子签章，格式见《磋商文件》附件）。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供应商参加政府采购活动前3年内在经营活动中没有重大违法记录的书面声明(格式见《磋商文件》附件)。</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特定资格要求：</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（1）供应商具备市政工程施工总承包叁级（含）以上资质，并具有有效的安全生产许可证；</w:t>
      </w:r>
      <w:r/>
    </w:p>
    <w:p>
      <w:pPr>
        <w:pStyle w:val="877"/>
        <w:ind w:firstLine="482"/>
        <w:jc w:val="both"/>
        <w:keepLines w:val="0"/>
        <w:keepNext w:val="0"/>
        <w:pageBreakBefore w:val="0"/>
        <w:spacing w:line="360" w:lineRule="auto"/>
        <w:widowControl w:val="off"/>
        <w:rPr>
          <w:rFonts w:hint="eastAsia"/>
        </w:rPr>
      </w:pPr>
      <w:r>
        <w:rPr>
          <w:rFonts w:hint="eastAsia" w:ascii="宋体" w:hAnsi="宋体" w:eastAsia="宋体" w:cs="宋体"/>
          <w:bCs/>
          <w:color w:val="000000" w:themeColor="text1"/>
          <w:sz w:val="24"/>
          <w:szCs w:val="24"/>
          <w:highlight w:val="none"/>
          <w14:textFill>
            <w14:solidFill>
              <w14:schemeClr w14:val="tx1"/>
            </w14:solidFill>
          </w14:textFill>
        </w:rPr>
        <w:t xml:space="preserve">（2）拟选派项目负责人：具备市政工程专业二级（含）以上注册建造师证书，取得《建筑施工企业安全生产考核合格证书》（B证），且无在建工程（提供承诺书,格式自拟）；</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为中小企业（含中型、小型、微型企业，下同）的，提供《中小企业声明函》（本项目属于专门面向中小微企业采购的项目（必须提供，否则响应无效）），加盖电子签章，填写完整，格式见《磋商文件》附件。“中小企业声明函” 查询渠道用微信搜索“中小企业规模类型自测小程序”。</w:t>
      </w:r>
      <w:r/>
    </w:p>
    <w:p>
      <w:pPr>
        <w:pStyle w:val="872"/>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6、</w:t>
      </w:r>
      <w:r>
        <w:rPr>
          <w:rFonts w:hint="eastAsia" w:ascii="宋体" w:hAnsi="宋体"/>
          <w:b w:val="0"/>
          <w:bCs w:val="0"/>
          <w:color w:val="000000" w:themeColor="text1"/>
          <w:sz w:val="24"/>
          <w:highlight w:val="none"/>
          <w14:textFill>
            <w14:solidFill>
              <w14:schemeClr w14:val="tx1"/>
            </w14:solidFill>
          </w14:textFill>
        </w:rPr>
        <w:t xml:space="preserve">工程内容：主要对</w:t>
      </w:r>
      <w:r>
        <w:rPr>
          <w:rFonts w:hint="eastAsia" w:ascii="宋体" w:hAnsi="宋体" w:cs="宋体"/>
          <w:bCs/>
          <w:color w:val="000000" w:themeColor="text1"/>
          <w:sz w:val="24"/>
          <w:szCs w:val="24"/>
          <w:highlight w:val="none"/>
          <w:lang w:eastAsia="zh-CN"/>
          <w14:textFill>
            <w14:solidFill>
              <w14:schemeClr w14:val="tx1"/>
            </w14:solidFill>
          </w14:textFill>
        </w:rPr>
        <w:t xml:space="preserve">王林社区全民健身及绿化提升工程</w:t>
      </w:r>
      <w:r>
        <w:rPr>
          <w:rFonts w:hint="eastAsia" w:ascii="宋体" w:hAnsi="宋体"/>
          <w:b w:val="0"/>
          <w:bCs w:val="0"/>
          <w:color w:val="000000" w:themeColor="text1"/>
          <w:sz w:val="24"/>
          <w:highlight w:val="none"/>
          <w14:textFill>
            <w14:solidFill>
              <w14:schemeClr w14:val="tx1"/>
            </w14:solidFill>
          </w14:textFill>
        </w:rPr>
        <w:t xml:space="preserve">等进行绿化建设。</w:t>
      </w:r>
      <w:r/>
    </w:p>
    <w:p>
      <w:pPr>
        <w:pStyle w:val="872"/>
        <w:ind w:firstLine="560"/>
        <w:spacing w:line="360" w:lineRule="auto"/>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7</w:t>
      </w:r>
      <w:r>
        <w:rPr>
          <w:rFonts w:ascii="宋体" w:hAnsi="宋体"/>
          <w:b w:val="0"/>
          <w:bCs w:val="0"/>
          <w:color w:val="000000" w:themeColor="text1"/>
          <w:sz w:val="24"/>
          <w:highlight w:val="none"/>
          <w14:textFill>
            <w14:solidFill>
              <w14:schemeClr w14:val="tx1"/>
            </w14:solidFill>
          </w14:textFill>
        </w:rPr>
        <w:t xml:space="preserve">、要求工期：</w:t>
      </w:r>
      <w:r>
        <w:rPr>
          <w:rFonts w:hint="eastAsia" w:ascii="宋体" w:hAnsi="宋体"/>
          <w:b w:val="0"/>
          <w:bCs w:val="0"/>
          <w:color w:val="000000" w:themeColor="text1"/>
          <w:sz w:val="24"/>
          <w:highlight w:val="none"/>
          <w:lang w:val="en-US" w:eastAsia="zh-CN"/>
          <w14:textFill>
            <w14:solidFill>
              <w14:schemeClr w14:val="tx1"/>
            </w14:solidFill>
          </w14:textFill>
        </w:rPr>
        <w:t xml:space="preserve">自项目开工之日起30日历天，苗木养护期二年三级养护。</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8</w:t>
      </w:r>
      <w:r>
        <w:rPr>
          <w:rFonts w:ascii="宋体" w:hAnsi="宋体"/>
          <w:b w:val="0"/>
          <w:bCs w:val="0"/>
          <w:color w:val="000000" w:themeColor="text1"/>
          <w:sz w:val="24"/>
          <w:highlight w:val="none"/>
          <w14:textFill>
            <w14:solidFill>
              <w14:schemeClr w14:val="tx1"/>
            </w14:solidFill>
          </w14:textFill>
        </w:rPr>
        <w:t xml:space="preserve">、质量要求标准：合格，通过相关部门验收。</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9</w:t>
      </w:r>
      <w:r>
        <w:rPr>
          <w:rFonts w:ascii="宋体" w:hAnsi="宋体"/>
          <w:b w:val="0"/>
          <w:bCs w:val="0"/>
          <w:color w:val="000000" w:themeColor="text1"/>
          <w:sz w:val="24"/>
          <w:highlight w:val="none"/>
          <w14:textFill>
            <w14:solidFill>
              <w14:schemeClr w14:val="tx1"/>
            </w14:solidFill>
          </w14:textFill>
        </w:rPr>
        <w:t xml:space="preserve">、承包方式：包工包料。</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10</w:t>
      </w:r>
      <w:r>
        <w:rPr>
          <w:rFonts w:ascii="宋体" w:hAnsi="宋体"/>
          <w:b w:val="0"/>
          <w:bCs w:val="0"/>
          <w:color w:val="000000" w:themeColor="text1"/>
          <w:sz w:val="24"/>
          <w:highlight w:val="none"/>
          <w14:textFill>
            <w14:solidFill>
              <w14:schemeClr w14:val="tx1"/>
            </w14:solidFill>
          </w14:textFill>
        </w:rPr>
        <w:t xml:space="preserve">、采用的技术规范：</w:t>
      </w:r>
      <w:r>
        <w:rPr>
          <w:rFonts w:hint="eastAsia" w:ascii="宋体" w:hAnsi="宋体"/>
          <w:b w:val="0"/>
          <w:bCs w:val="0"/>
          <w:color w:val="000000" w:themeColor="text1"/>
          <w:sz w:val="24"/>
          <w:highlight w:val="none"/>
          <w:lang w:val="en-US" w:eastAsia="zh-CN"/>
          <w14:textFill>
            <w14:solidFill>
              <w14:schemeClr w14:val="tx1"/>
            </w14:solidFill>
          </w14:textFill>
        </w:rPr>
        <w:t xml:space="preserve">符合现行国家技术、施工及验收规范规程标准，对施工工艺的特殊要求按设计图纸及国家有关规定执行。</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lang w:val="en-US" w:eastAsia="zh-CN"/>
          <w14:textFill>
            <w14:solidFill>
              <w14:schemeClr w14:val="tx1"/>
            </w14:solidFill>
          </w14:textFill>
        </w:rPr>
        <w:t xml:space="preserve">11</w:t>
      </w:r>
      <w:r>
        <w:rPr>
          <w:rFonts w:ascii="宋体" w:hAnsi="宋体"/>
          <w:b w:val="0"/>
          <w:bCs w:val="0"/>
          <w:color w:val="000000" w:themeColor="text1"/>
          <w:sz w:val="24"/>
          <w:highlight w:val="none"/>
          <w14:textFill>
            <w14:solidFill>
              <w14:schemeClr w14:val="tx1"/>
            </w14:solidFill>
          </w14:textFill>
        </w:rPr>
        <w:t xml:space="preserve">、现场自然及施工条件：建议供应商对项目现场和周围环境进行实地踏勘，以</w:t>
      </w:r>
      <w:r>
        <w:rPr>
          <w:rFonts w:ascii="宋体" w:hAnsi="宋体"/>
          <w:b w:val="0"/>
          <w:bCs w:val="0"/>
          <w:color w:val="000000" w:themeColor="text1"/>
          <w:sz w:val="24"/>
          <w:highlight w:val="none"/>
          <w:lang w:val="zh-CN"/>
          <w14:textFill>
            <w14:solidFill>
              <w14:schemeClr w14:val="tx1"/>
            </w14:solidFill>
          </w14:textFill>
        </w:rPr>
        <w:t xml:space="preserve">了解现场的施工环境、施工范围、技术要求及相关服务，</w:t>
      </w:r>
      <w:r>
        <w:rPr>
          <w:rFonts w:ascii="宋体" w:hAnsi="宋体"/>
          <w:b w:val="0"/>
          <w:bCs w:val="0"/>
          <w:color w:val="000000" w:themeColor="text1"/>
          <w:sz w:val="24"/>
          <w:highlight w:val="none"/>
          <w14:textFill>
            <w14:solidFill>
              <w14:schemeClr w14:val="tx1"/>
            </w14:solidFill>
          </w14:textFill>
        </w:rPr>
        <w:t xml:space="preserve">供应商应承担现场踏勘的责任和风险，费用由供应商自己承担。成交</w:t>
      </w:r>
      <w:r>
        <w:rPr>
          <w:rFonts w:ascii="宋体" w:hAnsi="宋体"/>
          <w:b w:val="0"/>
          <w:bCs w:val="0"/>
          <w:color w:val="000000" w:themeColor="text1"/>
          <w:sz w:val="24"/>
          <w:highlight w:val="none"/>
          <w:lang w:val="zh-CN"/>
          <w14:textFill>
            <w14:solidFill>
              <w14:schemeClr w14:val="tx1"/>
            </w14:solidFill>
          </w14:textFill>
        </w:rPr>
        <w:t xml:space="preserve">后不得以未踏勘现场或不了解现场为由提出任何增加费用的要求。</w:t>
      </w:r>
      <w:r/>
    </w:p>
    <w:p>
      <w:pPr>
        <w:pStyle w:val="872"/>
        <w:ind w:firstLine="560"/>
        <w:spacing w:line="360" w:lineRule="auto"/>
        <w:rPr>
          <w:rFonts w:hint="eastAsia"/>
          <w:color w:val="000000" w:themeColor="text1"/>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w:t>
      </w:r>
      <w:r>
        <w:rPr>
          <w:rFonts w:ascii="宋体" w:hAnsi="宋体"/>
          <w:b/>
          <w:bCs/>
          <w:color w:val="000000" w:themeColor="text1"/>
          <w:sz w:val="24"/>
          <w:highlight w:val="none"/>
          <w14:textFill>
            <w14:solidFill>
              <w14:schemeClr w14:val="tx1"/>
            </w14:solidFill>
          </w14:textFill>
        </w:rPr>
        <w:t xml:space="preserve">、《已标价的工程量清单》要求</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（一）工程量清单：详见本项目磋商公告附件《工程量清单》</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（二）《已标价的工程量清单》报价要求</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响应报价应包括磋商文件所确定的招标范围内工程量清单中所含施工图项目的全部内容，以及为完成上述内容所需的全部费用，其根据为供应商提交的已标价的工程量清单及附表，并含现场清理垃圾及外运、平整场地、地基处理等全部内容，采购人不再额外支付任何费用。</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2、供应商应按采购人提供的工程量清单填报价格。填写的项目编码、项目名称、项目特征、计量单位、工程量必须与采购人提供的一致。</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3、实行工程量清单招标的工程建设项目，量的风险由采购人承担，价的风险在约定风险范围内的，由投标人承担，风险范围以外的按合同约定。</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5、施工组织设计所描述的技术措施所发生的费用，视为已体现在供应商响应报价的非实体性消耗所发生的费用中。</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6、本工程采用固定单价合同（除另有规定外）。供应商应充分考虑施工期间各类建材及苗木的市场风险，并计入总报价，供应商在计算报价时应考虑一定的风险系数。</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7、供应商报价需考虑工程位置原有建筑、设施、邻近建筑物、工地情况、开挖的土质，通路、储存空间、起卸限制、及任何其它足以影响报价的情况，成交供应商须按接收工地日的现况，接收工地及自费清理任何遗留在工地上之废物，施工过程中因工地特殊情况而引起二次搬运、安全防护等，采购人不接受供应商关于此类费用的任何诉讼或索赔。</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8、安全文明施工是供应商的责任，采购人不接受任何由于供应商施工而导致的扰民或民扰引起的诉讼或索赔。供应商应在其投标时充分考虑因扰民与民扰而造成的工期影响与费用增加，在报价予以考虑，采购人不接受任何由于供应商考虑不周为由而提出的任何索赔。</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9、由供应商负责办理相关建设、城管、市政、安全、环保等部门的手续，施工供应商在投标时应考虑这些因素，费用包含在响应报价中，采购人不接受供应商关于此类费用的任何诉讼或索赔。</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10、垃圾外运，运距及运输方式供应商自行考虑。</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11、本工程要求养护期为二年三级养护，因此产生的各项费用视为投标人已自行考虑在报价中。</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12、养护期内若出现死苗，成交供应商需补植，补植后的苗木养护期重新计算，补植的所有费用不再支付（采购人特别通知另行补植的苗木除外）。</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13、绿化苗木的综合单价应包括种植穴开挖、更换种植土、苗木种植、苗木购置、运输、装卸、施肥浇水、缠草绳、搭扶木、病虫害的防治、二年三级养护费、现场安全文明施工措施费、社会保障费、住房公积金、税金应缴的各项费用、政策性文件规定及施工进程中包含的所有风险、责任等各项应有费用。个别规格品种不全时，须经采购人同意后可选其他规格苗木替代，发生的费用增减等问题另行协商。</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（三）本工程对于工程价款调整约定如下：</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1、因设计变更、清单错误、现场签证引起新增工程量清单项目，其相应综合单价按本磋商文件规定的招标预算价计价编制办法计算，再乘以投标报价浮动比率结算。</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2、因设计变更、清单错误、现场签证引起的已有清单工程量增减，其相应综合单价执行投标报价的综合单价，但不得高于招标控制价的综合单价。</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3、投标报价浮动比率=【1-（中标价-专业工程暂估价-暂列金额）/（招标控制价-专业工程暂估价-暂列金额）】*100%。以上变更及工程量签证，必须由发、承包双方、现场监理工程师共同确认。</w:t>
      </w:r>
      <w:r/>
    </w:p>
    <w:p>
      <w:pPr>
        <w:pStyle w:val="872"/>
        <w:ind w:firstLine="560"/>
        <w:spacing w:line="360" w:lineRule="auto"/>
        <w:rPr>
          <w:rFonts w:ascii="宋体" w:hAnsi="宋体"/>
          <w:b w:val="0"/>
          <w:bCs w:val="0"/>
          <w:color w:val="000000" w:themeColor="text1"/>
          <w:sz w:val="24"/>
          <w:highlight w:val="none"/>
          <w14:textFill>
            <w14:solidFill>
              <w14:schemeClr w14:val="tx1"/>
            </w14:solidFill>
          </w14:textFill>
        </w:rPr>
      </w:pPr>
      <w:r>
        <w:rPr>
          <w:rFonts w:ascii="宋体" w:hAnsi="宋体"/>
          <w:b w:val="0"/>
          <w:bCs w:val="0"/>
          <w:color w:val="000000" w:themeColor="text1"/>
          <w:sz w:val="24"/>
          <w:highlight w:val="none"/>
          <w14:textFill>
            <w14:solidFill>
              <w14:schemeClr w14:val="tx1"/>
            </w14:solidFill>
          </w14:textFill>
        </w:rPr>
        <w:t xml:space="preserve">清单项目中特征描述不全的工序，如图纸已明确或已指明引用的规范、图集等或是常规工艺必须的工序，应包括在报价中。采购人保留在施工过程中增加或取消工程内容及相应费用的权利，供应商须无条件配合。</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五、编</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制依据</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工程施工图纸、《建设工程工程量清单计价标准》（GB/TB50500-2024）、《2026江苏省建筑与装饰工程消耗量》、《2026江苏省市政工程消耗量》、《2026江苏省通用安装工程消耗量》、《2009江苏修缮建筑定额》、《2009江苏抗震加固定额》、《2007江苏园林定额》、《2026江苏省建设工程费用参考》及《2026江苏建设工程施工机具台班费用参考表》等相关文件及相关建设工程造价管理文件。</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工程质量要求</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合格。</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分部分项工程工程费</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建设工程工程量清单计价标准》（GB50500-2024）、《2026江苏省建筑与装饰工程消耗量》、《2026江苏省市政工程消耗量》、《2026江苏省通用安装工程消耗量》、《2009江苏修缮建筑定额》、《2009江苏抗震加固定额》、《2007江苏园林定额》、《2026江苏省建设工程费用参考》及《2026江苏建设工程施工机具台班费用参考表》；</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val="zh-CN" w:eastAsia="zh-CN"/>
          <w14:textFill>
            <w14:solidFill>
              <w14:schemeClr w14:val="tx1"/>
            </w14:solidFill>
          </w14:textFill>
        </w:rPr>
        <w:t xml:space="preserve">措施项目费</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（1）总价措施项目</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 安全生产：按0.9%计取；     </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文明施工：按0.5%计取； </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环境保护：按0.6%计取；</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临时设施费：按0.55%计取；  </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2）以下措施项目费用暂不计取：冬雨季施工增加费，夜间施工增加费，冬雨季施工增加费，二次搬运，已完工程及设备保护，已完工程及设备保护，按质论价，特殊施工降效，协管。</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eastAsia="zh-CN"/>
          <w14:textFill>
            <w14:solidFill>
              <w14:schemeClr w14:val="tx1"/>
            </w14:solidFill>
          </w14:textFill>
        </w:rPr>
        <w:t xml:space="preserve">税金：按9%计取。</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14:textFill>
            <w14:solidFill>
              <w14:schemeClr w14:val="tx1"/>
            </w14:solidFill>
          </w14:textFill>
        </w:rPr>
        <w:t xml:space="preserve">编制说明</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1、本工程园建及绿化工程按照：园林绿化三类工程取费：安装工程按照：安装三类取费。建筑按照：三类取费。</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、本工程</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概算</w:t>
      </w:r>
      <w:r>
        <w:rPr>
          <w:rFonts w:hint="eastAsia" w:ascii="宋体" w:hAnsi="宋体" w:eastAsia="宋体" w:cs="宋体"/>
          <w:bCs/>
          <w:color w:val="000000" w:themeColor="text1"/>
          <w:sz w:val="24"/>
          <w:szCs w:val="24"/>
          <w:highlight w:val="none"/>
          <w14:textFill>
            <w14:solidFill>
              <w14:schemeClr w14:val="tx1"/>
            </w14:solidFill>
          </w14:textFill>
        </w:rPr>
        <w:t xml:space="preserve">人工费按苏建价站〔20</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273</w:t>
      </w:r>
      <w:r>
        <w:rPr>
          <w:rFonts w:hint="eastAsia" w:ascii="宋体" w:hAnsi="宋体" w:eastAsia="宋体" w:cs="宋体"/>
          <w:bCs/>
          <w:color w:val="000000" w:themeColor="text1"/>
          <w:sz w:val="24"/>
          <w:szCs w:val="24"/>
          <w:highlight w:val="none"/>
          <w14:textFill>
            <w14:solidFill>
              <w14:schemeClr w14:val="tx1"/>
            </w14:solidFill>
          </w14:textFill>
        </w:rPr>
        <w:t xml:space="preserve">号文件执行。</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3、材料价格：材料价格</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按</w:t>
      </w:r>
      <w:r>
        <w:rPr>
          <w:rFonts w:hint="eastAsia" w:ascii="宋体" w:hAnsi="宋体" w:eastAsia="宋体" w:cs="宋体"/>
          <w:bCs/>
          <w:color w:val="000000" w:themeColor="text1"/>
          <w:sz w:val="24"/>
          <w:szCs w:val="24"/>
          <w:highlight w:val="none"/>
          <w14:textFill>
            <w14:solidFill>
              <w14:schemeClr w14:val="tx1"/>
            </w14:solidFill>
          </w14:textFill>
        </w:rPr>
        <w:t xml:space="preserve">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徐州市2026年2</w:t>
      </w:r>
      <w:r>
        <w:rPr>
          <w:rFonts w:hint="eastAsia" w:ascii="宋体" w:hAnsi="宋体" w:eastAsia="宋体" w:cs="宋体"/>
          <w:bCs/>
          <w:color w:val="000000" w:themeColor="text1"/>
          <w:sz w:val="24"/>
          <w:szCs w:val="24"/>
          <w:highlight w:val="none"/>
          <w14:textFill>
            <w14:solidFill>
              <w14:schemeClr w14:val="tx1"/>
            </w14:solidFill>
          </w14:textFill>
        </w:rPr>
        <w:t xml:space="preserve">期《</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徐州市</w:t>
      </w:r>
      <w:r>
        <w:rPr>
          <w:rFonts w:hint="eastAsia" w:ascii="宋体" w:hAnsi="宋体" w:eastAsia="宋体" w:cs="宋体"/>
          <w:bCs/>
          <w:color w:val="000000" w:themeColor="text1"/>
          <w:sz w:val="24"/>
          <w:szCs w:val="24"/>
          <w:highlight w:val="none"/>
          <w14:textFill>
            <w14:solidFill>
              <w14:schemeClr w14:val="tx1"/>
            </w14:solidFill>
          </w14:textFill>
        </w:rPr>
        <w:t xml:space="preserve">建设工程造价信息》指导价执行；</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苗木价格按照徐州市2026年第1季度园林苗木市场价，</w:t>
      </w:r>
      <w:r>
        <w:rPr>
          <w:rFonts w:hint="eastAsia" w:ascii="宋体" w:hAnsi="宋体" w:eastAsia="宋体" w:cs="宋体"/>
          <w:bCs/>
          <w:color w:val="000000" w:themeColor="text1"/>
          <w:sz w:val="24"/>
          <w:szCs w:val="24"/>
          <w:highlight w:val="none"/>
          <w14:textFill>
            <w14:solidFill>
              <w14:schemeClr w14:val="tx1"/>
            </w14:solidFill>
          </w14:textFill>
        </w:rPr>
        <w:t xml:space="preserve">其他造价信息没有的材料价格参照市场价格执行。</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总价措施费</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安全文明措施费基本费、工程扬尘污染防治增加费及建筑工人实名制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按规定计取，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智慧工地费用、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临时设施费按费率中值计取，其他总价措施费不计。</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5、规费（</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执行苏建价〔2016〕154号文件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环境保护税：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不计</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（2）社保费及住房公积金按规定计取</w:t>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 税金：</w:t>
      </w:r>
      <w:bookmarkStart w:id="0" w:name="OLE_LINK2"/>
      <w:r>
        <w:rPr>
          <w:rFonts w:hint="eastAsia" w:ascii="宋体" w:hAnsi="宋体" w:eastAsia="宋体" w:cs="宋体"/>
          <w:bCs/>
          <w:color w:val="000000" w:themeColor="text1"/>
          <w:sz w:val="24"/>
          <w:szCs w:val="24"/>
          <w:highlight w:val="none"/>
          <w14:textFill>
            <w14:solidFill>
              <w14:schemeClr w14:val="tx1"/>
            </w14:solidFill>
          </w14:textFill>
        </w:rPr>
        <w:t xml:space="preserve">按（分部分项工程费+措施项目费+其他项目费+规费-（除税甲供材料费+除税甲供设备费）/1.01）*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%计取。</w:t>
      </w:r>
      <w:bookmarkEnd w:id="0"/>
      <w:r/>
      <w:r/>
    </w:p>
    <w:p>
      <w:pPr>
        <w:pStyle w:val="877"/>
        <w:ind w:firstLine="482"/>
        <w:jc w:val="both"/>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本编制说明未提及部分按常规考虑。</w:t>
      </w:r>
      <w:r/>
    </w:p>
    <w:p>
      <w:pPr>
        <w:pStyle w:val="877"/>
        <w:ind w:firstLine="482"/>
        <w:jc w:val="both"/>
        <w:keepLines w:val="0"/>
        <w:keepNext w:val="0"/>
        <w:pageBreakBefore w:val="0"/>
        <w:spacing w:line="360" w:lineRule="auto"/>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（五）低于成本报价</w:t>
      </w:r>
      <w:r/>
    </w:p>
    <w:p>
      <w:pPr>
        <w:pStyle w:val="879"/>
        <w:ind w:firstLine="48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磋商小组启动异常低价投标（响应）审查的情形和具体要求，包括：</w:t>
      </w:r>
      <w:r/>
    </w:p>
    <w:p>
      <w:pPr>
        <w:pStyle w:val="879"/>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（1）评审过程中出现下列情形之一的，磋商小组应当启动异常低价投标（响应）审查程序：</w:t>
      </w:r>
      <w:r/>
    </w:p>
    <w:p>
      <w:pPr>
        <w:pStyle w:val="879"/>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①投标（响应）报价低于全部通过符合性审查供应商投标（响应）报价平均值 50%的，即投标（响应）报价〈全部通过符合性审查供应商投标（响应）报价平均值×50%；</w:t>
      </w:r>
      <w:r/>
    </w:p>
    <w:p>
      <w:pPr>
        <w:pStyle w:val="879"/>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②投标（响应）报价低于通过符合性审查的次低报价供应商投标（响应）报价 50%的，即投标（响应）报价〈通过符合性审查的次低报价供应商投标（响应）报价×50%；</w:t>
      </w:r>
      <w:r/>
    </w:p>
    <w:p>
      <w:pPr>
        <w:pStyle w:val="879"/>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③投标（响应）报价低于采购项目最高限价45%的，即投标（响应）报价〈采购项目最高限价×45%；</w:t>
      </w:r>
      <w:r/>
    </w:p>
    <w:p>
      <w:pPr>
        <w:pStyle w:val="879"/>
        <w:ind w:firstLine="482"/>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④评审委员会基于专业判断，认为供应商报价过低，有可能影响产品质量或者不能诚信履约的其他情形。</w:t>
      </w:r>
      <w:r/>
    </w:p>
    <w:p>
      <w:pPr>
        <w:pStyle w:val="879"/>
        <w:ind w:firstLine="482"/>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启动异常低价投标（响应）审查后，磋商小组应当通过“苏采云”系统要求相关供应商在合理的时间内，提供项目具体成本测算等与报价合理性相关的书面说明及相关证明材料，包括但不限于原材料成本、人工成本、制造费用等，对投标（响应）价格作出解释，由磋商小</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组依据专业经验，参考同类项目中标（成交）价格、类似产品市场价格水平、行业人工费用标准、国家有关部门指导行业协会发布的行业平均成本等情况，对供应商报价合理性进行判断。供应商说明应当采用通过“苏采云”系统（使用“CA数字证书”，加盖电子签章）形式。供应商不提供书面说明及相关证明材料，或者提供的书面说明、证明材料不能证明其报价合理性的，磋商小组应当将其作为无效投标处理。审查相关情况应当在评标报告中进行记录。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、其他要求：</w:t>
      </w:r>
      <w:r>
        <w:rPr>
          <w:rFonts w:hint="eastAsia" w:ascii="宋体" w:hAnsi="宋体" w:eastAsia="宋体" w:cs="宋体"/>
          <w:b/>
          <w:color w:val="000000" w:themeColor="text1"/>
          <w:sz w:val="24"/>
          <w:szCs w:val="24"/>
          <w:highlight w:val="none"/>
          <w14:textFill>
            <w14:solidFill>
              <w14:schemeClr w14:val="tx1"/>
            </w14:solidFill>
          </w14:textFill>
        </w:rPr>
        <w:t xml:space="preserve">见《磋商文件》附件：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、《合同草案条款》。</w:t>
      </w:r>
      <w:r>
        <w:rPr>
          <w:rStyle w:val="1301"/>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920"/>
        <w:numPr>
          <w:ilvl w:val="0"/>
          <w:numId w:val="0"/>
        </w:numPr>
        <w:ind w:left="0" w:firstLine="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4"/>
          <w:szCs w:val="24"/>
          <w:highlight w:val="none"/>
          <w14:textFill>
            <w14:solidFill>
              <w14:schemeClr w14:val="tx1"/>
            </w14:solidFill>
          </w14:textFill>
        </w:rPr>
        <w:t xml:space="preserve">磋商</w:t>
      </w:r>
      <w:r>
        <w:rPr>
          <w:rFonts w:hint="eastAsia" w:ascii="宋体" w:hAnsi="宋体" w:eastAsia="宋体" w:cs="宋体"/>
          <w:b/>
          <w:bCs/>
          <w:color w:val="000000" w:themeColor="text1"/>
          <w:sz w:val="24"/>
          <w:szCs w:val="24"/>
          <w:highlight w:val="none"/>
          <w14:textFill>
            <w14:solidFill>
              <w14:schemeClr w14:val="tx1"/>
            </w14:solidFill>
          </w14:textFill>
        </w:rPr>
        <w:t xml:space="preserve">报价表</w:t>
      </w:r>
      <w:r/>
    </w:p>
    <w:p>
      <w:pPr>
        <w:pStyle w:val="925"/>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（本次为首次报价）                              </w:t>
      </w:r>
      <w:r/>
    </w:p>
    <w:p>
      <w:pPr>
        <w:pStyle w:val="87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项目编号：</w:t>
      </w:r>
      <w:r>
        <w:rPr>
          <w:rStyle w:val="1301"/>
          <w:rFonts w:hint="eastAsia" w:ascii="宋体" w:hAnsi="宋体" w:cs="宋体"/>
          <w:color w:val="000000" w:themeColor="text1"/>
          <w:sz w:val="24"/>
          <w:szCs w:val="24"/>
          <w:highlight w:val="none"/>
          <w14:textFill>
            <w14:solidFill>
              <w14:schemeClr w14:val="tx1"/>
            </w14:solidFill>
          </w14:textFill>
        </w:rPr>
        <w:t xml:space="preserve">JSZC-320324-JSDF-C2026-0004</w:t>
      </w:r>
      <w:r>
        <w:rPr>
          <w:rStyle w:val="1301"/>
          <w:rFonts w:hint="eastAsia" w:ascii="宋体" w:hAnsi="宋体" w:eastAsia="宋体" w:cs="宋体"/>
          <w:color w:val="000000" w:themeColor="text1"/>
          <w:sz w:val="24"/>
          <w:szCs w:val="24"/>
          <w:highlight w:val="none"/>
          <w14:textFill>
            <w14:solidFill>
              <w14:schemeClr w14:val="tx1"/>
            </w14:solidFill>
          </w14:textFill>
        </w:rPr>
        <w:t xml:space="preserve">                    货币单位：人民币元</w:t>
      </w:r>
      <w:r/>
    </w:p>
    <w:tbl>
      <w:tblPr>
        <w:tblStyle w:val="868"/>
        <w:tblpPr w:horzAnchor="page" w:tblpX="1170" w:vertAnchor="text" w:tblpY="476" w:leftFromText="180" w:topFromText="0" w:rightFromText="180" w:bottomFromText="0"/>
        <w:tblW w:w="9437" w:type="dxa"/>
        <w:tblInd w:w="0" w:type="dxa"/>
        <w:tblLayout w:type="fixed"/>
        <w:tblCellMar>
          <w:left w:w="108" w:type="dxa"/>
          <w:top w:w="0" w:type="dxa"/>
          <w:right w:w="108" w:type="dxa"/>
          <w:bottom w:w="0" w:type="dxa"/>
        </w:tblCellMar>
        <w:tblLook w:val="04A0" w:firstRow="1" w:lastRow="0" w:firstColumn="1" w:lastColumn="0" w:noHBand="0" w:noVBand="1"/>
      </w:tblPr>
      <w:tblGrid>
        <w:gridCol w:w="1832"/>
        <w:gridCol w:w="1543"/>
        <w:gridCol w:w="1448"/>
        <w:gridCol w:w="1471"/>
        <w:gridCol w:w="1501"/>
        <w:gridCol w:w="1642"/>
      </w:tblGrid>
      <w:tr>
        <w:trPr>
          <w:trHeight w:val="1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8" w:type="dxa"/>
            <w:vAlign w:val="center"/>
            <w:textDirection w:val="lrTb"/>
            <w:noWrap w:val="false"/>
          </w:tcPr>
          <w:p>
            <w:pPr>
              <w:ind w:left="440" w:hanging="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p>
            <w:pPr>
              <w:ind w:left="440" w:hanging="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工期</w:t>
            </w:r>
            <w:r/>
          </w:p>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质量标准</w:t>
            </w:r>
            <w:r/>
          </w:p>
        </w:tc>
        <w:tc>
          <w:tcPr>
            <w:tcBorders>
              <w:top w:val="single" w:color="000000" w:sz="4" w:space="0"/>
              <w:left w:val="single" w:color="000000" w:sz="4" w:space="0"/>
              <w:bottom w:val="single" w:color="000000" w:sz="4" w:space="0"/>
              <w:right w:val="single" w:color="000000" w:sz="4" w:space="0"/>
            </w:tcBorders>
            <w:tcW w:w="164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rHeight w:val="162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王林社区全民健身及绿化提升工程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4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4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2"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报价为《分项价格表（已标价的工程量清单）》的总价。</w:t>
            </w:r>
            <w:r/>
          </w:p>
        </w:tc>
      </w:tr>
      <w:tr>
        <w:trPr>
          <w:trHeight w:val="198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总价（大写）：</w:t>
            </w:r>
            <w:r/>
          </w:p>
        </w:tc>
        <w:tc>
          <w:tcPr>
            <w:gridSpan w:val="4"/>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42" w:type="dxa"/>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0"/>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供应商承诺：  1、本报价（总价）为供应商本企业提供的服务。</w:t>
      </w:r>
      <w:r/>
    </w:p>
    <w:p>
      <w:pPr>
        <w:pStyle w:val="87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、根据相关标准、规范进行试验、检测并承担所有费用。</w:t>
      </w:r>
      <w:r/>
    </w:p>
    <w:p>
      <w:pPr>
        <w:pStyle w:val="87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报价说明：</w:t>
      </w:r>
      <w:r/>
    </w:p>
    <w:p>
      <w:pPr>
        <w:pStyle w:val="870"/>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1、报价包括完成项目的所有费用。采购人不再支付报价以外的任何费用。</w:t>
      </w:r>
      <w:r/>
    </w:p>
    <w:p>
      <w:pPr>
        <w:pStyle w:val="870"/>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2、报价以总价为准，大小写不一致以大写为准；</w:t>
      </w:r>
      <w:r/>
    </w:p>
    <w:p>
      <w:pPr>
        <w:pStyle w:val="870"/>
        <w:ind w:firstLine="480"/>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3、偏离说明：详见《偏离表》；</w:t>
      </w:r>
      <w:r/>
    </w:p>
    <w:p>
      <w:pPr>
        <w:pStyle w:val="870"/>
        <w:ind w:firstLine="482"/>
        <w:jc w:val="left"/>
        <w:keepLines w:val="0"/>
        <w:keepNext w:val="0"/>
        <w:pageBreakBefore w:val="0"/>
        <w:spacing w:line="360" w:lineRule="auto"/>
        <w:widowControl w:val="off"/>
        <w:rPr>
          <w:rStyle w:val="1301"/>
          <w:rFonts w:hint="eastAsia" w:ascii="宋体" w:hAnsi="宋体" w:eastAsia="宋体" w:cs="宋体"/>
          <w:color w:val="000000" w:themeColor="text1"/>
          <w:sz w:val="24"/>
          <w:szCs w:val="24"/>
          <w:highlight w:val="none"/>
          <w14:textFill>
            <w14:solidFill>
              <w14:schemeClr w14:val="tx1"/>
            </w14:solidFill>
          </w14:textFill>
        </w:rPr>
      </w:pPr>
      <w:r>
        <w:rPr>
          <w:rStyle w:val="1301"/>
          <w:rFonts w:hint="eastAsia" w:ascii="宋体" w:hAnsi="宋体" w:eastAsia="宋体" w:cs="宋体"/>
          <w:color w:val="000000" w:themeColor="text1"/>
          <w:sz w:val="24"/>
          <w:szCs w:val="24"/>
          <w:highlight w:val="none"/>
          <w14:textFill>
            <w14:solidFill>
              <w14:schemeClr w14:val="tx1"/>
            </w14:solidFill>
          </w14:textFill>
        </w:rPr>
        <w:t xml:space="preserve">4、如最后报价未列明单价，则最后所报各项单价计算方法为：（最后总价/最初总价）* 各项最初报价的单价。</w:t>
      </w:r>
      <w:r/>
    </w:p>
    <w:p>
      <w:pPr>
        <w:ind w:right="29" w:firstLine="396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 </w:t>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87"/>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分项价格表</w:t>
      </w:r>
      <w:r/>
    </w:p>
    <w:p>
      <w:pPr>
        <w:pStyle w:val="924"/>
        <w:jc w:val="center"/>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（已标价的工程量清单）</w:t>
      </w:r>
      <w:r/>
    </w:p>
    <w:p>
      <w:pPr>
        <w:pStyle w:val="924"/>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 w:name="_Hlk105167482"/>
      <w:r/>
      <w:r/>
    </w:p>
    <w:p>
      <w:pPr>
        <w:pStyle w:val="924"/>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（本次为首次报价）</w:t>
      </w:r>
      <w:bookmarkEnd w:id="1"/>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王林社区全民健身及绿化提升工程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9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JSZC-320324-JSDF-C2026-0004</w:t>
      </w:r>
      <w:r>
        <w:rPr>
          <w:rFonts w:hint="eastAsia" w:ascii="宋体" w:hAnsi="宋体" w:eastAsia="宋体" w:cs="宋体"/>
          <w:color w:val="000000" w:themeColor="text1"/>
          <w:sz w:val="24"/>
          <w:szCs w:val="24"/>
          <w:highlight w:val="none"/>
          <w14:textFill>
            <w14:solidFill>
              <w14:schemeClr w14:val="tx1"/>
            </w14:solidFill>
          </w14:textFill>
        </w:rPr>
        <w:t xml:space="preserve">                 货币单位：人民币元</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12"/>
        <w:ind w:left="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根据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工程量清单</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进行编制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pStyle w:val="920"/>
        <w:ind w:firstLine="48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 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w:t>
      </w:r>
      <w:r>
        <w:rPr>
          <w:rFonts w:hint="eastAsia" w:ascii="宋体" w:hAnsi="宋体" w:eastAsia="宋体" w:cs="宋体"/>
          <w:b/>
          <w:color w:val="000000" w:themeColor="text1"/>
          <w:sz w:val="24"/>
          <w:szCs w:val="24"/>
          <w:highlight w:val="none"/>
          <w14:textFill>
            <w14:solidFill>
              <w14:schemeClr w14:val="tx1"/>
            </w14:solidFill>
          </w14:textFill>
        </w:rPr>
        <w:t xml:space="preserve">如果不提供《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分项价格表</w:t>
      </w:r>
      <w:r>
        <w:rPr>
          <w:rFonts w:hint="eastAsia" w:ascii="宋体" w:hAnsi="宋体" w:eastAsia="宋体" w:cs="宋体"/>
          <w:b/>
          <w:color w:val="000000" w:themeColor="text1"/>
          <w:sz w:val="24"/>
          <w:szCs w:val="24"/>
          <w:highlight w:val="none"/>
          <w14:textFill>
            <w14:solidFill>
              <w14:schemeClr w14:val="tx1"/>
            </w14:solidFill>
          </w14:textFill>
        </w:rPr>
        <w:t xml:space="preserve">》将视为没有实质性响应</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磋商文件</w:t>
      </w: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pStyle w:val="920"/>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2.供应商对以上数据的真实性负责。</w:t>
      </w:r>
      <w:r/>
    </w:p>
    <w:p>
      <w:pPr>
        <w:pStyle w:val="920"/>
        <w:ind w:firstLine="96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3.报价应包括项目涉及的一切税、费等。</w:t>
      </w:r>
      <w:r/>
    </w:p>
    <w:p>
      <w:pPr>
        <w:pStyle w:val="920"/>
        <w:ind w:firstLine="106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lang w:eastAsia="zh-CN"/>
          <w14:textFill>
            <w14:solidFill>
              <w14:schemeClr w14:val="tx1"/>
            </w14:solidFill>
          </w14:textFill>
        </w:rPr>
        <w:t xml:space="preserve">采购人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或采购代理机构有权将以上内容进行公示。</w:t>
      </w:r>
      <w:r/>
    </w:p>
    <w:p>
      <w:pPr>
        <w:pStyle w:val="92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ectPr>
          <w:footerReference w:type="default" r:id="rId11"/>
          <w:footnotePr/>
          <w:endnotePr/>
          <w:type w:val="nextPage"/>
          <w:pgSz w:w="11906" w:h="16838" w:orient="portrait"/>
          <w:pgMar w:top="1440" w:right="913" w:bottom="1440" w:left="913"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、偏离表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王林社区全民健身及绿化提升工程</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JSZC-320324-JSDF-C2026-0004</w:t>
      </w:r>
      <w:r/>
    </w:p>
    <w:tbl>
      <w:tblPr>
        <w:tblStyle w:val="868"/>
        <w:tblW w:w="9214" w:type="dxa"/>
        <w:jc w:val="center"/>
        <w:tblLayout w:type="fixed"/>
        <w:tblCellMar>
          <w:left w:w="108" w:type="dxa"/>
          <w:top w:w="0" w:type="dxa"/>
          <w:right w:w="108" w:type="dxa"/>
          <w:bottom w:w="0" w:type="dxa"/>
        </w:tblCellMar>
        <w:tblLook w:val="04A0" w:firstRow="1" w:lastRow="0" w:firstColumn="1" w:lastColumn="0" w:noHBand="0" w:noVBand="1"/>
      </w:tblPr>
      <w:tblGrid>
        <w:gridCol w:w="847"/>
        <w:gridCol w:w="847"/>
        <w:gridCol w:w="3685"/>
        <w:gridCol w:w="1417"/>
        <w:gridCol w:w="1560"/>
        <w:gridCol w:w="858"/>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aps/>
                <w:color w:val="000000" w:themeColor="text1"/>
                <w:sz w:val="24"/>
                <w:szCs w:val="24"/>
                <w:highlight w:val="none"/>
                <w14:textFill>
                  <w14:solidFill>
                    <w14:schemeClr w14:val="tx1"/>
                  </w14:solidFill>
                </w14:textFill>
              </w:rPr>
            </w:pPr>
            <w:r>
              <w:rPr>
                <w:rFonts w:hint="eastAsia" w:ascii="宋体" w:hAnsi="宋体" w:eastAsia="宋体" w:cs="宋体"/>
                <w:caps/>
                <w:color w:val="000000" w:themeColor="text1"/>
                <w:sz w:val="24"/>
                <w:szCs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368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5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85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 </w:t>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3950" w:right="29"/>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6、拟签订的合同文本</w:t>
      </w: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de-DE"/>
          <w14:textFill>
            <w14:solidFill>
              <w14:schemeClr w14:val="tx1"/>
            </w14:solidFill>
          </w14:textFill>
        </w:rPr>
        <w:t xml:space="preserve">（合同草案条款）</w:t>
      </w:r>
      <w:r/>
    </w:p>
    <w:p>
      <w:pPr>
        <w:ind w:firstLine="48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（以采购人与成交供应商最终签订版本为准）</w:t>
      </w:r>
      <w:r/>
    </w:p>
    <w:p>
      <w:pPr>
        <w:pStyle w:val="926"/>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政</w:t>
      </w: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府</w:t>
      </w: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采</w:t>
      </w: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购</w:t>
      </w:r>
      <w:r/>
    </w:p>
    <w:p>
      <w:pPr>
        <w:jc w:val="center"/>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合</w:t>
      </w:r>
      <w:r/>
    </w:p>
    <w:p>
      <w:pPr>
        <w:jc w:val="center"/>
        <w:keepLines w:val="0"/>
        <w:keepNext w:val="0"/>
        <w:pageBreakBefore w:val="0"/>
        <w:spacing w:line="360" w:lineRule="auto"/>
        <w:widowControl w:val="off"/>
        <w:rPr>
          <w:rFonts w:hint="eastAsia" w:ascii="宋体" w:hAnsi="宋体" w:eastAsia="宋体" w:cs="宋体"/>
          <w:color w:val="000000" w:themeColor="text1"/>
          <w:sz w:val="40"/>
          <w:szCs w:val="40"/>
          <w:highlight w:val="none"/>
          <w14:textFill>
            <w14:solidFill>
              <w14:schemeClr w14:val="tx1"/>
            </w14:solidFill>
          </w14:textFill>
        </w:rPr>
      </w:pPr>
      <w:r>
        <w:rPr>
          <w:rFonts w:hint="eastAsia" w:ascii="宋体" w:hAnsi="宋体" w:eastAsia="宋体" w:cs="宋体"/>
          <w:b/>
          <w:bCs/>
          <w:color w:val="000000" w:themeColor="text1"/>
          <w:sz w:val="40"/>
          <w:szCs w:val="40"/>
          <w:highlight w:val="none"/>
          <w14:textFill>
            <w14:solidFill>
              <w14:schemeClr w14:val="tx1"/>
            </w14:solidFill>
          </w14:textFill>
        </w:rPr>
        <w:t xml:space="preserve">同</w:t>
      </w:r>
      <w:r/>
    </w:p>
    <w:p>
      <w:pPr>
        <w:pStyle w:val="87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4"/>
        <w:ind w:left="800"/>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王林社区全民健身及绿化提升工程</w:t>
      </w:r>
      <w:r/>
    </w:p>
    <w:p>
      <w:pPr>
        <w:pStyle w:val="924"/>
        <w:ind w:left="800"/>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cs="宋体"/>
          <w:bCs/>
          <w:color w:val="000000" w:themeColor="text1"/>
          <w:sz w:val="24"/>
          <w:szCs w:val="24"/>
          <w:highlight w:val="none"/>
          <w:lang w:eastAsia="zh-CN"/>
          <w14:textFill>
            <w14:solidFill>
              <w14:schemeClr w14:val="tx1"/>
            </w14:solidFill>
          </w14:textFill>
        </w:rPr>
        <w:t xml:space="preserve">JSZC-320324-JSDF-C2026-0004</w:t>
      </w:r>
      <w:r/>
    </w:p>
    <w:p>
      <w:pPr>
        <w:pStyle w:val="924"/>
        <w:ind w:left="800"/>
        <w:jc w:val="left"/>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采购单位</w:t>
      </w:r>
      <w:r>
        <w:rPr>
          <w:rFonts w:hint="eastAsia" w:ascii="宋体" w:hAnsi="宋体" w:eastAsia="宋体" w:cs="宋体"/>
          <w:bCs/>
          <w:color w:val="000000" w:themeColor="text1"/>
          <w:sz w:val="24"/>
          <w:szCs w:val="24"/>
          <w:highlight w:val="none"/>
          <w14:textFill>
            <w14:solidFill>
              <w14:schemeClr w14:val="tx1"/>
            </w14:solidFill>
          </w14:textFill>
        </w:rPr>
        <w:t xml:space="preserve">（全称）：</w:t>
      </w:r>
      <w:r>
        <w:rPr>
          <w:rFonts w:hint="eastAsia" w:ascii="宋体" w:hAnsi="宋体" w:cs="宋体"/>
          <w:bCs/>
          <w:color w:val="000000" w:themeColor="text1"/>
          <w:sz w:val="24"/>
          <w:szCs w:val="24"/>
          <w:highlight w:val="none"/>
          <w:u w:val="none"/>
          <w:lang w:eastAsia="zh-CN"/>
          <w14:textFill>
            <w14:solidFill>
              <w14:schemeClr w14:val="tx1"/>
            </w14:solidFill>
          </w14:textFill>
        </w:rPr>
        <w:t xml:space="preserve">睢宁县邱集镇人民政府</w:t>
      </w:r>
      <w:r>
        <w:rPr>
          <w:rFonts w:hint="eastAsia" w:ascii="宋体" w:hAnsi="宋体" w:eastAsia="宋体" w:cs="宋体"/>
          <w:bCs/>
          <w:color w:val="000000" w:themeColor="text1"/>
          <w:sz w:val="24"/>
          <w:szCs w:val="24"/>
          <w:highlight w:val="none"/>
          <w:u w:val="none"/>
          <w14:textFill>
            <w14:solidFill>
              <w14:schemeClr w14:val="tx1"/>
            </w14:solidFill>
          </w14:textFill>
        </w:rPr>
        <w:t xml:space="preserve"> </w:t>
      </w:r>
      <w:r/>
    </w:p>
    <w:p>
      <w:pPr>
        <w:pStyle w:val="924"/>
        <w:ind w:left="800"/>
        <w:jc w:val="left"/>
        <w:keepLines w:val="0"/>
        <w:keepNext w:val="0"/>
        <w:pageBreakBefore w:val="0"/>
        <w:spacing w:after="0" w:line="360" w:lineRule="auto"/>
        <w:widowControl w:val="off"/>
        <w:rPr>
          <w:rFonts w:hint="eastAsia" w:ascii="宋体" w:hAnsi="宋体" w:eastAsia="宋体" w:cs="宋体"/>
          <w:b/>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（全称）：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p>
    <w:p>
      <w:pPr>
        <w:pStyle w:val="924"/>
        <w:ind w:left="600" w:firstLine="2640"/>
        <w:jc w:val="left"/>
        <w:keepLines w:val="0"/>
        <w:keepNext w:val="0"/>
        <w:pageBreakBefore w:val="0"/>
        <w:spacing w:after="0"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签订日期：   年   月   日</w:t>
      </w:r>
      <w:r/>
    </w:p>
    <w:p>
      <w:pPr>
        <w:pStyle w:val="870"/>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日内，按照采购文件确定的事项签订政府采购合同。</w:t>
      </w:r>
      <w:r/>
    </w:p>
    <w:p>
      <w:pPr>
        <w:pStyle w:val="870"/>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pStyle w:val="871"/>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87"/>
        <w:numPr>
          <w:ilvl w:val="0"/>
          <w:numId w:val="0"/>
        </w:numPr>
        <w:ind w:left="3402"/>
        <w:jc w:val="both"/>
        <w:keepLines w:val="0"/>
        <w:keepNext w:val="0"/>
        <w:pageBreakBefore w:val="0"/>
        <w:spacing w:before="260" w:after="26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2" w:name="_Toc498006744"/>
      <w:r/>
      <w:bookmarkEnd w:id="2"/>
      <w:r/>
      <w:bookmarkStart w:id="3" w:name="_Toc509499434"/>
      <w:r/>
      <w:bookmarkStart w:id="4" w:name="_Toc2143857470"/>
      <w:r/>
      <w:bookmarkStart w:id="5" w:name="_Toc2128344692"/>
      <w:r/>
      <w:r/>
    </w:p>
    <w:p>
      <w:pPr>
        <w:pStyle w:val="1087"/>
        <w:numPr>
          <w:ilvl w:val="0"/>
          <w:numId w:val="0"/>
        </w:numPr>
        <w:ind w:left="3402"/>
        <w:jc w:val="both"/>
        <w:keepLines/>
        <w:keepNext w:val="0"/>
        <w:pageBreakBefore w:val="0"/>
        <w:spacing w:before="260" w:after="26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第一部分 合同协议书</w:t>
      </w:r>
      <w:bookmarkEnd w:id="3"/>
      <w:r/>
      <w:bookmarkEnd w:id="4"/>
      <w:r/>
      <w:bookmarkEnd w:id="5"/>
      <w:r/>
      <w:r/>
    </w:p>
    <w:p>
      <w:pPr>
        <w:pStyle w:val="872"/>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发包人（全称）：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睢宁县邱集镇人民政府</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承包人（全称）：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根据《中华人民共和国民法典》《中华人民共和国建筑法》《中华人民共和国政府采购法》及有关法律规定，遵循平等、自愿、公平和诚实信用的原则，双方就</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工程施工及有关事项协商一致，共同达成如下协议：</w:t>
      </w:r>
      <w:r/>
    </w:p>
    <w:p>
      <w:pPr>
        <w:pStyle w:val="878"/>
        <w:numPr>
          <w:ilvl w:val="0"/>
          <w:numId w:val="0"/>
        </w:numPr>
        <w:ind w:left="704" w:hanging="420"/>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6" w:name="_Toc1433341455"/>
      <w:r/>
      <w:bookmarkStart w:id="7" w:name="_Toc445784615"/>
      <w:r>
        <w:rPr>
          <w:rFonts w:hint="eastAsia" w:ascii="宋体" w:hAnsi="宋体" w:eastAsia="宋体" w:cs="宋体"/>
          <w:b w:val="0"/>
          <w:color w:val="000000" w:themeColor="text1"/>
          <w:sz w:val="24"/>
          <w:szCs w:val="24"/>
          <w:highlight w:val="none"/>
          <w14:textFill>
            <w14:solidFill>
              <w14:schemeClr w14:val="tx1"/>
            </w14:solidFill>
          </w14:textFill>
        </w:rPr>
        <w:t xml:space="preserve">一、工程概况</w:t>
      </w:r>
      <w:bookmarkEnd w:id="6"/>
      <w:r/>
      <w:bookmarkEnd w:id="7"/>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1.工程名称：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2.工程地点：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3.工程立项批准文号：</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4.资金来源：</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5.工程规模：</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群体工程应附《承包人承揽工程项目一览表》（附件1）。</w:t>
      </w:r>
      <w:r/>
    </w:p>
    <w:p>
      <w:pPr>
        <w:pStyle w:val="872"/>
        <w:ind w:firstLine="47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6.工程承包范围：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工程量清单及施工图内容</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8" w:name="_Toc1515347488"/>
      <w:r/>
      <w:bookmarkStart w:id="9" w:name="_Toc712002224"/>
      <w:r>
        <w:rPr>
          <w:rFonts w:hint="eastAsia" w:ascii="宋体" w:hAnsi="宋体" w:eastAsia="宋体" w:cs="宋体"/>
          <w:b w:val="0"/>
          <w:color w:val="000000" w:themeColor="text1"/>
          <w:sz w:val="24"/>
          <w:szCs w:val="24"/>
          <w:highlight w:val="none"/>
          <w14:textFill>
            <w14:solidFill>
              <w14:schemeClr w14:val="tx1"/>
            </w14:solidFill>
          </w14:textFill>
        </w:rPr>
        <w:t xml:space="preserve">二、合同工期</w:t>
      </w:r>
      <w:bookmarkEnd w:id="8"/>
      <w:r/>
      <w:bookmarkEnd w:id="9"/>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计划开工日期：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日。（具体开工日期以建设单位签发的开工令为准）</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计划竣工日期：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工期总日历天数：</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30</w:t>
      </w:r>
      <w:r>
        <w:rPr>
          <w:rFonts w:hint="eastAsia" w:ascii="宋体" w:hAnsi="宋体" w:eastAsia="宋体" w:cs="宋体"/>
          <w:bCs/>
          <w:color w:val="000000" w:themeColor="text1"/>
          <w:sz w:val="24"/>
          <w:szCs w:val="24"/>
          <w:highlight w:val="none"/>
          <w14:textFill>
            <w14:solidFill>
              <w14:schemeClr w14:val="tx1"/>
            </w14:solidFill>
          </w14:textFill>
        </w:rPr>
        <w:t xml:space="preserve">天，阶段性工期：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工期总日历天数与根据前述计划开竣工日期计算的工期天数不一致的，以工期总日历天数为准。</w:t>
      </w:r>
      <w:r/>
    </w:p>
    <w:p>
      <w:pPr>
        <w:pStyle w:val="878"/>
        <w:numPr>
          <w:ilvl w:val="0"/>
          <w:numId w:val="0"/>
        </w:numPr>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10" w:name="_Toc385210886"/>
      <w:r/>
      <w:bookmarkStart w:id="11" w:name="_Toc1520902222"/>
      <w:r>
        <w:rPr>
          <w:rFonts w:hint="eastAsia" w:ascii="宋体" w:hAnsi="宋体" w:eastAsia="宋体" w:cs="宋体"/>
          <w:b w:val="0"/>
          <w:color w:val="000000" w:themeColor="text1"/>
          <w:sz w:val="24"/>
          <w:szCs w:val="24"/>
          <w:highlight w:val="none"/>
          <w14:textFill>
            <w14:solidFill>
              <w14:schemeClr w14:val="tx1"/>
            </w14:solidFill>
          </w14:textFill>
        </w:rPr>
        <w:t xml:space="preserve">三、质量标准</w:t>
      </w:r>
      <w:bookmarkEnd w:id="10"/>
      <w:r/>
      <w:bookmarkEnd w:id="11"/>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工程质量符合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合格   </w:t>
      </w:r>
      <w:r>
        <w:rPr>
          <w:rFonts w:hint="eastAsia" w:ascii="宋体" w:hAnsi="宋体" w:eastAsia="宋体" w:cs="宋体"/>
          <w:bCs/>
          <w:color w:val="000000" w:themeColor="text1"/>
          <w:sz w:val="24"/>
          <w:szCs w:val="24"/>
          <w:highlight w:val="none"/>
          <w14:textFill>
            <w14:solidFill>
              <w14:schemeClr w14:val="tx1"/>
            </w14:solidFill>
          </w14:textFill>
        </w:rPr>
        <w:t xml:space="preserve">标准；</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园林绿化养护质量符合《园林绿化养护标准》（CJJ/T287）或（地方标准）中级标准。</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12" w:name="_Toc1032760150"/>
      <w:r/>
      <w:bookmarkStart w:id="13" w:name="_Toc204832942"/>
      <w:r>
        <w:rPr>
          <w:rFonts w:hint="eastAsia" w:ascii="宋体" w:hAnsi="宋体" w:eastAsia="宋体" w:cs="宋体"/>
          <w:b w:val="0"/>
          <w:color w:val="000000" w:themeColor="text1"/>
          <w:sz w:val="24"/>
          <w:szCs w:val="24"/>
          <w:highlight w:val="none"/>
          <w14:textFill>
            <w14:solidFill>
              <w14:schemeClr w14:val="tx1"/>
            </w14:solidFill>
          </w14:textFill>
        </w:rPr>
        <w:t xml:space="preserve">四、签约合同价与合同价格形式</w:t>
      </w:r>
      <w:bookmarkEnd w:id="12"/>
      <w:r/>
      <w:bookmarkEnd w:id="13"/>
      <w:r>
        <w:rPr>
          <w:rFonts w:hint="eastAsia" w:ascii="宋体" w:hAnsi="宋体" w:eastAsia="宋体" w:cs="宋体"/>
          <w:b w:val="0"/>
          <w:color w:val="000000" w:themeColor="text1"/>
          <w:sz w:val="24"/>
          <w:szCs w:val="24"/>
          <w:highlight w:val="none"/>
          <w14:textFill>
            <w14:solidFill>
              <w14:schemeClr w14:val="tx1"/>
            </w14:solidFill>
          </w14:textFill>
        </w:rPr>
        <w:tab/>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1.签约合同价（不含税）为：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14:textFill>
            <w14:solidFill>
              <w14:schemeClr w14:val="tx1"/>
            </w14:solidFill>
          </w14:textFill>
        </w:rPr>
        <w:t xml:space="preserve">元)；税率：</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left="149" w:firstLine="36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含税金额：人民币（大写）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元</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其中：</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（1）安全文明施工费（含税）：￥：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（2）暂估价金额（含税）：￥：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（3）暂列金额（含税）：￥：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（4）农民工工伤保险（含税）：/</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人民币（大写）(/元)。</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2.合同价格形式：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固定单价</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bookmarkStart w:id="14" w:name="_Toc578358000"/>
      <w:r/>
      <w:bookmarkStart w:id="15" w:name="_Toc1266145827"/>
      <w:r>
        <w:rPr>
          <w:rFonts w:hint="eastAsia" w:ascii="宋体" w:hAnsi="宋体" w:eastAsia="宋体" w:cs="宋体"/>
          <w:bCs/>
          <w:color w:val="000000" w:themeColor="text1"/>
          <w:sz w:val="24"/>
          <w:szCs w:val="24"/>
          <w:highlight w:val="none"/>
          <w14:textFill>
            <w14:solidFill>
              <w14:schemeClr w14:val="tx1"/>
            </w14:solidFill>
          </w14:textFill>
        </w:rPr>
        <w:t xml:space="preserve">五、承包人项目负责人</w:t>
      </w:r>
      <w:bookmarkEnd w:id="14"/>
      <w:r/>
      <w:bookmarkEnd w:id="15"/>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6" w:name="_Toc565350378"/>
      <w:r/>
      <w:bookmarkStart w:id="17" w:name="_Toc1315372893"/>
      <w:r>
        <w:rPr>
          <w:rFonts w:hint="eastAsia" w:ascii="宋体" w:hAnsi="宋体" w:eastAsia="宋体" w:cs="宋体"/>
          <w:bCs/>
          <w:color w:val="000000" w:themeColor="text1"/>
          <w:sz w:val="24"/>
          <w:szCs w:val="24"/>
          <w:highlight w:val="none"/>
          <w14:textFill>
            <w14:solidFill>
              <w14:schemeClr w14:val="tx1"/>
            </w14:solidFill>
          </w14:textFill>
        </w:rPr>
        <w:t xml:space="preserve">姓名：     ；身份证号：     。</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rPr>
          <w:rFonts w:hint="eastAsia" w:ascii="宋体" w:hAnsi="宋体" w:eastAsia="宋体" w:cs="宋体"/>
          <w:bCs/>
          <w:color w:val="000000" w:themeColor="text1"/>
          <w:sz w:val="24"/>
          <w:szCs w:val="24"/>
          <w:highlight w:val="none"/>
          <w14:textFill>
            <w14:solidFill>
              <w14:schemeClr w14:val="tx1"/>
            </w14:solidFill>
          </w14:textFill>
        </w:rPr>
        <w:t xml:space="preserve">六、预付款</w:t>
      </w:r>
      <w:bookmarkEnd w:id="16"/>
      <w:r/>
      <w:bookmarkEnd w:id="17"/>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预付款：发包人在合同签订后，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14:textFill>
            <w14:solidFill>
              <w14:schemeClr w14:val="tx1"/>
            </w14:solidFill>
          </w14:textFill>
        </w:rPr>
        <w:t xml:space="preserve">个工作日内支付合同价的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%作为工程预付款。</w:t>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bookmarkStart w:id="18" w:name="_Toc1430992058"/>
      <w:r/>
      <w:bookmarkStart w:id="19" w:name="_Toc1555190768"/>
      <w:r>
        <w:rPr>
          <w:rFonts w:hint="eastAsia" w:ascii="宋体" w:hAnsi="宋体" w:eastAsia="宋体" w:cs="宋体"/>
          <w:bCs/>
          <w:color w:val="000000" w:themeColor="text1"/>
          <w:sz w:val="24"/>
          <w:szCs w:val="24"/>
          <w:highlight w:val="none"/>
          <w14:textFill>
            <w14:solidFill>
              <w14:schemeClr w14:val="tx1"/>
            </w14:solidFill>
          </w14:textFill>
        </w:rPr>
        <w:t xml:space="preserve">七、绿化种植及养护要求</w:t>
      </w:r>
      <w:bookmarkEnd w:id="18"/>
      <w:r/>
      <w:bookmarkEnd w:id="19"/>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1.在施工过程及绿化养护期内植物死亡，须按原设计品种和规格更换，更换费用由承包人承担。</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2.竣工验收时苗木成活率约定：100%。</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3.养护期满移交时苗木成活率约定：100%。</w:t>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outlineLvl w:val="1"/>
      </w:pPr>
      <w:r/>
      <w:bookmarkStart w:id="20" w:name="_Toc367134989"/>
      <w:r/>
      <w:bookmarkStart w:id="21" w:name="_Toc1430684837"/>
      <w:r>
        <w:rPr>
          <w:rFonts w:hint="eastAsia" w:ascii="宋体" w:hAnsi="宋体" w:eastAsia="宋体" w:cs="宋体"/>
          <w:bCs/>
          <w:color w:val="000000" w:themeColor="text1"/>
          <w:sz w:val="24"/>
          <w:szCs w:val="24"/>
          <w:highlight w:val="none"/>
          <w14:textFill>
            <w14:solidFill>
              <w14:schemeClr w14:val="tx1"/>
            </w14:solidFill>
          </w14:textFill>
        </w:rPr>
        <w:t xml:space="preserve">八、其他要求：</w:t>
      </w:r>
      <w:bookmarkEnd w:id="20"/>
      <w:r/>
      <w:bookmarkEnd w:id="21"/>
      <w:r>
        <w:rPr>
          <w:rFonts w:hint="eastAsia" w:ascii="宋体" w:hAnsi="宋体" w:eastAsia="宋体" w:cs="宋体"/>
          <w:bCs/>
          <w:color w:val="000000" w:themeColor="text1"/>
          <w:sz w:val="24"/>
          <w:szCs w:val="24"/>
          <w:highlight w:val="none"/>
          <w14:textFill>
            <w14:solidFill>
              <w14:schemeClr w14:val="tx1"/>
            </w14:solidFill>
          </w14:textFill>
        </w:rPr>
        <w:t xml:space="preserve">无</w:t>
      </w:r>
      <w:bookmarkStart w:id="22" w:name="_Toc1394911462"/>
      <w:r/>
      <w:bookmarkStart w:id="23" w:name="_Toc1140298820"/>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22"/>
      <w:r/>
      <w:bookmarkEnd w:id="23"/>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bookmarkStart w:id="24" w:name="_Toc1318737122"/>
      <w:r/>
      <w:bookmarkStart w:id="25" w:name="_Toc184090255"/>
      <w:r>
        <w:rPr>
          <w:rFonts w:hint="eastAsia" w:ascii="宋体" w:hAnsi="宋体" w:eastAsia="宋体" w:cs="宋体"/>
          <w:bCs/>
          <w:color w:val="000000" w:themeColor="text1"/>
          <w:sz w:val="24"/>
          <w:szCs w:val="24"/>
          <w:highlight w:val="none"/>
          <w14:textFill>
            <w14:solidFill>
              <w14:schemeClr w14:val="tx1"/>
            </w14:solidFill>
          </w14:textFill>
        </w:rPr>
        <w:t xml:space="preserve">九、合同文件构成</w:t>
      </w:r>
      <w:bookmarkEnd w:id="24"/>
      <w:r/>
      <w:bookmarkEnd w:id="25"/>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本协议书与下列文件一起构成合同文件：</w:t>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（1）中标通知书（如果有）；（2）投标函及其附录（如果有）；（3）专用合同条款及其附件；（4）通用合同条款；（5）技术标准和要求；（6）图纸；（7）已标价工程量清单或预算书；（8）其他合同文件。</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在合同订立及履行过程中形成的与合同有关的文件均构成合同文件组成部分。</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pStyle w:val="872"/>
        <w:ind w:firstLine="480"/>
        <w:jc w:val="left"/>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bookmarkStart w:id="26" w:name="_Toc410640064"/>
      <w:r/>
      <w:bookmarkStart w:id="27" w:name="_Toc1718441829"/>
      <w:r>
        <w:rPr>
          <w:rFonts w:hint="eastAsia" w:ascii="宋体" w:hAnsi="宋体" w:eastAsia="宋体" w:cs="宋体"/>
          <w:bCs/>
          <w:color w:val="000000" w:themeColor="text1"/>
          <w:sz w:val="24"/>
          <w:szCs w:val="24"/>
          <w:highlight w:val="none"/>
          <w14:textFill>
            <w14:solidFill>
              <w14:schemeClr w14:val="tx1"/>
            </w14:solidFill>
          </w14:textFill>
        </w:rPr>
        <w:t xml:space="preserve">十、承诺</w:t>
      </w:r>
      <w:bookmarkEnd w:id="26"/>
      <w:r/>
      <w:bookmarkEnd w:id="27"/>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pStyle w:val="872"/>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outlineLvl w:val="1"/>
      </w:pPr>
      <w:r/>
      <w:bookmarkStart w:id="28" w:name="_Toc1209713496"/>
      <w:r/>
      <w:bookmarkStart w:id="29" w:name="_Toc1094819545"/>
      <w:r>
        <w:rPr>
          <w:rFonts w:hint="eastAsia" w:ascii="宋体" w:hAnsi="宋体" w:eastAsia="宋体" w:cs="宋体"/>
          <w:bCs/>
          <w:color w:val="000000" w:themeColor="text1"/>
          <w:sz w:val="24"/>
          <w:szCs w:val="24"/>
          <w:highlight w:val="none"/>
          <w14:textFill>
            <w14:solidFill>
              <w14:schemeClr w14:val="tx1"/>
            </w14:solidFill>
          </w14:textFill>
        </w:rPr>
        <w:t xml:space="preserve">十一、词语含义</w:t>
      </w:r>
      <w:bookmarkEnd w:id="28"/>
      <w:r/>
      <w:bookmarkEnd w:id="29"/>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本协议书中词语含义与通用合同条款、专用合同条款中赋予的含义相同。</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30" w:name="_Toc1302915076"/>
      <w:r/>
      <w:bookmarkStart w:id="31" w:name="_Toc1843922025"/>
      <w:r>
        <w:rPr>
          <w:rFonts w:hint="eastAsia" w:ascii="宋体" w:hAnsi="宋体" w:eastAsia="宋体" w:cs="宋体"/>
          <w:b w:val="0"/>
          <w:color w:val="000000" w:themeColor="text1"/>
          <w:sz w:val="24"/>
          <w:szCs w:val="24"/>
          <w:highlight w:val="none"/>
          <w14:textFill>
            <w14:solidFill>
              <w14:schemeClr w14:val="tx1"/>
            </w14:solidFill>
          </w14:textFill>
        </w:rPr>
        <w:t xml:space="preserve">十二、签订时间</w:t>
      </w:r>
      <w:bookmarkEnd w:id="30"/>
      <w:r/>
      <w:bookmarkEnd w:id="31"/>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月</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日签订。</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32" w:name="_Toc441671965"/>
      <w:r/>
      <w:bookmarkStart w:id="33" w:name="_Toc251726425"/>
      <w:r>
        <w:rPr>
          <w:rFonts w:hint="eastAsia" w:ascii="宋体" w:hAnsi="宋体" w:eastAsia="宋体" w:cs="宋体"/>
          <w:b w:val="0"/>
          <w:color w:val="000000" w:themeColor="text1"/>
          <w:sz w:val="24"/>
          <w:szCs w:val="24"/>
          <w:highlight w:val="none"/>
          <w14:textFill>
            <w14:solidFill>
              <w14:schemeClr w14:val="tx1"/>
            </w14:solidFill>
          </w14:textFill>
        </w:rPr>
        <w:t xml:space="preserve">十三、签订地点</w:t>
      </w:r>
      <w:bookmarkEnd w:id="32"/>
      <w:r/>
      <w:bookmarkEnd w:id="33"/>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lang w:eastAsia="zh-CN"/>
          <w14:textFill>
            <w14:solidFill>
              <w14:schemeClr w14:val="tx1"/>
            </w14:solidFill>
          </w14:textFill>
        </w:rPr>
        <w:t xml:space="preserve">睢宁县</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签订。</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34" w:name="_Toc1858176615"/>
      <w:r/>
      <w:bookmarkStart w:id="35" w:name="_Toc1799890158"/>
      <w:r>
        <w:rPr>
          <w:rFonts w:hint="eastAsia" w:ascii="宋体" w:hAnsi="宋体" w:eastAsia="宋体" w:cs="宋体"/>
          <w:b w:val="0"/>
          <w:color w:val="000000" w:themeColor="text1"/>
          <w:sz w:val="24"/>
          <w:szCs w:val="24"/>
          <w:highlight w:val="none"/>
          <w14:textFill>
            <w14:solidFill>
              <w14:schemeClr w14:val="tx1"/>
            </w14:solidFill>
          </w14:textFill>
        </w:rPr>
        <w:t xml:space="preserve">十四、补充协议</w:t>
      </w:r>
      <w:bookmarkEnd w:id="34"/>
      <w:r/>
      <w:bookmarkEnd w:id="35"/>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合同未尽事宜，合同当事人另行签订补充协议，补充协议是合同的组成部分。补充协议内容不得实质性背离本合同，约定的款项超过中标价10%以上，需经</w:t>
      </w:r>
      <w:r>
        <w:rPr>
          <w:rFonts w:hint="eastAsia" w:ascii="宋体" w:hAnsi="宋体" w:cs="宋体"/>
          <w:bCs/>
          <w:color w:val="000000" w:themeColor="text1"/>
          <w:sz w:val="24"/>
          <w:szCs w:val="24"/>
          <w:highlight w:val="none"/>
          <w:lang w:eastAsia="zh-CN"/>
          <w14:textFill>
            <w14:solidFill>
              <w14:schemeClr w14:val="tx1"/>
            </w14:solidFill>
          </w14:textFill>
        </w:rPr>
        <w:t xml:space="preserve">睢宁县</w:t>
      </w:r>
      <w:r>
        <w:rPr>
          <w:rFonts w:hint="eastAsia" w:ascii="宋体" w:hAnsi="宋体" w:eastAsia="宋体" w:cs="宋体"/>
          <w:bCs/>
          <w:color w:val="000000" w:themeColor="text1"/>
          <w:sz w:val="24"/>
          <w:szCs w:val="24"/>
          <w:highlight w:val="none"/>
          <w14:textFill>
            <w14:solidFill>
              <w14:schemeClr w14:val="tx1"/>
            </w14:solidFill>
          </w14:textFill>
        </w:rPr>
        <w:t xml:space="preserve">人民政府批准。</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36" w:name="_Toc1600665821"/>
      <w:r/>
      <w:bookmarkStart w:id="37" w:name="_Toc111240637"/>
      <w:r>
        <w:rPr>
          <w:rFonts w:hint="eastAsia" w:ascii="宋体" w:hAnsi="宋体" w:eastAsia="宋体" w:cs="宋体"/>
          <w:b w:val="0"/>
          <w:color w:val="000000" w:themeColor="text1"/>
          <w:sz w:val="24"/>
          <w:szCs w:val="24"/>
          <w:highlight w:val="none"/>
          <w14:textFill>
            <w14:solidFill>
              <w14:schemeClr w14:val="tx1"/>
            </w14:solidFill>
          </w14:textFill>
        </w:rPr>
        <w:t xml:space="preserve">十五、合同生效</w:t>
      </w:r>
      <w:bookmarkEnd w:id="36"/>
      <w:r/>
      <w:bookmarkEnd w:id="37"/>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本合同自</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双方签字盖章</w:t>
      </w:r>
      <w:r>
        <w:rPr>
          <w:rFonts w:hint="eastAsia" w:ascii="宋体" w:hAnsi="宋体" w:eastAsia="宋体" w:cs="宋体"/>
          <w:bCs/>
          <w:color w:val="000000" w:themeColor="text1"/>
          <w:sz w:val="24"/>
          <w:szCs w:val="24"/>
          <w:highlight w:val="none"/>
          <w14:textFill>
            <w14:solidFill>
              <w14:schemeClr w14:val="tx1"/>
            </w14:solidFill>
          </w14:textFill>
        </w:rPr>
        <w:t xml:space="preserve">后生效。</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十六、双方通讯及联络方式</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睢宁县邱集镇人民政府</w:t>
      </w:r>
      <w:r>
        <w:rPr>
          <w:rFonts w:hint="eastAsia" w:ascii="宋体" w:hAnsi="宋体" w:eastAsia="宋体" w:cs="宋体"/>
          <w:bCs/>
          <w:color w:val="000000" w:themeColor="text1"/>
          <w:sz w:val="24"/>
          <w:szCs w:val="24"/>
          <w:highlight w:val="none"/>
          <w14:textFill>
            <w14:solidFill>
              <w14:schemeClr w14:val="tx1"/>
            </w14:solidFill>
          </w14:textFill>
        </w:rPr>
        <w:t xml:space="preserve">，联系人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，地址</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，联系电话</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。中标人名称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。以上信息如有变更需要书面告知对方，否则视为没有变更。</w:t>
      </w:r>
      <w:r/>
    </w:p>
    <w:p>
      <w:pPr>
        <w:pStyle w:val="878"/>
        <w:numPr>
          <w:ilvl w:val="0"/>
          <w:numId w:val="0"/>
        </w:numPr>
        <w:ind w:left="284"/>
        <w:keepLines/>
        <w:keepNext w:val="0"/>
        <w:pageBreakBefore w:val="0"/>
        <w:spacing w:before="0" w:after="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38" w:name="_Toc118154563"/>
      <w:r/>
      <w:bookmarkStart w:id="39" w:name="_Toc273056816"/>
      <w:r>
        <w:rPr>
          <w:rFonts w:hint="eastAsia" w:ascii="宋体" w:hAnsi="宋体" w:eastAsia="宋体" w:cs="宋体"/>
          <w:b w:val="0"/>
          <w:color w:val="000000" w:themeColor="text1"/>
          <w:sz w:val="24"/>
          <w:szCs w:val="24"/>
          <w:highlight w:val="none"/>
          <w14:textFill>
            <w14:solidFill>
              <w14:schemeClr w14:val="tx1"/>
            </w14:solidFill>
          </w14:textFill>
        </w:rPr>
        <w:t xml:space="preserve">十七、合同份数</w:t>
      </w:r>
      <w:bookmarkEnd w:id="38"/>
      <w:r/>
      <w:bookmarkEnd w:id="3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本合同一式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伍</w:t>
      </w:r>
      <w:r>
        <w:rPr>
          <w:rFonts w:hint="eastAsia" w:ascii="宋体" w:hAnsi="宋体" w:eastAsia="宋体" w:cs="宋体"/>
          <w:bCs/>
          <w:color w:val="000000" w:themeColor="text1"/>
          <w:sz w:val="24"/>
          <w:szCs w:val="24"/>
          <w:highlight w:val="none"/>
          <w14:textFill>
            <w14:solidFill>
              <w14:schemeClr w14:val="tx1"/>
            </w14:solidFill>
          </w14:textFill>
        </w:rPr>
        <w:t xml:space="preserve">份，均具有同等法律效力，发包人执</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贰</w:t>
      </w:r>
      <w:r>
        <w:rPr>
          <w:rFonts w:hint="eastAsia" w:ascii="宋体" w:hAnsi="宋体" w:eastAsia="宋体" w:cs="宋体"/>
          <w:bCs/>
          <w:color w:val="000000" w:themeColor="text1"/>
          <w:sz w:val="24"/>
          <w:szCs w:val="24"/>
          <w:highlight w:val="none"/>
          <w14:textFill>
            <w14:solidFill>
              <w14:schemeClr w14:val="tx1"/>
            </w14:solidFill>
          </w14:textFill>
        </w:rPr>
        <w:t xml:space="preserve">份，合同审查机构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壹</w:t>
      </w:r>
      <w:r>
        <w:rPr>
          <w:rFonts w:hint="eastAsia" w:ascii="宋体" w:hAnsi="宋体" w:eastAsia="宋体" w:cs="宋体"/>
          <w:bCs/>
          <w:color w:val="000000" w:themeColor="text1"/>
          <w:sz w:val="24"/>
          <w:szCs w:val="24"/>
          <w:highlight w:val="none"/>
          <w14:textFill>
            <w14:solidFill>
              <w14:schemeClr w14:val="tx1"/>
            </w14:solidFill>
          </w14:textFill>
        </w:rPr>
        <w:t xml:space="preserve">份，承包人执</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贰</w:t>
      </w:r>
      <w:r>
        <w:rPr>
          <w:rFonts w:hint="eastAsia" w:ascii="宋体" w:hAnsi="宋体" w:eastAsia="宋体" w:cs="宋体"/>
          <w:bCs/>
          <w:color w:val="000000" w:themeColor="text1"/>
          <w:sz w:val="24"/>
          <w:szCs w:val="24"/>
          <w:highlight w:val="none"/>
          <w14:textFill>
            <w14:solidFill>
              <w14:schemeClr w14:val="tx1"/>
            </w14:solidFill>
          </w14:textFill>
        </w:rPr>
        <w:t xml:space="preserve">份。</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发包人：（公章）           承包人：（公章）</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法定代表人或其委托代理人：  法定代表人或其委托代理人：</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（签字）</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bookmarkStart w:id="40" w:name="_Toc26547"/>
      <w:r/>
      <w:bookmarkStart w:id="41" w:name="_Toc16153"/>
      <w:r/>
      <w:bookmarkStart w:id="42" w:name="_Toc10868"/>
      <w:r/>
      <w:bookmarkStart w:id="43" w:name="_Toc12223"/>
      <w:r>
        <w:rPr>
          <w:rFonts w:hint="eastAsia" w:ascii="宋体" w:hAnsi="宋体" w:eastAsia="宋体" w:cs="宋体"/>
          <w:color w:val="000000" w:themeColor="text1"/>
          <w:sz w:val="24"/>
          <w:szCs w:val="24"/>
          <w:highlight w:val="none"/>
          <w14:textFill>
            <w14:solidFill>
              <w14:schemeClr w14:val="tx1"/>
            </w14:solidFill>
          </w14:textFill>
        </w:rPr>
        <w:t xml:space="preserve">社会统一信用代码：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社会统一信用代码：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 址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 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传 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ind w:left="5880" w:hanging="58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Style w:val="1160"/>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ectPr>
          <w:footerReference w:type="default" r:id="rId12"/>
          <w:footnotePr/>
          <w:endnotePr/>
          <w:type w:val="nextPage"/>
          <w:pgSz w:w="11906" w:h="16838" w:orient="portrait"/>
          <w:pgMar w:top="2098" w:right="1757" w:bottom="1984" w:left="1757" w:header="851" w:footer="1417"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账号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087"/>
        <w:numPr>
          <w:ilvl w:val="0"/>
          <w:numId w:val="0"/>
        </w:numPr>
        <w:jc w:val="center"/>
        <w:keepLines/>
        <w:keepNext w:val="0"/>
        <w:pageBreakBefore w:val="0"/>
        <w:spacing w:before="260" w:after="26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44" w:name="_Toc725136582"/>
      <w:r/>
      <w:bookmarkStart w:id="45" w:name="_Toc1081549402"/>
      <w:r/>
      <w:bookmarkStart w:id="46" w:name="_Toc1772115747"/>
      <w:r>
        <w:rPr>
          <w:rFonts w:hint="eastAsia" w:ascii="宋体" w:hAnsi="宋体" w:eastAsia="宋体" w:cs="宋体"/>
          <w:b w:val="0"/>
          <w:color w:val="000000" w:themeColor="text1"/>
          <w:sz w:val="24"/>
          <w:szCs w:val="24"/>
          <w:highlight w:val="none"/>
          <w14:textFill>
            <w14:solidFill>
              <w14:schemeClr w14:val="tx1"/>
            </w14:solidFill>
          </w14:textFill>
        </w:rPr>
        <w:t xml:space="preserve">第二部分 通用合同条款</w:t>
      </w:r>
      <w:bookmarkEnd w:id="44"/>
      <w:r/>
      <w:bookmarkEnd w:id="45"/>
      <w:r/>
      <w:bookmarkEnd w:id="46"/>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2098" w:right="1701" w:bottom="1984" w:left="1701" w:header="851" w:footer="1417"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通用合同条款共计20条，采用无修改地园林绿化工程施工合同（示范文本）（GF—2020—2605）通用合同条款。</w:t>
      </w:r>
      <w:bookmarkEnd w:id="40"/>
      <w:r/>
      <w:bookmarkEnd w:id="41"/>
      <w:r/>
      <w:bookmarkEnd w:id="42"/>
      <w:r/>
      <w:bookmarkEnd w:id="43"/>
      <w:r/>
      <w:r/>
    </w:p>
    <w:p>
      <w:pPr>
        <w:pStyle w:val="1087"/>
        <w:numPr>
          <w:ilvl w:val="0"/>
          <w:numId w:val="0"/>
        </w:numPr>
        <w:jc w:val="center"/>
        <w:keepLines/>
        <w:keepNext w:val="0"/>
        <w:pageBreakBefore w:val="0"/>
        <w:spacing w:before="0" w:after="26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47" w:name="_Toc24563"/>
      <w:r/>
      <w:bookmarkStart w:id="48" w:name="_Toc13192"/>
      <w:r/>
      <w:bookmarkStart w:id="49" w:name="_Toc20668"/>
      <w:r/>
      <w:bookmarkStart w:id="50" w:name="_Toc25120"/>
      <w:r/>
      <w:bookmarkStart w:id="51" w:name="_Toc538026417"/>
      <w:r/>
      <w:bookmarkStart w:id="52" w:name="_Toc1439523315"/>
      <w:r/>
      <w:bookmarkStart w:id="53" w:name="_Toc1254421522"/>
      <w:r>
        <w:rPr>
          <w:rFonts w:hint="eastAsia" w:ascii="宋体" w:hAnsi="宋体" w:eastAsia="宋体" w:cs="宋体"/>
          <w:b w:val="0"/>
          <w:color w:val="000000" w:themeColor="text1"/>
          <w:sz w:val="24"/>
          <w:szCs w:val="24"/>
          <w:highlight w:val="none"/>
          <w14:textFill>
            <w14:solidFill>
              <w14:schemeClr w14:val="tx1"/>
            </w14:solidFill>
          </w14:textFill>
        </w:rPr>
        <w:t xml:space="preserve">第三部分 专用合同条款</w:t>
      </w:r>
      <w:bookmarkEnd w:id="47"/>
      <w:r/>
      <w:bookmarkEnd w:id="48"/>
      <w:r/>
      <w:bookmarkEnd w:id="49"/>
      <w:r/>
      <w:bookmarkEnd w:id="50"/>
      <w:r/>
      <w:bookmarkEnd w:id="51"/>
      <w:r/>
      <w:bookmarkEnd w:id="52"/>
      <w:r/>
      <w:bookmarkEnd w:id="53"/>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54" w:name="_Toc1281606529"/>
      <w:r/>
      <w:bookmarkStart w:id="55" w:name="_Toc1742251250"/>
      <w:r>
        <w:rPr>
          <w:rFonts w:hint="eastAsia" w:ascii="宋体" w:hAnsi="宋体" w:eastAsia="宋体" w:cs="宋体"/>
          <w:b w:val="0"/>
          <w:color w:val="000000" w:themeColor="text1"/>
          <w:sz w:val="24"/>
          <w:szCs w:val="24"/>
          <w:highlight w:val="none"/>
          <w14:textFill>
            <w14:solidFill>
              <w14:schemeClr w14:val="tx1"/>
            </w14:solidFill>
          </w14:textFill>
        </w:rPr>
        <w:t xml:space="preserve">1</w:t>
      </w:r>
      <w:bookmarkStart w:id="56" w:name="_Toc296503156"/>
      <w:r/>
      <w:bookmarkStart w:id="57" w:name="_Toc296890984"/>
      <w:r/>
      <w:bookmarkStart w:id="58" w:name="_Toc292559866"/>
      <w:r/>
      <w:bookmarkStart w:id="59" w:name="_Toc296346657"/>
      <w:r/>
      <w:bookmarkStart w:id="60" w:name="_Toc297120456"/>
      <w:r/>
      <w:bookmarkStart w:id="61" w:name="_Toc297048342"/>
      <w:r/>
      <w:bookmarkStart w:id="62" w:name="_Toc292559361"/>
      <w:r/>
      <w:bookmarkStart w:id="63" w:name="_Toc296944495"/>
      <w:r/>
      <w:bookmarkStart w:id="64" w:name="_Toc296347155"/>
      <w:r/>
      <w:bookmarkStart w:id="65" w:name="_Toc296891196"/>
      <w:r>
        <w:rPr>
          <w:rFonts w:hint="eastAsia" w:ascii="宋体" w:hAnsi="宋体" w:eastAsia="宋体" w:cs="宋体"/>
          <w:b w:val="0"/>
          <w:color w:val="000000" w:themeColor="text1"/>
          <w:sz w:val="24"/>
          <w:szCs w:val="24"/>
          <w:highlight w:val="none"/>
          <w14:textFill>
            <w14:solidFill>
              <w14:schemeClr w14:val="tx1"/>
            </w14:solidFill>
          </w14:textFill>
        </w:rPr>
        <w:t xml:space="preserve">. 一般约定</w:t>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6" w:name="_Toc1772939203"/>
      <w:r/>
      <w:bookmarkStart w:id="67" w:name="_Toc276302670"/>
      <w:r/>
      <w:bookmarkStart w:id="68" w:name="_Toc28755"/>
      <w:r>
        <w:rPr>
          <w:rFonts w:hint="eastAsia" w:ascii="宋体" w:hAnsi="宋体" w:eastAsia="宋体" w:cs="宋体"/>
          <w:color w:val="000000" w:themeColor="text1"/>
          <w:sz w:val="24"/>
          <w:szCs w:val="24"/>
          <w:highlight w:val="none"/>
          <w14:textFill>
            <w14:solidFill>
              <w14:schemeClr w14:val="tx1"/>
            </w14:solidFill>
          </w14:textFill>
        </w:rPr>
        <w:t xml:space="preserve">1.1 词语定义</w:t>
      </w:r>
      <w:bookmarkEnd w:id="66"/>
      <w:r/>
      <w:bookmarkEnd w:id="67"/>
      <w:r/>
      <w:bookmarkEnd w:id="6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1.1.1合同</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1.1.1.1其他合同文件包括：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 合同当事人及其他相关方</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1.1.2.1监理人和总监理工程师：</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资质类别和等级：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总监理工程师姓名：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总监理工程师执业资格证书号：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1.1.2.2 设计人和设计项目负责人：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资质类别和等级：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 工程和设备</w:t>
      </w:r>
      <w:r/>
    </w:p>
    <w:p>
      <w:pPr>
        <w:pStyle w:val="924"/>
        <w:ind w:right="63"/>
        <w:keepLines/>
        <w:keepNext w:val="0"/>
        <w:pageBreakBefore w:val="0"/>
        <w:spacing w:before="1" w:line="360" w:lineRule="auto"/>
        <w:widowControl w:val="off"/>
        <w:tabs>
          <w:tab w:val="left" w:pos="3402" w:leader="none"/>
          <w:tab w:val="left" w:pos="467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1.1.3.1 作为施工现场组成部分的其他场所包括：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规划红线范围内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1.1.3.2 永久占地包括：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规划红线范围内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1.1.3.3 临时占地包括：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1.1.3.4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1.1.3.5 绿化工程：是指树木、花卉、草坪、地被植物等的种植工程。</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1.1.3.6绿化养护：</w:t>
      </w:r>
      <w:r>
        <w:rPr>
          <w:rFonts w:hint="eastAsia" w:ascii="宋体" w:hAnsi="宋体" w:eastAsia="宋体" w:cs="宋体"/>
          <w:color w:val="000000" w:themeColor="text1"/>
          <w:sz w:val="24"/>
          <w:szCs w:val="24"/>
          <w:highlight w:val="none"/>
          <w14:textFill>
            <w14:solidFill>
              <w14:schemeClr w14:val="tx1"/>
            </w14:solidFill>
          </w14:textFill>
        </w:rPr>
        <w:t xml:space="preserve">是指对绿地内植物采取的整形修剪、松土除草、灌溉与排水、施肥、有害生物防治、改植与补植、绿地防护（如防台风、防寒）等技术措施。</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 日期和期限</w:t>
      </w:r>
      <w:r/>
    </w:p>
    <w:p>
      <w:pPr>
        <w:pStyle w:val="872"/>
        <w:ind w:firstLine="480"/>
        <w:keepLines/>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1.1.4.1绿化养护期：是指承包人按照合同约定进行绿化养护的期限，从工程竣工验收合格之日起计算。</w:t>
      </w:r>
      <w:r>
        <w:rPr>
          <w:rFonts w:hint="eastAsia" w:ascii="宋体" w:hAnsi="宋体" w:eastAsia="宋体" w:cs="宋体"/>
          <w:bCs/>
          <w:color w:val="000000" w:themeColor="text1"/>
          <w:sz w:val="24"/>
          <w:szCs w:val="24"/>
          <w:highlight w:val="none"/>
          <w14:textFill>
            <w14:solidFill>
              <w14:schemeClr w14:val="tx1"/>
            </w14:solidFill>
          </w14:textFill>
        </w:rPr>
        <w:t xml:space="preserve">绿化养护期最长不得超过24个月。</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9" w:name="_Toc28173"/>
      <w:r/>
      <w:bookmarkStart w:id="70" w:name="_Toc857078921"/>
      <w:r/>
      <w:bookmarkStart w:id="71" w:name="_Toc859792571"/>
      <w:r>
        <w:rPr>
          <w:rFonts w:hint="eastAsia" w:ascii="宋体" w:hAnsi="宋体" w:eastAsia="宋体" w:cs="宋体"/>
          <w:color w:val="000000" w:themeColor="text1"/>
          <w:sz w:val="24"/>
          <w:szCs w:val="24"/>
          <w:highlight w:val="none"/>
          <w14:textFill>
            <w14:solidFill>
              <w14:schemeClr w14:val="tx1"/>
            </w14:solidFill>
          </w14:textFill>
        </w:rPr>
        <w:t xml:space="preserve">1.2法律</w:t>
      </w:r>
      <w:bookmarkEnd w:id="69"/>
      <w:r/>
      <w:bookmarkEnd w:id="70"/>
      <w:r/>
      <w:bookmarkEnd w:id="71"/>
      <w:r/>
      <w:r/>
    </w:p>
    <w:p>
      <w:pPr>
        <w:pStyle w:val="872"/>
        <w:ind w:left="596"/>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适用于合同的其他规范性文件：</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《中华人民共和国招标投标法》及其他相关法律、法规。</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2" w:name="_Toc1984547573"/>
      <w:r/>
      <w:bookmarkStart w:id="73" w:name="_Toc1028117936"/>
      <w:r/>
      <w:bookmarkStart w:id="74" w:name="_Toc20831"/>
      <w:r>
        <w:rPr>
          <w:rFonts w:hint="eastAsia" w:ascii="宋体" w:hAnsi="宋体" w:eastAsia="宋体" w:cs="宋体"/>
          <w:color w:val="000000" w:themeColor="text1"/>
          <w:sz w:val="24"/>
          <w:szCs w:val="24"/>
          <w:highlight w:val="none"/>
          <w14:textFill>
            <w14:solidFill>
              <w14:schemeClr w14:val="tx1"/>
            </w14:solidFill>
          </w14:textFill>
        </w:rPr>
        <w:t xml:space="preserve">1.3 标准和规范</w:t>
      </w:r>
      <w:bookmarkEnd w:id="72"/>
      <w:r/>
      <w:bookmarkEnd w:id="73"/>
      <w:r/>
      <w:bookmarkEnd w:id="74"/>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1.3.1适用于工程的标准规范包括：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国际规范及地方标准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园林绿化工程施工及验收规范（CJJ82）；</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园林绿化养护标准（CJJ/T287）；</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建设工程工程量清单计价规范（GB50500）；</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园林绿化工程工程量计算规范（GB50858）；</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与园林绿化行业相关的行业标准、地方标准：</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5" w:name="_Toc29821"/>
      <w:r/>
      <w:bookmarkStart w:id="76" w:name="_Toc1033"/>
      <w:r/>
      <w:bookmarkStart w:id="77" w:name="_Toc2729"/>
      <w:r>
        <w:rPr>
          <w:rFonts w:hint="eastAsia" w:ascii="宋体" w:hAnsi="宋体" w:eastAsia="宋体" w:cs="宋体"/>
          <w:color w:val="000000" w:themeColor="text1"/>
          <w:sz w:val="24"/>
          <w:szCs w:val="24"/>
          <w:highlight w:val="none"/>
          <w14:textFill>
            <w14:solidFill>
              <w14:schemeClr w14:val="tx1"/>
            </w14:solidFill>
          </w14:textFill>
        </w:rPr>
        <w:t xml:space="preserve">1.3.2 发包人提供国外标准、规范的名称：</w:t>
      </w:r>
      <w:bookmarkEnd w:id="75"/>
      <w:r/>
      <w:bookmarkEnd w:id="76"/>
      <w:r/>
      <w:bookmarkEnd w:id="77"/>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发包人提供国外标准、规范的份数：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1.3.3发包人对工程的技术标准和功能要求的特殊要求：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8" w:name="_Toc21978"/>
      <w:r/>
      <w:bookmarkStart w:id="79" w:name="_Toc659781100"/>
      <w:r/>
      <w:bookmarkStart w:id="80" w:name="_Toc498019564"/>
      <w:r>
        <w:rPr>
          <w:rFonts w:hint="eastAsia" w:ascii="宋体" w:hAnsi="宋体" w:eastAsia="宋体" w:cs="宋体"/>
          <w:color w:val="000000" w:themeColor="text1"/>
          <w:sz w:val="24"/>
          <w:szCs w:val="24"/>
          <w:highlight w:val="none"/>
          <w14:textFill>
            <w14:solidFill>
              <w14:schemeClr w14:val="tx1"/>
            </w14:solidFill>
          </w14:textFill>
        </w:rPr>
        <w:t xml:space="preserve">1.4 合同文件的优先顺序</w:t>
      </w:r>
      <w:bookmarkEnd w:id="78"/>
      <w:r/>
      <w:bookmarkEnd w:id="79"/>
      <w:r/>
      <w:bookmarkEnd w:id="80"/>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合同文件组成及优先顺序为：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81" w:name="_Toc12618"/>
      <w:r/>
      <w:bookmarkStart w:id="82" w:name="_Toc1984271900"/>
      <w:r/>
      <w:bookmarkStart w:id="83" w:name="_Toc1088158122"/>
      <w:r>
        <w:rPr>
          <w:rFonts w:hint="eastAsia" w:ascii="宋体" w:hAnsi="宋体" w:eastAsia="宋体" w:cs="宋体"/>
          <w:color w:val="000000" w:themeColor="text1"/>
          <w:sz w:val="24"/>
          <w:szCs w:val="24"/>
          <w:highlight w:val="none"/>
          <w14:textFill>
            <w14:solidFill>
              <w14:schemeClr w14:val="tx1"/>
            </w14:solidFill>
          </w14:textFill>
        </w:rPr>
        <w:t xml:space="preserve">1.5 图纸和承包人文件</w:t>
      </w:r>
      <w:bookmarkEnd w:id="81"/>
      <w:r/>
      <w:bookmarkEnd w:id="82"/>
      <w:r/>
      <w:bookmarkEnd w:id="83"/>
      <w:r>
        <w:rPr>
          <w:rFonts w:hint="eastAsia" w:ascii="宋体" w:hAnsi="宋体" w:eastAsia="宋体" w:cs="宋体"/>
          <w:color w:val="000000" w:themeColor="text1"/>
          <w:sz w:val="24"/>
          <w:szCs w:val="24"/>
          <w:highlight w:val="none"/>
          <w14:textFill>
            <w14:solidFill>
              <w14:schemeClr w14:val="tx1"/>
            </w14:solidFill>
          </w14:textFill>
        </w:rPr>
        <w:tab/>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图纸的提供</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发包人向承包人提供图纸的期限：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开工前十四天内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发包人向承包人提供图纸的数量：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壹套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发包人向承包人提供图纸的内容：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全部施工图纸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 承包人文件</w:t>
      </w:r>
      <w:r/>
    </w:p>
    <w:p>
      <w:pPr>
        <w:pStyle w:val="872"/>
        <w:ind w:left="596"/>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需要由承包人提供的文件，包括：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执行补充条款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承包人提供的文件的期限为：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根据合同约定或发包人、监理人要求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承包人提供的文件的数量为：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根据合同约定或发包人、监理人要求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承包人提供的文件的形式为：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书面</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发包人审批承包人文件的期限：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收到文件后7天审查完毕</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1.5.3现场图纸准备</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关于现场图纸准备的约定：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承包人应在施工现场另外保存一套完整的图纸和承包人文件，供发包人、监理人及有关人员进行工程检查时使用，如检查现场资料不完整按5000元/次罚款，乙方同意从工程款中直接扣除</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84" w:name="_Toc280711937"/>
      <w:r/>
      <w:bookmarkStart w:id="85" w:name="_Toc13200089"/>
      <w:r/>
      <w:bookmarkStart w:id="86" w:name="_Toc18371"/>
      <w:r>
        <w:rPr>
          <w:rFonts w:hint="eastAsia" w:ascii="宋体" w:hAnsi="宋体" w:eastAsia="宋体" w:cs="宋体"/>
          <w:color w:val="000000" w:themeColor="text1"/>
          <w:sz w:val="24"/>
          <w:szCs w:val="24"/>
          <w:highlight w:val="none"/>
          <w14:textFill>
            <w14:solidFill>
              <w14:schemeClr w14:val="tx1"/>
            </w14:solidFill>
          </w14:textFill>
        </w:rPr>
        <w:t xml:space="preserve">1.6 联络</w:t>
      </w:r>
      <w:bookmarkEnd w:id="84"/>
      <w:r/>
      <w:bookmarkEnd w:id="85"/>
      <w:r/>
      <w:bookmarkEnd w:id="8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1.6.1发包人和承包人应当在</w:t>
      </w:r>
      <w:r>
        <w:rPr>
          <w:rFonts w:hint="eastAsia" w:ascii="宋体" w:hAnsi="宋体" w:eastAsia="宋体" w:cs="宋体"/>
          <w:color w:val="000000" w:themeColor="text1"/>
          <w:sz w:val="24"/>
          <w:szCs w:val="24"/>
          <w:highlight w:val="none"/>
          <w:u w:val="singl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 发包人接收文件的地点：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现场工程部</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现场工程部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监理人接收文件的地点：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详见监理合同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监理人指定的接收人为：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详见监理合同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87" w:name="_Toc1023515055"/>
      <w:r/>
      <w:bookmarkStart w:id="88" w:name="_Toc1289155066"/>
      <w:r/>
      <w:bookmarkStart w:id="89" w:name="_Toc8108"/>
      <w:r>
        <w:rPr>
          <w:rFonts w:hint="eastAsia" w:ascii="宋体" w:hAnsi="宋体" w:eastAsia="宋体" w:cs="宋体"/>
          <w:color w:val="000000" w:themeColor="text1"/>
          <w:sz w:val="24"/>
          <w:szCs w:val="24"/>
          <w:highlight w:val="none"/>
          <w14:textFill>
            <w14:solidFill>
              <w14:schemeClr w14:val="tx1"/>
            </w14:solidFill>
          </w14:textFill>
        </w:rPr>
        <w:t xml:space="preserve">1.7 交通运输</w:t>
      </w:r>
      <w:bookmarkEnd w:id="87"/>
      <w:r/>
      <w:bookmarkEnd w:id="88"/>
      <w:r/>
      <w:bookmarkEnd w:id="8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0" w:name="_Toc9787"/>
      <w:r/>
      <w:bookmarkStart w:id="91" w:name="_Toc17087"/>
      <w:r/>
      <w:bookmarkStart w:id="92" w:name="_Toc8013"/>
      <w:r>
        <w:rPr>
          <w:rFonts w:hint="eastAsia" w:ascii="宋体" w:hAnsi="宋体" w:eastAsia="宋体" w:cs="宋体"/>
          <w:color w:val="000000" w:themeColor="text1"/>
          <w:sz w:val="24"/>
          <w:szCs w:val="24"/>
          <w:highlight w:val="none"/>
          <w14:textFill>
            <w14:solidFill>
              <w14:schemeClr w14:val="tx1"/>
            </w14:solidFill>
          </w14:textFill>
        </w:rPr>
        <w:t xml:space="preserve">1</w:t>
      </w:r>
      <w:bookmarkStart w:id="93" w:name="_Toc300934943"/>
      <w:r/>
      <w:bookmarkStart w:id="94" w:name="_Toc304295521"/>
      <w:r/>
      <w:bookmarkStart w:id="95" w:name="_Toc312677986"/>
      <w:r/>
      <w:bookmarkStart w:id="96" w:name="_Toc303539100"/>
      <w:r/>
      <w:bookmarkStart w:id="97" w:name="_Toc318581155"/>
      <w:r>
        <w:rPr>
          <w:rFonts w:hint="eastAsia" w:ascii="宋体" w:hAnsi="宋体" w:eastAsia="宋体" w:cs="宋体"/>
          <w:color w:val="000000" w:themeColor="text1"/>
          <w:sz w:val="24"/>
          <w:szCs w:val="24"/>
          <w:highlight w:val="none"/>
          <w14:textFill>
            <w14:solidFill>
              <w14:schemeClr w14:val="tx1"/>
            </w14:solidFill>
          </w14:textFill>
        </w:rPr>
        <w:t xml:space="preserve">.7.1 出入现场的权利</w:t>
      </w:r>
      <w:bookmarkEnd w:id="90"/>
      <w:r/>
      <w:bookmarkEnd w:id="91"/>
      <w:r/>
      <w:bookmarkEnd w:id="92"/>
      <w:r/>
      <w:r/>
    </w:p>
    <w:p>
      <w:pPr>
        <w:pStyle w:val="924"/>
        <w:ind w:left="63" w:right="63"/>
        <w:jc w:val="left"/>
        <w:keepLines/>
        <w:keepNext w:val="0"/>
        <w:pageBreakBefore w:val="0"/>
        <w:spacing w:before="1"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关于出入现场的权利的约定：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承包人应在签订合同前查勘施工现场，并根据工程规模及技术参数合理预见工程施工所需的进出施工现场的方式、手段、路径等。因承包人未合理预见所增加的费用和（或）延误的工期由承包人承担。</w:t>
      </w:r>
      <w:bookmarkEnd w:id="93"/>
      <w:r/>
      <w:bookmarkEnd w:id="94"/>
      <w:r/>
      <w:bookmarkEnd w:id="95"/>
      <w:r/>
      <w:bookmarkEnd w:id="96"/>
      <w:r/>
      <w:bookmarkEnd w:id="97"/>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98" w:name="_Toc4066"/>
      <w:r/>
      <w:bookmarkStart w:id="99" w:name="_Toc30188"/>
      <w:r/>
      <w:bookmarkStart w:id="100" w:name="_Toc3062"/>
      <w:r>
        <w:rPr>
          <w:rFonts w:hint="eastAsia" w:ascii="宋体" w:hAnsi="宋体" w:eastAsia="宋体" w:cs="宋体"/>
          <w:color w:val="000000" w:themeColor="text1"/>
          <w:sz w:val="24"/>
          <w:szCs w:val="24"/>
          <w:highlight w:val="none"/>
          <w14:textFill>
            <w14:solidFill>
              <w14:schemeClr w14:val="tx1"/>
            </w14:solidFill>
          </w14:textFill>
        </w:rPr>
        <w:t xml:space="preserve">1</w:t>
      </w:r>
      <w:bookmarkStart w:id="101" w:name="_Toc318581156"/>
      <w:r/>
      <w:bookmarkStart w:id="102" w:name="_Toc303539101"/>
      <w:r/>
      <w:bookmarkStart w:id="103" w:name="_Toc300934944"/>
      <w:r/>
      <w:bookmarkStart w:id="104" w:name="_Toc312677987"/>
      <w:r/>
      <w:bookmarkStart w:id="105" w:name="_Toc304295522"/>
      <w:r>
        <w:rPr>
          <w:rFonts w:hint="eastAsia" w:ascii="宋体" w:hAnsi="宋体" w:eastAsia="宋体" w:cs="宋体"/>
          <w:color w:val="000000" w:themeColor="text1"/>
          <w:sz w:val="24"/>
          <w:szCs w:val="24"/>
          <w:highlight w:val="none"/>
          <w14:textFill>
            <w14:solidFill>
              <w14:schemeClr w14:val="tx1"/>
            </w14:solidFill>
          </w14:textFill>
        </w:rPr>
        <w:t xml:space="preserve">.7.2场内交通</w:t>
      </w:r>
      <w:bookmarkEnd w:id="98"/>
      <w:r/>
      <w:bookmarkEnd w:id="99"/>
      <w:r/>
      <w:bookmarkEnd w:id="100"/>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关于场外交通和场内交通的边界的约定：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临时进场道路与场外公共道路的交界线</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发包人没有免费向承包人提供满足工程施工需要的场内道路和交通设施的义务</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01"/>
      <w:r/>
      <w:bookmarkEnd w:id="102"/>
      <w:r/>
      <w:bookmarkEnd w:id="103"/>
      <w:r/>
      <w:bookmarkEnd w:id="104"/>
      <w:r/>
      <w:bookmarkEnd w:id="105"/>
      <w:r/>
      <w:bookmarkStart w:id="106" w:name="_Toc318581157"/>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1.7.3超大件和超重件的运输</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承包人  </w:t>
      </w:r>
      <w:r>
        <w:rPr>
          <w:rFonts w:hint="eastAsia" w:ascii="宋体" w:hAnsi="宋体" w:eastAsia="宋体" w:cs="宋体"/>
          <w:color w:val="000000" w:themeColor="text1"/>
          <w:sz w:val="24"/>
          <w:szCs w:val="24"/>
          <w:highlight w:val="none"/>
          <w14:textFill>
            <w14:solidFill>
              <w14:schemeClr w14:val="tx1"/>
            </w14:solidFill>
          </w14:textFill>
        </w:rPr>
        <w:t xml:space="preserve">承担。</w:t>
      </w:r>
      <w:bookmarkEnd w:id="10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07" w:name="_Toc1760605217"/>
      <w:r/>
      <w:bookmarkStart w:id="108" w:name="_Toc869890155"/>
      <w:r/>
      <w:bookmarkStart w:id="109" w:name="_Toc17638"/>
      <w:r>
        <w:rPr>
          <w:rFonts w:hint="eastAsia" w:ascii="宋体" w:hAnsi="宋体" w:eastAsia="宋体" w:cs="宋体"/>
          <w:color w:val="000000" w:themeColor="text1"/>
          <w:sz w:val="24"/>
          <w:szCs w:val="24"/>
          <w:highlight w:val="none"/>
          <w14:textFill>
            <w14:solidFill>
              <w14:schemeClr w14:val="tx1"/>
            </w14:solidFill>
          </w14:textFill>
        </w:rPr>
        <w:t xml:space="preserve">1.8 知识产权</w:t>
      </w:r>
      <w:bookmarkEnd w:id="107"/>
      <w:r/>
      <w:bookmarkEnd w:id="108"/>
      <w:r/>
      <w:bookmarkEnd w:id="10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关于发包人提供的上述文件的使用限制的要求：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0" w:name="_Toc11158"/>
      <w:r/>
      <w:bookmarkStart w:id="111" w:name="_Toc29973"/>
      <w:r/>
      <w:bookmarkStart w:id="112" w:name="_Toc14488"/>
      <w:r>
        <w:rPr>
          <w:rFonts w:hint="eastAsia" w:ascii="宋体" w:hAnsi="宋体" w:eastAsia="宋体" w:cs="宋体"/>
          <w:color w:val="000000" w:themeColor="text1"/>
          <w:sz w:val="24"/>
          <w:szCs w:val="24"/>
          <w:highlight w:val="none"/>
          <w14:textFill>
            <w14:solidFill>
              <w14:schemeClr w14:val="tx1"/>
            </w14:solidFill>
          </w14:textFill>
        </w:rPr>
        <w:t xml:space="preserve">1.8.2 关于承包人为实施工程所编制文件的著作权的归属：</w:t>
      </w:r>
      <w:bookmarkEnd w:id="110"/>
      <w:r/>
      <w:bookmarkEnd w:id="111"/>
      <w:r/>
      <w:bookmarkEnd w:id="112"/>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关于承包人提供的上述文件的使用限制的要求：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13" w:name="_Toc4666"/>
      <w:r/>
      <w:bookmarkStart w:id="114" w:name="_Toc13562"/>
      <w:r/>
      <w:bookmarkStart w:id="115" w:name="_Toc22809"/>
      <w:r>
        <w:rPr>
          <w:rFonts w:hint="eastAsia" w:ascii="宋体" w:hAnsi="宋体" w:eastAsia="宋体" w:cs="宋体"/>
          <w:color w:val="000000" w:themeColor="text1"/>
          <w:sz w:val="24"/>
          <w:szCs w:val="24"/>
          <w:highlight w:val="none"/>
          <w14:textFill>
            <w14:solidFill>
              <w14:schemeClr w14:val="tx1"/>
            </w14:solidFill>
          </w14:textFill>
        </w:rPr>
        <w:t xml:space="preserve">1.8.3 承包人在施工过程中所采用的专利、专有技术、技术秘密的使用费的承担方式：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13"/>
      <w:r/>
      <w:bookmarkEnd w:id="114"/>
      <w:r/>
      <w:bookmarkEnd w:id="115"/>
      <w:r/>
      <w:bookmarkStart w:id="116" w:name="_Toc448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1.9工程量清单错误的修正</w:t>
      </w:r>
      <w:bookmarkEnd w:id="11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应在合同签订后对发包人提供的工程量清单、图纸和现场进行核查和踏察，如发现差异，应在三天内以书面形式向发包人提出，如未在三日内提出视为无异议；有下列情形之一时，经承包人在三日内提出，发包人应予以修正，并相应调整合同价格：</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出现工程量清单错误时，是否调整合同价格：</w:t>
      </w:r>
      <w:r>
        <w:rPr>
          <w:rFonts w:hint="eastAsia" w:ascii="宋体" w:hAnsi="宋体" w:eastAsia="宋体" w:cs="宋体"/>
          <w:color w:val="000000" w:themeColor="text1"/>
          <w:sz w:val="24"/>
          <w:szCs w:val="24"/>
          <w:highlight w:val="none"/>
          <w:u w:val="single"/>
          <w14:textFill>
            <w14:solidFill>
              <w14:schemeClr w14:val="tx1"/>
            </w14:solidFill>
          </w14:textFill>
        </w:rPr>
        <w:t xml:space="preserve">需经甲方同意后方可调整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允许调整合同价格的工程量偏差范围：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需经甲方同意后，按经招标人认可的实际工程量结算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117" w:name="_Toc125523837"/>
      <w:r/>
      <w:bookmarkStart w:id="118" w:name="_Toc2049858434"/>
      <w:r>
        <w:rPr>
          <w:rFonts w:hint="eastAsia" w:ascii="宋体" w:hAnsi="宋体" w:eastAsia="宋体" w:cs="宋体"/>
          <w:b w:val="0"/>
          <w:color w:val="000000" w:themeColor="text1"/>
          <w:sz w:val="24"/>
          <w:szCs w:val="24"/>
          <w:highlight w:val="none"/>
          <w14:textFill>
            <w14:solidFill>
              <w14:schemeClr w14:val="tx1"/>
            </w14:solidFill>
          </w14:textFill>
        </w:rPr>
        <w:t xml:space="preserve">2</w:t>
      </w:r>
      <w:bookmarkStart w:id="119" w:name="_Toc296891197"/>
      <w:r/>
      <w:bookmarkStart w:id="120" w:name="_Toc296346658"/>
      <w:r/>
      <w:bookmarkStart w:id="121" w:name="_Toc296347156"/>
      <w:r/>
      <w:bookmarkStart w:id="122" w:name="_Toc296503157"/>
      <w:r/>
      <w:bookmarkStart w:id="123" w:name="_Toc292559362"/>
      <w:r/>
      <w:bookmarkStart w:id="124" w:name="_Toc296890985"/>
      <w:r/>
      <w:bookmarkStart w:id="125" w:name="_Toc297120457"/>
      <w:r/>
      <w:bookmarkStart w:id="126" w:name="_Toc296944496"/>
      <w:r/>
      <w:bookmarkStart w:id="127" w:name="_Toc297048343"/>
      <w:r/>
      <w:bookmarkStart w:id="128" w:name="_Toc292559867"/>
      <w:r>
        <w:rPr>
          <w:rFonts w:hint="eastAsia" w:ascii="宋体" w:hAnsi="宋体" w:eastAsia="宋体" w:cs="宋体"/>
          <w:b w:val="0"/>
          <w:color w:val="000000" w:themeColor="text1"/>
          <w:sz w:val="24"/>
          <w:szCs w:val="24"/>
          <w:highlight w:val="none"/>
          <w14:textFill>
            <w14:solidFill>
              <w14:schemeClr w14:val="tx1"/>
            </w14:solidFill>
          </w14:textFill>
        </w:rPr>
        <w:t xml:space="preserve">. 发包人</w:t>
      </w:r>
      <w:bookmarkEnd w:id="117"/>
      <w:r/>
      <w:bookmarkEnd w:id="11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29" w:name="_Toc351203510"/>
      <w:r/>
      <w:bookmarkStart w:id="130" w:name="_Toc1613310203"/>
      <w:r/>
      <w:bookmarkStart w:id="131" w:name="_Toc29214"/>
      <w:r/>
      <w:bookmarkStart w:id="132" w:name="_Toc493482386"/>
      <w:r>
        <w:rPr>
          <w:rFonts w:hint="eastAsia" w:ascii="宋体" w:hAnsi="宋体" w:eastAsia="宋体" w:cs="宋体"/>
          <w:color w:val="000000" w:themeColor="text1"/>
          <w:sz w:val="24"/>
          <w:szCs w:val="24"/>
          <w:highlight w:val="none"/>
          <w14:textFill>
            <w14:solidFill>
              <w14:schemeClr w14:val="tx1"/>
            </w14:solidFill>
          </w14:textFill>
        </w:rPr>
        <w:t xml:space="preserve">2.1 许可或批准</w:t>
      </w:r>
      <w:bookmarkEnd w:id="129"/>
      <w:r/>
      <w:bookmarkEnd w:id="130"/>
      <w:r/>
      <w:bookmarkEnd w:id="131"/>
      <w:r/>
      <w:bookmarkEnd w:id="132"/>
      <w:r/>
      <w:r/>
    </w:p>
    <w:p>
      <w:pPr>
        <w:pStyle w:val="872"/>
        <w:ind w:firstLine="480"/>
        <w:keepLines/>
        <w:keepNext w:val="0"/>
        <w:pageBreakBefore w:val="0"/>
        <w:spacing w:before="120" w:after="12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2.1.1根据相关规定提供园林绿化施工所需的许可或批准。</w:t>
      </w:r>
      <w:bookmarkEnd w:id="119"/>
      <w:r/>
      <w:bookmarkEnd w:id="120"/>
      <w:r/>
      <w:bookmarkEnd w:id="121"/>
      <w:r/>
      <w:bookmarkEnd w:id="122"/>
      <w:r/>
      <w:bookmarkEnd w:id="123"/>
      <w:r/>
      <w:bookmarkEnd w:id="124"/>
      <w:r/>
      <w:bookmarkEnd w:id="125"/>
      <w:r/>
      <w:bookmarkEnd w:id="126"/>
      <w:r/>
      <w:bookmarkEnd w:id="127"/>
      <w:r/>
      <w:bookmarkEnd w:id="128"/>
      <w:r/>
      <w:bookmarkStart w:id="133" w:name="_Toc1775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发包人代表</w:t>
      </w:r>
      <w:bookmarkEnd w:id="13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发包人代表：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    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发包人对发包人代表的授权范围如下：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另行授权</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34" w:name="_Toc571308452"/>
      <w:r/>
      <w:bookmarkStart w:id="135" w:name="_Toc1335716241"/>
      <w:r/>
      <w:bookmarkStart w:id="136" w:name="_Toc26646"/>
      <w:r>
        <w:rPr>
          <w:rFonts w:hint="eastAsia" w:ascii="宋体" w:hAnsi="宋体" w:eastAsia="宋体" w:cs="宋体"/>
          <w:color w:val="000000" w:themeColor="text1"/>
          <w:sz w:val="24"/>
          <w:szCs w:val="24"/>
          <w:highlight w:val="none"/>
          <w14:textFill>
            <w14:solidFill>
              <w14:schemeClr w14:val="tx1"/>
            </w14:solidFill>
          </w14:textFill>
        </w:rPr>
        <w:t xml:space="preserve">2.3 施工现场、施工条件和基础资料的提供</w:t>
      </w:r>
      <w:bookmarkEnd w:id="134"/>
      <w:r/>
      <w:bookmarkEnd w:id="135"/>
      <w:r/>
      <w:bookmarkEnd w:id="13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 提供施工现场</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关于发包人移交施工现场的期限要求：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开工前保证施工现场基本具备开工条件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 提供施工条件</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关于发包人应负责提供施工所需要的条件，包括：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负责提供电源，由本工程承包人接入施工现场，设置分电源箱，并单独装表计量。从发包人提供的电源至施工用电设备线路的安装由承包人负责实施，安装费、线路、设备购置费及施工过程中发生的所有电费，无论承包人是否在投标报价中单独列支，发包人均认为此项费用包含在投标报价中。从水源至施工各用水点的管路安装、布置由承包人负责实施，其安装费、管材、设备购置费及施工过程中发生的所有水费，无论承包人是否在投标报价中单独列支，发包人均认为此项费用包含在投标报价中。</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2.3.3提供基础资料</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发包人还应提供项目施工区域内现状树木一览表、现状土壤指标等。</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37" w:name="_Toc981174043"/>
      <w:r/>
      <w:bookmarkStart w:id="138" w:name="_Toc9218"/>
      <w:r/>
      <w:bookmarkStart w:id="139" w:name="_Toc1205484610"/>
      <w:r>
        <w:rPr>
          <w:rFonts w:hint="eastAsia" w:ascii="宋体" w:hAnsi="宋体" w:eastAsia="宋体" w:cs="宋体"/>
          <w:color w:val="000000" w:themeColor="text1"/>
          <w:sz w:val="24"/>
          <w:szCs w:val="24"/>
          <w:highlight w:val="none"/>
          <w14:textFill>
            <w14:solidFill>
              <w14:schemeClr w14:val="tx1"/>
            </w14:solidFill>
          </w14:textFill>
        </w:rPr>
        <w:t xml:space="preserve">2.4 资金来源证明及支付担保</w:t>
      </w:r>
      <w:bookmarkEnd w:id="137"/>
      <w:r/>
      <w:bookmarkEnd w:id="138"/>
      <w:r/>
      <w:bookmarkEnd w:id="139"/>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发包人提供资金来源证明的期限要求：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发包人提供支付担保期限及方式：发包人应在签订合同后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天内，向承包人提供工程款支付担保，确保农民工工资按时足额支付。发包人提供支付担保的形式：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，担保有效期至工程款拨付完成为止（不含质量保证金）。</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140" w:name="_Toc507831889"/>
      <w:r/>
      <w:bookmarkStart w:id="141" w:name="_Toc224169773"/>
      <w:r>
        <w:rPr>
          <w:rFonts w:hint="eastAsia" w:ascii="宋体" w:hAnsi="宋体" w:eastAsia="宋体" w:cs="宋体"/>
          <w:b w:val="0"/>
          <w:color w:val="000000" w:themeColor="text1"/>
          <w:sz w:val="24"/>
          <w:szCs w:val="24"/>
          <w:highlight w:val="none"/>
          <w14:textFill>
            <w14:solidFill>
              <w14:schemeClr w14:val="tx1"/>
            </w14:solidFill>
          </w14:textFill>
        </w:rPr>
        <w:t xml:space="preserve">3</w:t>
      </w:r>
      <w:bookmarkStart w:id="142" w:name="_Toc296944497"/>
      <w:r/>
      <w:bookmarkStart w:id="143" w:name="_Toc292559868"/>
      <w:r/>
      <w:bookmarkStart w:id="144" w:name="_Toc297048344"/>
      <w:r/>
      <w:bookmarkStart w:id="145" w:name="_Toc296347157"/>
      <w:r/>
      <w:bookmarkStart w:id="146" w:name="_Toc296891198"/>
      <w:r/>
      <w:bookmarkStart w:id="147" w:name="_Toc296503158"/>
      <w:r/>
      <w:bookmarkStart w:id="148" w:name="_Toc292559363"/>
      <w:r/>
      <w:bookmarkStart w:id="149" w:name="_Toc297120458"/>
      <w:r/>
      <w:bookmarkStart w:id="150" w:name="_Toc296890986"/>
      <w:r/>
      <w:bookmarkStart w:id="151" w:name="_Toc296346659"/>
      <w:r>
        <w:rPr>
          <w:rFonts w:hint="eastAsia" w:ascii="宋体" w:hAnsi="宋体" w:eastAsia="宋体" w:cs="宋体"/>
          <w:b w:val="0"/>
          <w:color w:val="000000" w:themeColor="text1"/>
          <w:sz w:val="24"/>
          <w:szCs w:val="24"/>
          <w:highlight w:val="none"/>
          <w14:textFill>
            <w14:solidFill>
              <w14:schemeClr w14:val="tx1"/>
            </w14:solidFill>
          </w14:textFill>
        </w:rPr>
        <w:t xml:space="preserve">. 承包人</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52" w:name="_Toc1540549183"/>
      <w:r/>
      <w:bookmarkStart w:id="153" w:name="_Toc19452"/>
      <w:r/>
      <w:bookmarkStart w:id="154" w:name="_Toc1604068603"/>
      <w:r>
        <w:rPr>
          <w:rFonts w:hint="eastAsia" w:ascii="宋体" w:hAnsi="宋体" w:eastAsia="宋体" w:cs="宋体"/>
          <w:color w:val="000000" w:themeColor="text1"/>
          <w:sz w:val="24"/>
          <w:szCs w:val="24"/>
          <w:highlight w:val="none"/>
          <w14:textFill>
            <w14:solidFill>
              <w14:schemeClr w14:val="tx1"/>
            </w14:solidFill>
          </w14:textFill>
        </w:rPr>
        <w:t xml:space="preserve">3.1 承包人的一般义务</w:t>
      </w:r>
      <w:bookmarkEnd w:id="152"/>
      <w:r/>
      <w:bookmarkEnd w:id="153"/>
      <w:r/>
      <w:bookmarkEnd w:id="15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（1）承包人提交的竣工资料的内容：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提供符合城建档案馆和行政质检监督部门要求的竣工图及竣工资料</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承包人需要提交的竣工资料套数：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肆套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承包人提交的竣工资料的费用承担：</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承包人提交的竣工资料移交时间：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工程竣工验收合格后15日内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承包人提交的竣工资料形式要求：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电子文档及书面</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（2）承包人应履行的其他义务：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保证所提供的资料符合档案管理归档要求，经发包人确认不符合的，影响工程验收的按工程总价款的0.05%向发包人支付违约金，并在5日内补齐有关资料；若承包人不能或无法提供符合档案管理归档要求的资料，发包人拒不结算，拒不验收。</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55" w:name="_Toc1559532044"/>
      <w:r/>
      <w:bookmarkStart w:id="156" w:name="_Toc324146790"/>
      <w:r/>
      <w:bookmarkStart w:id="157" w:name="_Toc12983"/>
      <w:r>
        <w:rPr>
          <w:rFonts w:hint="eastAsia" w:ascii="宋体" w:hAnsi="宋体" w:eastAsia="宋体" w:cs="宋体"/>
          <w:color w:val="000000" w:themeColor="text1"/>
          <w:sz w:val="24"/>
          <w:szCs w:val="24"/>
          <w:highlight w:val="none"/>
          <w14:textFill>
            <w14:solidFill>
              <w14:schemeClr w14:val="tx1"/>
            </w14:solidFill>
          </w14:textFill>
        </w:rPr>
        <w:t xml:space="preserve">3.2 项目经理</w:t>
      </w:r>
      <w:bookmarkEnd w:id="155"/>
      <w:r/>
      <w:bookmarkEnd w:id="156"/>
      <w:r/>
      <w:bookmarkEnd w:id="157"/>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 项目负责人：</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    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相关证书及编号：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承包人对项目负责人的授权范围如下：。</w:t>
      </w:r>
      <w:r/>
    </w:p>
    <w:p>
      <w:pPr>
        <w:pStyle w:val="924"/>
        <w:ind w:left="63" w:right="63"/>
        <w:jc w:val="left"/>
        <w:keepLines/>
        <w:keepNext w:val="0"/>
        <w:pageBreakBefore w:val="0"/>
        <w:spacing w:before="1" w:line="360" w:lineRule="auto"/>
        <w:widowControl w:val="off"/>
        <w:tabs>
          <w:tab w:val="left" w:pos="4787"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关于项目负责人每月在施工现场的时间要求：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每天在现场时间不得少于8小时，每周不少于5天，否则支付 5000元/天的违约金；项目经理未经招标人批准不参加工程例会，每次需支付 5000违约金，连续不参加工程例会的，从第三次起每次需支付 50000元违约金；上述违约金从履约保证金中扣除。</w:t>
      </w:r>
      <w:r/>
    </w:p>
    <w:p>
      <w:pPr>
        <w:pStyle w:val="924"/>
        <w:ind w:left="63" w:right="63"/>
        <w:jc w:val="left"/>
        <w:keepLines/>
        <w:keepNext w:val="0"/>
        <w:pageBreakBefore w:val="0"/>
        <w:spacing w:before="78"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承包人未提交劳动合同，以及没有为项目负责人缴纳社会保险证明的违约责任：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项目经理无权履行职责，发包人有权要求更换项目经理，由此增加的费用和（或）延误的工期由承包人承担。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项目负责人未经批准，擅自离开施工现场的违约责任：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项目经理连续一周不到施工现场的，发包人有权单方解除合同，清理承包人出场，报建筑主管部门后更换承包人，且不承担任何责任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before="1" w:line="360" w:lineRule="auto"/>
        <w:widowControl w:val="off"/>
        <w:tabs>
          <w:tab w:val="left" w:pos="743"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3.2.2 承包人擅自更换项目负责人的违约责任：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项目经理非正当原因未经发包人同意不得更换，否则需按照合同金额的 5%向发包人支付违约金，承包人擅自更换项目负责人两次的，发包人有权单方解除合同，清理承包人出场，报建筑主管部门后更换承包人，且不承担任何责任。</w:t>
      </w:r>
      <w:r/>
    </w:p>
    <w:p>
      <w:pPr>
        <w:pStyle w:val="872"/>
        <w:ind w:firstLine="60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3.2.3 承包人无正当理由拒绝更换项目负责人的违约责任：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100000元/次违约金</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158" w:name="_Toc1073182267"/>
      <w:r/>
      <w:bookmarkStart w:id="159" w:name="_Toc7876"/>
      <w:r/>
      <w:bookmarkStart w:id="160" w:name="_Toc1539542666"/>
      <w:r>
        <w:rPr>
          <w:rFonts w:hint="eastAsia" w:ascii="宋体" w:hAnsi="宋体" w:eastAsia="宋体" w:cs="宋体"/>
          <w:color w:val="000000" w:themeColor="text1"/>
          <w:sz w:val="24"/>
          <w:szCs w:val="24"/>
          <w:highlight w:val="none"/>
          <w14:textFill>
            <w14:solidFill>
              <w14:schemeClr w14:val="tx1"/>
            </w14:solidFill>
          </w14:textFill>
        </w:rPr>
        <w:t xml:space="preserve">3.3 承包人人员</w:t>
      </w:r>
      <w:bookmarkEnd w:id="158"/>
      <w:r/>
      <w:bookmarkEnd w:id="159"/>
      <w:r/>
      <w:bookmarkEnd w:id="160"/>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开工前3天</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3.3.2 承包人无正当理由拒绝撤换主要施工管理人员的违约责任：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每天每人支付发包人1000元违约金</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3.3.3 承包人主要施工管理人员离开施工现场的批准要求：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经发包人同意方可离开，否则处以每人/次1000元并承担违约责任。</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3.3.4承包人擅自更换主要施工管理人员的违约责任：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无故不得更换，所造成的一切损失由承包人承担。</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每人/次1000元并承担违约责任。</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61" w:name="_Toc1011775723"/>
      <w:r/>
      <w:bookmarkStart w:id="162" w:name="_Toc29840"/>
      <w:r/>
      <w:bookmarkStart w:id="163" w:name="_Toc824057593"/>
      <w:r>
        <w:rPr>
          <w:rFonts w:hint="eastAsia" w:ascii="宋体" w:hAnsi="宋体" w:eastAsia="宋体" w:cs="宋体"/>
          <w:color w:val="000000" w:themeColor="text1"/>
          <w:sz w:val="24"/>
          <w:szCs w:val="24"/>
          <w:highlight w:val="none"/>
          <w14:textFill>
            <w14:solidFill>
              <w14:schemeClr w14:val="tx1"/>
            </w14:solidFill>
          </w14:textFill>
        </w:rPr>
        <w:t xml:space="preserve">3.3.5 技术负责人</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专业：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；职称等级：</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164" w:name="_Toc303539102"/>
      <w:r/>
      <w:bookmarkStart w:id="165" w:name="_Toc292559869"/>
      <w:r/>
      <w:bookmarkStart w:id="166" w:name="_Toc304295523"/>
      <w:r/>
      <w:bookmarkStart w:id="167" w:name="_Toc300934945"/>
      <w:r/>
      <w:bookmarkStart w:id="168" w:name="_Toc296346660"/>
      <w:r/>
      <w:bookmarkStart w:id="169" w:name="_Toc292559364"/>
      <w:r/>
      <w:bookmarkStart w:id="170" w:name="_Toc296503159"/>
      <w:r/>
      <w:bookmarkStart w:id="171" w:name="_Toc296890987"/>
      <w:r/>
      <w:bookmarkStart w:id="172" w:name="_Toc297123492"/>
      <w:r/>
      <w:bookmarkStart w:id="173" w:name="_Toc297120459"/>
      <w:r/>
      <w:bookmarkStart w:id="174" w:name="_Toc312677988"/>
      <w:r/>
      <w:bookmarkStart w:id="175" w:name="_Toc297216151"/>
      <w:r/>
      <w:bookmarkStart w:id="176" w:name="_Toc296347158"/>
      <w:r/>
      <w:bookmarkStart w:id="177" w:name="_Toc296891199"/>
      <w:r/>
      <w:bookmarkStart w:id="178" w:name="_Toc296944498"/>
      <w:r/>
      <w:bookmarkStart w:id="179" w:name="_Toc297048345"/>
      <w:r>
        <w:rPr>
          <w:rFonts w:hint="eastAsia" w:ascii="宋体" w:hAnsi="宋体" w:eastAsia="宋体" w:cs="宋体"/>
          <w:color w:val="000000" w:themeColor="text1"/>
          <w:sz w:val="24"/>
          <w:szCs w:val="24"/>
          <w:highlight w:val="none"/>
          <w14:textFill>
            <w14:solidFill>
              <w14:schemeClr w14:val="tx1"/>
            </w14:solidFill>
          </w14:textFill>
        </w:rPr>
        <w:t xml:space="preserve">.4 分包</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180" w:name="_Toc296891200"/>
      <w:r/>
      <w:bookmarkStart w:id="181" w:name="_Toc297048346"/>
      <w:r/>
      <w:bookmarkStart w:id="182" w:name="_Toc296347159"/>
      <w:r/>
      <w:bookmarkStart w:id="183" w:name="_Toc292559365"/>
      <w:r/>
      <w:bookmarkStart w:id="184" w:name="_Toc292559870"/>
      <w:r/>
      <w:bookmarkStart w:id="185" w:name="_Toc296944499"/>
      <w:r/>
      <w:bookmarkStart w:id="186" w:name="_Toc303539103"/>
      <w:r/>
      <w:bookmarkStart w:id="187" w:name="_Toc297120460"/>
      <w:r/>
      <w:bookmarkStart w:id="188" w:name="_Toc296346661"/>
      <w:r/>
      <w:bookmarkStart w:id="189" w:name="_Toc297216152"/>
      <w:r/>
      <w:bookmarkStart w:id="190" w:name="_Toc300934946"/>
      <w:r/>
      <w:bookmarkStart w:id="191" w:name="_Toc318581158"/>
      <w:r/>
      <w:bookmarkStart w:id="192" w:name="_Toc296890988"/>
      <w:r/>
      <w:bookmarkStart w:id="193" w:name="_Toc296503160"/>
      <w:r/>
      <w:bookmarkStart w:id="194" w:name="_Toc297123493"/>
      <w:r/>
      <w:bookmarkStart w:id="195" w:name="_Toc312677989"/>
      <w:r/>
      <w:bookmarkStart w:id="196" w:name="_Toc304295524"/>
      <w:r>
        <w:rPr>
          <w:rFonts w:hint="eastAsia" w:ascii="宋体" w:hAnsi="宋体" w:eastAsia="宋体" w:cs="宋体"/>
          <w:color w:val="000000" w:themeColor="text1"/>
          <w:sz w:val="24"/>
          <w:szCs w:val="24"/>
          <w:highlight w:val="none"/>
          <w14:textFill>
            <w14:solidFill>
              <w14:schemeClr w14:val="tx1"/>
            </w14:solidFill>
          </w14:textFill>
        </w:rPr>
        <w:t xml:space="preserve">.4.1 分包的一般约定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禁止分包的工程包括：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本工程禁止分包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主体结构、关键性工作的范围：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Start w:id="197" w:name="_Toc303539104"/>
      <w:r/>
      <w:bookmarkEnd w:id="197"/>
      <w:r/>
      <w:bookmarkStart w:id="198" w:name="_Toc297120461"/>
      <w:r/>
      <w:bookmarkEnd w:id="198"/>
      <w:r/>
      <w:bookmarkStart w:id="199" w:name="_Toc296891201"/>
      <w:r/>
      <w:bookmarkEnd w:id="199"/>
      <w:r/>
      <w:bookmarkStart w:id="200" w:name="_Toc297048347"/>
      <w:r/>
      <w:bookmarkEnd w:id="200"/>
      <w:r/>
      <w:bookmarkStart w:id="201" w:name="_Toc300934947"/>
      <w:r/>
      <w:bookmarkEnd w:id="201"/>
      <w:r/>
      <w:bookmarkStart w:id="202" w:name="_Toc296503161"/>
      <w:r/>
      <w:bookmarkEnd w:id="202"/>
      <w:r/>
      <w:bookmarkStart w:id="203" w:name="_Toc296347160"/>
      <w:r/>
      <w:bookmarkEnd w:id="203"/>
      <w:r/>
      <w:bookmarkStart w:id="204" w:name="_Toc296890989"/>
      <w:r/>
      <w:bookmarkEnd w:id="204"/>
      <w:r/>
      <w:bookmarkStart w:id="205" w:name="_Toc297123494"/>
      <w:r/>
      <w:bookmarkEnd w:id="205"/>
      <w:r/>
      <w:bookmarkStart w:id="206" w:name="_Toc296944500"/>
      <w:r/>
      <w:bookmarkEnd w:id="206"/>
      <w:r/>
      <w:bookmarkStart w:id="207" w:name="_Toc304295525"/>
      <w:r/>
      <w:bookmarkEnd w:id="207"/>
      <w:r/>
      <w:bookmarkStart w:id="208" w:name="_Toc296346662"/>
      <w:r/>
      <w:bookmarkEnd w:id="208"/>
      <w:r/>
      <w:bookmarkStart w:id="209" w:name="_Toc297216153"/>
      <w:r/>
      <w:bookmarkEnd w:id="209"/>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w:t>
      </w:r>
      <w:bookmarkStart w:id="210" w:name="_Toc312677990"/>
      <w:r/>
      <w:bookmarkStart w:id="211" w:name="_Toc318581159"/>
      <w:r>
        <w:rPr>
          <w:rFonts w:hint="eastAsia" w:ascii="宋体" w:hAnsi="宋体" w:eastAsia="宋体" w:cs="宋体"/>
          <w:color w:val="000000" w:themeColor="text1"/>
          <w:sz w:val="24"/>
          <w:szCs w:val="24"/>
          <w:highlight w:val="none"/>
          <w14:textFill>
            <w14:solidFill>
              <w14:schemeClr w14:val="tx1"/>
            </w14:solidFill>
          </w14:textFill>
        </w:rPr>
        <w:t xml:space="preserve">.4.2分包的确定</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允许分包的专业工程包括：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涉及分包的工程内容，分包工程承包人的资格应符合国家相关规定。</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其他关于分包的约定：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3.4.3 分包合同价款</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关于分包合同价款支付的约定：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10"/>
      <w:r/>
      <w:bookmarkEnd w:id="211"/>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12" w:name="_Toc1754831627"/>
      <w:r/>
      <w:bookmarkStart w:id="213" w:name="_Toc30018"/>
      <w:r/>
      <w:bookmarkStart w:id="214" w:name="_Toc1926667033"/>
      <w:r>
        <w:rPr>
          <w:rFonts w:hint="eastAsia" w:ascii="宋体" w:hAnsi="宋体" w:eastAsia="宋体" w:cs="宋体"/>
          <w:color w:val="000000" w:themeColor="text1"/>
          <w:sz w:val="24"/>
          <w:szCs w:val="24"/>
          <w:highlight w:val="none"/>
          <w14:textFill>
            <w14:solidFill>
              <w14:schemeClr w14:val="tx1"/>
            </w14:solidFill>
          </w14:textFill>
        </w:rPr>
        <w:t xml:space="preserve">3.5工程照管与成品、半成品保护</w:t>
      </w:r>
      <w:bookmarkEnd w:id="212"/>
      <w:r/>
      <w:bookmarkEnd w:id="213"/>
      <w:r/>
      <w:bookmarkEnd w:id="214"/>
      <w:r/>
      <w:r/>
    </w:p>
    <w:p>
      <w:pPr>
        <w:pStyle w:val="872"/>
        <w:ind w:firstLine="480"/>
        <w:keepLines/>
        <w:keepNext w:val="0"/>
        <w:pageBreakBefore w:val="0"/>
        <w:spacing w:before="120" w:after="120"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3.5.1承包人负责照管工程及工程相关的材料、工程设备的起始时间：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从工程开工至发包人同意交付使用，在此期间承包人负责照管工程。</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3.5.2 现状树木的保护起始时间：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3.6 履约担保</w:t>
      </w:r>
      <w:r/>
    </w:p>
    <w:p>
      <w:pPr>
        <w:pStyle w:val="872"/>
        <w:ind w:left="596"/>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承包人是否提供履约担保：</w:t>
      </w:r>
      <w:r>
        <w:rPr>
          <w:rFonts w:hint="eastAsia" w:ascii="宋体" w:hAnsi="宋体" w:eastAsia="宋体" w:cs="宋体"/>
          <w:color w:val="000000" w:themeColor="text1"/>
          <w:sz w:val="24"/>
          <w:szCs w:val="24"/>
          <w:highlight w:val="none"/>
          <w:u w:val="single"/>
          <w14:textFill>
            <w14:solidFill>
              <w14:schemeClr w14:val="tx1"/>
            </w14:solidFill>
          </w14:textFill>
        </w:rPr>
        <w:t xml:space="preserve">提供</w:t>
      </w:r>
      <w:r>
        <w:rPr>
          <w:rFonts w:hint="eastAsia" w:ascii="宋体" w:hAnsi="宋体" w:eastAsia="宋体" w:cs="宋体"/>
          <w:color w:val="000000" w:themeColor="text1"/>
          <w:sz w:val="24"/>
          <w:szCs w:val="24"/>
          <w:highlight w:val="none"/>
          <w14:textFill>
            <w14:solidFill>
              <w14:schemeClr w14:val="tx1"/>
            </w14:solidFill>
          </w14:textFill>
        </w:rPr>
        <w:t xml:space="preserve">。本款补充：</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履约担保金额及方式：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承包人提供履约担保的形式、金额及期限：履约保证金的形式：网银、银行电汇或者银行保函；履约保证金的金额：中标价的 10%。投标人在收到中标通知书领取通知后，须在 10 个工作日内向招标人足额提交履约保证金，否则招标人可以取消其中标资格。履约保证金的返还：待工程竣工验收合格后一次性无息返还履约保证金或退还履约保函。</w:t>
      </w:r>
      <w:r>
        <w:rPr>
          <w:rFonts w:hint="eastAsia" w:ascii="宋体" w:hAnsi="宋体" w:eastAsia="宋体" w:cs="宋体"/>
          <w:color w:val="000000" w:themeColor="text1"/>
          <w:sz w:val="24"/>
          <w:szCs w:val="24"/>
          <w:highlight w:val="none"/>
          <w14:textFill>
            <w14:solidFill>
              <w14:schemeClr w14:val="tx1"/>
            </w14:solidFill>
          </w14:textFill>
        </w:rPr>
        <w:t xml:space="preserve">履约担保的有效期至本工程竣工验收合格为止。</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215" w:name="_Toc1195865979"/>
      <w:r/>
      <w:bookmarkStart w:id="216" w:name="_Toc2142794716"/>
      <w:r>
        <w:rPr>
          <w:rFonts w:hint="eastAsia" w:ascii="宋体" w:hAnsi="宋体" w:eastAsia="宋体" w:cs="宋体"/>
          <w:b w:val="0"/>
          <w:color w:val="000000" w:themeColor="text1"/>
          <w:sz w:val="24"/>
          <w:szCs w:val="24"/>
          <w:highlight w:val="none"/>
          <w14:textFill>
            <w14:solidFill>
              <w14:schemeClr w14:val="tx1"/>
            </w14:solidFill>
          </w14:textFill>
        </w:rPr>
        <w:t xml:space="preserve">4</w:t>
      </w:r>
      <w:bookmarkStart w:id="217" w:name="_Toc292559366"/>
      <w:r/>
      <w:bookmarkStart w:id="218" w:name="_Toc267251413"/>
      <w:r/>
      <w:bookmarkStart w:id="219" w:name="_Toc297120462"/>
      <w:r/>
      <w:bookmarkStart w:id="220" w:name="_Toc296944501"/>
      <w:r/>
      <w:bookmarkStart w:id="221" w:name="_Toc296346663"/>
      <w:r/>
      <w:bookmarkStart w:id="222" w:name="_Toc297048348"/>
      <w:r/>
      <w:bookmarkStart w:id="223" w:name="_Toc296347161"/>
      <w:r/>
      <w:bookmarkStart w:id="224" w:name="_Toc296503162"/>
      <w:r/>
      <w:bookmarkStart w:id="225" w:name="_Toc296890990"/>
      <w:r/>
      <w:bookmarkStart w:id="226" w:name="_Toc292559871"/>
      <w:r/>
      <w:bookmarkStart w:id="227" w:name="_Toc296891202"/>
      <w:r>
        <w:rPr>
          <w:rFonts w:hint="eastAsia" w:ascii="宋体" w:hAnsi="宋体" w:eastAsia="宋体" w:cs="宋体"/>
          <w:b w:val="0"/>
          <w:color w:val="000000" w:themeColor="text1"/>
          <w:sz w:val="24"/>
          <w:szCs w:val="24"/>
          <w:highlight w:val="none"/>
          <w14:textFill>
            <w14:solidFill>
              <w14:schemeClr w14:val="tx1"/>
            </w14:solidFill>
          </w14:textFill>
        </w:rPr>
        <w:t xml:space="preserve">. 监</w:t>
      </w:r>
      <w:bookmarkEnd w:id="217"/>
      <w:r/>
      <w:bookmarkEnd w:id="218"/>
      <w:r/>
      <w:bookmarkEnd w:id="219"/>
      <w:r/>
      <w:bookmarkEnd w:id="220"/>
      <w:r/>
      <w:bookmarkEnd w:id="221"/>
      <w:r/>
      <w:bookmarkEnd w:id="222"/>
      <w:r/>
      <w:bookmarkEnd w:id="223"/>
      <w:r/>
      <w:bookmarkEnd w:id="224"/>
      <w:r/>
      <w:bookmarkEnd w:id="225"/>
      <w:r/>
      <w:bookmarkEnd w:id="226"/>
      <w:r/>
      <w:bookmarkEnd w:id="227"/>
      <w:r>
        <w:rPr>
          <w:rFonts w:hint="eastAsia" w:ascii="宋体" w:hAnsi="宋体" w:eastAsia="宋体" w:cs="宋体"/>
          <w:b w:val="0"/>
          <w:color w:val="000000" w:themeColor="text1"/>
          <w:sz w:val="24"/>
          <w:szCs w:val="24"/>
          <w:highlight w:val="none"/>
          <w14:textFill>
            <w14:solidFill>
              <w14:schemeClr w14:val="tx1"/>
            </w14:solidFill>
          </w14:textFill>
        </w:rPr>
        <w:t xml:space="preserve">理人</w:t>
      </w:r>
      <w:bookmarkEnd w:id="215"/>
      <w:r/>
      <w:bookmarkEnd w:id="21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28" w:name="_Toc22333"/>
      <w:r/>
      <w:bookmarkStart w:id="229" w:name="_Toc189823449"/>
      <w:r/>
      <w:bookmarkStart w:id="230" w:name="_Toc1325789808"/>
      <w:r>
        <w:rPr>
          <w:rFonts w:hint="eastAsia" w:ascii="宋体" w:hAnsi="宋体" w:eastAsia="宋体" w:cs="宋体"/>
          <w:color w:val="000000" w:themeColor="text1"/>
          <w:sz w:val="24"/>
          <w:szCs w:val="24"/>
          <w:highlight w:val="none"/>
          <w14:textFill>
            <w14:solidFill>
              <w14:schemeClr w14:val="tx1"/>
            </w14:solidFill>
          </w14:textFill>
        </w:rPr>
        <w:t xml:space="preserve">4.1监理人的一般规定</w:t>
      </w:r>
      <w:bookmarkEnd w:id="228"/>
      <w:r/>
      <w:bookmarkEnd w:id="229"/>
      <w:r/>
      <w:bookmarkEnd w:id="230"/>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关于监理人的监理内容：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详见监理合同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关于监理人的监理权限：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详见监理合同</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关于监理人在施工现场的办公场所、生活场所的提供和费用承担的约定：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监理人在施工现场的办公场所、生活场所由承包人提供，费用由承包人承担。</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31" w:name="_Toc1416"/>
      <w:r/>
      <w:bookmarkStart w:id="232" w:name="_Toc1881790026"/>
      <w:r/>
      <w:bookmarkStart w:id="233" w:name="_Toc1275710936"/>
      <w:r>
        <w:rPr>
          <w:rFonts w:hint="eastAsia" w:ascii="宋体" w:hAnsi="宋体" w:eastAsia="宋体" w:cs="宋体"/>
          <w:color w:val="000000" w:themeColor="text1"/>
          <w:sz w:val="24"/>
          <w:szCs w:val="24"/>
          <w:highlight w:val="none"/>
          <w14:textFill>
            <w14:solidFill>
              <w14:schemeClr w14:val="tx1"/>
            </w14:solidFill>
          </w14:textFill>
        </w:rPr>
        <w:t xml:space="preserve">4.2 监理人员</w:t>
      </w:r>
      <w:bookmarkEnd w:id="231"/>
      <w:r/>
      <w:bookmarkEnd w:id="232"/>
      <w:r/>
      <w:bookmarkEnd w:id="233"/>
      <w:r/>
      <w:r/>
    </w:p>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总监理工程师：</w:t>
      </w:r>
      <w:r/>
    </w:p>
    <w:p>
      <w:pPr>
        <w:pStyle w:val="924"/>
        <w:ind w:left="63" w:right="63"/>
        <w:keepLines/>
        <w:keepNext w:val="0"/>
        <w:pageBreakBefore w:val="0"/>
        <w:spacing w:line="360" w:lineRule="auto"/>
        <w:widowControl w:val="off"/>
        <w:tabs>
          <w:tab w:val="left" w:pos="1162" w:leader="none"/>
          <w:tab w:val="left" w:pos="410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名：</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4"/>
        <w:ind w:left="63" w:right="63"/>
        <w:keepLines/>
        <w:keepNext w:val="0"/>
        <w:pageBreakBefore w:val="0"/>
        <w:spacing w:before="78" w:line="360" w:lineRule="auto"/>
        <w:widowControl w:val="off"/>
        <w:tabs>
          <w:tab w:val="left" w:pos="1162" w:leader="none"/>
          <w:tab w:val="left" w:pos="410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务</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4"/>
        <w:ind w:left="63" w:right="63"/>
        <w:keepLines/>
        <w:keepNext w:val="0"/>
        <w:pageBreakBefore w:val="0"/>
        <w:spacing w:before="78"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监理工程师执业资格证书号：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924"/>
        <w:ind w:left="63" w:right="63"/>
        <w:keepLines/>
        <w:keepNext w:val="0"/>
        <w:pageBreakBefore w:val="0"/>
        <w:spacing w:before="78" w:line="360" w:lineRule="auto"/>
        <w:widowControl w:val="off"/>
        <w:tabs>
          <w:tab w:val="left" w:pos="778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4"/>
        <w:ind w:left="63" w:right="63"/>
        <w:keepLines/>
        <w:keepNext w:val="0"/>
        <w:pageBreakBefore w:val="0"/>
        <w:spacing w:before="78" w:line="360" w:lineRule="auto"/>
        <w:widowControl w:val="off"/>
        <w:tabs>
          <w:tab w:val="left" w:pos="384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4"/>
        <w:ind w:left="63" w:right="63"/>
        <w:keepLines/>
        <w:keepNext w:val="0"/>
        <w:pageBreakBefore w:val="0"/>
        <w:spacing w:before="78" w:line="360" w:lineRule="auto"/>
        <w:widowControl w:val="off"/>
        <w:tabs>
          <w:tab w:val="left" w:pos="384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通信地址：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关于监理人的其他约定：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详见监理合同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34" w:name="_Toc351297407"/>
      <w:r/>
      <w:bookmarkStart w:id="235" w:name="_Toc20339"/>
      <w:r/>
      <w:bookmarkStart w:id="236" w:name="_Toc1839233093"/>
      <w:r>
        <w:rPr>
          <w:rFonts w:hint="eastAsia" w:ascii="宋体" w:hAnsi="宋体" w:eastAsia="宋体" w:cs="宋体"/>
          <w:color w:val="000000" w:themeColor="text1"/>
          <w:sz w:val="24"/>
          <w:szCs w:val="24"/>
          <w:highlight w:val="none"/>
          <w14:textFill>
            <w14:solidFill>
              <w14:schemeClr w14:val="tx1"/>
            </w14:solidFill>
          </w14:textFill>
        </w:rPr>
        <w:t xml:space="preserve">4.3 商定或确定</w:t>
      </w:r>
      <w:bookmarkEnd w:id="234"/>
      <w:r/>
      <w:bookmarkEnd w:id="235"/>
      <w:r/>
      <w:bookmarkEnd w:id="23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237" w:name="_Toc267251418"/>
      <w:r>
        <w:rPr>
          <w:rFonts w:hint="eastAsia" w:ascii="宋体" w:hAnsi="宋体" w:eastAsia="宋体" w:cs="宋体"/>
          <w:color w:val="000000" w:themeColor="text1"/>
          <w:sz w:val="24"/>
          <w:szCs w:val="24"/>
          <w:highlight w:val="none"/>
          <w14:textFill>
            <w14:solidFill>
              <w14:schemeClr w14:val="tx1"/>
            </w14:solidFill>
          </w14:textFill>
        </w:rPr>
        <w:t xml:space="preserve">在发包人和承包人不能通过协商达成一致意见时，发包人授权监理人对以下事项进行确定：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238" w:name="_Toc441549874"/>
      <w:r/>
      <w:bookmarkStart w:id="239" w:name="_Toc1767461773"/>
      <w:r>
        <w:rPr>
          <w:rFonts w:hint="eastAsia" w:ascii="宋体" w:hAnsi="宋体" w:eastAsia="宋体" w:cs="宋体"/>
          <w:b w:val="0"/>
          <w:color w:val="000000" w:themeColor="text1"/>
          <w:sz w:val="24"/>
          <w:szCs w:val="24"/>
          <w:highlight w:val="none"/>
          <w14:textFill>
            <w14:solidFill>
              <w14:schemeClr w14:val="tx1"/>
            </w14:solidFill>
          </w14:textFill>
        </w:rPr>
        <w:t xml:space="preserve">5</w:t>
      </w:r>
      <w:bookmarkEnd w:id="237"/>
      <w:r/>
      <w:bookmarkStart w:id="240" w:name="_Toc292559872"/>
      <w:r/>
      <w:bookmarkStart w:id="241" w:name="_Toc296891203"/>
      <w:r/>
      <w:bookmarkStart w:id="242" w:name="_Toc296890991"/>
      <w:r/>
      <w:bookmarkStart w:id="243" w:name="_Toc296347162"/>
      <w:r/>
      <w:bookmarkStart w:id="244" w:name="_Toc297120463"/>
      <w:r/>
      <w:bookmarkStart w:id="245" w:name="_Toc297048349"/>
      <w:r/>
      <w:bookmarkStart w:id="246" w:name="_Toc296944502"/>
      <w:r/>
      <w:bookmarkStart w:id="247" w:name="_Toc296503163"/>
      <w:r/>
      <w:bookmarkStart w:id="248" w:name="_Toc292559367"/>
      <w:r/>
      <w:bookmarkStart w:id="249" w:name="_Toc296346664"/>
      <w:r>
        <w:rPr>
          <w:rFonts w:hint="eastAsia" w:ascii="宋体" w:hAnsi="宋体" w:eastAsia="宋体" w:cs="宋体"/>
          <w:b w:val="0"/>
          <w:color w:val="000000" w:themeColor="text1"/>
          <w:sz w:val="24"/>
          <w:szCs w:val="24"/>
          <w:highlight w:val="none"/>
          <w14:textFill>
            <w14:solidFill>
              <w14:schemeClr w14:val="tx1"/>
            </w14:solidFill>
          </w14:textFill>
        </w:rPr>
        <w:t xml:space="preserve">. 工程质量</w:t>
      </w:r>
      <w:bookmarkEnd w:id="238"/>
      <w:r/>
      <w:bookmarkEnd w:id="23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50" w:name="_Toc1592482993"/>
      <w:r/>
      <w:bookmarkStart w:id="251" w:name="_Toc928117446"/>
      <w:r/>
      <w:bookmarkStart w:id="252" w:name="_Toc18820"/>
      <w:r>
        <w:rPr>
          <w:rFonts w:hint="eastAsia" w:ascii="宋体" w:hAnsi="宋体" w:eastAsia="宋体" w:cs="宋体"/>
          <w:color w:val="000000" w:themeColor="text1"/>
          <w:sz w:val="24"/>
          <w:szCs w:val="24"/>
          <w:highlight w:val="none"/>
          <w14:textFill>
            <w14:solidFill>
              <w14:schemeClr w14:val="tx1"/>
            </w14:solidFill>
          </w14:textFill>
        </w:rPr>
        <w:t xml:space="preserve">5.1 质量要求</w:t>
      </w:r>
      <w:bookmarkEnd w:id="250"/>
      <w:r/>
      <w:bookmarkEnd w:id="251"/>
      <w:r/>
      <w:bookmarkEnd w:id="252"/>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bookmarkStart w:id="253" w:name="_Toc297216155"/>
      <w:r/>
      <w:bookmarkStart w:id="254" w:name="_Toc297123496"/>
      <w:r/>
      <w:bookmarkStart w:id="255" w:name="_Toc312677997"/>
      <w:r/>
      <w:bookmarkStart w:id="256" w:name="_Toc304295527"/>
      <w:r/>
      <w:bookmarkStart w:id="257" w:name="_Toc318581164"/>
      <w:r/>
      <w:bookmarkStart w:id="258" w:name="_Toc303539106"/>
      <w:r/>
      <w:bookmarkStart w:id="259" w:name="_Toc300934949"/>
      <w:r>
        <w:rPr>
          <w:rFonts w:hint="eastAsia" w:ascii="宋体" w:hAnsi="宋体" w:eastAsia="宋体" w:cs="宋体"/>
          <w:color w:val="000000" w:themeColor="text1"/>
          <w:sz w:val="24"/>
          <w:szCs w:val="24"/>
          <w:highlight w:val="none"/>
          <w14:textFill>
            <w14:solidFill>
              <w14:schemeClr w14:val="tx1"/>
            </w14:solidFill>
          </w14:textFill>
        </w:rPr>
        <w:t xml:space="preserve">.1.1 特殊质量标准和要求：</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工程质量标准必须符合现行国家有关工程施工质量验收规范和标准的要求。</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关于工程奖项的约定：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创优要求：优良（获得“扬子杯”以上奖项）</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60" w:name="_Toc15546"/>
      <w:r/>
      <w:bookmarkStart w:id="261" w:name="_Toc462538044"/>
      <w:r/>
      <w:bookmarkStart w:id="262" w:name="_Toc1292415266"/>
      <w:r>
        <w:rPr>
          <w:rFonts w:hint="eastAsia" w:ascii="宋体" w:hAnsi="宋体" w:eastAsia="宋体" w:cs="宋体"/>
          <w:color w:val="000000" w:themeColor="text1"/>
          <w:sz w:val="24"/>
          <w:szCs w:val="24"/>
          <w:highlight w:val="none"/>
          <w14:textFill>
            <w14:solidFill>
              <w14:schemeClr w14:val="tx1"/>
            </w14:solidFill>
          </w14:textFill>
        </w:rPr>
        <w:t xml:space="preserve">5.2 隐蔽工程检查</w:t>
      </w:r>
      <w:bookmarkEnd w:id="260"/>
      <w:r/>
      <w:bookmarkEnd w:id="261"/>
      <w:r/>
      <w:bookmarkEnd w:id="262"/>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5.2.1承包人提前通知监理人隐蔽工程检查的期限的约定：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共同检查前48小时书面通知监理人。</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监理人不能按时进行检查时，应提前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小时提交书面延期要求。</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48</w:t>
      </w:r>
      <w:r>
        <w:rPr>
          <w:rFonts w:hint="eastAsia" w:ascii="宋体" w:hAnsi="宋体" w:eastAsia="宋体" w:cs="宋体"/>
          <w:color w:val="000000" w:themeColor="text1"/>
          <w:sz w:val="24"/>
          <w:szCs w:val="24"/>
          <w:highlight w:val="none"/>
          <w14:textFill>
            <w14:solidFill>
              <w14:schemeClr w14:val="tx1"/>
            </w14:solidFill>
          </w14:textFill>
        </w:rPr>
        <w:t xml:space="preserve">小时。</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263" w:name="_Toc1885616336"/>
      <w:r/>
      <w:bookmarkStart w:id="264" w:name="_Toc714606691"/>
      <w:r>
        <w:rPr>
          <w:rFonts w:hint="eastAsia" w:ascii="宋体" w:hAnsi="宋体" w:eastAsia="宋体" w:cs="宋体"/>
          <w:b w:val="0"/>
          <w:color w:val="000000" w:themeColor="text1"/>
          <w:sz w:val="24"/>
          <w:szCs w:val="24"/>
          <w:highlight w:val="none"/>
          <w14:textFill>
            <w14:solidFill>
              <w14:schemeClr w14:val="tx1"/>
            </w14:solidFill>
          </w14:textFill>
        </w:rPr>
        <w:t xml:space="preserve">6. 安全文明施工与环境保护</w:t>
      </w:r>
      <w:bookmarkEnd w:id="263"/>
      <w:r/>
      <w:bookmarkEnd w:id="26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65" w:name="_Toc11638"/>
      <w:r/>
      <w:bookmarkStart w:id="266" w:name="_Toc552749545"/>
      <w:r/>
      <w:bookmarkStart w:id="267" w:name="_Toc526548747"/>
      <w:r>
        <w:rPr>
          <w:rFonts w:hint="eastAsia" w:ascii="宋体" w:hAnsi="宋体" w:eastAsia="宋体" w:cs="宋体"/>
          <w:color w:val="000000" w:themeColor="text1"/>
          <w:sz w:val="24"/>
          <w:szCs w:val="24"/>
          <w:highlight w:val="none"/>
          <w14:textFill>
            <w14:solidFill>
              <w14:schemeClr w14:val="tx1"/>
            </w14:solidFill>
          </w14:textFill>
        </w:rPr>
        <w:t xml:space="preserve">6.1安全文明施工</w:t>
      </w:r>
      <w:bookmarkEnd w:id="265"/>
      <w:r/>
      <w:bookmarkEnd w:id="266"/>
      <w:r/>
      <w:bookmarkEnd w:id="267"/>
      <w:r/>
      <w:r/>
    </w:p>
    <w:p>
      <w:pPr>
        <w:pStyle w:val="872"/>
        <w:ind w:left="111"/>
        <w:jc w:val="left"/>
        <w:keepLines/>
        <w:keepNext w:val="0"/>
        <w:pageBreakBefore w:val="0"/>
        <w:spacing w:line="360" w:lineRule="auto"/>
        <w:widowControl w:val="off"/>
        <w:tabs>
          <w:tab w:val="left" w:pos="5092"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 项目安全生产的达标目标及相应事项的约定：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本工程要求全封闭围挡施工，建筑围挡达相关规范及文明城创建要求，喷雾防尘设施必须覆盖全部施工作业区。按照六个 100%标准执行：施工现场围挡 100%、施工道路硬化 100%、裸土覆盖 100%、现场喷淋设备 100%、出入车辆冲洗 100%、渣土车运输封闭 100%，均包括在投标报价内。</w:t>
      </w:r>
      <w:r/>
    </w:p>
    <w:p>
      <w:pPr>
        <w:pStyle w:val="872"/>
        <w:jc w:val="left"/>
        <w:keepLines/>
        <w:keepNext w:val="0"/>
        <w:pageBreakBefore w:val="0"/>
        <w:spacing w:before="72" w:line="360" w:lineRule="auto"/>
        <w:widowControl w:val="off"/>
        <w:tabs>
          <w:tab w:val="left" w:pos="743"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6.1.2 关于治安保卫的特别约定：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建筑安装工程安全施工措施费用已含在中标合同总价内，应专款专用，承包人不准挪作它用，承包人应按工程要求提供和维护施工照明、看守、围栏和警示。</w:t>
      </w:r>
      <w:r/>
    </w:p>
    <w:p>
      <w:pPr>
        <w:pStyle w:val="872"/>
        <w:jc w:val="left"/>
        <w:keepLines/>
        <w:keepNext w:val="0"/>
        <w:pageBreakBefore w:val="0"/>
        <w:spacing w:before="78"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因承包人未履行上述义务造成的工程财产损失及人身伤害，由承包人承担法律责任并承担因此而发生的所有费用。</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关于编制施工场地治安管理计划的约定：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由承包人编制</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6.1.3 文明施工</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合同当事人对文明施工的要求：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6.1.4 关于安全文明施工费支付比例和支付期限的约定：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同工程款支付比例及支付期限</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68" w:name="_Toc1716959566"/>
      <w:r/>
      <w:bookmarkStart w:id="269" w:name="_Toc584454933"/>
      <w:r>
        <w:rPr>
          <w:rFonts w:hint="eastAsia" w:ascii="宋体" w:hAnsi="宋体" w:eastAsia="宋体" w:cs="宋体"/>
          <w:color w:val="000000" w:themeColor="text1"/>
          <w:sz w:val="24"/>
          <w:szCs w:val="24"/>
          <w:highlight w:val="none"/>
          <w14:textFill>
            <w14:solidFill>
              <w14:schemeClr w14:val="tx1"/>
            </w14:solidFill>
          </w14:textFill>
        </w:rPr>
        <w:t xml:space="preserve">6.2 环境保护</w:t>
      </w:r>
      <w:bookmarkEnd w:id="268"/>
      <w:r/>
      <w:bookmarkEnd w:id="269"/>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合同当事人对农药、肥料的使用要求：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53"/>
      <w:r/>
      <w:bookmarkEnd w:id="254"/>
      <w:r/>
      <w:bookmarkEnd w:id="255"/>
      <w:r/>
      <w:bookmarkEnd w:id="256"/>
      <w:r/>
      <w:bookmarkEnd w:id="257"/>
      <w:r/>
      <w:bookmarkEnd w:id="258"/>
      <w:r/>
      <w:bookmarkEnd w:id="259"/>
      <w:r/>
      <w:r/>
    </w:p>
    <w:p>
      <w:pPr>
        <w:pStyle w:val="878"/>
        <w:numPr>
          <w:ilvl w:val="0"/>
          <w:numId w:val="23"/>
        </w:numPr>
        <w:keepLines/>
        <w:keepNext w:val="0"/>
        <w:pageBreakBefore w:val="0"/>
        <w:spacing w:line="360" w:lineRule="auto"/>
        <w:widowControl w:val="off"/>
        <w:tabs>
          <w:tab w:val="left" w:pos="397" w:leader="none"/>
        </w:tabs>
        <w:rPr>
          <w:rFonts w:hint="eastAsia" w:ascii="宋体" w:hAnsi="宋体" w:eastAsia="宋体" w:cs="宋体"/>
          <w:b w:val="0"/>
          <w:color w:val="000000" w:themeColor="text1"/>
          <w:sz w:val="24"/>
          <w:szCs w:val="24"/>
          <w:highlight w:val="none"/>
          <w14:textFill>
            <w14:solidFill>
              <w14:schemeClr w14:val="tx1"/>
            </w14:solidFill>
          </w14:textFill>
        </w:rPr>
      </w:pPr>
      <w:r/>
      <w:bookmarkStart w:id="270" w:name="_Toc1019739217"/>
      <w:r/>
      <w:bookmarkStart w:id="271" w:name="_Toc309374293"/>
      <w:r>
        <w:rPr>
          <w:rFonts w:hint="eastAsia" w:ascii="宋体" w:hAnsi="宋体" w:eastAsia="宋体" w:cs="宋体"/>
          <w:b w:val="0"/>
          <w:color w:val="000000" w:themeColor="text1"/>
          <w:sz w:val="24"/>
          <w:szCs w:val="24"/>
          <w:highlight w:val="none"/>
          <w14:textFill>
            <w14:solidFill>
              <w14:schemeClr w14:val="tx1"/>
            </w14:solidFill>
          </w14:textFill>
        </w:rPr>
        <w:t xml:space="preserve">工期和进度</w:t>
      </w:r>
      <w:bookmarkEnd w:id="270"/>
      <w:r/>
      <w:bookmarkEnd w:id="271"/>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72" w:name="_Toc152004302"/>
      <w:r/>
      <w:bookmarkStart w:id="273" w:name="_Toc829052215"/>
      <w:r/>
      <w:bookmarkStart w:id="274" w:name="_Toc20685"/>
      <w:r>
        <w:rPr>
          <w:rFonts w:hint="eastAsia" w:ascii="宋体" w:hAnsi="宋体" w:eastAsia="宋体" w:cs="宋体"/>
          <w:color w:val="000000" w:themeColor="text1"/>
          <w:sz w:val="24"/>
          <w:szCs w:val="24"/>
          <w:highlight w:val="none"/>
          <w14:textFill>
            <w14:solidFill>
              <w14:schemeClr w14:val="tx1"/>
            </w14:solidFill>
          </w14:textFill>
        </w:rPr>
        <w:t xml:space="preserve">7.1 施工组织设计</w:t>
      </w:r>
      <w:bookmarkEnd w:id="272"/>
      <w:r/>
      <w:bookmarkEnd w:id="273"/>
      <w:r/>
      <w:bookmarkEnd w:id="27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75" w:name="_Toc856803142"/>
      <w:r/>
      <w:bookmarkStart w:id="276" w:name="_Toc1337492230"/>
      <w:r>
        <w:rPr>
          <w:rFonts w:hint="eastAsia" w:ascii="宋体" w:hAnsi="宋体" w:eastAsia="宋体" w:cs="宋体"/>
          <w:color w:val="000000" w:themeColor="text1"/>
          <w:sz w:val="24"/>
          <w:szCs w:val="24"/>
          <w:highlight w:val="none"/>
          <w14:textFill>
            <w14:solidFill>
              <w14:schemeClr w14:val="tx1"/>
            </w14:solidFill>
          </w14:textFill>
        </w:rPr>
        <w:t xml:space="preserve">7.1.1 工程涉及以下内容的，合同当事人约定的施工组织设计还应包括此类工程内容的专项施工方案：</w:t>
      </w:r>
      <w:bookmarkEnd w:id="275"/>
      <w:r/>
      <w:bookmarkEnd w:id="27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77" w:name="_Toc650023867"/>
      <w:r/>
      <w:bookmarkStart w:id="278" w:name="_Toc1488833316"/>
      <w:r>
        <w:rPr>
          <w:rFonts w:hint="eastAsia" w:ascii="宋体" w:hAnsi="宋体" w:eastAsia="宋体" w:cs="宋体"/>
          <w:color w:val="000000" w:themeColor="text1"/>
          <w:sz w:val="24"/>
          <w:szCs w:val="24"/>
          <w:highlight w:val="none"/>
          <w14:textFill>
            <w14:solidFill>
              <w14:schemeClr w14:val="tx1"/>
            </w14:solidFill>
          </w14:textFill>
        </w:rPr>
        <w:t xml:space="preserve">¨现状树木保护；</w:t>
      </w:r>
      <w:bookmarkEnd w:id="277"/>
      <w:r/>
      <w:bookmarkEnd w:id="27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79" w:name="_Toc382208328"/>
      <w:r/>
      <w:bookmarkStart w:id="280" w:name="_Toc266056742"/>
      <w:r>
        <w:rPr>
          <w:rFonts w:hint="eastAsia" w:ascii="宋体" w:hAnsi="宋体" w:eastAsia="宋体" w:cs="宋体"/>
          <w:color w:val="000000" w:themeColor="text1"/>
          <w:sz w:val="24"/>
          <w:szCs w:val="24"/>
          <w:highlight w:val="none"/>
          <w14:textFill>
            <w14:solidFill>
              <w14:schemeClr w14:val="tx1"/>
            </w14:solidFill>
          </w14:textFill>
        </w:rPr>
        <w:t xml:space="preserve">¨古树名木保护;</w:t>
      </w:r>
      <w:bookmarkEnd w:id="279"/>
      <w:r/>
      <w:bookmarkEnd w:id="280"/>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81" w:name="_Toc1350692319"/>
      <w:r/>
      <w:bookmarkStart w:id="282" w:name="_Toc1137515080"/>
      <w:r>
        <w:rPr>
          <w:rFonts w:hint="eastAsia" w:ascii="宋体" w:hAnsi="宋体" w:eastAsia="宋体" w:cs="宋体"/>
          <w:color w:val="000000" w:themeColor="text1"/>
          <w:sz w:val="24"/>
          <w:szCs w:val="24"/>
          <w:highlight w:val="none"/>
          <w14:textFill>
            <w14:solidFill>
              <w14:schemeClr w14:val="tx1"/>
            </w14:solidFill>
          </w14:textFill>
        </w:rPr>
        <w:t xml:space="preserve">¨土壤改良;</w:t>
      </w:r>
      <w:bookmarkEnd w:id="281"/>
      <w:r/>
      <w:bookmarkEnd w:id="282"/>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83" w:name="_Toc630504734"/>
      <w:r/>
      <w:bookmarkStart w:id="284" w:name="_Toc1673538922"/>
      <w:r>
        <w:rPr>
          <w:rFonts w:hint="eastAsia" w:ascii="宋体" w:hAnsi="宋体" w:eastAsia="宋体" w:cs="宋体"/>
          <w:color w:val="000000" w:themeColor="text1"/>
          <w:sz w:val="24"/>
          <w:szCs w:val="24"/>
          <w:highlight w:val="none"/>
          <w14:textFill>
            <w14:solidFill>
              <w14:schemeClr w14:val="tx1"/>
            </w14:solidFill>
          </w14:textFill>
        </w:rPr>
        <w:t xml:space="preserve">¨其他内容：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执行通用条款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83"/>
      <w:r/>
      <w:bookmarkEnd w:id="28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7.1.2施工组织设计的提交和修改</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承包人提交详细施工组织设计的期限的约定：执行通用条款。</w:t>
      </w:r>
      <w:r/>
    </w:p>
    <w:p>
      <w:pPr>
        <w:pStyle w:val="924"/>
        <w:ind w:left="63" w:right="63"/>
        <w:jc w:val="left"/>
        <w:keepLines/>
        <w:keepNext w:val="0"/>
        <w:pageBreakBefore w:val="0"/>
        <w:spacing w:before="76" w:line="360" w:lineRule="auto"/>
        <w:widowControl w:val="off"/>
        <w:tabs>
          <w:tab w:val="left" w:pos="8095"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发包人和监理人应在监理人收到施工组织设计后 7天内确认或提出修改意见。对发包人和监理人提出的合理意见和要求，承包人应自费修改完善。根据工程实际情况需要修改施工组织设计的，承包人应向发包人和监理人提交修改后的施工组织设计。</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85" w:name="_Toc2142813545"/>
      <w:r/>
      <w:bookmarkStart w:id="286" w:name="_Toc1135946897"/>
      <w:r/>
      <w:bookmarkStart w:id="287" w:name="_Toc14427"/>
      <w:r>
        <w:rPr>
          <w:rFonts w:hint="eastAsia" w:ascii="宋体" w:hAnsi="宋体" w:eastAsia="宋体" w:cs="宋体"/>
          <w:color w:val="000000" w:themeColor="text1"/>
          <w:sz w:val="24"/>
          <w:szCs w:val="24"/>
          <w:highlight w:val="none"/>
          <w14:textFill>
            <w14:solidFill>
              <w14:schemeClr w14:val="tx1"/>
            </w14:solidFill>
          </w14:textFill>
        </w:rPr>
        <w:t xml:space="preserve">7</w:t>
      </w:r>
      <w:bookmarkStart w:id="288" w:name="_Toc297216173"/>
      <w:r/>
      <w:bookmarkStart w:id="289" w:name="_Toc312677479"/>
      <w:r/>
      <w:bookmarkStart w:id="290" w:name="_Toc312678005"/>
      <w:r/>
      <w:bookmarkStart w:id="291" w:name="_Toc297123514"/>
      <w:r/>
      <w:bookmarkStart w:id="292" w:name="_Toc303539123"/>
      <w:r/>
      <w:bookmarkStart w:id="293" w:name="_Toc304295541"/>
      <w:r/>
      <w:bookmarkStart w:id="294" w:name="_Toc300934966"/>
      <w:r>
        <w:rPr>
          <w:rFonts w:hint="eastAsia" w:ascii="宋体" w:hAnsi="宋体" w:eastAsia="宋体" w:cs="宋体"/>
          <w:color w:val="000000" w:themeColor="text1"/>
          <w:sz w:val="24"/>
          <w:szCs w:val="24"/>
          <w:highlight w:val="none"/>
          <w14:textFill>
            <w14:solidFill>
              <w14:schemeClr w14:val="tx1"/>
            </w14:solidFill>
          </w14:textFill>
        </w:rPr>
        <w:t xml:space="preserve">.2 施工进度计划</w:t>
      </w:r>
      <w:bookmarkEnd w:id="285"/>
      <w:r/>
      <w:bookmarkEnd w:id="286"/>
      <w:r/>
      <w:bookmarkEnd w:id="287"/>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7.2.1 施工进度计划的修订</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发包人和监理人应在收到修订的施工进度计划后 7天内完成审核和批准或提出修改意见。发包人和监理人对承包人提交的施工进度计划的确认，不能减轻或免除承包人根据法律规定和合同约定应承担的任何责任或义务</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95" w:name="_Toc1263038917"/>
      <w:r/>
      <w:bookmarkStart w:id="296" w:name="_Toc1253067105"/>
      <w:r/>
      <w:bookmarkStart w:id="297" w:name="_Toc6687"/>
      <w:r>
        <w:rPr>
          <w:rFonts w:hint="eastAsia" w:ascii="宋体" w:hAnsi="宋体" w:eastAsia="宋体" w:cs="宋体"/>
          <w:color w:val="000000" w:themeColor="text1"/>
          <w:sz w:val="24"/>
          <w:szCs w:val="24"/>
          <w:highlight w:val="none"/>
          <w14:textFill>
            <w14:solidFill>
              <w14:schemeClr w14:val="tx1"/>
            </w14:solidFill>
          </w14:textFill>
        </w:rPr>
        <w:t xml:space="preserve">7.3 开工</w:t>
      </w:r>
      <w:bookmarkEnd w:id="295"/>
      <w:r/>
      <w:bookmarkEnd w:id="296"/>
      <w:r/>
      <w:bookmarkEnd w:id="297"/>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7.3.1 开工准备</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关于承包人提交工程开工报审表的期限：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按照批准的施工组织设计。</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关于发包人应完成的其他开工准备工作及期限：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不约定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关于承包人应完成的其他开工准备工作及期限：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不约定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7.3.2开工通知</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因发包人原因或监理人未能在计划开工日期之日起</w:t>
      </w:r>
      <w:r>
        <w:rPr>
          <w:rFonts w:hint="eastAsia" w:ascii="宋体" w:hAnsi="宋体" w:eastAsia="宋体" w:cs="宋体"/>
          <w:color w:val="000000" w:themeColor="text1"/>
          <w:sz w:val="24"/>
          <w:szCs w:val="24"/>
          <w:highlight w:val="none"/>
          <w:u w:val="single"/>
          <w14:textFill>
            <w14:solidFill>
              <w14:schemeClr w14:val="tx1"/>
            </w14:solidFill>
          </w14:textFill>
        </w:rPr>
        <w:t xml:space="preserve">90</w:t>
      </w:r>
      <w:r>
        <w:rPr>
          <w:rFonts w:hint="eastAsia" w:ascii="宋体" w:hAnsi="宋体" w:eastAsia="宋体" w:cs="宋体"/>
          <w:color w:val="000000" w:themeColor="text1"/>
          <w:sz w:val="24"/>
          <w:szCs w:val="24"/>
          <w:highlight w:val="none"/>
          <w14:textFill>
            <w14:solidFill>
              <w14:schemeClr w14:val="tx1"/>
            </w14:solidFill>
          </w14:textFill>
        </w:rPr>
        <w:t xml:space="preserve">天内发出开工通知的，承包人有权提出价格调整要求，或者解除合同。</w:t>
      </w:r>
      <w:bookmarkEnd w:id="288"/>
      <w:r/>
      <w:bookmarkEnd w:id="289"/>
      <w:r/>
      <w:bookmarkEnd w:id="290"/>
      <w:r/>
      <w:bookmarkEnd w:id="291"/>
      <w:r/>
      <w:bookmarkEnd w:id="292"/>
      <w:r/>
      <w:bookmarkEnd w:id="293"/>
      <w:r/>
      <w:bookmarkEnd w:id="29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298" w:name="_Toc96331289"/>
      <w:r/>
      <w:bookmarkStart w:id="299" w:name="_Toc17408"/>
      <w:r/>
      <w:bookmarkStart w:id="300" w:name="_Toc19537660"/>
      <w:r>
        <w:rPr>
          <w:rFonts w:hint="eastAsia" w:ascii="宋体" w:hAnsi="宋体" w:eastAsia="宋体" w:cs="宋体"/>
          <w:color w:val="000000" w:themeColor="text1"/>
          <w:sz w:val="24"/>
          <w:szCs w:val="24"/>
          <w:highlight w:val="none"/>
          <w14:textFill>
            <w14:solidFill>
              <w14:schemeClr w14:val="tx1"/>
            </w14:solidFill>
          </w14:textFill>
        </w:rPr>
        <w:t xml:space="preserve">7.4 测量放线</w:t>
      </w:r>
      <w:bookmarkEnd w:id="298"/>
      <w:r/>
      <w:bookmarkEnd w:id="299"/>
      <w:r/>
      <w:bookmarkEnd w:id="300"/>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7.4.1发包人或发包人通过监理人向承包人提供测量基准点、基准线和水准点及其书面资料的期限：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开工前7天</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01" w:name="_Toc1986698096"/>
      <w:r/>
      <w:bookmarkStart w:id="302" w:name="_Toc20355"/>
      <w:r/>
      <w:bookmarkStart w:id="303" w:name="_Toc117950900"/>
      <w:r>
        <w:rPr>
          <w:rFonts w:hint="eastAsia" w:ascii="宋体" w:hAnsi="宋体" w:eastAsia="宋体" w:cs="宋体"/>
          <w:color w:val="000000" w:themeColor="text1"/>
          <w:sz w:val="24"/>
          <w:szCs w:val="24"/>
          <w:highlight w:val="none"/>
          <w14:textFill>
            <w14:solidFill>
              <w14:schemeClr w14:val="tx1"/>
            </w14:solidFill>
          </w14:textFill>
        </w:rPr>
        <w:t xml:space="preserve">7</w:t>
      </w:r>
      <w:bookmarkStart w:id="304" w:name="_Toc304295546"/>
      <w:r/>
      <w:bookmarkStart w:id="305" w:name="_Toc300934968"/>
      <w:r/>
      <w:bookmarkStart w:id="306" w:name="_Toc312677484"/>
      <w:r/>
      <w:bookmarkStart w:id="307" w:name="_Toc303539125"/>
      <w:r/>
      <w:bookmarkStart w:id="308" w:name="_Toc297123516"/>
      <w:r/>
      <w:bookmarkStart w:id="309" w:name="_Toc312678010"/>
      <w:r/>
      <w:bookmarkStart w:id="310" w:name="_Toc297216175"/>
      <w:r>
        <w:rPr>
          <w:rFonts w:hint="eastAsia" w:ascii="宋体" w:hAnsi="宋体" w:eastAsia="宋体" w:cs="宋体"/>
          <w:color w:val="000000" w:themeColor="text1"/>
          <w:sz w:val="24"/>
          <w:szCs w:val="24"/>
          <w:highlight w:val="none"/>
          <w14:textFill>
            <w14:solidFill>
              <w14:schemeClr w14:val="tx1"/>
            </w14:solidFill>
          </w14:textFill>
        </w:rPr>
        <w:t xml:space="preserve">.5 工期延误</w:t>
      </w:r>
      <w:bookmarkEnd w:id="301"/>
      <w:r/>
      <w:bookmarkEnd w:id="302"/>
      <w:r/>
      <w:bookmarkEnd w:id="303"/>
      <w:r/>
      <w:bookmarkEnd w:id="304"/>
      <w:r/>
      <w:bookmarkEnd w:id="305"/>
      <w:r/>
      <w:bookmarkEnd w:id="306"/>
      <w:r/>
      <w:bookmarkEnd w:id="307"/>
      <w:r/>
      <w:bookmarkEnd w:id="308"/>
      <w:r/>
      <w:bookmarkEnd w:id="309"/>
      <w:r/>
      <w:bookmarkEnd w:id="310"/>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7.5.1 因发包人原因导致工期延误</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（7）因发包人原因导致工期延误的其他情形：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因发包人原因造成工期延误的只对工期延长其他不做任何调整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bookmarkStart w:id="311" w:name="_Toc318581169"/>
      <w:r/>
      <w:bookmarkStart w:id="312" w:name="_Toc312677486"/>
      <w:r/>
      <w:bookmarkStart w:id="313" w:name="_Toc312678012"/>
      <w:r/>
      <w:bookmarkStart w:id="314" w:name="_Toc297123518"/>
      <w:r/>
      <w:bookmarkStart w:id="315" w:name="_Toc297216177"/>
      <w:r/>
      <w:bookmarkStart w:id="316" w:name="_Toc304295548"/>
      <w:r/>
      <w:bookmarkStart w:id="317" w:name="_Toc300934970"/>
      <w:r/>
      <w:bookmarkStart w:id="318" w:name="_Toc303539127"/>
      <w:r>
        <w:rPr>
          <w:rFonts w:hint="eastAsia" w:ascii="宋体" w:hAnsi="宋体" w:eastAsia="宋体" w:cs="宋体"/>
          <w:color w:val="000000" w:themeColor="text1"/>
          <w:sz w:val="24"/>
          <w:szCs w:val="24"/>
          <w:highlight w:val="none"/>
          <w14:textFill>
            <w14:solidFill>
              <w14:schemeClr w14:val="tx1"/>
            </w14:solidFill>
          </w14:textFill>
        </w:rPr>
        <w:t xml:space="preserve">.5.2 因承包人原因导致工期延误</w:t>
      </w:r>
      <w:bookmarkEnd w:id="311"/>
      <w:r/>
      <w:bookmarkEnd w:id="312"/>
      <w:r/>
      <w:bookmarkEnd w:id="313"/>
      <w:r/>
      <w:r/>
    </w:p>
    <w:p>
      <w:pPr>
        <w:pStyle w:val="924"/>
        <w:ind w:left="63" w:right="63"/>
        <w:jc w:val="left"/>
        <w:keepLines/>
        <w:keepNext w:val="0"/>
        <w:pageBreakBefore w:val="0"/>
        <w:spacing w:line="360" w:lineRule="auto"/>
        <w:widowControl w:val="off"/>
        <w:tabs>
          <w:tab w:val="left" w:pos="620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w:t>
      </w:r>
      <w:bookmarkStart w:id="319" w:name="_Toc312678013"/>
      <w:r/>
      <w:bookmarkStart w:id="320" w:name="_Toc312677487"/>
      <w:r/>
      <w:bookmarkStart w:id="321" w:name="_Toc318581170"/>
      <w:r>
        <w:rPr>
          <w:rFonts w:hint="eastAsia" w:ascii="宋体" w:hAnsi="宋体" w:eastAsia="宋体" w:cs="宋体"/>
          <w:color w:val="000000" w:themeColor="text1"/>
          <w:sz w:val="24"/>
          <w:szCs w:val="24"/>
          <w:highlight w:val="none"/>
          <w14:textFill>
            <w14:solidFill>
              <w14:schemeClr w14:val="tx1"/>
            </w14:solidFill>
          </w14:textFill>
        </w:rPr>
        <w:t xml:space="preserve">承包人原因造成工期延误，逾期竣工违约金的计算方法为：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中标人合同工期每延误一天扣20000 元工程款并承担违约责任。</w:t>
      </w:r>
      <w:bookmarkEnd w:id="314"/>
      <w:r/>
      <w:bookmarkEnd w:id="315"/>
      <w:r/>
      <w:bookmarkEnd w:id="316"/>
      <w:r/>
      <w:bookmarkEnd w:id="317"/>
      <w:r/>
      <w:bookmarkEnd w:id="318"/>
      <w:r/>
      <w:bookmarkEnd w:id="319"/>
      <w:r/>
      <w:bookmarkEnd w:id="320"/>
      <w:r/>
      <w:bookmarkEnd w:id="321"/>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因承包人原因造成工期延误，逾</w:t>
      </w:r>
      <w:bookmarkStart w:id="322" w:name="_Toc312678014"/>
      <w:r/>
      <w:bookmarkStart w:id="323" w:name="_Toc318581171"/>
      <w:r>
        <w:rPr>
          <w:rFonts w:hint="eastAsia" w:ascii="宋体" w:hAnsi="宋体" w:eastAsia="宋体" w:cs="宋体"/>
          <w:color w:val="000000" w:themeColor="text1"/>
          <w:sz w:val="24"/>
          <w:szCs w:val="24"/>
          <w:highlight w:val="none"/>
          <w14:textFill>
            <w14:solidFill>
              <w14:schemeClr w14:val="tx1"/>
            </w14:solidFill>
          </w14:textFill>
        </w:rPr>
        <w:t xml:space="preserve">期竣工违约金的上限：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无上限</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322"/>
      <w:r/>
      <w:bookmarkEnd w:id="32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24" w:name="_Toc28024"/>
      <w:r/>
      <w:bookmarkStart w:id="325" w:name="_Toc441299698"/>
      <w:r/>
      <w:bookmarkStart w:id="326" w:name="_Toc1834347369"/>
      <w:r>
        <w:rPr>
          <w:rFonts w:hint="eastAsia" w:ascii="宋体" w:hAnsi="宋体" w:eastAsia="宋体" w:cs="宋体"/>
          <w:color w:val="000000" w:themeColor="text1"/>
          <w:sz w:val="24"/>
          <w:szCs w:val="24"/>
          <w:highlight w:val="none"/>
          <w14:textFill>
            <w14:solidFill>
              <w14:schemeClr w14:val="tx1"/>
            </w14:solidFill>
          </w14:textFill>
        </w:rPr>
        <w:t xml:space="preserve">7</w:t>
      </w:r>
      <w:bookmarkStart w:id="327" w:name="_Toc304295549"/>
      <w:r/>
      <w:bookmarkStart w:id="328" w:name="_Toc297123519"/>
      <w:r/>
      <w:bookmarkStart w:id="329" w:name="_Toc303539128"/>
      <w:r/>
      <w:bookmarkStart w:id="330" w:name="_Toc297216178"/>
      <w:r/>
      <w:bookmarkStart w:id="331" w:name="_Toc300934971"/>
      <w:r/>
      <w:bookmarkStart w:id="332" w:name="_Toc312678015"/>
      <w:r>
        <w:rPr>
          <w:rFonts w:hint="eastAsia" w:ascii="宋体" w:hAnsi="宋体" w:eastAsia="宋体" w:cs="宋体"/>
          <w:color w:val="000000" w:themeColor="text1"/>
          <w:sz w:val="24"/>
          <w:szCs w:val="24"/>
          <w:highlight w:val="none"/>
          <w14:textFill>
            <w14:solidFill>
              <w14:schemeClr w14:val="tx1"/>
            </w14:solidFill>
          </w14:textFill>
        </w:rPr>
        <w:t xml:space="preserve">.6 不</w:t>
      </w:r>
      <w:bookmarkEnd w:id="327"/>
      <w:r/>
      <w:bookmarkEnd w:id="328"/>
      <w:r/>
      <w:bookmarkEnd w:id="329"/>
      <w:r/>
      <w:bookmarkEnd w:id="330"/>
      <w:r/>
      <w:bookmarkEnd w:id="331"/>
      <w:r/>
      <w:bookmarkEnd w:id="332"/>
      <w:r>
        <w:rPr>
          <w:rFonts w:hint="eastAsia" w:ascii="宋体" w:hAnsi="宋体" w:eastAsia="宋体" w:cs="宋体"/>
          <w:color w:val="000000" w:themeColor="text1"/>
          <w:sz w:val="24"/>
          <w:szCs w:val="24"/>
          <w:highlight w:val="none"/>
          <w14:textFill>
            <w14:solidFill>
              <w14:schemeClr w14:val="tx1"/>
            </w14:solidFill>
          </w14:textFill>
        </w:rPr>
        <w:t xml:space="preserve">利物质条件</w:t>
      </w:r>
      <w:bookmarkEnd w:id="324"/>
      <w:r/>
      <w:bookmarkEnd w:id="325"/>
      <w:r/>
      <w:bookmarkEnd w:id="326"/>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bookmarkStart w:id="333" w:name="_Toc297216179"/>
      <w:r/>
      <w:bookmarkStart w:id="334" w:name="_Toc303539129"/>
      <w:r/>
      <w:bookmarkStart w:id="335" w:name="_Toc300934972"/>
      <w:r/>
      <w:bookmarkStart w:id="336" w:name="_Toc297123520"/>
      <w:r/>
      <w:bookmarkStart w:id="337" w:name="_Toc318581172"/>
      <w:r/>
      <w:bookmarkStart w:id="338" w:name="_Toc312678016"/>
      <w:r/>
      <w:bookmarkStart w:id="339" w:name="_Toc304295550"/>
      <w:r>
        <w:rPr>
          <w:rFonts w:hint="eastAsia" w:ascii="宋体" w:hAnsi="宋体" w:eastAsia="宋体" w:cs="宋体"/>
          <w:color w:val="000000" w:themeColor="text1"/>
          <w:sz w:val="24"/>
          <w:szCs w:val="24"/>
          <w:highlight w:val="none"/>
          <w14:textFill>
            <w14:solidFill>
              <w14:schemeClr w14:val="tx1"/>
            </w14:solidFill>
          </w14:textFill>
        </w:rPr>
        <w:t xml:space="preserve">不利物质条件的其他情形和有关约定：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333"/>
      <w:r/>
      <w:bookmarkEnd w:id="334"/>
      <w:r/>
      <w:bookmarkEnd w:id="335"/>
      <w:r/>
      <w:bookmarkEnd w:id="336"/>
      <w:r/>
      <w:bookmarkEnd w:id="337"/>
      <w:r/>
      <w:bookmarkEnd w:id="338"/>
      <w:r/>
      <w:bookmarkEnd w:id="33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40" w:name="_Toc1225022270"/>
      <w:r/>
      <w:bookmarkStart w:id="341" w:name="_Toc1077505333"/>
      <w:r/>
      <w:bookmarkStart w:id="342" w:name="_Toc32335"/>
      <w:r>
        <w:rPr>
          <w:rFonts w:hint="eastAsia" w:ascii="宋体" w:hAnsi="宋体" w:eastAsia="宋体" w:cs="宋体"/>
          <w:color w:val="000000" w:themeColor="text1"/>
          <w:sz w:val="24"/>
          <w:szCs w:val="24"/>
          <w:highlight w:val="none"/>
          <w14:textFill>
            <w14:solidFill>
              <w14:schemeClr w14:val="tx1"/>
            </w14:solidFill>
          </w14:textFill>
        </w:rPr>
        <w:t xml:space="preserve">7</w:t>
      </w:r>
      <w:bookmarkStart w:id="343" w:name="_Toc312678017"/>
      <w:r/>
      <w:bookmarkStart w:id="344" w:name="_Toc297216180"/>
      <w:r/>
      <w:bookmarkStart w:id="345" w:name="_Toc297123521"/>
      <w:r/>
      <w:bookmarkStart w:id="346" w:name="_Toc303539130"/>
      <w:r/>
      <w:bookmarkStart w:id="347" w:name="_Toc304295551"/>
      <w:r/>
      <w:bookmarkStart w:id="348" w:name="_Toc300934973"/>
      <w:r>
        <w:rPr>
          <w:rFonts w:hint="eastAsia" w:ascii="宋体" w:hAnsi="宋体" w:eastAsia="宋体" w:cs="宋体"/>
          <w:color w:val="000000" w:themeColor="text1"/>
          <w:sz w:val="24"/>
          <w:szCs w:val="24"/>
          <w:highlight w:val="none"/>
          <w14:textFill>
            <w14:solidFill>
              <w14:schemeClr w14:val="tx1"/>
            </w14:solidFill>
          </w14:textFill>
        </w:rPr>
        <w:t xml:space="preserve">.7异常恶劣的气候条件</w:t>
      </w:r>
      <w:bookmarkEnd w:id="340"/>
      <w:r/>
      <w:bookmarkEnd w:id="341"/>
      <w:r/>
      <w:bookmarkEnd w:id="342"/>
      <w:r/>
      <w:bookmarkEnd w:id="343"/>
      <w:r/>
      <w:bookmarkEnd w:id="344"/>
      <w:r/>
      <w:bookmarkEnd w:id="345"/>
      <w:r/>
      <w:bookmarkEnd w:id="346"/>
      <w:r/>
      <w:bookmarkEnd w:id="347"/>
      <w:r/>
      <w:bookmarkEnd w:id="348"/>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发包人和承包人同意以下情形视为异常恶劣的气候条件：</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不约定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49" w:name="_Toc63384221"/>
      <w:r/>
      <w:bookmarkStart w:id="350" w:name="_Toc625782789"/>
      <w:r/>
      <w:bookmarkStart w:id="351" w:name="_Toc18194"/>
      <w:r>
        <w:rPr>
          <w:rFonts w:hint="eastAsia" w:ascii="宋体" w:hAnsi="宋体" w:eastAsia="宋体" w:cs="宋体"/>
          <w:color w:val="000000" w:themeColor="text1"/>
          <w:sz w:val="24"/>
          <w:szCs w:val="24"/>
          <w:highlight w:val="none"/>
          <w14:textFill>
            <w14:solidFill>
              <w14:schemeClr w14:val="tx1"/>
            </w14:solidFill>
          </w14:textFill>
        </w:rPr>
        <w:t xml:space="preserve">7.8 提前竣工的奖励</w:t>
      </w:r>
      <w:bookmarkEnd w:id="349"/>
      <w:r/>
      <w:bookmarkEnd w:id="350"/>
      <w:r/>
      <w:bookmarkEnd w:id="351"/>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7.8.1提前竣工的奖励：</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不奖励</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352" w:name="_Toc1290932324"/>
      <w:r/>
      <w:bookmarkStart w:id="353" w:name="_Toc1981848881"/>
      <w:r>
        <w:rPr>
          <w:rFonts w:hint="eastAsia" w:ascii="宋体" w:hAnsi="宋体" w:eastAsia="宋体" w:cs="宋体"/>
          <w:b w:val="0"/>
          <w:color w:val="000000" w:themeColor="text1"/>
          <w:sz w:val="24"/>
          <w:szCs w:val="24"/>
          <w:highlight w:val="none"/>
          <w14:textFill>
            <w14:solidFill>
              <w14:schemeClr w14:val="tx1"/>
            </w14:solidFill>
          </w14:textFill>
        </w:rPr>
        <w:t xml:space="preserve">8. 材料与设备</w:t>
      </w:r>
      <w:bookmarkEnd w:id="240"/>
      <w:r/>
      <w:bookmarkEnd w:id="241"/>
      <w:r/>
      <w:bookmarkEnd w:id="242"/>
      <w:r/>
      <w:bookmarkEnd w:id="243"/>
      <w:r/>
      <w:bookmarkEnd w:id="244"/>
      <w:r/>
      <w:bookmarkEnd w:id="245"/>
      <w:r/>
      <w:bookmarkEnd w:id="246"/>
      <w:r/>
      <w:bookmarkEnd w:id="247"/>
      <w:r/>
      <w:bookmarkEnd w:id="248"/>
      <w:r/>
      <w:bookmarkEnd w:id="249"/>
      <w:r/>
      <w:bookmarkEnd w:id="352"/>
      <w:r/>
      <w:bookmarkEnd w:id="35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54" w:name="_Toc489553729"/>
      <w:r/>
      <w:bookmarkStart w:id="355" w:name="_Toc1878"/>
      <w:r/>
      <w:bookmarkStart w:id="356" w:name="_Toc1549169060"/>
      <w:r>
        <w:rPr>
          <w:rFonts w:hint="eastAsia" w:ascii="宋体" w:hAnsi="宋体" w:eastAsia="宋体" w:cs="宋体"/>
          <w:color w:val="000000" w:themeColor="text1"/>
          <w:sz w:val="24"/>
          <w:szCs w:val="24"/>
          <w:highlight w:val="none"/>
          <w14:textFill>
            <w14:solidFill>
              <w14:schemeClr w14:val="tx1"/>
            </w14:solidFill>
          </w14:textFill>
        </w:rPr>
        <w:t xml:space="preserve">8</w:t>
      </w:r>
      <w:bookmarkStart w:id="357" w:name="_Toc300934979"/>
      <w:r/>
      <w:bookmarkStart w:id="358" w:name="_Toc292559877"/>
      <w:r/>
      <w:bookmarkStart w:id="359" w:name="_Toc297048353"/>
      <w:r/>
      <w:bookmarkStart w:id="360" w:name="_Toc296347166"/>
      <w:r/>
      <w:bookmarkStart w:id="361" w:name="_Toc312677493"/>
      <w:r/>
      <w:bookmarkStart w:id="362" w:name="_Toc304295556"/>
      <w:r/>
      <w:bookmarkStart w:id="363" w:name="_Toc296346668"/>
      <w:r/>
      <w:bookmarkStart w:id="364" w:name="_Toc297120467"/>
      <w:r/>
      <w:bookmarkStart w:id="365" w:name="_Toc312678019"/>
      <w:r/>
      <w:bookmarkStart w:id="366" w:name="_Toc303539136"/>
      <w:r/>
      <w:bookmarkStart w:id="367" w:name="_Toc297123527"/>
      <w:r/>
      <w:bookmarkStart w:id="368" w:name="_Toc280868654"/>
      <w:r/>
      <w:bookmarkStart w:id="369" w:name="_Toc296503167"/>
      <w:r/>
      <w:bookmarkStart w:id="370" w:name="_Toc292559372"/>
      <w:r/>
      <w:bookmarkStart w:id="371" w:name="_Toc297216186"/>
      <w:r/>
      <w:bookmarkStart w:id="372" w:name="_Toc296891207"/>
      <w:r/>
      <w:bookmarkStart w:id="373" w:name="_Toc296944506"/>
      <w:r/>
      <w:bookmarkStart w:id="374" w:name="_Toc296890995"/>
      <w:r/>
      <w:bookmarkStart w:id="375" w:name="_Toc280868656"/>
      <w:r/>
      <w:bookmarkStart w:id="376" w:name="_Toc280868655"/>
      <w:r/>
      <w:bookmarkStart w:id="377" w:name="_Toc267251424"/>
      <w:r>
        <w:rPr>
          <w:rFonts w:hint="eastAsia" w:ascii="宋体" w:hAnsi="宋体" w:eastAsia="宋体" w:cs="宋体"/>
          <w:color w:val="000000" w:themeColor="text1"/>
          <w:sz w:val="24"/>
          <w:szCs w:val="24"/>
          <w:highlight w:val="none"/>
          <w14:textFill>
            <w14:solidFill>
              <w14:schemeClr w14:val="tx1"/>
            </w14:solidFill>
          </w14:textFill>
        </w:rPr>
        <w:t xml:space="preserve">.1材料与工程设备的保管与使用</w:t>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bookmarkStart w:id="378" w:name="_Toc292559878"/>
      <w:r/>
      <w:bookmarkStart w:id="379" w:name="_Toc292559373"/>
      <w:r/>
      <w:bookmarkStart w:id="380" w:name="_Toc297048354"/>
      <w:r/>
      <w:bookmarkStart w:id="381" w:name="_Toc297123528"/>
      <w:r/>
      <w:bookmarkStart w:id="382" w:name="_Toc296347167"/>
      <w:r/>
      <w:bookmarkStart w:id="383" w:name="_Toc318581173"/>
      <w:r/>
      <w:bookmarkStart w:id="384" w:name="_Toc304295557"/>
      <w:r/>
      <w:bookmarkStart w:id="385" w:name="_Toc312678020"/>
      <w:r/>
      <w:bookmarkStart w:id="386" w:name="_Toc296503168"/>
      <w:r/>
      <w:bookmarkStart w:id="387" w:name="_Toc312677494"/>
      <w:r/>
      <w:bookmarkStart w:id="388" w:name="_Toc296890996"/>
      <w:r/>
      <w:bookmarkStart w:id="389" w:name="_Toc300934980"/>
      <w:r/>
      <w:bookmarkStart w:id="390" w:name="_Toc296891208"/>
      <w:r/>
      <w:bookmarkStart w:id="391" w:name="_Toc297120468"/>
      <w:r/>
      <w:bookmarkStart w:id="392" w:name="_Toc296944507"/>
      <w:r/>
      <w:bookmarkStart w:id="393" w:name="_Toc297216187"/>
      <w:r/>
      <w:bookmarkStart w:id="394" w:name="_Toc296346669"/>
      <w:r/>
      <w:bookmarkStart w:id="395" w:name="_Toc303539137"/>
      <w:r>
        <w:rPr>
          <w:rFonts w:hint="eastAsia" w:ascii="宋体" w:hAnsi="宋体" w:eastAsia="宋体" w:cs="宋体"/>
          <w:color w:val="000000" w:themeColor="text1"/>
          <w:sz w:val="24"/>
          <w:szCs w:val="24"/>
          <w:highlight w:val="none"/>
          <w14:textFill>
            <w14:solidFill>
              <w14:schemeClr w14:val="tx1"/>
            </w14:solidFill>
          </w14:textFill>
        </w:rPr>
        <w:t xml:space="preserve">.1.1发包人供应的苗木、材料设备的保管费用的承担：</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承包人承担</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378"/>
      <w:r/>
      <w:bookmarkEnd w:id="37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96" w:name="_Toc1698965056"/>
      <w:r/>
      <w:bookmarkStart w:id="397" w:name="_Toc15421"/>
      <w:r/>
      <w:bookmarkStart w:id="398" w:name="_Toc1602926888"/>
      <w:r>
        <w:rPr>
          <w:rFonts w:hint="eastAsia" w:ascii="宋体" w:hAnsi="宋体" w:eastAsia="宋体" w:cs="宋体"/>
          <w:color w:val="000000" w:themeColor="text1"/>
          <w:sz w:val="24"/>
          <w:szCs w:val="24"/>
          <w:highlight w:val="none"/>
          <w14:textFill>
            <w14:solidFill>
              <w14:schemeClr w14:val="tx1"/>
            </w14:solidFill>
          </w14:textFill>
        </w:rPr>
        <w:t xml:space="preserve">8.2 样品</w:t>
      </w:r>
      <w:bookmarkEnd w:id="396"/>
      <w:r/>
      <w:bookmarkEnd w:id="397"/>
      <w:r/>
      <w:bookmarkEnd w:id="39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399" w:name="_Toc658422827"/>
      <w:r/>
      <w:bookmarkStart w:id="400" w:name="_Toc155224400"/>
      <w:r>
        <w:rPr>
          <w:rFonts w:hint="eastAsia" w:ascii="宋体" w:hAnsi="宋体" w:eastAsia="宋体" w:cs="宋体"/>
          <w:color w:val="000000" w:themeColor="text1"/>
          <w:sz w:val="24"/>
          <w:szCs w:val="24"/>
          <w:highlight w:val="none"/>
          <w14:textFill>
            <w14:solidFill>
              <w14:schemeClr w14:val="tx1"/>
            </w14:solidFill>
          </w14:textFill>
        </w:rPr>
        <w:t xml:space="preserve">8.2.1样品的报送与封存</w:t>
      </w:r>
      <w:bookmarkEnd w:id="399"/>
      <w:r/>
      <w:bookmarkEnd w:id="400"/>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需要承包人报送样品的材料或工程设备，样品的种类、名称、规格、数量要求：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承包人需按照招标人要求提供样品</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401" w:name="_Toc22773"/>
      <w:r/>
      <w:bookmarkStart w:id="402" w:name="_Toc1156517039"/>
      <w:r/>
      <w:bookmarkStart w:id="403" w:name="_Toc268737114"/>
      <w:r>
        <w:rPr>
          <w:rFonts w:hint="eastAsia" w:ascii="宋体" w:hAnsi="宋体" w:eastAsia="宋体" w:cs="宋体"/>
          <w:color w:val="000000" w:themeColor="text1"/>
          <w:sz w:val="24"/>
          <w:szCs w:val="24"/>
          <w:highlight w:val="none"/>
          <w14:textFill>
            <w14:solidFill>
              <w14:schemeClr w14:val="tx1"/>
            </w14:solidFill>
          </w14:textFill>
        </w:rPr>
        <w:t xml:space="preserve">8.3 施工设备和临时设施</w:t>
      </w:r>
      <w:bookmarkEnd w:id="401"/>
      <w:r/>
      <w:bookmarkEnd w:id="402"/>
      <w:r/>
      <w:bookmarkEnd w:id="403"/>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8.3.1 承包人提供的施工设备和临时设施</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关于修建临时设施费用承担的约定：</w:t>
      </w:r>
      <w:bookmarkEnd w:id="375"/>
      <w:r/>
      <w:bookmarkEnd w:id="376"/>
      <w:r/>
      <w:bookmarkEnd w:id="377"/>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404" w:name="_Toc351203641"/>
      <w:r/>
      <w:bookmarkStart w:id="405" w:name="_Toc303539146"/>
      <w:r/>
      <w:bookmarkStart w:id="406" w:name="_Toc296891021"/>
      <w:r/>
      <w:bookmarkStart w:id="407" w:name="_Toc292559903"/>
      <w:r/>
      <w:bookmarkStart w:id="408" w:name="_Toc297123540"/>
      <w:r/>
      <w:bookmarkStart w:id="409" w:name="_Toc297120493"/>
      <w:r/>
      <w:bookmarkStart w:id="410" w:name="_Toc300934989"/>
      <w:r/>
      <w:bookmarkStart w:id="411" w:name="_Toc296944532"/>
      <w:r/>
      <w:bookmarkStart w:id="412" w:name="_Toc304295566"/>
      <w:r/>
      <w:bookmarkStart w:id="413" w:name="_Toc292559398"/>
      <w:r/>
      <w:bookmarkStart w:id="414" w:name="_Toc312677499"/>
      <w:r/>
      <w:bookmarkStart w:id="415" w:name="_Toc297048379"/>
      <w:r/>
      <w:bookmarkStart w:id="416" w:name="_Toc312678025"/>
      <w:r/>
      <w:bookmarkStart w:id="417" w:name="_Toc296347192"/>
      <w:r/>
      <w:bookmarkStart w:id="418" w:name="_Toc296503193"/>
      <w:r/>
      <w:bookmarkStart w:id="419" w:name="_Toc297216199"/>
      <w:r/>
      <w:bookmarkStart w:id="420" w:name="_Toc296891233"/>
      <w:r/>
      <w:bookmarkStart w:id="421" w:name="_Toc296346694"/>
      <w:r/>
      <w:bookmarkStart w:id="422" w:name="_Toc267251437"/>
      <w:r/>
      <w:bookmarkStart w:id="423" w:name="_Toc267251433"/>
      <w:r/>
      <w:bookmarkStart w:id="424" w:name="_Toc267251441"/>
      <w:r/>
      <w:bookmarkStart w:id="425" w:name="_Toc267251440"/>
      <w:r/>
      <w:bookmarkStart w:id="426" w:name="_Toc267251435"/>
      <w:r/>
      <w:bookmarkStart w:id="427" w:name="_Toc267251439"/>
      <w:r/>
      <w:bookmarkStart w:id="428" w:name="_Toc267251442"/>
      <w:r>
        <w:rPr>
          <w:rFonts w:hint="eastAsia" w:ascii="宋体" w:hAnsi="宋体" w:eastAsia="宋体" w:cs="宋体"/>
          <w:color w:val="000000" w:themeColor="text1"/>
          <w:sz w:val="24"/>
          <w:szCs w:val="24"/>
          <w:highlight w:val="none"/>
          <w:u w:val="single"/>
          <w14:textFill>
            <w14:solidFill>
              <w14:schemeClr w14:val="tx1"/>
            </w14:solidFill>
          </w14:textFill>
        </w:rPr>
        <w:t xml:space="preserve">临时设施费用由投标人在其投标报价中考虑，由承包人承担，该报价中包括搭建、拆除外运等费用。</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429" w:name="_Toc1764962496"/>
      <w:r/>
      <w:bookmarkStart w:id="430" w:name="_Toc242413721"/>
      <w:r>
        <w:rPr>
          <w:rFonts w:hint="eastAsia" w:ascii="宋体" w:hAnsi="宋体" w:eastAsia="宋体" w:cs="宋体"/>
          <w:b w:val="0"/>
          <w:color w:val="000000" w:themeColor="text1"/>
          <w:sz w:val="24"/>
          <w:szCs w:val="24"/>
          <w:highlight w:val="none"/>
          <w14:textFill>
            <w14:solidFill>
              <w14:schemeClr w14:val="tx1"/>
            </w14:solidFill>
          </w14:textFill>
        </w:rPr>
        <w:t xml:space="preserve">9</w:t>
      </w:r>
      <w:bookmarkStart w:id="431" w:name="_Toc312677495"/>
      <w:r/>
      <w:bookmarkStart w:id="432" w:name="_Toc304295559"/>
      <w:r/>
      <w:bookmarkStart w:id="433" w:name="_Toc300934982"/>
      <w:r/>
      <w:bookmarkStart w:id="434" w:name="_Toc297123533"/>
      <w:r/>
      <w:bookmarkStart w:id="435" w:name="_Toc297216192"/>
      <w:r/>
      <w:bookmarkStart w:id="436" w:name="_Toc303539139"/>
      <w:r/>
      <w:bookmarkStart w:id="437" w:name="_Toc312678021"/>
      <w:r>
        <w:rPr>
          <w:rFonts w:hint="eastAsia" w:ascii="宋体" w:hAnsi="宋体" w:eastAsia="宋体" w:cs="宋体"/>
          <w:b w:val="0"/>
          <w:color w:val="000000" w:themeColor="text1"/>
          <w:sz w:val="24"/>
          <w:szCs w:val="24"/>
          <w:highlight w:val="none"/>
          <w14:textFill>
            <w14:solidFill>
              <w14:schemeClr w14:val="tx1"/>
            </w14:solidFill>
          </w14:textFill>
        </w:rPr>
        <w:t xml:space="preserve">. 试验与检验</w:t>
      </w:r>
      <w:bookmarkEnd w:id="404"/>
      <w:r/>
      <w:bookmarkEnd w:id="429"/>
      <w:r/>
      <w:bookmarkEnd w:id="430"/>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438" w:name="_Toc6956"/>
      <w:r/>
      <w:bookmarkStart w:id="439" w:name="_Toc653733895"/>
      <w:r/>
      <w:bookmarkStart w:id="440" w:name="_Toc1351090379"/>
      <w:r/>
      <w:bookmarkStart w:id="441" w:name="_Toc351203565"/>
      <w:r>
        <w:rPr>
          <w:rFonts w:hint="eastAsia" w:ascii="宋体" w:hAnsi="宋体" w:eastAsia="宋体" w:cs="宋体"/>
          <w:color w:val="000000" w:themeColor="text1"/>
          <w:sz w:val="24"/>
          <w:szCs w:val="24"/>
          <w:highlight w:val="none"/>
          <w14:textFill>
            <w14:solidFill>
              <w14:schemeClr w14:val="tx1"/>
            </w14:solidFill>
          </w14:textFill>
        </w:rPr>
        <w:t xml:space="preserve">9</w:t>
      </w:r>
      <w:bookmarkStart w:id="442" w:name="_Toc337558785"/>
      <w:r>
        <w:rPr>
          <w:rFonts w:hint="eastAsia" w:ascii="宋体" w:hAnsi="宋体" w:eastAsia="宋体" w:cs="宋体"/>
          <w:color w:val="000000" w:themeColor="text1"/>
          <w:sz w:val="24"/>
          <w:szCs w:val="24"/>
          <w:highlight w:val="none"/>
          <w14:textFill>
            <w14:solidFill>
              <w14:schemeClr w14:val="tx1"/>
            </w14:solidFill>
          </w14:textFill>
        </w:rPr>
        <w:t xml:space="preserve">.1材料、工程设备和工程的试验和检验</w:t>
      </w:r>
      <w:bookmarkEnd w:id="438"/>
      <w:r/>
      <w:bookmarkEnd w:id="439"/>
      <w:r/>
      <w:bookmarkEnd w:id="440"/>
      <w:r/>
      <w:bookmarkEnd w:id="441"/>
      <w:r/>
      <w:bookmarkEnd w:id="442"/>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9.1.1 试验设备</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施工现场需要配置的试验场所：</w:t>
      </w:r>
      <w:r/>
    </w:p>
    <w:p>
      <w:pPr>
        <w:pStyle w:val="924"/>
        <w:ind w:left="63" w:right="63"/>
        <w:jc w:val="left"/>
        <w:keepLines/>
        <w:keepNext w:val="0"/>
        <w:pageBreakBefore w:val="0"/>
        <w:spacing w:before="76" w:line="360" w:lineRule="auto"/>
        <w:widowControl w:val="off"/>
        <w:tabs>
          <w:tab w:val="left" w:pos="428"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承包人自行考虑，费用由承包人承担。</w:t>
      </w:r>
      <w:r/>
    </w:p>
    <w:p>
      <w:pPr>
        <w:pStyle w:val="924"/>
        <w:ind w:left="63" w:right="63"/>
        <w:jc w:val="left"/>
        <w:keepLines/>
        <w:keepNext w:val="0"/>
        <w:pageBreakBefore w:val="0"/>
        <w:spacing w:before="72"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施工现场需要配备的试验设备：</w:t>
      </w:r>
      <w:r/>
    </w:p>
    <w:p>
      <w:pPr>
        <w:pStyle w:val="924"/>
        <w:ind w:left="483" w:right="63" w:hanging="420"/>
        <w:jc w:val="left"/>
        <w:keepLines/>
        <w:keepNext w:val="0"/>
        <w:pageBreakBefore w:val="0"/>
        <w:spacing w:line="360" w:lineRule="auto"/>
        <w:widowControl w:val="off"/>
        <w:tabs>
          <w:tab w:val="left" w:pos="428" w:leader="none"/>
          <w:tab w:val="left" w:pos="3997"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承包人自行考虑，费用由承包人承担</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施工现场需要具备的其他试验条件：</w:t>
      </w:r>
      <w:r/>
    </w:p>
    <w:p>
      <w:pPr>
        <w:pStyle w:val="924"/>
        <w:ind w:left="63" w:right="63"/>
        <w:jc w:val="left"/>
        <w:keepLines/>
        <w:keepNext w:val="0"/>
        <w:pageBreakBefore w:val="0"/>
        <w:spacing w:line="360" w:lineRule="auto"/>
        <w:widowControl w:val="off"/>
        <w:tabs>
          <w:tab w:val="left" w:pos="42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承包人自行考虑，费用由承包人承担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9.3.4 关于送检材料的约定：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现场工艺试验</w:t>
      </w:r>
      <w:r/>
    </w:p>
    <w:p>
      <w:pPr>
        <w:pStyle w:val="924"/>
        <w:ind w:left="63" w:right="63"/>
        <w:jc w:val="left"/>
        <w:keepLines/>
        <w:keepNext w:val="0"/>
        <w:pageBreakBefore w:val="0"/>
        <w:spacing w:before="1"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现场工艺试验的有关约定：</w:t>
      </w:r>
      <w:r/>
    </w:p>
    <w:p>
      <w:pPr>
        <w:pStyle w:val="924"/>
        <w:ind w:left="63" w:right="63"/>
        <w:jc w:val="left"/>
        <w:keepLines/>
        <w:keepNext w:val="0"/>
        <w:pageBreakBefore w:val="0"/>
        <w:spacing w:line="360" w:lineRule="auto"/>
        <w:widowControl w:val="off"/>
        <w:tabs>
          <w:tab w:val="left" w:pos="533"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承包人根据相关法律、标准和规范及按照监理人指示进行试验并承担检测费用。</w:t>
      </w:r>
      <w:bookmarkEnd w:id="431"/>
      <w:r/>
      <w:bookmarkEnd w:id="432"/>
      <w:r/>
      <w:bookmarkEnd w:id="433"/>
      <w:r/>
      <w:bookmarkEnd w:id="434"/>
      <w:r/>
      <w:bookmarkEnd w:id="435"/>
      <w:r/>
      <w:bookmarkEnd w:id="436"/>
      <w:r/>
      <w:bookmarkEnd w:id="437"/>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443" w:name="_Toc458560564"/>
      <w:r/>
      <w:bookmarkStart w:id="444" w:name="_Toc334823199"/>
      <w:r>
        <w:rPr>
          <w:rFonts w:hint="eastAsia" w:ascii="宋体" w:hAnsi="宋体" w:eastAsia="宋体" w:cs="宋体"/>
          <w:b w:val="0"/>
          <w:color w:val="000000" w:themeColor="text1"/>
          <w:sz w:val="24"/>
          <w:szCs w:val="24"/>
          <w:highlight w:val="none"/>
          <w14:textFill>
            <w14:solidFill>
              <w14:schemeClr w14:val="tx1"/>
            </w14:solidFill>
          </w14:textFill>
        </w:rPr>
        <w:t xml:space="preserve">10. 变更</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43"/>
      <w:r/>
      <w:bookmarkEnd w:id="44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445" w:name="_Toc2124203747"/>
      <w:r/>
      <w:bookmarkStart w:id="446" w:name="_Toc7749"/>
      <w:r/>
      <w:bookmarkStart w:id="447" w:name="_Toc893189784"/>
      <w:r>
        <w:rPr>
          <w:rFonts w:hint="eastAsia" w:ascii="宋体" w:hAnsi="宋体" w:eastAsia="宋体" w:cs="宋体"/>
          <w:color w:val="000000" w:themeColor="text1"/>
          <w:sz w:val="24"/>
          <w:szCs w:val="24"/>
          <w:highlight w:val="none"/>
          <w14:textFill>
            <w14:solidFill>
              <w14:schemeClr w14:val="tx1"/>
            </w14:solidFill>
          </w14:textFill>
        </w:rPr>
        <w:t xml:space="preserve">1</w:t>
      </w:r>
      <w:bookmarkStart w:id="448" w:name="_Toc312678026"/>
      <w:r/>
      <w:bookmarkStart w:id="449" w:name="_Toc297048380"/>
      <w:r/>
      <w:bookmarkStart w:id="450" w:name="_Toc296347193"/>
      <w:r/>
      <w:bookmarkStart w:id="451" w:name="_Toc296503194"/>
      <w:r/>
      <w:bookmarkStart w:id="452" w:name="_Toc300934990"/>
      <w:r/>
      <w:bookmarkStart w:id="453" w:name="_Toc297120494"/>
      <w:r/>
      <w:bookmarkStart w:id="454" w:name="_Toc312677500"/>
      <w:r/>
      <w:bookmarkStart w:id="455" w:name="_Toc296346695"/>
      <w:r/>
      <w:bookmarkStart w:id="456" w:name="_Toc296891022"/>
      <w:r/>
      <w:bookmarkStart w:id="457" w:name="_Toc304295567"/>
      <w:r/>
      <w:bookmarkStart w:id="458" w:name="_Toc296891234"/>
      <w:r/>
      <w:bookmarkStart w:id="459" w:name="_Toc297216200"/>
      <w:r/>
      <w:bookmarkStart w:id="460" w:name="_Toc296944533"/>
      <w:r/>
      <w:bookmarkStart w:id="461" w:name="_Toc303539147"/>
      <w:r/>
      <w:bookmarkStart w:id="462" w:name="_Toc292559904"/>
      <w:r/>
      <w:bookmarkStart w:id="463" w:name="_Toc292559399"/>
      <w:r/>
      <w:bookmarkStart w:id="464" w:name="_Toc297123541"/>
      <w:r>
        <w:rPr>
          <w:rFonts w:hint="eastAsia" w:ascii="宋体" w:hAnsi="宋体" w:eastAsia="宋体" w:cs="宋体"/>
          <w:color w:val="000000" w:themeColor="text1"/>
          <w:sz w:val="24"/>
          <w:szCs w:val="24"/>
          <w:highlight w:val="none"/>
          <w14:textFill>
            <w14:solidFill>
              <w14:schemeClr w14:val="tx1"/>
            </w14:solidFill>
          </w14:textFill>
        </w:rPr>
        <w:t xml:space="preserve">0.1变更的范围</w:t>
      </w:r>
      <w:bookmarkEnd w:id="445"/>
      <w:r/>
      <w:bookmarkEnd w:id="446"/>
      <w:r/>
      <w:bookmarkEnd w:id="447"/>
      <w:r/>
      <w:r/>
    </w:p>
    <w:p>
      <w:pPr>
        <w:pStyle w:val="872"/>
        <w:jc w:val="left"/>
        <w:keepLines/>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关于变更的范围的约定：除建设单位根据项目实际情况、项目功能改变、国家文件政策性调整提出的变更外，其他内容一律不得变更。 1、设计变更必须有设计单位的设计变更通知单或工程处理单，并经发包人认可（变更文件中须明确原做法、变更后做法及工艺、材料名称、规格、品牌、尺寸等，标注要清晰）；2、现场签证须有监理工程师、发包人现场代表、承包人项目经理、设计单位四方签字认可生效； 3、若承包人擅自变更或先施工后申请变更的，其工程量不予认可；4、所有变更价款均在项目竣工后审计时统一结算。</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465" w:name="_Toc345483340"/>
      <w:r/>
      <w:bookmarkStart w:id="466" w:name="_Toc16117"/>
      <w:r/>
      <w:bookmarkStart w:id="467" w:name="_Toc1702387786"/>
      <w:r>
        <w:rPr>
          <w:rFonts w:hint="eastAsia" w:ascii="宋体" w:hAnsi="宋体" w:eastAsia="宋体" w:cs="宋体"/>
          <w:color w:val="000000" w:themeColor="text1"/>
          <w:sz w:val="24"/>
          <w:szCs w:val="24"/>
          <w:highlight w:val="none"/>
          <w14:textFill>
            <w14:solidFill>
              <w14:schemeClr w14:val="tx1"/>
            </w14:solidFill>
          </w14:textFill>
        </w:rPr>
        <w:t xml:space="preserve">10.2 变更估价</w:t>
      </w:r>
      <w:bookmarkEnd w:id="465"/>
      <w:r/>
      <w:bookmarkEnd w:id="466"/>
      <w:r/>
      <w:bookmarkEnd w:id="467"/>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10.2.1 变更估价原则</w:t>
      </w:r>
      <w:r/>
    </w:p>
    <w:p>
      <w:pPr>
        <w:pStyle w:val="872"/>
        <w:jc w:val="left"/>
        <w:keepLines/>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关于变更估价的约定:</w:t>
      </w:r>
      <w:r>
        <w:rPr>
          <w:rFonts w:hint="eastAsia" w:ascii="宋体" w:hAnsi="宋体" w:eastAsia="宋体" w:cs="宋体"/>
          <w:color w:val="000000" w:themeColor="text1"/>
          <w:spacing w:val="-3"/>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1）采用工程量清单方式计价，竣工结算的工程量按发承包双方在合同中约定应予计量且实际完成的工程量确定，完成发包人要求的合同以外的零星工作或发生非承包人责任事件的工程量(含清单漏项)，新增工程量(含清单漏项)无投标单价的，其对应的综合单价按下列方法确定：</w:t>
      </w:r>
      <w:r/>
    </w:p>
    <w:p>
      <w:pPr>
        <w:pStyle w:val="872"/>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1、合同中已有的综合单价，按合同中已有的综合单价确定；</w:t>
      </w:r>
      <w:r/>
    </w:p>
    <w:p>
      <w:pPr>
        <w:pStyle w:val="872"/>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2、合同中已有类似的综合单价，参照类似的综合单价确定；</w:t>
      </w:r>
      <w:r/>
    </w:p>
    <w:p>
      <w:pPr>
        <w:pStyle w:val="872"/>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3、合同中没有适用或类似的综合单价，由承包人提出综合单价，经发包人确认后执行。 单价的组成及报价方式参照原清单的组价及计价方式（即综合单价按施工方投标文件综合单价中管理费及利润的费率，材料预算价格双方现场认定，机械费参照其他类似清单价格计取方式组价）最终以双方约定的审计机构审计结果为准。</w:t>
      </w:r>
      <w:r/>
    </w:p>
    <w:p>
      <w:pPr>
        <w:pStyle w:val="872"/>
        <w:jc w:val="left"/>
        <w:keepLines w:val="0"/>
        <w:keepNext w:val="0"/>
        <w:pageBreakBefore w:val="0"/>
        <w:spacing w:before="191" w:line="360" w:lineRule="auto"/>
        <w:widowControl w:val="off"/>
        <w:tabs>
          <w:tab w:val="left" w:pos="324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（2）因分部分项工程量发生变化、清单漏项或非承包人原因的工程变更，造成施工组织设计或施工方案变更，引起措施项目发生变化时，措施费相应调整。</w:t>
      </w:r>
      <w:r/>
    </w:p>
    <w:p>
      <w:pPr>
        <w:pStyle w:val="872"/>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10.2.2 变更估价的支付方式及时间</w:t>
      </w:r>
      <w:r/>
    </w:p>
    <w:p>
      <w:pPr>
        <w:pStyle w:val="872"/>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关于变更价款的支付方式及时间的约定：                。</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468" w:name="_Toc900110438"/>
      <w:r/>
      <w:bookmarkStart w:id="469" w:name="_Toc2102284973"/>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Start w:id="470" w:name="_Toc297120497"/>
      <w:r/>
      <w:bookmarkStart w:id="471" w:name="_Toc297216203"/>
      <w:r/>
      <w:bookmarkStart w:id="472" w:name="_Toc296891025"/>
      <w:r/>
      <w:bookmarkStart w:id="473" w:name="_Toc297123544"/>
      <w:r/>
      <w:bookmarkStart w:id="474" w:name="_Toc303539150"/>
      <w:r/>
      <w:bookmarkStart w:id="475" w:name="_Toc296346698"/>
      <w:r/>
      <w:bookmarkStart w:id="476" w:name="_Toc296891237"/>
      <w:r/>
      <w:bookmarkStart w:id="477" w:name="_Toc292559907"/>
      <w:r/>
      <w:bookmarkStart w:id="478" w:name="_Toc296944536"/>
      <w:r/>
      <w:bookmarkStart w:id="479" w:name="_Toc296347196"/>
      <w:r/>
      <w:bookmarkStart w:id="480" w:name="_Toc296503197"/>
      <w:r/>
      <w:bookmarkStart w:id="481" w:name="_Toc297048383"/>
      <w:r/>
      <w:bookmarkStart w:id="482" w:name="_Toc292559402"/>
      <w:r/>
      <w:bookmarkStart w:id="483" w:name="_Toc300934993"/>
      <w:r/>
      <w:bookmarkStart w:id="484" w:name="_Toc312678029"/>
      <w:r/>
      <w:bookmarkStart w:id="485" w:name="_Toc304295570"/>
      <w:r/>
      <w:bookmarkStart w:id="486" w:name="_Toc312677503"/>
      <w:r>
        <w:rPr>
          <w:rFonts w:hint="eastAsia" w:ascii="宋体" w:hAnsi="宋体" w:eastAsia="宋体" w:cs="宋体"/>
          <w:color w:val="000000" w:themeColor="text1"/>
          <w:sz w:val="24"/>
          <w:szCs w:val="24"/>
          <w:highlight w:val="none"/>
          <w14:textFill>
            <w14:solidFill>
              <w14:schemeClr w14:val="tx1"/>
            </w14:solidFill>
          </w14:textFill>
        </w:rPr>
        <w:t xml:space="preserve">0.3承</w:t>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Start w:id="487" w:name="_Toc296891031"/>
      <w:r/>
      <w:bookmarkStart w:id="488" w:name="_Toc296891243"/>
      <w:r/>
      <w:bookmarkStart w:id="489" w:name="_Toc292559408"/>
      <w:r/>
      <w:bookmarkStart w:id="490" w:name="_Toc303539151"/>
      <w:r/>
      <w:bookmarkStart w:id="491" w:name="_Toc296347202"/>
      <w:r/>
      <w:bookmarkStart w:id="492" w:name="_Toc297048389"/>
      <w:r/>
      <w:bookmarkStart w:id="493" w:name="_Toc297120503"/>
      <w:r/>
      <w:bookmarkStart w:id="494" w:name="_Toc297123545"/>
      <w:r/>
      <w:bookmarkStart w:id="495" w:name="_Toc296346704"/>
      <w:r/>
      <w:bookmarkStart w:id="496" w:name="_Toc296944542"/>
      <w:r/>
      <w:bookmarkStart w:id="497" w:name="_Toc296503203"/>
      <w:r/>
      <w:bookmarkStart w:id="498" w:name="_Toc292559913"/>
      <w:r/>
      <w:bookmarkStart w:id="499" w:name="_Toc297216204"/>
      <w:r/>
      <w:bookmarkStart w:id="500" w:name="_Toc300934994"/>
      <w:r>
        <w:rPr>
          <w:rFonts w:hint="eastAsia" w:ascii="宋体" w:hAnsi="宋体" w:eastAsia="宋体" w:cs="宋体"/>
          <w:color w:val="000000" w:themeColor="text1"/>
          <w:sz w:val="24"/>
          <w:szCs w:val="24"/>
          <w:highlight w:val="none"/>
          <w14:textFill>
            <w14:solidFill>
              <w14:schemeClr w14:val="tx1"/>
            </w14:solidFill>
          </w14:textFill>
        </w:rPr>
        <w:t xml:space="preserve">包人的合理化建议</w:t>
      </w:r>
      <w:bookmarkEnd w:id="468"/>
      <w:r/>
      <w:bookmarkEnd w:id="469"/>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监理人审查承包人合理化建议的期限：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监理人应在收到承包人提交的合理化建议后 7天内审查完毕并报送发包人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发包人审批承包人合理化建议的期限：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监理人应在收到承包人提交的合理化建议后7天内审查完毕并报送发包人</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w:t>
      </w:r>
      <w:bookmarkStart w:id="501" w:name="_Toc300934995"/>
      <w:r/>
      <w:bookmarkStart w:id="502" w:name="_Toc296346705"/>
      <w:r/>
      <w:bookmarkStart w:id="503" w:name="_Toc296891032"/>
      <w:r/>
      <w:bookmarkStart w:id="504" w:name="_Toc297120504"/>
      <w:r/>
      <w:bookmarkStart w:id="505" w:name="_Toc297048390"/>
      <w:r/>
      <w:bookmarkStart w:id="506" w:name="_Toc304295571"/>
      <w:r/>
      <w:bookmarkStart w:id="507" w:name="_Toc303539152"/>
      <w:r/>
      <w:bookmarkStart w:id="508" w:name="_Toc296944543"/>
      <w:r/>
      <w:bookmarkStart w:id="509" w:name="_Toc296503204"/>
      <w:r/>
      <w:bookmarkStart w:id="510" w:name="_Toc297216205"/>
      <w:r/>
      <w:bookmarkStart w:id="511" w:name="_Toc296891244"/>
      <w:r/>
      <w:bookmarkStart w:id="512" w:name="_Toc292559409"/>
      <w:r/>
      <w:bookmarkStart w:id="513" w:name="_Toc312677504"/>
      <w:r/>
      <w:bookmarkStart w:id="514" w:name="_Toc292559914"/>
      <w:r/>
      <w:bookmarkStart w:id="515" w:name="_Toc297123546"/>
      <w:r/>
      <w:bookmarkStart w:id="516" w:name="_Toc318581175"/>
      <w:r/>
      <w:bookmarkStart w:id="517" w:name="_Toc312678030"/>
      <w:r/>
      <w:bookmarkStart w:id="518" w:name="_Toc296347203"/>
      <w:r>
        <w:rPr>
          <w:rFonts w:hint="eastAsia" w:ascii="宋体" w:hAnsi="宋体" w:eastAsia="宋体" w:cs="宋体"/>
          <w:color w:val="000000" w:themeColor="text1"/>
          <w:sz w:val="24"/>
          <w:szCs w:val="24"/>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不奖励</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519" w:name="_Toc1821307230"/>
      <w:r/>
      <w:bookmarkStart w:id="520" w:name="_Toc1569203092"/>
      <w:r/>
      <w:bookmarkStart w:id="521" w:name="_Toc1308"/>
      <w:r>
        <w:rPr>
          <w:rFonts w:hint="eastAsia" w:ascii="宋体" w:hAnsi="宋体" w:eastAsia="宋体" w:cs="宋体"/>
          <w:color w:val="000000" w:themeColor="text1"/>
          <w:sz w:val="24"/>
          <w:szCs w:val="24"/>
          <w:highlight w:val="none"/>
          <w14:textFill>
            <w14:solidFill>
              <w14:schemeClr w14:val="tx1"/>
            </w14:solidFill>
          </w14:textFill>
        </w:rPr>
        <w:t xml:space="preserve">1</w:t>
      </w:r>
      <w:bookmarkStart w:id="522" w:name="_Toc304295574"/>
      <w:r/>
      <w:bookmarkStart w:id="523" w:name="_Toc296891027"/>
      <w:r/>
      <w:bookmarkStart w:id="524" w:name="_Toc296346700"/>
      <w:r/>
      <w:bookmarkStart w:id="525" w:name="_Toc292559909"/>
      <w:r/>
      <w:bookmarkStart w:id="526" w:name="_Toc296503199"/>
      <w:r/>
      <w:bookmarkStart w:id="527" w:name="_Toc297048385"/>
      <w:r/>
      <w:bookmarkStart w:id="528" w:name="_Toc297123548"/>
      <w:r/>
      <w:bookmarkStart w:id="529" w:name="_Toc312678033"/>
      <w:r/>
      <w:bookmarkStart w:id="530" w:name="_Toc297120499"/>
      <w:r/>
      <w:bookmarkStart w:id="531" w:name="_Toc312677507"/>
      <w:r/>
      <w:bookmarkStart w:id="532" w:name="_Toc297216207"/>
      <w:r/>
      <w:bookmarkStart w:id="533" w:name="_Toc296944538"/>
      <w:r/>
      <w:bookmarkStart w:id="534" w:name="_Toc300934997"/>
      <w:r/>
      <w:bookmarkStart w:id="535" w:name="_Toc296891239"/>
      <w:r/>
      <w:bookmarkStart w:id="536" w:name="_Toc292559404"/>
      <w:r/>
      <w:bookmarkStart w:id="537" w:name="_Toc296347198"/>
      <w:r/>
      <w:bookmarkStart w:id="538" w:name="_Toc303539154"/>
      <w:r>
        <w:rPr>
          <w:rFonts w:hint="eastAsia" w:ascii="宋体" w:hAnsi="宋体" w:eastAsia="宋体" w:cs="宋体"/>
          <w:color w:val="000000" w:themeColor="text1"/>
          <w:sz w:val="24"/>
          <w:szCs w:val="24"/>
          <w:highlight w:val="none"/>
          <w14:textFill>
            <w14:solidFill>
              <w14:schemeClr w14:val="tx1"/>
            </w14:solidFill>
          </w14:textFill>
        </w:rPr>
        <w:t xml:space="preserve">0.4 暂估价</w:t>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暂</w:t>
      </w:r>
      <w:bookmarkStart w:id="539" w:name="_Toc312677508"/>
      <w:r/>
      <w:bookmarkStart w:id="540" w:name="_Toc318581176"/>
      <w:r/>
      <w:bookmarkStart w:id="541" w:name="_Toc312678034"/>
      <w:r>
        <w:rPr>
          <w:rFonts w:hint="eastAsia" w:ascii="宋体" w:hAnsi="宋体" w:eastAsia="宋体" w:cs="宋体"/>
          <w:color w:val="000000" w:themeColor="text1"/>
          <w:sz w:val="24"/>
          <w:szCs w:val="24"/>
          <w:highlight w:val="none"/>
          <w14:textFill>
            <w14:solidFill>
              <w14:schemeClr w14:val="tx1"/>
            </w14:solidFill>
          </w14:textFill>
        </w:rPr>
        <w:t xml:space="preserve">估价材料的明细详见附件3：《暂估价一览表》。</w:t>
      </w:r>
      <w:bookmarkEnd w:id="539"/>
      <w:r/>
      <w:bookmarkEnd w:id="540"/>
      <w:r/>
      <w:bookmarkEnd w:id="541"/>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bookmarkStart w:id="542" w:name="_Toc318581177"/>
      <w:r/>
      <w:bookmarkStart w:id="543" w:name="_Toc312678035"/>
      <w:r/>
      <w:bookmarkStart w:id="544" w:name="_Toc312677509"/>
      <w:r>
        <w:rPr>
          <w:rFonts w:hint="eastAsia" w:ascii="宋体" w:hAnsi="宋体" w:eastAsia="宋体" w:cs="宋体"/>
          <w:color w:val="000000" w:themeColor="text1"/>
          <w:sz w:val="24"/>
          <w:szCs w:val="24"/>
          <w:highlight w:val="none"/>
          <w14:textFill>
            <w14:solidFill>
              <w14:schemeClr w14:val="tx1"/>
            </w14:solidFill>
          </w14:textFill>
        </w:rPr>
        <w:t xml:space="preserve">0.4.1 依法必须招标的暂估价项目</w:t>
      </w:r>
      <w:bookmarkEnd w:id="542"/>
      <w:r/>
      <w:bookmarkEnd w:id="543"/>
      <w:r/>
      <w:bookmarkEnd w:id="54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对于依法必须招标的暂估价项目的确认和批准采取通用合同条款中第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10.4.2 不属于依法必须招标的暂估价项目</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对于不属于依法必须招标的暂估价项目的确认和批准采取通用合同条款中第种方式确定。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第3种方式：承包人直接实施的暂估价项目</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承包人直接实施的暂估价项目的约定：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10.5 暂列金额</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合同当事人关于暂列金额使用的约定：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按招标人要求</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545" w:name="_Toc1637898606"/>
      <w:r/>
      <w:bookmarkStart w:id="546" w:name="_Toc17442182"/>
      <w:r>
        <w:rPr>
          <w:rFonts w:hint="eastAsia" w:ascii="宋体" w:hAnsi="宋体" w:eastAsia="宋体" w:cs="宋体"/>
          <w:b w:val="0"/>
          <w:color w:val="000000" w:themeColor="text1"/>
          <w:sz w:val="24"/>
          <w:szCs w:val="24"/>
          <w:highlight w:val="none"/>
          <w14:textFill>
            <w14:solidFill>
              <w14:schemeClr w14:val="tx1"/>
            </w14:solidFill>
          </w14:textFill>
        </w:rPr>
        <w:t xml:space="preserve">11. 价格调整</w:t>
      </w:r>
      <w:bookmarkEnd w:id="545"/>
      <w:r/>
      <w:bookmarkEnd w:id="54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547" w:name="_Toc1840417661"/>
      <w:r/>
      <w:bookmarkStart w:id="548" w:name="_Toc297120501"/>
      <w:r/>
      <w:bookmarkStart w:id="549" w:name="_Toc297216209"/>
      <w:r/>
      <w:bookmarkStart w:id="550" w:name="_Toc1614717129"/>
      <w:r/>
      <w:bookmarkStart w:id="551" w:name="_Toc31698"/>
      <w:r/>
      <w:bookmarkStart w:id="552" w:name="_Toc296891241"/>
      <w:r/>
      <w:bookmarkStart w:id="553" w:name="_Toc304295577"/>
      <w:r/>
      <w:bookmarkStart w:id="554" w:name="_Toc296347200"/>
      <w:r/>
      <w:bookmarkStart w:id="555" w:name="_Toc296503201"/>
      <w:r/>
      <w:bookmarkStart w:id="556" w:name="_Toc297048387"/>
      <w:r/>
      <w:bookmarkStart w:id="557" w:name="_Toc300935000"/>
      <w:r/>
      <w:bookmarkStart w:id="558" w:name="_Toc296944540"/>
      <w:r/>
      <w:bookmarkStart w:id="559" w:name="_Toc303539157"/>
      <w:r/>
      <w:bookmarkStart w:id="560" w:name="_Toc292559406"/>
      <w:r/>
      <w:bookmarkStart w:id="561" w:name="_Toc292559911"/>
      <w:r/>
      <w:bookmarkStart w:id="562" w:name="_Toc296891029"/>
      <w:r/>
      <w:bookmarkStart w:id="563" w:name="_Toc312678039"/>
      <w:r/>
      <w:bookmarkStart w:id="564" w:name="_Toc296346702"/>
      <w:r/>
      <w:bookmarkStart w:id="565" w:name="_Toc297123550"/>
      <w:r>
        <w:rPr>
          <w:rFonts w:hint="eastAsia" w:ascii="宋体" w:hAnsi="宋体" w:eastAsia="宋体" w:cs="宋体"/>
          <w:color w:val="000000" w:themeColor="text1"/>
          <w:sz w:val="24"/>
          <w:szCs w:val="24"/>
          <w:highlight w:val="none"/>
          <w14:textFill>
            <w14:solidFill>
              <w14:schemeClr w14:val="tx1"/>
            </w14:solidFill>
          </w14:textFill>
        </w:rPr>
        <w:t xml:space="preserve">11.1 市场价格波动引起的调整</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市场价格波动是否调整合同价格的约定：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不调整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因市场价格波动调整合同价格，采用以下第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种方式对合同价格进行调整：</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第1种方式：采用价格指数进行价格调整。</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第2种方式：采用造价信息进行价格调整。</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（2）关于基准价格的约定：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①承包人在已标价工程量清单或预算书中载明的材料单价低于基准价格的：合同履行期间材料单价涨幅以基准价格为基础超过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%时，或材料单价跌幅以已标价工程量清单或预算书中载明材料单价为基础超过%时，其超过部分据实调整。</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承包人在已标价工程量清单或预算书中载明的材料单价高于基准价格的：合同履行期间材料单价跌幅以基准价格为基础超过%时，材料单价涨幅以已标价工程量清单或预算书中载明材料单价为基础超过%时，其超过部分据实调整。</w:t>
      </w:r>
      <w:r/>
    </w:p>
    <w:p>
      <w:pPr>
        <w:pStyle w:val="872"/>
        <w:ind w:firstLine="645"/>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③承包人在已标价工程量清单或预算书中载明的材料单价等于基准单价的：合同履行期间材料单价涨跌幅以基准单价为基础超过±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%时，其超过部分据实调整。</w:t>
      </w:r>
      <w:r/>
    </w:p>
    <w:p>
      <w:pPr>
        <w:pStyle w:val="872"/>
        <w:ind w:firstLine="645"/>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第3种方式：其他价格调整方式：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1、当施工期间上述建筑材料价格上涨超过10%时，10%以内（含）的部分由承包方承担，超出10%的部分由发包方承担；当施工期间主要建筑材料价格下降超过5%时，5%（含）以内的部分由承包方受益，超出5%的部分由发包方受益。招标范围内其它所有材料价格结算时均不再调整。主要建筑材料价格调整公式：主要建筑材料差价=施工期《徐州工程造价信息》发布的材料加权平均指导价-合同工程基准期当月《徐州工程造价信息》发布的材料指导价×（1+合同风险包干幅度）。</w:t>
      </w:r>
      <w:r/>
    </w:p>
    <w:p>
      <w:pPr>
        <w:pStyle w:val="924"/>
        <w:ind w:left="63" w:right="63" w:firstLine="645"/>
        <w:jc w:val="left"/>
        <w:keepLines/>
        <w:keepNext w:val="0"/>
        <w:pageBreakBefore w:val="0"/>
        <w:spacing w:line="360" w:lineRule="auto"/>
        <w:widowControl w:val="off"/>
        <w:tabs>
          <w:tab w:val="left" w:pos="5471"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2、除本合同明确调整外，其他材料结算时不予调整。</w:t>
      </w:r>
      <w:bookmarkEnd w:id="422"/>
      <w:r/>
      <w:bookmarkEnd w:id="423"/>
      <w:r/>
      <w:bookmarkEnd w:id="424"/>
      <w:r/>
      <w:bookmarkEnd w:id="425"/>
      <w:r/>
      <w:bookmarkEnd w:id="426"/>
      <w:r/>
      <w:bookmarkEnd w:id="427"/>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566" w:name="_Toc296944544"/>
      <w:r/>
      <w:bookmarkStart w:id="567" w:name="_Toc297048391"/>
      <w:r/>
      <w:bookmarkStart w:id="568" w:name="_Toc292559915"/>
      <w:r/>
      <w:bookmarkStart w:id="569" w:name="_Toc296891033"/>
      <w:r/>
      <w:bookmarkStart w:id="570" w:name="_Toc296347204"/>
      <w:r/>
      <w:bookmarkStart w:id="571" w:name="_Toc292559410"/>
      <w:r/>
      <w:bookmarkStart w:id="572" w:name="_Toc296891245"/>
      <w:r/>
      <w:bookmarkStart w:id="573" w:name="_Toc296503205"/>
      <w:r/>
      <w:bookmarkStart w:id="574" w:name="_Toc296346706"/>
      <w:r/>
      <w:bookmarkStart w:id="575" w:name="_Toc297120505"/>
      <w:r/>
      <w:bookmarkStart w:id="576" w:name="_Toc226573127"/>
      <w:r/>
      <w:bookmarkStart w:id="577" w:name="_Toc300935002"/>
      <w:r/>
      <w:bookmarkStart w:id="578" w:name="_Toc304295579"/>
      <w:r/>
      <w:bookmarkStart w:id="579" w:name="_Toc312678040"/>
      <w:r/>
      <w:bookmarkStart w:id="580" w:name="_Toc303539159"/>
      <w:r/>
      <w:bookmarkStart w:id="581" w:name="_Toc297123552"/>
      <w:r/>
      <w:bookmarkStart w:id="582" w:name="_Toc2095751839"/>
      <w:r/>
      <w:bookmarkStart w:id="583" w:name="_Toc297216211"/>
      <w:r>
        <w:rPr>
          <w:rFonts w:hint="eastAsia" w:ascii="宋体" w:hAnsi="宋体" w:eastAsia="宋体" w:cs="宋体"/>
          <w:b w:val="0"/>
          <w:color w:val="000000" w:themeColor="text1"/>
          <w:sz w:val="24"/>
          <w:szCs w:val="24"/>
          <w:highlight w:val="none"/>
          <w14:textFill>
            <w14:solidFill>
              <w14:schemeClr w14:val="tx1"/>
            </w14:solidFill>
          </w14:textFill>
        </w:rPr>
        <w:t xml:space="preserve">12. </w:t>
      </w:r>
      <w:bookmarkEnd w:id="566"/>
      <w:r/>
      <w:bookmarkEnd w:id="567"/>
      <w:r/>
      <w:bookmarkEnd w:id="568"/>
      <w:r/>
      <w:bookmarkEnd w:id="569"/>
      <w:r/>
      <w:bookmarkEnd w:id="570"/>
      <w:r/>
      <w:bookmarkEnd w:id="571"/>
      <w:r/>
      <w:bookmarkEnd w:id="572"/>
      <w:r/>
      <w:bookmarkEnd w:id="573"/>
      <w:r/>
      <w:bookmarkEnd w:id="574"/>
      <w:r/>
      <w:bookmarkEnd w:id="575"/>
      <w:r>
        <w:rPr>
          <w:rFonts w:hint="eastAsia" w:ascii="宋体" w:hAnsi="宋体" w:eastAsia="宋体" w:cs="宋体"/>
          <w:b w:val="0"/>
          <w:color w:val="000000" w:themeColor="text1"/>
          <w:sz w:val="24"/>
          <w:szCs w:val="24"/>
          <w:highlight w:val="none"/>
          <w14:textFill>
            <w14:solidFill>
              <w14:schemeClr w14:val="tx1"/>
            </w14:solidFill>
          </w14:textFill>
        </w:rPr>
        <w:t xml:space="preserve">合同价格、计量与支付</w:t>
      </w:r>
      <w:bookmarkEnd w:id="576"/>
      <w:r/>
      <w:bookmarkEnd w:id="577"/>
      <w:r/>
      <w:bookmarkEnd w:id="578"/>
      <w:r/>
      <w:bookmarkEnd w:id="579"/>
      <w:r/>
      <w:bookmarkEnd w:id="580"/>
      <w:r/>
      <w:bookmarkEnd w:id="581"/>
      <w:r/>
      <w:bookmarkEnd w:id="582"/>
      <w:r/>
      <w:bookmarkEnd w:id="58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584" w:name="_Toc292559916"/>
      <w:r/>
      <w:bookmarkStart w:id="585" w:name="_Toc292559411"/>
      <w:r/>
      <w:bookmarkStart w:id="586" w:name="_Toc267251461"/>
      <w:r/>
      <w:bookmarkStart w:id="587" w:name="_Toc296346707"/>
      <w:r/>
      <w:bookmarkStart w:id="588" w:name="_Toc297120506"/>
      <w:r/>
      <w:bookmarkStart w:id="589" w:name="_Toc297048392"/>
      <w:r/>
      <w:bookmarkStart w:id="590" w:name="_Toc296944545"/>
      <w:r/>
      <w:bookmarkStart w:id="591" w:name="_Toc296891034"/>
      <w:r/>
      <w:bookmarkStart w:id="592" w:name="_Toc296347205"/>
      <w:r/>
      <w:bookmarkStart w:id="593" w:name="_Toc296503206"/>
      <w:r/>
      <w:bookmarkStart w:id="594" w:name="_Toc296891246"/>
      <w:r/>
      <w:bookmarkStart w:id="595" w:name="_Toc74869891"/>
      <w:r/>
      <w:bookmarkStart w:id="596" w:name="_Toc13589"/>
      <w:r/>
      <w:bookmarkStart w:id="597" w:name="_Toc303539160"/>
      <w:r/>
      <w:bookmarkStart w:id="598" w:name="_Toc312678041"/>
      <w:r/>
      <w:bookmarkStart w:id="599" w:name="_Toc1734401749"/>
      <w:r/>
      <w:bookmarkStart w:id="600" w:name="_Toc297216212"/>
      <w:r/>
      <w:bookmarkStart w:id="601" w:name="_Toc300935003"/>
      <w:r/>
      <w:bookmarkStart w:id="602" w:name="_Toc304295580"/>
      <w:r/>
      <w:bookmarkStart w:id="603" w:name="_Toc297123553"/>
      <w:r>
        <w:rPr>
          <w:rFonts w:hint="eastAsia" w:ascii="宋体" w:hAnsi="宋体" w:eastAsia="宋体" w:cs="宋体"/>
          <w:color w:val="000000" w:themeColor="text1"/>
          <w:sz w:val="24"/>
          <w:szCs w:val="24"/>
          <w:highlight w:val="none"/>
          <w14:textFill>
            <w14:solidFill>
              <w14:schemeClr w14:val="tx1"/>
            </w14:solidFill>
          </w14:textFill>
        </w:rPr>
        <w:t xml:space="preserve">12.1 合</w:t>
      </w:r>
      <w:bookmarkEnd w:id="584"/>
      <w:r/>
      <w:bookmarkEnd w:id="585"/>
      <w:r/>
      <w:bookmarkEnd w:id="586"/>
      <w:r>
        <w:rPr>
          <w:rFonts w:hint="eastAsia" w:ascii="宋体" w:hAnsi="宋体" w:eastAsia="宋体" w:cs="宋体"/>
          <w:color w:val="000000" w:themeColor="text1"/>
          <w:sz w:val="24"/>
          <w:szCs w:val="24"/>
          <w:highlight w:val="none"/>
          <w14:textFill>
            <w14:solidFill>
              <w14:schemeClr w14:val="tx1"/>
            </w14:solidFill>
          </w14:textFill>
        </w:rPr>
        <w:t xml:space="preserve">同价</w:t>
      </w:r>
      <w:bookmarkEnd w:id="587"/>
      <w:r/>
      <w:bookmarkEnd w:id="588"/>
      <w:r/>
      <w:bookmarkEnd w:id="589"/>
      <w:r/>
      <w:bookmarkEnd w:id="590"/>
      <w:r/>
      <w:bookmarkEnd w:id="591"/>
      <w:r/>
      <w:bookmarkEnd w:id="592"/>
      <w:r/>
      <w:bookmarkEnd w:id="593"/>
      <w:r/>
      <w:bookmarkEnd w:id="594"/>
      <w:r>
        <w:rPr>
          <w:rFonts w:hint="eastAsia" w:ascii="宋体" w:hAnsi="宋体" w:eastAsia="宋体" w:cs="宋体"/>
          <w:color w:val="000000" w:themeColor="text1"/>
          <w:sz w:val="24"/>
          <w:szCs w:val="24"/>
          <w:highlight w:val="none"/>
          <w14:textFill>
            <w14:solidFill>
              <w14:schemeClr w14:val="tx1"/>
            </w14:solidFill>
          </w14:textFill>
        </w:rPr>
        <w:t xml:space="preserve">格形式</w:t>
      </w:r>
      <w:bookmarkEnd w:id="595"/>
      <w:r/>
      <w:bookmarkEnd w:id="596"/>
      <w:r/>
      <w:bookmarkEnd w:id="597"/>
      <w:r/>
      <w:bookmarkEnd w:id="598"/>
      <w:r/>
      <w:bookmarkEnd w:id="599"/>
      <w:r/>
      <w:bookmarkEnd w:id="600"/>
      <w:r/>
      <w:bookmarkEnd w:id="601"/>
      <w:r/>
      <w:bookmarkEnd w:id="602"/>
      <w:r/>
      <w:bookmarkEnd w:id="603"/>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1.单价合同。</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综合单价包含的风险范围：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不调整</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风险费用已包含在合同价中</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2.总价合同。</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总价包含的风险范围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i/>
          <w:i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风险费用的计算方法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风险范围以外合同价格的调整方法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3.其他价格方式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04" w:name="_Toc1924091423"/>
      <w:r/>
      <w:bookmarkStart w:id="605" w:name="_Toc712673231"/>
      <w:r/>
      <w:bookmarkStart w:id="606" w:name="_Toc312678042"/>
      <w:r/>
      <w:bookmarkStart w:id="607" w:name="_Toc300935004"/>
      <w:r/>
      <w:bookmarkStart w:id="608" w:name="_Toc303539161"/>
      <w:r/>
      <w:bookmarkStart w:id="609" w:name="_Toc297216213"/>
      <w:r/>
      <w:bookmarkStart w:id="610" w:name="_Toc304295581"/>
      <w:r/>
      <w:bookmarkStart w:id="611" w:name="_Toc297123554"/>
      <w:r/>
      <w:bookmarkStart w:id="612" w:name="_Toc292559917"/>
      <w:r/>
      <w:bookmarkStart w:id="613" w:name="_Toc296944546"/>
      <w:r/>
      <w:bookmarkStart w:id="614" w:name="_Toc292559412"/>
      <w:r/>
      <w:bookmarkStart w:id="615" w:name="_Toc296891247"/>
      <w:r/>
      <w:bookmarkStart w:id="616" w:name="_Toc296503207"/>
      <w:r/>
      <w:bookmarkStart w:id="617" w:name="_Toc297120507"/>
      <w:r/>
      <w:bookmarkStart w:id="618" w:name="_Toc297048393"/>
      <w:r/>
      <w:bookmarkStart w:id="619" w:name="_Toc296891035"/>
      <w:r/>
      <w:bookmarkStart w:id="620" w:name="_Toc296346708"/>
      <w:r/>
      <w:bookmarkStart w:id="621" w:name="_Toc296347206"/>
      <w:r>
        <w:rPr>
          <w:rFonts w:hint="eastAsia" w:ascii="宋体" w:hAnsi="宋体" w:eastAsia="宋体" w:cs="宋体"/>
          <w:color w:val="000000" w:themeColor="text1"/>
          <w:sz w:val="24"/>
          <w:szCs w:val="24"/>
          <w:highlight w:val="none"/>
          <w14:textFill>
            <w14:solidFill>
              <w14:schemeClr w14:val="tx1"/>
            </w14:solidFill>
          </w14:textFill>
        </w:rPr>
        <w:t xml:space="preserve">12.2 预付款</w:t>
      </w:r>
      <w:bookmarkEnd w:id="604"/>
      <w:r/>
      <w:bookmarkEnd w:id="605"/>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12.2.1 预付款的支付</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预付款扣回的方式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4"/>
        <w:ind w:left="63" w:right="63" w:firstLine="480"/>
        <w:jc w:val="left"/>
        <w:keepLines/>
        <w:keepNext w:val="0"/>
        <w:pageBreakBefore w:val="0"/>
        <w:spacing w:before="1" w:line="360" w:lineRule="auto"/>
        <w:widowControl w:val="off"/>
        <w:tabs>
          <w:tab w:val="left" w:pos="4202" w:leader="none"/>
          <w:tab w:val="left" w:pos="572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预付款支付比例或金额</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预付款支付期限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606"/>
      <w:r/>
      <w:bookmarkEnd w:id="607"/>
      <w:r/>
      <w:bookmarkEnd w:id="608"/>
      <w:r/>
      <w:bookmarkEnd w:id="609"/>
      <w:r/>
      <w:bookmarkEnd w:id="610"/>
      <w:r/>
      <w:bookmarkEnd w:id="611"/>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12.2.2 预付款担保</w:t>
      </w:r>
      <w:r/>
    </w:p>
    <w:p>
      <w:pPr>
        <w:pStyle w:val="924"/>
        <w:ind w:left="63" w:right="63"/>
        <w:jc w:val="left"/>
        <w:keepLines/>
        <w:keepNext w:val="0"/>
        <w:pageBreakBefore w:val="0"/>
        <w:spacing w:line="360" w:lineRule="auto"/>
        <w:widowControl w:val="off"/>
        <w:tabs>
          <w:tab w:val="left" w:pos="4734" w:leader="none"/>
          <w:tab w:val="left" w:pos="626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承包人提交预付款担保的期限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。预付款担保的形式为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签订合同后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个工作日内，承包人需提交支付担保人民币</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元（中标价的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%），以¨保函或¨保险形式执行。预付款担保的有效期至为止。</w:t>
      </w:r>
      <w:bookmarkEnd w:id="612"/>
      <w:r/>
      <w:bookmarkEnd w:id="613"/>
      <w:r/>
      <w:bookmarkEnd w:id="614"/>
      <w:r/>
      <w:bookmarkEnd w:id="615"/>
      <w:r/>
      <w:bookmarkEnd w:id="616"/>
      <w:r/>
      <w:bookmarkEnd w:id="617"/>
      <w:r/>
      <w:bookmarkEnd w:id="618"/>
      <w:r/>
      <w:bookmarkEnd w:id="619"/>
      <w:r/>
      <w:bookmarkEnd w:id="620"/>
      <w:r/>
      <w:bookmarkEnd w:id="621"/>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22" w:name="_Toc1055625342"/>
      <w:r/>
      <w:bookmarkStart w:id="623" w:name="_Toc13601"/>
      <w:r/>
      <w:bookmarkStart w:id="624" w:name="_Toc100272494"/>
      <w:r>
        <w:rPr>
          <w:rFonts w:hint="eastAsia" w:ascii="宋体" w:hAnsi="宋体" w:eastAsia="宋体" w:cs="宋体"/>
          <w:color w:val="000000" w:themeColor="text1"/>
          <w:sz w:val="24"/>
          <w:szCs w:val="24"/>
          <w:highlight w:val="none"/>
          <w14:textFill>
            <w14:solidFill>
              <w14:schemeClr w14:val="tx1"/>
            </w14:solidFill>
          </w14:textFill>
        </w:rPr>
        <w:t xml:space="preserve">12.3 计量</w:t>
      </w:r>
      <w:bookmarkEnd w:id="622"/>
      <w:r/>
      <w:bookmarkEnd w:id="623"/>
      <w:r/>
      <w:bookmarkEnd w:id="62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12.3.1 计量原则</w:t>
      </w:r>
      <w:r/>
    </w:p>
    <w:p>
      <w:pPr>
        <w:pStyle w:val="924"/>
        <w:ind w:left="63" w:right="63"/>
        <w:jc w:val="left"/>
        <w:keepLines/>
        <w:keepNext w:val="0"/>
        <w:pageBreakBefore w:val="0"/>
        <w:spacing w:before="122" w:line="360" w:lineRule="auto"/>
        <w:widowControl w:val="off"/>
        <w:tabs>
          <w:tab w:val="left" w:pos="245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工程量计算规则：</w:t>
      </w:r>
      <w:r>
        <w:rPr>
          <w:rFonts w:hint="eastAsia" w:ascii="宋体" w:hAnsi="宋体" w:eastAsia="宋体" w:cs="宋体"/>
          <w:color w:val="000000" w:themeColor="text1"/>
          <w:spacing w:val="17"/>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建设工程工程量清单计价标准》（GB/TB50500-2024）、《2026江苏省建筑与装饰工程消耗量》、《2026江苏省市政工程消耗量》、《2026江苏省通用安装工程消耗量》、《2009江苏修缮建筑定额》、《2009江苏抗震加固定额》、《2007江苏园林定额》、《2026江苏省建设工程费用参考》及《2026江苏建设工程施工机具台班费用参考表》等相关文件及相关建设工程造价管理文件，以及有关文件规定和招标人提供的工程量清单。</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12.3.2 计量周期</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关于计量周期的约定：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工程量的计量按月进行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12.3.3 单价合同的计量</w:t>
      </w:r>
      <w:r/>
    </w:p>
    <w:p>
      <w:pPr>
        <w:pStyle w:val="924"/>
        <w:ind w:left="63" w:right="63"/>
        <w:jc w:val="left"/>
        <w:keepLines/>
        <w:keepNext w:val="0"/>
        <w:pageBreakBefore w:val="0"/>
        <w:spacing w:line="360" w:lineRule="auto"/>
        <w:widowControl w:val="off"/>
        <w:tabs>
          <w:tab w:val="left" w:pos="3659"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关于单价合同计量的约定：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1、每月25日前提交本月已完工程量报告；2、工程量的测量、验收、计量由承包人申请经监理、发包人、承包人三方代表现场测量，在质量合格、资料手续完备的前提下，经监理工程师、发包人代表签字确认；3、隐蔽工程需在隐蔽前申请测量、验收、计量，否则不予认可。</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12.3.4 总价合同的计量</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关于总价合同计量的约定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12.3.5总价合同采用支付分解表计量支付的，是否适用第12.3.4项〔总价合同的计量〕约定进行计量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12.3.6 其他价格形式合同的计量</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其他价格形式的计量方式和程序：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25" w:name="_Toc1516403745"/>
      <w:r/>
      <w:bookmarkStart w:id="626" w:name="_Toc27300"/>
      <w:r/>
      <w:bookmarkStart w:id="627" w:name="_Toc16186591"/>
      <w:r>
        <w:rPr>
          <w:rFonts w:hint="eastAsia" w:ascii="宋体" w:hAnsi="宋体" w:eastAsia="宋体" w:cs="宋体"/>
          <w:color w:val="000000" w:themeColor="text1"/>
          <w:sz w:val="24"/>
          <w:szCs w:val="24"/>
          <w:highlight w:val="none"/>
          <w14:textFill>
            <w14:solidFill>
              <w14:schemeClr w14:val="tx1"/>
            </w14:solidFill>
          </w14:textFill>
        </w:rPr>
        <w:t xml:space="preserve">12.4 工程进度款支付</w:t>
      </w:r>
      <w:bookmarkEnd w:id="625"/>
      <w:r/>
      <w:bookmarkEnd w:id="626"/>
      <w:r/>
      <w:bookmarkEnd w:id="627"/>
      <w:r/>
      <w:r/>
    </w:p>
    <w:p>
      <w:pPr>
        <w:jc w:val="left"/>
        <w:keepLines/>
        <w:keepNext w:val="0"/>
        <w:pageBreakBefore w:val="0"/>
        <w:spacing w:before="1" w:line="360" w:lineRule="auto"/>
        <w:widowControl w:val="off"/>
        <w:tabs>
          <w:tab w:val="left" w:pos="1269"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628" w:name="_Toc296347210"/>
      <w:r/>
      <w:bookmarkStart w:id="629" w:name="_Toc297120511"/>
      <w:r/>
      <w:bookmarkStart w:id="630" w:name="_Toc297216215"/>
      <w:r/>
      <w:bookmarkStart w:id="631" w:name="_Toc297048397"/>
      <w:r/>
      <w:bookmarkStart w:id="632" w:name="_Toc296944550"/>
      <w:r/>
      <w:bookmarkStart w:id="633" w:name="_Toc300935006"/>
      <w:r/>
      <w:bookmarkStart w:id="634" w:name="_Toc303539163"/>
      <w:r/>
      <w:bookmarkStart w:id="635" w:name="_Toc296891251"/>
      <w:r/>
      <w:bookmarkStart w:id="636" w:name="_Toc297123556"/>
      <w:r/>
      <w:bookmarkStart w:id="637" w:name="_Toc292559416"/>
      <w:r/>
      <w:bookmarkStart w:id="638" w:name="_Toc296503211"/>
      <w:r/>
      <w:bookmarkStart w:id="639" w:name="_Toc296346712"/>
      <w:r/>
      <w:bookmarkStart w:id="640" w:name="_Toc292559921"/>
      <w:r/>
      <w:bookmarkStart w:id="641" w:name="_Toc296891039"/>
      <w:r>
        <w:rPr>
          <w:rFonts w:hint="eastAsia" w:ascii="宋体" w:hAnsi="宋体" w:eastAsia="宋体" w:cs="宋体"/>
          <w:color w:val="000000" w:themeColor="text1"/>
          <w:sz w:val="24"/>
          <w:szCs w:val="24"/>
          <w:highlight w:val="none"/>
          <w14:textFill>
            <w14:solidFill>
              <w14:schemeClr w14:val="tx1"/>
            </w14:solidFill>
          </w14:textFill>
        </w:rPr>
        <w:t xml:space="preserve">12.4.1付款周期</w:t>
      </w:r>
      <w:r/>
    </w:p>
    <w:p>
      <w:pPr>
        <w:pStyle w:val="872"/>
        <w:numPr>
          <w:ilvl w:val="0"/>
          <w:numId w:val="24"/>
        </w:numPr>
        <w:ind w:left="120" w:firstLine="480"/>
        <w:jc w:val="left"/>
        <w:keepLines/>
        <w:keepNext w:val="0"/>
        <w:pageBreakBefore w:val="0"/>
        <w:spacing w:before="79"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关于付款周期的约定：</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项目竣工验收合格后付至合同价款的80%，审计结束后付至双方认可价款的97%，3%作为质保金，</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12.4.2 进度付款申请单的编制</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关于进度付款申请单编</w:t>
      </w:r>
      <w:bookmarkStart w:id="813" w:name="_GoBack"/>
      <w:r/>
      <w:bookmarkEnd w:id="813"/>
      <w:r>
        <w:rPr>
          <w:rFonts w:hint="eastAsia" w:ascii="宋体" w:hAnsi="宋体" w:eastAsia="宋体" w:cs="宋体"/>
          <w:color w:val="000000" w:themeColor="text1"/>
          <w:sz w:val="24"/>
          <w:szCs w:val="24"/>
          <w:highlight w:val="none"/>
          <w14:textFill>
            <w14:solidFill>
              <w14:schemeClr w14:val="tx1"/>
            </w14:solidFill>
          </w14:textFill>
        </w:rPr>
        <w:t xml:space="preserve">制的约定：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rFonts w:hint="eastAsia" w:ascii="宋体" w:hAnsi="宋体" w:eastAsia="宋体" w:cs="宋体"/>
          <w:color w:val="000000" w:themeColor="text1"/>
          <w:sz w:val="24"/>
          <w:szCs w:val="24"/>
          <w:highlight w:val="none"/>
          <w14:textFill>
            <w14:solidFill>
              <w14:schemeClr w14:val="tx1"/>
            </w14:solidFill>
          </w14:textFill>
        </w:rPr>
        <w:t xml:space="preserve">2.4.3 进度付款申请单的提交</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（1）单价合同进度付款申请单提交的约定：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（2）总价合同进度付款申请单提交的约定：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left="447" w:firstLine="12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。12.4.4 进度款审核和支付</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（1）监理人审查并报送发包人的期限：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发包人完成审批并签发进度款支付证书的期限：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numPr>
          <w:ilvl w:val="0"/>
          <w:numId w:val="25"/>
        </w:numPr>
        <w:ind w:firstLine="480"/>
        <w:keepLines/>
        <w:keepNext w:val="0"/>
        <w:pageBreakBefore w:val="0"/>
        <w:spacing w:line="360" w:lineRule="auto"/>
        <w:widowControl w:val="off"/>
        <w:tabs>
          <w:tab w:val="left" w:pos="72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承包人根据工程进度申请支付工程款，每期工程进度款按以下方式选择支付：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¨按实际完成工程量的百分比支付：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¨按形象进度支付：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¨按月实际完成工程量%支付；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¨其它：</w:t>
      </w:r>
      <w:r>
        <w:rPr>
          <w:rFonts w:hint="eastAsia" w:ascii="宋体" w:hAnsi="宋体" w:eastAsia="宋体" w:cs="宋体"/>
          <w:color w:val="000000" w:themeColor="text1"/>
          <w:sz w:val="24"/>
          <w:szCs w:val="24"/>
          <w:highlight w:val="none"/>
          <w:u w:val="single"/>
          <w14:textFill>
            <w14:solidFill>
              <w14:schemeClr w14:val="tx1"/>
            </w14:solidFill>
          </w14:textFill>
        </w:rPr>
        <w:t xml:space="preserve">履行完政府审批手续后支付</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发包人在收到工程款进度申请后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个工作日内完成支付，累计支付达到合同价款的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%时，停止支付进度款。</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发包人逾期支付进度款的违约金的计算方式：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12.4.5 支付分解表的编制</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2.总价合同支付分解表的编制与审批：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End w:id="428"/>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642" w:name="_Toc292559929"/>
      <w:r/>
      <w:bookmarkStart w:id="643" w:name="_Toc300935015"/>
      <w:r/>
      <w:bookmarkStart w:id="644" w:name="_Toc296347218"/>
      <w:r/>
      <w:bookmarkStart w:id="645" w:name="_Toc296503219"/>
      <w:r/>
      <w:bookmarkStart w:id="646" w:name="_Toc296891259"/>
      <w:r/>
      <w:bookmarkStart w:id="647" w:name="_Toc312678053"/>
      <w:r/>
      <w:bookmarkStart w:id="648" w:name="_Toc296346720"/>
      <w:r/>
      <w:bookmarkStart w:id="649" w:name="_Toc296944558"/>
      <w:r/>
      <w:bookmarkStart w:id="650" w:name="_Toc1114100005"/>
      <w:r/>
      <w:bookmarkStart w:id="651" w:name="_Toc297216223"/>
      <w:r/>
      <w:bookmarkStart w:id="652" w:name="_Toc304295593"/>
      <w:r/>
      <w:bookmarkStart w:id="653" w:name="_Toc296891047"/>
      <w:r/>
      <w:bookmarkStart w:id="654" w:name="_Toc297120519"/>
      <w:r/>
      <w:bookmarkStart w:id="655" w:name="_Toc297048405"/>
      <w:r/>
      <w:bookmarkStart w:id="656" w:name="_Toc303539172"/>
      <w:r/>
      <w:bookmarkStart w:id="657" w:name="_Toc1569476373"/>
      <w:r/>
      <w:bookmarkStart w:id="658" w:name="_Toc292559424"/>
      <w:r/>
      <w:bookmarkStart w:id="659" w:name="_Toc297123564"/>
      <w:r>
        <w:rPr>
          <w:rFonts w:hint="eastAsia" w:ascii="宋体" w:hAnsi="宋体" w:eastAsia="宋体" w:cs="宋体"/>
          <w:b w:val="0"/>
          <w:color w:val="000000" w:themeColor="text1"/>
          <w:sz w:val="24"/>
          <w:szCs w:val="24"/>
          <w:highlight w:val="none"/>
          <w14:textFill>
            <w14:solidFill>
              <w14:schemeClr w14:val="tx1"/>
            </w14:solidFill>
          </w14:textFill>
        </w:rPr>
        <w:t xml:space="preserve">13.验收和工程试车</w:t>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60" w:name="_Toc750296361"/>
      <w:r/>
      <w:bookmarkStart w:id="661" w:name="_Toc396975010"/>
      <w:r/>
      <w:bookmarkStart w:id="662" w:name="_Toc17144"/>
      <w:r>
        <w:rPr>
          <w:rFonts w:hint="eastAsia" w:ascii="宋体" w:hAnsi="宋体" w:eastAsia="宋体" w:cs="宋体"/>
          <w:color w:val="000000" w:themeColor="text1"/>
          <w:sz w:val="24"/>
          <w:szCs w:val="24"/>
          <w:highlight w:val="none"/>
          <w14:textFill>
            <w14:solidFill>
              <w14:schemeClr w14:val="tx1"/>
            </w14:solidFill>
          </w14:textFill>
        </w:rPr>
        <w:t xml:space="preserve">13.1 分部分项工程验收</w:t>
      </w:r>
      <w:bookmarkEnd w:id="660"/>
      <w:r/>
      <w:bookmarkEnd w:id="661"/>
      <w:r/>
      <w:bookmarkEnd w:id="662"/>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13.1.1监理人不能按时进行验收时，应提前</w:t>
      </w:r>
      <w:r>
        <w:rPr>
          <w:rFonts w:hint="eastAsia" w:ascii="宋体" w:hAnsi="宋体" w:eastAsia="宋体" w:cs="宋体"/>
          <w:color w:val="000000" w:themeColor="text1"/>
          <w:sz w:val="24"/>
          <w:szCs w:val="24"/>
          <w:highlight w:val="none"/>
          <w:u w:val="single"/>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小时提交书面延期要求。</w:t>
      </w:r>
      <w:r/>
    </w:p>
    <w:p>
      <w:pPr>
        <w:pStyle w:val="872"/>
        <w:ind w:firstLine="480"/>
        <w:jc w:val="left"/>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关于延期最长不得超过：</w:t>
      </w:r>
      <w:r>
        <w:rPr>
          <w:rFonts w:hint="eastAsia" w:ascii="宋体" w:hAnsi="宋体" w:eastAsia="宋体" w:cs="宋体"/>
          <w:color w:val="000000" w:themeColor="text1"/>
          <w:sz w:val="24"/>
          <w:szCs w:val="24"/>
          <w:highlight w:val="none"/>
          <w:u w:val="single"/>
          <w14:textFill>
            <w14:solidFill>
              <w14:schemeClr w14:val="tx1"/>
            </w14:solidFill>
          </w14:textFill>
        </w:rPr>
        <w:t xml:space="preserve">48</w:t>
      </w:r>
      <w:r>
        <w:rPr>
          <w:rFonts w:hint="eastAsia" w:ascii="宋体" w:hAnsi="宋体" w:eastAsia="宋体" w:cs="宋体"/>
          <w:color w:val="000000" w:themeColor="text1"/>
          <w:sz w:val="24"/>
          <w:szCs w:val="24"/>
          <w:highlight w:val="none"/>
          <w14:textFill>
            <w14:solidFill>
              <w14:schemeClr w14:val="tx1"/>
            </w14:solidFill>
          </w14:textFill>
        </w:rPr>
        <w:t xml:space="preserve">小时。</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63" w:name="_Toc12180"/>
      <w:r/>
      <w:bookmarkStart w:id="664" w:name="_Toc1898612073"/>
      <w:r/>
      <w:bookmarkStart w:id="665" w:name="_Toc282243333"/>
      <w:r/>
      <w:bookmarkStart w:id="666" w:name="_Toc297120523"/>
      <w:r/>
      <w:bookmarkStart w:id="667" w:name="_Toc297123565"/>
      <w:r/>
      <w:bookmarkStart w:id="668" w:name="_Toc292559428"/>
      <w:r/>
      <w:bookmarkStart w:id="669" w:name="_Toc296347222"/>
      <w:r/>
      <w:bookmarkStart w:id="670" w:name="_Toc312678056"/>
      <w:r/>
      <w:bookmarkStart w:id="671" w:name="_Toc296503223"/>
      <w:r/>
      <w:bookmarkStart w:id="672" w:name="_Toc300935016"/>
      <w:r/>
      <w:bookmarkStart w:id="673" w:name="_Toc296891263"/>
      <w:r/>
      <w:bookmarkStart w:id="674" w:name="_Toc296891051"/>
      <w:r/>
      <w:bookmarkStart w:id="675" w:name="_Toc297048409"/>
      <w:r/>
      <w:bookmarkStart w:id="676" w:name="_Toc292559933"/>
      <w:r/>
      <w:bookmarkStart w:id="677" w:name="_Toc296944562"/>
      <w:r/>
      <w:bookmarkStart w:id="678" w:name="_Toc296346724"/>
      <w:r/>
      <w:bookmarkStart w:id="679" w:name="_Toc303539173"/>
      <w:r/>
      <w:bookmarkStart w:id="680" w:name="_Toc304295596"/>
      <w:r/>
      <w:bookmarkStart w:id="681" w:name="_Toc297216224"/>
      <w:r/>
      <w:bookmarkStart w:id="682" w:name="_Toc267251470"/>
      <w:r/>
      <w:bookmarkStart w:id="683" w:name="_Toc267251475"/>
      <w:r/>
      <w:bookmarkStart w:id="684" w:name="_Toc267251474"/>
      <w:r/>
      <w:bookmarkStart w:id="685" w:name="_Toc267251472"/>
      <w:r/>
      <w:bookmarkStart w:id="686" w:name="_Toc267251471"/>
      <w:r/>
      <w:bookmarkStart w:id="687" w:name="_Toc267251476"/>
      <w:r/>
      <w:bookmarkStart w:id="688" w:name="_Toc267251473"/>
      <w:r>
        <w:rPr>
          <w:rFonts w:hint="eastAsia" w:ascii="宋体" w:hAnsi="宋体" w:eastAsia="宋体" w:cs="宋体"/>
          <w:color w:val="000000" w:themeColor="text1"/>
          <w:sz w:val="24"/>
          <w:szCs w:val="24"/>
          <w:highlight w:val="none"/>
          <w14:textFill>
            <w14:solidFill>
              <w14:schemeClr w14:val="tx1"/>
            </w14:solidFill>
          </w14:textFill>
        </w:rPr>
        <w:t xml:space="preserve">13.2 竣工验收</w:t>
      </w:r>
      <w:bookmarkEnd w:id="663"/>
      <w:r/>
      <w:bookmarkEnd w:id="664"/>
      <w:r/>
      <w:bookmarkEnd w:id="665"/>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89" w:name="_Toc1027479745"/>
      <w:r/>
      <w:bookmarkStart w:id="690" w:name="_Toc276351635"/>
      <w:r>
        <w:rPr>
          <w:rFonts w:hint="eastAsia" w:ascii="宋体" w:hAnsi="宋体" w:eastAsia="宋体" w:cs="宋体"/>
          <w:color w:val="000000" w:themeColor="text1"/>
          <w:sz w:val="24"/>
          <w:szCs w:val="24"/>
          <w:highlight w:val="none"/>
          <w14:textFill>
            <w14:solidFill>
              <w14:schemeClr w14:val="tx1"/>
            </w14:solidFill>
          </w14:textFill>
        </w:rPr>
        <w:t xml:space="preserve">13.2.1 竣工验收条件</w:t>
      </w:r>
      <w:bookmarkEnd w:id="689"/>
      <w:r/>
      <w:bookmarkEnd w:id="690"/>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91" w:name="_Toc1893941971"/>
      <w:r/>
      <w:bookmarkStart w:id="692" w:name="_Toc1418190231"/>
      <w:r>
        <w:rPr>
          <w:rFonts w:hint="eastAsia" w:ascii="宋体" w:hAnsi="宋体" w:eastAsia="宋体" w:cs="宋体"/>
          <w:color w:val="000000" w:themeColor="text1"/>
          <w:sz w:val="24"/>
          <w:szCs w:val="24"/>
          <w:highlight w:val="none"/>
          <w14:textFill>
            <w14:solidFill>
              <w14:schemeClr w14:val="tx1"/>
            </w14:solidFill>
          </w14:textFill>
        </w:rPr>
        <w:t xml:space="preserve">（1）竣工资料内容和份数：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按发包人要求执行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91"/>
      <w:r/>
      <w:bookmarkEnd w:id="692"/>
      <w:r/>
      <w:bookmarkStart w:id="693" w:name="_Toc280868704"/>
      <w:r/>
      <w:bookmarkStart w:id="694" w:name="_Toc280868705"/>
      <w:r/>
      <w:bookmarkStart w:id="695" w:name="_Toc280868706"/>
      <w:r/>
      <w:bookmarkStart w:id="696" w:name="_Toc280868707"/>
      <w:r/>
      <w:bookmarkStart w:id="697" w:name="_Toc280868708"/>
      <w:r/>
      <w:bookmarkStart w:id="698" w:name="_Toc280868709"/>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699" w:name="_Toc1822546722"/>
      <w:r/>
      <w:bookmarkStart w:id="700" w:name="_Toc1570375781"/>
      <w:r>
        <w:rPr>
          <w:rFonts w:hint="eastAsia" w:ascii="宋体" w:hAnsi="宋体" w:eastAsia="宋体" w:cs="宋体"/>
          <w:color w:val="000000" w:themeColor="text1"/>
          <w:sz w:val="24"/>
          <w:szCs w:val="24"/>
          <w:highlight w:val="none"/>
          <w14:textFill>
            <w14:solidFill>
              <w14:schemeClr w14:val="tx1"/>
            </w14:solidFill>
          </w14:textFill>
        </w:rPr>
        <w:t xml:space="preserve">13.2.2竣工验收程序</w:t>
      </w:r>
      <w:bookmarkEnd w:id="693"/>
      <w:r/>
      <w:bookmarkEnd w:id="699"/>
      <w:r/>
      <w:bookmarkEnd w:id="700"/>
      <w:r/>
      <w:r/>
    </w:p>
    <w:p>
      <w:pPr>
        <w:pStyle w:val="924"/>
        <w:ind w:left="63" w:right="63"/>
        <w:keepLines/>
        <w:keepNext w:val="0"/>
        <w:pageBreakBefore w:val="0"/>
        <w:spacing w:line="360" w:lineRule="auto"/>
        <w:widowControl w:val="off"/>
        <w:tabs>
          <w:tab w:val="left" w:pos="126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关于竣工验收程序的约定：工程具备以下条件的，承包人可以申请竣工验收：</w:t>
      </w:r>
      <w:r/>
    </w:p>
    <w:p>
      <w:pPr>
        <w:numPr>
          <w:ilvl w:val="0"/>
          <w:numId w:val="26"/>
        </w:numPr>
        <w:ind w:hanging="530"/>
        <w:jc w:val="left"/>
        <w:keepLines/>
        <w:keepNext w:val="0"/>
        <w:pageBreakBefore w:val="0"/>
        <w:spacing w:before="79" w:line="360" w:lineRule="auto"/>
        <w:widowControl w:val="off"/>
        <w:tabs>
          <w:tab w:val="left" w:pos="1061"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除发包人同意的甩项工作和缺陷修补工作外，合同范围内的全部工程以及有关工作，包括合同要求的试验、试运行以及检验均已完成，并符合合同要求；</w:t>
      </w:r>
      <w:r/>
    </w:p>
    <w:p>
      <w:pPr>
        <w:numPr>
          <w:ilvl w:val="0"/>
          <w:numId w:val="26"/>
        </w:numPr>
        <w:ind w:hanging="530"/>
        <w:jc w:val="left"/>
        <w:keepLines/>
        <w:keepNext w:val="0"/>
        <w:pageBreakBefore w:val="0"/>
        <w:spacing w:before="78" w:line="360" w:lineRule="auto"/>
        <w:widowControl w:val="off"/>
        <w:tabs>
          <w:tab w:val="left" w:pos="1061"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已按合同约定编制了甩项工作和缺陷修补工作清单以及相应的施工计划；</w:t>
      </w:r>
      <w:r/>
    </w:p>
    <w:p>
      <w:pPr>
        <w:numPr>
          <w:ilvl w:val="0"/>
          <w:numId w:val="26"/>
        </w:numPr>
        <w:ind w:hanging="530"/>
        <w:jc w:val="left"/>
        <w:keepLines/>
        <w:keepNext w:val="0"/>
        <w:pageBreakBefore w:val="0"/>
        <w:spacing w:before="78" w:line="360" w:lineRule="auto"/>
        <w:widowControl w:val="off"/>
        <w:tabs>
          <w:tab w:val="left" w:pos="1061"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已按合同约定的内容和份数备齐竣工资料。</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69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13.2.3移交、接收全部与部分工程</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绿化工程移交期限：</w:t>
      </w:r>
      <w:bookmarkEnd w:id="695"/>
      <w:r>
        <w:rPr>
          <w:rFonts w:hint="eastAsia" w:ascii="宋体" w:hAnsi="宋体" w:eastAsia="宋体" w:cs="宋体"/>
          <w:color w:val="000000" w:themeColor="text1"/>
          <w:sz w:val="24"/>
          <w:szCs w:val="24"/>
          <w:highlight w:val="none"/>
          <w:u w:val="single"/>
          <w14:textFill>
            <w14:solidFill>
              <w14:schemeClr w14:val="tx1"/>
            </w14:solidFill>
          </w14:textFill>
        </w:rPr>
        <w:t xml:space="preserve">合同当事人应当在颁发工程接收证书后7天内完成工程的有向其他部门移交需求的，承包人需按要求移交，否则招标人移交后支付工程款。</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其他工程移交期限：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End w:id="69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承包人未按时移交工程的，违约金的计算方法为：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 工程试车</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13.3.1 试车程序</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工程试车内容：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（1）单机无负荷试车费用由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（2）无负荷联动试车费用由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承担。</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13.3.2 投料试车</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关于投料试车相关事项的约定：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697"/>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01" w:name="_Toc19772"/>
      <w:r>
        <w:rPr>
          <w:rFonts w:hint="eastAsia" w:ascii="宋体" w:hAnsi="宋体" w:eastAsia="宋体" w:cs="宋体"/>
          <w:color w:val="000000" w:themeColor="text1"/>
          <w:sz w:val="24"/>
          <w:szCs w:val="24"/>
          <w:highlight w:val="none"/>
          <w14:textFill>
            <w14:solidFill>
              <w14:schemeClr w14:val="tx1"/>
            </w14:solidFill>
          </w14:textFill>
        </w:rPr>
        <w:t xml:space="preserve">13.4 竣工退场</w:t>
      </w:r>
      <w:bookmarkEnd w:id="701"/>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13.4.1 竣工退场</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承包人完成竣工退场的期限：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7日内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02" w:name="_Toc1123811034"/>
      <w:r/>
      <w:bookmarkStart w:id="703" w:name="_Toc295889295"/>
      <w:r>
        <w:rPr>
          <w:rFonts w:hint="eastAsia" w:ascii="宋体" w:hAnsi="宋体" w:eastAsia="宋体" w:cs="宋体"/>
          <w:b w:val="0"/>
          <w:color w:val="000000" w:themeColor="text1"/>
          <w:sz w:val="24"/>
          <w:szCs w:val="24"/>
          <w:highlight w:val="none"/>
          <w14:textFill>
            <w14:solidFill>
              <w14:schemeClr w14:val="tx1"/>
            </w14:solidFill>
          </w14:textFill>
        </w:rPr>
        <w:t xml:space="preserve">14.竣工结算</w:t>
      </w:r>
      <w:bookmarkEnd w:id="702"/>
      <w:r/>
      <w:bookmarkEnd w:id="703"/>
      <w:r/>
      <w:r/>
    </w:p>
    <w:p>
      <w:pPr>
        <w:pStyle w:val="872"/>
        <w:ind w:firstLine="480"/>
        <w:keepLines/>
        <w:keepNext w:val="0"/>
        <w:pageBreakBefore w:val="0"/>
        <w:spacing w:after="12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04" w:name="_Toc2011892871"/>
      <w:r/>
      <w:bookmarkStart w:id="705" w:name="_Toc3577"/>
      <w:r/>
      <w:bookmarkStart w:id="706" w:name="_Toc1257404679"/>
      <w:r>
        <w:rPr>
          <w:rFonts w:hint="eastAsia" w:ascii="宋体" w:hAnsi="宋体" w:eastAsia="宋体" w:cs="宋体"/>
          <w:color w:val="000000" w:themeColor="text1"/>
          <w:sz w:val="24"/>
          <w:szCs w:val="24"/>
          <w:highlight w:val="none"/>
          <w14:textFill>
            <w14:solidFill>
              <w14:schemeClr w14:val="tx1"/>
            </w14:solidFill>
          </w14:textFill>
        </w:rPr>
        <w:t xml:space="preserve">14.1 竣工结算申请</w:t>
      </w:r>
      <w:bookmarkEnd w:id="704"/>
      <w:r/>
      <w:bookmarkEnd w:id="705"/>
      <w:r/>
      <w:bookmarkEnd w:id="706"/>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承包人提交竣工结算申请单的期限：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承包人应在工程竣工验收合格后 28 天内向发包人和监理人提交竣工结算申请单，并提交完整的结算资料。</w:t>
      </w:r>
      <w:r/>
    </w:p>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竣工结算申请单应包括的内容：</w:t>
      </w:r>
      <w:r>
        <w:rPr>
          <w:rFonts w:hint="eastAsia" w:ascii="宋体" w:hAnsi="宋体" w:eastAsia="宋体" w:cs="宋体"/>
          <w:color w:val="000000" w:themeColor="text1"/>
          <w:sz w:val="24"/>
          <w:szCs w:val="24"/>
          <w:highlight w:val="none"/>
          <w:u w:val="single"/>
          <w14:textFill>
            <w14:solidFill>
              <w14:schemeClr w14:val="tx1"/>
            </w14:solidFill>
          </w14:textFill>
        </w:rPr>
        <w:t xml:space="preserve">（1）竣工结算合同价格；</w:t>
      </w:r>
      <w:r/>
    </w:p>
    <w:p>
      <w:pPr>
        <w:numPr>
          <w:ilvl w:val="0"/>
          <w:numId w:val="27"/>
        </w:numPr>
        <w:ind w:hanging="530"/>
        <w:jc w:val="left"/>
        <w:keepLines/>
        <w:keepNext w:val="0"/>
        <w:pageBreakBefore w:val="0"/>
        <w:spacing w:before="78" w:line="360" w:lineRule="auto"/>
        <w:widowControl w:val="off"/>
        <w:tabs>
          <w:tab w:val="left" w:pos="1061" w:leader="none"/>
          <w:tab w:val="left" w:pos="132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发包人已支付承包人的款项；</w:t>
      </w:r>
      <w:r/>
    </w:p>
    <w:p>
      <w:pPr>
        <w:numPr>
          <w:ilvl w:val="0"/>
          <w:numId w:val="27"/>
        </w:numPr>
        <w:ind w:hanging="530"/>
        <w:jc w:val="left"/>
        <w:keepLines/>
        <w:keepNext w:val="0"/>
        <w:pageBreakBefore w:val="0"/>
        <w:spacing w:before="79" w:line="360" w:lineRule="auto"/>
        <w:widowControl w:val="off"/>
        <w:tabs>
          <w:tab w:val="left" w:pos="1061" w:leader="none"/>
          <w:tab w:val="left" w:pos="132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应扣留的质量保证金；</w:t>
      </w:r>
      <w:r/>
    </w:p>
    <w:p>
      <w:pPr>
        <w:numPr>
          <w:ilvl w:val="0"/>
          <w:numId w:val="27"/>
        </w:numPr>
        <w:ind w:hanging="530"/>
        <w:jc w:val="left"/>
        <w:keepLines/>
        <w:keepNext w:val="0"/>
        <w:pageBreakBefore w:val="0"/>
        <w:spacing w:before="78" w:line="360" w:lineRule="auto"/>
        <w:widowControl w:val="off"/>
        <w:tabs>
          <w:tab w:val="left" w:pos="1061" w:leader="none"/>
          <w:tab w:val="left" w:pos="1320" w:leader="none"/>
        </w:tabs>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发包人应支付承包人的合同价款。</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07" w:name="_Toc30710"/>
      <w:r>
        <w:rPr>
          <w:rFonts w:hint="eastAsia" w:ascii="宋体" w:hAnsi="宋体" w:eastAsia="宋体" w:cs="宋体"/>
          <w:color w:val="000000" w:themeColor="text1"/>
          <w:sz w:val="24"/>
          <w:szCs w:val="24"/>
          <w:highlight w:val="none"/>
          <w14:textFill>
            <w14:solidFill>
              <w14:schemeClr w14:val="tx1"/>
            </w14:solidFill>
          </w14:textFill>
        </w:rPr>
        <w:t xml:space="preserve">14.2 竣工结算审核</w:t>
      </w:r>
      <w:bookmarkEnd w:id="707"/>
      <w:r/>
      <w:r/>
    </w:p>
    <w:p>
      <w:pPr>
        <w:pStyle w:val="924"/>
        <w:ind w:left="63" w:right="63"/>
        <w:jc w:val="left"/>
        <w:keepLines/>
        <w:keepNext w:val="0"/>
        <w:pageBreakBefore w:val="0"/>
        <w:spacing w:line="360" w:lineRule="auto"/>
        <w:widowControl w:val="off"/>
        <w:tabs>
          <w:tab w:val="left" w:pos="4314" w:leader="none"/>
        </w:tabs>
        <w:rPr>
          <w:rFonts w:hint="eastAsia" w:ascii="宋体" w:hAnsi="宋体" w:eastAsia="宋体" w:cs="宋体"/>
          <w:color w:val="000000" w:themeColor="text1"/>
          <w:sz w:val="24"/>
          <w:szCs w:val="24"/>
          <w:highlight w:val="none"/>
          <w:u w:val="single"/>
          <w14:textFill>
            <w14:solidFill>
              <w14:schemeClr w14:val="tx1"/>
            </w14:solidFill>
          </w14:textFill>
        </w:rPr>
      </w:pPr>
      <w:r/>
      <w:bookmarkStart w:id="708" w:name="_Toc1509410444"/>
      <w:r/>
      <w:bookmarkStart w:id="709" w:name="_Toc2011675479"/>
      <w:r>
        <w:rPr>
          <w:rFonts w:hint="eastAsia" w:ascii="宋体" w:hAnsi="宋体" w:eastAsia="宋体" w:cs="宋体"/>
          <w:color w:val="000000" w:themeColor="text1"/>
          <w:sz w:val="24"/>
          <w:szCs w:val="24"/>
          <w:highlight w:val="none"/>
          <w14:textFill>
            <w14:solidFill>
              <w14:schemeClr w14:val="tx1"/>
            </w14:solidFill>
          </w14:textFill>
        </w:rPr>
        <w:t xml:space="preserve">发包人审批竣工付款申请单的期限：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竣工结算报</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审计局审计，待</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审计局出具审计报告后另行约定</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bookmarkEnd w:id="708"/>
      <w:r/>
      <w:bookmarkEnd w:id="709"/>
      <w:r/>
      <w:r/>
    </w:p>
    <w:p>
      <w:pPr>
        <w:pStyle w:val="924"/>
        <w:ind w:left="63" w:right="63"/>
        <w:keepLines/>
        <w:keepNext w:val="0"/>
        <w:pageBreakBefore w:val="0"/>
        <w:spacing w:before="78" w:line="360" w:lineRule="auto"/>
        <w:widowControl w:val="off"/>
        <w:tabs>
          <w:tab w:val="left" w:pos="882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发包人完成竣工付款的期限：。</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4"/>
        <w:ind w:left="63" w:right="63"/>
        <w:keepLines/>
        <w:keepNext w:val="0"/>
        <w:pageBreakBefore w:val="0"/>
        <w:spacing w:before="72"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关于竣工付款证书异议部分复核的方式和程序：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按通用条款执行。</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关于竣工付款证书异议部分复核的方式和程序：</w:t>
      </w:r>
      <w:r>
        <w:rPr>
          <w:rFonts w:hint="eastAsia" w:ascii="宋体" w:hAnsi="宋体" w:eastAsia="宋体" w:cs="宋体"/>
          <w:color w:val="000000" w:themeColor="text1"/>
          <w:sz w:val="24"/>
          <w:szCs w:val="24"/>
          <w:highlight w:val="none"/>
          <w:u w:val="single"/>
          <w14:textFill>
            <w14:solidFill>
              <w14:schemeClr w14:val="tx1"/>
            </w14:solidFill>
          </w14:textFill>
        </w:rPr>
        <w:t xml:space="preserve">按通用条款执行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0" w:name="_Toc10781"/>
      <w:r>
        <w:rPr>
          <w:rFonts w:hint="eastAsia" w:ascii="宋体" w:hAnsi="宋体" w:eastAsia="宋体" w:cs="宋体"/>
          <w:color w:val="000000" w:themeColor="text1"/>
          <w:sz w:val="24"/>
          <w:szCs w:val="24"/>
          <w:highlight w:val="none"/>
          <w14:textFill>
            <w14:solidFill>
              <w14:schemeClr w14:val="tx1"/>
            </w14:solidFill>
          </w14:textFill>
        </w:rPr>
        <w:t xml:space="preserve">14.3 最终结清</w:t>
      </w:r>
      <w:bookmarkEnd w:id="710"/>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14.3.1 最终结清申请单</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承包人提交最终结清申请单的份数：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承包人提交最终结算申请单的期限：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14.3.2 最终结清证书和支付</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取得</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审计局审计报告后</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31"/>
        <w:jc w:val="left"/>
        <w:keepLines/>
        <w:keepNext w:val="0"/>
        <w:pageBreakBefore w:val="0"/>
        <w:spacing w:before="78" w:line="360" w:lineRule="auto"/>
        <w:widowControl w:val="off"/>
        <w:tabs>
          <w:tab w:val="left" w:pos="65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（2）发包人完成支付的期限：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1" w:name="_Toc19199"/>
      <w:r>
        <w:rPr>
          <w:rFonts w:hint="eastAsia" w:ascii="宋体" w:hAnsi="宋体" w:eastAsia="宋体" w:cs="宋体"/>
          <w:color w:val="000000" w:themeColor="text1"/>
          <w:sz w:val="24"/>
          <w:szCs w:val="24"/>
          <w:highlight w:val="none"/>
          <w14:textFill>
            <w14:solidFill>
              <w14:schemeClr w14:val="tx1"/>
            </w14:solidFill>
          </w14:textFill>
        </w:rPr>
        <w:t xml:space="preserve">14.4 竣工归档资料</w:t>
      </w:r>
      <w:bookmarkEnd w:id="711"/>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本款补充：</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（1）施工中未发生设计变更，施工后由承包人在发包人提供的施工图纸加盖竣工图章提交发包人。</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（2）施工过程中发生设计变更的，需经相关方书面确认后由设计单位出具设计变更材料，由承包人提供加盖竣工图章的竣工图给发包人。</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（3）工程竣工验收结算后7天内，承包人应提供给发包人</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套完整符合要求的竣工图、竣工归档资料。</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竣工归档资料的形式和格式：。</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（4）因承包人拖延或不办理竣工归档资料时，经发包人催告，1个月内未按发包人要求提供相关竣工归档资料的，发包人有权委托第三方机构整理，相关费用由承包方承担。</w:t>
      </w:r>
      <w:bookmarkEnd w:id="682"/>
      <w:r/>
      <w:bookmarkEnd w:id="683"/>
      <w:r/>
      <w:bookmarkEnd w:id="684"/>
      <w:r/>
      <w:bookmarkEnd w:id="685"/>
      <w:r/>
      <w:bookmarkEnd w:id="686"/>
      <w:r/>
      <w:bookmarkEnd w:id="687"/>
      <w:r/>
      <w:bookmarkEnd w:id="688"/>
      <w:r/>
      <w:bookmarkEnd w:id="698"/>
      <w:r/>
      <w:r/>
    </w:p>
    <w:p>
      <w:pPr>
        <w:pStyle w:val="878"/>
        <w:numPr>
          <w:ilvl w:val="0"/>
          <w:numId w:val="0"/>
        </w:numPr>
        <w:ind w:left="284"/>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12" w:name="_Toc490192013"/>
      <w:r/>
      <w:bookmarkStart w:id="713" w:name="_Toc1320788901"/>
      <w:r/>
      <w:bookmarkStart w:id="714" w:name="_Toc267251483"/>
      <w:r/>
      <w:bookmarkStart w:id="715" w:name="_Toc267251482"/>
      <w:r/>
      <w:bookmarkStart w:id="716" w:name="_Toc267251485"/>
      <w:r/>
      <w:bookmarkStart w:id="717" w:name="_Toc267251484"/>
      <w:r/>
      <w:bookmarkStart w:id="718" w:name="_Toc267251488"/>
      <w:r/>
      <w:bookmarkStart w:id="719" w:name="_Toc267251489"/>
      <w:r/>
      <w:bookmarkStart w:id="720" w:name="_Toc267251490"/>
      <w:r/>
      <w:bookmarkStart w:id="721" w:name="_Toc267251486"/>
      <w:r/>
      <w:bookmarkStart w:id="722" w:name="_Toc267251502"/>
      <w:r/>
      <w:bookmarkStart w:id="723" w:name="_Toc267251503"/>
      <w:r/>
      <w:bookmarkStart w:id="724" w:name="_Toc267251494"/>
      <w:r/>
      <w:bookmarkStart w:id="725" w:name="_Toc267251496"/>
      <w:r/>
      <w:bookmarkStart w:id="726" w:name="_Toc267251492"/>
      <w:r/>
      <w:bookmarkStart w:id="727" w:name="_Toc267251501"/>
      <w:r/>
      <w:bookmarkStart w:id="728" w:name="_Toc267251497"/>
      <w:r/>
      <w:bookmarkStart w:id="729" w:name="_Toc267251493"/>
      <w:r/>
      <w:bookmarkStart w:id="730" w:name="_Toc267251491"/>
      <w:r/>
      <w:bookmarkStart w:id="731" w:name="_Toc267251495"/>
      <w:r/>
      <w:bookmarkStart w:id="732" w:name="_Toc267251499"/>
      <w:r/>
      <w:bookmarkStart w:id="733" w:name="_Toc267251498"/>
      <w:r/>
      <w:bookmarkStart w:id="734" w:name="_Toc267251506"/>
      <w:r/>
      <w:bookmarkStart w:id="735" w:name="_Toc267251504"/>
      <w:r/>
      <w:bookmarkStart w:id="736" w:name="_Toc267251507"/>
      <w:r/>
      <w:bookmarkStart w:id="737" w:name="_Toc267251508"/>
      <w:r/>
      <w:bookmarkStart w:id="738" w:name="_Toc267251513"/>
      <w:r/>
      <w:bookmarkStart w:id="739" w:name="_Toc267251509"/>
      <w:r/>
      <w:bookmarkStart w:id="740" w:name="_Toc267251515"/>
      <w:r/>
      <w:bookmarkStart w:id="741" w:name="_Toc267251510"/>
      <w:r/>
      <w:bookmarkStart w:id="742" w:name="_Toc267251511"/>
      <w:r/>
      <w:bookmarkStart w:id="743" w:name="_Toc267251514"/>
      <w:r>
        <w:rPr>
          <w:rFonts w:hint="eastAsia" w:ascii="宋体" w:hAnsi="宋体" w:eastAsia="宋体" w:cs="宋体"/>
          <w:b w:val="0"/>
          <w:color w:val="000000" w:themeColor="text1"/>
          <w:sz w:val="24"/>
          <w:szCs w:val="24"/>
          <w:highlight w:val="none"/>
          <w14:textFill>
            <w14:solidFill>
              <w14:schemeClr w14:val="tx1"/>
            </w14:solidFill>
          </w14:textFill>
        </w:rPr>
        <w:t xml:space="preserve">15. 缺陷责任期与保修</w:t>
      </w:r>
      <w:bookmarkEnd w:id="712"/>
      <w:r/>
      <w:bookmarkEnd w:id="71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44" w:name="_Toc18125"/>
      <w:r>
        <w:rPr>
          <w:rFonts w:hint="eastAsia" w:ascii="宋体" w:hAnsi="宋体" w:eastAsia="宋体" w:cs="宋体"/>
          <w:color w:val="000000" w:themeColor="text1"/>
          <w:sz w:val="24"/>
          <w:szCs w:val="24"/>
          <w:highlight w:val="none"/>
          <w14:textFill>
            <w14:solidFill>
              <w14:schemeClr w14:val="tx1"/>
            </w14:solidFill>
          </w14:textFill>
        </w:rPr>
        <w:t xml:space="preserve">15.1缺陷责任期</w:t>
      </w:r>
      <w:bookmarkEnd w:id="714"/>
      <w:r/>
      <w:bookmarkEnd w:id="74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缺陷责任期的具体期限：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交付使用后24个月</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15.2质量保证金</w:t>
      </w:r>
      <w:r/>
    </w:p>
    <w:p>
      <w:pPr>
        <w:pStyle w:val="924"/>
        <w:ind w:left="63" w:right="63" w:firstLine="420"/>
        <w:keepLines/>
        <w:keepNext w:val="0"/>
        <w:pageBreakBefore w:val="0"/>
        <w:spacing w:line="360" w:lineRule="auto"/>
        <w:widowControl w:val="off"/>
        <w:tabs>
          <w:tab w:val="left" w:pos="4489" w:leader="none"/>
          <w:tab w:val="left" w:pos="522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关于是否扣留质量保证金的约定：</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扣留</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在工程项目竣工前，承包人按专用合同条款第3.7条提供履约担保的，发包人不得同时预留工程质量保证金。</w:t>
      </w:r>
      <w:r/>
    </w:p>
    <w:p>
      <w:pPr>
        <w:ind w:right="5360" w:firstLine="480"/>
        <w:jc w:val="left"/>
        <w:keepLines/>
        <w:keepNext w:val="0"/>
        <w:pageBreakBefore w:val="0"/>
        <w:spacing w:line="360" w:lineRule="auto"/>
        <w:widowControl w:val="off"/>
        <w:tabs>
          <w:tab w:val="left" w:pos="1269" w:leader="none"/>
          <w:tab w:val="left" w:pos="326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15.2.1承包人提供质量保证金的方式质量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保证金</w:t>
      </w:r>
      <w:r>
        <w:rPr>
          <w:rFonts w:hint="eastAsia" w:ascii="宋体" w:hAnsi="宋体" w:eastAsia="宋体" w:cs="宋体"/>
          <w:color w:val="000000" w:themeColor="text1"/>
          <w:sz w:val="24"/>
          <w:szCs w:val="24"/>
          <w:highlight w:val="none"/>
          <w14:textFill>
            <w14:solidFill>
              <w14:schemeClr w14:val="tx1"/>
            </w14:solidFill>
          </w14:textFill>
        </w:rPr>
        <w:t xml:space="preserve">采用以下第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w:t>
      </w:r>
      <w:r/>
    </w:p>
    <w:p>
      <w:pPr>
        <w:ind w:left="600" w:firstLine="200"/>
        <w:jc w:val="left"/>
        <w:keepLines/>
        <w:keepNext w:val="0"/>
        <w:pageBreakBefore w:val="0"/>
        <w:spacing w:line="360" w:lineRule="auto"/>
        <w:widowControl w:val="off"/>
        <w:tabs>
          <w:tab w:val="left" w:pos="1061" w:leader="none"/>
          <w:tab w:val="left" w:pos="4734" w:leader="none"/>
          <w:tab w:val="left" w:pos="605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（1）质量保证金保函，保证金额为：</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ind w:left="600" w:firstLine="200"/>
        <w:jc w:val="left"/>
        <w:keepLines/>
        <w:keepNext w:val="0"/>
        <w:pageBreakBefore w:val="0"/>
        <w:spacing w:line="360" w:lineRule="auto"/>
        <w:widowControl w:val="off"/>
        <w:tabs>
          <w:tab w:val="left" w:pos="1061" w:leader="none"/>
          <w:tab w:val="left" w:pos="1479" w:leader="none"/>
          <w:tab w:val="left" w:pos="1793"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%的结算款；</w:t>
      </w:r>
      <w:r/>
    </w:p>
    <w:p>
      <w:pPr>
        <w:ind w:left="600" w:firstLine="200"/>
        <w:jc w:val="left"/>
        <w:keepLines/>
        <w:keepNext w:val="0"/>
        <w:pageBreakBefore w:val="0"/>
        <w:spacing w:line="360" w:lineRule="auto"/>
        <w:widowControl w:val="off"/>
        <w:tabs>
          <w:tab w:val="left" w:pos="1061" w:leader="none"/>
          <w:tab w:val="left" w:pos="4734" w:leader="none"/>
          <w:tab w:val="left" w:pos="615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（3）其他方式:</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518" w:firstLine="200"/>
        <w:jc w:val="left"/>
        <w:keepLines/>
        <w:keepNext w:val="0"/>
        <w:pageBreakBefore w:val="0"/>
        <w:spacing w:line="360" w:lineRule="auto"/>
        <w:widowControl w:val="off"/>
        <w:tabs>
          <w:tab w:val="left" w:pos="1269"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15.2.2质量保证金的扣留</w:t>
      </w:r>
      <w:r/>
    </w:p>
    <w:p>
      <w:pPr>
        <w:pStyle w:val="924"/>
        <w:ind w:right="63" w:firstLine="480"/>
        <w:jc w:val="left"/>
        <w:keepLines/>
        <w:keepNext w:val="0"/>
        <w:pageBreakBefore w:val="0"/>
        <w:spacing w:after="0" w:line="360" w:lineRule="auto"/>
        <w:widowControl w:val="off"/>
        <w:tabs>
          <w:tab w:val="left" w:pos="3580" w:leader="none"/>
          <w:tab w:val="left" w:pos="3894"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质量保证金的扣留采取以下第</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种方式：</w:t>
      </w:r>
      <w:r/>
    </w:p>
    <w:p>
      <w:pPr>
        <w:numPr>
          <w:ilvl w:val="0"/>
          <w:numId w:val="28"/>
        </w:numPr>
        <w:ind w:left="0" w:right="526" w:firstLine="480"/>
        <w:jc w:val="left"/>
        <w:keepLines/>
        <w:keepNext w:val="0"/>
        <w:pageBreakBefore w:val="0"/>
        <w:spacing w:before="0" w:line="360" w:lineRule="auto"/>
        <w:widowControl w:val="off"/>
        <w:tabs>
          <w:tab w:val="left" w:pos="1061"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在支付工程进度款时逐次扣留，在此情形下，质量保证金的计算基数不包括预付款的 支付、扣回以及价格调整的金额；</w:t>
      </w:r>
      <w:r/>
    </w:p>
    <w:p>
      <w:pPr>
        <w:numPr>
          <w:ilvl w:val="0"/>
          <w:numId w:val="28"/>
        </w:numPr>
        <w:ind w:left="0" w:firstLine="480"/>
        <w:jc w:val="left"/>
        <w:keepLines/>
        <w:keepNext w:val="0"/>
        <w:pageBreakBefore w:val="0"/>
        <w:spacing w:before="0" w:line="360" w:lineRule="auto"/>
        <w:widowControl w:val="off"/>
        <w:tabs>
          <w:tab w:val="left" w:pos="1066"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工程竣工结算时一次性扣留质量保证金；</w:t>
      </w:r>
      <w:r/>
    </w:p>
    <w:p>
      <w:pPr>
        <w:ind w:left="600" w:right="3575" w:firstLine="0"/>
        <w:jc w:val="left"/>
        <w:keepLines/>
        <w:keepNext w:val="0"/>
        <w:pageBreakBefore w:val="0"/>
        <w:spacing w:line="360" w:lineRule="auto"/>
        <w:widowControl w:val="off"/>
        <w:tabs>
          <w:tab w:val="left" w:pos="1061" w:leader="none"/>
          <w:tab w:val="left" w:pos="2737" w:leader="none"/>
          <w:tab w:val="left" w:pos="4782"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(3)其他扣留方式:</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从最后一批应付工程款扣留</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600" w:right="3575" w:firstLine="0"/>
        <w:jc w:val="left"/>
        <w:keepLines/>
        <w:keepNext w:val="0"/>
        <w:pageBreakBefore w:val="0"/>
        <w:spacing w:line="360" w:lineRule="auto"/>
        <w:widowControl w:val="off"/>
        <w:tabs>
          <w:tab w:val="left" w:pos="1061" w:leader="none"/>
          <w:tab w:val="left" w:pos="2737" w:leader="none"/>
          <w:tab w:val="left" w:pos="567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关于质量保证金的补充约定：</w:t>
      </w:r>
      <w:r/>
    </w:p>
    <w:p>
      <w:pPr>
        <w:pStyle w:val="924"/>
        <w:ind w:right="63" w:firstLine="480"/>
        <w:jc w:val="left"/>
        <w:keepLines/>
        <w:keepNext w:val="0"/>
        <w:pageBreakBefore w:val="0"/>
        <w:spacing w:after="0" w:line="360" w:lineRule="auto"/>
        <w:widowControl w:val="off"/>
        <w:tabs>
          <w:tab w:val="left" w:pos="6158"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page">
                  <wp:posOffset>972185</wp:posOffset>
                </wp:positionH>
                <wp:positionV relativeFrom="paragraph">
                  <wp:posOffset>151130</wp:posOffset>
                </wp:positionV>
                <wp:extent cx="3839210" cy="0"/>
                <wp:effectExtent l="0" t="4445" r="0" b="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3839210" cy="0"/>
                        </a:xfrm>
                        <a:prstGeom prst="line">
                          <a:avLst/>
                        </a:prstGeom>
                        <a:solidFill>
                          <a:srgbClr val="FFFFFF"/>
                        </a:solidFill>
                        <a:ln w="6096">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76.5pt,11.9pt" to="378.9pt,11.9pt" fillcolor="#FFFFFF" strokecolor="#000000" strokeweight="0.48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15.3保修</w:t>
      </w:r>
      <w:r/>
    </w:p>
    <w:p>
      <w:pPr>
        <w:pStyle w:val="872"/>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15.3.1 保修责任</w:t>
      </w:r>
      <w:r/>
    </w:p>
    <w:p>
      <w:pPr>
        <w:pStyle w:val="872"/>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工程保修期为：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详见保修书。</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End w:id="715"/>
      <w:r/>
      <w:bookmarkEnd w:id="716"/>
      <w:r/>
      <w:bookmarkEnd w:id="717"/>
      <w:r/>
      <w:r/>
    </w:p>
    <w:p>
      <w:pPr>
        <w:pStyle w:val="872"/>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15.3.2 修复通知</w:t>
      </w:r>
      <w:r/>
    </w:p>
    <w:p>
      <w:pPr>
        <w:pStyle w:val="872"/>
        <w:ind w:firstLine="468"/>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24小时内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45" w:name="_Toc1846040712"/>
      <w:r/>
      <w:bookmarkStart w:id="746" w:name="_Toc652859120"/>
      <w:r>
        <w:rPr>
          <w:rFonts w:hint="eastAsia" w:ascii="宋体" w:hAnsi="宋体" w:eastAsia="宋体" w:cs="宋体"/>
          <w:color w:val="000000" w:themeColor="text1"/>
          <w:sz w:val="24"/>
          <w:szCs w:val="24"/>
          <w:highlight w:val="none"/>
          <w14:textFill>
            <w14:solidFill>
              <w14:schemeClr w14:val="tx1"/>
            </w14:solidFill>
          </w14:textFill>
        </w:rPr>
        <w:t xml:space="preserve">15.4绿化养护期</w:t>
      </w:r>
      <w:bookmarkEnd w:id="745"/>
      <w:r/>
      <w:bookmarkEnd w:id="746"/>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绿化养护期的具体期限：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绿化养护期内双方责任约定：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绿化养护期内水电费支付：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bookmarkEnd w:id="718"/>
      <w:r/>
      <w:bookmarkEnd w:id="719"/>
      <w:r/>
      <w:bookmarkEnd w:id="720"/>
      <w:r/>
      <w:bookmarkEnd w:id="721"/>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47" w:name="_Toc543386448"/>
      <w:r/>
      <w:bookmarkStart w:id="748" w:name="_Toc922596978"/>
      <w:r/>
      <w:bookmarkStart w:id="749" w:name="_Toc280868717"/>
      <w:r/>
      <w:bookmarkStart w:id="750" w:name="_Toc280868718"/>
      <w:r>
        <w:rPr>
          <w:rFonts w:hint="eastAsia" w:ascii="宋体" w:hAnsi="宋体" w:eastAsia="宋体" w:cs="宋体"/>
          <w:b w:val="0"/>
          <w:color w:val="000000" w:themeColor="text1"/>
          <w:sz w:val="24"/>
          <w:szCs w:val="24"/>
          <w:highlight w:val="none"/>
          <w14:textFill>
            <w14:solidFill>
              <w14:schemeClr w14:val="tx1"/>
            </w14:solidFill>
          </w14:textFill>
        </w:rPr>
        <w:t xml:space="preserve">16. 违约</w:t>
      </w:r>
      <w:bookmarkEnd w:id="747"/>
      <w:r/>
      <w:bookmarkEnd w:id="74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51" w:name="_Toc41673421"/>
      <w:r/>
      <w:bookmarkStart w:id="752" w:name="_Toc12830"/>
      <w:r/>
      <w:bookmarkStart w:id="753" w:name="_Toc776232141"/>
      <w:r>
        <w:rPr>
          <w:rFonts w:hint="eastAsia" w:ascii="宋体" w:hAnsi="宋体" w:eastAsia="宋体" w:cs="宋体"/>
          <w:color w:val="000000" w:themeColor="text1"/>
          <w:sz w:val="24"/>
          <w:szCs w:val="24"/>
          <w:highlight w:val="none"/>
          <w14:textFill>
            <w14:solidFill>
              <w14:schemeClr w14:val="tx1"/>
            </w14:solidFill>
          </w14:textFill>
        </w:rPr>
        <w:t xml:space="preserve">16.1 发包人违约</w:t>
      </w:r>
      <w:bookmarkEnd w:id="751"/>
      <w:r/>
      <w:bookmarkEnd w:id="752"/>
      <w:r/>
      <w:bookmarkEnd w:id="753"/>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16.1.1发包人违约的情形</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发包人违约的其他情形：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1200" w:hanging="120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16.1.2 发包人违约的责任</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发包人违约责任的承担方式和计算方法：</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16.1.3 因发包人违约解除合同</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54" w:name="_Toc808083520"/>
      <w:r/>
      <w:bookmarkStart w:id="755" w:name="_Toc10226"/>
      <w:r/>
      <w:bookmarkStart w:id="756" w:name="_Toc356979891"/>
      <w:r>
        <w:rPr>
          <w:rFonts w:hint="eastAsia" w:ascii="宋体" w:hAnsi="宋体" w:eastAsia="宋体" w:cs="宋体"/>
          <w:color w:val="000000" w:themeColor="text1"/>
          <w:sz w:val="24"/>
          <w:szCs w:val="24"/>
          <w:highlight w:val="none"/>
          <w14:textFill>
            <w14:solidFill>
              <w14:schemeClr w14:val="tx1"/>
            </w14:solidFill>
          </w14:textFill>
        </w:rPr>
        <w:t xml:space="preserve">16.2 承包人违约</w:t>
      </w:r>
      <w:bookmarkEnd w:id="754"/>
      <w:r/>
      <w:bookmarkEnd w:id="755"/>
      <w:r/>
      <w:bookmarkEnd w:id="756"/>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16.2.1 承包人违约的情形</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承包人违约的其他情形：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中标后被发现有非法转包、违法分包、借用资质行为的中标人（承包人），发包方有权单方面解除施工合同，清退施工人员并按合同总价的 10%收取违约金，在这种情况下，承包人在收到解除合同通知七日内退场，并且不得提出任何对发包人不利的要求并承担发包人相关损</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失</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16.2.2承包人违约的责任</w:t>
      </w:r>
      <w:r/>
    </w:p>
    <w:p>
      <w:pPr>
        <w:pStyle w:val="924"/>
        <w:ind w:left="63" w:right="63"/>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承包人违约责任的承担方式和计算方法：</w:t>
      </w:r>
      <w:r>
        <w:rPr>
          <w:rFonts w:hint="eastAsia" w:ascii="宋体" w:hAnsi="宋体" w:eastAsia="宋体" w:cs="宋体"/>
          <w:color w:val="000000" w:themeColor="text1"/>
          <w:sz w:val="24"/>
          <w:szCs w:val="24"/>
          <w:highlight w:val="none"/>
          <w:u w:val="single"/>
          <w14:textFill>
            <w14:solidFill>
              <w14:schemeClr w14:val="tx1"/>
            </w14:solidFill>
          </w14:textFill>
        </w:rPr>
        <w:t xml:space="preserve">1、施工中出现质量问题，由</w:t>
      </w:r>
      <w:r>
        <w:rPr>
          <w:rFonts w:hint="eastAsia" w:ascii="宋体" w:hAnsi="宋体" w:eastAsia="宋体" w:cs="宋体"/>
          <w:color w:val="000000" w:themeColor="text1"/>
          <w:sz w:val="24"/>
          <w:szCs w:val="24"/>
          <w:highlight w:val="none"/>
          <w:u w:val="single"/>
          <w14:textFill>
            <w14:solidFill>
              <w14:schemeClr w14:val="tx1"/>
            </w14:solidFill>
          </w14:textFill>
        </w:rPr>
        <w:t xml:space="preserve">承包人无偿返工至合格，并承担一切后果及经济赔偿责任，且工期不予顺延 ；2、如承包人违约，当约定的违约金不足以弥补发包人所受到的损失时，还应赔偿损失。3、发生人身、财产损失的安全事故，承包人应立刻将损失赔偿完毕，并保证不得造成社会不利影响。否则，发包人有权垫付上述费用，承包人应向发包人双倍支付垫付的款项。4、因承包人未能按时支付工人工资而造成不良社会影响的，发包人有权为安抚民工而在事先告之承包人的情况下向民工支付工资，并双倍从工程进度款中扣除，上报建设主管部门对承包人进行处置。5、承包人放弃调减违约金的权利。</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16.2.3 因承包人违约解除合同</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关于承包人违约解除合同的特别约定：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57" w:name="_Toc2079114017"/>
      <w:r/>
      <w:bookmarkStart w:id="758" w:name="_Toc812123563"/>
      <w:r>
        <w:rPr>
          <w:rFonts w:hint="eastAsia" w:ascii="宋体" w:hAnsi="宋体" w:eastAsia="宋体" w:cs="宋体"/>
          <w:b w:val="0"/>
          <w:color w:val="000000" w:themeColor="text1"/>
          <w:sz w:val="24"/>
          <w:szCs w:val="24"/>
          <w:highlight w:val="none"/>
          <w14:textFill>
            <w14:solidFill>
              <w14:schemeClr w14:val="tx1"/>
            </w14:solidFill>
          </w14:textFill>
        </w:rPr>
        <w:t xml:space="preserve">17. 不可抗力</w:t>
      </w:r>
      <w:bookmarkEnd w:id="749"/>
      <w:r/>
      <w:bookmarkEnd w:id="757"/>
      <w:r/>
      <w:bookmarkEnd w:id="758"/>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59" w:name="_Toc1806635917"/>
      <w:r/>
      <w:bookmarkStart w:id="760" w:name="_Toc9363"/>
      <w:r/>
      <w:bookmarkStart w:id="761" w:name="_Toc1018645862"/>
      <w:r>
        <w:rPr>
          <w:rFonts w:hint="eastAsia" w:ascii="宋体" w:hAnsi="宋体" w:eastAsia="宋体" w:cs="宋体"/>
          <w:color w:val="000000" w:themeColor="text1"/>
          <w:sz w:val="24"/>
          <w:szCs w:val="24"/>
          <w:highlight w:val="none"/>
          <w14:textFill>
            <w14:solidFill>
              <w14:schemeClr w14:val="tx1"/>
            </w14:solidFill>
          </w14:textFill>
        </w:rPr>
        <w:t xml:space="preserve">17.1 不可抗力的确认</w:t>
      </w:r>
      <w:bookmarkEnd w:id="759"/>
      <w:r/>
      <w:bookmarkEnd w:id="760"/>
      <w:r/>
      <w:bookmarkEnd w:id="761"/>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除通用合同条款约定的不可抗力事件之外，视为不可抗力的其他情形：</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62" w:name="_Toc11690251"/>
      <w:r/>
      <w:bookmarkStart w:id="763" w:name="_Toc1010713786"/>
      <w:r/>
      <w:bookmarkStart w:id="764" w:name="_Toc24645"/>
      <w:r>
        <w:rPr>
          <w:rFonts w:hint="eastAsia" w:ascii="宋体" w:hAnsi="宋体" w:eastAsia="宋体" w:cs="宋体"/>
          <w:color w:val="000000" w:themeColor="text1"/>
          <w:sz w:val="24"/>
          <w:szCs w:val="24"/>
          <w:highlight w:val="none"/>
          <w14:textFill>
            <w14:solidFill>
              <w14:schemeClr w14:val="tx1"/>
            </w14:solidFill>
          </w14:textFill>
        </w:rPr>
        <w:t xml:space="preserve">17.2 因不可抗力解除合同</w:t>
      </w:r>
      <w:bookmarkEnd w:id="762"/>
      <w:r/>
      <w:bookmarkEnd w:id="763"/>
      <w:r/>
      <w:bookmarkEnd w:id="764"/>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合同解除后，发包人应在商定时间后完成款项的支付。</w:t>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65" w:name="_Toc266453569"/>
      <w:r/>
      <w:bookmarkStart w:id="766" w:name="_Toc1270684127"/>
      <w:r>
        <w:rPr>
          <w:rFonts w:hint="eastAsia" w:ascii="宋体" w:hAnsi="宋体" w:eastAsia="宋体" w:cs="宋体"/>
          <w:b w:val="0"/>
          <w:color w:val="000000" w:themeColor="text1"/>
          <w:sz w:val="24"/>
          <w:szCs w:val="24"/>
          <w:highlight w:val="none"/>
          <w14:textFill>
            <w14:solidFill>
              <w14:schemeClr w14:val="tx1"/>
            </w14:solidFill>
          </w14:textFill>
        </w:rPr>
        <w:t xml:space="preserve">18. 保险</w:t>
      </w:r>
      <w:bookmarkEnd w:id="750"/>
      <w:r/>
      <w:bookmarkEnd w:id="765"/>
      <w:r/>
      <w:bookmarkEnd w:id="76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67" w:name="_Toc552342053"/>
      <w:r/>
      <w:bookmarkStart w:id="768" w:name="_Toc29058"/>
      <w:r/>
      <w:bookmarkStart w:id="769" w:name="_Toc995365961"/>
      <w:r>
        <w:rPr>
          <w:rFonts w:hint="eastAsia" w:ascii="宋体" w:hAnsi="宋体" w:eastAsia="宋体" w:cs="宋体"/>
          <w:color w:val="000000" w:themeColor="text1"/>
          <w:sz w:val="24"/>
          <w:szCs w:val="24"/>
          <w:highlight w:val="none"/>
          <w14:textFill>
            <w14:solidFill>
              <w14:schemeClr w14:val="tx1"/>
            </w14:solidFill>
          </w14:textFill>
        </w:rPr>
        <w:t xml:space="preserve">18.1 工程保险</w:t>
      </w:r>
      <w:bookmarkEnd w:id="767"/>
      <w:r/>
      <w:bookmarkEnd w:id="768"/>
      <w:r/>
      <w:bookmarkEnd w:id="769"/>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关于工程保险的特别约定：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70" w:name="_Toc1356197126"/>
      <w:r/>
      <w:bookmarkStart w:id="771" w:name="_Toc1714078037"/>
      <w:r/>
      <w:bookmarkStart w:id="772" w:name="_Toc11083"/>
      <w:r>
        <w:rPr>
          <w:rFonts w:hint="eastAsia" w:ascii="宋体" w:hAnsi="宋体" w:eastAsia="宋体" w:cs="宋体"/>
          <w:color w:val="000000" w:themeColor="text1"/>
          <w:sz w:val="24"/>
          <w:szCs w:val="24"/>
          <w:highlight w:val="none"/>
          <w14:textFill>
            <w14:solidFill>
              <w14:schemeClr w14:val="tx1"/>
            </w14:solidFill>
          </w14:textFill>
        </w:rPr>
        <w:t xml:space="preserve">18.2 其他保险</w:t>
      </w:r>
      <w:bookmarkEnd w:id="770"/>
      <w:r/>
      <w:bookmarkEnd w:id="771"/>
      <w:r/>
      <w:bookmarkEnd w:id="772"/>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关于其他保险的约定：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承包人是否应为其施工设备等办理财产保险：</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73" w:name="_Toc221254894"/>
      <w:r/>
      <w:bookmarkStart w:id="774" w:name="_Toc23310917"/>
      <w:r/>
      <w:bookmarkStart w:id="775" w:name="_Toc4543"/>
      <w:r>
        <w:rPr>
          <w:rFonts w:hint="eastAsia" w:ascii="宋体" w:hAnsi="宋体" w:eastAsia="宋体" w:cs="宋体"/>
          <w:color w:val="000000" w:themeColor="text1"/>
          <w:sz w:val="24"/>
          <w:szCs w:val="24"/>
          <w:highlight w:val="none"/>
          <w14:textFill>
            <w14:solidFill>
              <w14:schemeClr w14:val="tx1"/>
            </w14:solidFill>
          </w14:textFill>
        </w:rPr>
        <w:t xml:space="preserve">18.3 通知义务</w:t>
      </w:r>
      <w:bookmarkEnd w:id="773"/>
      <w:r/>
      <w:bookmarkEnd w:id="774"/>
      <w:r/>
      <w:bookmarkEnd w:id="775"/>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关于变更保险合同时的通知义务的约定：</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r/>
    </w:p>
    <w:p>
      <w:pPr>
        <w:pStyle w:val="878"/>
        <w:numPr>
          <w:ilvl w:val="0"/>
          <w:numId w:val="0"/>
        </w:numPr>
        <w:ind w:left="284"/>
        <w:keepLines/>
        <w:keepNext w:val="0"/>
        <w:pageBreakBefore w:val="0"/>
        <w:spacing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76" w:name="_Toc417085405"/>
      <w:r/>
      <w:bookmarkStart w:id="777" w:name="_Toc226165635"/>
      <w:r>
        <w:rPr>
          <w:rFonts w:hint="eastAsia" w:ascii="宋体" w:hAnsi="宋体" w:eastAsia="宋体" w:cs="宋体"/>
          <w:b w:val="0"/>
          <w:color w:val="000000" w:themeColor="text1"/>
          <w:sz w:val="24"/>
          <w:szCs w:val="24"/>
          <w:highlight w:val="none"/>
          <w14:textFill>
            <w14:solidFill>
              <w14:schemeClr w14:val="tx1"/>
            </w14:solidFill>
          </w14:textFill>
        </w:rPr>
        <w:t xml:space="preserve">19. 争议解决</w:t>
      </w:r>
      <w:bookmarkEnd w:id="776"/>
      <w:r/>
      <w:bookmarkEnd w:id="777"/>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78" w:name="_Toc4610"/>
      <w:r/>
      <w:bookmarkStart w:id="779" w:name="_Toc1731520220"/>
      <w:r/>
      <w:bookmarkStart w:id="780" w:name="_Toc846612084"/>
      <w:r>
        <w:rPr>
          <w:rFonts w:hint="eastAsia" w:ascii="宋体" w:hAnsi="宋体" w:eastAsia="宋体" w:cs="宋体"/>
          <w:color w:val="000000" w:themeColor="text1"/>
          <w:sz w:val="24"/>
          <w:szCs w:val="24"/>
          <w:highlight w:val="none"/>
          <w14:textFill>
            <w14:solidFill>
              <w14:schemeClr w14:val="tx1"/>
            </w14:solidFill>
          </w14:textFill>
        </w:rPr>
        <w:t xml:space="preserve">19.1 争议评审</w:t>
      </w:r>
      <w:bookmarkEnd w:id="778"/>
      <w:r/>
      <w:bookmarkEnd w:id="779"/>
      <w:r/>
      <w:bookmarkEnd w:id="780"/>
      <w:r/>
      <w:r/>
    </w:p>
    <w:p>
      <w:pPr>
        <w:pStyle w:val="872"/>
        <w:ind w:left="149" w:firstLine="36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合同当事人是否同意将工程争议提交争议评审小组决定：</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734"/>
      <w:r/>
      <w:bookmarkEnd w:id="735"/>
      <w:r/>
      <w:bookmarkEnd w:id="736"/>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19.1.1 争议评审小组的确定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关于评审机构的约定：/。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争议评审小组成员的确定：/。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选定争议评审员的期限：/。</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争议评审小组成员的报酬承担方式：/。</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其他事项的约定：/。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19.1.2 争议评审小组的决定</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合同当事人关于本项的约定：/</w:t>
      </w:r>
      <w:r/>
    </w:p>
    <w:p>
      <w:pPr>
        <w:pStyle w:val="872"/>
        <w:jc w:val="left"/>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81" w:name="_Toc30811"/>
      <w:r/>
      <w:bookmarkStart w:id="782" w:name="_Toc2061672555"/>
      <w:r/>
      <w:bookmarkStart w:id="783" w:name="_Toc1638028047"/>
      <w:r>
        <w:rPr>
          <w:rFonts w:hint="eastAsia" w:ascii="宋体" w:hAnsi="宋体" w:eastAsia="宋体" w:cs="宋体"/>
          <w:color w:val="000000" w:themeColor="text1"/>
          <w:sz w:val="24"/>
          <w:szCs w:val="24"/>
          <w:highlight w:val="none"/>
          <w14:textFill>
            <w14:solidFill>
              <w14:schemeClr w14:val="tx1"/>
            </w14:solidFill>
          </w14:textFill>
        </w:rPr>
        <w:t xml:space="preserve">19.2仲裁或诉讼</w:t>
      </w:r>
      <w:bookmarkEnd w:id="737"/>
      <w:r/>
      <w:bookmarkEnd w:id="781"/>
      <w:r/>
      <w:bookmarkEnd w:id="782"/>
      <w:r/>
      <w:bookmarkEnd w:id="783"/>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因合同及合同有关事项发生的争议，按下列第2种方式解决：</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仲裁委员会申请仲裁；</w:t>
      </w:r>
      <w:r/>
    </w:p>
    <w:p>
      <w:pPr>
        <w:pStyle w:val="872"/>
        <w:ind w:firstLine="480"/>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（2）依法向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工程所在地</w:t>
      </w:r>
      <w:r>
        <w:rPr>
          <w:rFonts w:hint="eastAsia" w:ascii="宋体" w:hAnsi="宋体" w:eastAsia="宋体" w:cs="宋体"/>
          <w:color w:val="000000" w:themeColor="text1"/>
          <w:sz w:val="24"/>
          <w:szCs w:val="24"/>
          <w:highlight w:val="none"/>
          <w14:textFill>
            <w14:solidFill>
              <w14:schemeClr w14:val="tx1"/>
            </w14:solidFill>
          </w14:textFill>
        </w:rPr>
        <w:t xml:space="preserve">人民法院起诉。</w:t>
      </w:r>
      <w:bookmarkEnd w:id="738"/>
      <w:r/>
      <w:bookmarkEnd w:id="739"/>
      <w:r/>
      <w:bookmarkEnd w:id="740"/>
      <w:r/>
      <w:bookmarkEnd w:id="741"/>
      <w:r/>
      <w:bookmarkEnd w:id="742"/>
      <w:r/>
      <w:bookmarkEnd w:id="743"/>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84" w:name="_Toc6183"/>
      <w:r/>
      <w:bookmarkStart w:id="785" w:name="_Toc365353596"/>
      <w:r/>
      <w:bookmarkStart w:id="786" w:name="_Toc452738762"/>
      <w:r>
        <w:rPr>
          <w:rFonts w:hint="eastAsia" w:ascii="宋体" w:hAnsi="宋体" w:eastAsia="宋体" w:cs="宋体"/>
          <w:color w:val="000000" w:themeColor="text1"/>
          <w:sz w:val="24"/>
          <w:szCs w:val="24"/>
          <w:highlight w:val="none"/>
          <w14:textFill>
            <w14:solidFill>
              <w14:schemeClr w14:val="tx1"/>
            </w14:solidFill>
          </w14:textFill>
        </w:rPr>
        <w:t xml:space="preserve">19.3 通知送达</w:t>
      </w:r>
      <w:bookmarkEnd w:id="784"/>
      <w:r/>
      <w:bookmarkEnd w:id="785"/>
      <w:r/>
      <w:bookmarkEnd w:id="786"/>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bookmarkStart w:id="787" w:name="_Toc1414635822"/>
      <w:r/>
      <w:bookmarkStart w:id="788" w:name="_Toc626862138"/>
      <w:r/>
      <w:bookmarkStart w:id="789" w:name="_Toc18712"/>
      <w:r>
        <w:rPr>
          <w:rFonts w:hint="eastAsia" w:ascii="宋体" w:hAnsi="宋体" w:eastAsia="宋体" w:cs="宋体"/>
          <w:color w:val="000000" w:themeColor="text1"/>
          <w:sz w:val="24"/>
          <w:szCs w:val="24"/>
          <w:highlight w:val="none"/>
          <w14:textFill>
            <w14:solidFill>
              <w14:schemeClr w14:val="tx1"/>
            </w14:solidFill>
          </w14:textFill>
        </w:rPr>
        <w:t xml:space="preserve">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则相关通知或文件自寄送或发送后第3天起视为已送达。</w:t>
      </w:r>
      <w:bookmarkEnd w:id="787"/>
      <w:r/>
      <w:bookmarkEnd w:id="788"/>
      <w:r/>
      <w:r/>
    </w:p>
    <w:p>
      <w:pPr>
        <w:pStyle w:val="872"/>
        <w:ind w:firstLine="482"/>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outlineLvl w:val="2"/>
      </w:pPr>
      <w:r>
        <w:rPr>
          <w:rFonts w:hint="eastAsia" w:ascii="宋体" w:hAnsi="宋体" w:eastAsia="宋体" w:cs="宋体"/>
          <w:b/>
          <w:color w:val="000000" w:themeColor="text1"/>
          <w:sz w:val="24"/>
          <w:szCs w:val="24"/>
          <w:highlight w:val="none"/>
          <w14:textFill>
            <w14:solidFill>
              <w14:schemeClr w14:val="tx1"/>
            </w14:solidFill>
          </w14:textFill>
        </w:rPr>
        <w:t xml:space="preserve">20.补充条款</w:t>
      </w:r>
      <w:r/>
    </w:p>
    <w:p>
      <w:pPr>
        <w:ind w:firstLine="480"/>
        <w:jc w:val="left"/>
        <w:spacing w:line="44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21.1承包人须与包括农民</w:t>
      </w:r>
      <w:r>
        <w:rPr>
          <w:rFonts w:hint="eastAsia" w:ascii="宋体" w:hAnsi="宋体" w:eastAsia="宋体" w:cs="宋体"/>
          <w:color w:val="000000"/>
          <w:sz w:val="24"/>
          <w:szCs w:val="24"/>
          <w:highlight w:val="none"/>
          <w:u w:val="single"/>
          <w:lang w:val="en-US" w:eastAsia="zh-CN" w:bidi="ar-SA"/>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firstLine="360"/>
        <w:jc w:val="left"/>
        <w:spacing w:line="44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firstLine="360"/>
        <w:jc w:val="left"/>
        <w:spacing w:line="44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21.3 承包人不按发包人要求参加施工期间各种会议的，向发包人支付违约金500元/人次，迟到的向发包人支付违约金300元/人次，承包人予以认可。</w:t>
      </w:r>
      <w:r/>
    </w:p>
    <w:p>
      <w:pPr>
        <w:ind w:firstLine="360"/>
        <w:jc w:val="left"/>
        <w:spacing w:line="440" w:lineRule="exact"/>
        <w:widowControl w:val="off"/>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21.4</w:t>
      </w:r>
      <w:r>
        <w:rPr>
          <w:rFonts w:hint="eastAsia" w:ascii="宋体" w:hAnsi="宋体" w:eastAsia="宋体" w:cs="Times New Roman"/>
          <w:color w:val="000000"/>
          <w:sz w:val="24"/>
          <w:szCs w:val="24"/>
          <w:highlight w:val="none"/>
          <w:u w:val="single"/>
          <w:lang w:val="en-US" w:eastAsia="zh-CN" w:bidi="ar-SA"/>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Times New Roman"/>
          <w:color w:val="000000"/>
          <w:sz w:val="24"/>
          <w:szCs w:val="24"/>
          <w:highlight w:val="none"/>
          <w:u w:val="single"/>
          <w:lang w:val="en-US" w:eastAsia="zh-CN" w:bidi="ar-SA"/>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firstLine="360"/>
        <w:jc w:val="left"/>
        <w:spacing w:line="44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firstLine="360"/>
        <w:jc w:val="left"/>
        <w:spacing w:line="44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21.6发包人支付承包人的所有款项前，承包人必须向发包人提供能满足发包人财务要求的合法的等额票据，否则，发包人有权拒付当期应付款。</w:t>
      </w:r>
      <w:r/>
    </w:p>
    <w:p>
      <w:pPr>
        <w:ind w:firstLine="360"/>
        <w:jc w:val="left"/>
        <w:spacing w:line="440" w:lineRule="exact"/>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u w:val="single"/>
          <w:lang w:val="en-US" w:eastAsia="zh-CN" w:bidi="ar-SA"/>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附件1：绿化养护责任书</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附件2：工程质量保修书</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附件3：廉政建设责任书</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附件4：承包人用于本工程施工的机械设备表</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附件5：承包人主要施工管理人员表</w:t>
      </w:r>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2"/>
      </w:pPr>
      <w:r>
        <w:rPr>
          <w:rFonts w:hint="eastAsia" w:ascii="宋体" w:hAnsi="宋体" w:eastAsia="宋体" w:cs="宋体"/>
          <w:color w:val="000000" w:themeColor="text1"/>
          <w:sz w:val="24"/>
          <w:szCs w:val="24"/>
          <w:highlight w:val="none"/>
          <w14:textFill>
            <w14:solidFill>
              <w14:schemeClr w14:val="tx1"/>
            </w14:solidFill>
          </w14:textFill>
        </w:rPr>
        <w:t xml:space="preserve">附件6：发包人主要管理人员表</w:t>
      </w:r>
      <w:bookmarkEnd w:id="789"/>
      <w:r/>
    </w:p>
    <w:p>
      <w:pPr>
        <w:pStyle w:val="872"/>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2098" w:right="1757" w:bottom="1984" w:left="1757" w:header="851" w:footer="1417" w:gutter="0"/>
          <w:cols w:num="1" w:sep="0" w:space="1701" w:equalWidth="1"/>
          <w:docGrid w:linePitch="360"/>
        </w:sectPr>
        <w:outlineLvl w:val="2"/>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bookmarkStart w:id="790" w:name="_Toc2144979508"/>
      <w:r/>
      <w:bookmarkStart w:id="791" w:name="_Toc1357349786"/>
      <w:r/>
      <w:bookmarkStart w:id="792" w:name="_Toc1799881692"/>
      <w:r>
        <w:rPr>
          <w:rFonts w:hint="eastAsia" w:ascii="宋体" w:hAnsi="宋体" w:eastAsia="宋体" w:cs="宋体"/>
          <w:color w:val="000000" w:themeColor="text1"/>
          <w:sz w:val="24"/>
          <w:szCs w:val="24"/>
          <w:highlight w:val="none"/>
          <w14:textFill>
            <w14:solidFill>
              <w14:schemeClr w14:val="tx1"/>
            </w14:solidFill>
          </w14:textFill>
        </w:rPr>
        <w:t xml:space="preserve">附件1:</w:t>
      </w:r>
      <w:bookmarkEnd w:id="790"/>
      <w:r/>
      <w:bookmarkEnd w:id="791"/>
      <w:r/>
      <w:bookmarkEnd w:id="792"/>
      <w:r/>
      <w:r/>
    </w:p>
    <w:p>
      <w:pPr>
        <w:pStyle w:val="878"/>
        <w:numPr>
          <w:ilvl w:val="0"/>
          <w:numId w:val="0"/>
        </w:numPr>
        <w:ind w:left="284"/>
        <w:jc w:val="center"/>
        <w:keepLines w:val="0"/>
        <w:keepNext w:val="0"/>
        <w:pageBreakBefore w:val="0"/>
        <w:spacing w:before="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93" w:name="_Toc2133128467"/>
      <w:r/>
      <w:bookmarkStart w:id="794" w:name="_Toc1792836188"/>
      <w:r>
        <w:rPr>
          <w:rFonts w:hint="eastAsia" w:ascii="宋体" w:hAnsi="宋体" w:eastAsia="宋体" w:cs="宋体"/>
          <w:b w:val="0"/>
          <w:color w:val="000000" w:themeColor="text1"/>
          <w:sz w:val="24"/>
          <w:szCs w:val="24"/>
          <w:highlight w:val="none"/>
          <w14:textFill>
            <w14:solidFill>
              <w14:schemeClr w14:val="tx1"/>
            </w14:solidFill>
          </w14:textFill>
        </w:rPr>
        <w:t xml:space="preserve">绿化养护责任书</w:t>
      </w:r>
      <w:bookmarkEnd w:id="793"/>
      <w:r/>
      <w:bookmarkEnd w:id="794"/>
      <w:r/>
      <w:r/>
    </w:p>
    <w:p>
      <w:pPr>
        <w:pStyle w:val="872"/>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发包人和承包人根据《园林绿化养护标准》（CJJ/T287）或（地方标准）等相关规定，经协商一致就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（工程全称）签订绿化养护责任书。</w:t>
      </w:r>
      <w:r/>
    </w:p>
    <w:p>
      <w:pPr>
        <w:pStyle w:val="872"/>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一、责任范围和内容</w:t>
      </w:r>
      <w:r/>
    </w:p>
    <w:p>
      <w:pPr>
        <w:pStyle w:val="872"/>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承包人在绿化养护期内，按照有关法律规定和合同约定，承担施工范围内的绿化养护责任。</w:t>
      </w:r>
      <w:r/>
    </w:p>
    <w:p>
      <w:pPr>
        <w:pStyle w:val="872"/>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内容包括对养护范围内植物采取的整形修剪、松土除草、灌溉与排水、施肥、有害生物防治、改植与补植、绿地防护（如防台风、防寒）等技术措施；</w:t>
      </w:r>
      <w:r>
        <w:rPr>
          <w:rFonts w:hint="eastAsia" w:ascii="宋体" w:hAnsi="宋体" w:eastAsia="宋体" w:cs="宋体"/>
          <w:bCs/>
          <w:color w:val="000000" w:themeColor="text1"/>
          <w:sz w:val="24"/>
          <w:szCs w:val="24"/>
          <w:highlight w:val="none"/>
          <w14:textFill>
            <w14:solidFill>
              <w14:schemeClr w14:val="tx1"/>
            </w14:solidFill>
          </w14:textFill>
        </w:rPr>
        <w:t xml:space="preserve">其他内容</w:t>
      </w:r>
      <w:r>
        <w:rPr>
          <w:rFonts w:hint="eastAsia" w:ascii="宋体" w:hAnsi="宋体" w:eastAsia="宋体" w:cs="宋体"/>
          <w:color w:val="000000" w:themeColor="text1"/>
          <w:sz w:val="24"/>
          <w:szCs w:val="24"/>
          <w:highlight w:val="none"/>
          <w14:textFill>
            <w14:solidFill>
              <w14:schemeClr w14:val="tx1"/>
            </w14:solidFill>
          </w14:textFill>
        </w:rPr>
        <w:t xml:space="preserve">双方约定如下：  。</w:t>
      </w:r>
      <w:r/>
    </w:p>
    <w:p>
      <w:pPr>
        <w:pStyle w:val="872"/>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二、养护标准</w:t>
      </w:r>
      <w:r/>
    </w:p>
    <w:p>
      <w:pPr>
        <w:pStyle w:val="872"/>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绿化养护质量按照《园林绿化养护标准》（CJJ/T287）或（地方标准）中级标准。</w:t>
      </w:r>
      <w:r/>
    </w:p>
    <w:p>
      <w:pPr>
        <w:pStyle w:val="872"/>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三、考核标准</w:t>
      </w:r>
      <w:r/>
    </w:p>
    <w:p>
      <w:pPr>
        <w:pStyle w:val="872"/>
        <w:ind w:firstLine="453"/>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由发包人按（国家标准行业标准地方标准）中级标准进行考核，相关费用从质量保证金中扣除。</w:t>
      </w:r>
      <w:r/>
    </w:p>
    <w:p>
      <w:pPr>
        <w:pStyle w:val="872"/>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四、绿化养护期</w:t>
      </w:r>
      <w:r/>
    </w:p>
    <w:p>
      <w:pPr>
        <w:pStyle w:val="872"/>
        <w:ind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绿化养护期24个月，从工程竣工验收合格之日起计算。</w:t>
      </w:r>
      <w:r/>
    </w:p>
    <w:p>
      <w:pPr>
        <w:pStyle w:val="872"/>
        <w:ind w:firstLine="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五、养护责任</w:t>
      </w:r>
      <w:r/>
    </w:p>
    <w:p>
      <w:pPr>
        <w:pStyle w:val="872"/>
        <w:ind w:left="105"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1．为确保养护质量，承包人应安排专业队伍和人员进行养护管理。</w:t>
      </w:r>
      <w:r/>
    </w:p>
    <w:p>
      <w:pPr>
        <w:pStyle w:val="872"/>
        <w:ind w:left="105" w:firstLine="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r/>
    </w:p>
    <w:p>
      <w:pPr>
        <w:pStyle w:val="872"/>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3．苗木成活率按合同约定执行，发生苗木等植物材料死亡，须按原设计品种和规格及时更换，更换费用由承包人承担。</w:t>
      </w:r>
      <w:r/>
    </w:p>
    <w:p>
      <w:pPr>
        <w:pStyle w:val="872"/>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4．绿化养护期满后，由发包人组织验收。</w:t>
      </w:r>
      <w:r/>
    </w:p>
    <w:p>
      <w:pPr>
        <w:pStyle w:val="872"/>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5．其他责任约定：无。</w:t>
      </w:r>
      <w:r/>
    </w:p>
    <w:p>
      <w:pPr>
        <w:pStyle w:val="872"/>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六、养护费用</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养护费用由承包人承担。</w:t>
      </w:r>
      <w:r/>
    </w:p>
    <w:p>
      <w:pPr>
        <w:pStyle w:val="872"/>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七、其他约定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绿化养护责任书由发包人、承包人在工程竣工验收前共同签署，作为施工合同附件，其有效期限至绿化养护期满。</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-305435</wp:posOffset>
                </wp:positionH>
                <wp:positionV relativeFrom="paragraph">
                  <wp:posOffset>205740</wp:posOffset>
                </wp:positionV>
                <wp:extent cx="2865755" cy="1920240"/>
                <wp:effectExtent l="0" t="0" r="10795" b="381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865755" cy="1920240"/>
                        </a:xfrm>
                        <a:prstGeom prst="rect">
                          <a:avLst/>
                        </a:prstGeom>
                        <a:solidFill>
                          <a:srgbClr val="FFFFFF"/>
                        </a:solidFill>
                        <a:ln>
                          <a:noFill/>
                        </a:ln>
                      </wps:spPr>
                      <wps:txbx>
                        <w:txbxContent>
                          <w:p>
                            <w:pPr>
                              <w:pStyle w:val="872"/>
                              <w:spacing w:line="360" w:lineRule="auto"/>
                              <w:rPr>
                                <w:rFonts w:ascii="宋体" w:hAnsi="宋体"/>
                                <w:sz w:val="24"/>
                              </w:rPr>
                            </w:pPr>
                            <w:r>
                              <w:rPr>
                                <w:rFonts w:ascii="宋体" w:hAnsi="宋体"/>
                                <w:sz w:val="24"/>
                              </w:rPr>
                              <w:t xml:space="preserve">发包人：（公章）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pPr>
                            <w:r/>
                            <w:r/>
                          </w:p>
                        </w:txbxContent>
                      </wps:txbx>
                      <wps:bodyPr wrap="square" upright="1"/>
                    </wps:wsp>
                  </a:graphicData>
                </a:graphic>
              </wp:anchor>
            </w:drawing>
          </mc:Choice>
          <mc:Fallback>
            <w:pict>
              <v:shape id="shape 6" o:spid="_x0000_s6" o:spt="202" type="#_x0000_t202" style="position:absolute;z-index:251664384;o:allowoverlap:true;o:allowincell:true;mso-position-horizontal-relative:text;margin-left:-24.0pt;mso-position-horizontal:absolute;mso-position-vertical-relative:text;margin-top:16.2pt;mso-position-vertical:absolute;width:225.6pt;height:151.2pt;mso-wrap-distance-left:9.0pt;mso-wrap-distance-top:0.0pt;mso-wrap-distance-right:9.0pt;mso-wrap-distance-bottom:0.0pt;visibility:visible;" fillcolor="#FFFFFF" stroked="f">
                <v:textbox inset="0,0,0,0">
                  <w:txbxContent>
                    <w:p>
                      <w:pPr>
                        <w:pStyle w:val="872"/>
                        <w:spacing w:line="360" w:lineRule="auto"/>
                        <w:rPr>
                          <w:rFonts w:ascii="宋体" w:hAnsi="宋体"/>
                          <w:sz w:val="24"/>
                        </w:rPr>
                      </w:pPr>
                      <w:r>
                        <w:rPr>
                          <w:rFonts w:ascii="宋体" w:hAnsi="宋体"/>
                          <w:sz w:val="24"/>
                        </w:rPr>
                        <w:t xml:space="preserve">发包人：（公章）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pPr>
                      <w:r/>
                      <w:r/>
                    </w:p>
                  </w:txbxContent>
                </v:textbox>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2559050</wp:posOffset>
                </wp:positionH>
                <wp:positionV relativeFrom="paragraph">
                  <wp:posOffset>205740</wp:posOffset>
                </wp:positionV>
                <wp:extent cx="2931160" cy="1920240"/>
                <wp:effectExtent l="0" t="0" r="2540" b="381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2931160" cy="1920240"/>
                        </a:xfrm>
                        <a:prstGeom prst="rect">
                          <a:avLst/>
                        </a:prstGeom>
                        <a:solidFill>
                          <a:srgbClr val="FFFFFF"/>
                        </a:solidFill>
                        <a:ln>
                          <a:noFill/>
                        </a:ln>
                      </wps:spPr>
                      <wps:txbx>
                        <w:txbxContent>
                          <w:p>
                            <w:pPr>
                              <w:pStyle w:val="872"/>
                              <w:spacing w:line="360" w:lineRule="auto"/>
                              <w:rPr>
                                <w:rFonts w:ascii="宋体" w:hAnsi="宋体"/>
                                <w:sz w:val="24"/>
                              </w:rPr>
                            </w:pPr>
                            <w:r>
                              <w:rPr>
                                <w:rFonts w:ascii="宋体" w:hAnsi="宋体"/>
                                <w:sz w:val="24"/>
                              </w:rPr>
                              <w:t xml:space="preserve">承包人：（公章）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pPr>
                            <w:r/>
                            <w:r/>
                          </w:p>
                        </w:txbxContent>
                      </wps:txbx>
                      <wps:bodyPr wrap="square" upright="1"/>
                    </wps:wsp>
                  </a:graphicData>
                </a:graphic>
              </wp:anchor>
            </w:drawing>
          </mc:Choice>
          <mc:Fallback>
            <w:pict>
              <v:shape id="shape 7" o:spid="_x0000_s7" o:spt="202" type="#_x0000_t202" style="position:absolute;z-index:251665408;o:allowoverlap:true;o:allowincell:true;mso-position-horizontal-relative:text;margin-left:201.5pt;mso-position-horizontal:absolute;mso-position-vertical-relative:text;margin-top:16.2pt;mso-position-vertical:absolute;width:230.8pt;height:151.2pt;mso-wrap-distance-left:9.0pt;mso-wrap-distance-top:0.0pt;mso-wrap-distance-right:9.0pt;mso-wrap-distance-bottom:0.0pt;visibility:visible;" fillcolor="#FFFFFF" stroked="f">
                <v:textbox inset="0,0,0,0">
                  <w:txbxContent>
                    <w:p>
                      <w:pPr>
                        <w:pStyle w:val="872"/>
                        <w:spacing w:line="360" w:lineRule="auto"/>
                        <w:rPr>
                          <w:rFonts w:ascii="宋体" w:hAnsi="宋体"/>
                          <w:sz w:val="24"/>
                        </w:rPr>
                      </w:pPr>
                      <w:r>
                        <w:rPr>
                          <w:rFonts w:ascii="宋体" w:hAnsi="宋体"/>
                          <w:sz w:val="24"/>
                        </w:rPr>
                        <w:t xml:space="preserve">承包人：（公章）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pPr>
                      <w:r/>
                      <w:r/>
                    </w:p>
                  </w:txbxContent>
                </v:textbox>
              </v:shape>
            </w:pict>
          </mc:Fallback>
        </mc:AlternateConten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795" w:name="_Toc1831685531"/>
      <w:r/>
      <w:bookmarkStart w:id="796" w:name="_Toc298211660"/>
      <w:r/>
      <w:bookmarkStart w:id="797" w:name="_Toc732104650"/>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附件2：</w:t>
      </w:r>
      <w:bookmarkEnd w:id="795"/>
      <w:r/>
      <w:bookmarkEnd w:id="796"/>
      <w:r/>
      <w:bookmarkEnd w:id="797"/>
      <w:r/>
      <w:r/>
    </w:p>
    <w:p>
      <w:pPr>
        <w:pStyle w:val="878"/>
        <w:numPr>
          <w:ilvl w:val="0"/>
          <w:numId w:val="0"/>
        </w:numPr>
        <w:ind w:left="284"/>
        <w:jc w:val="center"/>
        <w:keepLines/>
        <w:keepNext w:val="0"/>
        <w:pageBreakBefore w:val="0"/>
        <w:spacing w:before="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798" w:name="_Toc358881767"/>
      <w:r/>
      <w:bookmarkStart w:id="799" w:name="_Toc2084188277"/>
      <w:r>
        <w:rPr>
          <w:rFonts w:hint="eastAsia" w:ascii="宋体" w:hAnsi="宋体" w:eastAsia="宋体" w:cs="宋体"/>
          <w:b w:val="0"/>
          <w:color w:val="000000" w:themeColor="text1"/>
          <w:sz w:val="24"/>
          <w:szCs w:val="24"/>
          <w:highlight w:val="none"/>
          <w14:textFill>
            <w14:solidFill>
              <w14:schemeClr w14:val="tx1"/>
            </w14:solidFill>
          </w14:textFill>
        </w:rPr>
        <w:t xml:space="preserve">工程质量保修书</w:t>
      </w:r>
      <w:bookmarkEnd w:id="798"/>
      <w:r/>
      <w:bookmarkEnd w:id="799"/>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发包人和承包人根据《中华人民共和国建筑法》《建设工程质量管理条例》和《园林绿化工程施工及验收规范》</w:t>
      </w:r>
      <w:r>
        <w:rPr>
          <w:rFonts w:hint="eastAsia" w:ascii="宋体" w:hAnsi="宋体" w:eastAsia="宋体" w:cs="宋体"/>
          <w:bCs/>
          <w:color w:val="000000" w:themeColor="text1"/>
          <w:sz w:val="24"/>
          <w:szCs w:val="24"/>
          <w:highlight w:val="none"/>
          <w14:textFill>
            <w14:solidFill>
              <w14:schemeClr w14:val="tx1"/>
            </w14:solidFill>
          </w14:textFill>
        </w:rPr>
        <w:t xml:space="preserve">（CJJ82）以及（地方标准），</w:t>
      </w:r>
      <w:r>
        <w:rPr>
          <w:rFonts w:hint="eastAsia" w:ascii="宋体" w:hAnsi="宋体" w:eastAsia="宋体" w:cs="宋体"/>
          <w:color w:val="000000" w:themeColor="text1"/>
          <w:sz w:val="24"/>
          <w:szCs w:val="24"/>
          <w:highlight w:val="none"/>
          <w14:textFill>
            <w14:solidFill>
              <w14:schemeClr w14:val="tx1"/>
            </w14:solidFill>
          </w14:textFill>
        </w:rPr>
        <w:t xml:space="preserve">经协商一致就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（工程名称）</w:t>
      </w:r>
      <w:r>
        <w:rPr>
          <w:rFonts w:hint="eastAsia" w:ascii="宋体" w:hAnsi="宋体" w:eastAsia="宋体" w:cs="宋体"/>
          <w:color w:val="000000" w:themeColor="text1"/>
          <w:sz w:val="24"/>
          <w:szCs w:val="24"/>
          <w:highlight w:val="none"/>
          <w14:textFill>
            <w14:solidFill>
              <w14:schemeClr w14:val="tx1"/>
            </w14:solidFill>
          </w14:textFill>
        </w:rPr>
        <w:t xml:space="preserve">签订工程质量保修书。</w:t>
      </w:r>
      <w:r/>
    </w:p>
    <w:p>
      <w:pPr>
        <w:pStyle w:val="872"/>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一、工程质量保修范围和内容</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承包人在质量保修期内，按照有关法律规定和合同约定，承担工程质量保修责任。</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二、质量保修期</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根据《建设工程质量管理条例》及有关规定，工程的质量保修期如下：</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工程的质量保修期如下：</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1. 地基基础工程和主体结构工程为设计文件规定的工程合理使用年限；</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屋面防水工程、有防水要求的卫生间、房间和外墙面的防渗为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年；其他防水工程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装修工程为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 电气管线、给排水管道、设备安装工程为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年；</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5．供热与供冷系统为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个采暖期、供冷期；</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 绿化工程为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 园林附属工程为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24 </w:t>
      </w:r>
      <w:r>
        <w:rPr>
          <w:rFonts w:hint="eastAsia" w:ascii="宋体" w:hAnsi="宋体" w:eastAsia="宋体" w:cs="宋体"/>
          <w:color w:val="000000" w:themeColor="text1"/>
          <w:sz w:val="24"/>
          <w:szCs w:val="24"/>
          <w:highlight w:val="none"/>
          <w14:textFill>
            <w14:solidFill>
              <w14:schemeClr w14:val="tx1"/>
            </w14:solidFill>
          </w14:textFill>
        </w:rPr>
        <w:t xml:space="preserve">个月；</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 其他项目保修期限约定如下：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质量保修期自工程竣工验收合格之日起计算。</w:t>
      </w:r>
      <w:r/>
    </w:p>
    <w:p>
      <w:pPr>
        <w:pStyle w:val="872"/>
        <w:numPr>
          <w:ilvl w:val="0"/>
          <w:numId w:val="29"/>
        </w:numPr>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缺陷责任期</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工程缺陷责任期为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24</w:t>
      </w:r>
      <w:r>
        <w:rPr>
          <w:rFonts w:hint="eastAsia" w:ascii="宋体" w:hAnsi="宋体" w:eastAsia="宋体" w:cs="宋体"/>
          <w:color w:val="000000" w:themeColor="text1"/>
          <w:sz w:val="24"/>
          <w:szCs w:val="24"/>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缺陷责任期终止后，发包人应退还剩余的质量保证金。</w:t>
      </w:r>
      <w:r/>
    </w:p>
    <w:p>
      <w:pPr>
        <w:pStyle w:val="872"/>
        <w:numPr>
          <w:ilvl w:val="0"/>
          <w:numId w:val="29"/>
        </w:numPr>
        <w:ind w:firstLine="600"/>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质量保修责任</w:t>
      </w:r>
      <w:r/>
    </w:p>
    <w:p>
      <w:pPr>
        <w:pStyle w:val="872"/>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属于保修范围、内容的项目，承包人应当在接到保修通知之日起7天内派人保修。承包人不在约定期限内派人保修的，发包人可以委托他人修理，费用由承包人承担，从质量保证金中扣除。</w:t>
      </w:r>
      <w:r/>
    </w:p>
    <w:p>
      <w:pPr>
        <w:pStyle w:val="872"/>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发生紧急事故需抢修的，承包人在接到事故通知后，应当立即到达事故现场抢修。</w:t>
      </w:r>
      <w:r/>
    </w:p>
    <w:p>
      <w:pPr>
        <w:pStyle w:val="872"/>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r/>
    </w:p>
    <w:p>
      <w:pPr>
        <w:pStyle w:val="872"/>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在工程质量保修期内，未能在合理期限对工程质量问题进行修复，或拒绝按要求进行修复的，承包人应向发包人支付修复工程支出的实际金额。</w:t>
      </w:r>
      <w:r/>
    </w:p>
    <w:p>
      <w:pPr>
        <w:pStyle w:val="872"/>
        <w:numPr>
          <w:ilvl w:val="0"/>
          <w:numId w:val="30"/>
        </w:numPr>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质量保修完成后，由发包人组织验收。</w:t>
      </w:r>
      <w:r/>
    </w:p>
    <w:p>
      <w:pPr>
        <w:pStyle w:val="872"/>
        <w:ind w:left="600"/>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五、双方约定的其他工程质量保修项</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工程质量保修书由发包人、承包人在工程竣工验收前共同签署，作为施工合同附件，其有效期限至保修期满。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bookmarkStart w:id="800" w:name="_Toc2094516902"/>
      <w:r/>
      <w:bookmarkStart w:id="801" w:name="_Toc184263479"/>
      <w:r>
        <w:rPr>
          <w:rFonts w:hint="eastAsia" w:ascii="宋体" w:hAnsi="宋体" w:eastAsia="宋体" w:cs="宋体"/>
          <w:color w:val="000000" w:themeColor="text1"/>
          <w:sz w:val="24"/>
          <w:szCs w:val="24"/>
          <w:highlight w:val="none"/>
          <w14:textFill>
            <w14:solidFill>
              <w14:schemeClr w14:val="tx1"/>
            </w14:solidFill>
          </w14:textFill>
        </w:rPr>
        <w:t xml:space="preserve">发包人：（公章）               承包人：（公章）</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法定代表人或其委托代理人：     法定代表人或其委托代理人：</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（签字）                      （签字）</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社会统一信用代码：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社会统一信用代码：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地 址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邮政编码：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委托代理人：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 话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传 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传 真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14:textFill>
            <w14:solidFill>
              <w14:schemeClr w14:val="tx1"/>
            </w14:solidFill>
          </w14:textFill>
        </w:rPr>
        <w:t xml:space="preserve">电子信箱：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         </w:t>
      </w:r>
      <w:r/>
    </w:p>
    <w:p>
      <w:pPr>
        <w:pStyle w:val="872"/>
        <w:ind w:left="5880" w:hanging="58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Style w:val="1160"/>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开户银行：</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账号：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账号 ：</w:t>
      </w:r>
      <w:bookmarkStart w:id="802" w:name="_Toc362478915"/>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附件3：</w:t>
      </w:r>
      <w:bookmarkEnd w:id="800"/>
      <w:r/>
      <w:bookmarkEnd w:id="801"/>
      <w:r/>
      <w:bookmarkEnd w:id="802"/>
      <w:r/>
      <w:r/>
    </w:p>
    <w:p>
      <w:pPr>
        <w:pStyle w:val="878"/>
        <w:numPr>
          <w:ilvl w:val="0"/>
          <w:numId w:val="0"/>
        </w:numPr>
        <w:ind w:left="284"/>
        <w:jc w:val="center"/>
        <w:keepLines/>
        <w:keepNext w:val="0"/>
        <w:pageBreakBefore w:val="0"/>
        <w:spacing w:before="0" w:line="360" w:lineRule="auto"/>
        <w:widowControl w:val="off"/>
        <w:rPr>
          <w:rFonts w:hint="eastAsia" w:ascii="宋体" w:hAnsi="宋体" w:eastAsia="宋体" w:cs="宋体"/>
          <w:b w:val="0"/>
          <w:color w:val="000000" w:themeColor="text1"/>
          <w:sz w:val="24"/>
          <w:szCs w:val="24"/>
          <w:highlight w:val="none"/>
          <w14:textFill>
            <w14:solidFill>
              <w14:schemeClr w14:val="tx1"/>
            </w14:solidFill>
          </w14:textFill>
        </w:rPr>
      </w:pPr>
      <w:r/>
      <w:bookmarkStart w:id="803" w:name="_Toc41181775"/>
      <w:r/>
      <w:bookmarkStart w:id="804" w:name="_Toc1106295181"/>
      <w:r>
        <w:rPr>
          <w:rFonts w:hint="eastAsia" w:ascii="宋体" w:hAnsi="宋体" w:eastAsia="宋体" w:cs="宋体"/>
          <w:b w:val="0"/>
          <w:color w:val="000000" w:themeColor="text1"/>
          <w:sz w:val="24"/>
          <w:szCs w:val="24"/>
          <w:highlight w:val="none"/>
          <w14:textFill>
            <w14:solidFill>
              <w14:schemeClr w14:val="tx1"/>
            </w14:solidFill>
          </w14:textFill>
        </w:rPr>
        <w:t xml:space="preserve">廉政建设责任书</w:t>
      </w:r>
      <w:bookmarkEnd w:id="803"/>
      <w:r/>
      <w:bookmarkEnd w:id="804"/>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r/>
    </w:p>
    <w:p>
      <w:pPr>
        <w:pStyle w:val="872"/>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一、双方的责任</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1.1应严格遵守国家关于建设工程的有关法律、法规，相关政策，以及廉政建设的各项规定。</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1.2严格执行建设工程合同文件，自觉按合同办事。</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1.3各项活动必须坚持公开、公平、公正、诚信、透明的原则(除法律法规另有规定者外)，不得为获取不正当的利益，损害国家、集体和对方利益，不得违反建设工程管理的规章制度。</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1.4发现对方在业务活动中有违规、违纪、违法行为的，应及时提醒对方，情节严重的，应向其上级主管部门或纪检监察、司法等有关机关举报。</w:t>
      </w:r>
      <w:r/>
    </w:p>
    <w:p>
      <w:pPr>
        <w:pStyle w:val="872"/>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二、发包人责任</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发包人从事该建设工程项目的负责人和工作人员，在工程建设的事前、事中、事后应遵守以下规定：</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2.1不得向承包人和相关单位索要或接受回扣、礼金、有价证券、贵重物品和好处费、感谢费等。</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2.2不得在承包人和相关单位报销任何应由发包人或个人支付的费用。</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2.3不得要求、暗示或接受承包人和相关单位为个人装修住房、婚丧嫁娶、配偶子女的工作安排以及出国(境)、旅游等提供方便。</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2.4不得参加有可能影响公正执行公务的承包人和相关单位的宴请、健身、娱乐等活动。</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2.5不得向承包人和相关单位介绍或为配偶、子女、亲属参与同发包人工程建设管理合同有关的业务活动；不得以任何理由要求承包人和相关单位使用某种产品、材料和设备。</w:t>
      </w:r>
      <w:r/>
    </w:p>
    <w:p>
      <w:pPr>
        <w:pStyle w:val="872"/>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三、承包人责任</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应与发包人保持正常的业务交往，按照有关法律法规和程序开展业务工作，严格执行工程建设的有关方针、政策，执行工程建设强制性标准，并遵守以下规定：</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3.1不得以任何理由向发包人及其工作人员索要、接受或赠送礼金、有价证券、贵重物品及回扣、好处费、感谢费等。</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3.2不得以任何理由为发包人和相关单位报销应由对方或个人支付的费用。</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3.3不得接受或暗示为发包人、相关单位或个人装修住房、婚丧嫁娶、配偶子女的工作安排以及出国(境)、旅游等提供方便。</w:t>
      </w:r>
      <w:r/>
    </w:p>
    <w:p>
      <w:pPr>
        <w:pStyle w:val="872"/>
        <w:ind w:firstLine="480"/>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3.4不得以任何理由为发包人、相关单位或个人组织有可能影响公正执行公务的宴请、健身、娱乐等活动。</w:t>
      </w:r>
      <w:r/>
    </w:p>
    <w:p>
      <w:pPr>
        <w:pStyle w:val="872"/>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四、违约责任</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4.1发包人工作人员有违反本责任书第一、二条责任行为的，依据有关法律、法规给予处理；涉嫌犯罪的，移交司法机关追究刑事责任；给承包人单位造成经济损失的，应予以赔偿。</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4.2承包人工作人员有违反本责任书第一、三条责任行为的，依据有关法律法规处理；涉嫌犯罪的，移交司法机关追究刑事责任；给发包人单位造成经济损失的，应予以赔偿。</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4.3本责任书作为本合同的组成部分，与本合同具有同等法律效力，经双方签署后立即生效。</w:t>
      </w:r>
      <w:r/>
    </w:p>
    <w:p>
      <w:pPr>
        <w:pStyle w:val="872"/>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五、责任书有效期</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本责任书的有效期为双方签署之日起至该工程项目竣工验收合格时止。</w:t>
      </w:r>
      <w:r/>
    </w:p>
    <w:p>
      <w:pPr>
        <w:pStyle w:val="872"/>
        <w:ind w:firstLine="482"/>
        <w:keepLines/>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六、责任书份数</w:t>
      </w:r>
      <w:r/>
    </w:p>
    <w:p>
      <w:pPr>
        <w:pStyle w:val="872"/>
        <w:ind w:firstLine="48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本责任书一式两份，发包人承包人各执一份，具有同等效力。</w:t>
      </w:r>
      <w:r/>
    </w:p>
    <w:p>
      <w:pPr>
        <w:pStyle w:val="872"/>
        <w:ind w:left="105" w:firstLine="60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2803525</wp:posOffset>
                </wp:positionH>
                <wp:positionV relativeFrom="paragraph">
                  <wp:posOffset>62230</wp:posOffset>
                </wp:positionV>
                <wp:extent cx="2865755" cy="2667635"/>
                <wp:effectExtent l="0" t="0" r="10795" b="18415"/>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ln>
                      </wps:spPr>
                      <wps:txbx>
                        <w:txbxContent>
                          <w:p>
                            <w:pPr>
                              <w:pStyle w:val="872"/>
                              <w:spacing w:line="360" w:lineRule="auto"/>
                              <w:rPr>
                                <w:rFonts w:ascii="宋体" w:hAnsi="宋体"/>
                                <w:sz w:val="24"/>
                              </w:rPr>
                            </w:pPr>
                            <w:r>
                              <w:rPr>
                                <w:rFonts w:ascii="宋体" w:hAnsi="宋体"/>
                                <w:sz w:val="24"/>
                              </w:rPr>
                              <w:t xml:space="preserve">承包人：（公章）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rPr>
                                <w:sz w:val="28"/>
                                <w:szCs w:val="28"/>
                              </w:rPr>
                            </w:pPr>
                            <w:r>
                              <w:rPr>
                                <w:sz w:val="28"/>
                                <w:szCs w:val="28"/>
                              </w:rPr>
                            </w:r>
                            <w:r/>
                          </w:p>
                          <w:p>
                            <w:pPr>
                              <w:pStyle w:val="872"/>
                            </w:pPr>
                            <w:r/>
                            <w:r/>
                          </w:p>
                        </w:txbxContent>
                      </wps:txbx>
                      <wps:bodyPr wrap="square" upright="1"/>
                    </wps:wsp>
                  </a:graphicData>
                </a:graphic>
              </wp:anchor>
            </w:drawing>
          </mc:Choice>
          <mc:Fallback>
            <w:pict>
              <v:shape id="shape 8" o:spid="_x0000_s8" o:spt="202" type="#_x0000_t202" style="position:absolute;z-index:251666432;o:allowoverlap:true;o:allowincell:true;mso-position-horizontal-relative:text;margin-left:220.8pt;mso-position-horizontal:absolute;mso-position-vertical-relative:text;margin-top:4.9pt;mso-position-vertical:absolute;width:225.6pt;height:210.0pt;mso-wrap-distance-left:9.0pt;mso-wrap-distance-top:0.0pt;mso-wrap-distance-right:9.0pt;mso-wrap-distance-bottom:0.0pt;visibility:visible;" fillcolor="#FFFFFF" stroked="f">
                <v:textbox inset="0,0,0,0">
                  <w:txbxContent>
                    <w:p>
                      <w:pPr>
                        <w:pStyle w:val="872"/>
                        <w:spacing w:line="360" w:lineRule="auto"/>
                        <w:rPr>
                          <w:rFonts w:ascii="宋体" w:hAnsi="宋体"/>
                          <w:sz w:val="24"/>
                        </w:rPr>
                      </w:pPr>
                      <w:r>
                        <w:rPr>
                          <w:rFonts w:ascii="宋体" w:hAnsi="宋体"/>
                          <w:sz w:val="24"/>
                        </w:rPr>
                        <w:t xml:space="preserve">承包人：（公章）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rPr>
                          <w:sz w:val="28"/>
                          <w:szCs w:val="28"/>
                        </w:rPr>
                      </w:pPr>
                      <w:r>
                        <w:rPr>
                          <w:sz w:val="28"/>
                          <w:szCs w:val="28"/>
                        </w:rPr>
                      </w:r>
                      <w:r/>
                    </w:p>
                    <w:p>
                      <w:pPr>
                        <w:pStyle w:val="872"/>
                      </w:pPr>
                      <w:r/>
                      <w:r/>
                    </w:p>
                  </w:txbxContent>
                </v:textbox>
              </v:shap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-59690</wp:posOffset>
                </wp:positionH>
                <wp:positionV relativeFrom="paragraph">
                  <wp:posOffset>63500</wp:posOffset>
                </wp:positionV>
                <wp:extent cx="2865755" cy="2667635"/>
                <wp:effectExtent l="0" t="0" r="10795" b="18415"/>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2865755" cy="2667635"/>
                        </a:xfrm>
                        <a:prstGeom prst="rect">
                          <a:avLst/>
                        </a:prstGeom>
                        <a:solidFill>
                          <a:srgbClr val="FFFFFF"/>
                        </a:solidFill>
                        <a:ln>
                          <a:noFill/>
                          <a:round/>
                        </a:ln>
                      </wps:spPr>
                      <wps:txbx>
                        <w:txbxContent>
                          <w:p>
                            <w:pPr>
                              <w:pStyle w:val="872"/>
                              <w:spacing w:line="360" w:lineRule="auto"/>
                              <w:rPr>
                                <w:rFonts w:ascii="宋体" w:hAnsi="宋体"/>
                                <w:sz w:val="24"/>
                              </w:rPr>
                            </w:pPr>
                            <w:r>
                              <w:rPr>
                                <w:rFonts w:ascii="宋体" w:hAnsi="宋体"/>
                                <w:sz w:val="24"/>
                              </w:rPr>
                              <w:t xml:space="preserve">发包人：（公章）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rPr>
                                <w:sz w:val="28"/>
                                <w:szCs w:val="28"/>
                              </w:rPr>
                            </w:pPr>
                            <w:r>
                              <w:rPr>
                                <w:sz w:val="28"/>
                                <w:szCs w:val="28"/>
                              </w:rPr>
                            </w:r>
                            <w:r/>
                          </w:p>
                          <w:p>
                            <w:pPr>
                              <w:pStyle w:val="872"/>
                            </w:pPr>
                            <w:r/>
                            <w:r/>
                          </w:p>
                        </w:txbxContent>
                      </wps:txbx>
                      <wps:bodyPr wrap="square" upright="1"/>
                    </wps:wsp>
                  </a:graphicData>
                </a:graphic>
              </wp:anchor>
            </w:drawing>
          </mc:Choice>
          <mc:Fallback>
            <w:pict>
              <v:shape id="shape 9" o:spid="_x0000_s9" o:spt="202" type="#_x0000_t202" style="position:absolute;z-index:251667456;o:allowoverlap:true;o:allowincell:true;mso-position-horizontal-relative:text;margin-left:-4.7pt;mso-position-horizontal:absolute;mso-position-vertical-relative:text;margin-top:5.0pt;mso-position-vertical:absolute;width:225.6pt;height:210.0pt;mso-wrap-distance-left:9.0pt;mso-wrap-distance-top:0.0pt;mso-wrap-distance-right:9.0pt;mso-wrap-distance-bottom:0.0pt;visibility:visible;" fillcolor="#FFFFFF" stroked="f">
                <v:textbox inset="0,0,0,0">
                  <w:txbxContent>
                    <w:p>
                      <w:pPr>
                        <w:pStyle w:val="872"/>
                        <w:spacing w:line="360" w:lineRule="auto"/>
                        <w:rPr>
                          <w:rFonts w:ascii="宋体" w:hAnsi="宋体"/>
                          <w:sz w:val="24"/>
                        </w:rPr>
                      </w:pPr>
                      <w:r>
                        <w:rPr>
                          <w:rFonts w:ascii="宋体" w:hAnsi="宋体"/>
                          <w:sz w:val="24"/>
                        </w:rPr>
                        <w:t xml:space="preserve">发包人：（公章）</w:t>
                      </w:r>
                      <w:r/>
                    </w:p>
                    <w:p>
                      <w:pPr>
                        <w:pStyle w:val="872"/>
                        <w:spacing w:line="360" w:lineRule="auto"/>
                        <w:rPr>
                          <w:rFonts w:ascii="宋体" w:hAnsi="宋体"/>
                          <w:sz w:val="24"/>
                        </w:rPr>
                      </w:pPr>
                      <w:r>
                        <w:rPr>
                          <w:rFonts w:ascii="宋体" w:hAnsi="宋体"/>
                          <w:sz w:val="24"/>
                        </w:rPr>
                        <w:t xml:space="preserve">法定代表人或其委托代理人：（签字）</w:t>
                      </w:r>
                      <w:r/>
                    </w:p>
                    <w:p>
                      <w:pPr>
                        <w:pStyle w:val="872"/>
                        <w:spacing w:line="360" w:lineRule="auto"/>
                        <w:rPr>
                          <w:rFonts w:ascii="宋体" w:hAnsi="宋体"/>
                          <w:sz w:val="24"/>
                        </w:rPr>
                      </w:pPr>
                      <w:r>
                        <w:rPr>
                          <w:rFonts w:ascii="宋体" w:hAnsi="宋体"/>
                          <w:sz w:val="24"/>
                        </w:rPr>
                        <w:t xml:space="preserve">地  址：   </w:t>
                      </w:r>
                      <w:r/>
                    </w:p>
                    <w:p>
                      <w:pPr>
                        <w:pStyle w:val="872"/>
                        <w:spacing w:line="360" w:lineRule="auto"/>
                        <w:rPr>
                          <w:rFonts w:ascii="宋体" w:hAnsi="宋体"/>
                          <w:sz w:val="24"/>
                        </w:rPr>
                      </w:pPr>
                      <w:r>
                        <w:rPr>
                          <w:rFonts w:ascii="宋体" w:hAnsi="宋体"/>
                          <w:sz w:val="24"/>
                        </w:rPr>
                        <w:t xml:space="preserve">电  话：      </w:t>
                      </w:r>
                      <w:r/>
                    </w:p>
                    <w:p>
                      <w:pPr>
                        <w:pStyle w:val="872"/>
                        <w:spacing w:line="360" w:lineRule="auto"/>
                        <w:rPr>
                          <w:rFonts w:ascii="宋体" w:hAnsi="宋体"/>
                          <w:sz w:val="24"/>
                        </w:rPr>
                      </w:pPr>
                      <w:r>
                        <w:rPr>
                          <w:rFonts w:ascii="宋体" w:hAnsi="宋体"/>
                          <w:sz w:val="24"/>
                        </w:rPr>
                        <w:t xml:space="preserve">日  期： </w:t>
                      </w:r>
                      <w:r/>
                    </w:p>
                    <w:p>
                      <w:pPr>
                        <w:pStyle w:val="872"/>
                        <w:rPr>
                          <w:sz w:val="28"/>
                          <w:szCs w:val="28"/>
                        </w:rPr>
                      </w:pPr>
                      <w:r>
                        <w:rPr>
                          <w:sz w:val="28"/>
                          <w:szCs w:val="28"/>
                        </w:rPr>
                      </w:r>
                      <w:r/>
                    </w:p>
                    <w:p>
                      <w:pPr>
                        <w:pStyle w:val="872"/>
                      </w:pPr>
                      <w:r/>
                      <w:r/>
                    </w:p>
                  </w:txbxContent>
                </v:textbox>
              </v:shape>
            </w:pict>
          </mc:Fallback>
        </mc:AlternateConten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jc w:val="left"/>
        <w:keepLines/>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附件4：</w:t>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承包人用于本工程施工的机械设备表</w:t>
      </w:r>
      <w:r/>
    </w:p>
    <w:tbl>
      <w:tblPr>
        <w:tblStyle w:val="868"/>
        <w:tblW w:w="8516" w:type="dxa"/>
        <w:tblInd w:w="113" w:type="dxa"/>
        <w:tblLayout w:type="fixed"/>
        <w:tblCellMar>
          <w:left w:w="0" w:type="dxa"/>
          <w:top w:w="0" w:type="dxa"/>
          <w:right w:w="0" w:type="dxa"/>
          <w:bottom w:w="0" w:type="dxa"/>
        </w:tblCellMar>
        <w:tblLook w:val="04A0" w:firstRow="1" w:lastRow="0" w:firstColumn="1" w:lastColumn="0" w:noHBand="0" w:noVBand="1"/>
      </w:tblPr>
      <w:tblGrid>
        <w:gridCol w:w="648"/>
        <w:gridCol w:w="1445"/>
        <w:gridCol w:w="1276"/>
        <w:gridCol w:w="707"/>
        <w:gridCol w:w="784"/>
        <w:gridCol w:w="918"/>
        <w:gridCol w:w="928"/>
        <w:gridCol w:w="909"/>
        <w:gridCol w:w="901"/>
      </w:tblGrid>
      <w:tr>
        <w:trPr>
          <w:trHeight w:val="83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机械设备或名称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规格型号</w:t>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国别产地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制造</w:t>
            </w:r>
            <w:r/>
          </w:p>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年份</w:t>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额定功率KW</w:t>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生产能力M/H</w:t>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1" w:type="dxa"/>
            <w:textDirection w:val="lrTb"/>
            <w:noWrap w:val="false"/>
          </w:tcPr>
          <w:p>
            <w:pPr>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9"/>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0"/>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附</w:t>
      </w:r>
      <w:bookmarkStart w:id="805" w:name="_Toc296891056"/>
      <w:r/>
      <w:bookmarkStart w:id="806" w:name="_Toc267261699"/>
      <w:r/>
      <w:bookmarkStart w:id="807" w:name="_Toc296347227"/>
      <w:r/>
      <w:bookmarkStart w:id="808" w:name="_Toc296503228"/>
      <w:r/>
      <w:bookmarkStart w:id="809" w:name="_Toc296891268"/>
      <w:r/>
      <w:bookmarkStart w:id="810" w:name="_Toc296944567"/>
      <w:r/>
      <w:bookmarkStart w:id="811" w:name="_Toc296346729"/>
      <w:r>
        <w:rPr>
          <w:rFonts w:hint="eastAsia" w:ascii="宋体" w:hAnsi="宋体" w:eastAsia="宋体" w:cs="宋体"/>
          <w:color w:val="000000" w:themeColor="text1"/>
          <w:sz w:val="24"/>
          <w:szCs w:val="24"/>
          <w:highlight w:val="none"/>
          <w14:textFill>
            <w14:solidFill>
              <w14:schemeClr w14:val="tx1"/>
            </w14:solidFill>
          </w14:textFill>
        </w:rPr>
        <w:t xml:space="preserve">件5：</w:t>
      </w:r>
      <w:bookmarkEnd w:id="805"/>
      <w:r/>
      <w:bookmarkEnd w:id="806"/>
      <w:r/>
      <w:bookmarkEnd w:id="807"/>
      <w:r/>
      <w:bookmarkEnd w:id="808"/>
      <w:r/>
      <w:bookmarkEnd w:id="809"/>
      <w:r/>
      <w:bookmarkEnd w:id="810"/>
      <w:r/>
      <w:bookmarkEnd w:id="811"/>
      <w:r/>
      <w:r/>
    </w:p>
    <w:p>
      <w:pPr>
        <w:pStyle w:val="872"/>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承包人主要施工管理人员表</w:t>
      </w:r>
      <w:r/>
    </w:p>
    <w:tbl>
      <w:tblPr>
        <w:tblStyle w:val="868"/>
        <w:tblW w:w="954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02"/>
        <w:gridCol w:w="1062"/>
        <w:gridCol w:w="1716"/>
        <w:gridCol w:w="1275"/>
        <w:gridCol w:w="3885"/>
      </w:tblGrid>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w:t>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职称</w:t>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主要资历、经验及承担过的项目</w:t>
            </w:r>
            <w:r/>
          </w:p>
        </w:tc>
      </w:tr>
      <w:tr>
        <w:trPr>
          <w:jc w:val="center"/>
          <w:trHeight w:val="567"/>
        </w:trPr>
        <w:tc>
          <w:tcPr>
            <w:gridSpan w:val="5"/>
            <w:tcW w:w="9540"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一、总部人员</w:t>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项目主管</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项目副经理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技术负责人</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质量管理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计划管理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安全管理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gridSpan w:val="5"/>
            <w:tcW w:w="9540"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二、现场人员</w:t>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项目经理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项目副经理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技术负责人</w:t>
            </w:r>
            <w:r/>
          </w:p>
        </w:tc>
        <w:tc>
          <w:tcPr>
            <w:tcW w:w="1062" w:type="dxa"/>
            <w:vAlign w:val="center"/>
            <w:textDirection w:val="lrTb"/>
            <w:noWrap w:val="false"/>
          </w:tcPr>
          <w:p>
            <w:pPr>
              <w:pStyle w:val="872"/>
              <w:ind w:left="63" w:right="63"/>
              <w:jc w:val="center"/>
              <w:keepLines/>
              <w:keepNext w:val="0"/>
              <w:pageBreakBefore w:val="0"/>
              <w:spacing w:after="6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技术负责人</w:t>
            </w:r>
            <w:r/>
          </w:p>
        </w:tc>
        <w:tc>
          <w:tcPr>
            <w:tcW w:w="1062" w:type="dxa"/>
            <w:vAlign w:val="center"/>
            <w:textDirection w:val="lrTb"/>
            <w:noWrap w:val="false"/>
          </w:tcPr>
          <w:p>
            <w:pPr>
              <w:pStyle w:val="924"/>
              <w:ind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质量管理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458"/>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计划管理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872"/>
              <w:ind w:left="30" w:right="30"/>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安全管理</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872"/>
              <w:ind w:left="30" w:right="30"/>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W w:w="160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其他人员</w:t>
            </w:r>
            <w:r/>
          </w:p>
        </w:tc>
        <w:tc>
          <w:tcPr>
            <w:tcW w:w="1062"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71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885"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2"/>
        <w:jc w:val="left"/>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此表格投标人在招投标阶段无需填写，在合同备案时填写完整。</w:t>
      </w:r>
      <w:r/>
    </w:p>
    <w:p>
      <w:pP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附件6：</w:t>
      </w:r>
      <w:r/>
    </w:p>
    <w:p>
      <w:pPr>
        <w:pStyle w:val="872"/>
        <w:jc w:val="center"/>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发包人主要管理人员表</w:t>
      </w:r>
      <w:r/>
    </w:p>
    <w:tbl>
      <w:tblPr>
        <w:tblStyle w:val="868"/>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956"/>
        <w:gridCol w:w="1418"/>
        <w:gridCol w:w="3146"/>
      </w:tblGrid>
      <w:tr>
        <w:trPr>
          <w:jc w:val="center"/>
        </w:trPr>
        <w:tc>
          <w:tcPr>
            <w:tcW w:w="1871"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    称</w:t>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w:t>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职称/职务</w:t>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主要资历、经验及承担过的项目</w:t>
            </w:r>
            <w:r/>
          </w:p>
        </w:tc>
      </w:tr>
      <w:tr>
        <w:trPr>
          <w:jc w:val="center"/>
        </w:trPr>
        <w:tc>
          <w:tcPr>
            <w:tcW w:w="1871" w:type="dxa"/>
            <w:vAlign w:val="center"/>
            <w:vMerge w:val="restart"/>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管理人员</w:t>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Pr>
        <w:tc>
          <w:tcPr>
            <w:tcW w:w="1871" w:type="dxa"/>
            <w:vAlign w:val="center"/>
            <w:vMerge w:val="continue"/>
            <w:textDirection w:val="lrTb"/>
            <w:noWrap w:val="false"/>
          </w:tcPr>
          <w:p>
            <w:pPr>
              <w:pStyle w:val="924"/>
              <w:ind w:left="63" w:right="63"/>
              <w:keepLines/>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95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8"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3146" w:type="dxa"/>
            <w:vAlign w:val="center"/>
            <w:textDirection w:val="lrTb"/>
            <w:noWrap w:val="false"/>
          </w:tcPr>
          <w:p>
            <w:pPr>
              <w:pStyle w:val="924"/>
              <w:ind w:left="63" w:right="63"/>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872"/>
        <w:keepLines/>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28"/>
        <w:ind w:firstLine="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sectPr>
          <w:footerReference w:type="default" r:id="rId13"/>
          <w:footnotePr/>
          <w:endnotePr/>
          <w:type w:val="nextPage"/>
          <w:pgSz w:w="11907" w:h="16840" w:orient="portrait"/>
          <w:pgMar w:top="1440" w:right="1559" w:bottom="1440" w:left="1560" w:header="851" w:footer="851"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color w:val="000000" w:themeColor="text1"/>
          <w:sz w:val="24"/>
          <w:szCs w:val="24"/>
          <w:highlight w:val="none"/>
          <w14:textFill>
            <w14:solidFill>
              <w14:schemeClr w14:val="tx1"/>
            </w14:solidFill>
          </w14:textFill>
        </w:rPr>
        <w:t xml:space="preserve">、承诺书</w:t>
      </w:r>
      <w:r/>
    </w:p>
    <w:p>
      <w:pPr>
        <w:pStyle w:val="9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睢宁县邱集镇人民政府</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江苏鼎汇项目管理有限公司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w:t>
      </w:r>
      <w:r>
        <w:rPr>
          <w:rFonts w:hint="eastAsia" w:ascii="宋体" w:hAnsi="宋体" w:eastAsia="宋体" w:cs="宋体"/>
          <w:bCs/>
          <w:color w:val="000000" w:themeColor="text1"/>
          <w:sz w:val="24"/>
          <w:szCs w:val="24"/>
          <w:highlight w:val="none"/>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）要求，本供应商正式提交以下首次响应文件。</w:t>
      </w: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11" name="直接连接符 3"/>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flip:y;visibility:visible;" from="147.0pt,1.3pt" to="147.1pt,2.6pt" filled="f" strokecolor="#000000"/>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（1）承诺书； </w:t>
      </w: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（2）磋商报价表； </w:t>
      </w: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（3）偏离表；</w:t>
      </w:r>
      <w:r/>
    </w:p>
    <w:p>
      <w:pPr>
        <w:pStyle w:val="1136"/>
        <w:ind w:firstLine="44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要求提供的其他响应文件。</w:t>
      </w: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我单位符合《中华人民共和国政府采购法》第二十二条的规定，符合本项目供应商资格要求。</w:t>
      </w: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pStyle w:val="920"/>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供应商兹宣布同意如下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2"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46.8pt,23.4pt" to="246.8pt,23.4pt" filled="f" strokecolor="#000000"/>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3"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2" o:spid="_x0000_s12"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136"/>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4"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3" o:spid="_x0000_s13"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5"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pStyle w:val="920"/>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三、已详细审核竞争性磋商文件（含竞争性磋商文件的澄清或者修改），本供应商完全理解并同意放弃对这方面不明及误解的权利。</w:t>
      </w:r>
      <w:r/>
    </w:p>
    <w:p>
      <w:pPr>
        <w:pStyle w:val="920"/>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四、所供货物保证符合国家有关产品质量、性能和安全标准，无权利瑕疵。</w:t>
      </w:r>
      <w:r/>
    </w:p>
    <w:p>
      <w:pPr>
        <w:pStyle w:val="920"/>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五、报价有效期为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45</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pStyle w:val="920"/>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六、同意向贵方提供贵方可能要求的与本次磋商采购有关的任何证据或资料。</w:t>
      </w:r>
      <w:r/>
    </w:p>
    <w:p>
      <w:pPr>
        <w:pStyle w:val="920"/>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七、完全理解贵方不一定要接受最低的报价或收到的任何报价。</w:t>
      </w:r>
      <w:r/>
    </w:p>
    <w:p>
      <w:pPr>
        <w:pStyle w:val="920"/>
        <w:ind w:right="29"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或采购代理机构有权将我单位本项目的《磋商报价表》和《分项价格表》予以公示，公示的方式由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14:textFill>
            <w14:solidFill>
              <w14:schemeClr w14:val="tx1"/>
            </w14:solidFill>
          </w14:textFill>
        </w:rPr>
        <w:t xml:space="preserve">或采购代理机构确定。</w:t>
      </w:r>
      <w:r/>
    </w:p>
    <w:p>
      <w:pPr>
        <w:pStyle w:val="920"/>
        <w:ind w:right="29" w:firstLine="480"/>
        <w:keepLines w:val="0"/>
        <w:keepNext w:val="0"/>
        <w:pageBreakBefore w:val="0"/>
        <w:spacing w:line="312"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0"/>
        <w:ind w:right="29" w:firstLine="480"/>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p>
    <w:p>
      <w:pPr>
        <w:pStyle w:val="920"/>
        <w:ind w:right="29" w:firstLine="480"/>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pStyle w:val="9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0"/>
        <w:ind w:right="29" w:firstLine="4080"/>
        <w:jc w:val="both"/>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p>
    <w:p>
      <w:pPr>
        <w:pStyle w:val="91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20"/>
        <w:ind w:right="29" w:firstLine="480"/>
        <w:jc w:val="cente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sectPr>
          <w:headerReference w:type="default" r:id="rId9"/>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pStyle w:val="920"/>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pStyle w:val="920"/>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
          <w:color w:val="000000" w:themeColor="text1"/>
          <w:sz w:val="24"/>
          <w:szCs w:val="24"/>
          <w:highlight w:val="none"/>
          <w14:textFill>
            <w14:solidFill>
              <w14:schemeClr w14:val="tx1"/>
            </w14:solidFill>
          </w14:textFill>
        </w:rPr>
        <w:t xml:space="preserve">、授权委托书</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委托人（全称）：</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              </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法人营业执照注册号（统一社会信用代码）：</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先生（女士）</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pStyle w:val="92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63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]的磋商活动及签订合同。（         ）以我企业（公司）名义所为的行为及签署的文件，我企业（公司）均予以认可。有关法律责任均由我企业（公司）承担。（         ）无转委托权。委托期限自    年  月   日起至    年  月    日止。</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电子签章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法定代表人（负责人）（签字或盖章）：</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受托人（签字或盖章）：</w:t>
      </w:r>
      <w:r/>
    </w:p>
    <w:p>
      <w:pPr>
        <w:pStyle w:val="920"/>
        <w:ind w:firstLine="4761"/>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p>
      <w:pPr>
        <w:pStyle w:val="92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受托人身份证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附后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920"/>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920"/>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
          <w:color w:val="000000" w:themeColor="text1"/>
          <w:sz w:val="24"/>
          <w:szCs w:val="24"/>
          <w:highlight w:val="none"/>
          <w14:textFill>
            <w14:solidFill>
              <w14:schemeClr w14:val="tx1"/>
            </w14:solidFill>
          </w14:textFill>
        </w:rPr>
        <w:t xml:space="preserve">、中小企业声明函</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王林社区全民健身及绿化提升工程</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JSZC-320324-JSDF-C2026-0004</w:t>
      </w:r>
      <w:r/>
    </w:p>
    <w:p>
      <w:pPr>
        <w:pStyle w:val="926"/>
        <w:ind w:right="55"/>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870"/>
        <w:ind w:firstLine="4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14:textFill>
            <w14:solidFill>
              <w14:schemeClr w14:val="tx1"/>
            </w14:solidFill>
          </w14:textFill>
        </w:rPr>
        <w:t xml:space="preserve">采购活动，工程的施工单位全部由符合政策要求的中小企业承接。相关企业的具体情况如下：</w:t>
      </w:r>
      <w:r/>
    </w:p>
    <w:p>
      <w:pPr>
        <w:pStyle w:val="870"/>
        <w:ind w:firstLine="440"/>
        <w:keepLines w:val="0"/>
        <w:keepNext w:val="0"/>
        <w:pageBreakBefore w:val="0"/>
        <w:spacing w:line="360" w:lineRule="auto"/>
        <w:widowControl w:val="off"/>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bookmarkStart w:id="812" w:name="_Hlk105228467"/>
      <w:r>
        <w:rPr>
          <w:rFonts w:hint="eastAsia" w:ascii="宋体" w:hAnsi="宋体" w:eastAsia="宋体" w:cs="宋体"/>
          <w:color w:val="000000" w:themeColor="text1"/>
          <w:sz w:val="24"/>
          <w:szCs w:val="24"/>
          <w:highlight w:val="none"/>
          <w:u w:val="single"/>
          <w14:textFill>
            <w14:solidFill>
              <w14:schemeClr w14:val="tx1"/>
            </w14:solidFill>
          </w14:textFill>
        </w:rPr>
        <w:t xml:space="preserve">采购文件中明确的所属行业</w:t>
      </w:r>
      <w:bookmarkEnd w:id="812"/>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（中型企业、小型企业、微型企业</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，请填空！必须填写！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0"/>
        <w:ind w:firstLine="442"/>
        <w:keepLines w:val="0"/>
        <w:keepNext w:val="0"/>
        <w:pageBreakBefore w:val="0"/>
        <w:spacing w:line="360" w:lineRule="auto"/>
        <w:widowControl w:val="off"/>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870"/>
        <w:ind w:firstLine="44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920"/>
        <w:jc w:val="right"/>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83"/>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 </w:t>
      </w:r>
      <w:r/>
    </w:p>
    <w:p>
      <w:pPr>
        <w:pStyle w:val="920"/>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right="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pStyle w:val="920"/>
        <w:ind w:right="0"/>
        <w:jc w:val="both"/>
        <w:keepLines w:val="0"/>
        <w:keepNext w:val="0"/>
        <w:pageBreakBefore w:val="0"/>
        <w:spacing w:before="0"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r>
      <w:r/>
    </w:p>
    <w:p>
      <w:pPr>
        <w:pStyle w:val="920"/>
        <w:ind w:left="0" w:right="0" w:firstLine="482"/>
        <w:jc w:val="both"/>
        <w:keepLines w:val="0"/>
        <w:keepNext w:val="0"/>
        <w:pageBreakBefore w:val="0"/>
        <w:spacing w:before="0" w:after="0"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注：本项目采购项目属性为：建筑业。</w:t>
      </w:r>
      <w:r/>
    </w:p>
    <w:p>
      <w:pPr>
        <w:ind w:firstLine="482"/>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备注：从业人员、营业收入、资产总额填报上一年度数据，无上一年度数据的新成立企业可不填报。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125"/>
        <w:keepLines w:val="0"/>
        <w:keepNext w:val="0"/>
        <w:pageBreakBefore w:val="0"/>
        <w:spacing w:line="360" w:lineRule="auto"/>
        <w:widowControl w:val="off"/>
        <w:rPr>
          <w:rFonts w:hint="eastAsia" w:ascii="宋体" w:hAnsi="宋体" w:eastAsia="宋体" w:cs="宋体"/>
          <w:color w:val="000000" w:themeColor="text1"/>
          <w:spacing w:val="8"/>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“中小企业声明涵” 查询渠道用微信搜索“中小企业规模类型自测小程序”。</w:t>
      </w:r>
      <w:r/>
    </w:p>
    <w:p>
      <w:pPr>
        <w:pStyle w:val="1125"/>
        <w:ind w:firstLine="56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8"/>
          <w:sz w:val="24"/>
          <w:szCs w:val="24"/>
          <w:highlight w:val="none"/>
          <w14:textFill>
            <w14:solidFill>
              <w14:schemeClr w14:val="tx1"/>
            </w14:solidFill>
          </w14:textFill>
        </w:rPr>
        <w:t xml:space="preserve">如有疑问，可与市工信局中小企业综合协调处咨询联系。联系电话：0516-83861958</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br w:type="page" w:clear="all"/>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供应商参加政府采购活动前3年内在经营活动中</w:t>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没有重大违法记录的书面声明</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720"/>
        <w:keepLines w:val="0"/>
        <w:keepNext w:val="0"/>
        <w:pageBreakBefore w:val="0"/>
        <w:spacing w:before="100" w:beforeAutospacing="1" w:after="100" w:afterAutospacing="1"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项目</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720"/>
        <w:keepLines w:val="0"/>
        <w:keepNext w:val="0"/>
        <w:pageBreakBefore w:val="0"/>
        <w:spacing w:before="100" w:beforeAutospacing="1" w:after="100" w:afterAutospacing="1"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right="29"/>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20"/>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 </w:t>
      </w:r>
      <w:r/>
    </w:p>
    <w:p>
      <w:pPr>
        <w:pStyle w:val="920"/>
        <w:ind w:firstLine="480"/>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right="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年    月 日</w:t>
      </w:r>
      <w:r/>
    </w:p>
    <w:p>
      <w:pPr>
        <w:pStyle w:val="108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4"/>
          <w:szCs w:val="24"/>
          <w:highlight w:val="none"/>
          <w14:textFill>
            <w14:solidFill>
              <w14:schemeClr w14:val="tx1"/>
            </w14:solidFill>
          </w14:textFill>
        </w:rPr>
        <w:t xml:space="preserve">、具备履行合同所必需的设备和专业技术能力的</w:t>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书面声明</w:t>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（附证明材料原件扫描件）</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供应商郑重声明：供应商具备履行合同（项目名称：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）所必需的设备和专业技术能力，具体为：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设备：</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专业技术能力：</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（证明材料扫描件附后）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特此声明。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jc w:val="center"/>
        <w:keepLines w:val="0"/>
        <w:keepNext w:val="0"/>
        <w:pageBreakBefore w:val="0"/>
        <w:spacing w:line="360" w:lineRule="auto"/>
        <w:widowControl w:val="off"/>
        <w:rPr>
          <w:rFonts w:hint="eastAsia" w:ascii="宋体" w:hAnsi="宋体" w:eastAsia="宋体" w:cs="宋体"/>
          <w:b/>
          <w:color w:val="000000" w:themeColor="text1"/>
          <w:spacing w:val="6"/>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br w:type="page" w:clear="all"/>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pacing w:val="6"/>
          <w:sz w:val="24"/>
          <w:szCs w:val="24"/>
          <w:highlight w:val="none"/>
          <w14:textFill>
            <w14:solidFill>
              <w14:schemeClr w14:val="tx1"/>
            </w14:solidFill>
          </w14:textFill>
        </w:rPr>
        <w:t xml:space="preserve">残疾人福利性单位声明函</w:t>
      </w:r>
      <w:r/>
    </w:p>
    <w:p>
      <w:pPr>
        <w:pStyle w:val="920"/>
        <w:jc w:val="center"/>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（注：如供应商不属于残疾人福利性单位，不需提供此声明函）</w:t>
      </w:r>
      <w:r/>
    </w:p>
    <w:p>
      <w:pPr>
        <w:pStyle w:val="9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20"/>
        <w:ind w:right="1560" w:firstLine="480"/>
        <w:jc w:val="center"/>
        <w:keepLines w:val="0"/>
        <w:keepNext w:val="0"/>
        <w:pageBreakBefore w:val="0"/>
        <w:spacing w:line="360" w:lineRule="auto"/>
        <w:widowControl w:val="off"/>
        <w:tabs>
          <w:tab w:val="left" w:pos="48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360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（电子签章）</w:t>
      </w:r>
      <w:r/>
    </w:p>
    <w:p>
      <w:pPr>
        <w:ind w:firstLine="3600"/>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成交供应商为残疾人福利性单位的，采购人或者其委托的采购代理机构应当随成交结果同时公告其《残疾人福利性单位声明函》，接受社会监督。</w:t>
      </w:r>
      <w:r/>
    </w:p>
    <w:p>
      <w:pPr>
        <w:pStyle w:val="920"/>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pStyle w:val="1125"/>
        <w:ind w:firstLine="562"/>
        <w:jc w:val="cente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
          <w:color w:val="000000" w:themeColor="text1"/>
          <w:sz w:val="24"/>
          <w:szCs w:val="24"/>
          <w:highlight w:val="none"/>
          <w14:textFill>
            <w14:solidFill>
              <w14:schemeClr w14:val="tx1"/>
            </w14:solidFill>
          </w14:textFill>
        </w:rPr>
        <w:t xml:space="preserve">、预付款保函支付条款模板</w:t>
      </w:r>
      <w:r/>
    </w:p>
    <w:p>
      <w:pPr>
        <w:pStyle w:val="879"/>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符合条件一：提交预付款保函的</w:t>
      </w:r>
      <w:r/>
    </w:p>
    <w:p>
      <w:pPr>
        <w:pStyle w:val="879"/>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pStyle w:val="879"/>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pStyle w:val="879"/>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符合条件二：不提交预付款保函的</w:t>
      </w:r>
      <w:r/>
    </w:p>
    <w:p>
      <w:pPr>
        <w:pStyle w:val="879"/>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乙方需提交的支付文件：乙方出具的全额正式发票。</w:t>
      </w:r>
      <w:r/>
    </w:p>
    <w:p>
      <w:pPr>
        <w:pStyle w:val="879"/>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XX（    XX%），</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879"/>
        <w:ind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w:t>
      </w:r>
      <w:r/>
    </w:p>
    <w:p>
      <w:pPr>
        <w:pStyle w:val="879"/>
        <w:ind w:left="140" w:firstLine="605"/>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pStyle w:val="879"/>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1、付款条件一中，出具预付款保函后支付的合同款应当与保函金额一致。</w:t>
      </w:r>
      <w:r/>
    </w:p>
    <w:p>
      <w:pPr>
        <w:pStyle w:val="879"/>
        <w:ind w:left="140"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2、付款条件二中，预付款比例设定应符合《关于做好政府采购支持企业发展有关事项的通知》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苏财购〔2020〕52号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要求。</w:t>
      </w:r>
      <w:r/>
    </w:p>
    <w:p>
      <w:pPr>
        <w:keepLines w:val="0"/>
        <w:keepNext w:val="0"/>
        <w:pageBreakBefore w:val="0"/>
        <w:spacing w:line="360" w:lineRule="auto"/>
        <w:widowControl w:val="off"/>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p>
    <w:p>
      <w:pPr>
        <w:pStyle w:val="922"/>
        <w:jc w:val="cente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
          <w:color w:val="000000" w:themeColor="text1"/>
          <w:sz w:val="24"/>
          <w:szCs w:val="24"/>
          <w:highlight w:val="none"/>
          <w14:textFill>
            <w14:solidFill>
              <w14:schemeClr w14:val="tx1"/>
            </w14:solidFill>
          </w14:textFill>
        </w:rPr>
        <w:t xml:space="preserve">代理服务收费标准</w:t>
      </w:r>
      <w:r/>
    </w:p>
    <w:tbl>
      <w:tblPr>
        <w:tblStyle w:val="868"/>
        <w:tblpPr w:horzAnchor="page" w:tblpX="1915" w:vertAnchor="text" w:tblpY="320" w:leftFromText="180" w:topFromText="0" w:rightFromText="180" w:bottomFromText="0"/>
        <w:tblW w:w="8077" w:type="dxa"/>
        <w:tblInd w:w="0" w:type="dxa"/>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9"/>
        <w:gridCol w:w="1283"/>
        <w:gridCol w:w="1225"/>
        <w:gridCol w:w="1274"/>
        <w:gridCol w:w="1916"/>
      </w:tblGrid>
      <w:tr>
        <w:trPr>
          <w:trHeight w:val="806"/>
        </w:trPr>
        <w:tc>
          <w:tcPr>
            <w:tcBorders>
              <w:top w:val="single" w:color="auto" w:sz="4" w:space="0"/>
            </w:tcBorders>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w:t>
            </w:r>
            <w:r>
              <w:rPr>
                <w:rFonts w:hint="eastAsia" w:ascii="宋体" w:hAnsi="宋体" w:eastAsia="宋体" w:cs="宋体"/>
                <w:color w:val="000000" w:themeColor="text1"/>
                <w:sz w:val="24"/>
                <w:szCs w:val="24"/>
                <w:highlight w:val="none"/>
                <w14:textFill>
                  <w14:solidFill>
                    <w14:schemeClr w14:val="tx1"/>
                  </w14:solidFill>
                </w14:textFill>
              </w:rPr>
              <w:t xml:space="preserve">金额</w:t>
            </w:r>
            <w:r/>
          </w:p>
        </w:tc>
        <w:tc>
          <w:tcPr>
            <w:tcBorders>
              <w:top w:val="single" w:color="auto" w:sz="4" w:space="0"/>
            </w:tcBorders>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货物</w:t>
            </w:r>
            <w:r/>
          </w:p>
        </w:tc>
        <w:tc>
          <w:tcPr>
            <w:tcBorders>
              <w:top w:val="single" w:color="auto" w:sz="4" w:space="0"/>
            </w:tcBorders>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w:t>
            </w:r>
            <w:r/>
          </w:p>
        </w:tc>
        <w:tc>
          <w:tcPr>
            <w:tcBorders>
              <w:top w:val="single" w:color="auto" w:sz="4" w:space="0"/>
            </w:tcBorders>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工程</w:t>
            </w:r>
            <w:r/>
          </w:p>
        </w:tc>
        <w:tc>
          <w:tcPr>
            <w:tcBorders>
              <w:top w:val="single" w:color="auto" w:sz="4" w:space="0"/>
            </w:tcBorders>
            <w:tcW w:w="1916"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收费上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下</w:t>
            </w:r>
            <w:r>
              <w:rPr>
                <w:rFonts w:hint="eastAsia" w:ascii="宋体" w:hAnsi="宋体" w:eastAsia="宋体" w:cs="宋体"/>
                <w:color w:val="000000" w:themeColor="text1"/>
                <w:sz w:val="24"/>
                <w:szCs w:val="24"/>
                <w:highlight w:val="none"/>
                <w14:textFill>
                  <w14:solidFill>
                    <w14:schemeClr w14:val="tx1"/>
                  </w14:solidFill>
                </w14:textFill>
              </w:rPr>
              <w:t xml:space="preserve">限</w:t>
            </w:r>
            <w:r/>
          </w:p>
        </w:tc>
      </w:tr>
      <w:tr>
        <w:trPr>
          <w:trHeight w:val="356"/>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100万以下</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1.50%</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1.50%</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c>
          <w:tcPr>
            <w:tcW w:w="1916" w:type="dxa"/>
            <w:vAlign w:val="center"/>
            <w:vMerge w:val="restart"/>
            <w:textDirection w:val="lrTb"/>
            <w:noWrap w:val="false"/>
          </w:tcPr>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最低5千元</w:t>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最高15万元</w:t>
            </w:r>
            <w:r/>
          </w:p>
          <w:p>
            <w:pPr>
              <w:ind w:firstLine="24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56"/>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100万~500万</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0.80%</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0.70%</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356"/>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500万~1000万</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0.80%</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0.45%</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0.55%</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l000万~5000万</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0.50%</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0.25%</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0.35%</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5000万~l亿</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0.25%</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0.10%</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0.20%</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1亿~5亿</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0.05%</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0.05%</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0.05%</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5亿~10亿</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0.035%</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0.035%</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0.035%</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43"/>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10亿~50亿</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0.008%</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0.008%</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0.008%</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trHeight w:val="554"/>
        </w:trPr>
        <w:tc>
          <w:tcPr>
            <w:tcW w:w="2379"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50亿</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以上</w:t>
            </w:r>
            <w:r/>
          </w:p>
        </w:tc>
        <w:tc>
          <w:tcPr>
            <w:tcW w:w="1283"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0.006%</w:t>
            </w:r>
            <w:r/>
          </w:p>
        </w:tc>
        <w:tc>
          <w:tcPr>
            <w:tcW w:w="1225"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0.006%</w:t>
            </w:r>
            <w:r/>
          </w:p>
        </w:tc>
        <w:tc>
          <w:tcPr>
            <w:tcW w:w="1274" w:type="dxa"/>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0.006%</w:t>
            </w:r>
            <w:r/>
          </w:p>
        </w:tc>
        <w:tc>
          <w:tcPr>
            <w:tcW w:w="1916" w:type="dxa"/>
            <w:vAlign w:val="center"/>
            <w:vMerge w:val="continue"/>
            <w:textDirection w:val="lrTb"/>
            <w:noWrap w:val="false"/>
          </w:tcPr>
          <w:p>
            <w:pPr>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63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81"/>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1.按上表计算的收费为代理服务全过程的收费金额。各社会代理机构不再收取采购文件制作售卖费用。</w:t>
      </w:r>
      <w:r/>
    </w:p>
    <w:p>
      <w:pPr>
        <w:ind w:firstLine="540"/>
        <w:spacing w:after="0" w:line="360" w:lineRule="auto"/>
        <w:tabs>
          <w:tab w:val="left" w:pos="84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2.代理服务费按差额定率累进法计算。</w:t>
      </w:r>
      <w:r/>
    </w:p>
    <w:p>
      <w:pPr>
        <w:ind w:left="70" w:firstLine="4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3.代理服务费基准金额（按差额定率累进法计算的）=成交金额（按差额定率累进法计算的） * 费率（%）</w:t>
      </w:r>
      <w:r/>
    </w:p>
    <w:p>
      <w:pPr>
        <w:ind w:left="70" w:firstLine="4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4.代理服务费应收取金额=代理服务费基准金额（按差额定率累进法计算的）的合计数。</w:t>
      </w:r>
      <w:r/>
    </w:p>
    <w:p>
      <w:pPr>
        <w:ind w:left="-1" w:firstLine="4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5.计算出的代理服务费应收取金额如低于5千元，按5千元收取；如高于15万元，按15万元收取。</w:t>
      </w:r>
      <w:r/>
    </w:p>
    <w:p>
      <w:pPr>
        <w:ind w:firstLine="54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6.定点类等无金额或事先不能计算出价格总额的项目，按成交（成交）金额100万元计算服务费。</w:t>
      </w:r>
      <w:r/>
    </w:p>
    <w:p>
      <w:pPr>
        <w:ind w:left="-1" w:firstLine="48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7.多个采购包（标段）项目按总项目成交（成交）金额收费，最高不超过15万元。</w:t>
      </w:r>
      <w:r/>
    </w:p>
    <w:p>
      <w:pPr>
        <w:keepLines w:val="0"/>
        <w:keepNext w:val="0"/>
        <w:pageBreakBefore w:val="0"/>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Tahoma">
    <w:panose1 w:val="020B0604030504040204"/>
  </w:font>
  <w:font w:name="Wingdings">
    <w:panose1 w:val="05000000000000000000"/>
  </w:font>
  <w:font w:name="全真中明體">
    <w:panose1 w:val="020B0503020202020204"/>
  </w:font>
  <w:font w:name="Arial Black">
    <w:panose1 w:val="020B0A04020102020204"/>
  </w:font>
  <w:font w:name="Arial Rounded MT Bold">
    <w:panose1 w:val="020F0704030504030204"/>
  </w:font>
  <w:font w:name="MingLiU">
    <w:panose1 w:val="02020500000000000000"/>
  </w:font>
  <w:font w:name="PMingLiU">
    <w:panose1 w:val="02020500000000000000"/>
  </w:font>
  <w:font w:name="Symbol">
    <w:panose1 w:val="05050102010706020507"/>
  </w:font>
  <w:font w:name="新宋体">
    <w:panose1 w:val="02010609030101010101"/>
  </w:font>
  <w:font w:name="楷体_GB2312">
    <w:panose1 w:val="02010609060101010101"/>
  </w:font>
  <w:font w:name="方正楷体_GBK">
    <w:panose1 w:val="020B0503020202020204"/>
  </w:font>
  <w:font w:name="仿宋">
    <w:panose1 w:val="02010609060101010101"/>
  </w:font>
  <w:font w:name="Courier New">
    <w:panose1 w:val="02070309020205020404"/>
  </w:font>
  <w:font w:name="金山简黑体">
    <w:panose1 w:val="020B0503020202020204"/>
  </w:font>
  <w:font w:name="微软雅黑">
    <w:panose1 w:val="020B0503020204020204"/>
  </w:font>
  <w:font w:name="Calibri">
    <w:panose1 w:val="020F0502020204030204"/>
  </w:font>
  <w:font w:name="方正仿宋_GBK">
    <w:panose1 w:val="020B0503020202020204"/>
  </w:font>
  <w:font w:name="Futura Bk">
    <w:panose1 w:val="020B0503020202020204"/>
  </w:font>
  <w:font w:name="Cambria">
    <w:panose1 w:val="02040503050406030204"/>
  </w:font>
  <w:font w:name="幼圆">
    <w:panose1 w:val="02010509060101010101"/>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11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72"/>
                          </w:pPr>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72"/>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center"/>
      <w:rPr>
        <w:rFonts w:ascii="宋体" w:hAnsi="宋体"/>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872"/>
                          </w:pPr>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6"/>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87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pPr>
                          <w:r>
                            <w:fldChar w:fldCharType="begin"/>
                          </w:r>
                          <w:r>
                            <w:instrText xml:space="preserve"> PAGE  \* MERGEFORMAT </w:instrText>
                          </w:r>
                          <w:r>
                            <w:fldChar w:fldCharType="separate"/>
                          </w:r>
                          <w:r>
                            <w:t xml:space="preserve">23</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480"/>
      <w:jc w:val="center"/>
      <w:spacing w:line="400" w:lineRule="exact"/>
      <w:rPr>
        <w:i/>
        <w:iCs/>
        <w:sz w:val="18"/>
        <w:u w:val="single"/>
      </w:rPr>
    </w:pPr>
    <w:r>
      <w:rPr>
        <w:i/>
        <w:iCs/>
        <w:sz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ind w:firstLine="480"/>
      <w:jc w:val="center"/>
      <w:spacing w:line="400" w:lineRule="exact"/>
      <w:rPr>
        <w:i/>
        <w:iCs/>
        <w:sz w:val="18"/>
        <w:u w:val="single"/>
      </w:rPr>
    </w:pPr>
    <w:r>
      <w:rPr>
        <w:i/>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43"/>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060" w:hanging="529"/>
      </w:pPr>
      <w:rPr>
        <w:spacing w:val="-36"/>
        <w:sz w:val="32"/>
        <w:szCs w:val="19"/>
        <w:u w:val="single"/>
        <w:lang w:val="zh-CN" w:eastAsia="zh-CN" w:bidi="zh-CN"/>
      </w:rPr>
    </w:lvl>
    <w:lvl w:ilvl="1">
      <w:start w:val="0"/>
      <w:numFmt w:val="bullet"/>
      <w:isLgl w:val="false"/>
      <w:suff w:val="tab"/>
      <w:lvlText w:val="•"/>
      <w:lvlJc w:val="left"/>
      <w:pPr>
        <w:ind w:left="1900" w:hanging="529"/>
      </w:pPr>
      <w:rPr>
        <w:lang w:val="zh-CN" w:eastAsia="zh-CN" w:bidi="zh-CN"/>
      </w:rPr>
    </w:lvl>
    <w:lvl w:ilvl="2">
      <w:start w:val="0"/>
      <w:numFmt w:val="bullet"/>
      <w:isLgl w:val="false"/>
      <w:suff w:val="tab"/>
      <w:lvlText w:val="•"/>
      <w:lvlJc w:val="left"/>
      <w:pPr>
        <w:ind w:left="2741" w:hanging="529"/>
      </w:pPr>
      <w:rPr>
        <w:lang w:val="zh-CN" w:eastAsia="zh-CN" w:bidi="zh-CN"/>
      </w:rPr>
    </w:lvl>
    <w:lvl w:ilvl="3">
      <w:start w:val="0"/>
      <w:numFmt w:val="bullet"/>
      <w:isLgl w:val="false"/>
      <w:suff w:val="tab"/>
      <w:lvlText w:val="•"/>
      <w:lvlJc w:val="left"/>
      <w:pPr>
        <w:ind w:left="3581" w:hanging="529"/>
      </w:pPr>
      <w:rPr>
        <w:lang w:val="zh-CN" w:eastAsia="zh-CN" w:bidi="zh-CN"/>
      </w:rPr>
    </w:lvl>
    <w:lvl w:ilvl="4">
      <w:start w:val="0"/>
      <w:numFmt w:val="bullet"/>
      <w:isLgl w:val="false"/>
      <w:suff w:val="tab"/>
      <w:lvlText w:val="•"/>
      <w:lvlJc w:val="left"/>
      <w:pPr>
        <w:ind w:left="4422" w:hanging="529"/>
      </w:pPr>
      <w:rPr>
        <w:lang w:val="zh-CN" w:eastAsia="zh-CN" w:bidi="zh-CN"/>
      </w:rPr>
    </w:lvl>
    <w:lvl w:ilvl="5">
      <w:start w:val="0"/>
      <w:numFmt w:val="bullet"/>
      <w:isLgl w:val="false"/>
      <w:suff w:val="tab"/>
      <w:lvlText w:val="•"/>
      <w:lvlJc w:val="left"/>
      <w:pPr>
        <w:ind w:left="5263" w:hanging="529"/>
      </w:pPr>
      <w:rPr>
        <w:lang w:val="zh-CN" w:eastAsia="zh-CN" w:bidi="zh-CN"/>
      </w:rPr>
    </w:lvl>
    <w:lvl w:ilvl="6">
      <w:start w:val="0"/>
      <w:numFmt w:val="bullet"/>
      <w:isLgl w:val="false"/>
      <w:suff w:val="tab"/>
      <w:lvlText w:val="•"/>
      <w:lvlJc w:val="left"/>
      <w:pPr>
        <w:ind w:left="6103" w:hanging="529"/>
      </w:pPr>
      <w:rPr>
        <w:lang w:val="zh-CN" w:eastAsia="zh-CN" w:bidi="zh-CN"/>
      </w:rPr>
    </w:lvl>
    <w:lvl w:ilvl="7">
      <w:start w:val="0"/>
      <w:numFmt w:val="bullet"/>
      <w:isLgl w:val="false"/>
      <w:suff w:val="tab"/>
      <w:lvlText w:val="•"/>
      <w:lvlJc w:val="left"/>
      <w:pPr>
        <w:ind w:left="6944" w:hanging="529"/>
      </w:pPr>
      <w:rPr>
        <w:lang w:val="zh-CN" w:eastAsia="zh-CN" w:bidi="zh-CN"/>
      </w:rPr>
    </w:lvl>
    <w:lvl w:ilvl="8">
      <w:start w:val="0"/>
      <w:numFmt w:val="bullet"/>
      <w:isLgl w:val="false"/>
      <w:suff w:val="tab"/>
      <w:lvlText w:val="•"/>
      <w:lvlJc w:val="left"/>
      <w:pPr>
        <w:ind w:left="7785" w:hanging="529"/>
      </w:pPr>
      <w:rPr>
        <w:lang w:val="zh-CN" w:eastAsia="zh-CN" w:bidi="zh-CN"/>
      </w:rPr>
    </w:lvl>
  </w:abstractNum>
  <w:abstractNum w:abstractNumId="3">
    <w:multiLevelType w:val="hybridMultilevel"/>
    <w:lvl w:ilvl="0">
      <w:start w:val="1"/>
      <w:numFmt w:val="decimal"/>
      <w:pStyle w:val="1264"/>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1571" w:hanging="851"/>
        <w:tabs>
          <w:tab w:val="left" w:pos="157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9"/>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pStyle w:val="1252"/>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8">
    <w:multiLevelType w:val="hybridMultilevel"/>
    <w:lvl w:ilvl="0">
      <w:start w:val="1"/>
      <w:numFmt w:val="chineseCountingThousand"/>
      <w:pStyle w:val="1261"/>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091"/>
      <w:isLgl w:val="false"/>
      <w:suff w:val="nothing"/>
      <w:lvlText w:val=""/>
      <w:lvlJc w:val="left"/>
      <w:pPr>
        <w:ind w:left="0" w:firstLine="0"/>
      </w:pPr>
    </w:lvl>
    <w:lvl w:ilvl="6">
      <w:start w:val="1"/>
      <w:numFmt w:val="decimal"/>
      <w:pStyle w:val="1086"/>
      <w:isLgl w:val="false"/>
      <w:suff w:val="nothing"/>
      <w:lvlText w:val=""/>
      <w:lvlJc w:val="left"/>
      <w:pPr>
        <w:ind w:left="0" w:firstLine="0"/>
      </w:pPr>
    </w:lvl>
    <w:lvl w:ilvl="7">
      <w:start w:val="1"/>
      <w:numFmt w:val="decimal"/>
      <w:pStyle w:val="1092"/>
      <w:isLgl w:val="false"/>
      <w:suff w:val="nothing"/>
      <w:lvlText w:val=""/>
      <w:lvlJc w:val="left"/>
      <w:pPr>
        <w:ind w:left="0" w:firstLine="0"/>
      </w:pPr>
    </w:lvl>
    <w:lvl w:ilvl="8">
      <w:start w:val="1"/>
      <w:numFmt w:val="decimal"/>
      <w:pStyle w:val="1093"/>
      <w:isLgl w:val="false"/>
      <w:suff w:val="nothing"/>
      <w:lvlText w:val=""/>
      <w:lvlJc w:val="left"/>
      <w:pPr>
        <w:ind w:left="0" w:firstLine="0"/>
      </w:pPr>
    </w:lvl>
  </w:abstractNum>
  <w:abstractNum w:abstractNumId="9">
    <w:multiLevelType w:val="hybridMultilevel"/>
    <w:lvl w:ilvl="0">
      <w:start w:val="1"/>
      <w:numFmt w:val="decimal"/>
      <w:pStyle w:val="1263"/>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0">
    <w:multiLevelType w:val="hybridMultilevel"/>
    <w:lvl w:ilvl="0">
      <w:start w:val="1"/>
      <w:numFmt w:val="decimal"/>
      <w:pStyle w:val="1262"/>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255"/>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2">
    <w:multiLevelType w:val="hybridMultilevel"/>
    <w:lvl w:ilvl="0">
      <w:start w:val="1"/>
      <w:numFmt w:val="decimal"/>
      <w:pStyle w:val="87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pStyle w:val="1240"/>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decimal"/>
      <w:pStyle w:val="1260"/>
      <w:isLgl w:val="false"/>
      <w:suff w:val="tab"/>
      <w:lvlText w:val="(%1)"/>
      <w:lvlJc w:val="left"/>
      <w:pPr>
        <w:ind w:left="840" w:hanging="480"/>
        <w:tabs>
          <w:tab w:val="left" w:pos="840" w:leader="none"/>
        </w:tabs>
      </w:pPr>
    </w:lvl>
    <w:lvl w:ilvl="1">
      <w:start w:val="1"/>
      <w:numFmt w:val="decimal"/>
      <w:isLgl w:val="false"/>
      <w:suff w:val="tab"/>
      <w:lvlText w:val="(%2)"/>
      <w:lvlJc w:val="left"/>
      <w:pPr>
        <w:ind w:left="780" w:hanging="480"/>
        <w:tabs>
          <w:tab w:val="left" w:pos="780" w:leader="none"/>
        </w:tabs>
      </w:pPr>
    </w:lvl>
    <w:lvl w:ilvl="2">
      <w:start w:val="1"/>
      <w:numFmt w:val="lowerRoman"/>
      <w:isLgl w:val="false"/>
      <w:suff w:val="tab"/>
      <w:lvlText w:val="%3."/>
      <w:lvlJc w:val="right"/>
      <w:pPr>
        <w:ind w:left="1140" w:hanging="420"/>
        <w:tabs>
          <w:tab w:val="left" w:pos="1140" w:leader="none"/>
        </w:tabs>
      </w:pPr>
    </w:lvl>
    <w:lvl w:ilvl="3">
      <w:start w:val="1"/>
      <w:numFmt w:val="decimal"/>
      <w:isLgl w:val="false"/>
      <w:suff w:val="tab"/>
      <w:lvlText w:val="%4."/>
      <w:lvlJc w:val="left"/>
      <w:pPr>
        <w:ind w:left="1560" w:hanging="420"/>
        <w:tabs>
          <w:tab w:val="left" w:pos="1560" w:leader="none"/>
        </w:tabs>
      </w:pPr>
    </w:lvl>
    <w:lvl w:ilvl="4">
      <w:start w:val="1"/>
      <w:numFmt w:val="lowerLetter"/>
      <w:isLgl w:val="false"/>
      <w:suff w:val="tab"/>
      <w:lvlText w:val="%5)"/>
      <w:lvlJc w:val="left"/>
      <w:pPr>
        <w:ind w:left="1980" w:hanging="420"/>
        <w:tabs>
          <w:tab w:val="left" w:pos="1980" w:leader="none"/>
        </w:tabs>
      </w:pPr>
    </w:lvl>
    <w:lvl w:ilvl="5">
      <w:start w:val="1"/>
      <w:numFmt w:val="lowerRoman"/>
      <w:isLgl w:val="false"/>
      <w:suff w:val="tab"/>
      <w:lvlText w:val="%6."/>
      <w:lvlJc w:val="right"/>
      <w:pPr>
        <w:ind w:left="2400" w:hanging="420"/>
        <w:tabs>
          <w:tab w:val="left" w:pos="2400" w:leader="none"/>
        </w:tabs>
      </w:pPr>
    </w:lvl>
    <w:lvl w:ilvl="6">
      <w:start w:val="1"/>
      <w:numFmt w:val="decimal"/>
      <w:isLgl w:val="false"/>
      <w:suff w:val="tab"/>
      <w:lvlText w:val="%7."/>
      <w:lvlJc w:val="left"/>
      <w:pPr>
        <w:ind w:left="2820" w:hanging="420"/>
        <w:tabs>
          <w:tab w:val="left" w:pos="2820" w:leader="none"/>
        </w:tabs>
      </w:pPr>
    </w:lvl>
    <w:lvl w:ilvl="7">
      <w:start w:val="1"/>
      <w:numFmt w:val="lowerLetter"/>
      <w:isLgl w:val="false"/>
      <w:suff w:val="tab"/>
      <w:lvlText w:val="%8)"/>
      <w:lvlJc w:val="left"/>
      <w:pPr>
        <w:ind w:left="3240" w:hanging="420"/>
        <w:tabs>
          <w:tab w:val="left" w:pos="3240" w:leader="none"/>
        </w:tabs>
      </w:pPr>
    </w:lvl>
    <w:lvl w:ilvl="8">
      <w:start w:val="1"/>
      <w:numFmt w:val="lowerRoman"/>
      <w:isLgl w:val="false"/>
      <w:suff w:val="tab"/>
      <w:lvlText w:val="%9."/>
      <w:lvlJc w:val="right"/>
      <w:pPr>
        <w:ind w:left="3660" w:hanging="420"/>
        <w:tabs>
          <w:tab w:val="left" w:pos="3660" w:leader="none"/>
        </w:tabs>
      </w:pPr>
    </w:lvl>
  </w:abstractNum>
  <w:abstractNum w:abstractNumId="15">
    <w:multiLevelType w:val="hybridMultilevel"/>
    <w:lvl w:ilvl="0">
      <w:start w:val="1"/>
      <w:numFmt w:val="decimal"/>
      <w:pStyle w:val="1244"/>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46"/>
      <w:isLgl w:val="false"/>
      <w:suff w:val="tab"/>
      <w:lvlText w:val="%9."/>
      <w:lvlJc w:val="right"/>
      <w:pPr>
        <w:ind w:left="4200" w:hanging="420"/>
        <w:tabs>
          <w:tab w:val="left" w:pos="4200" w:leader="none"/>
        </w:tabs>
      </w:pPr>
    </w:lvl>
  </w:abstractNum>
  <w:abstractNum w:abstractNumId="16">
    <w:multiLevelType w:val="hybridMultilevel"/>
    <w:lvl w:ilvl="0">
      <w:start w:val="1"/>
      <w:numFmt w:val="decimal"/>
      <w:isLgl w:val="false"/>
      <w:suff w:val="tab"/>
      <w:lvlText w:val="（%1）"/>
      <w:lvlJc w:val="left"/>
      <w:pPr>
        <w:ind w:left="111" w:hanging="529"/>
      </w:pPr>
      <w:rPr>
        <w:rFonts w:ascii="宋体" w:hAnsi="宋体" w:eastAsia="宋体"/>
        <w:spacing w:val="-36"/>
        <w:sz w:val="30"/>
        <w:szCs w:val="19"/>
        <w:lang w:val="zh-CN" w:eastAsia="zh-CN" w:bidi="zh-CN"/>
      </w:rPr>
    </w:lvl>
    <w:lvl w:ilvl="1">
      <w:start w:val="0"/>
      <w:numFmt w:val="bullet"/>
      <w:isLgl w:val="false"/>
      <w:suff w:val="tab"/>
      <w:lvlText w:val="•"/>
      <w:lvlJc w:val="left"/>
      <w:pPr>
        <w:ind w:left="1054" w:hanging="529"/>
      </w:pPr>
      <w:rPr>
        <w:lang w:val="zh-CN" w:eastAsia="zh-CN" w:bidi="zh-CN"/>
      </w:rPr>
    </w:lvl>
    <w:lvl w:ilvl="2">
      <w:start w:val="0"/>
      <w:numFmt w:val="bullet"/>
      <w:isLgl w:val="false"/>
      <w:suff w:val="tab"/>
      <w:lvlText w:val="•"/>
      <w:lvlJc w:val="left"/>
      <w:pPr>
        <w:ind w:left="1989" w:hanging="529"/>
      </w:pPr>
      <w:rPr>
        <w:lang w:val="zh-CN" w:eastAsia="zh-CN" w:bidi="zh-CN"/>
      </w:rPr>
    </w:lvl>
    <w:lvl w:ilvl="3">
      <w:start w:val="0"/>
      <w:numFmt w:val="bullet"/>
      <w:isLgl w:val="false"/>
      <w:suff w:val="tab"/>
      <w:lvlText w:val="•"/>
      <w:lvlJc w:val="left"/>
      <w:pPr>
        <w:ind w:left="2923" w:hanging="529"/>
      </w:pPr>
      <w:rPr>
        <w:lang w:val="zh-CN" w:eastAsia="zh-CN" w:bidi="zh-CN"/>
      </w:rPr>
    </w:lvl>
    <w:lvl w:ilvl="4">
      <w:start w:val="0"/>
      <w:numFmt w:val="bullet"/>
      <w:isLgl w:val="false"/>
      <w:suff w:val="tab"/>
      <w:lvlText w:val="•"/>
      <w:lvlJc w:val="left"/>
      <w:pPr>
        <w:ind w:left="3858" w:hanging="529"/>
      </w:pPr>
      <w:rPr>
        <w:lang w:val="zh-CN" w:eastAsia="zh-CN" w:bidi="zh-CN"/>
      </w:rPr>
    </w:lvl>
    <w:lvl w:ilvl="5">
      <w:start w:val="0"/>
      <w:numFmt w:val="bullet"/>
      <w:isLgl w:val="false"/>
      <w:suff w:val="tab"/>
      <w:lvlText w:val="•"/>
      <w:lvlJc w:val="left"/>
      <w:pPr>
        <w:ind w:left="4793" w:hanging="529"/>
      </w:pPr>
      <w:rPr>
        <w:lang w:val="zh-CN" w:eastAsia="zh-CN" w:bidi="zh-CN"/>
      </w:rPr>
    </w:lvl>
    <w:lvl w:ilvl="6">
      <w:start w:val="0"/>
      <w:numFmt w:val="bullet"/>
      <w:isLgl w:val="false"/>
      <w:suff w:val="tab"/>
      <w:lvlText w:val="•"/>
      <w:lvlJc w:val="left"/>
      <w:pPr>
        <w:ind w:left="5727" w:hanging="529"/>
      </w:pPr>
      <w:rPr>
        <w:lang w:val="zh-CN" w:eastAsia="zh-CN" w:bidi="zh-CN"/>
      </w:rPr>
    </w:lvl>
    <w:lvl w:ilvl="7">
      <w:start w:val="0"/>
      <w:numFmt w:val="bullet"/>
      <w:isLgl w:val="false"/>
      <w:suff w:val="tab"/>
      <w:lvlText w:val="•"/>
      <w:lvlJc w:val="left"/>
      <w:pPr>
        <w:ind w:left="6662" w:hanging="529"/>
      </w:pPr>
      <w:rPr>
        <w:lang w:val="zh-CN" w:eastAsia="zh-CN" w:bidi="zh-CN"/>
      </w:rPr>
    </w:lvl>
    <w:lvl w:ilvl="8">
      <w:start w:val="0"/>
      <w:numFmt w:val="bullet"/>
      <w:isLgl w:val="false"/>
      <w:suff w:val="tab"/>
      <w:lvlText w:val="•"/>
      <w:lvlJc w:val="left"/>
      <w:pPr>
        <w:ind w:left="7597" w:hanging="529"/>
      </w:pPr>
      <w:rPr>
        <w:lang w:val="zh-CN" w:eastAsia="zh-CN" w:bidi="zh-CN"/>
      </w:rPr>
    </w:lvl>
  </w:abstractNum>
  <w:abstractNum w:abstractNumId="1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pStyle w:val="126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14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1">
    <w:multiLevelType w:val="hybridMultilevel"/>
    <w:lvl w:ilvl="0">
      <w:start w:val="1"/>
      <w:numFmt w:val="decimal"/>
      <w:pStyle w:val="124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2">
    <w:multiLevelType w:val="hybridMultilevel"/>
    <w:lvl w:ilvl="0">
      <w:start w:val="1"/>
      <w:numFmt w:val="decimal"/>
      <w:pStyle w:val="1268"/>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nothing"/>
      <w:lvlText w:val="%1、"/>
      <w:lvlJc w:val="left"/>
      <w:pPr>
        <w:ind w:left="9"/>
      </w:pPr>
    </w:lvl>
    <w:lvl w:ilvl="1">
      <w:start w:val="1"/>
      <w:numFmt w:val="bullet"/>
      <w:isLgl w:val="false"/>
      <w:suff w:val="tab"/>
      <w:lvlText w:val="o"/>
      <w:lvlJc w:val="left"/>
      <w:pPr>
        <w:ind w:left="1449" w:hanging="360"/>
      </w:pPr>
      <w:rPr>
        <w:rFonts w:hint="default" w:ascii="Courier New" w:hAnsi="Courier New" w:eastAsia="Courier New" w:cs="Courier New"/>
      </w:rPr>
    </w:lvl>
    <w:lvl w:ilvl="2">
      <w:start w:val="1"/>
      <w:numFmt w:val="bullet"/>
      <w:isLgl w:val="false"/>
      <w:suff w:val="tab"/>
      <w:lvlText w:val="§"/>
      <w:lvlJc w:val="left"/>
      <w:pPr>
        <w:ind w:left="2169" w:hanging="360"/>
      </w:pPr>
      <w:rPr>
        <w:rFonts w:hint="default" w:ascii="Wingdings" w:hAnsi="Wingdings" w:eastAsia="Wingdings" w:cs="Wingdings"/>
      </w:rPr>
    </w:lvl>
    <w:lvl w:ilvl="3">
      <w:start w:val="1"/>
      <w:numFmt w:val="bullet"/>
      <w:isLgl w:val="false"/>
      <w:suff w:val="tab"/>
      <w:lvlText w:val="·"/>
      <w:lvlJc w:val="left"/>
      <w:pPr>
        <w:ind w:left="2889" w:hanging="360"/>
      </w:pPr>
      <w:rPr>
        <w:rFonts w:hint="default" w:ascii="Symbol" w:hAnsi="Symbol" w:eastAsia="Symbol" w:cs="Symbol"/>
      </w:rPr>
    </w:lvl>
    <w:lvl w:ilvl="4">
      <w:start w:val="1"/>
      <w:numFmt w:val="bullet"/>
      <w:isLgl w:val="false"/>
      <w:suff w:val="tab"/>
      <w:lvlText w:val="o"/>
      <w:lvlJc w:val="left"/>
      <w:pPr>
        <w:ind w:left="3609" w:hanging="360"/>
      </w:pPr>
      <w:rPr>
        <w:rFonts w:hint="default" w:ascii="Courier New" w:hAnsi="Courier New" w:eastAsia="Courier New" w:cs="Courier New"/>
      </w:rPr>
    </w:lvl>
    <w:lvl w:ilvl="5">
      <w:start w:val="1"/>
      <w:numFmt w:val="bullet"/>
      <w:isLgl w:val="false"/>
      <w:suff w:val="tab"/>
      <w:lvlText w:val="§"/>
      <w:lvlJc w:val="left"/>
      <w:pPr>
        <w:ind w:left="4329" w:hanging="360"/>
      </w:pPr>
      <w:rPr>
        <w:rFonts w:hint="default" w:ascii="Wingdings" w:hAnsi="Wingdings" w:eastAsia="Wingdings" w:cs="Wingdings"/>
      </w:rPr>
    </w:lvl>
    <w:lvl w:ilvl="6">
      <w:start w:val="1"/>
      <w:numFmt w:val="bullet"/>
      <w:isLgl w:val="false"/>
      <w:suff w:val="tab"/>
      <w:lvlText w:val="·"/>
      <w:lvlJc w:val="left"/>
      <w:pPr>
        <w:ind w:left="5049" w:hanging="360"/>
      </w:pPr>
      <w:rPr>
        <w:rFonts w:hint="default" w:ascii="Symbol" w:hAnsi="Symbol" w:eastAsia="Symbol" w:cs="Symbol"/>
      </w:rPr>
    </w:lvl>
    <w:lvl w:ilvl="7">
      <w:start w:val="1"/>
      <w:numFmt w:val="bullet"/>
      <w:isLgl w:val="false"/>
      <w:suff w:val="tab"/>
      <w:lvlText w:val="o"/>
      <w:lvlJc w:val="left"/>
      <w:pPr>
        <w:ind w:left="5769" w:hanging="360"/>
      </w:pPr>
      <w:rPr>
        <w:rFonts w:hint="default" w:ascii="Courier New" w:hAnsi="Courier New" w:eastAsia="Courier New" w:cs="Courier New"/>
      </w:rPr>
    </w:lvl>
    <w:lvl w:ilvl="8">
      <w:start w:val="1"/>
      <w:numFmt w:val="bullet"/>
      <w:isLgl w:val="false"/>
      <w:suff w:val="tab"/>
      <w:lvlText w:val="§"/>
      <w:lvlJc w:val="left"/>
      <w:pPr>
        <w:ind w:left="6489"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41"/>
      <w:isLgl w:val="false"/>
      <w:suff w:val="tab"/>
      <w:lvlText w:val="%9."/>
      <w:lvlJc w:val="right"/>
      <w:pPr>
        <w:ind w:left="4680" w:hanging="420"/>
      </w:pPr>
    </w:lvl>
  </w:abstractNum>
  <w:abstractNum w:abstractNumId="25">
    <w:multiLevelType w:val="hybridMultilevel"/>
    <w:lvl w:ilvl="0">
      <w:start w:val="8"/>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8"/>
  </w:num>
  <w:num w:numId="3">
    <w:abstractNumId w:val="20"/>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2"/>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5"/>
  </w:num>
  <w:num w:numId="9">
    <w:abstractNumId w:val="21"/>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4"/>
  </w:num>
  <w:num w:numId="13">
    <w:abstractNumId w:val="10"/>
  </w:num>
  <w:num w:numId="14">
    <w:abstractNumId w:val="9"/>
  </w:num>
  <w:num w:numId="15">
    <w:abstractNumId w:val="3"/>
  </w:num>
  <w:num w:numId="16">
    <w:abstractNumId w:val="18"/>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num>
  <w:num w:numId="20">
    <w:abstractNumId w:val="26"/>
  </w:num>
  <w:num w:numId="21">
    <w:abstractNumId w:val="25"/>
  </w:num>
  <w:num w:numId="22">
    <w:abstractNumId w:val="5"/>
  </w:num>
  <w:num w:numId="23">
    <w:abstractNumId w:val="6"/>
  </w:num>
  <w:num w:numId="24">
    <w:abstractNumId w:val="23"/>
  </w:num>
  <w:num w:numId="25">
    <w:abstractNumId w:val="13"/>
  </w:num>
  <w:num w:numId="26">
    <w:abstractNumId w:val="2"/>
  </w:num>
  <w:num w:numId="27">
    <w:abstractNumId w:val="24"/>
  </w:num>
  <w:num w:numId="28">
    <w:abstractNumId w:val="16"/>
  </w:num>
  <w:num w:numId="29">
    <w:abstractNumId w:val="0"/>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7" w:default="1">
    <w:name w:val="Normal"/>
    <w:next w:val="869"/>
    <w:uiPriority w:val="0"/>
    <w:qFormat/>
    <w:rPr>
      <w:rFonts w:hint="default" w:ascii="Times New Roman" w:hAnsi="Times New Roman" w:eastAsia="宋体" w:cs="Times New Roman"/>
    </w:rPr>
  </w:style>
  <w:style w:type="paragraph" w:styleId="858">
    <w:name w:val="Heading 1"/>
    <w:next w:val="857"/>
    <w:link w:val="933"/>
    <w:uiPriority w:val="9"/>
    <w:qFormat/>
    <w:pPr>
      <w:keepLines/>
      <w:keepNext/>
      <w:spacing w:before="480" w:after="200"/>
      <w:outlineLvl w:val="0"/>
    </w:pPr>
    <w:rPr>
      <w:rFonts w:hint="default" w:ascii="Arial" w:hAnsi="Arial" w:eastAsia="Arial" w:cs="Arial"/>
      <w:sz w:val="40"/>
      <w:szCs w:val="40"/>
    </w:rPr>
  </w:style>
  <w:style w:type="paragraph" w:styleId="859">
    <w:name w:val="Heading 2"/>
    <w:basedOn w:val="857"/>
    <w:next w:val="857"/>
    <w:link w:val="934"/>
    <w:uiPriority w:val="9"/>
    <w:unhideWhenUsed/>
    <w:qFormat/>
    <w:pPr>
      <w:keepLines/>
      <w:keepNext/>
      <w:spacing w:before="360" w:after="200"/>
      <w:outlineLvl w:val="1"/>
    </w:pPr>
    <w:rPr>
      <w:rFonts w:hint="default" w:ascii="Arial" w:hAnsi="Arial" w:eastAsia="Arial" w:cs="Arial"/>
      <w:sz w:val="34"/>
    </w:rPr>
  </w:style>
  <w:style w:type="paragraph" w:styleId="860">
    <w:name w:val="Heading 3"/>
    <w:basedOn w:val="857"/>
    <w:next w:val="857"/>
    <w:link w:val="935"/>
    <w:uiPriority w:val="9"/>
    <w:unhideWhenUsed/>
    <w:qFormat/>
    <w:pPr>
      <w:keepLines/>
      <w:keepNext/>
      <w:spacing w:before="320" w:after="200"/>
      <w:outlineLvl w:val="2"/>
    </w:pPr>
    <w:rPr>
      <w:rFonts w:hint="default" w:ascii="Arial" w:hAnsi="Arial" w:eastAsia="Arial" w:cs="Arial"/>
      <w:sz w:val="30"/>
      <w:szCs w:val="30"/>
    </w:rPr>
  </w:style>
  <w:style w:type="paragraph" w:styleId="861">
    <w:name w:val="Heading 4"/>
    <w:basedOn w:val="857"/>
    <w:next w:val="857"/>
    <w:link w:val="936"/>
    <w:uiPriority w:val="9"/>
    <w:unhideWhenUsed/>
    <w:qFormat/>
    <w:pPr>
      <w:keepLines/>
      <w:keepNext/>
      <w:spacing w:before="320" w:after="200"/>
      <w:outlineLvl w:val="3"/>
    </w:pPr>
    <w:rPr>
      <w:rFonts w:hint="default" w:ascii="Arial" w:hAnsi="Arial" w:eastAsia="Arial" w:cs="Arial"/>
      <w:b/>
      <w:bCs/>
      <w:sz w:val="26"/>
      <w:szCs w:val="26"/>
    </w:rPr>
  </w:style>
  <w:style w:type="paragraph" w:styleId="862">
    <w:name w:val="Heading 5"/>
    <w:next w:val="857"/>
    <w:link w:val="937"/>
    <w:uiPriority w:val="9"/>
    <w:unhideWhenUsed/>
    <w:qFormat/>
    <w:pPr>
      <w:keepLines/>
      <w:keepNext/>
      <w:spacing w:before="320" w:after="200"/>
      <w:outlineLvl w:val="4"/>
    </w:pPr>
    <w:rPr>
      <w:rFonts w:hint="default" w:ascii="Arial" w:hAnsi="Arial" w:eastAsia="Arial" w:cs="Arial"/>
      <w:b/>
      <w:bCs/>
      <w:sz w:val="24"/>
      <w:szCs w:val="24"/>
    </w:rPr>
  </w:style>
  <w:style w:type="paragraph" w:styleId="863">
    <w:name w:val="Heading 6"/>
    <w:next w:val="857"/>
    <w:link w:val="938"/>
    <w:uiPriority w:val="9"/>
    <w:unhideWhenUsed/>
    <w:qFormat/>
    <w:pPr>
      <w:keepLines/>
      <w:keepNext/>
      <w:spacing w:before="320" w:after="200"/>
      <w:outlineLvl w:val="5"/>
    </w:pPr>
    <w:rPr>
      <w:rFonts w:hint="default" w:ascii="Arial" w:hAnsi="Arial" w:eastAsia="Arial" w:cs="Arial"/>
      <w:b/>
      <w:bCs/>
      <w:sz w:val="22"/>
      <w:szCs w:val="22"/>
    </w:rPr>
  </w:style>
  <w:style w:type="paragraph" w:styleId="864">
    <w:name w:val="Heading 7"/>
    <w:next w:val="857"/>
    <w:link w:val="93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65">
    <w:name w:val="Heading 8"/>
    <w:next w:val="857"/>
    <w:link w:val="940"/>
    <w:uiPriority w:val="9"/>
    <w:unhideWhenUsed/>
    <w:qFormat/>
    <w:pPr>
      <w:keepLines/>
      <w:keepNext/>
      <w:spacing w:before="320" w:after="200"/>
      <w:outlineLvl w:val="7"/>
    </w:pPr>
    <w:rPr>
      <w:rFonts w:hint="default" w:ascii="Arial" w:hAnsi="Arial" w:eastAsia="Arial" w:cs="Arial"/>
      <w:i/>
      <w:iCs/>
      <w:sz w:val="22"/>
      <w:szCs w:val="22"/>
    </w:rPr>
  </w:style>
  <w:style w:type="paragraph" w:styleId="866">
    <w:name w:val="Heading 9"/>
    <w:next w:val="857"/>
    <w:link w:val="941"/>
    <w:uiPriority w:val="9"/>
    <w:unhideWhenUsed/>
    <w:qFormat/>
    <w:pPr>
      <w:keepLines/>
      <w:keepNext/>
      <w:spacing w:before="320" w:after="200"/>
      <w:outlineLvl w:val="8"/>
    </w:pPr>
    <w:rPr>
      <w:rFonts w:hint="default" w:ascii="Arial" w:hAnsi="Arial" w:eastAsia="Arial" w:cs="Arial"/>
      <w:i/>
      <w:iCs/>
      <w:sz w:val="21"/>
      <w:szCs w:val="21"/>
    </w:rPr>
  </w:style>
  <w:style w:type="character" w:styleId="867" w:default="1">
    <w:name w:val="Default Paragraph Font"/>
    <w:uiPriority w:val="1"/>
    <w:semiHidden/>
    <w:unhideWhenUsed/>
    <w:qFormat/>
  </w:style>
  <w:style w:type="table" w:styleId="868" w:default="1">
    <w:name w:val="Normal Table"/>
    <w:uiPriority w:val="99"/>
    <w:semiHidden/>
    <w:unhideWhenUsed/>
    <w:qFormat/>
    <w:tblPr>
      <w:tblCellMar>
        <w:left w:w="108" w:type="dxa"/>
        <w:top w:w="0" w:type="dxa"/>
        <w:right w:w="108" w:type="dxa"/>
        <w:bottom w:w="0" w:type="dxa"/>
      </w:tblCellMar>
    </w:tblPr>
  </w:style>
  <w:style w:type="paragraph" w:styleId="869" w:customStyle="1">
    <w:name w:val="正文文本缩进1"/>
    <w:basedOn w:val="870"/>
    <w:next w:val="876"/>
    <w:uiPriority w:val="0"/>
    <w:qFormat/>
    <w:pPr>
      <w:ind w:left="420"/>
      <w:spacing w:after="120"/>
    </w:pPr>
  </w:style>
  <w:style w:type="paragraph" w:styleId="870" w:customStyle="1">
    <w:name w:val="正文11"/>
    <w:next w:val="871"/>
    <w:link w:val="13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1" w:customStyle="1">
    <w:name w:val="文本块1"/>
    <w:basedOn w:val="872"/>
    <w:next w:val="873"/>
    <w:uiPriority w:val="0"/>
    <w:qFormat/>
    <w:pPr>
      <w:ind w:left="256" w:right="6" w:firstLine="624"/>
    </w:pPr>
    <w:rPr>
      <w:rFonts w:ascii="Times New Roman" w:hAnsi="Times New Roman" w:eastAsia="仿宋_GB2312"/>
      <w:sz w:val="28"/>
      <w:szCs w:val="20"/>
    </w:rPr>
  </w:style>
  <w:style w:type="paragraph" w:styleId="872" w:customStyle="1">
    <w:name w:val="正文111"/>
    <w:next w:val="857"/>
    <w:link w:val="11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标题 41"/>
    <w:basedOn w:val="874"/>
    <w:next w:val="870"/>
    <w:link w:val="1106"/>
    <w:uiPriority w:val="0"/>
    <w:qFormat/>
    <w:pPr>
      <w:keepLines/>
      <w:keepNext/>
      <w:spacing w:before="280" w:after="290" w:line="376" w:lineRule="auto"/>
      <w:outlineLvl w:val="3"/>
    </w:pPr>
    <w:rPr>
      <w:rFonts w:ascii="Cambria" w:hAnsi="Cambria"/>
      <w:b/>
      <w:bCs/>
      <w:sz w:val="28"/>
      <w:szCs w:val="28"/>
    </w:rPr>
  </w:style>
  <w:style w:type="paragraph" w:styleId="874" w:customStyle="1">
    <w:name w:val="正文1111"/>
    <w:next w:val="875"/>
    <w:uiPriority w:val="0"/>
    <w:qFormat/>
    <w:pPr>
      <w:jc w:val="both"/>
      <w:widowControl w:val="off"/>
    </w:pPr>
    <w:rPr>
      <w:rFonts w:hint="default" w:ascii="Times New Roman" w:hAnsi="Times New Roman" w:eastAsia="宋体" w:cs="Times New Roman"/>
      <w:sz w:val="21"/>
      <w:szCs w:val="24"/>
    </w:rPr>
  </w:style>
  <w:style w:type="paragraph" w:styleId="875" w:customStyle="1">
    <w:name w:val="标题 211"/>
    <w:basedOn w:val="870"/>
    <w:next w:val="874"/>
    <w:uiPriority w:val="0"/>
    <w:qFormat/>
    <w:pPr>
      <w:keepLines/>
      <w:keepNext/>
      <w:spacing w:before="260" w:after="260" w:line="416" w:lineRule="auto"/>
      <w:outlineLvl w:val="1"/>
    </w:pPr>
    <w:rPr>
      <w:rFonts w:ascii="Cambria" w:hAnsi="Cambria"/>
      <w:b/>
      <w:bCs/>
      <w:sz w:val="32"/>
      <w:szCs w:val="32"/>
    </w:rPr>
  </w:style>
  <w:style w:type="paragraph" w:styleId="876" w:customStyle="1">
    <w:name w:val="寄信人地址1"/>
    <w:basedOn w:val="877"/>
    <w:uiPriority w:val="0"/>
    <w:qFormat/>
    <w:rPr>
      <w:rFonts w:ascii="Arial" w:hAnsi="Arial"/>
    </w:rPr>
  </w:style>
  <w:style w:type="paragraph" w:styleId="877" w:customStyle="1">
    <w:name w:val="正文12"/>
    <w:next w:val="878"/>
    <w:uiPriority w:val="0"/>
    <w:qFormat/>
    <w:rPr>
      <w:rFonts w:hint="default" w:ascii="Times New Roman" w:hAnsi="Times New Roman" w:eastAsia="宋体" w:cs="Times New Roman"/>
      <w:lang w:val="en-US" w:eastAsia="zh-CN" w:bidi="ar-SA"/>
    </w:rPr>
  </w:style>
  <w:style w:type="paragraph" w:styleId="878" w:customStyle="1">
    <w:name w:val="标题 21"/>
    <w:basedOn w:val="879"/>
    <w:next w:val="870"/>
    <w:link w:val="1103"/>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79" w:customStyle="1">
    <w:name w:val="正文1"/>
    <w:basedOn w:val="870"/>
    <w:next w:val="878"/>
    <w:link w:val="1099"/>
    <w:uiPriority w:val="0"/>
    <w:qFormat/>
    <w:pPr>
      <w:jc w:val="left"/>
      <w:spacing w:line="360" w:lineRule="atLeast"/>
    </w:pPr>
    <w:rPr>
      <w:rFonts w:ascii="宋体"/>
      <w:sz w:val="24"/>
      <w:szCs w:val="20"/>
    </w:rPr>
  </w:style>
  <w:style w:type="paragraph" w:styleId="880">
    <w:name w:val="toc 7"/>
    <w:next w:val="857"/>
    <w:uiPriority w:val="39"/>
    <w:unhideWhenUsed/>
    <w:qFormat/>
    <w:pPr>
      <w:ind w:left="1701" w:right="0" w:firstLine="0"/>
      <w:spacing w:after="57"/>
    </w:pPr>
    <w:rPr>
      <w:rFonts w:hint="default" w:ascii="Times New Roman" w:hAnsi="Times New Roman" w:eastAsia="宋体" w:cs="Times New Roman"/>
    </w:rPr>
  </w:style>
  <w:style w:type="paragraph" w:styleId="881">
    <w:name w:val="Caption"/>
    <w:next w:val="857"/>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82">
    <w:name w:val="index 5"/>
    <w:basedOn w:val="857"/>
    <w:next w:val="857"/>
    <w:uiPriority w:val="0"/>
    <w:qFormat/>
    <w:pPr>
      <w:ind w:left="798"/>
      <w:jc w:val="left"/>
      <w:spacing w:line="240" w:lineRule="auto"/>
    </w:pPr>
    <w:rPr>
      <w:rFonts w:ascii="Calibri" w:hAnsi="Calibri" w:eastAsia="Times New Roman" w:cs="Times New Roman"/>
      <w:sz w:val="24"/>
      <w:szCs w:val="24"/>
    </w:rPr>
  </w:style>
  <w:style w:type="paragraph" w:styleId="883">
    <w:name w:val="annotation text"/>
    <w:basedOn w:val="857"/>
    <w:uiPriority w:val="99"/>
    <w:semiHidden/>
    <w:unhideWhenUsed/>
    <w:qFormat/>
    <w:pPr>
      <w:jc w:val="left"/>
    </w:pPr>
  </w:style>
  <w:style w:type="paragraph" w:styleId="884">
    <w:name w:val="Body Text"/>
    <w:basedOn w:val="857"/>
    <w:next w:val="857"/>
    <w:uiPriority w:val="0"/>
    <w:qFormat/>
    <w:rPr>
      <w:rFonts w:ascii="金山简黑体" w:hAnsi="Courier New" w:eastAsia="金山简黑体"/>
      <w:b/>
      <w:spacing w:val="-8"/>
      <w:sz w:val="44"/>
    </w:rPr>
  </w:style>
  <w:style w:type="paragraph" w:styleId="885">
    <w:name w:val="Body Text Indent"/>
    <w:basedOn w:val="857"/>
    <w:next w:val="886"/>
    <w:uiPriority w:val="0"/>
    <w:unhideWhenUsed/>
    <w:qFormat/>
    <w:pPr>
      <w:ind w:left="420"/>
      <w:spacing w:after="120"/>
    </w:pPr>
  </w:style>
  <w:style w:type="paragraph" w:styleId="886">
    <w:name w:val="envelope return"/>
    <w:basedOn w:val="857"/>
    <w:uiPriority w:val="0"/>
    <w:qFormat/>
    <w:rPr>
      <w:rFonts w:ascii="Arial" w:hAnsi="Arial"/>
    </w:rPr>
  </w:style>
  <w:style w:type="paragraph" w:styleId="887">
    <w:name w:val="Block Text"/>
    <w:basedOn w:val="857"/>
    <w:uiPriority w:val="99"/>
    <w:unhideWhenUsed/>
    <w:qFormat/>
    <w:pPr>
      <w:ind w:left="1440" w:right="1440"/>
      <w:spacing w:after="120"/>
    </w:pPr>
  </w:style>
  <w:style w:type="paragraph" w:styleId="888">
    <w:name w:val="toc 5"/>
    <w:next w:val="857"/>
    <w:uiPriority w:val="39"/>
    <w:unhideWhenUsed/>
    <w:qFormat/>
    <w:pPr>
      <w:ind w:left="1134" w:right="0" w:firstLine="0"/>
      <w:spacing w:after="57"/>
    </w:pPr>
    <w:rPr>
      <w:rFonts w:hint="default" w:ascii="Times New Roman" w:hAnsi="Times New Roman" w:eastAsia="宋体" w:cs="Times New Roman"/>
    </w:rPr>
  </w:style>
  <w:style w:type="paragraph" w:styleId="889">
    <w:name w:val="toc 3"/>
    <w:next w:val="857"/>
    <w:uiPriority w:val="39"/>
    <w:unhideWhenUsed/>
    <w:qFormat/>
    <w:pPr>
      <w:ind w:left="567" w:right="0" w:firstLine="0"/>
      <w:spacing w:after="57"/>
    </w:pPr>
    <w:rPr>
      <w:rFonts w:hint="default" w:ascii="Times New Roman" w:hAnsi="Times New Roman" w:eastAsia="宋体" w:cs="Times New Roman"/>
    </w:rPr>
  </w:style>
  <w:style w:type="paragraph" w:styleId="890">
    <w:name w:val="toc 8"/>
    <w:next w:val="857"/>
    <w:uiPriority w:val="39"/>
    <w:unhideWhenUsed/>
    <w:qFormat/>
    <w:pPr>
      <w:ind w:left="1984" w:right="0" w:firstLine="0"/>
      <w:spacing w:after="57"/>
    </w:pPr>
    <w:rPr>
      <w:rFonts w:hint="default" w:ascii="Times New Roman" w:hAnsi="Times New Roman" w:eastAsia="宋体" w:cs="Times New Roman"/>
    </w:rPr>
  </w:style>
  <w:style w:type="paragraph" w:styleId="891">
    <w:name w:val="endnote text"/>
    <w:link w:val="1079"/>
    <w:uiPriority w:val="99"/>
    <w:semiHidden/>
    <w:unhideWhenUsed/>
    <w:qFormat/>
    <w:pPr>
      <w:spacing w:after="0" w:line="240" w:lineRule="auto"/>
    </w:pPr>
    <w:rPr>
      <w:rFonts w:hint="default" w:ascii="Times New Roman" w:hAnsi="Times New Roman" w:eastAsia="宋体" w:cs="Times New Roman"/>
      <w:sz w:val="20"/>
    </w:rPr>
  </w:style>
  <w:style w:type="paragraph" w:styleId="892">
    <w:name w:val="Footer"/>
    <w:basedOn w:val="857"/>
    <w:link w:val="95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93">
    <w:name w:val="Header"/>
    <w:basedOn w:val="857"/>
    <w:link w:val="950"/>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94">
    <w:name w:val="toc 1"/>
    <w:basedOn w:val="857"/>
    <w:next w:val="857"/>
    <w:uiPriority w:val="39"/>
    <w:unhideWhenUsed/>
    <w:qFormat/>
    <w:pPr>
      <w:ind w:left="0" w:right="0" w:firstLine="0"/>
      <w:spacing w:after="57"/>
    </w:pPr>
    <w:rPr>
      <w:rFonts w:hint="default" w:ascii="Times New Roman" w:hAnsi="Times New Roman" w:eastAsia="宋体" w:cs="Times New Roman"/>
    </w:rPr>
  </w:style>
  <w:style w:type="paragraph" w:styleId="895">
    <w:name w:val="toc 4"/>
    <w:next w:val="857"/>
    <w:uiPriority w:val="39"/>
    <w:unhideWhenUsed/>
    <w:qFormat/>
    <w:pPr>
      <w:ind w:left="850" w:right="0" w:firstLine="0"/>
      <w:spacing w:after="57"/>
    </w:pPr>
    <w:rPr>
      <w:rFonts w:hint="default" w:ascii="Times New Roman" w:hAnsi="Times New Roman" w:eastAsia="宋体" w:cs="Times New Roman"/>
    </w:rPr>
  </w:style>
  <w:style w:type="paragraph" w:styleId="896">
    <w:name w:val="Subtitle"/>
    <w:link w:val="945"/>
    <w:uiPriority w:val="11"/>
    <w:qFormat/>
    <w:pPr>
      <w:spacing w:before="200" w:after="200"/>
    </w:pPr>
    <w:rPr>
      <w:rFonts w:hint="default" w:ascii="Times New Roman" w:hAnsi="Times New Roman" w:eastAsia="宋体" w:cs="Times New Roman"/>
      <w:sz w:val="24"/>
      <w:szCs w:val="24"/>
    </w:rPr>
  </w:style>
  <w:style w:type="paragraph" w:styleId="897">
    <w:name w:val="footnote text"/>
    <w:basedOn w:val="857"/>
    <w:next w:val="882"/>
    <w:link w:val="1078"/>
    <w:uiPriority w:val="99"/>
    <w:semiHidden/>
    <w:unhideWhenUsed/>
    <w:qFormat/>
    <w:pPr>
      <w:spacing w:after="40" w:line="240" w:lineRule="auto"/>
    </w:pPr>
    <w:rPr>
      <w:rFonts w:hint="default" w:ascii="Times New Roman" w:hAnsi="Times New Roman" w:eastAsia="宋体" w:cs="Times New Roman"/>
      <w:sz w:val="18"/>
    </w:rPr>
  </w:style>
  <w:style w:type="paragraph" w:styleId="898">
    <w:name w:val="toc 6"/>
    <w:next w:val="857"/>
    <w:uiPriority w:val="39"/>
    <w:unhideWhenUsed/>
    <w:qFormat/>
    <w:pPr>
      <w:ind w:left="1417" w:right="0" w:firstLine="0"/>
      <w:spacing w:after="57"/>
    </w:pPr>
    <w:rPr>
      <w:rFonts w:hint="default" w:ascii="Times New Roman" w:hAnsi="Times New Roman" w:eastAsia="宋体" w:cs="Times New Roman"/>
    </w:rPr>
  </w:style>
  <w:style w:type="paragraph" w:styleId="899">
    <w:name w:val="table of figures"/>
    <w:next w:val="857"/>
    <w:uiPriority w:val="99"/>
    <w:unhideWhenUsed/>
    <w:qFormat/>
    <w:pPr>
      <w:spacing w:after="0" w:afterAutospacing="0"/>
    </w:pPr>
    <w:rPr>
      <w:rFonts w:hint="default" w:ascii="Times New Roman" w:hAnsi="Times New Roman" w:eastAsia="宋体" w:cs="Times New Roman"/>
    </w:rPr>
  </w:style>
  <w:style w:type="paragraph" w:styleId="900">
    <w:name w:val="toc 2"/>
    <w:next w:val="857"/>
    <w:uiPriority w:val="39"/>
    <w:unhideWhenUsed/>
    <w:qFormat/>
    <w:pPr>
      <w:ind w:left="283" w:right="0" w:firstLine="0"/>
      <w:spacing w:after="57"/>
    </w:pPr>
    <w:rPr>
      <w:rFonts w:hint="default" w:ascii="Times New Roman" w:hAnsi="Times New Roman" w:eastAsia="宋体" w:cs="Times New Roman"/>
    </w:rPr>
  </w:style>
  <w:style w:type="paragraph" w:styleId="901">
    <w:name w:val="toc 9"/>
    <w:next w:val="857"/>
    <w:uiPriority w:val="39"/>
    <w:unhideWhenUsed/>
    <w:qFormat/>
    <w:pPr>
      <w:ind w:left="2268" w:right="0" w:firstLine="0"/>
      <w:spacing w:after="57"/>
    </w:pPr>
    <w:rPr>
      <w:rFonts w:hint="default" w:ascii="Times New Roman" w:hAnsi="Times New Roman" w:eastAsia="宋体" w:cs="Times New Roman"/>
    </w:rPr>
  </w:style>
  <w:style w:type="paragraph" w:styleId="902">
    <w:name w:val="Normal (Web)"/>
    <w:basedOn w:val="857"/>
    <w:uiPriority w:val="99"/>
    <w:semiHidden/>
    <w:unhideWhenUsed/>
    <w:qFormat/>
    <w:pPr>
      <w:ind w:left="0" w:right="0"/>
      <w:jc w:val="left"/>
      <w:spacing w:before="0" w:beforeAutospacing="0" w:after="0" w:afterAutospacing="0"/>
      <w:pBdr>
        <w:top w:val="none" w:color="auto" w:sz="0" w:space="0"/>
        <w:left w:val="none" w:color="auto" w:sz="0" w:space="0"/>
        <w:bottom w:val="none" w:color="auto" w:sz="0" w:space="0"/>
        <w:right w:val="none" w:color="auto" w:sz="0" w:space="0"/>
      </w:pBdr>
    </w:pPr>
    <w:rPr>
      <w:sz w:val="24"/>
      <w:lang w:val="en-US" w:eastAsia="zh-CN" w:bidi="ar"/>
    </w:rPr>
  </w:style>
  <w:style w:type="paragraph" w:styleId="903">
    <w:name w:val="Title"/>
    <w:link w:val="944"/>
    <w:uiPriority w:val="10"/>
    <w:qFormat/>
    <w:pPr>
      <w:contextualSpacing/>
      <w:spacing w:before="300" w:after="200"/>
    </w:pPr>
    <w:rPr>
      <w:rFonts w:hint="default" w:ascii="Times New Roman" w:hAnsi="Times New Roman" w:eastAsia="宋体" w:cs="Times New Roman"/>
      <w:sz w:val="48"/>
      <w:szCs w:val="48"/>
    </w:rPr>
  </w:style>
  <w:style w:type="paragraph" w:styleId="904">
    <w:name w:val="Body Text First Indent"/>
    <w:basedOn w:val="884"/>
    <w:next w:val="905"/>
    <w:uiPriority w:val="0"/>
    <w:qFormat/>
    <w:pPr>
      <w:ind w:firstLine="420"/>
    </w:pPr>
  </w:style>
  <w:style w:type="paragraph" w:styleId="905">
    <w:name w:val="Body Text First Indent 2"/>
    <w:basedOn w:val="885"/>
    <w:uiPriority w:val="0"/>
    <w:qFormat/>
    <w:pPr>
      <w:ind w:left="0" w:firstLine="420"/>
      <w:jc w:val="both"/>
      <w:spacing w:after="0" w:line="360" w:lineRule="auto"/>
      <w:widowControl w:val="off"/>
    </w:pPr>
    <w:rPr>
      <w:rFonts w:ascii="宋体" w:hAnsi="宋体" w:eastAsiaTheme="minorEastAsia"/>
    </w:rPr>
  </w:style>
  <w:style w:type="table" w:styleId="90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endnote reference"/>
    <w:uiPriority w:val="99"/>
    <w:semiHidden/>
    <w:unhideWhenUsed/>
    <w:qFormat/>
    <w:rPr>
      <w:vertAlign w:val="superscript"/>
    </w:rPr>
  </w:style>
  <w:style w:type="character" w:styleId="908">
    <w:name w:val="Hyperlink"/>
    <w:uiPriority w:val="99"/>
    <w:unhideWhenUsed/>
    <w:qFormat/>
    <w:rPr>
      <w:color w:val="0000ff" w:themeColor="hyperlink"/>
      <w:u w:val="single"/>
      <w14:textFill>
        <w14:solidFill>
          <w14:schemeClr w14:val="hlink"/>
        </w14:solidFill>
      </w14:textFill>
    </w:rPr>
  </w:style>
  <w:style w:type="character" w:styleId="909">
    <w:name w:val="annotation reference"/>
    <w:uiPriority w:val="0"/>
    <w:qFormat/>
    <w:rPr>
      <w:sz w:val="21"/>
      <w:szCs w:val="21"/>
    </w:rPr>
  </w:style>
  <w:style w:type="character" w:styleId="910">
    <w:name w:val="footnote reference"/>
    <w:uiPriority w:val="99"/>
    <w:unhideWhenUsed/>
    <w:qFormat/>
    <w:rPr>
      <w:vertAlign w:val="superscript"/>
    </w:rPr>
  </w:style>
  <w:style w:type="paragraph" w:styleId="911" w:customStyle="1">
    <w:name w:val="文本块12"/>
    <w:uiPriority w:val="6"/>
    <w:qFormat/>
    <w:pPr>
      <w:ind w:left="256" w:right="6" w:firstLine="624"/>
      <w:jc w:val="both"/>
      <w:widowControl w:val="off"/>
    </w:pPr>
    <w:rPr>
      <w:rFonts w:hint="default" w:ascii="Times New Roman" w:hAnsi="Times New Roman" w:eastAsia="仿宋" w:cs="Times New Roman"/>
      <w:sz w:val="28"/>
    </w:rPr>
  </w:style>
  <w:style w:type="paragraph" w:styleId="912" w:customStyle="1">
    <w:name w:val="一级条标题"/>
    <w:basedOn w:val="913"/>
    <w:next w:val="914"/>
    <w:link w:val="10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3" w:customStyle="1">
    <w:name w:val="章标题"/>
    <w:next w:val="879"/>
    <w:link w:val="1097"/>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14" w:customStyle="1">
    <w:name w:val="段"/>
    <w:basedOn w:val="915"/>
    <w:next w:val="879"/>
    <w:uiPriority w:val="0"/>
    <w:qFormat/>
    <w:pPr>
      <w:ind w:firstLine="200"/>
      <w:widowControl/>
    </w:pPr>
    <w:rPr>
      <w:rFonts w:ascii="宋体"/>
      <w:sz w:val="20"/>
      <w:szCs w:val="20"/>
    </w:rPr>
  </w:style>
  <w:style w:type="paragraph" w:styleId="915" w:customStyle="1">
    <w:name w:val="正文13"/>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正文首行缩进1"/>
    <w:basedOn w:val="872"/>
    <w:next w:val="917"/>
    <w:uiPriority w:val="0"/>
    <w:qFormat/>
    <w:pPr>
      <w:ind w:firstLine="200"/>
      <w:spacing w:line="360" w:lineRule="auto"/>
    </w:pPr>
    <w:rPr>
      <w:rFonts w:ascii="仿宋_GB2312" w:eastAsia="仿宋_GB2312"/>
      <w:sz w:val="30"/>
      <w:szCs w:val="30"/>
    </w:rPr>
  </w:style>
  <w:style w:type="paragraph" w:styleId="917" w:customStyle="1">
    <w:name w:val="正文首行缩进 211"/>
    <w:basedOn w:val="918"/>
    <w:next w:val="920"/>
    <w:uiPriority w:val="0"/>
    <w:qFormat/>
    <w:pPr>
      <w:ind w:firstLine="420"/>
      <w:tabs>
        <w:tab w:val="left" w:pos="0" w:leader="none"/>
        <w:tab w:val="left" w:pos="993" w:leader="none"/>
        <w:tab w:val="left" w:pos="1134" w:leader="none"/>
      </w:tabs>
    </w:pPr>
  </w:style>
  <w:style w:type="paragraph" w:styleId="918" w:customStyle="1">
    <w:name w:val="正文文本缩进11"/>
    <w:basedOn w:val="877"/>
    <w:next w:val="919"/>
    <w:uiPriority w:val="0"/>
    <w:qFormat/>
    <w:pPr>
      <w:ind w:firstLine="301"/>
      <w:spacing w:line="200" w:lineRule="exact"/>
    </w:pPr>
    <w:rPr>
      <w:rFonts w:ascii="宋体" w:hAnsi="Courier New"/>
      <w:spacing w:val="-4"/>
      <w:sz w:val="18"/>
      <w:szCs w:val="20"/>
    </w:rPr>
  </w:style>
  <w:style w:type="paragraph" w:styleId="919" w:customStyle="1">
    <w:name w:val="样式 正文文本缩进 + 首行缩进:  2 字符 行距: 1.5 倍行距"/>
    <w:basedOn w:val="869"/>
    <w:uiPriority w:val="0"/>
    <w:qFormat/>
    <w:pPr>
      <w:ind w:firstLine="645"/>
      <w:jc w:val="both"/>
      <w:spacing w:before="156" w:after="120"/>
    </w:pPr>
    <w:rPr>
      <w:rFonts w:ascii="Calibri" w:hAnsi="Calibri"/>
      <w:sz w:val="28"/>
      <w:lang w:val="en-US" w:eastAsia="zh-CN"/>
    </w:rPr>
  </w:style>
  <w:style w:type="paragraph" w:styleId="920" w:customStyle="1">
    <w:name w:val="正文112"/>
    <w:next w:val="916"/>
    <w:link w:val="12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目录 11"/>
    <w:basedOn w:val="877"/>
    <w:next w:val="870"/>
    <w:uiPriority w:val="0"/>
    <w:qFormat/>
    <w:pPr>
      <w:jc w:val="left"/>
      <w:spacing w:before="120" w:after="120"/>
    </w:pPr>
    <w:rPr>
      <w:rFonts w:ascii="Calibri" w:hAnsi="Calibri"/>
      <w:b/>
      <w:bCs/>
      <w:caps/>
      <w:sz w:val="20"/>
      <w:szCs w:val="20"/>
    </w:rPr>
  </w:style>
  <w:style w:type="paragraph" w:styleId="922" w:customStyle="1">
    <w:name w:val="脚注文本1"/>
    <w:basedOn w:val="879"/>
    <w:next w:val="923"/>
    <w:uiPriority w:val="0"/>
    <w:qFormat/>
    <w:pPr>
      <w:jc w:val="left"/>
    </w:pPr>
    <w:rPr>
      <w:rFonts w:ascii="宋体" w:eastAsia="Times New Roman"/>
      <w:sz w:val="18"/>
      <w:szCs w:val="18"/>
    </w:rPr>
  </w:style>
  <w:style w:type="paragraph" w:styleId="923" w:customStyle="1">
    <w:name w:val="索引 51"/>
    <w:basedOn w:val="872"/>
    <w:next w:val="879"/>
    <w:uiPriority w:val="0"/>
    <w:qFormat/>
    <w:pPr>
      <w:ind w:left="800"/>
    </w:pPr>
    <w:rPr>
      <w:rFonts w:ascii="Calibri" w:hAnsi="Calibri"/>
      <w:sz w:val="22"/>
      <w:szCs w:val="22"/>
    </w:rPr>
  </w:style>
  <w:style w:type="paragraph" w:styleId="924" w:customStyle="1">
    <w:name w:val="正文文本11"/>
    <w:basedOn w:val="920"/>
    <w:next w:val="914"/>
    <w:uiPriority w:val="0"/>
    <w:qFormat/>
    <w:pPr>
      <w:spacing w:after="120"/>
    </w:pPr>
  </w:style>
  <w:style w:type="paragraph" w:styleId="925" w:customStyle="1">
    <w:name w:val="正文首行缩进11"/>
    <w:basedOn w:val="926"/>
    <w:next w:val="917"/>
    <w:link w:val="1100"/>
    <w:uiPriority w:val="0"/>
    <w:qFormat/>
    <w:pPr>
      <w:ind w:firstLine="200"/>
      <w:spacing w:line="360" w:lineRule="auto"/>
    </w:pPr>
    <w:rPr>
      <w:rFonts w:ascii="仿宋_GB2312" w:hAnsi="Calibri" w:eastAsia="仿宋_GB2312"/>
      <w:sz w:val="30"/>
      <w:szCs w:val="30"/>
    </w:rPr>
  </w:style>
  <w:style w:type="paragraph" w:styleId="926" w:customStyle="1">
    <w:name w:val="正文文本1"/>
    <w:basedOn w:val="915"/>
    <w:next w:val="879"/>
    <w:link w:val="1096"/>
    <w:uiPriority w:val="0"/>
    <w:qFormat/>
    <w:rPr>
      <w:rFonts w:ascii="楷体_GB2312" w:hAnsi="Arial" w:eastAsia="楷体_GB2312"/>
      <w:sz w:val="28"/>
      <w:szCs w:val="28"/>
    </w:rPr>
  </w:style>
  <w:style w:type="paragraph" w:styleId="927" w:customStyle="1">
    <w:name w:val="寄信人地址11"/>
    <w:basedOn w:val="857"/>
    <w:uiPriority w:val="0"/>
    <w:qFormat/>
    <w:rPr>
      <w:rFonts w:ascii="Arial" w:hAnsi="Arial"/>
    </w:rPr>
  </w:style>
  <w:style w:type="paragraph" w:styleId="928" w:customStyle="1">
    <w:name w:val="正文首行缩进 21"/>
    <w:basedOn w:val="869"/>
    <w:uiPriority w:val="0"/>
    <w:qFormat/>
    <w:pPr>
      <w:ind w:left="0" w:firstLine="420"/>
      <w:spacing w:after="0" w:line="360" w:lineRule="auto"/>
    </w:pPr>
    <w:rPr>
      <w:rFonts w:ascii="宋体" w:hAnsi="宋体"/>
    </w:rPr>
  </w:style>
  <w:style w:type="paragraph" w:styleId="929" w:customStyle="1">
    <w:name w:val="文本块11"/>
    <w:basedOn w:val="930"/>
    <w:uiPriority w:val="0"/>
    <w:qFormat/>
    <w:pPr>
      <w:ind w:left="256" w:right="6" w:firstLine="624"/>
    </w:pPr>
    <w:rPr>
      <w:rFonts w:ascii="Arial" w:hAnsi="Arial" w:eastAsia="仿宋"/>
      <w:sz w:val="28"/>
    </w:rPr>
  </w:style>
  <w:style w:type="paragraph" w:styleId="930" w:customStyle="1">
    <w:name w:val="正文121"/>
    <w:next w:val="917"/>
    <w:uiPriority w:val="0"/>
    <w:qFormat/>
    <w:pPr>
      <w:jc w:val="both"/>
      <w:widowControl w:val="off"/>
    </w:pPr>
    <w:rPr>
      <w:rFonts w:hint="default" w:ascii="Times New Roman" w:hAnsi="Times New Roman" w:eastAsia="宋体" w:cs="Times New Roman"/>
      <w:sz w:val="21"/>
      <w:szCs w:val="24"/>
    </w:rPr>
  </w:style>
  <w:style w:type="paragraph" w:styleId="931" w:customStyle="1">
    <w:name w:val="正文文本缩进111"/>
    <w:basedOn w:val="930"/>
    <w:next w:val="919"/>
    <w:uiPriority w:val="0"/>
    <w:qFormat/>
    <w:pPr>
      <w:ind w:firstLine="538"/>
      <w:jc w:val="left"/>
    </w:pPr>
    <w:rPr>
      <w:sz w:val="28"/>
      <w:lang w:val="en-US" w:eastAsia="en-US"/>
    </w:rPr>
  </w:style>
  <w:style w:type="paragraph" w:styleId="932" w:customStyle="1">
    <w:name w:val="标题 111"/>
    <w:basedOn w:val="870"/>
    <w:next w:val="870"/>
    <w:uiPriority w:val="0"/>
    <w:qFormat/>
    <w:pPr>
      <w:jc w:val="center"/>
      <w:keepLines/>
      <w:keepNext/>
      <w:spacing w:line="578" w:lineRule="auto"/>
      <w:outlineLvl w:val="0"/>
    </w:pPr>
    <w:rPr>
      <w:rFonts w:eastAsia="新宋体"/>
      <w:b/>
      <w:bCs/>
      <w:sz w:val="30"/>
      <w:szCs w:val="44"/>
    </w:rPr>
  </w:style>
  <w:style w:type="character" w:styleId="933" w:customStyle="1">
    <w:name w:val="Heading 1 Char"/>
    <w:link w:val="858"/>
    <w:uiPriority w:val="9"/>
    <w:qFormat/>
    <w:rPr>
      <w:rFonts w:ascii="Arial" w:hAnsi="Arial" w:eastAsia="Arial" w:cs="Arial"/>
      <w:sz w:val="40"/>
      <w:szCs w:val="40"/>
    </w:rPr>
  </w:style>
  <w:style w:type="character" w:styleId="934" w:customStyle="1">
    <w:name w:val="Heading 2 Char"/>
    <w:link w:val="859"/>
    <w:uiPriority w:val="9"/>
    <w:qFormat/>
    <w:rPr>
      <w:rFonts w:ascii="Arial" w:hAnsi="Arial" w:eastAsia="Arial" w:cs="Arial"/>
      <w:sz w:val="34"/>
    </w:rPr>
  </w:style>
  <w:style w:type="character" w:styleId="935" w:customStyle="1">
    <w:name w:val="Heading 3 Char"/>
    <w:link w:val="860"/>
    <w:uiPriority w:val="9"/>
    <w:qFormat/>
    <w:rPr>
      <w:rFonts w:ascii="Arial" w:hAnsi="Arial" w:eastAsia="Arial" w:cs="Arial"/>
      <w:sz w:val="30"/>
      <w:szCs w:val="30"/>
    </w:rPr>
  </w:style>
  <w:style w:type="character" w:styleId="936" w:customStyle="1">
    <w:name w:val="Heading 4 Char"/>
    <w:link w:val="861"/>
    <w:uiPriority w:val="9"/>
    <w:qFormat/>
    <w:rPr>
      <w:rFonts w:ascii="Arial" w:hAnsi="Arial" w:eastAsia="Arial" w:cs="Arial"/>
      <w:b/>
      <w:bCs/>
      <w:sz w:val="26"/>
      <w:szCs w:val="26"/>
    </w:rPr>
  </w:style>
  <w:style w:type="character" w:styleId="937" w:customStyle="1">
    <w:name w:val="Heading 5 Char"/>
    <w:link w:val="862"/>
    <w:uiPriority w:val="9"/>
    <w:qFormat/>
    <w:rPr>
      <w:rFonts w:ascii="Arial" w:hAnsi="Arial" w:eastAsia="Arial" w:cs="Arial"/>
      <w:b/>
      <w:bCs/>
      <w:sz w:val="24"/>
      <w:szCs w:val="24"/>
    </w:rPr>
  </w:style>
  <w:style w:type="character" w:styleId="938" w:customStyle="1">
    <w:name w:val="Heading 6 Char"/>
    <w:link w:val="863"/>
    <w:uiPriority w:val="9"/>
    <w:qFormat/>
    <w:rPr>
      <w:rFonts w:ascii="Arial" w:hAnsi="Arial" w:eastAsia="Arial" w:cs="Arial"/>
      <w:b/>
      <w:bCs/>
      <w:sz w:val="22"/>
      <w:szCs w:val="22"/>
    </w:rPr>
  </w:style>
  <w:style w:type="character" w:styleId="939" w:customStyle="1">
    <w:name w:val="Heading 7 Char"/>
    <w:link w:val="864"/>
    <w:uiPriority w:val="9"/>
    <w:qFormat/>
    <w:rPr>
      <w:rFonts w:ascii="Arial" w:hAnsi="Arial" w:eastAsia="Arial" w:cs="Arial"/>
      <w:b/>
      <w:bCs/>
      <w:i/>
      <w:iCs/>
      <w:sz w:val="22"/>
      <w:szCs w:val="22"/>
    </w:rPr>
  </w:style>
  <w:style w:type="character" w:styleId="940" w:customStyle="1">
    <w:name w:val="Heading 8 Char"/>
    <w:link w:val="865"/>
    <w:uiPriority w:val="9"/>
    <w:qFormat/>
    <w:rPr>
      <w:rFonts w:ascii="Arial" w:hAnsi="Arial" w:eastAsia="Arial" w:cs="Arial"/>
      <w:i/>
      <w:iCs/>
      <w:sz w:val="22"/>
      <w:szCs w:val="22"/>
    </w:rPr>
  </w:style>
  <w:style w:type="character" w:styleId="941" w:customStyle="1">
    <w:name w:val="Heading 9 Char"/>
    <w:link w:val="866"/>
    <w:uiPriority w:val="9"/>
    <w:qFormat/>
    <w:rPr>
      <w:rFonts w:ascii="Arial" w:hAnsi="Arial" w:eastAsia="Arial" w:cs="Arial"/>
      <w:i/>
      <w:iCs/>
      <w:sz w:val="21"/>
      <w:szCs w:val="21"/>
    </w:rPr>
  </w:style>
  <w:style w:type="paragraph" w:styleId="942">
    <w:name w:val="List Paragraph"/>
    <w:uiPriority w:val="34"/>
    <w:qFormat/>
    <w:pPr>
      <w:contextualSpacing/>
      <w:ind w:left="720"/>
    </w:pPr>
    <w:rPr>
      <w:rFonts w:hint="default" w:ascii="Times New Roman" w:hAnsi="Times New Roman" w:eastAsia="宋体" w:cs="Times New Roman"/>
    </w:r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Title Char"/>
    <w:link w:val="903"/>
    <w:uiPriority w:val="10"/>
    <w:qFormat/>
    <w:rPr>
      <w:sz w:val="48"/>
      <w:szCs w:val="48"/>
    </w:rPr>
  </w:style>
  <w:style w:type="character" w:styleId="945" w:customStyle="1">
    <w:name w:val="Subtitle Char"/>
    <w:link w:val="896"/>
    <w:uiPriority w:val="11"/>
    <w:qFormat/>
    <w:rPr>
      <w:sz w:val="24"/>
      <w:szCs w:val="24"/>
    </w:rPr>
  </w:style>
  <w:style w:type="paragraph" w:styleId="946">
    <w:name w:val="Quote"/>
    <w:link w:val="947"/>
    <w:uiPriority w:val="29"/>
    <w:qFormat/>
    <w:pPr>
      <w:ind w:left="720" w:right="720"/>
    </w:pPr>
    <w:rPr>
      <w:rFonts w:hint="default" w:ascii="Times New Roman" w:hAnsi="Times New Roman" w:eastAsia="宋体" w:cs="Times New Roman"/>
      <w:i/>
    </w:rPr>
  </w:style>
  <w:style w:type="character" w:styleId="947" w:customStyle="1">
    <w:name w:val="Quote Char"/>
    <w:link w:val="946"/>
    <w:uiPriority w:val="29"/>
    <w:qFormat/>
    <w:rPr>
      <w:i/>
    </w:rPr>
  </w:style>
  <w:style w:type="paragraph" w:styleId="948">
    <w:name w:val="Intense Quote"/>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949" w:customStyle="1">
    <w:name w:val="Intense Quote Char"/>
    <w:link w:val="948"/>
    <w:uiPriority w:val="30"/>
    <w:qFormat/>
    <w:rPr>
      <w:i/>
    </w:rPr>
  </w:style>
  <w:style w:type="character" w:styleId="950" w:customStyle="1">
    <w:name w:val="Header Char"/>
    <w:link w:val="893"/>
    <w:uiPriority w:val="99"/>
    <w:qFormat/>
  </w:style>
  <w:style w:type="character" w:styleId="951" w:customStyle="1">
    <w:name w:val="Footer Char"/>
    <w:link w:val="892"/>
    <w:uiPriority w:val="99"/>
    <w:qFormat/>
  </w:style>
  <w:style w:type="character" w:styleId="952" w:customStyle="1">
    <w:name w:val="Caption Char"/>
    <w:link w:val="892"/>
    <w:uiPriority w:val="99"/>
    <w:qFormat/>
  </w:style>
  <w:style w:type="table" w:styleId="9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8" w:customStyle="1">
    <w:name w:val="Footnote Text Char"/>
    <w:link w:val="897"/>
    <w:uiPriority w:val="99"/>
    <w:qFormat/>
    <w:rPr>
      <w:sz w:val="18"/>
    </w:rPr>
  </w:style>
  <w:style w:type="character" w:styleId="1079" w:customStyle="1">
    <w:name w:val="Endnote Text Char"/>
    <w:link w:val="891"/>
    <w:uiPriority w:val="99"/>
    <w:qFormat/>
    <w:rPr>
      <w:sz w:val="20"/>
    </w:rPr>
  </w:style>
  <w:style w:type="paragraph" w:styleId="1080" w:customStyle="1">
    <w:name w:val="TOC Heading"/>
    <w:uiPriority w:val="39"/>
    <w:unhideWhenUsed/>
    <w:qFormat/>
    <w:rPr>
      <w:rFonts w:hint="default" w:ascii="Times New Roman" w:hAnsi="Times New Roman" w:eastAsia="宋体" w:cs="Times New Roman"/>
    </w:rPr>
  </w:style>
  <w:style w:type="paragraph" w:styleId="1081" w:customStyle="1">
    <w:name w:val="正文文本12"/>
    <w:basedOn w:val="920"/>
    <w:next w:val="873"/>
    <w:uiPriority w:val="0"/>
    <w:qFormat/>
    <w:pPr>
      <w:spacing w:after="120"/>
    </w:pPr>
  </w:style>
  <w:style w:type="paragraph" w:styleId="1082" w:customStyle="1">
    <w:name w:val="正文首行缩进 22"/>
    <w:basedOn w:val="1083"/>
    <w:next w:val="920"/>
    <w:uiPriority w:val="0"/>
    <w:qFormat/>
    <w:pPr>
      <w:ind w:left="0" w:firstLine="420"/>
      <w:spacing w:after="0" w:line="360" w:lineRule="auto"/>
    </w:pPr>
    <w:rPr>
      <w:rFonts w:ascii="宋体" w:hAnsi="宋体"/>
      <w:sz w:val="20"/>
      <w:szCs w:val="20"/>
    </w:rPr>
  </w:style>
  <w:style w:type="paragraph" w:styleId="1083" w:customStyle="1">
    <w:name w:val="正文文本缩进2"/>
    <w:basedOn w:val="920"/>
    <w:link w:val="1101"/>
    <w:uiPriority w:val="0"/>
    <w:qFormat/>
    <w:pPr>
      <w:ind w:left="420"/>
      <w:spacing w:after="120"/>
    </w:pPr>
  </w:style>
  <w:style w:type="paragraph" w:styleId="1084" w:customStyle="1">
    <w:name w:val="列出段落1"/>
    <w:basedOn w:val="1085"/>
    <w:next w:val="1086"/>
    <w:link w:val="1165"/>
    <w:uiPriority w:val="0"/>
    <w:qFormat/>
    <w:pPr>
      <w:ind w:left="480"/>
      <w:jc w:val="left"/>
    </w:pPr>
    <w:rPr>
      <w:rFonts w:eastAsia="PMingLiU"/>
      <w:sz w:val="24"/>
      <w:szCs w:val="20"/>
      <w:lang w:eastAsia="zh-TW"/>
    </w:rPr>
  </w:style>
  <w:style w:type="paragraph" w:styleId="1085" w:customStyle="1">
    <w:name w:val="正文_10_4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标题 71"/>
    <w:basedOn w:val="920"/>
    <w:next w:val="920"/>
    <w:link w:val="1109"/>
    <w:uiPriority w:val="0"/>
    <w:qFormat/>
    <w:pPr>
      <w:numPr>
        <w:ilvl w:val="6"/>
        <w:numId w:val="2"/>
      </w:numPr>
      <w:keepLines/>
      <w:keepNext/>
      <w:spacing w:before="240" w:after="64" w:line="320" w:lineRule="auto"/>
      <w:outlineLvl w:val="6"/>
    </w:pPr>
    <w:rPr>
      <w:b/>
      <w:bCs/>
      <w:sz w:val="24"/>
    </w:rPr>
  </w:style>
  <w:style w:type="paragraph" w:styleId="1087" w:customStyle="1">
    <w:name w:val="标题 11"/>
    <w:basedOn w:val="872"/>
    <w:next w:val="872"/>
    <w:link w:val="1102"/>
    <w:uiPriority w:val="0"/>
    <w:qFormat/>
    <w:pPr>
      <w:keepLines/>
      <w:keepNext/>
      <w:spacing w:before="340" w:after="330" w:line="578" w:lineRule="atLeast"/>
      <w:outlineLvl w:val="0"/>
    </w:pPr>
    <w:rPr>
      <w:rFonts w:eastAsia="方正仿宋_GBK"/>
      <w:b/>
      <w:sz w:val="44"/>
      <w:szCs w:val="20"/>
    </w:rPr>
  </w:style>
  <w:style w:type="paragraph" w:styleId="1088" w:customStyle="1">
    <w:name w:val="标题 31"/>
    <w:basedOn w:val="920"/>
    <w:next w:val="870"/>
    <w:link w:val="1104"/>
    <w:uiPriority w:val="0"/>
    <w:qFormat/>
    <w:pPr>
      <w:keepLines/>
      <w:keepNext/>
      <w:spacing w:before="260" w:after="260" w:line="416" w:lineRule="auto"/>
      <w:outlineLvl w:val="2"/>
    </w:pPr>
    <w:rPr>
      <w:b/>
      <w:bCs/>
      <w:sz w:val="24"/>
      <w:szCs w:val="32"/>
    </w:rPr>
  </w:style>
  <w:style w:type="paragraph" w:styleId="1089" w:customStyle="1">
    <w:name w:val="正文缩进1"/>
    <w:basedOn w:val="920"/>
    <w:link w:val="1105"/>
    <w:uiPriority w:val="0"/>
    <w:qFormat/>
    <w:pPr>
      <w:ind w:firstLine="420"/>
    </w:pPr>
  </w:style>
  <w:style w:type="paragraph" w:styleId="1090" w:customStyle="1">
    <w:name w:val="标题 51"/>
    <w:basedOn w:val="920"/>
    <w:next w:val="920"/>
    <w:link w:val="1107"/>
    <w:uiPriority w:val="0"/>
    <w:qFormat/>
    <w:pPr>
      <w:keepLines/>
      <w:keepNext/>
      <w:spacing w:before="280" w:after="290" w:line="376" w:lineRule="auto"/>
      <w:outlineLvl w:val="4"/>
    </w:pPr>
    <w:rPr>
      <w:b/>
      <w:bCs/>
      <w:sz w:val="28"/>
      <w:szCs w:val="28"/>
    </w:rPr>
  </w:style>
  <w:style w:type="paragraph" w:styleId="1091" w:customStyle="1">
    <w:name w:val="标题 61"/>
    <w:basedOn w:val="920"/>
    <w:next w:val="920"/>
    <w:link w:val="1108"/>
    <w:uiPriority w:val="0"/>
    <w:qFormat/>
    <w:pPr>
      <w:numPr>
        <w:ilvl w:val="5"/>
        <w:numId w:val="2"/>
      </w:numPr>
      <w:keepLines/>
      <w:keepNext/>
      <w:spacing w:before="240" w:after="64" w:line="320" w:lineRule="auto"/>
      <w:outlineLvl w:val="5"/>
    </w:pPr>
    <w:rPr>
      <w:rFonts w:ascii="Arial" w:hAnsi="Arial" w:eastAsia="黑体"/>
      <w:b/>
      <w:bCs/>
      <w:sz w:val="24"/>
    </w:rPr>
  </w:style>
  <w:style w:type="paragraph" w:styleId="1092" w:customStyle="1">
    <w:name w:val="标题 81"/>
    <w:basedOn w:val="920"/>
    <w:next w:val="920"/>
    <w:link w:val="1110"/>
    <w:uiPriority w:val="0"/>
    <w:qFormat/>
    <w:pPr>
      <w:numPr>
        <w:ilvl w:val="7"/>
        <w:numId w:val="2"/>
      </w:numPr>
      <w:keepLines/>
      <w:keepNext/>
      <w:spacing w:before="240" w:after="64" w:line="320" w:lineRule="auto"/>
      <w:outlineLvl w:val="7"/>
    </w:pPr>
    <w:rPr>
      <w:rFonts w:ascii="Arial" w:hAnsi="Arial" w:eastAsia="黑体"/>
      <w:sz w:val="24"/>
    </w:rPr>
  </w:style>
  <w:style w:type="paragraph" w:styleId="1093" w:customStyle="1">
    <w:name w:val="标题 91"/>
    <w:basedOn w:val="920"/>
    <w:next w:val="920"/>
    <w:link w:val="1111"/>
    <w:uiPriority w:val="0"/>
    <w:qFormat/>
    <w:pPr>
      <w:numPr>
        <w:ilvl w:val="8"/>
        <w:numId w:val="2"/>
      </w:numPr>
      <w:keepLines/>
      <w:keepNext/>
      <w:spacing w:before="240" w:after="64" w:line="320" w:lineRule="auto"/>
      <w:outlineLvl w:val="8"/>
    </w:pPr>
    <w:rPr>
      <w:rFonts w:ascii="Arial" w:hAnsi="Arial" w:eastAsia="黑体"/>
      <w:sz w:val="21"/>
      <w:szCs w:val="21"/>
    </w:rPr>
  </w:style>
  <w:style w:type="character" w:styleId="1094" w:customStyle="1">
    <w:name w:val="默认段落字体1"/>
    <w:link w:val="920"/>
    <w:uiPriority w:val="0"/>
    <w:semiHidden/>
    <w:qFormat/>
  </w:style>
  <w:style w:type="table" w:styleId="1095" w:customStyle="1">
    <w:name w:val="普通表格1"/>
    <w:uiPriority w:val="0"/>
    <w:semiHidden/>
    <w:qFormat/>
    <w:tblPr/>
  </w:style>
  <w:style w:type="character" w:styleId="1096" w:customStyle="1">
    <w:name w:val="正文文本 Char"/>
    <w:link w:val="926"/>
    <w:uiPriority w:val="0"/>
    <w:qFormat/>
    <w:rPr>
      <w:rFonts w:ascii="楷体_GB2312" w:hAnsi="Arial" w:eastAsia="楷体_GB2312"/>
      <w:sz w:val="28"/>
      <w:szCs w:val="28"/>
      <w:lang w:bidi="ar-SA"/>
    </w:rPr>
  </w:style>
  <w:style w:type="character" w:styleId="1097" w:customStyle="1">
    <w:name w:val="章标题 Char"/>
    <w:link w:val="913"/>
    <w:uiPriority w:val="0"/>
    <w:qFormat/>
    <w:rPr>
      <w:rFonts w:ascii="黑体" w:eastAsia="黑体"/>
      <w:sz w:val="21"/>
      <w:szCs w:val="22"/>
      <w:lang w:val="en-US" w:eastAsia="zh-CN" w:bidi="ar-SA"/>
    </w:rPr>
  </w:style>
  <w:style w:type="character" w:styleId="1098" w:customStyle="1">
    <w:name w:val="一级条标题 Char"/>
    <w:link w:val="912"/>
    <w:uiPriority w:val="0"/>
    <w:qFormat/>
    <w:rPr>
      <w:rFonts w:ascii="黑体" w:hAnsi="宋体" w:eastAsia="黑体"/>
      <w:lang w:bidi="ar-SA"/>
    </w:rPr>
  </w:style>
  <w:style w:type="character" w:styleId="1099" w:customStyle="1">
    <w:name w:val="正文1 Char"/>
    <w:link w:val="879"/>
    <w:uiPriority w:val="0"/>
    <w:qFormat/>
    <w:rPr>
      <w:rFonts w:ascii="宋体"/>
      <w:sz w:val="24"/>
      <w:lang w:bidi="ar-SA"/>
    </w:rPr>
  </w:style>
  <w:style w:type="character" w:styleId="1100" w:customStyle="1">
    <w:name w:val="正文首行缩进 Char"/>
    <w:link w:val="925"/>
    <w:uiPriority w:val="0"/>
    <w:qFormat/>
    <w:rPr>
      <w:rFonts w:ascii="仿宋_GB2312" w:eastAsia="仿宋_GB2312"/>
      <w:sz w:val="30"/>
      <w:szCs w:val="30"/>
      <w:lang w:bidi="ar-SA"/>
    </w:rPr>
  </w:style>
  <w:style w:type="character" w:styleId="1101" w:customStyle="1">
    <w:name w:val="正文文本缩进 Char"/>
    <w:link w:val="1083"/>
    <w:uiPriority w:val="0"/>
    <w:qFormat/>
    <w:rPr>
      <w:sz w:val="21"/>
      <w:szCs w:val="24"/>
    </w:rPr>
  </w:style>
  <w:style w:type="character" w:styleId="1102" w:customStyle="1">
    <w:name w:val="标题 1 Char"/>
    <w:link w:val="1087"/>
    <w:uiPriority w:val="0"/>
    <w:qFormat/>
    <w:rPr>
      <w:rFonts w:eastAsia="方正仿宋_GBK"/>
      <w:b/>
      <w:sz w:val="44"/>
      <w:lang w:val="en-US" w:eastAsia="zh-CN" w:bidi="ar-SA"/>
    </w:rPr>
  </w:style>
  <w:style w:type="character" w:styleId="1103" w:customStyle="1">
    <w:name w:val="标题 2 Char"/>
    <w:link w:val="878"/>
    <w:uiPriority w:val="0"/>
    <w:qFormat/>
    <w:rPr>
      <w:rFonts w:ascii="Cambria" w:hAnsi="Cambria"/>
      <w:b/>
      <w:bCs/>
      <w:sz w:val="28"/>
      <w:szCs w:val="32"/>
    </w:rPr>
  </w:style>
  <w:style w:type="character" w:styleId="1104" w:customStyle="1">
    <w:name w:val="标题 3 Char"/>
    <w:link w:val="1088"/>
    <w:uiPriority w:val="0"/>
    <w:qFormat/>
    <w:rPr>
      <w:rFonts w:eastAsia="宋体"/>
      <w:b/>
      <w:bCs/>
      <w:sz w:val="24"/>
      <w:szCs w:val="32"/>
      <w:lang w:val="en-US" w:eastAsia="zh-CN" w:bidi="ar-SA"/>
    </w:rPr>
  </w:style>
  <w:style w:type="character" w:styleId="1105" w:customStyle="1">
    <w:name w:val="正文缩进 Char"/>
    <w:link w:val="1089"/>
    <w:uiPriority w:val="0"/>
    <w:qFormat/>
    <w:rPr>
      <w:rFonts w:eastAsia="宋体"/>
      <w:sz w:val="21"/>
      <w:szCs w:val="24"/>
      <w:lang w:val="en-US" w:eastAsia="zh-CN" w:bidi="ar-SA"/>
    </w:rPr>
  </w:style>
  <w:style w:type="character" w:styleId="1106" w:customStyle="1">
    <w:name w:val="标题 4 Char"/>
    <w:link w:val="873"/>
    <w:uiPriority w:val="0"/>
    <w:qFormat/>
    <w:rPr>
      <w:rFonts w:ascii="Cambria" w:hAnsi="Cambria" w:eastAsia="宋体"/>
      <w:b/>
      <w:bCs/>
      <w:sz w:val="28"/>
      <w:szCs w:val="28"/>
      <w:lang w:val="en-US" w:eastAsia="zh-CN" w:bidi="ar-SA"/>
    </w:rPr>
  </w:style>
  <w:style w:type="character" w:styleId="1107" w:customStyle="1">
    <w:name w:val="标题 5 Char"/>
    <w:link w:val="1090"/>
    <w:uiPriority w:val="0"/>
    <w:qFormat/>
    <w:rPr>
      <w:rFonts w:eastAsia="宋体"/>
      <w:b/>
      <w:bCs/>
      <w:sz w:val="28"/>
      <w:szCs w:val="28"/>
      <w:lang w:val="en-US" w:eastAsia="zh-CN" w:bidi="ar-SA"/>
    </w:rPr>
  </w:style>
  <w:style w:type="character" w:styleId="1108" w:customStyle="1">
    <w:name w:val="标题 6 Char"/>
    <w:link w:val="1091"/>
    <w:uiPriority w:val="0"/>
    <w:qFormat/>
    <w:rPr>
      <w:rFonts w:ascii="Arial" w:hAnsi="Arial" w:eastAsia="黑体"/>
      <w:b/>
      <w:bCs/>
      <w:sz w:val="24"/>
      <w:szCs w:val="24"/>
    </w:rPr>
  </w:style>
  <w:style w:type="character" w:styleId="1109" w:customStyle="1">
    <w:name w:val="标题 7 Char"/>
    <w:link w:val="1086"/>
    <w:uiPriority w:val="0"/>
    <w:qFormat/>
    <w:rPr>
      <w:b/>
      <w:bCs/>
      <w:sz w:val="24"/>
      <w:szCs w:val="24"/>
    </w:rPr>
  </w:style>
  <w:style w:type="character" w:styleId="1110" w:customStyle="1">
    <w:name w:val="标题 8 Char"/>
    <w:link w:val="1092"/>
    <w:uiPriority w:val="0"/>
    <w:qFormat/>
    <w:rPr>
      <w:rFonts w:ascii="Arial" w:hAnsi="Arial" w:eastAsia="黑体"/>
      <w:sz w:val="24"/>
      <w:szCs w:val="24"/>
    </w:rPr>
  </w:style>
  <w:style w:type="character" w:styleId="1111" w:customStyle="1">
    <w:name w:val="标题 9 Char"/>
    <w:link w:val="1093"/>
    <w:uiPriority w:val="0"/>
    <w:qFormat/>
    <w:rPr>
      <w:rFonts w:ascii="Arial" w:hAnsi="Arial" w:eastAsia="黑体"/>
      <w:sz w:val="21"/>
      <w:szCs w:val="21"/>
    </w:rPr>
  </w:style>
  <w:style w:type="paragraph" w:styleId="1112" w:customStyle="1">
    <w:name w:val="列表 31"/>
    <w:basedOn w:val="920"/>
    <w:link w:val="1113"/>
    <w:uiPriority w:val="0"/>
    <w:qFormat/>
    <w:pPr>
      <w:ind w:left="100" w:hanging="200"/>
    </w:pPr>
    <w:rPr>
      <w:bCs/>
      <w:sz w:val="24"/>
      <w:szCs w:val="32"/>
    </w:rPr>
  </w:style>
  <w:style w:type="character" w:styleId="1113" w:customStyle="1">
    <w:name w:val="列表 3 Char"/>
    <w:link w:val="1112"/>
    <w:uiPriority w:val="0"/>
    <w:qFormat/>
    <w:rPr>
      <w:rFonts w:eastAsia="宋体"/>
      <w:bCs/>
      <w:sz w:val="24"/>
      <w:szCs w:val="32"/>
      <w:lang w:val="en-US" w:eastAsia="zh-CN" w:bidi="ar-SA"/>
    </w:rPr>
  </w:style>
  <w:style w:type="paragraph" w:styleId="1114" w:customStyle="1">
    <w:name w:val="目录 71"/>
    <w:basedOn w:val="920"/>
    <w:next w:val="920"/>
    <w:uiPriority w:val="0"/>
    <w:qFormat/>
    <w:pPr>
      <w:ind w:left="1260"/>
      <w:jc w:val="left"/>
    </w:pPr>
    <w:rPr>
      <w:rFonts w:ascii="Calibri" w:hAnsi="Calibri"/>
      <w:sz w:val="18"/>
      <w:szCs w:val="18"/>
    </w:rPr>
  </w:style>
  <w:style w:type="paragraph" w:styleId="1115" w:customStyle="1">
    <w:name w:val="文档结构图1"/>
    <w:basedOn w:val="920"/>
    <w:link w:val="1116"/>
    <w:uiPriority w:val="0"/>
    <w:qFormat/>
    <w:rPr>
      <w:rFonts w:ascii="宋体"/>
      <w:sz w:val="18"/>
      <w:szCs w:val="18"/>
    </w:rPr>
  </w:style>
  <w:style w:type="character" w:styleId="1116" w:customStyle="1">
    <w:name w:val="文档结构图 Char"/>
    <w:link w:val="1115"/>
    <w:uiPriority w:val="0"/>
    <w:semiHidden/>
    <w:qFormat/>
    <w:rPr>
      <w:rFonts w:ascii="宋体" w:eastAsia="宋体"/>
      <w:sz w:val="18"/>
      <w:szCs w:val="18"/>
      <w:lang w:val="en-US" w:eastAsia="zh-CN" w:bidi="ar-SA"/>
    </w:rPr>
  </w:style>
  <w:style w:type="paragraph" w:styleId="1117" w:customStyle="1">
    <w:name w:val="批注文字1"/>
    <w:basedOn w:val="920"/>
    <w:link w:val="1118"/>
    <w:uiPriority w:val="0"/>
    <w:qFormat/>
    <w:pPr>
      <w:jc w:val="left"/>
    </w:pPr>
  </w:style>
  <w:style w:type="character" w:styleId="1118" w:customStyle="1">
    <w:name w:val="批注文字 Char"/>
    <w:link w:val="1117"/>
    <w:uiPriority w:val="0"/>
    <w:qFormat/>
    <w:rPr>
      <w:rFonts w:eastAsia="宋体"/>
      <w:sz w:val="21"/>
      <w:szCs w:val="24"/>
      <w:lang w:val="en-US" w:eastAsia="zh-CN" w:bidi="ar-SA"/>
    </w:rPr>
  </w:style>
  <w:style w:type="paragraph" w:styleId="1119" w:customStyle="1">
    <w:name w:val="正文文本 31"/>
    <w:basedOn w:val="920"/>
    <w:link w:val="1120"/>
    <w:uiPriority w:val="0"/>
    <w:qFormat/>
    <w:rPr>
      <w:rFonts w:ascii="仿宋_GB2312" w:hAnsi="Arial" w:eastAsia="仿宋_GB2312"/>
      <w:sz w:val="32"/>
      <w:szCs w:val="32"/>
    </w:rPr>
  </w:style>
  <w:style w:type="character" w:styleId="1120" w:customStyle="1">
    <w:name w:val="正文文本 3 Char"/>
    <w:link w:val="1119"/>
    <w:uiPriority w:val="0"/>
    <w:qFormat/>
    <w:rPr>
      <w:rFonts w:ascii="仿宋_GB2312" w:hAnsi="Arial" w:eastAsia="仿宋_GB2312"/>
      <w:sz w:val="32"/>
      <w:szCs w:val="32"/>
      <w:lang w:bidi="ar-SA"/>
    </w:rPr>
  </w:style>
  <w:style w:type="paragraph" w:styleId="1121" w:customStyle="1">
    <w:name w:val="HTML 地址1"/>
    <w:basedOn w:val="920"/>
    <w:link w:val="1122"/>
    <w:uiPriority w:val="0"/>
    <w:qFormat/>
    <w:rPr>
      <w:rFonts w:ascii="宋体"/>
      <w:i/>
      <w:iCs/>
      <w:sz w:val="20"/>
      <w:szCs w:val="21"/>
    </w:rPr>
  </w:style>
  <w:style w:type="character" w:styleId="1122" w:customStyle="1">
    <w:name w:val="HTML 地址 Char"/>
    <w:link w:val="1121"/>
    <w:uiPriority w:val="0"/>
    <w:qFormat/>
    <w:rPr>
      <w:rFonts w:ascii="宋体"/>
      <w:i/>
      <w:iCs/>
      <w:sz w:val="21"/>
      <w:szCs w:val="21"/>
      <w:lang w:bidi="ar-SA"/>
    </w:rPr>
  </w:style>
  <w:style w:type="paragraph" w:styleId="1123" w:customStyle="1">
    <w:name w:val="目录 51"/>
    <w:basedOn w:val="920"/>
    <w:next w:val="920"/>
    <w:uiPriority w:val="0"/>
    <w:qFormat/>
    <w:pPr>
      <w:ind w:left="840"/>
      <w:jc w:val="left"/>
    </w:pPr>
    <w:rPr>
      <w:rFonts w:ascii="Calibri" w:hAnsi="Calibri"/>
      <w:sz w:val="18"/>
      <w:szCs w:val="18"/>
    </w:rPr>
  </w:style>
  <w:style w:type="paragraph" w:styleId="1124" w:customStyle="1">
    <w:name w:val="目录 31"/>
    <w:basedOn w:val="920"/>
    <w:next w:val="920"/>
    <w:uiPriority w:val="0"/>
    <w:qFormat/>
    <w:pPr>
      <w:ind w:left="840"/>
    </w:pPr>
  </w:style>
  <w:style w:type="paragraph" w:styleId="1125" w:customStyle="1">
    <w:name w:val="纯文本1"/>
    <w:basedOn w:val="920"/>
    <w:link w:val="1126"/>
    <w:uiPriority w:val="0"/>
    <w:qFormat/>
    <w:rPr>
      <w:rFonts w:ascii="宋体" w:hAnsi="Courier New"/>
      <w:sz w:val="21"/>
      <w:szCs w:val="21"/>
    </w:rPr>
  </w:style>
  <w:style w:type="character" w:styleId="1126" w:customStyle="1">
    <w:name w:val="纯文本 Char"/>
    <w:link w:val="1125"/>
    <w:uiPriority w:val="0"/>
    <w:qFormat/>
    <w:rPr>
      <w:rFonts w:ascii="宋体" w:hAnsi="Courier New" w:eastAsia="宋体"/>
      <w:sz w:val="21"/>
      <w:szCs w:val="21"/>
      <w:lang w:bidi="ar-SA"/>
    </w:rPr>
  </w:style>
  <w:style w:type="paragraph" w:styleId="1127" w:customStyle="1">
    <w:name w:val="目录 81"/>
    <w:basedOn w:val="920"/>
    <w:next w:val="920"/>
    <w:uiPriority w:val="0"/>
    <w:qFormat/>
    <w:pPr>
      <w:ind w:left="1470"/>
      <w:jc w:val="left"/>
    </w:pPr>
    <w:rPr>
      <w:rFonts w:ascii="Calibri" w:hAnsi="Calibri"/>
      <w:sz w:val="18"/>
      <w:szCs w:val="18"/>
    </w:rPr>
  </w:style>
  <w:style w:type="paragraph" w:styleId="1128" w:customStyle="1">
    <w:name w:val="日期1"/>
    <w:basedOn w:val="920"/>
    <w:next w:val="920"/>
    <w:link w:val="1129"/>
    <w:uiPriority w:val="0"/>
    <w:qFormat/>
    <w:rPr>
      <w:sz w:val="24"/>
    </w:rPr>
  </w:style>
  <w:style w:type="character" w:styleId="1129" w:customStyle="1">
    <w:name w:val="日期 Char"/>
    <w:link w:val="1128"/>
    <w:uiPriority w:val="0"/>
    <w:qFormat/>
    <w:rPr>
      <w:rFonts w:eastAsia="宋体"/>
      <w:sz w:val="24"/>
      <w:szCs w:val="24"/>
      <w:lang w:bidi="ar-SA"/>
    </w:rPr>
  </w:style>
  <w:style w:type="paragraph" w:styleId="1130" w:customStyle="1">
    <w:name w:val="正文文本缩进 21"/>
    <w:basedOn w:val="920"/>
    <w:link w:val="1131"/>
    <w:uiPriority w:val="0"/>
    <w:qFormat/>
    <w:pPr>
      <w:ind w:left="630" w:firstLine="645"/>
    </w:pPr>
    <w:rPr>
      <w:rFonts w:ascii="Arial" w:hAnsi="Arial" w:eastAsia="仿宋_GB2312"/>
      <w:sz w:val="32"/>
      <w:szCs w:val="32"/>
    </w:rPr>
  </w:style>
  <w:style w:type="character" w:styleId="1131" w:customStyle="1">
    <w:name w:val="正文文本缩进 2 Char"/>
    <w:link w:val="1130"/>
    <w:uiPriority w:val="0"/>
    <w:qFormat/>
    <w:rPr>
      <w:rFonts w:ascii="Arial" w:hAnsi="Arial" w:eastAsia="仿宋_GB2312"/>
      <w:sz w:val="32"/>
      <w:szCs w:val="32"/>
    </w:rPr>
  </w:style>
  <w:style w:type="paragraph" w:styleId="1132" w:customStyle="1">
    <w:name w:val="尾注文本1"/>
    <w:basedOn w:val="920"/>
    <w:link w:val="1133"/>
    <w:uiPriority w:val="0"/>
    <w:qFormat/>
    <w:pPr>
      <w:jc w:val="left"/>
      <w:widowControl/>
    </w:pPr>
    <w:rPr>
      <w:sz w:val="20"/>
      <w:szCs w:val="20"/>
    </w:rPr>
  </w:style>
  <w:style w:type="character" w:styleId="1133" w:customStyle="1">
    <w:name w:val="尾注文本 Char"/>
    <w:link w:val="1132"/>
    <w:uiPriority w:val="0"/>
    <w:qFormat/>
    <w:rPr>
      <w:rFonts w:eastAsia="宋体"/>
      <w:lang w:bidi="ar-SA"/>
    </w:rPr>
  </w:style>
  <w:style w:type="paragraph" w:styleId="1134" w:customStyle="1">
    <w:name w:val="批注框文本1"/>
    <w:basedOn w:val="920"/>
    <w:link w:val="1135"/>
    <w:uiPriority w:val="0"/>
    <w:qFormat/>
    <w:rPr>
      <w:sz w:val="18"/>
      <w:szCs w:val="18"/>
    </w:rPr>
  </w:style>
  <w:style w:type="character" w:styleId="1135" w:customStyle="1">
    <w:name w:val="批注框文本 Char"/>
    <w:link w:val="1134"/>
    <w:uiPriority w:val="0"/>
    <w:qFormat/>
    <w:rPr>
      <w:rFonts w:eastAsia="宋体"/>
      <w:sz w:val="18"/>
      <w:szCs w:val="18"/>
      <w:lang w:val="en-US" w:eastAsia="zh-CN" w:bidi="ar-SA"/>
    </w:rPr>
  </w:style>
  <w:style w:type="paragraph" w:styleId="1136" w:customStyle="1">
    <w:name w:val="页脚1"/>
    <w:basedOn w:val="920"/>
    <w:link w:val="1137"/>
    <w:uiPriority w:val="0"/>
    <w:qFormat/>
    <w:pPr>
      <w:jc w:val="left"/>
      <w:tabs>
        <w:tab w:val="center" w:pos="4153" w:leader="none"/>
        <w:tab w:val="right" w:pos="8306" w:leader="none"/>
      </w:tabs>
    </w:pPr>
    <w:rPr>
      <w:sz w:val="18"/>
      <w:szCs w:val="18"/>
    </w:rPr>
  </w:style>
  <w:style w:type="character" w:styleId="1137" w:customStyle="1">
    <w:name w:val="页脚 Char"/>
    <w:link w:val="1136"/>
    <w:uiPriority w:val="0"/>
    <w:qFormat/>
    <w:rPr>
      <w:rFonts w:eastAsia="宋体"/>
      <w:sz w:val="18"/>
      <w:szCs w:val="18"/>
      <w:lang w:val="en-US" w:eastAsia="zh-CN" w:bidi="ar-SA"/>
    </w:rPr>
  </w:style>
  <w:style w:type="paragraph" w:styleId="1138" w:customStyle="1">
    <w:name w:val="页眉1"/>
    <w:basedOn w:val="920"/>
    <w:link w:val="1139"/>
    <w:uiPriority w:val="0"/>
    <w:qFormat/>
    <w:pPr>
      <w:jc w:val="center"/>
      <w:tabs>
        <w:tab w:val="center" w:pos="4153" w:leader="none"/>
        <w:tab w:val="right" w:pos="8306" w:leader="none"/>
      </w:tabs>
      <w:pBdr>
        <w:bottom w:val="single" w:color="000000" w:sz="6" w:space="1"/>
      </w:pBdr>
    </w:pPr>
    <w:rPr>
      <w:sz w:val="18"/>
      <w:szCs w:val="18"/>
    </w:rPr>
  </w:style>
  <w:style w:type="character" w:styleId="1139" w:customStyle="1">
    <w:name w:val="页眉 Char"/>
    <w:link w:val="1138"/>
    <w:uiPriority w:val="0"/>
    <w:qFormat/>
    <w:rPr>
      <w:rFonts w:eastAsia="宋体"/>
      <w:sz w:val="18"/>
      <w:szCs w:val="18"/>
      <w:lang w:val="en-US" w:eastAsia="zh-CN" w:bidi="ar-SA"/>
    </w:rPr>
  </w:style>
  <w:style w:type="paragraph" w:styleId="1140" w:customStyle="1">
    <w:name w:val="目录 41"/>
    <w:basedOn w:val="920"/>
    <w:next w:val="920"/>
    <w:uiPriority w:val="0"/>
    <w:qFormat/>
    <w:pPr>
      <w:numPr>
        <w:ilvl w:val="0"/>
        <w:numId w:val="3"/>
      </w:numPr>
      <w:ind w:left="420" w:firstLine="0"/>
      <w:jc w:val="left"/>
      <w:tabs>
        <w:tab w:val="clear" w:pos="709" w:leader="none"/>
      </w:tabs>
    </w:pPr>
    <w:rPr>
      <w:rFonts w:ascii="Calibri" w:hAnsi="Calibri"/>
      <w:sz w:val="20"/>
      <w:szCs w:val="20"/>
    </w:rPr>
  </w:style>
  <w:style w:type="paragraph" w:styleId="1141" w:customStyle="1">
    <w:name w:val="副标题1"/>
    <w:basedOn w:val="920"/>
    <w:next w:val="920"/>
    <w:link w:val="1142"/>
    <w:uiPriority w:val="0"/>
    <w:qFormat/>
    <w:pPr>
      <w:ind w:firstLine="200"/>
      <w:jc w:val="center"/>
      <w:spacing w:before="240" w:after="60" w:line="312" w:lineRule="auto"/>
      <w:outlineLvl w:val="1"/>
    </w:pPr>
    <w:rPr>
      <w:rFonts w:ascii="Cambria" w:hAnsi="Cambria"/>
      <w:b/>
      <w:bCs/>
      <w:sz w:val="32"/>
      <w:szCs w:val="32"/>
    </w:rPr>
  </w:style>
  <w:style w:type="character" w:styleId="1142" w:customStyle="1">
    <w:name w:val="副标题 Char"/>
    <w:link w:val="1141"/>
    <w:uiPriority w:val="0"/>
    <w:qFormat/>
    <w:rPr>
      <w:rFonts w:ascii="Cambria" w:hAnsi="Cambria"/>
      <w:b/>
      <w:bCs/>
      <w:sz w:val="32"/>
      <w:szCs w:val="32"/>
    </w:rPr>
  </w:style>
  <w:style w:type="paragraph" w:styleId="1143" w:customStyle="1">
    <w:name w:val="脚注文本2"/>
    <w:basedOn w:val="920"/>
    <w:uiPriority w:val="0"/>
    <w:qFormat/>
    <w:pPr>
      <w:jc w:val="left"/>
    </w:pPr>
    <w:rPr>
      <w:rFonts w:ascii="宋体" w:eastAsia="Times New Roman"/>
      <w:sz w:val="18"/>
      <w:szCs w:val="18"/>
    </w:rPr>
  </w:style>
  <w:style w:type="paragraph" w:styleId="1144" w:customStyle="1">
    <w:name w:val="目录 61"/>
    <w:basedOn w:val="920"/>
    <w:next w:val="920"/>
    <w:uiPriority w:val="0"/>
    <w:qFormat/>
    <w:pPr>
      <w:ind w:left="1050"/>
      <w:jc w:val="left"/>
    </w:pPr>
    <w:rPr>
      <w:rFonts w:ascii="Calibri" w:hAnsi="Calibri"/>
      <w:sz w:val="18"/>
      <w:szCs w:val="18"/>
    </w:rPr>
  </w:style>
  <w:style w:type="paragraph" w:styleId="1145" w:customStyle="1">
    <w:name w:val="正文文本缩进 31"/>
    <w:basedOn w:val="920"/>
    <w:link w:val="1146"/>
    <w:uiPriority w:val="0"/>
    <w:qFormat/>
    <w:pPr>
      <w:ind w:left="645" w:firstLine="645"/>
    </w:pPr>
    <w:rPr>
      <w:rFonts w:ascii="Arial" w:hAnsi="Arial" w:eastAsia="仿宋_GB2312"/>
      <w:color w:val="ffff00"/>
      <w:sz w:val="32"/>
      <w:szCs w:val="32"/>
    </w:rPr>
  </w:style>
  <w:style w:type="character" w:styleId="1146" w:customStyle="1">
    <w:name w:val="正文文本缩进 3 Char"/>
    <w:link w:val="1145"/>
    <w:uiPriority w:val="0"/>
    <w:qFormat/>
    <w:rPr>
      <w:rFonts w:ascii="Arial" w:hAnsi="Arial" w:eastAsia="仿宋_GB2312"/>
      <w:color w:val="ffff00"/>
      <w:sz w:val="32"/>
      <w:szCs w:val="32"/>
      <w:lang w:bidi="ar-SA"/>
    </w:rPr>
  </w:style>
  <w:style w:type="paragraph" w:styleId="1147" w:customStyle="1">
    <w:name w:val="目录 21"/>
    <w:basedOn w:val="920"/>
    <w:next w:val="920"/>
    <w:uiPriority w:val="0"/>
    <w:qFormat/>
    <w:pPr>
      <w:ind w:left="210"/>
      <w:jc w:val="left"/>
    </w:pPr>
    <w:rPr>
      <w:rFonts w:ascii="Calibri" w:hAnsi="Calibri"/>
      <w:smallCaps/>
      <w:sz w:val="20"/>
      <w:szCs w:val="20"/>
    </w:rPr>
  </w:style>
  <w:style w:type="paragraph" w:styleId="1148" w:customStyle="1">
    <w:name w:val="目录 91"/>
    <w:basedOn w:val="920"/>
    <w:next w:val="920"/>
    <w:uiPriority w:val="0"/>
    <w:qFormat/>
    <w:pPr>
      <w:ind w:left="1680"/>
      <w:jc w:val="left"/>
    </w:pPr>
    <w:rPr>
      <w:rFonts w:ascii="Calibri" w:hAnsi="Calibri"/>
      <w:sz w:val="18"/>
      <w:szCs w:val="18"/>
    </w:rPr>
  </w:style>
  <w:style w:type="paragraph" w:styleId="1149" w:customStyle="1">
    <w:name w:val="正文文本 21"/>
    <w:basedOn w:val="920"/>
    <w:link w:val="1150"/>
    <w:uiPriority w:val="0"/>
    <w:qFormat/>
    <w:pPr>
      <w:jc w:val="center"/>
      <w:widowControl/>
    </w:pPr>
    <w:rPr>
      <w:rFonts w:ascii="楷体_GB2312" w:eastAsia="楷体_GB2312"/>
      <w:sz w:val="28"/>
      <w:szCs w:val="28"/>
    </w:rPr>
  </w:style>
  <w:style w:type="character" w:styleId="1150" w:customStyle="1">
    <w:name w:val="正文文本 2 Char"/>
    <w:link w:val="1149"/>
    <w:uiPriority w:val="0"/>
    <w:qFormat/>
    <w:rPr>
      <w:rFonts w:ascii="楷体_GB2312" w:eastAsia="楷体_GB2312"/>
      <w:sz w:val="28"/>
      <w:szCs w:val="28"/>
      <w:lang w:bidi="ar-SA"/>
    </w:rPr>
  </w:style>
  <w:style w:type="paragraph" w:styleId="1151" w:customStyle="1">
    <w:name w:val="HTML 预设格式1"/>
    <w:basedOn w:val="920"/>
    <w:link w:val="115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2" w:customStyle="1">
    <w:name w:val="HTML 预设格式 Char"/>
    <w:link w:val="1151"/>
    <w:uiPriority w:val="0"/>
    <w:qFormat/>
    <w:rPr>
      <w:rFonts w:ascii="宋体" w:hAnsi="宋体" w:eastAsia="宋体"/>
      <w:sz w:val="24"/>
      <w:szCs w:val="24"/>
      <w:lang w:bidi="ar-SA"/>
    </w:rPr>
  </w:style>
  <w:style w:type="paragraph" w:styleId="1153" w:customStyle="1">
    <w:name w:val="普通(网站)1"/>
    <w:basedOn w:val="920"/>
    <w:link w:val="1154"/>
    <w:uiPriority w:val="0"/>
    <w:qFormat/>
    <w:pPr>
      <w:jc w:val="left"/>
      <w:spacing w:before="100" w:beforeAutospacing="1" w:after="100" w:afterAutospacing="1"/>
      <w:widowControl/>
    </w:pPr>
    <w:rPr>
      <w:rFonts w:ascii="宋体" w:hAnsi="宋体"/>
      <w:sz w:val="24"/>
    </w:rPr>
  </w:style>
  <w:style w:type="character" w:styleId="1154" w:customStyle="1">
    <w:name w:val="普通(网站) Char"/>
    <w:link w:val="1153"/>
    <w:uiPriority w:val="0"/>
    <w:qFormat/>
    <w:rPr>
      <w:rFonts w:ascii="宋体" w:hAnsi="宋体"/>
      <w:sz w:val="24"/>
      <w:szCs w:val="24"/>
    </w:rPr>
  </w:style>
  <w:style w:type="paragraph" w:styleId="1155" w:customStyle="1">
    <w:name w:val="标题1"/>
    <w:basedOn w:val="920"/>
    <w:link w:val="1156"/>
    <w:uiPriority w:val="0"/>
    <w:qFormat/>
    <w:pPr>
      <w:jc w:val="center"/>
    </w:pPr>
    <w:rPr>
      <w:sz w:val="30"/>
    </w:rPr>
  </w:style>
  <w:style w:type="character" w:styleId="1156" w:customStyle="1">
    <w:name w:val="标题 Char"/>
    <w:link w:val="1155"/>
    <w:uiPriority w:val="0"/>
    <w:qFormat/>
    <w:rPr>
      <w:sz w:val="30"/>
      <w:szCs w:val="24"/>
      <w:lang w:bidi="ar-SA"/>
    </w:rPr>
  </w:style>
  <w:style w:type="paragraph" w:styleId="1157" w:customStyle="1">
    <w:name w:val="批注主题1"/>
    <w:basedOn w:val="1117"/>
    <w:next w:val="1117"/>
    <w:link w:val="1158"/>
    <w:uiPriority w:val="0"/>
    <w:qFormat/>
    <w:rPr>
      <w:b/>
      <w:bCs/>
      <w:sz w:val="20"/>
      <w:szCs w:val="21"/>
    </w:rPr>
  </w:style>
  <w:style w:type="character" w:styleId="1158" w:customStyle="1">
    <w:name w:val="批注主题 Char"/>
    <w:link w:val="1157"/>
    <w:uiPriority w:val="0"/>
    <w:qFormat/>
    <w:rPr>
      <w:rFonts w:eastAsia="宋体"/>
      <w:b/>
      <w:bCs/>
      <w:sz w:val="21"/>
      <w:szCs w:val="21"/>
      <w:lang w:bidi="ar-SA"/>
    </w:rPr>
  </w:style>
  <w:style w:type="table" w:styleId="1159" w:customStyle="1">
    <w:name w:val="网格型1"/>
    <w:basedOn w:val="1095"/>
    <w:uiPriority w:val="0"/>
    <w:qFormat/>
    <w:tblPr/>
  </w:style>
  <w:style w:type="character" w:styleId="1160" w:customStyle="1">
    <w:name w:val="页码1"/>
    <w:link w:val="872"/>
    <w:uiPriority w:val="0"/>
    <w:qFormat/>
    <w:rPr>
      <w:rFonts w:hint="default" w:ascii="Times New Roman" w:hAnsi="Times New Roman" w:eastAsia="宋体" w:cs="Times New Roman"/>
      <w:sz w:val="21"/>
      <w:szCs w:val="24"/>
      <w:lang w:val="en-US" w:eastAsia="zh-CN" w:bidi="ar-SA"/>
    </w:rPr>
  </w:style>
  <w:style w:type="character" w:styleId="1161" w:customStyle="1">
    <w:name w:val="已访问的超链接1"/>
    <w:link w:val="920"/>
    <w:uiPriority w:val="0"/>
    <w:qFormat/>
    <w:rPr>
      <w:color w:val="800080"/>
      <w:u w:val="single"/>
    </w:rPr>
  </w:style>
  <w:style w:type="character" w:styleId="1162" w:customStyle="1">
    <w:name w:val="强调1"/>
    <w:link w:val="920"/>
    <w:uiPriority w:val="0"/>
    <w:qFormat/>
    <w:rPr>
      <w:i/>
      <w:iCs/>
    </w:rPr>
  </w:style>
  <w:style w:type="character" w:styleId="1163" w:customStyle="1">
    <w:name w:val="超链接1"/>
    <w:link w:val="920"/>
    <w:uiPriority w:val="0"/>
    <w:qFormat/>
    <w:rPr>
      <w:color w:val="0000ff"/>
      <w:u w:val="single"/>
    </w:rPr>
  </w:style>
  <w:style w:type="character" w:styleId="1164" w:customStyle="1">
    <w:name w:val="批注引用1"/>
    <w:link w:val="920"/>
    <w:uiPriority w:val="0"/>
    <w:qFormat/>
    <w:rPr>
      <w:sz w:val="21"/>
      <w:szCs w:val="21"/>
    </w:rPr>
  </w:style>
  <w:style w:type="character" w:styleId="1165" w:customStyle="1">
    <w:name w:val="列出段落 Char"/>
    <w:link w:val="1084"/>
    <w:uiPriority w:val="0"/>
    <w:qFormat/>
    <w:rPr>
      <w:rFonts w:ascii="Calibri" w:hAnsi="Calibri" w:eastAsia="PMingLiU"/>
      <w:sz w:val="24"/>
      <w:lang w:eastAsia="zh-TW" w:bidi="ar-SA"/>
    </w:rPr>
  </w:style>
  <w:style w:type="character" w:styleId="1166" w:customStyle="1">
    <w:name w:val="三级条标题 Char"/>
    <w:link w:val="1167"/>
    <w:uiPriority w:val="0"/>
    <w:qFormat/>
    <w:rPr>
      <w:rFonts w:ascii="黑体" w:hAnsi="宋体" w:eastAsia="黑体"/>
      <w:lang w:bidi="ar-SA"/>
    </w:rPr>
  </w:style>
  <w:style w:type="paragraph" w:styleId="1167" w:customStyle="1">
    <w:name w:val="三级条标题"/>
    <w:basedOn w:val="1168"/>
    <w:next w:val="914"/>
    <w:link w:val="1166"/>
    <w:uiPriority w:val="0"/>
    <w:qFormat/>
    <w:pPr>
      <w:numPr>
        <w:ilvl w:val="4"/>
        <w:numId w:val="0"/>
      </w:numPr>
      <w:ind w:left="907" w:hanging="907"/>
      <w:tabs>
        <w:tab w:val="left" w:pos="810" w:leader="none"/>
        <w:tab w:val="left" w:pos="907" w:leader="none"/>
        <w:tab w:val="left" w:pos="1265" w:leader="none"/>
      </w:tabs>
      <w:outlineLvl w:val="4"/>
    </w:pPr>
  </w:style>
  <w:style w:type="paragraph" w:styleId="1168" w:customStyle="1">
    <w:name w:val="二级条标题"/>
    <w:basedOn w:val="912"/>
    <w:next w:val="914"/>
    <w:link w:val="1169"/>
    <w:uiPriority w:val="0"/>
    <w:qFormat/>
    <w:pPr>
      <w:outlineLvl w:val="3"/>
    </w:pPr>
  </w:style>
  <w:style w:type="character" w:styleId="1169" w:customStyle="1">
    <w:name w:val="二级条标题 Char"/>
    <w:link w:val="1168"/>
    <w:uiPriority w:val="0"/>
    <w:qFormat/>
    <w:rPr>
      <w:rFonts w:ascii="黑体" w:hAnsi="宋体" w:eastAsia="黑体"/>
      <w:lang w:bidi="ar-SA"/>
    </w:rPr>
  </w:style>
  <w:style w:type="character" w:styleId="1170" w:customStyle="1">
    <w:name w:val="正文文本 (10)_"/>
    <w:link w:val="1171"/>
    <w:uiPriority w:val="0"/>
    <w:qFormat/>
    <w:rPr>
      <w:rFonts w:ascii="MingLiU" w:hAnsi="MingLiU" w:eastAsia="MingLiU"/>
      <w:spacing w:val="40"/>
      <w:sz w:val="19"/>
      <w:szCs w:val="19"/>
      <w:shd w:val="clear" w:color="auto" w:fill="ffffff"/>
      <w:lang w:bidi="ar-SA"/>
    </w:rPr>
  </w:style>
  <w:style w:type="paragraph" w:styleId="1171" w:customStyle="1">
    <w:name w:val="正文文本 (10)6"/>
    <w:basedOn w:val="920"/>
    <w:link w:val="1170"/>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72" w:customStyle="1">
    <w:name w:val="DeltaView Insertion"/>
    <w:link w:val="920"/>
    <w:uiPriority w:val="0"/>
    <w:qFormat/>
    <w:rPr>
      <w:color w:val="0000ff"/>
      <w:spacing w:val="0"/>
      <w:u w:val="single"/>
    </w:rPr>
  </w:style>
  <w:style w:type="character" w:styleId="1173" w:customStyle="1">
    <w:name w:val="普通正文 Char"/>
    <w:link w:val="1174"/>
    <w:uiPriority w:val="0"/>
    <w:qFormat/>
    <w:rPr>
      <w:rFonts w:ascii="Arial" w:hAnsi="Arial" w:eastAsia="宋体"/>
      <w:sz w:val="24"/>
      <w:szCs w:val="24"/>
      <w:lang w:val="en-US" w:eastAsia="zh-CN" w:bidi="ar-SA"/>
    </w:rPr>
  </w:style>
  <w:style w:type="paragraph" w:styleId="1174" w:customStyle="1">
    <w:name w:val="普通正文"/>
    <w:basedOn w:val="920"/>
    <w:link w:val="1173"/>
    <w:uiPriority w:val="0"/>
    <w:qFormat/>
    <w:pPr>
      <w:ind w:firstLine="480"/>
      <w:jc w:val="left"/>
      <w:spacing w:before="120" w:after="120" w:line="360" w:lineRule="auto"/>
    </w:pPr>
    <w:rPr>
      <w:rFonts w:ascii="Arial" w:hAnsi="Arial"/>
      <w:sz w:val="24"/>
    </w:rPr>
  </w:style>
  <w:style w:type="character" w:styleId="1175" w:customStyle="1">
    <w:name w:val=" Char Char29"/>
    <w:link w:val="920"/>
    <w:uiPriority w:val="0"/>
    <w:qFormat/>
    <w:rPr>
      <w:rFonts w:ascii="Arial" w:hAnsi="Arial" w:eastAsia="黑体"/>
      <w:b/>
      <w:bCs/>
      <w:sz w:val="28"/>
      <w:szCs w:val="28"/>
      <w:lang w:val="en-US" w:eastAsia="zh-CN" w:bidi="ar-SA"/>
    </w:rPr>
  </w:style>
  <w:style w:type="character" w:styleId="1176" w:customStyle="1">
    <w:name w:val="正文文本 (2)_"/>
    <w:link w:val="1177"/>
    <w:uiPriority w:val="0"/>
    <w:qFormat/>
    <w:rPr>
      <w:rFonts w:ascii="MingLiU" w:hAnsi="MingLiU" w:eastAsia="MingLiU"/>
      <w:spacing w:val="10"/>
      <w:sz w:val="18"/>
      <w:szCs w:val="18"/>
      <w:shd w:val="clear" w:color="auto" w:fill="ffffff"/>
      <w:lang w:bidi="ar-SA"/>
    </w:rPr>
  </w:style>
  <w:style w:type="paragraph" w:styleId="1177" w:customStyle="1">
    <w:name w:val="正文文本 (2)11"/>
    <w:basedOn w:val="920"/>
    <w:link w:val="1176"/>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78" w:customStyle="1">
    <w:name w:val="标题2 Char Char"/>
    <w:link w:val="1179"/>
    <w:uiPriority w:val="0"/>
    <w:qFormat/>
    <w:rPr>
      <w:rFonts w:eastAsia="方正楷体_GBK"/>
      <w:sz w:val="32"/>
      <w:lang w:bidi="ar-SA"/>
    </w:rPr>
  </w:style>
  <w:style w:type="paragraph" w:styleId="1179" w:customStyle="1">
    <w:name w:val="标题2"/>
    <w:basedOn w:val="920"/>
    <w:next w:val="920"/>
    <w:link w:val="1178"/>
    <w:uiPriority w:val="0"/>
    <w:qFormat/>
    <w:pPr>
      <w:jc w:val="center"/>
    </w:pPr>
    <w:rPr>
      <w:rFonts w:eastAsia="方正楷体_GBK"/>
      <w:sz w:val="32"/>
      <w:szCs w:val="20"/>
    </w:rPr>
  </w:style>
  <w:style w:type="character" w:styleId="1180" w:customStyle="1">
    <w:name w:val=" Char Char31"/>
    <w:link w:val="920"/>
    <w:uiPriority w:val="0"/>
    <w:qFormat/>
    <w:rPr>
      <w:rFonts w:ascii="Arial" w:hAnsi="Arial" w:eastAsia="幼圆"/>
      <w:b/>
      <w:bCs/>
      <w:sz w:val="44"/>
      <w:szCs w:val="44"/>
      <w:lang w:val="en-US" w:eastAsia="zh-CN" w:bidi="ar-SA"/>
    </w:rPr>
  </w:style>
  <w:style w:type="character" w:styleId="1181" w:customStyle="1">
    <w:name w:val="方案文档 Char Char"/>
    <w:link w:val="1182"/>
    <w:uiPriority w:val="0"/>
    <w:qFormat/>
    <w:rPr>
      <w:rFonts w:ascii="宋体" w:hAnsi="宋体"/>
      <w:b/>
      <w:lang w:bidi="ar-SA"/>
    </w:rPr>
  </w:style>
  <w:style w:type="paragraph" w:styleId="1182" w:customStyle="1">
    <w:name w:val="方案文档"/>
    <w:basedOn w:val="920"/>
    <w:link w:val="1181"/>
    <w:uiPriority w:val="0"/>
    <w:qFormat/>
    <w:pPr>
      <w:ind w:left="420"/>
      <w:spacing w:line="360" w:lineRule="auto"/>
      <w:tabs>
        <w:tab w:val="left" w:pos="420" w:leader="none"/>
      </w:tabs>
    </w:pPr>
    <w:rPr>
      <w:rFonts w:ascii="宋体" w:hAnsi="宋体"/>
      <w:b/>
      <w:sz w:val="20"/>
      <w:szCs w:val="20"/>
    </w:rPr>
  </w:style>
  <w:style w:type="character" w:styleId="1183" w:customStyle="1">
    <w:name w:val="纯文本 Char1"/>
    <w:link w:val="920"/>
    <w:uiPriority w:val="0"/>
    <w:semiHidden/>
    <w:qFormat/>
    <w:rPr>
      <w:rFonts w:ascii="宋体" w:hAnsi="Courier New"/>
      <w:sz w:val="21"/>
      <w:szCs w:val="21"/>
    </w:rPr>
  </w:style>
  <w:style w:type="character" w:styleId="1184" w:customStyle="1">
    <w:name w:val="apple-converted-space"/>
    <w:link w:val="920"/>
    <w:uiPriority w:val="0"/>
    <w:qFormat/>
  </w:style>
  <w:style w:type="character" w:styleId="1185" w:customStyle="1">
    <w:name w:val="二级条标题 + 宋体 Char"/>
    <w:link w:val="1186"/>
    <w:uiPriority w:val="0"/>
    <w:qFormat/>
    <w:rPr>
      <w:rFonts w:ascii="宋体" w:hAnsi="宋体" w:eastAsia="黑体"/>
      <w:lang w:bidi="ar-SA"/>
    </w:rPr>
  </w:style>
  <w:style w:type="paragraph" w:styleId="1186" w:customStyle="1">
    <w:name w:val="二级条标题 + 宋体"/>
    <w:basedOn w:val="1168"/>
    <w:link w:val="1185"/>
    <w:uiPriority w:val="0"/>
    <w:qFormat/>
    <w:pPr>
      <w:ind w:left="0" w:firstLine="0"/>
    </w:pPr>
    <w:rPr>
      <w:rFonts w:ascii="宋体"/>
    </w:rPr>
  </w:style>
  <w:style w:type="character" w:styleId="1187" w:customStyle="1">
    <w:name w:val="12black1"/>
    <w:link w:val="920"/>
    <w:uiPriority w:val="0"/>
    <w:qFormat/>
    <w:rPr>
      <w:color w:val="000000"/>
      <w:sz w:val="24"/>
      <w:szCs w:val="24"/>
      <w:u w:val="none"/>
    </w:rPr>
  </w:style>
  <w:style w:type="character" w:styleId="1188" w:customStyle="1">
    <w:name w:val="美标题3 Char Char"/>
    <w:link w:val="1189"/>
    <w:uiPriority w:val="0"/>
    <w:qFormat/>
    <w:rPr>
      <w:rFonts w:ascii="宋体" w:hAnsi="宋体"/>
      <w:b/>
    </w:rPr>
  </w:style>
  <w:style w:type="paragraph" w:styleId="1189" w:customStyle="1">
    <w:name w:val="美标题3"/>
    <w:basedOn w:val="920"/>
    <w:link w:val="1188"/>
    <w:uiPriority w:val="0"/>
    <w:qFormat/>
    <w:pPr>
      <w:numPr>
        <w:ilvl w:val="0"/>
        <w:numId w:val="4"/>
      </w:numPr>
      <w:ind w:left="0" w:firstLine="0"/>
      <w:spacing w:line="360" w:lineRule="auto"/>
      <w:tabs>
        <w:tab w:val="clear" w:pos="397" w:leader="none"/>
      </w:tabs>
    </w:pPr>
    <w:rPr>
      <w:rFonts w:ascii="宋体" w:hAnsi="宋体"/>
      <w:b/>
      <w:sz w:val="20"/>
      <w:szCs w:val="20"/>
    </w:rPr>
  </w:style>
  <w:style w:type="character" w:styleId="1190" w:customStyle="1">
    <w:name w:val="表格 Char Char"/>
    <w:link w:val="1191"/>
    <w:uiPriority w:val="0"/>
    <w:qFormat/>
    <w:rPr>
      <w:rFonts w:ascii="宋体" w:hAnsi="宋体" w:eastAsia="宋体"/>
      <w:lang w:bidi="ar-SA"/>
    </w:rPr>
  </w:style>
  <w:style w:type="paragraph" w:styleId="1191" w:customStyle="1">
    <w:name w:val="表格"/>
    <w:basedOn w:val="920"/>
    <w:link w:val="1190"/>
    <w:uiPriority w:val="0"/>
    <w:qFormat/>
    <w:pPr>
      <w:ind w:firstLine="42"/>
    </w:pPr>
    <w:rPr>
      <w:rFonts w:ascii="宋体" w:hAnsi="宋体"/>
      <w:sz w:val="20"/>
      <w:szCs w:val="20"/>
    </w:rPr>
  </w:style>
  <w:style w:type="character" w:styleId="1192" w:customStyle="1">
    <w:name w:val="Para head"/>
    <w:link w:val="920"/>
    <w:uiPriority w:val="0"/>
    <w:qFormat/>
  </w:style>
  <w:style w:type="character" w:styleId="1193" w:customStyle="1">
    <w:name w:val="正文文本缩进 Char1"/>
    <w:link w:val="920"/>
    <w:uiPriority w:val="0"/>
    <w:semiHidden/>
    <w:qFormat/>
    <w:rPr>
      <w:sz w:val="21"/>
      <w:szCs w:val="24"/>
    </w:rPr>
  </w:style>
  <w:style w:type="character" w:styleId="1194" w:customStyle="1">
    <w:name w:val="标题 B Char"/>
    <w:link w:val="1195"/>
    <w:uiPriority w:val="0"/>
    <w:qFormat/>
    <w:rPr>
      <w:rFonts w:ascii="Arial Rounded MT Bold" w:hAnsi="Arial Rounded MT Bold" w:eastAsia="黑体"/>
      <w:spacing w:val="8"/>
      <w:sz w:val="32"/>
      <w:lang w:bidi="ar-SA"/>
    </w:rPr>
  </w:style>
  <w:style w:type="paragraph" w:styleId="1195" w:customStyle="1">
    <w:name w:val="标题 B"/>
    <w:basedOn w:val="875"/>
    <w:link w:val="1194"/>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96" w:customStyle="1">
    <w:name w:val="表头 Char"/>
    <w:link w:val="1197"/>
    <w:uiPriority w:val="0"/>
    <w:qFormat/>
    <w:rPr>
      <w:rFonts w:eastAsia="黑体"/>
      <w:spacing w:val="-10"/>
      <w:lang w:bidi="ar-SA"/>
    </w:rPr>
  </w:style>
  <w:style w:type="paragraph" w:styleId="1197" w:customStyle="1">
    <w:name w:val="表头"/>
    <w:basedOn w:val="920"/>
    <w:link w:val="1196"/>
    <w:uiPriority w:val="0"/>
    <w:qFormat/>
    <w:pPr>
      <w:jc w:val="center"/>
      <w:spacing w:line="320" w:lineRule="atLeast"/>
    </w:pPr>
    <w:rPr>
      <w:rFonts w:eastAsia="黑体"/>
      <w:spacing w:val="-10"/>
      <w:sz w:val="20"/>
      <w:szCs w:val="20"/>
    </w:rPr>
  </w:style>
  <w:style w:type="character" w:styleId="1198" w:customStyle="1">
    <w:name w:val="表蕊 Char1"/>
    <w:link w:val="1199"/>
    <w:uiPriority w:val="0"/>
    <w:qFormat/>
    <w:rPr>
      <w:rFonts w:eastAsia="楷体_GB2312"/>
      <w:spacing w:val="-10"/>
      <w:lang w:bidi="ar-SA"/>
    </w:rPr>
  </w:style>
  <w:style w:type="paragraph" w:styleId="1199" w:customStyle="1">
    <w:name w:val="表蕊"/>
    <w:basedOn w:val="920"/>
    <w:link w:val="1198"/>
    <w:uiPriority w:val="0"/>
    <w:qFormat/>
    <w:pPr>
      <w:jc w:val="left"/>
      <w:spacing w:line="320" w:lineRule="atLeast"/>
    </w:pPr>
    <w:rPr>
      <w:rFonts w:eastAsia="楷体_GB2312"/>
      <w:spacing w:val="-10"/>
      <w:sz w:val="20"/>
      <w:szCs w:val="20"/>
    </w:rPr>
  </w:style>
  <w:style w:type="character" w:styleId="1200" w:customStyle="1">
    <w:name w:val=" Char Char7"/>
    <w:link w:val="920"/>
    <w:uiPriority w:val="0"/>
    <w:qFormat/>
    <w:rPr>
      <w:rFonts w:ascii="Arial" w:hAnsi="Arial" w:eastAsia="幼圆"/>
      <w:b/>
      <w:bCs/>
      <w:sz w:val="44"/>
      <w:szCs w:val="44"/>
      <w:lang w:val="en-US" w:eastAsia="zh-CN" w:bidi="ar-SA"/>
    </w:rPr>
  </w:style>
  <w:style w:type="character" w:styleId="1201" w:customStyle="1">
    <w:name w:val=" Char Char33"/>
    <w:link w:val="920"/>
    <w:uiPriority w:val="0"/>
    <w:qFormat/>
    <w:rPr>
      <w:rFonts w:eastAsia="方正仿宋_GBK"/>
      <w:b/>
      <w:sz w:val="44"/>
      <w:lang w:val="en-US" w:eastAsia="zh-CN" w:bidi="ar-SA"/>
    </w:rPr>
  </w:style>
  <w:style w:type="character" w:styleId="1202" w:customStyle="1">
    <w:name w:val="wwwww Char"/>
    <w:link w:val="1203"/>
    <w:uiPriority w:val="0"/>
    <w:qFormat/>
    <w:rPr>
      <w:rFonts w:ascii="宋体" w:hAnsi="宋体"/>
      <w:sz w:val="24"/>
      <w:szCs w:val="21"/>
      <w:lang w:bidi="ar-SA"/>
    </w:rPr>
  </w:style>
  <w:style w:type="paragraph" w:styleId="1203" w:customStyle="1">
    <w:name w:val="wwwww"/>
    <w:basedOn w:val="920"/>
    <w:link w:val="1202"/>
    <w:uiPriority w:val="0"/>
    <w:qFormat/>
    <w:pPr>
      <w:spacing w:line="400" w:lineRule="exact"/>
      <w:widowControl/>
    </w:pPr>
    <w:rPr>
      <w:rFonts w:ascii="宋体" w:hAnsi="宋体"/>
      <w:sz w:val="24"/>
      <w:szCs w:val="21"/>
    </w:rPr>
  </w:style>
  <w:style w:type="character" w:styleId="1204" w:customStyle="1">
    <w:name w:val="美标题2 Char Char"/>
    <w:link w:val="1205"/>
    <w:uiPriority w:val="0"/>
    <w:qFormat/>
    <w:rPr>
      <w:rFonts w:ascii="宋体" w:hAnsi="宋体"/>
      <w:b/>
      <w:sz w:val="28"/>
      <w:lang w:bidi="ar-SA"/>
    </w:rPr>
  </w:style>
  <w:style w:type="paragraph" w:styleId="1205" w:customStyle="1">
    <w:name w:val="美标题2"/>
    <w:basedOn w:val="920"/>
    <w:link w:val="1204"/>
    <w:uiPriority w:val="0"/>
    <w:qFormat/>
    <w:rPr>
      <w:rFonts w:ascii="宋体" w:hAnsi="宋体"/>
      <w:b/>
      <w:sz w:val="28"/>
      <w:szCs w:val="20"/>
    </w:rPr>
  </w:style>
  <w:style w:type="character" w:styleId="1206" w:customStyle="1">
    <w:name w:val="彩色列表 - 强调文字颜色 1 Char1"/>
    <w:link w:val="1207"/>
    <w:uiPriority w:val="0"/>
    <w:qFormat/>
    <w:rPr>
      <w:rFonts w:ascii="Calibri" w:hAnsi="Calibri" w:eastAsia="宋体"/>
      <w:sz w:val="24"/>
      <w:szCs w:val="24"/>
      <w:lang w:eastAsia="en-US" w:bidi="en-US"/>
    </w:rPr>
  </w:style>
  <w:style w:type="paragraph" w:styleId="1207" w:customStyle="1">
    <w:name w:val="彩色列表 - 强调文字颜色 11"/>
    <w:basedOn w:val="920"/>
    <w:link w:val="1206"/>
    <w:uiPriority w:val="0"/>
    <w:qFormat/>
    <w:pPr>
      <w:contextualSpacing/>
      <w:ind w:left="720"/>
      <w:jc w:val="left"/>
      <w:widowControl/>
    </w:pPr>
    <w:rPr>
      <w:sz w:val="24"/>
      <w:lang w:eastAsia="en-US" w:bidi="en-US"/>
    </w:rPr>
  </w:style>
  <w:style w:type="character" w:styleId="1208" w:customStyle="1">
    <w:name w:val="正文文本 (9)_"/>
    <w:link w:val="1209"/>
    <w:uiPriority w:val="0"/>
    <w:qFormat/>
    <w:rPr>
      <w:rFonts w:ascii="MingLiU" w:hAnsi="MingLiU" w:eastAsia="MingLiU"/>
      <w:spacing w:val="20"/>
      <w:sz w:val="16"/>
      <w:szCs w:val="16"/>
      <w:shd w:val="clear" w:color="auto" w:fill="ffffff"/>
      <w:lang w:bidi="ar-SA"/>
    </w:rPr>
  </w:style>
  <w:style w:type="paragraph" w:styleId="1209" w:customStyle="1">
    <w:name w:val="正文文本 (9)3"/>
    <w:basedOn w:val="920"/>
    <w:link w:val="1208"/>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210" w:customStyle="1">
    <w:name w:val=" Char Char17"/>
    <w:link w:val="920"/>
    <w:uiPriority w:val="0"/>
    <w:qFormat/>
    <w:rPr>
      <w:rFonts w:eastAsia="宋体"/>
      <w:sz w:val="18"/>
      <w:szCs w:val="18"/>
      <w:lang w:bidi="ar-SA"/>
    </w:rPr>
  </w:style>
  <w:style w:type="character" w:styleId="1211" w:customStyle="1">
    <w:name w:val="Table Heading Char"/>
    <w:link w:val="1212"/>
    <w:uiPriority w:val="0"/>
    <w:qFormat/>
    <w:rPr>
      <w:rFonts w:ascii="Arial" w:hAnsi="Arial" w:eastAsia="黑体"/>
      <w:sz w:val="18"/>
      <w:szCs w:val="22"/>
      <w:lang w:val="en-US" w:eastAsia="en-US" w:bidi="ar-SA"/>
    </w:rPr>
  </w:style>
  <w:style w:type="paragraph" w:styleId="1212" w:customStyle="1">
    <w:name w:val="Table Heading"/>
    <w:link w:val="1211"/>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character" w:styleId="1213" w:customStyle="1">
    <w:name w:val="Item List Char"/>
    <w:link w:val="1214"/>
    <w:uiPriority w:val="0"/>
    <w:qFormat/>
    <w:rPr>
      <w:rFonts w:eastAsia="Times New Roman"/>
      <w:sz w:val="21"/>
      <w:szCs w:val="21"/>
      <w:lang w:val="en-US" w:eastAsia="zh-CN" w:bidi="ar-SA"/>
    </w:rPr>
  </w:style>
  <w:style w:type="paragraph" w:styleId="1214" w:customStyle="1">
    <w:name w:val="Item List"/>
    <w:link w:val="1213"/>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215" w:customStyle="1">
    <w:name w:val="明显参考"/>
    <w:link w:val="920"/>
    <w:uiPriority w:val="0"/>
    <w:qFormat/>
    <w:rPr>
      <w:b/>
      <w:bCs/>
      <w:smallCaps/>
      <w:color w:val="c0504d"/>
      <w:spacing w:val="5"/>
      <w:u w:val="single"/>
    </w:rPr>
  </w:style>
  <w:style w:type="character" w:styleId="1216" w:customStyle="1">
    <w:name w:val="Table Text Char1"/>
    <w:link w:val="1217"/>
    <w:uiPriority w:val="0"/>
    <w:qFormat/>
    <w:rPr>
      <w:rFonts w:ascii="Arial" w:hAnsi="Arial" w:eastAsia="Times New Roman"/>
      <w:sz w:val="18"/>
      <w:szCs w:val="18"/>
      <w:lang w:val="en-US" w:eastAsia="zh-CN" w:bidi="ar-SA"/>
    </w:rPr>
  </w:style>
  <w:style w:type="paragraph" w:styleId="1217" w:customStyle="1">
    <w:name w:val="Table Text"/>
    <w:link w:val="1216"/>
    <w:uiPriority w:val="0"/>
    <w:qFormat/>
    <w:pPr>
      <w:spacing w:before="80" w:after="80"/>
    </w:pPr>
    <w:rPr>
      <w:rFonts w:hint="default" w:ascii="Arial" w:hAnsi="Arial" w:eastAsia="Times New Roman" w:cs="Times New Roman"/>
      <w:sz w:val="18"/>
      <w:szCs w:val="18"/>
      <w:lang w:val="en-US" w:eastAsia="zh-CN" w:bidi="ar-SA"/>
    </w:rPr>
  </w:style>
  <w:style w:type="character" w:styleId="1218" w:customStyle="1">
    <w:name w:val="缺省文本 Char"/>
    <w:link w:val="1219"/>
    <w:uiPriority w:val="0"/>
    <w:qFormat/>
    <w:rPr>
      <w:rFonts w:ascii="Arial" w:hAnsi="Arial" w:eastAsia="宋体"/>
      <w:sz w:val="24"/>
      <w:szCs w:val="21"/>
      <w:lang w:bidi="ar-SA"/>
    </w:rPr>
  </w:style>
  <w:style w:type="paragraph" w:styleId="1219" w:customStyle="1">
    <w:name w:val="缺省文本"/>
    <w:basedOn w:val="920"/>
    <w:link w:val="1218"/>
    <w:uiPriority w:val="0"/>
    <w:qFormat/>
    <w:pPr>
      <w:jc w:val="left"/>
      <w:spacing w:line="360" w:lineRule="auto"/>
    </w:pPr>
    <w:rPr>
      <w:rFonts w:ascii="Arial" w:hAnsi="Arial"/>
      <w:sz w:val="24"/>
      <w:szCs w:val="21"/>
    </w:rPr>
  </w:style>
  <w:style w:type="character" w:styleId="1220" w:customStyle="1">
    <w:name w:val="正文（首行缩进2字符） Char"/>
    <w:link w:val="1221"/>
    <w:uiPriority w:val="0"/>
    <w:qFormat/>
    <w:rPr>
      <w:rFonts w:eastAsia="宋体"/>
      <w:sz w:val="21"/>
      <w:szCs w:val="21"/>
      <w:lang w:bidi="ar-SA"/>
    </w:rPr>
  </w:style>
  <w:style w:type="paragraph" w:styleId="1221" w:customStyle="1">
    <w:name w:val="正文（首行缩进2字符）"/>
    <w:basedOn w:val="920"/>
    <w:link w:val="1220"/>
    <w:uiPriority w:val="0"/>
    <w:qFormat/>
    <w:pPr>
      <w:ind w:firstLine="420"/>
      <w:spacing w:line="360" w:lineRule="auto"/>
    </w:pPr>
    <w:rPr>
      <w:sz w:val="20"/>
      <w:szCs w:val="21"/>
    </w:rPr>
  </w:style>
  <w:style w:type="character" w:styleId="1222" w:customStyle="1">
    <w:name w:val="fix161 Char"/>
    <w:link w:val="1223"/>
    <w:uiPriority w:val="0"/>
    <w:qFormat/>
    <w:rPr>
      <w:rFonts w:ascii="宋体" w:hAnsi="宋体"/>
      <w:sz w:val="24"/>
      <w:szCs w:val="24"/>
      <w:lang w:bidi="ar-SA"/>
    </w:rPr>
  </w:style>
  <w:style w:type="paragraph" w:styleId="1223" w:customStyle="1">
    <w:name w:val="fix161"/>
    <w:basedOn w:val="920"/>
    <w:link w:val="1222"/>
    <w:uiPriority w:val="0"/>
    <w:qFormat/>
    <w:pPr>
      <w:jc w:val="left"/>
      <w:spacing w:before="100" w:beforeAutospacing="1" w:after="100" w:afterAutospacing="1"/>
      <w:widowControl/>
    </w:pPr>
    <w:rPr>
      <w:rFonts w:ascii="宋体" w:hAnsi="宋体"/>
      <w:sz w:val="24"/>
    </w:rPr>
  </w:style>
  <w:style w:type="character" w:styleId="1224" w:customStyle="1">
    <w:name w:val="HTML 地址 Char1"/>
    <w:link w:val="920"/>
    <w:uiPriority w:val="0"/>
    <w:qFormat/>
    <w:rPr>
      <w:i/>
      <w:iCs/>
      <w:sz w:val="21"/>
      <w:szCs w:val="21"/>
    </w:rPr>
  </w:style>
  <w:style w:type="character" w:styleId="1225" w:customStyle="1">
    <w:name w:val="曹阿龙 Char"/>
    <w:link w:val="1226"/>
    <w:uiPriority w:val="0"/>
    <w:qFormat/>
    <w:rPr>
      <w:rFonts w:ascii="宋体" w:hAnsi="宋体" w:eastAsia="幼圆"/>
      <w:b/>
      <w:bCs/>
      <w:sz w:val="28"/>
      <w:szCs w:val="28"/>
      <w:lang w:bidi="ar-SA"/>
    </w:rPr>
  </w:style>
  <w:style w:type="paragraph" w:styleId="1226" w:customStyle="1">
    <w:name w:val="曹阿龙"/>
    <w:basedOn w:val="875"/>
    <w:link w:val="1225"/>
    <w:uiPriority w:val="0"/>
    <w:qFormat/>
    <w:pPr>
      <w:ind w:firstLine="561"/>
      <w:jc w:val="left"/>
      <w:spacing w:line="400" w:lineRule="exact"/>
    </w:pPr>
    <w:rPr>
      <w:rFonts w:ascii="宋体" w:hAnsi="宋体" w:eastAsia="幼圆"/>
      <w:sz w:val="28"/>
      <w:szCs w:val="28"/>
    </w:rPr>
  </w:style>
  <w:style w:type="character" w:styleId="1227" w:customStyle="1">
    <w:name w:val="首行缩进正文 Char"/>
    <w:link w:val="1228"/>
    <w:uiPriority w:val="0"/>
    <w:qFormat/>
    <w:rPr>
      <w:rFonts w:ascii="微软雅黑" w:hAnsi="微软雅黑" w:eastAsia="微软雅黑"/>
      <w:sz w:val="24"/>
      <w:szCs w:val="24"/>
      <w:lang w:bidi="ar-SA"/>
    </w:rPr>
  </w:style>
  <w:style w:type="paragraph" w:styleId="1228" w:customStyle="1">
    <w:name w:val="首行缩进正文"/>
    <w:basedOn w:val="920"/>
    <w:link w:val="1227"/>
    <w:uiPriority w:val="0"/>
    <w:qFormat/>
    <w:pPr>
      <w:ind w:firstLine="420"/>
      <w:jc w:val="left"/>
      <w:spacing w:line="400" w:lineRule="exact"/>
      <w:widowControl/>
    </w:pPr>
    <w:rPr>
      <w:rFonts w:ascii="微软雅黑" w:hAnsi="微软雅黑" w:eastAsia="微软雅黑"/>
      <w:sz w:val="20"/>
    </w:rPr>
  </w:style>
  <w:style w:type="character" w:styleId="1229" w:customStyle="1">
    <w:name w:val="美标题一 Char Char"/>
    <w:link w:val="1230"/>
    <w:uiPriority w:val="0"/>
    <w:qFormat/>
    <w:rPr>
      <w:rFonts w:ascii="Calibri" w:hAnsi="Calibri" w:eastAsia="宋体"/>
      <w:b/>
      <w:sz w:val="36"/>
      <w:szCs w:val="24"/>
      <w:lang w:bidi="ar-SA"/>
    </w:rPr>
  </w:style>
  <w:style w:type="paragraph" w:styleId="1230" w:customStyle="1">
    <w:name w:val="美标题一"/>
    <w:basedOn w:val="920"/>
    <w:link w:val="1229"/>
    <w:uiPriority w:val="0"/>
    <w:qFormat/>
    <w:pPr>
      <w:ind w:left="480" w:hanging="480"/>
      <w:jc w:val="center"/>
      <w:tabs>
        <w:tab w:val="left" w:pos="480" w:leader="none"/>
        <w:tab w:val="left" w:pos="907" w:leader="none"/>
        <w:tab w:val="left" w:pos="1035" w:leader="none"/>
        <w:tab w:val="left" w:pos="1995" w:leader="none"/>
      </w:tabs>
    </w:pPr>
    <w:rPr>
      <w:b/>
      <w:sz w:val="36"/>
    </w:rPr>
  </w:style>
  <w:style w:type="character" w:styleId="1231" w:customStyle="1">
    <w:name w:val=" Char Char30"/>
    <w:link w:val="920"/>
    <w:uiPriority w:val="0"/>
    <w:qFormat/>
    <w:rPr>
      <w:rFonts w:eastAsia="宋体"/>
      <w:b/>
      <w:bCs/>
      <w:sz w:val="32"/>
      <w:szCs w:val="32"/>
      <w:lang w:val="en-US" w:eastAsia="zh-CN" w:bidi="ar-SA"/>
    </w:rPr>
  </w:style>
  <w:style w:type="character" w:styleId="1232" w:customStyle="1">
    <w:name w:val="二级目录 Char"/>
    <w:link w:val="1233"/>
    <w:uiPriority w:val="0"/>
    <w:qFormat/>
    <w:rPr>
      <w:rFonts w:eastAsia="Times New Roman"/>
      <w:b/>
      <w:sz w:val="30"/>
      <w:szCs w:val="28"/>
      <w:lang w:val="en-US" w:eastAsia="zh-CN" w:bidi="ar-SA"/>
    </w:rPr>
  </w:style>
  <w:style w:type="paragraph" w:styleId="1233" w:customStyle="1">
    <w:name w:val="二级目录"/>
    <w:next w:val="920"/>
    <w:link w:val="123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234" w:customStyle="1">
    <w:name w:val="不明显参考"/>
    <w:link w:val="920"/>
    <w:uiPriority w:val="0"/>
    <w:qFormat/>
    <w:rPr>
      <w:smallCaps/>
      <w:color w:val="c0504d"/>
      <w:u w:val="single"/>
    </w:rPr>
  </w:style>
  <w:style w:type="character" w:styleId="1235" w:customStyle="1">
    <w:name w:val="表格标题 Char"/>
    <w:link w:val="1236"/>
    <w:uiPriority w:val="0"/>
    <w:qFormat/>
    <w:rPr>
      <w:rFonts w:ascii="Arial Black" w:hAnsi="Arial Black" w:eastAsia="黑体"/>
      <w:sz w:val="24"/>
      <w:szCs w:val="24"/>
    </w:rPr>
  </w:style>
  <w:style w:type="paragraph" w:styleId="1236" w:customStyle="1">
    <w:name w:val="表格标题"/>
    <w:basedOn w:val="920"/>
    <w:link w:val="1235"/>
    <w:uiPriority w:val="0"/>
    <w:qFormat/>
    <w:pPr>
      <w:jc w:val="center"/>
      <w:spacing w:after="156" w:line="400" w:lineRule="exact"/>
    </w:pPr>
    <w:rPr>
      <w:rFonts w:ascii="Arial Black" w:hAnsi="Arial Black" w:eastAsia="黑体"/>
      <w:sz w:val="24"/>
    </w:rPr>
  </w:style>
  <w:style w:type="character" w:styleId="1237" w:customStyle="1">
    <w:name w:val="正文4 Char"/>
    <w:link w:val="1238"/>
    <w:uiPriority w:val="0"/>
    <w:qFormat/>
    <w:rPr>
      <w:rFonts w:eastAsia="楷体_GB2312"/>
      <w:spacing w:val="8"/>
      <w:sz w:val="28"/>
    </w:rPr>
  </w:style>
  <w:style w:type="paragraph" w:styleId="1238" w:customStyle="1">
    <w:name w:val="正文4"/>
    <w:basedOn w:val="920"/>
    <w:link w:val="1237"/>
    <w:uiPriority w:val="0"/>
    <w:qFormat/>
    <w:pPr>
      <w:ind w:firstLine="601"/>
      <w:spacing w:line="440" w:lineRule="exact"/>
    </w:pPr>
    <w:rPr>
      <w:rFonts w:eastAsia="楷体_GB2312"/>
      <w:spacing w:val="8"/>
      <w:sz w:val="28"/>
      <w:szCs w:val="20"/>
    </w:rPr>
  </w:style>
  <w:style w:type="paragraph" w:styleId="1239" w:customStyle="1">
    <w:name w:val="Char1"/>
    <w:basedOn w:val="920"/>
    <w:uiPriority w:val="0"/>
    <w:qFormat/>
    <w:pPr>
      <w:spacing w:line="360" w:lineRule="auto"/>
    </w:pPr>
    <w:rPr>
      <w:sz w:val="24"/>
      <w:szCs w:val="20"/>
    </w:rPr>
  </w:style>
  <w:style w:type="paragraph" w:styleId="1240" w:customStyle="1">
    <w:name w:val="P3"/>
    <w:uiPriority w:val="0"/>
    <w:qFormat/>
    <w:pPr>
      <w:numPr>
        <w:ilvl w:val="0"/>
        <w:numId w:val="5"/>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41" w:customStyle="1">
    <w:name w:val="xl70"/>
    <w:basedOn w:val="920"/>
    <w:uiPriority w:val="0"/>
    <w:qFormat/>
    <w:pPr>
      <w:numPr>
        <w:ilvl w:val="8"/>
        <w:numId w:val="6"/>
      </w:numPr>
      <w:ind w:left="0" w:firstLine="0"/>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42"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243" w:customStyle="1">
    <w:name w:val="正文图标题"/>
    <w:basedOn w:val="920"/>
    <w:next w:val="914"/>
    <w:uiPriority w:val="0"/>
    <w:qFormat/>
    <w:pPr>
      <w:numPr>
        <w:ilvl w:val="0"/>
        <w:numId w:val="7"/>
      </w:numPr>
      <w:jc w:val="center"/>
      <w:widowControl/>
    </w:pPr>
    <w:rPr>
      <w:rFonts w:ascii="黑体" w:eastAsia="黑体"/>
      <w:sz w:val="20"/>
      <w:szCs w:val="20"/>
    </w:rPr>
  </w:style>
  <w:style w:type="paragraph" w:styleId="1244" w:customStyle="1">
    <w:name w:val="列项——"/>
    <w:uiPriority w:val="0"/>
    <w:qFormat/>
    <w:pPr>
      <w:numPr>
        <w:ilvl w:val="0"/>
        <w:numId w:val="8"/>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45" w:customStyle="1">
    <w:name w:val="Section VII Header2"/>
    <w:basedOn w:val="108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rPr>
  </w:style>
  <w:style w:type="paragraph" w:styleId="1246" w:customStyle="1">
    <w:name w:val="Char Char1 Char Char Char Char Char Char Char Char Char Char Char Char Char Char Char"/>
    <w:basedOn w:val="920"/>
    <w:uiPriority w:val="0"/>
    <w:qFormat/>
    <w:pPr>
      <w:numPr>
        <w:ilvl w:val="8"/>
        <w:numId w:val="8"/>
      </w:numPr>
      <w:ind w:firstLine="0"/>
      <w:jc w:val="left"/>
      <w:spacing w:after="160" w:line="240" w:lineRule="exact"/>
      <w:widowControl/>
    </w:pPr>
    <w:rPr>
      <w:rFonts w:ascii="Verdana" w:hAnsi="Verdana"/>
      <w:sz w:val="20"/>
      <w:szCs w:val="20"/>
      <w:lang w:eastAsia="en-US"/>
    </w:rPr>
  </w:style>
  <w:style w:type="paragraph" w:styleId="1247" w:customStyle="1">
    <w:name w:val=" Char1"/>
    <w:basedOn w:val="920"/>
    <w:uiPriority w:val="0"/>
    <w:qFormat/>
    <w:pPr>
      <w:ind w:left="432" w:hanging="432"/>
      <w:spacing w:before="156" w:after="156"/>
      <w:tabs>
        <w:tab w:val="left" w:pos="432" w:leader="none"/>
      </w:tabs>
    </w:pPr>
  </w:style>
  <w:style w:type="paragraph" w:styleId="1248" w:customStyle="1">
    <w:name w:val="默认段落字体 Para Char Char Char Char Char Char Char"/>
    <w:basedOn w:val="920"/>
    <w:uiPriority w:val="0"/>
    <w:qFormat/>
    <w:rPr>
      <w:rFonts w:ascii="Tahoma" w:hAnsi="Tahoma"/>
      <w:sz w:val="24"/>
      <w:szCs w:val="20"/>
    </w:rPr>
  </w:style>
  <w:style w:type="paragraph" w:styleId="1249" w:customStyle="1">
    <w:name w:val="样式 Numbered list 2.1 +"/>
    <w:basedOn w:val="920"/>
    <w:uiPriority w:val="0"/>
    <w:qFormat/>
    <w:pPr>
      <w:numPr>
        <w:ilvl w:val="0"/>
        <w:numId w:val="9"/>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50" w:customStyle="1">
    <w:name w:val="_Style 10"/>
    <w:basedOn w:val="920"/>
    <w:uiPriority w:val="0"/>
    <w:qFormat/>
    <w:rPr>
      <w:rFonts w:ascii="Tahoma" w:hAnsi="Tahoma"/>
      <w:sz w:val="24"/>
      <w:szCs w:val="20"/>
    </w:rPr>
  </w:style>
  <w:style w:type="paragraph" w:styleId="125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252" w:customStyle="1">
    <w:name w:val="xl62"/>
    <w:basedOn w:val="920"/>
    <w:uiPriority w:val="0"/>
    <w:qFormat/>
    <w:pPr>
      <w:numPr>
        <w:ilvl w:val="0"/>
        <w:numId w:val="10"/>
      </w:numPr>
      <w:ind w:left="0" w:firstLine="0"/>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sz w:val="22"/>
      <w:szCs w:val="20"/>
    </w:rPr>
  </w:style>
  <w:style w:type="paragraph" w:styleId="1253" w:customStyle="1">
    <w:name w:val="GP（表格）"/>
    <w:basedOn w:val="920"/>
    <w:uiPriority w:val="0"/>
    <w:qFormat/>
    <w:rPr>
      <w:rFonts w:ascii="Arial" w:hAnsi="Arial" w:eastAsia="宋体"/>
      <w:sz w:val="18"/>
    </w:rPr>
  </w:style>
  <w:style w:type="paragraph" w:styleId="1254" w:customStyle="1">
    <w:name w:val="Default Text"/>
    <w:basedOn w:val="920"/>
    <w:uiPriority w:val="0"/>
    <w:qFormat/>
    <w:pPr>
      <w:jc w:val="left"/>
      <w:widowControl/>
    </w:pPr>
    <w:rPr>
      <w:rFonts w:ascii="Calibri" w:hAnsi="Calibri"/>
      <w:sz w:val="20"/>
      <w:szCs w:val="20"/>
      <w:lang w:eastAsia="en-US"/>
    </w:rPr>
  </w:style>
  <w:style w:type="paragraph" w:styleId="1255" w:customStyle="1">
    <w:name w:val="Sub Item List"/>
    <w:basedOn w:val="920"/>
    <w:uiPriority w:val="0"/>
    <w:qFormat/>
    <w:pPr>
      <w:numPr>
        <w:ilvl w:val="0"/>
        <w:numId w:val="11"/>
      </w:numPr>
      <w:jc w:val="left"/>
      <w:spacing w:before="80" w:line="240" w:lineRule="atLeast"/>
      <w:widowControl/>
    </w:pPr>
    <w:rPr>
      <w:sz w:val="21"/>
      <w:szCs w:val="21"/>
    </w:rPr>
  </w:style>
  <w:style w:type="paragraph" w:styleId="125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7" w:customStyle="1">
    <w:name w:val="列出段落"/>
    <w:basedOn w:val="920"/>
    <w:uiPriority w:val="0"/>
    <w:qFormat/>
    <w:pPr>
      <w:ind w:firstLine="420"/>
    </w:pPr>
  </w:style>
  <w:style w:type="paragraph" w:styleId="1258" w:customStyle="1">
    <w:name w:val="HPC正文"/>
    <w:basedOn w:val="920"/>
    <w:uiPriority w:val="0"/>
    <w:qFormat/>
    <w:pPr>
      <w:ind w:firstLine="424"/>
      <w:spacing w:line="360" w:lineRule="auto"/>
    </w:pPr>
    <w:rPr>
      <w:sz w:val="24"/>
    </w:rPr>
  </w:style>
  <w:style w:type="paragraph" w:styleId="1259"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0" w:customStyle="1">
    <w:name w:val="一级项目符号"/>
    <w:basedOn w:val="920"/>
    <w:uiPriority w:val="0"/>
    <w:qFormat/>
    <w:pPr>
      <w:numPr>
        <w:ilvl w:val="0"/>
        <w:numId w:val="12"/>
      </w:numPr>
      <w:spacing w:line="360" w:lineRule="auto"/>
      <w:widowControl/>
    </w:pPr>
    <w:rPr>
      <w:rFonts w:ascii="Calibri" w:hAnsi="Calibri" w:eastAsia="宋体"/>
      <w:sz w:val="24"/>
    </w:rPr>
  </w:style>
  <w:style w:type="paragraph" w:styleId="1261" w:customStyle="1">
    <w:name w:val="示例"/>
    <w:next w:val="914"/>
    <w:uiPriority w:val="0"/>
    <w:qFormat/>
    <w:pPr>
      <w:numPr>
        <w:ilvl w:val="0"/>
        <w:numId w:val="2"/>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62" w:customStyle="1">
    <w:name w:val="正文编号"/>
    <w:basedOn w:val="920"/>
    <w:uiPriority w:val="0"/>
    <w:qFormat/>
    <w:pPr>
      <w:numPr>
        <w:ilvl w:val="0"/>
        <w:numId w:val="13"/>
      </w:numPr>
      <w:spacing w:line="400" w:lineRule="exact"/>
    </w:pPr>
    <w:rPr>
      <w:rFonts w:eastAsia="楷体_GB2312"/>
      <w:spacing w:val="8"/>
      <w:sz w:val="28"/>
      <w:szCs w:val="20"/>
    </w:rPr>
  </w:style>
  <w:style w:type="paragraph" w:styleId="1263" w:customStyle="1">
    <w:name w:val="注×："/>
    <w:uiPriority w:val="0"/>
    <w:qFormat/>
    <w:pPr>
      <w:numPr>
        <w:ilvl w:val="0"/>
        <w:numId w:val="14"/>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64" w:customStyle="1">
    <w:name w:val="jx标题1"/>
    <w:basedOn w:val="1087"/>
    <w:uiPriority w:val="0"/>
    <w:qFormat/>
    <w:pPr>
      <w:numPr>
        <w:ilvl w:val="0"/>
        <w:numId w:val="15"/>
      </w:numPr>
      <w:spacing w:line="360" w:lineRule="auto"/>
    </w:pPr>
    <w:rPr>
      <w:rFonts w:ascii="Calibri" w:hAnsi="Calibri" w:eastAsia="黑体"/>
      <w:bCs/>
      <w:sz w:val="44"/>
      <w:szCs w:val="44"/>
    </w:rPr>
  </w:style>
  <w:style w:type="paragraph" w:styleId="1265" w:customStyle="1">
    <w:name w:val="样式2"/>
    <w:basedOn w:val="1087"/>
    <w:uiPriority w:val="0"/>
    <w:qFormat/>
    <w:pPr>
      <w:numPr>
        <w:ilvl w:val="0"/>
        <w:numId w:val="16"/>
      </w:numPr>
      <w:ind w:left="360" w:hanging="360"/>
      <w:spacing w:before="0" w:after="0" w:line="400" w:lineRule="atLeast"/>
      <w:widowControl/>
      <w:tabs>
        <w:tab w:val="left" w:pos="480" w:leader="none"/>
      </w:tabs>
      <w:outlineLvl w:val="9"/>
    </w:pPr>
    <w:rPr>
      <w:rFonts w:ascii="宋体" w:eastAsia="黑体"/>
      <w:sz w:val="21"/>
    </w:rPr>
  </w:style>
  <w:style w:type="paragraph" w:styleId="1266" w:customStyle="1">
    <w:name w:val="Char"/>
    <w:basedOn w:val="920"/>
    <w:uiPriority w:val="0"/>
    <w:qFormat/>
    <w:pPr>
      <w:tabs>
        <w:tab w:val="left" w:pos="360" w:leader="none"/>
      </w:tabs>
    </w:pPr>
    <w:rPr>
      <w:sz w:val="24"/>
    </w:rPr>
  </w:style>
  <w:style w:type="paragraph" w:styleId="1267" w:customStyle="1">
    <w:name w:val="修订"/>
    <w:uiPriority w:val="0"/>
    <w:semiHidden/>
    <w:qFormat/>
    <w:rPr>
      <w:rFonts w:hint="default" w:ascii="Times New Roman" w:hAnsi="Times New Roman" w:eastAsia="宋体" w:cs="Times New Roman"/>
      <w:sz w:val="21"/>
      <w:szCs w:val="24"/>
      <w:lang w:val="en-US" w:eastAsia="zh-CN" w:bidi="ar-SA"/>
    </w:rPr>
  </w:style>
  <w:style w:type="paragraph" w:styleId="1268" w:customStyle="1">
    <w:name w:val="正文缩进编号"/>
    <w:basedOn w:val="920"/>
    <w:uiPriority w:val="0"/>
    <w:qFormat/>
    <w:pPr>
      <w:numPr>
        <w:ilvl w:val="0"/>
        <w:numId w:val="17"/>
      </w:numPr>
      <w:ind w:left="840"/>
      <w:spacing w:line="360" w:lineRule="auto"/>
    </w:pPr>
    <w:rPr>
      <w:rFonts w:ascii="Calibri" w:hAnsi="Calibri"/>
      <w:sz w:val="24"/>
      <w:szCs w:val="21"/>
    </w:rPr>
  </w:style>
  <w:style w:type="character" w:styleId="1269" w:customStyle="1">
    <w:name w:val="页眉 字符"/>
    <w:link w:val="920"/>
    <w:uiPriority w:val="0"/>
    <w:qFormat/>
    <w:rPr>
      <w:rFonts w:eastAsia="宋体"/>
      <w:sz w:val="18"/>
      <w:szCs w:val="18"/>
      <w:lang w:val="en-US" w:eastAsia="zh-CN" w:bidi="ar-SA"/>
    </w:rPr>
  </w:style>
  <w:style w:type="paragraph" w:styleId="1270" w:customStyle="1">
    <w:name w:val="Table Paragraph"/>
    <w:basedOn w:val="920"/>
    <w:uiPriority w:val="0"/>
    <w:qFormat/>
    <w:pPr>
      <w:jc w:val="left"/>
    </w:pPr>
    <w:rPr>
      <w:rFonts w:ascii="Arial Unicode MS" w:hAnsi="Arial Unicode MS" w:eastAsia="Arial Unicode MS"/>
      <w:sz w:val="22"/>
      <w:szCs w:val="22"/>
      <w:lang w:val="zh-CN" w:bidi="zh-CN"/>
    </w:rPr>
  </w:style>
  <w:style w:type="character" w:styleId="1271" w:customStyle="1">
    <w:name w:val="页脚 字符"/>
    <w:link w:val="920"/>
    <w:uiPriority w:val="0"/>
    <w:qFormat/>
    <w:rPr>
      <w:rFonts w:eastAsia="宋体"/>
      <w:sz w:val="18"/>
      <w:szCs w:val="18"/>
      <w:lang w:val="en-US" w:eastAsia="zh-CN" w:bidi="ar-SA"/>
    </w:rPr>
  </w:style>
  <w:style w:type="character" w:styleId="1272" w:customStyle="1">
    <w:name w:val="纯文本 字符"/>
    <w:link w:val="920"/>
    <w:uiPriority w:val="0"/>
    <w:qFormat/>
    <w:rPr>
      <w:rFonts w:ascii="宋体" w:hAnsi="Courier New" w:eastAsia="宋体"/>
      <w:sz w:val="21"/>
      <w:szCs w:val="21"/>
      <w:lang w:bidi="ar-SA"/>
    </w:rPr>
  </w:style>
  <w:style w:type="paragraph" w:styleId="1273" w:customStyle="1">
    <w:name w:val="qowt-stl-正文"/>
    <w:basedOn w:val="872"/>
    <w:uiPriority w:val="0"/>
    <w:qFormat/>
    <w:pPr>
      <w:jc w:val="left"/>
      <w:spacing w:before="100" w:beforeAutospacing="1" w:after="100" w:afterAutospacing="1"/>
      <w:widowControl/>
    </w:pPr>
    <w:rPr>
      <w:rFonts w:ascii="宋体" w:hAnsi="宋体"/>
      <w:sz w:val="24"/>
    </w:rPr>
  </w:style>
  <w:style w:type="character" w:styleId="1274" w:customStyle="1">
    <w:name w:val="qowt-font4"/>
    <w:link w:val="920"/>
    <w:uiPriority w:val="0"/>
    <w:qFormat/>
  </w:style>
  <w:style w:type="character" w:styleId="1275" w:customStyle="1">
    <w:name w:val="font01"/>
    <w:link w:val="920"/>
    <w:uiPriority w:val="0"/>
    <w:qFormat/>
    <w:rPr>
      <w:rFonts w:ascii="宋体" w:hAnsi="宋体" w:eastAsia="宋体"/>
      <w:color w:val="000000"/>
      <w:sz w:val="22"/>
      <w:szCs w:val="22"/>
      <w:u w:val="none"/>
    </w:rPr>
  </w:style>
  <w:style w:type="character" w:styleId="1276" w:customStyle="1">
    <w:name w:val="qowt-font2"/>
    <w:link w:val="920"/>
    <w:uiPriority w:val="0"/>
    <w:qFormat/>
  </w:style>
  <w:style w:type="paragraph" w:styleId="1277" w:customStyle="1">
    <w:name w:val="qowt-stl-正文缩进"/>
    <w:basedOn w:val="920"/>
    <w:uiPriority w:val="0"/>
    <w:qFormat/>
    <w:pPr>
      <w:jc w:val="left"/>
      <w:spacing w:before="100" w:beforeAutospacing="1" w:after="100" w:afterAutospacing="1"/>
      <w:widowControl/>
    </w:pPr>
    <w:rPr>
      <w:rFonts w:ascii="宋体" w:hAnsi="宋体"/>
      <w:sz w:val="24"/>
    </w:rPr>
  </w:style>
  <w:style w:type="character" w:styleId="1278" w:customStyle="1">
    <w:name w:val="页脚 Char1"/>
    <w:link w:val="920"/>
    <w:uiPriority w:val="0"/>
    <w:qFormat/>
    <w:rPr>
      <w:sz w:val="18"/>
      <w:szCs w:val="18"/>
    </w:rPr>
  </w:style>
  <w:style w:type="character" w:styleId="1279" w:customStyle="1">
    <w:name w:val="*正文 Char"/>
    <w:link w:val="1280"/>
    <w:uiPriority w:val="0"/>
    <w:qFormat/>
    <w:rPr>
      <w:rFonts w:ascii="仿宋" w:hAnsi="仿宋" w:eastAsia="仿宋"/>
      <w:sz w:val="24"/>
      <w:szCs w:val="24"/>
    </w:rPr>
  </w:style>
  <w:style w:type="paragraph" w:styleId="1280" w:customStyle="1">
    <w:name w:val="*正文"/>
    <w:basedOn w:val="920"/>
    <w:link w:val="1279"/>
    <w:uiPriority w:val="0"/>
    <w:qFormat/>
    <w:pPr>
      <w:ind w:firstLine="480"/>
      <w:spacing w:line="440" w:lineRule="exact"/>
    </w:pPr>
    <w:rPr>
      <w:rFonts w:ascii="仿宋" w:hAnsi="仿宋" w:eastAsia="仿宋"/>
      <w:sz w:val="24"/>
    </w:rPr>
  </w:style>
  <w:style w:type="paragraph" w:styleId="1281" w:customStyle="1">
    <w:name w:val="引用"/>
    <w:basedOn w:val="920"/>
    <w:next w:val="920"/>
    <w:link w:val="1282"/>
    <w:uiPriority w:val="0"/>
    <w:qFormat/>
    <w:rPr>
      <w:i/>
      <w:iCs/>
      <w:color w:val="000000"/>
    </w:rPr>
  </w:style>
  <w:style w:type="character" w:styleId="1282" w:customStyle="1">
    <w:name w:val="引用 Char"/>
    <w:link w:val="1281"/>
    <w:uiPriority w:val="0"/>
    <w:qFormat/>
    <w:rPr>
      <w:i/>
      <w:iCs/>
      <w:color w:val="000000"/>
      <w:sz w:val="21"/>
      <w:szCs w:val="24"/>
    </w:rPr>
  </w:style>
  <w:style w:type="paragraph" w:styleId="1283" w:customStyle="1">
    <w:name w:val="_Style 28"/>
    <w:uiPriority w:val="0"/>
    <w:qFormat/>
    <w:rPr>
      <w:rFonts w:hint="default" w:ascii="Times New Roman" w:hAnsi="Times New Roman" w:eastAsia="宋体" w:cs="Times New Roman"/>
      <w:sz w:val="21"/>
      <w:szCs w:val="24"/>
      <w:lang w:val="en-US" w:eastAsia="zh-CN" w:bidi="ar-SA"/>
    </w:rPr>
  </w:style>
  <w:style w:type="paragraph" w:styleId="1284" w:customStyle="1">
    <w:name w:val="正文缩进2字符"/>
    <w:basedOn w:val="920"/>
    <w:uiPriority w:val="0"/>
    <w:qFormat/>
    <w:pPr>
      <w:ind w:firstLine="200"/>
      <w:jc w:val="left"/>
      <w:spacing w:line="360" w:lineRule="auto"/>
    </w:pPr>
    <w:rPr>
      <w:sz w:val="24"/>
      <w:szCs w:val="20"/>
    </w:rPr>
  </w:style>
  <w:style w:type="paragraph" w:styleId="1285" w:customStyle="1">
    <w:name w:val="p0"/>
    <w:basedOn w:val="920"/>
    <w:uiPriority w:val="0"/>
    <w:qFormat/>
    <w:pPr>
      <w:widowControl/>
    </w:pPr>
    <w:rPr>
      <w:sz w:val="21"/>
      <w:szCs w:val="21"/>
    </w:rPr>
  </w:style>
  <w:style w:type="paragraph" w:styleId="1286" w:customStyle="1">
    <w:name w:val="并列样式"/>
    <w:basedOn w:val="920"/>
    <w:uiPriority w:val="0"/>
    <w:qFormat/>
    <w:pPr>
      <w:spacing w:before="60" w:after="60"/>
    </w:pPr>
    <w:rPr>
      <w:rFonts w:ascii="Times New Roman" w:hAnsi="Times New Roman"/>
      <w:sz w:val="24"/>
      <w:szCs w:val="20"/>
    </w:rPr>
  </w:style>
  <w:style w:type="paragraph" w:styleId="1287" w:customStyle="1">
    <w:name w:val="表格3"/>
    <w:basedOn w:val="920"/>
    <w:uiPriority w:val="0"/>
    <w:qFormat/>
    <w:pPr>
      <w:jc w:val="center"/>
    </w:pPr>
  </w:style>
  <w:style w:type="paragraph" w:styleId="1288" w:customStyle="1">
    <w:name w:val="正文 A"/>
    <w:uiPriority w:val="0"/>
    <w:qFormat/>
    <w:pPr>
      <w:jc w:val="both"/>
      <w:widowControl w:val="off"/>
    </w:pPr>
    <w:rPr>
      <w:rFonts w:hint="default" w:ascii="Times New Roman" w:hAnsi="Times New Roman" w:eastAsia="Arial Unicode MS" w:cs="Times New Roman"/>
      <w:color w:val="000000"/>
      <w:sz w:val="32"/>
      <w:szCs w:val="32"/>
      <w:lang w:val="en-US" w:eastAsia="zh-CN" w:bidi="ar-SA"/>
    </w:rPr>
  </w:style>
  <w:style w:type="paragraph" w:styleId="1289" w:customStyle="1">
    <w:name w:val="Blockquote"/>
    <w:basedOn w:val="920"/>
    <w:uiPriority w:val="0"/>
    <w:qFormat/>
    <w:pPr>
      <w:ind w:left="764" w:right="567"/>
      <w:jc w:val="left"/>
      <w:spacing w:before="100" w:after="100"/>
    </w:pPr>
    <w:rPr>
      <w:sz w:val="24"/>
    </w:rPr>
  </w:style>
  <w:style w:type="paragraph" w:styleId="1290" w:customStyle="1">
    <w:name w:val="BodyText"/>
    <w:basedOn w:val="920"/>
    <w:uiPriority w:val="0"/>
    <w:qFormat/>
    <w:pPr>
      <w:spacing w:line="380" w:lineRule="exact"/>
    </w:pPr>
  </w:style>
  <w:style w:type="paragraph" w:styleId="1291" w:customStyle="1">
    <w:name w:val="Body text|1"/>
    <w:basedOn w:val="920"/>
    <w:uiPriority w:val="0"/>
    <w:qFormat/>
    <w:pPr>
      <w:ind w:firstLine="400"/>
      <w:jc w:val="left"/>
      <w:spacing w:line="415" w:lineRule="auto"/>
    </w:pPr>
    <w:rPr>
      <w:rFonts w:ascii="宋体" w:hAnsi="宋体"/>
      <w:color w:val="000000"/>
      <w:sz w:val="30"/>
      <w:szCs w:val="30"/>
    </w:rPr>
  </w:style>
  <w:style w:type="paragraph" w:styleId="1292" w:customStyle="1">
    <w:name w:val="Body text|3"/>
    <w:basedOn w:val="920"/>
    <w:uiPriority w:val="0"/>
    <w:qFormat/>
    <w:pPr>
      <w:ind w:left="260" w:hanging="260"/>
      <w:jc w:val="left"/>
    </w:pPr>
    <w:rPr>
      <w:color w:val="000000"/>
      <w:sz w:val="26"/>
      <w:szCs w:val="26"/>
    </w:rPr>
  </w:style>
  <w:style w:type="paragraph" w:styleId="1293"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4" w:customStyle="1">
    <w:name w:val="font101"/>
    <w:link w:val="920"/>
    <w:uiPriority w:val="0"/>
    <w:qFormat/>
    <w:rPr>
      <w:rFonts w:ascii="宋体" w:hAnsi="宋体" w:eastAsia="宋体"/>
      <w:b/>
      <w:color w:val="000000"/>
      <w:sz w:val="20"/>
      <w:szCs w:val="20"/>
      <w:u w:val="none"/>
    </w:rPr>
  </w:style>
  <w:style w:type="character" w:styleId="1295" w:customStyle="1">
    <w:name w:val="10"/>
    <w:link w:val="920"/>
    <w:uiPriority w:val="0"/>
    <w:qFormat/>
  </w:style>
  <w:style w:type="character" w:styleId="1296" w:customStyle="1">
    <w:name w:val="font112"/>
    <w:link w:val="920"/>
    <w:uiPriority w:val="0"/>
    <w:qFormat/>
    <w:rPr>
      <w:rFonts w:ascii="宋体" w:hAnsi="宋体" w:eastAsia="宋体"/>
      <w:b/>
      <w:color w:val="000000"/>
      <w:sz w:val="20"/>
      <w:szCs w:val="20"/>
      <w:u w:val="none"/>
    </w:rPr>
  </w:style>
  <w:style w:type="character" w:styleId="1297" w:customStyle="1">
    <w:name w:val="font21"/>
    <w:link w:val="920"/>
    <w:uiPriority w:val="0"/>
    <w:qFormat/>
    <w:rPr>
      <w:rFonts w:ascii="宋体" w:hAnsi="宋体" w:eastAsia="宋体"/>
      <w:color w:val="000000"/>
      <w:sz w:val="18"/>
      <w:szCs w:val="18"/>
      <w:u w:val="none"/>
    </w:rPr>
  </w:style>
  <w:style w:type="character" w:styleId="1298" w:customStyle="1">
    <w:name w:val="font11"/>
    <w:link w:val="920"/>
    <w:uiPriority w:val="0"/>
    <w:qFormat/>
    <w:rPr>
      <w:rFonts w:ascii="Times New Roman" w:hAnsi="Times New Roman"/>
      <w:color w:val="000000"/>
      <w:sz w:val="14"/>
      <w:szCs w:val="14"/>
      <w:u w:val="none"/>
    </w:rPr>
  </w:style>
  <w:style w:type="table" w:styleId="1299" w:customStyle="1">
    <w:name w:val="Table Normal"/>
    <w:uiPriority w:val="0"/>
    <w:qFormat/>
    <w:tblPr/>
  </w:style>
  <w:style w:type="paragraph" w:styleId="1300" w:customStyle="1">
    <w:name w:val="目录 111"/>
    <w:basedOn w:val="872"/>
    <w:next w:val="872"/>
    <w:uiPriority w:val="0"/>
    <w:qFormat/>
  </w:style>
  <w:style w:type="character" w:styleId="1301" w:customStyle="1">
    <w:name w:val="NormalCharacter"/>
    <w:link w:val="870"/>
    <w:uiPriority w:val="0"/>
    <w:semiHidden/>
    <w:qFormat/>
    <w:rPr>
      <w:rFonts w:hint="default" w:ascii="Times New Roman" w:hAnsi="Times New Roman" w:eastAsia="宋体" w:cs="Times New Roman"/>
      <w:sz w:val="21"/>
      <w:szCs w:val="24"/>
      <w:lang w:val="en-US" w:eastAsia="zh-CN" w:bidi="ar-SA"/>
    </w:rPr>
  </w:style>
  <w:style w:type="paragraph" w:styleId="1302" w:customStyle="1">
    <w:name w:val="BlockQuote"/>
    <w:basedOn w:val="870"/>
    <w:uiPriority w:val="0"/>
    <w:qFormat/>
    <w:pPr>
      <w:ind w:left="256" w:right="6" w:firstLine="624"/>
    </w:pPr>
    <w:rPr>
      <w:rFonts w:eastAsia="仿宋_GB2312"/>
      <w:sz w:val="28"/>
    </w:rPr>
  </w:style>
  <w:style w:type="paragraph" w:styleId="1303" w:customStyle="1">
    <w:name w:val="无间隔1"/>
    <w:uiPriority w:val="0"/>
    <w:qFormat/>
    <w:rPr>
      <w:rFonts w:hint="default" w:ascii="Calibri" w:hAnsi="Calibri" w:eastAsia="宋体" w:cs="Times New Roman"/>
      <w:sz w:val="22"/>
      <w:lang w:val="en-US" w:eastAsia="zh-CN" w:bidi="ar-SA"/>
    </w:rPr>
  </w:style>
  <w:style w:type="numbering" w:styleId="157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宏达王丹</dc:creator>
  <cp:lastModifiedBy>钦昊天</cp:lastModifiedBy>
  <cp:revision>21</cp:revision>
  <dcterms:created xsi:type="dcterms:W3CDTF">2022-08-31T14:44:00Z</dcterms:created>
  <dcterms:modified xsi:type="dcterms:W3CDTF">2026-10-10T08:40:25Z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E25EF92F279142C0AD7429A28A1F07C1_13</vt:lpwstr>
  </property>
  <property fmtid="{D5CDD505-2E9C-101B-9397-08002B2CF9AE}" pid="4" name="KSOTemplateDocerSaveRecord">
    <vt:lpwstr>eyJoZGlkIjoiMDkxZTNkYTE4MzcwZjBiNTE3ZTU5YTYxZWM3NjgzODMiLCJ1c2VySWQiOiIyNjUwNDIyMjAifQ==</vt:lpwstr>
  </property>
</Properties>
</file>