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7"/>
        <w:ind w:firstLine="0"/>
        <w:rPr>
          <w:rFonts w:hint="eastAsia" w:eastAsia="黑体"/>
          <w:b/>
          <w:bCs/>
          <w:sz w:val="84"/>
          <w:highlight w:val="none"/>
        </w:rPr>
      </w:pPr>
      <w:r>
        <w:rPr>
          <w:rFonts w:hint="eastAsia" w:eastAsia="黑体"/>
          <w:b/>
          <w:bCs/>
          <w:sz w:val="84"/>
          <w:highlight w:val="none"/>
        </w:rPr>
      </w:r>
      <w:r/>
    </w:p>
    <w:p>
      <w:pPr>
        <w:pStyle w:val="1017"/>
        <w:ind w:firstLine="0"/>
        <w:jc w:val="center"/>
        <w:rPr>
          <w:rFonts w:hint="eastAsia" w:ascii="方正小标宋_GBK" w:hAnsi="方正小标宋_GBK" w:eastAsia="方正小标宋_GBK" w:cs="方正小标宋_GBK"/>
          <w:b w:val="0"/>
          <w:bCs w:val="0"/>
          <w:sz w:val="28"/>
          <w:szCs w:val="28"/>
          <w:highlight w:val="none"/>
        </w:rPr>
      </w:pPr>
      <w:r>
        <w:rPr>
          <w:rFonts w:hint="eastAsia" w:ascii="方正小标宋_GBK" w:hAnsi="方正小标宋_GBK" w:eastAsia="方正小标宋_GBK" w:cs="方正小标宋_GBK"/>
          <w:b w:val="0"/>
          <w:bCs w:val="0"/>
          <w:sz w:val="28"/>
          <w:szCs w:val="28"/>
          <w:highlight w:val="none"/>
        </w:rPr>
        <w:t xml:space="preserve">招　标　文　件</w:t>
      </w:r>
      <w:r/>
    </w:p>
    <w:p>
      <w:pPr>
        <w:pStyle w:val="1017"/>
        <w:ind w:firstLine="1968"/>
        <w:keepLines w:val="0"/>
        <w:keepNext w:val="0"/>
        <w:pageBreakBefore w:val="0"/>
        <w:spacing w:line="400" w:lineRule="exact"/>
        <w:widowControl w:val="off"/>
        <w:rPr>
          <w:rFonts w:hint="eastAsia"/>
          <w:b/>
          <w:bCs/>
          <w:sz w:val="28"/>
          <w:szCs w:val="28"/>
          <w:highlight w:val="none"/>
        </w:rPr>
      </w:pPr>
      <w:r>
        <w:rPr>
          <w:rFonts w:hint="eastAsia"/>
          <w:b/>
          <w:bCs/>
          <w:sz w:val="28"/>
          <w:szCs w:val="28"/>
          <w:highlight w:val="none"/>
        </w:rPr>
      </w:r>
      <w:r/>
    </w:p>
    <w:p>
      <w:pPr>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rPr>
        <w:t xml:space="preserve">项目名称：数据处理系统（数据中心二期）</w:t>
      </w:r>
      <w:bookmarkStart w:id="200" w:name="_GoBack"/>
      <w:r/>
      <w:bookmarkEnd w:id="200"/>
      <w:r/>
      <w:r/>
    </w:p>
    <w:p>
      <w:pPr>
        <w:ind w:firstLine="560"/>
        <w:jc w:val="left"/>
        <w:keepLines w:val="0"/>
        <w:keepNext w:val="0"/>
        <w:pageBreakBefore w:val="0"/>
        <w:spacing w:before="120" w:after="120" w:line="400" w:lineRule="exact"/>
        <w:widowControl w:val="off"/>
        <w:rPr>
          <w:rFonts w:hint="eastAsia"/>
          <w:b/>
          <w:color w:val="ff0000"/>
          <w:sz w:val="28"/>
          <w:szCs w:val="28"/>
          <w:highlight w:val="none"/>
        </w:rPr>
      </w:pPr>
      <w:r>
        <w:rPr>
          <w:rFonts w:hint="eastAsia" w:ascii="方正黑体_GBK" w:hAnsi="方正黑体_GBK" w:eastAsia="方正黑体_GBK" w:cs="方正黑体_GBK"/>
          <w:b w:val="0"/>
          <w:bCs w:val="0"/>
          <w:color w:val="000000"/>
          <w:sz w:val="28"/>
          <w:szCs w:val="28"/>
          <w:highlight w:val="none"/>
          <w:lang w:eastAsia="zh-CN"/>
        </w:rPr>
        <w:t xml:space="preserve">采购编号</w:t>
      </w:r>
      <w:r>
        <w:rPr>
          <w:rFonts w:hint="eastAsia" w:ascii="方正黑体_GBK" w:hAnsi="方正黑体_GBK" w:eastAsia="方正黑体_GBK" w:cs="方正黑体_GBK"/>
          <w:b w:val="0"/>
          <w:bCs w:val="0"/>
          <w:color w:val="000000"/>
          <w:sz w:val="28"/>
          <w:szCs w:val="28"/>
          <w:highlight w:val="none"/>
        </w:rPr>
        <w:t xml:space="preserve">：</w:t>
      </w:r>
      <w:r>
        <w:rPr>
          <w:rFonts w:ascii="Times New Roman" w:hAnsi="Times New Roman" w:eastAsia="方正黑体_GBK" w:cs="Times New Roman"/>
          <w:b w:val="0"/>
          <w:bCs w:val="0"/>
          <w:color w:val="000000"/>
          <w:sz w:val="28"/>
          <w:szCs w:val="28"/>
          <w:highlight w:val="none"/>
        </w:rPr>
        <w:tab/>
      </w:r>
      <w:r>
        <w:rPr>
          <w:rFonts w:ascii="Times New Roman" w:hAnsi="Times New Roman" w:eastAsia="方正黑体_GBK" w:cs="Times New Roman"/>
          <w:b w:val="0"/>
          <w:bCs w:val="0"/>
          <w:color w:val="000000"/>
          <w:sz w:val="28"/>
          <w:szCs w:val="28"/>
          <w:highlight w:val="none"/>
        </w:rPr>
        <w:t xml:space="preserve">JSZC-320000-SCZX-G2026-0406   </w:t>
      </w:r>
      <w:r>
        <w:rPr>
          <w:rFonts w:hint="eastAsia"/>
          <w:sz w:val="28"/>
          <w:szCs w:val="28"/>
          <w:highlight w:val="none"/>
        </w:rPr>
        <w:t xml:space="preserve">  </w:t>
      </w:r>
      <w:r>
        <w:rPr>
          <w:rFonts w:hint="eastAsia"/>
          <w:b/>
          <w:sz w:val="28"/>
          <w:szCs w:val="28"/>
          <w:highlight w:val="none"/>
        </w:rPr>
        <w:t xml:space="preserve">   </w:t>
      </w:r>
      <w:r>
        <w:rPr>
          <w:sz w:val="28"/>
          <w:szCs w:val="28"/>
          <w:highlight w:val="none"/>
        </w:rPr>
        <w:t xml:space="preserve">  </w:t>
      </w:r>
      <w:r>
        <w:rPr>
          <w:b/>
          <w:sz w:val="28"/>
          <w:szCs w:val="28"/>
          <w:highlight w:val="none"/>
        </w:rPr>
        <w:t xml:space="preserve"> </w:t>
      </w:r>
      <w:r/>
    </w:p>
    <w:p>
      <w:pPr>
        <w:pStyle w:val="1017"/>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1017"/>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1017"/>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1017"/>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1017"/>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1017"/>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1017"/>
        <w:ind w:firstLine="0"/>
        <w:spacing w:before="0" w:after="0"/>
        <w:rPr>
          <w:rFonts w:hint="eastAsia" w:ascii="宋体" w:hAnsi="宋体"/>
          <w:sz w:val="28"/>
          <w:szCs w:val="28"/>
          <w:highlight w:val="none"/>
        </w:rPr>
      </w:pPr>
      <w:r>
        <w:rPr>
          <w:rFonts w:hint="eastAsia" w:ascii="宋体" w:hAnsi="宋体"/>
          <w:sz w:val="28"/>
          <w:szCs w:val="28"/>
          <w:highlight w:val="none"/>
        </w:rPr>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rPr>
        <w:t xml:space="preserve">江苏省政府采购中心</w:t>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lang w:val="en-US" w:eastAsia="zh-CN"/>
        </w:rPr>
        <w:t xml:space="preserve">2026</w:t>
      </w:r>
      <w:r>
        <w:rPr>
          <w:rFonts w:hint="eastAsia" w:ascii="方正黑体_GBK" w:hAnsi="方正黑体_GBK" w:eastAsia="方正黑体_GBK" w:cs="方正黑体_GBK"/>
          <w:b w:val="0"/>
          <w:bCs w:val="0"/>
          <w:color w:val="000000"/>
          <w:sz w:val="28"/>
          <w:szCs w:val="28"/>
          <w:highlight w:val="none"/>
        </w:rPr>
        <w:t xml:space="preserve">年</w:t>
      </w:r>
      <w:r>
        <w:rPr>
          <w:rFonts w:hint="eastAsia" w:ascii="方正黑体_GBK" w:hAnsi="方正黑体_GBK" w:eastAsia="方正黑体_GBK" w:cs="方正黑体_GBK"/>
          <w:b w:val="0"/>
          <w:bCs w:val="0"/>
          <w:color w:val="000000"/>
          <w:sz w:val="28"/>
          <w:szCs w:val="28"/>
          <w:highlight w:val="none"/>
          <w:lang w:val="en-US" w:eastAsia="zh-CN"/>
        </w:rPr>
        <w:t xml:space="preserve">10</w:t>
      </w:r>
      <w:r>
        <w:rPr>
          <w:rFonts w:hint="eastAsia" w:ascii="方正黑体_GBK" w:hAnsi="方正黑体_GBK" w:eastAsia="方正黑体_GBK" w:cs="方正黑体_GBK"/>
          <w:b w:val="0"/>
          <w:bCs w:val="0"/>
          <w:color w:val="000000"/>
          <w:sz w:val="28"/>
          <w:szCs w:val="28"/>
          <w:highlight w:val="none"/>
        </w:rPr>
        <w:t xml:space="preserve">月</w:t>
      </w:r>
      <w:r/>
    </w:p>
    <w:p>
      <w:pPr>
        <w:pStyle w:val="1017"/>
        <w:ind w:firstLine="0"/>
        <w:rPr>
          <w:rFonts w:hint="eastAsia"/>
          <w:highlight w:val="none"/>
          <w:u w:val="single"/>
        </w:rPr>
      </w:pPr>
      <w:r>
        <w:rPr>
          <w:rFonts w:hint="eastAsia"/>
          <w:highlight w:val="none"/>
        </w:rPr>
        <w:t xml:space="preserve">                        </w:t>
      </w:r>
      <w:r/>
    </w:p>
    <w:p>
      <w:pPr>
        <w:pStyle w:val="1017"/>
        <w:ind w:firstLine="0"/>
        <w:jc w:val="center"/>
        <w:rPr>
          <w:rFonts w:hint="eastAsia"/>
          <w:highlight w:val="none"/>
        </w:rPr>
      </w:pPr>
      <w:r>
        <w:rPr>
          <w:rFonts w:hint="eastAsia"/>
          <w:highlight w:val="none"/>
        </w:rPr>
      </w:r>
      <w:r/>
    </w:p>
    <w:p>
      <w:pPr>
        <w:jc w:val="center"/>
        <w:keepLines w:val="0"/>
        <w:keepNext w:val="0"/>
        <w:pageBreakBefore w:val="0"/>
        <w:spacing w:line="400" w:lineRule="exact"/>
        <w:widowControl w:val="off"/>
        <w:rPr>
          <w:rFonts w:hint="eastAsia" w:ascii="黑体" w:hAnsi="Arial" w:eastAsia="黑体"/>
          <w:b/>
          <w:sz w:val="28"/>
          <w:szCs w:val="28"/>
          <w:highlight w:val="none"/>
        </w:rPr>
        <w:outlineLvl w:val="0"/>
      </w:pPr>
      <w:r>
        <w:rPr>
          <w:highlight w:val="none"/>
        </w:rPr>
        <w:br w:type="page" w:clear="all"/>
      </w:r>
      <w:bookmarkStart w:id="0" w:name="_Toc120614210"/>
      <w:r/>
      <w:bookmarkStart w:id="1" w:name="_Toc20823272"/>
      <w:r/>
      <w:bookmarkStart w:id="2" w:name="_Toc16938516"/>
      <w:r/>
      <w:bookmarkStart w:id="3" w:name="_Toc513029200"/>
      <w:r/>
      <w:bookmarkStart w:id="4" w:name="_Toc479757206"/>
      <w:r/>
      <w:bookmarkStart w:id="5" w:name="_Toc523127445"/>
      <w:r>
        <w:rPr>
          <w:rFonts w:hint="eastAsia" w:ascii="方正黑体_GBK" w:hAnsi="方正黑体_GBK" w:eastAsia="方正黑体_GBK" w:cs="方正黑体_GBK"/>
          <w:b/>
          <w:color w:val="000000"/>
          <w:sz w:val="28"/>
          <w:szCs w:val="28"/>
          <w:highlight w:val="none"/>
        </w:rPr>
        <w:t xml:space="preserve"> </w:t>
      </w:r>
      <w:r>
        <w:rPr>
          <w:rFonts w:hint="eastAsia" w:ascii="方正黑体_GBK" w:hAnsi="方正黑体_GBK" w:eastAsia="方正黑体_GBK" w:cs="方正黑体_GBK"/>
          <w:b w:val="0"/>
          <w:bCs/>
          <w:color w:val="000000"/>
          <w:sz w:val="28"/>
          <w:szCs w:val="28"/>
          <w:highlight w:val="none"/>
        </w:rPr>
        <w:t xml:space="preserve">总  目  录</w:t>
      </w:r>
      <w:r/>
    </w:p>
    <w:p>
      <w:pPr>
        <w:numPr>
          <w:ilvl w:val="0"/>
          <w:numId w:val="0"/>
        </w:numP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lang w:eastAsia="zh-CN"/>
        </w:rPr>
        <w:t xml:space="preserve">第一章</w:t>
      </w:r>
      <w:r>
        <w:rPr>
          <w:rFonts w:hint="eastAsia" w:ascii="方正黑体_GBK" w:hAnsi="方正黑体_GBK" w:eastAsia="方正黑体_GBK" w:cs="方正黑体_GBK"/>
          <w:color w:val="000000"/>
          <w:sz w:val="28"/>
          <w:szCs w:val="28"/>
          <w:highlight w:val="none"/>
          <w:lang w:val="en-US" w:eastAsia="zh-CN"/>
        </w:rPr>
        <w:t xml:space="preserve"> </w:t>
      </w:r>
      <w:r>
        <w:rPr>
          <w:rFonts w:hint="eastAsia" w:ascii="方正黑体_GBK" w:hAnsi="方正黑体_GBK" w:eastAsia="方正黑体_GBK" w:cs="方正黑体_GBK"/>
          <w:color w:val="000000"/>
          <w:sz w:val="28"/>
          <w:szCs w:val="28"/>
          <w:highlight w:val="none"/>
        </w:rPr>
        <w:t xml:space="preserve">投标邀请……………………………………</w:t>
      </w:r>
      <w:r>
        <w:rPr>
          <w:rFonts w:hint="eastAsia" w:ascii="方正黑体_GBK" w:hAnsi="方正黑体_GBK" w:eastAsia="方正黑体_GBK" w:cs="方正黑体_GBK"/>
          <w:color w:val="000000"/>
          <w:sz w:val="28"/>
          <w:szCs w:val="28"/>
          <w:highlight w:val="none"/>
          <w:lang w:val="en-US" w:eastAsia="zh-CN"/>
        </w:rPr>
        <w:t xml:space="preserve">3</w:t>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lang w:eastAsia="zh-CN"/>
        </w:rPr>
        <w:t xml:space="preserve">第二章</w:t>
      </w:r>
      <w:r>
        <w:rPr>
          <w:rFonts w:hint="eastAsia" w:ascii="方正黑体_GBK" w:hAnsi="方正黑体_GBK" w:eastAsia="方正黑体_GBK" w:cs="方正黑体_GBK"/>
          <w:color w:val="000000"/>
          <w:sz w:val="28"/>
          <w:szCs w:val="28"/>
          <w:highlight w:val="none"/>
          <w:lang w:val="en-US" w:eastAsia="zh-CN"/>
        </w:rPr>
        <w:t xml:space="preserve"> </w:t>
      </w:r>
      <w:r>
        <w:rPr>
          <w:rFonts w:hint="eastAsia" w:ascii="方正黑体_GBK" w:hAnsi="方正黑体_GBK" w:eastAsia="方正黑体_GBK" w:cs="方正黑体_GBK"/>
          <w:color w:val="000000"/>
          <w:sz w:val="28"/>
          <w:szCs w:val="28"/>
          <w:highlight w:val="none"/>
        </w:rPr>
        <w:t xml:space="preserve">投标人须知…………………………………</w:t>
      </w:r>
      <w:r>
        <w:rPr>
          <w:rFonts w:hint="eastAsia" w:ascii="方正黑体_GBK" w:hAnsi="方正黑体_GBK" w:eastAsia="方正黑体_GBK" w:cs="方正黑体_GBK"/>
          <w:color w:val="000000"/>
          <w:sz w:val="28"/>
          <w:szCs w:val="28"/>
          <w:highlight w:val="none"/>
          <w:lang w:val="en-US" w:eastAsia="zh-CN"/>
        </w:rPr>
        <w:t xml:space="preserve">6</w:t>
      </w:r>
      <w:r/>
    </w:p>
    <w:p>
      <w:pPr>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lang w:eastAsia="zh-CN"/>
        </w:rPr>
        <w:t xml:space="preserve">第三章</w:t>
      </w:r>
      <w:r>
        <w:rPr>
          <w:rFonts w:hint="eastAsia" w:ascii="方正黑体_GBK" w:hAnsi="方正黑体_GBK" w:eastAsia="方正黑体_GBK" w:cs="方正黑体_GBK"/>
          <w:color w:val="000000"/>
          <w:sz w:val="28"/>
          <w:szCs w:val="28"/>
          <w:highlight w:val="none"/>
          <w:lang w:val="en-US" w:eastAsia="zh-CN"/>
        </w:rPr>
        <w:t xml:space="preserve"> </w:t>
      </w:r>
      <w:r>
        <w:rPr>
          <w:rFonts w:hint="eastAsia" w:ascii="方正黑体_GBK" w:hAnsi="方正黑体_GBK" w:eastAsia="方正黑体_GBK" w:cs="方正黑体_GBK"/>
          <w:color w:val="000000"/>
          <w:sz w:val="28"/>
          <w:szCs w:val="28"/>
          <w:highlight w:val="none"/>
        </w:rPr>
        <w:t xml:space="preserve">合同文本……………………………………</w:t>
      </w:r>
      <w:r>
        <w:rPr>
          <w:rFonts w:hint="eastAsia" w:ascii="方正黑体_GBK" w:hAnsi="方正黑体_GBK" w:eastAsia="方正黑体_GBK" w:cs="方正黑体_GBK"/>
          <w:color w:val="000000"/>
          <w:sz w:val="28"/>
          <w:szCs w:val="28"/>
          <w:highlight w:val="none"/>
          <w:lang w:val="en-US" w:eastAsia="zh-CN"/>
        </w:rPr>
        <w:t xml:space="preserve">16</w:t>
      </w:r>
      <w:r/>
    </w:p>
    <w:p>
      <w:pPr>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lang w:eastAsia="zh-CN"/>
        </w:rPr>
        <w:t xml:space="preserve">第四章</w:t>
      </w:r>
      <w:r>
        <w:rPr>
          <w:rFonts w:hint="eastAsia" w:ascii="方正黑体_GBK" w:hAnsi="方正黑体_GBK" w:eastAsia="方正黑体_GBK" w:cs="方正黑体_GBK"/>
          <w:color w:val="000000"/>
          <w:sz w:val="28"/>
          <w:szCs w:val="28"/>
          <w:highlight w:val="none"/>
          <w:lang w:val="en-US" w:eastAsia="zh-CN"/>
        </w:rPr>
        <w:t xml:space="preserve"> </w:t>
      </w:r>
      <w:r>
        <w:rPr>
          <w:rFonts w:hint="eastAsia" w:ascii="方正黑体_GBK" w:hAnsi="方正黑体_GBK" w:eastAsia="方正黑体_GBK" w:cs="方正黑体_GBK"/>
          <w:color w:val="000000"/>
          <w:sz w:val="28"/>
          <w:szCs w:val="28"/>
          <w:highlight w:val="none"/>
        </w:rPr>
        <w:t xml:space="preserve">采购需求……………………………………</w:t>
      </w:r>
      <w:r>
        <w:rPr>
          <w:rFonts w:hint="eastAsia" w:ascii="方正黑体_GBK" w:hAnsi="方正黑体_GBK" w:eastAsia="方正黑体_GBK" w:cs="方正黑体_GBK"/>
          <w:color w:val="000000"/>
          <w:sz w:val="28"/>
          <w:szCs w:val="28"/>
          <w:highlight w:val="none"/>
          <w:lang w:val="en-US" w:eastAsia="zh-CN"/>
        </w:rPr>
        <w:t xml:space="preserve">20</w:t>
      </w:r>
      <w:r/>
    </w:p>
    <w:p>
      <w:pPr>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lang w:eastAsia="zh-CN"/>
        </w:rPr>
        <w:t xml:space="preserve">第五章</w:t>
      </w:r>
      <w:r>
        <w:rPr>
          <w:rFonts w:hint="eastAsia" w:ascii="方正黑体_GBK" w:hAnsi="方正黑体_GBK" w:eastAsia="方正黑体_GBK" w:cs="方正黑体_GBK"/>
          <w:color w:val="000000"/>
          <w:sz w:val="28"/>
          <w:szCs w:val="28"/>
          <w:highlight w:val="none"/>
          <w:lang w:val="en-US" w:eastAsia="zh-CN"/>
        </w:rPr>
        <w:t xml:space="preserve"> </w:t>
      </w:r>
      <w:r>
        <w:rPr>
          <w:rFonts w:hint="eastAsia" w:ascii="方正黑体_GBK" w:hAnsi="方正黑体_GBK" w:eastAsia="方正黑体_GBK" w:cs="方正黑体_GBK"/>
          <w:color w:val="000000"/>
          <w:sz w:val="28"/>
          <w:szCs w:val="28"/>
          <w:highlight w:val="none"/>
        </w:rPr>
        <w:t xml:space="preserve">评标方法与评标标准………………………</w:t>
      </w:r>
      <w:r>
        <w:rPr>
          <w:rFonts w:hint="eastAsia" w:ascii="方正黑体_GBK" w:hAnsi="方正黑体_GBK" w:eastAsia="方正黑体_GBK" w:cs="方正黑体_GBK"/>
          <w:color w:val="000000"/>
          <w:sz w:val="28"/>
          <w:szCs w:val="28"/>
          <w:highlight w:val="none"/>
          <w:lang w:val="en-US" w:eastAsia="zh-CN"/>
        </w:rPr>
        <w:t xml:space="preserve">36</w:t>
      </w:r>
      <w:r/>
    </w:p>
    <w:p>
      <w:pPr>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lang w:eastAsia="zh-CN"/>
        </w:rPr>
        <w:t xml:space="preserve">第六章</w:t>
      </w:r>
      <w:r>
        <w:rPr>
          <w:rFonts w:hint="eastAsia" w:ascii="方正黑体_GBK" w:hAnsi="方正黑体_GBK" w:eastAsia="方正黑体_GBK" w:cs="方正黑体_GBK"/>
          <w:color w:val="000000"/>
          <w:sz w:val="28"/>
          <w:szCs w:val="28"/>
          <w:highlight w:val="none"/>
          <w:lang w:val="en-US" w:eastAsia="zh-CN"/>
        </w:rPr>
        <w:t xml:space="preserve"> </w:t>
      </w:r>
      <w:r>
        <w:rPr>
          <w:rFonts w:hint="eastAsia" w:ascii="方正黑体_GBK" w:hAnsi="方正黑体_GBK" w:eastAsia="方正黑体_GBK" w:cs="方正黑体_GBK"/>
          <w:color w:val="000000"/>
          <w:sz w:val="28"/>
          <w:szCs w:val="28"/>
          <w:highlight w:val="none"/>
        </w:rPr>
        <w:t xml:space="preserve">投标文件格式………………………………</w:t>
      </w:r>
      <w:r>
        <w:rPr>
          <w:rFonts w:hint="eastAsia" w:ascii="方正黑体_GBK" w:hAnsi="方正黑体_GBK" w:eastAsia="方正黑体_GBK" w:cs="方正黑体_GBK"/>
          <w:color w:val="000000"/>
          <w:sz w:val="28"/>
          <w:szCs w:val="28"/>
          <w:highlight w:val="none"/>
          <w:lang w:val="en-US" w:eastAsia="zh-CN"/>
        </w:rPr>
        <w:t xml:space="preserve">42</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rPr>
          <w:rFonts w:hint="eastAsia"/>
          <w:highlight w:val="none"/>
        </w:rPr>
      </w:r>
    </w:p>
    <w:p>
      <w:pPr>
        <w:rPr>
          <w:rFonts w:hint="eastAsia"/>
          <w:highlight w:val="none"/>
        </w:rPr>
      </w:pPr>
      <w:r>
        <w:rPr>
          <w:rFonts w:hint="eastAsia"/>
          <w:highlight w:val="none"/>
        </w:rPr>
      </w:r>
      <w:r>
        <w:rPr>
          <w:rFonts w:hint="eastAsia"/>
          <w:highlight w:val="none"/>
        </w:rPr>
      </w:r>
    </w:p>
    <w:p>
      <w:pPr>
        <w:rPr>
          <w:rFonts w:hint="eastAsia"/>
          <w:highlight w:val="none"/>
        </w:rPr>
      </w:pPr>
      <w:r>
        <w:rPr>
          <w:rFonts w:hint="eastAsia"/>
          <w:highlight w:val="none"/>
        </w:rPr>
      </w:r>
      <w:r>
        <w:rPr>
          <w:rFonts w:hint="eastAsia"/>
          <w:highlight w:val="none"/>
        </w:rPr>
      </w:r>
    </w:p>
    <w:p>
      <w:pPr>
        <w:rPr>
          <w:rFonts w:hint="eastAsia"/>
          <w:highlight w:val="none"/>
        </w:rPr>
      </w:pPr>
      <w:r>
        <w:rPr>
          <w:rFonts w:hint="eastAsia"/>
          <w:highlight w:val="none"/>
        </w:rPr>
      </w:r>
      <w:r>
        <w:rPr>
          <w:rFonts w:hint="eastAsia"/>
          <w:highlight w:val="none"/>
        </w:rPr>
      </w:r>
    </w:p>
    <w:p>
      <w:pPr>
        <w:rPr>
          <w:rFonts w:hint="eastAsia"/>
          <w:highlight w:val="none"/>
        </w:rPr>
      </w:pPr>
      <w:r>
        <w:rPr>
          <w:rFonts w:hint="eastAsia"/>
          <w:highlight w:val="none"/>
        </w:rPr>
      </w:r>
      <w:r>
        <w:rPr>
          <w:rFonts w:hint="eastAsia"/>
          <w:highlight w:val="none"/>
        </w:rPr>
      </w:r>
    </w:p>
    <w:p>
      <w:pPr>
        <w:rPr>
          <w:rFonts w:hint="eastAsia"/>
          <w:highlight w:val="none"/>
        </w:rPr>
      </w:pPr>
      <w:r>
        <w:rPr>
          <w:rFonts w:hint="eastAsia"/>
          <w:highlight w:val="none"/>
        </w:rPr>
      </w:r>
      <w:r>
        <w:rPr>
          <w:rFonts w:hint="eastAsia"/>
          <w:highlight w:val="none"/>
        </w:rPr>
      </w:r>
    </w:p>
    <w:p>
      <w:pPr>
        <w:rPr>
          <w:rFonts w:hint="eastAsia"/>
          <w:highlight w:val="none"/>
        </w:rPr>
      </w:pPr>
      <w:r>
        <w:rPr>
          <w:rFonts w:hint="eastAsia"/>
          <w:highlight w:val="none"/>
        </w:rPr>
      </w:r>
      <w:r>
        <w:rPr>
          <w:rFonts w:hint="eastAsia"/>
          <w:highlight w:val="none"/>
        </w:rPr>
      </w:r>
    </w:p>
    <w:p>
      <w:pPr>
        <w:rPr>
          <w:rFonts w:hint="eastAsia"/>
          <w:highlight w:val="none"/>
        </w:rPr>
      </w:pPr>
      <w:r>
        <w:rPr>
          <w:rFonts w:hint="eastAsia"/>
          <w:highlight w:val="none"/>
        </w:rPr>
      </w:r>
      <w:r>
        <w:rPr>
          <w:rFonts w:hint="eastAsia"/>
          <w:highlight w:val="none"/>
        </w:rP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第一章  </w:t>
      </w:r>
      <w:bookmarkEnd w:id="0"/>
      <w:r>
        <w:rPr>
          <w:rFonts w:hint="eastAsia" w:ascii="方正黑体_GBK" w:hAnsi="方正黑体_GBK" w:eastAsia="方正黑体_GBK" w:cs="方正黑体_GBK"/>
          <w:color w:val="000000"/>
          <w:sz w:val="28"/>
          <w:szCs w:val="28"/>
          <w:highlight w:val="none"/>
        </w:rPr>
        <w:t xml:space="preserve">投标邀请</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受江苏省体育科学研究所的委托，江苏省政府采购中心就数据处理系统（数据中心二期）(JSZC-320000-SCZX-G2026-0406)项目进行公开招标采购，欢迎符合条件的供应商投标。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highlight w:val="none"/>
        </w:rPr>
        <w:t xml:space="preserve">项目概况</w:t>
      </w:r>
      <w:r/>
    </w:p>
    <w:p>
      <w:pPr>
        <w:ind w:firstLine="560"/>
        <w:keepLines w:val="0"/>
        <w:keepNext w:val="0"/>
        <w:pageBreakBefore w:val="0"/>
        <w:spacing w:line="400" w:lineRule="exact"/>
        <w:widowControl w:val="off"/>
        <w:rPr>
          <w:rFonts w:ascii="宋体" w:hAnsi="宋体"/>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highlight w:val="none"/>
          <w:u w:val="single"/>
        </w:rPr>
        <w:t xml:space="preserve">数据处理系统（数据中心二期）</w:t>
      </w:r>
      <w:r>
        <w:rPr>
          <w:rFonts w:hint="eastAsia" w:ascii="方正仿宋_GBK" w:hAnsi="方正仿宋_GBK" w:eastAsia="方正仿宋_GBK" w:cs="方正仿宋_GBK"/>
          <w:sz w:val="28"/>
          <w:szCs w:val="28"/>
          <w:highlight w:val="none"/>
        </w:rPr>
        <w:t xml:space="preserve"> 招标项目的潜在投标人可在</w:t>
      </w:r>
      <w:r>
        <w:rPr>
          <w:rFonts w:hint="eastAsia" w:ascii="方正仿宋_GBK" w:hAnsi="方正仿宋_GBK" w:eastAsia="方正仿宋_GBK" w:cs="方正仿宋_GBK"/>
          <w:sz w:val="28"/>
          <w:szCs w:val="28"/>
          <w:highlight w:val="none"/>
          <w:u w:val="single"/>
        </w:rPr>
        <w:t xml:space="preserve">“江苏政府采购网”自行免费下载</w:t>
      </w:r>
      <w:r>
        <w:rPr>
          <w:rFonts w:hint="eastAsia" w:ascii="方正仿宋_GBK" w:hAnsi="方正仿宋_GBK" w:eastAsia="方正仿宋_GBK" w:cs="方正仿宋_GBK"/>
          <w:sz w:val="28"/>
          <w:szCs w:val="28"/>
          <w:highlight w:val="none"/>
        </w:rPr>
        <w:t xml:space="preserve">招标文件，并于</w:t>
      </w:r>
      <w:r>
        <w:rPr>
          <w:rFonts w:hint="eastAsia" w:ascii="Times New Roman" w:hAnsi="Times New Roman" w:eastAsia="方正仿宋_GBK" w:cs="Times New Roman"/>
          <w:color w:val="000000"/>
          <w:sz w:val="28"/>
          <w:szCs w:val="28"/>
          <w:highlight w:val="none"/>
          <w:lang w:val="en-US" w:eastAsia="zh-CN"/>
        </w:rPr>
        <w:t xml:space="preserve">2026</w:t>
      </w:r>
      <w:r>
        <w:rPr>
          <w:rFonts w:hint="eastAsia" w:ascii="方正仿宋_GBK" w:hAnsi="方正仿宋_GBK" w:eastAsia="方正仿宋_GBK" w:cs="方正仿宋_GBK"/>
          <w:bCs/>
          <w:color w:val="000000"/>
          <w:sz w:val="28"/>
          <w:szCs w:val="28"/>
          <w:highlight w:val="none"/>
          <w:u w:val="none"/>
        </w:rPr>
        <w:t xml:space="preserve">年</w:t>
      </w:r>
      <w:r>
        <w:rPr>
          <w:rFonts w:hint="eastAsia" w:ascii="方正仿宋_GBK" w:hAnsi="方正仿宋_GBK" w:eastAsia="方正仿宋_GBK" w:cs="方正仿宋_GBK"/>
          <w:bCs/>
          <w:color w:val="000000"/>
          <w:sz w:val="28"/>
          <w:szCs w:val="28"/>
          <w:highlight w:val="none"/>
          <w:u w:val="none"/>
        </w:rPr>
        <w:t xml:space="preserve">11月</w:t>
      </w:r>
      <w:r>
        <w:rPr>
          <w:rFonts w:hint="eastAsia" w:ascii="方正仿宋_GBK" w:hAnsi="方正仿宋_GBK" w:eastAsia="方正仿宋_GBK" w:cs="方正仿宋_GBK"/>
          <w:bCs/>
          <w:color w:val="000000"/>
          <w:sz w:val="28"/>
          <w:szCs w:val="28"/>
          <w:highlight w:val="none"/>
          <w:u w:val="none"/>
        </w:rPr>
        <w:t xml:space="preserve">12日</w:t>
      </w:r>
      <w:r>
        <w:rPr>
          <w:rFonts w:hint="eastAsia" w:ascii="方正仿宋_GBK" w:hAnsi="方正仿宋_GBK" w:eastAsia="方正仿宋_GBK" w:cs="方正仿宋_GBK"/>
          <w:color w:val="000000"/>
          <w:sz w:val="28"/>
          <w:szCs w:val="28"/>
          <w:highlight w:val="none"/>
          <w:u w:val="none"/>
          <w:lang w:val="en-US" w:eastAsia="zh-CN"/>
        </w:rPr>
        <w:t xml:space="preserve">9时</w:t>
      </w:r>
      <w:r>
        <w:rPr>
          <w:rFonts w:hint="eastAsia" w:ascii="方正仿宋_GBK" w:hAnsi="方正仿宋_GBK" w:eastAsia="方正仿宋_GBK" w:cs="方正仿宋_GBK"/>
          <w:bCs/>
          <w:sz w:val="28"/>
          <w:szCs w:val="28"/>
          <w:highlight w:val="none"/>
          <w:u w:val="none"/>
        </w:rPr>
        <w:t xml:space="preserve">30分</w:t>
      </w:r>
      <w:r>
        <w:rPr>
          <w:rFonts w:hint="eastAsia" w:ascii="方正仿宋_GBK" w:hAnsi="方正仿宋_GBK" w:eastAsia="方正仿宋_GBK" w:cs="方正仿宋_GBK"/>
          <w:bCs/>
          <w:sz w:val="28"/>
          <w:szCs w:val="28"/>
          <w:highlight w:val="none"/>
        </w:rPr>
        <w:t xml:space="preserve">（北京时间）前递交投标文件</w:t>
      </w:r>
      <w:r>
        <w:rPr>
          <w:rFonts w:hint="eastAsia" w:ascii="方正仿宋_GBK" w:hAnsi="方正仿宋_GBK" w:eastAsia="方正仿宋_GBK" w:cs="方正仿宋_GBK"/>
          <w:sz w:val="28"/>
          <w:szCs w:val="28"/>
          <w:highlight w:val="none"/>
        </w:rPr>
        <w:t xml:space="preserve">。</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bookmarkStart w:id="6" w:name="_Toc35393621"/>
      <w:r/>
      <w:bookmarkStart w:id="7" w:name="_Toc38985263"/>
      <w:r/>
      <w:bookmarkStart w:id="8" w:name="_Toc28359079"/>
      <w:r/>
      <w:bookmarkStart w:id="9" w:name="_Toc35393790"/>
      <w:r/>
      <w:bookmarkStart w:id="10" w:name="_Toc28359002"/>
      <w:r/>
      <w:bookmarkStart w:id="11" w:name="_Hlk24379207"/>
      <w:r>
        <w:rPr>
          <w:rFonts w:hint="eastAsia" w:ascii="方正黑体_GBK" w:hAnsi="方正黑体_GBK" w:eastAsia="方正黑体_GBK" w:cs="方正黑体_GBK"/>
          <w:color w:val="000000"/>
          <w:sz w:val="28"/>
          <w:szCs w:val="28"/>
          <w:highlight w:val="none"/>
        </w:rPr>
        <w:t xml:space="preserve">一、项目基本情况</w:t>
      </w:r>
      <w:bookmarkEnd w:id="6"/>
      <w:r/>
      <w:bookmarkEnd w:id="7"/>
      <w:r/>
      <w:bookmarkEnd w:id="8"/>
      <w:r/>
      <w:bookmarkEnd w:id="9"/>
      <w:r/>
      <w:bookmarkEnd w:id="10"/>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eastAsia="zh-CN"/>
        </w:rPr>
        <w:t xml:space="preserve">采购编号</w:t>
      </w:r>
      <w:r>
        <w:rPr>
          <w:rFonts w:hint="eastAsia" w:ascii="Times New Roman" w:hAnsi="Times New Roman" w:eastAsia="方正仿宋_GBK" w:cs="Times New Roman"/>
          <w:color w:val="000000"/>
          <w:sz w:val="28"/>
          <w:szCs w:val="28"/>
          <w:highlight w:val="none"/>
          <w:lang w:val="en-US" w:eastAsia="zh-CN"/>
        </w:rPr>
        <w:t xml:space="preserve">：JSZC-320000-SCZX-G2026-0406 </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rPr>
        <w:t xml:space="preserve">2.项目名称：</w:t>
      </w:r>
      <w:r>
        <w:rPr>
          <w:rFonts w:hint="eastAsia" w:ascii="Times New Roman" w:hAnsi="Times New Roman" w:eastAsia="方正仿宋_GBK" w:cs="Times New Roman"/>
          <w:color w:val="000000"/>
          <w:sz w:val="28"/>
          <w:szCs w:val="28"/>
          <w:highlight w:val="none"/>
          <w:lang w:val="en-US" w:eastAsia="zh-CN"/>
        </w:rPr>
        <w:t xml:space="preserve">数据处理系统（数据中心二期）</w:t>
      </w:r>
      <w:bookmarkEnd w:id="11"/>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3.预算金额</w:t>
      </w:r>
      <w:r/>
    </w:p>
    <w:tbl>
      <w:tblPr>
        <w:tblStyle w:val="782"/>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采购</w:t>
            </w:r>
            <w:r/>
          </w:p>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包号</w:t>
            </w:r>
            <w:r/>
          </w:p>
        </w:tc>
        <w:tc>
          <w:tcPr>
            <w:tcW w:w="3312"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预算金额</w:t>
            </w:r>
            <w:r/>
          </w:p>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（人民币：万元）</w:t>
            </w:r>
            <w:r/>
          </w:p>
        </w:tc>
      </w:tr>
      <w:tr>
        <w:trPr/>
        <w:tc>
          <w:tcPr>
            <w:tcW w:w="1092" w:type="dxa"/>
            <w:vAlign w:val="top"/>
            <w:textDirection w:val="lrTb"/>
            <w:noWrap w:val="false"/>
          </w:tcPr>
          <w:p>
            <w:pPr>
              <w:ind w:left="0" w:right="0" w:firstLine="28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1</w:t>
            </w:r>
            <w:r/>
          </w:p>
        </w:tc>
        <w:tc>
          <w:tcPr>
            <w:tcW w:w="3312" w:type="dxa"/>
            <w:vAlign w:val="top"/>
            <w:textDirection w:val="lrTb"/>
            <w:noWrap w:val="false"/>
          </w:tcPr>
          <w:p>
            <w:pPr>
              <w:ind w:left="0" w:right="0" w:firstLine="1120"/>
              <w:jc w:val="both"/>
              <w:keepLines w:val="0"/>
              <w:keepNext w:val="0"/>
              <w:pageBreakBefore w:val="0"/>
              <w:spacing w:before="0" w:beforeAutospacing="0" w:after="0" w:afterAutospacing="0" w:line="400" w:lineRule="exact"/>
              <w:widowControl w:val="off"/>
              <w:rPr>
                <w:rFonts w:ascii="方正仿宋_GBK" w:hAnsi="方正仿宋_GBK" w:eastAsia="方正仿宋_GBK" w:cs="方正仿宋_GBK"/>
                <w:sz w:val="28"/>
                <w:szCs w:val="28"/>
                <w:highlight w:val="none"/>
                <w:lang w:val="en-US" w:eastAsia="zh-CN" w:bidi="ar-SA"/>
              </w:rPr>
              <w:suppressLineNumbers w:val="0"/>
            </w:pPr>
            <w:r>
              <w:rPr>
                <w:rFonts w:hint="eastAsia" w:ascii="Times New Roman" w:hAnsi="Times New Roman" w:eastAsia="方正仿宋_GBK" w:cs="Times New Roman"/>
                <w:color w:val="000000"/>
                <w:sz w:val="28"/>
                <w:szCs w:val="28"/>
                <w:highlight w:val="none"/>
                <w:lang w:val="en-US" w:eastAsia="zh-CN" w:bidi="ar-SA"/>
              </w:rPr>
              <w:t xml:space="preserve">100</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4.最高限价</w:t>
      </w:r>
      <w:r/>
    </w:p>
    <w:tbl>
      <w:tblPr>
        <w:tblStyle w:val="782"/>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采购</w:t>
            </w:r>
            <w:r/>
          </w:p>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包号</w:t>
            </w:r>
            <w:r/>
          </w:p>
        </w:tc>
        <w:tc>
          <w:tcPr>
            <w:tcW w:w="3233"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最高限价</w:t>
            </w:r>
            <w:r/>
          </w:p>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（人民币：万元）</w:t>
            </w:r>
            <w:r/>
          </w:p>
        </w:tc>
      </w:tr>
      <w:tr>
        <w:trPr/>
        <w:tc>
          <w:tcPr>
            <w:tcW w:w="1148"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1</w:t>
            </w:r>
            <w:r/>
          </w:p>
        </w:tc>
        <w:tc>
          <w:tcPr>
            <w:tcW w:w="3233"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ascii="方正仿宋_GBK" w:hAnsi="方正仿宋_GBK" w:eastAsia="方正仿宋_GBK" w:cs="方正仿宋_GBK"/>
                <w:color w:val="000000"/>
                <w:sz w:val="28"/>
                <w:szCs w:val="28"/>
                <w:highlight w:val="none"/>
                <w:lang w:val="en-US" w:eastAsia="zh-CN" w:bidi="ar-SA"/>
              </w:rPr>
              <w:suppressLineNumbers w:val="0"/>
            </w:pPr>
            <w:r>
              <w:rPr>
                <w:rFonts w:hint="eastAsia" w:ascii="Times New Roman" w:hAnsi="Times New Roman" w:eastAsia="方正仿宋_GBK" w:cs="Times New Roman"/>
                <w:color w:val="000000"/>
                <w:sz w:val="28"/>
                <w:szCs w:val="28"/>
                <w:highlight w:val="none"/>
                <w:lang w:val="en-US" w:eastAsia="zh-CN" w:bidi="ar-SA"/>
              </w:rPr>
              <w:t xml:space="preserve">97</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single"/>
        </w:rPr>
      </w:pPr>
      <w:r/>
      <w:bookmarkStart w:id="12" w:name="_Toc35393622"/>
      <w:r/>
      <w:bookmarkStart w:id="13" w:name="_Toc28359080"/>
      <w:r/>
      <w:bookmarkStart w:id="14" w:name="_Toc28359003"/>
      <w:r/>
      <w:bookmarkStart w:id="15" w:name="_Toc38985264"/>
      <w:r/>
      <w:bookmarkStart w:id="16" w:name="_Toc35393791"/>
      <w:r>
        <w:rPr>
          <w:rFonts w:hint="eastAsia" w:ascii="方正仿宋_GBK" w:hAnsi="方正仿宋_GBK" w:eastAsia="方正仿宋_GBK" w:cs="方正仿宋_GBK"/>
          <w:color w:val="000000"/>
          <w:sz w:val="28"/>
          <w:szCs w:val="28"/>
          <w:highlight w:val="none"/>
        </w:rPr>
        <w:t xml:space="preserve">5.采购需求(简介)：</w:t>
      </w:r>
      <w:r>
        <w:rPr>
          <w:rFonts w:hint="eastAsia" w:ascii="Times New Roman" w:hAnsi="Times New Roman" w:eastAsia="方正仿宋_GBK" w:cs="Times New Roman"/>
          <w:color w:val="000000"/>
          <w:sz w:val="28"/>
          <w:szCs w:val="28"/>
          <w:highlight w:val="none"/>
          <w:lang w:val="en-US" w:eastAsia="zh-CN"/>
        </w:rPr>
        <w:t xml:space="preserve">本项目面向竞技体育科研数字化转型需求，围绕科研数据资源整合、智能治理与辅助决策应用，建设融合多模态数据、知识图谱与人工智能技术的体育科研数据中心。项目核心涵盖多模态科研数据中心搭建、跨学科运动科学知识图谱抽取、</w:t>
      </w:r>
      <w:r>
        <w:rPr>
          <w:rFonts w:hint="eastAsia" w:eastAsia="方正仿宋_GBK" w:cs="Times New Roman"/>
          <w:color w:val="000000"/>
          <w:sz w:val="28"/>
          <w:szCs w:val="28"/>
          <w:highlight w:val="none"/>
          <w:lang w:val="en-US" w:eastAsia="zh-CN"/>
        </w:rPr>
        <w:t xml:space="preserve">运动</w:t>
      </w:r>
      <w:r>
        <w:rPr>
          <w:rFonts w:hint="eastAsia" w:ascii="Times New Roman" w:hAnsi="Times New Roman" w:eastAsia="方正仿宋_GBK" w:cs="Times New Roman"/>
          <w:color w:val="000000"/>
          <w:sz w:val="28"/>
          <w:szCs w:val="28"/>
          <w:highlight w:val="none"/>
          <w:lang w:val="en-US" w:eastAsia="zh-CN"/>
        </w:rPr>
        <w:t xml:space="preserve">学科科研级高质量数据集治理，以及大模型智能体协同应用的开发与部署；平台建设严格遵循国家及行业数据管理规范，完善数据分类分级、脱敏处理、加密存储、权限控制及全生命周期安全管理体系，为高水平运动队科学训练、精准备战和体育科研创新提供安全可靠、智能高效的数据基础支撑。</w:t>
      </w:r>
      <w:r>
        <w:rPr>
          <w:rFonts w:hint="eastAsia" w:ascii="方正仿宋_GBK" w:hAnsi="方正仿宋_GBK" w:eastAsia="方正仿宋_GBK" w:cs="方正仿宋_GBK"/>
          <w:color w:val="000000"/>
          <w:sz w:val="28"/>
          <w:szCs w:val="28"/>
          <w:highlight w:val="none"/>
        </w:rPr>
        <w:t xml:space="preserve">（详细内容见本招标文件第四章）</w:t>
      </w:r>
      <w:r/>
    </w:p>
    <w:p>
      <w:pPr>
        <w:ind w:firstLine="560"/>
        <w:keepLines w:val="0"/>
        <w:keepNext w:val="0"/>
        <w:pageBreakBefore w:val="0"/>
        <w:spacing w:line="400" w:lineRule="exact"/>
        <w:widowControl w:val="off"/>
        <w:rPr>
          <w:rFonts w:ascii="方正仿宋_GBK" w:hAnsi="方正仿宋_GBK" w:eastAsia="方正仿宋_GBK" w:cs="方正仿宋_GBK"/>
          <w:color w:val="000000"/>
          <w:sz w:val="28"/>
          <w:szCs w:val="28"/>
          <w:highlight w:val="none"/>
          <w:u w:val="single"/>
          <w:lang w:val="en-US" w:eastAsia="zh-CN"/>
        </w:rPr>
      </w:pPr>
      <w:r>
        <w:rPr>
          <w:rFonts w:hint="eastAsia" w:ascii="方正仿宋_GBK" w:hAnsi="方正仿宋_GBK" w:eastAsia="方正仿宋_GBK" w:cs="方正仿宋_GBK"/>
          <w:color w:val="000000"/>
          <w:sz w:val="28"/>
          <w:szCs w:val="28"/>
          <w:highlight w:val="none"/>
        </w:rPr>
        <w:t xml:space="preserve">6.合同履行期限：</w:t>
      </w:r>
      <w:r>
        <w:rPr>
          <w:rFonts w:hint="eastAsia" w:ascii="Times New Roman" w:hAnsi="Times New Roman" w:eastAsia="方正仿宋_GBK" w:cs="Times New Roman"/>
          <w:color w:val="000000"/>
          <w:sz w:val="28"/>
          <w:szCs w:val="28"/>
          <w:highlight w:val="none"/>
          <w:lang w:val="en-US" w:eastAsia="zh-CN"/>
        </w:rPr>
        <w:t xml:space="preserve">自合同签订之日</w:t>
      </w:r>
      <w:r>
        <w:rPr>
          <w:rFonts w:hint="eastAsia" w:eastAsia="方正仿宋_GBK" w:cs="Times New Roman"/>
          <w:color w:val="000000"/>
          <w:sz w:val="28"/>
          <w:szCs w:val="28"/>
          <w:highlight w:val="none"/>
          <w:lang w:val="en-US" w:eastAsia="zh-CN"/>
        </w:rPr>
        <w:t xml:space="preserve">起六个月。</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二、申请人的资格要求</w:t>
      </w:r>
      <w:bookmarkEnd w:id="12"/>
      <w:r/>
      <w:bookmarkEnd w:id="13"/>
      <w:r/>
      <w:bookmarkEnd w:id="14"/>
      <w:r/>
      <w:bookmarkEnd w:id="15"/>
      <w:r/>
      <w:bookmarkEnd w:id="16"/>
      <w:r/>
      <w:r/>
    </w:p>
    <w:p>
      <w:pPr>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highlight w:val="none"/>
        </w:rPr>
      </w:pPr>
      <w:r/>
      <w:bookmarkStart w:id="17" w:name="_Toc35393623"/>
      <w:r/>
      <w:bookmarkStart w:id="18" w:name="_Toc28359081"/>
      <w:r/>
      <w:bookmarkStart w:id="19" w:name="_Toc35393792"/>
      <w:r/>
      <w:bookmarkStart w:id="20" w:name="_Toc38985265"/>
      <w:r/>
      <w:bookmarkStart w:id="21" w:name="_Toc28359004"/>
      <w:r>
        <w:rPr>
          <w:rFonts w:hint="eastAsia" w:ascii="方正楷体_GBK" w:hAnsi="方正楷体_GBK" w:eastAsia="方正楷体_GBK" w:cs="方正楷体_GBK"/>
          <w:color w:val="000000"/>
          <w:sz w:val="28"/>
          <w:szCs w:val="28"/>
          <w:highlight w:val="none"/>
        </w:rPr>
        <w:t xml:space="preserve">（一）通用资格要求</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1.满足《中华人民共和国政府采购法》第二十二条规定，并提供下列材料：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 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1.2上一年度的财务状况报告（成立不满一年无需提供）；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1.5参加政府采购活动前3年内在经营活动中没有重大违法记录的书面声明。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3.落实政府采购政策需满足的资格要求：无</w:t>
      </w:r>
      <w:r>
        <w:rPr>
          <w:rFonts w:hint="eastAsia" w:ascii="方正仿宋_GBK" w:hAnsi="方正仿宋_GBK" w:eastAsia="方正仿宋_GBK" w:cs="方正仿宋_GBK"/>
          <w:sz w:val="28"/>
          <w:szCs w:val="28"/>
          <w:highlight w:val="none"/>
          <w:lang w:eastAsia="zh-CN"/>
        </w:rPr>
        <w:t xml:space="preserve">。</w:t>
      </w:r>
      <w:r/>
    </w:p>
    <w:p>
      <w:pPr>
        <w:ind w:firstLine="560"/>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4.联合体投标</w:t>
      </w:r>
      <w:r/>
    </w:p>
    <w:tbl>
      <w:tblPr>
        <w:tblStyle w:val="782"/>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采购</w:t>
            </w:r>
            <w:r/>
          </w:p>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包号</w:t>
            </w:r>
            <w:r/>
          </w:p>
        </w:tc>
        <w:tc>
          <w:tcPr>
            <w:tcW w:w="2968"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是否接受联合体投标（是/否）</w:t>
            </w:r>
            <w:r/>
          </w:p>
        </w:tc>
        <w:tc>
          <w:tcPr>
            <w:tcW w:w="2967"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该采购包中联合体成员数量上限</w:t>
            </w:r>
            <w:r/>
          </w:p>
        </w:tc>
      </w:tr>
      <w:tr>
        <w:trPr/>
        <w:tc>
          <w:tcPr>
            <w:tcW w:w="1148"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1</w:t>
            </w:r>
            <w:r/>
          </w:p>
        </w:tc>
        <w:tc>
          <w:tcPr>
            <w:tcW w:w="2968"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否</w:t>
            </w:r>
            <w:r/>
          </w:p>
        </w:tc>
        <w:tc>
          <w:tcPr>
            <w:tcW w:w="2967"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w:t>
            </w:r>
            <w:r/>
          </w:p>
        </w:tc>
      </w:tr>
    </w:tbl>
    <w:p>
      <w:pPr>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highlight w:val="none"/>
        </w:rPr>
      </w:pPr>
      <w:r>
        <w:rPr>
          <w:rFonts w:hint="eastAsia" w:ascii="方正楷体_GBK" w:hAnsi="方正楷体_GBK" w:eastAsia="方正楷体_GBK" w:cs="方正楷体_GBK"/>
          <w:color w:val="000000"/>
          <w:sz w:val="28"/>
          <w:szCs w:val="28"/>
          <w:highlight w:val="none"/>
        </w:rPr>
        <w:t xml:space="preserve">（二）本项目的特定资格要求</w:t>
      </w:r>
      <w:r/>
    </w:p>
    <w:tbl>
      <w:tblPr>
        <w:tblStyle w:val="782"/>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采购</w:t>
            </w:r>
            <w:r/>
          </w:p>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包号</w:t>
            </w:r>
            <w:r/>
          </w:p>
        </w:tc>
        <w:tc>
          <w:tcPr>
            <w:tcW w:w="5921"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特定资格要求</w:t>
            </w:r>
            <w:r/>
          </w:p>
        </w:tc>
      </w:tr>
      <w:tr>
        <w:trPr/>
        <w:tc>
          <w:tcPr>
            <w:tcW w:w="1148"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1</w:t>
            </w:r>
            <w:r/>
          </w:p>
        </w:tc>
        <w:tc>
          <w:tcPr>
            <w:tcW w:w="5921"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ascii="方正仿宋_GBK" w:hAnsi="方正仿宋_GBK" w:eastAsia="方正仿宋_GBK" w:cs="方正仿宋_GBK"/>
                <w:sz w:val="28"/>
                <w:szCs w:val="28"/>
                <w:highlight w:val="none"/>
                <w:lang w:val="en-US" w:eastAsia="zh-CN" w:bidi="ar-SA"/>
              </w:rPr>
              <w:suppressLineNumbers w:val="0"/>
            </w:pPr>
            <w:r>
              <w:rPr>
                <w:rFonts w:hint="eastAsia" w:ascii="Times New Roman" w:hAnsi="Times New Roman" w:eastAsia="方正仿宋_GBK" w:cs="Times New Roman"/>
                <w:color w:val="000000"/>
                <w:sz w:val="28"/>
                <w:szCs w:val="28"/>
                <w:highlight w:val="none"/>
                <w:lang w:val="en-US" w:eastAsia="zh-CN" w:bidi="ar-SA"/>
              </w:rPr>
              <w:t xml:space="preserve">无</w:t>
            </w:r>
            <w:r/>
          </w:p>
        </w:tc>
      </w:tr>
    </w:tbl>
    <w:p>
      <w:pPr>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highlight w:val="none"/>
        </w:rPr>
        <w:outlineLvl w:val="0"/>
      </w:pPr>
      <w:r>
        <w:rPr>
          <w:rFonts w:hint="eastAsia" w:ascii="方正黑体_GBK" w:hAnsi="方正黑体_GBK" w:eastAsia="方正黑体_GBK" w:cs="方正黑体_GBK"/>
          <w:b w:val="0"/>
          <w:bCs w:val="0"/>
          <w:color w:val="000000"/>
          <w:sz w:val="28"/>
          <w:szCs w:val="28"/>
          <w:highlight w:val="none"/>
        </w:rPr>
        <w:t xml:space="preserve">三、获取招标文件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1.时间：自招标文件公告发布之日起5个工作日。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2.方式：在“江苏政府采购网”自行免费下载招标文件。</w:t>
      </w:r>
      <w:bookmarkEnd w:id="17"/>
      <w:r/>
      <w:bookmarkEnd w:id="18"/>
      <w:r/>
      <w:bookmarkEnd w:id="19"/>
      <w:r/>
      <w:bookmarkEnd w:id="20"/>
      <w:r/>
      <w:bookmarkEnd w:id="21"/>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bookmarkStart w:id="22" w:name="_Toc28359005"/>
      <w:r/>
      <w:bookmarkStart w:id="23" w:name="_Toc28359082"/>
      <w:r/>
      <w:bookmarkStart w:id="24" w:name="_Toc35393793"/>
      <w:r/>
      <w:bookmarkStart w:id="25" w:name="_Toc35393624"/>
      <w:r/>
      <w:bookmarkStart w:id="26" w:name="_Toc38985266"/>
      <w:r/>
      <w:bookmarkStart w:id="27" w:name="_Toc28359007"/>
      <w:r/>
      <w:bookmarkStart w:id="28" w:name="_Toc35393794"/>
      <w:r/>
      <w:bookmarkStart w:id="29" w:name="_Toc28359084"/>
      <w:r/>
      <w:bookmarkStart w:id="30" w:name="_Toc38985267"/>
      <w:r/>
      <w:bookmarkStart w:id="31" w:name="_Toc35393625"/>
      <w:r>
        <w:rPr>
          <w:rFonts w:hint="eastAsia" w:ascii="方正黑体_GBK" w:hAnsi="方正黑体_GBK" w:eastAsia="方正黑体_GBK" w:cs="方正黑体_GBK"/>
          <w:color w:val="000000"/>
          <w:sz w:val="28"/>
          <w:szCs w:val="28"/>
          <w:highlight w:val="none"/>
        </w:rPr>
        <w:t xml:space="preserve">四、提交投标文件</w:t>
      </w:r>
      <w:bookmarkEnd w:id="22"/>
      <w:r/>
      <w:bookmarkEnd w:id="23"/>
      <w:r>
        <w:rPr>
          <w:rFonts w:hint="eastAsia" w:ascii="方正黑体_GBK" w:hAnsi="方正黑体_GBK" w:eastAsia="方正黑体_GBK" w:cs="方正黑体_GBK"/>
          <w:color w:val="000000"/>
          <w:sz w:val="28"/>
          <w:szCs w:val="28"/>
          <w:highlight w:val="none"/>
        </w:rPr>
        <w:t xml:space="preserve">截止时间、开标时间和地点</w:t>
      </w:r>
      <w:bookmarkEnd w:id="24"/>
      <w:r/>
      <w:bookmarkEnd w:id="25"/>
      <w:r/>
      <w:bookmarkEnd w:id="26"/>
      <w:r/>
      <w:r/>
    </w:p>
    <w:p>
      <w:pPr>
        <w:ind w:firstLine="560"/>
        <w:keepLines w:val="0"/>
        <w:keepNext w:val="0"/>
        <w:pageBreakBefore w:val="0"/>
        <w:spacing w:line="400" w:lineRule="exact"/>
        <w:widowControl w:val="off"/>
        <w:rPr>
          <w:rFonts w:ascii="宋体" w:hAnsi="宋体"/>
          <w:bCs/>
          <w:color w:val="000000"/>
          <w:sz w:val="28"/>
          <w:szCs w:val="28"/>
          <w:highlight w:val="none"/>
          <w:u w:val="single"/>
        </w:rPr>
      </w:pPr>
      <w:r>
        <w:rPr>
          <w:rFonts w:hint="eastAsia" w:ascii="方正仿宋_GBK" w:hAnsi="方正仿宋_GBK" w:eastAsia="方正仿宋_GBK" w:cs="方正仿宋_GBK"/>
          <w:sz w:val="28"/>
          <w:szCs w:val="28"/>
          <w:highlight w:val="none"/>
        </w:rPr>
        <w:t xml:space="preserve">1.</w:t>
      </w:r>
      <w:r>
        <w:rPr>
          <w:rFonts w:hint="eastAsia" w:ascii="Times New Roman" w:hAnsi="Times New Roman" w:eastAsia="方正仿宋_GBK" w:cs="Times New Roman"/>
          <w:color w:val="000000"/>
          <w:sz w:val="28"/>
          <w:szCs w:val="28"/>
          <w:highlight w:val="none"/>
          <w:lang w:val="en-US" w:eastAsia="zh-CN"/>
        </w:rPr>
        <w:t xml:space="preserve">2026</w:t>
      </w:r>
      <w:r>
        <w:rPr>
          <w:rFonts w:hint="eastAsia" w:ascii="方正仿宋_GBK" w:hAnsi="方正仿宋_GBK" w:eastAsia="方正仿宋_GBK" w:cs="方正仿宋_GBK"/>
          <w:bCs/>
          <w:color w:val="000000"/>
          <w:sz w:val="28"/>
          <w:szCs w:val="28"/>
          <w:highlight w:val="none"/>
          <w:u w:val="none"/>
        </w:rPr>
        <w:t xml:space="preserve">年</w:t>
      </w:r>
      <w:r>
        <w:rPr>
          <w:rFonts w:hint="eastAsia" w:ascii="方正仿宋_GBK" w:hAnsi="方正仿宋_GBK" w:eastAsia="方正仿宋_GBK" w:cs="方正仿宋_GBK"/>
          <w:bCs/>
          <w:color w:val="000000"/>
          <w:sz w:val="28"/>
          <w:szCs w:val="28"/>
          <w:highlight w:val="none"/>
          <w:u w:val="none"/>
        </w:rPr>
        <w:t xml:space="preserve">11月</w:t>
      </w:r>
      <w:r>
        <w:rPr>
          <w:rFonts w:hint="eastAsia" w:ascii="方正仿宋_GBK" w:hAnsi="方正仿宋_GBK" w:eastAsia="方正仿宋_GBK" w:cs="方正仿宋_GBK"/>
          <w:bCs/>
          <w:color w:val="000000"/>
          <w:sz w:val="28"/>
          <w:szCs w:val="28"/>
          <w:highlight w:val="none"/>
          <w:u w:val="none"/>
        </w:rPr>
        <w:t xml:space="preserve">12日</w:t>
      </w:r>
      <w:r>
        <w:rPr>
          <w:rFonts w:hint="eastAsia" w:ascii="方正仿宋_GBK" w:hAnsi="方正仿宋_GBK" w:eastAsia="方正仿宋_GBK" w:cs="方正仿宋_GBK"/>
          <w:color w:val="000000"/>
          <w:sz w:val="28"/>
          <w:szCs w:val="28"/>
          <w:highlight w:val="none"/>
          <w:u w:val="none"/>
          <w:lang w:val="en-US" w:eastAsia="zh-CN"/>
        </w:rPr>
        <w:t xml:space="preserve">9时</w:t>
      </w:r>
      <w:r>
        <w:rPr>
          <w:rFonts w:hint="eastAsia" w:ascii="方正仿宋_GBK" w:hAnsi="方正仿宋_GBK" w:eastAsia="方正仿宋_GBK" w:cs="方正仿宋_GBK"/>
          <w:bCs/>
          <w:sz w:val="28"/>
          <w:szCs w:val="28"/>
          <w:highlight w:val="none"/>
          <w:u w:val="none"/>
        </w:rPr>
        <w:t xml:space="preserve">30分</w:t>
      </w:r>
      <w:r>
        <w:rPr>
          <w:rFonts w:hint="eastAsia" w:ascii="方正仿宋_GBK" w:hAnsi="方正仿宋_GBK" w:eastAsia="方正仿宋_GBK" w:cs="方正仿宋_GBK"/>
          <w:bCs/>
          <w:color w:val="000000"/>
          <w:sz w:val="28"/>
          <w:szCs w:val="28"/>
          <w:highlight w:val="none"/>
          <w:u w:val="none"/>
        </w:rPr>
        <w:t xml:space="preserve">（北京时间</w:t>
      </w:r>
      <w:r>
        <w:rPr>
          <w:rFonts w:hint="eastAsia" w:ascii="方正仿宋_GBK" w:hAnsi="方正仿宋_GBK" w:eastAsia="方正仿宋_GBK" w:cs="方正仿宋_GBK"/>
          <w:bCs/>
          <w:color w:val="000000"/>
          <w:sz w:val="28"/>
          <w:szCs w:val="28"/>
          <w:highlight w:val="none"/>
          <w:u w:val="none"/>
          <w:lang w:eastAsia="zh-CN"/>
        </w:rPr>
        <w:t xml:space="preserve">）</w:t>
      </w:r>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2.地点：“苏采云”政府采购交易系统。</w:t>
      </w:r>
      <w:bookmarkEnd w:id="27"/>
      <w:r/>
      <w:bookmarkEnd w:id="28"/>
      <w:r/>
      <w:bookmarkEnd w:id="29"/>
      <w:r/>
      <w:bookmarkEnd w:id="30"/>
      <w:r/>
      <w:bookmarkEnd w:id="31"/>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bookmarkStart w:id="32" w:name="_Toc35393626"/>
      <w:r/>
      <w:bookmarkStart w:id="33" w:name="_Toc35393795"/>
      <w:r/>
      <w:bookmarkStart w:id="34" w:name="_Toc38985268"/>
      <w:r>
        <w:rPr>
          <w:rFonts w:hint="eastAsia" w:ascii="方正黑体_GBK" w:hAnsi="方正黑体_GBK" w:eastAsia="方正黑体_GBK" w:cs="方正黑体_GBK"/>
          <w:color w:val="000000"/>
          <w:sz w:val="28"/>
          <w:szCs w:val="28"/>
          <w:highlight w:val="none"/>
        </w:rPr>
        <w:t xml:space="preserve">五、公告期限</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招标公告及招标文件公告期限为自本公告发布之日起5个工作日。</w:t>
      </w:r>
      <w:bookmarkEnd w:id="32"/>
      <w:r/>
      <w:bookmarkEnd w:id="33"/>
      <w:r/>
      <w:bookmarkEnd w:id="34"/>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bookmarkStart w:id="35" w:name="_Toc35393796"/>
      <w:r/>
      <w:bookmarkStart w:id="36" w:name="_Toc35393627"/>
      <w:r/>
      <w:bookmarkStart w:id="37" w:name="_Toc28359085"/>
      <w:r/>
      <w:bookmarkStart w:id="38" w:name="_Toc28359008"/>
      <w:r/>
      <w:bookmarkStart w:id="39" w:name="_Toc38985269"/>
      <w:r>
        <w:rPr>
          <w:rFonts w:hint="eastAsia" w:ascii="方正黑体_GBK" w:hAnsi="方正黑体_GBK" w:eastAsia="方正黑体_GBK" w:cs="方正黑体_GBK"/>
          <w:color w:val="000000"/>
          <w:sz w:val="28"/>
          <w:szCs w:val="28"/>
          <w:highlight w:val="none"/>
        </w:rPr>
        <w:t xml:space="preserve">六、其他补充事宜</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无</w:t>
      </w:r>
      <w:bookmarkEnd w:id="35"/>
      <w:r/>
      <w:bookmarkEnd w:id="36"/>
      <w:r/>
      <w:bookmarkEnd w:id="37"/>
      <w:r/>
      <w:bookmarkEnd w:id="38"/>
      <w:r/>
      <w:bookmarkEnd w:id="39"/>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七、本次招标联系方式</w:t>
      </w:r>
      <w:r/>
    </w:p>
    <w:p>
      <w:pPr>
        <w:jc w:val="left"/>
        <w:keepLines w:val="0"/>
        <w:pageBreakBefore w:val="0"/>
        <w:spacing w:line="400" w:lineRule="exact"/>
        <w:widowControl/>
        <w:rPr>
          <w:rFonts w:hint="eastAsia" w:ascii="方正仿宋_GBK" w:hAnsi="方正仿宋_GBK" w:eastAsia="方正仿宋_GBK" w:cs="方正仿宋_GBK"/>
          <w:color w:val="000000"/>
          <w:sz w:val="28"/>
          <w:szCs w:val="28"/>
          <w:highlight w:val="none"/>
        </w:rPr>
      </w:pPr>
      <w:r>
        <w:rPr>
          <w:rFonts w:hint="eastAsia" w:ascii="仿宋" w:hAnsi="仿宋" w:eastAsia="仿宋" w:cs="宋体"/>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1.采购人信息</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highlight w:val="none"/>
        </w:rPr>
      </w:pPr>
      <w:r/>
      <w:bookmarkStart w:id="40" w:name="_Toc28359009"/>
      <w:r/>
      <w:bookmarkStart w:id="41" w:name="_Toc28359086"/>
      <w:r>
        <w:rPr>
          <w:rFonts w:hint="eastAsia" w:ascii="方正仿宋_GBK" w:hAnsi="方正仿宋_GBK" w:eastAsia="方正仿宋_GBK" w:cs="方正仿宋_GBK"/>
          <w:color w:val="000000"/>
          <w:sz w:val="28"/>
          <w:szCs w:val="28"/>
          <w:highlight w:val="none"/>
        </w:rPr>
        <w:t xml:space="preserve">名 称：江苏省体育科学研究所</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地址：南京市栖霞区仙林大道169号</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联系人：王聪            </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联系方式：025-84431875</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2.江苏省政府采购中心信息</w:t>
      </w:r>
      <w:bookmarkEnd w:id="40"/>
      <w:r/>
      <w:bookmarkEnd w:id="41"/>
      <w:r/>
      <w:r/>
    </w:p>
    <w:p>
      <w:pPr>
        <w:ind w:firstLine="560"/>
        <w:keepLines w:val="0"/>
        <w:pageBreakBefore w:val="0"/>
        <w:spacing w:line="400" w:lineRule="exact"/>
        <w:rPr>
          <w:rFonts w:hint="eastAsia" w:ascii="方正仿宋_GBK" w:hAnsi="方正仿宋_GBK" w:eastAsia="方正仿宋_GBK" w:cs="方正仿宋_GBK"/>
          <w:color w:val="000000"/>
          <w:sz w:val="28"/>
          <w:szCs w:val="28"/>
          <w:highlight w:val="none"/>
        </w:rPr>
      </w:pPr>
      <w:r/>
      <w:bookmarkStart w:id="42" w:name="_Toc28359010"/>
      <w:r/>
      <w:bookmarkStart w:id="43" w:name="_Toc28359087"/>
      <w:r>
        <w:rPr>
          <w:rFonts w:hint="eastAsia" w:ascii="方正仿宋_GBK" w:hAnsi="方正仿宋_GBK" w:eastAsia="方正仿宋_GBK" w:cs="方正仿宋_GBK"/>
          <w:color w:val="000000"/>
          <w:sz w:val="28"/>
          <w:szCs w:val="28"/>
          <w:highlight w:val="none"/>
        </w:rPr>
        <w:t xml:space="preserve">地　址：南京市建邺区汉中门大街145号</w:t>
      </w:r>
      <w:r/>
    </w:p>
    <w:p>
      <w:pPr>
        <w:ind w:firstLine="560"/>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联系人：王烨、张文怡</w:t>
      </w:r>
      <w:r/>
    </w:p>
    <w:p>
      <w:pPr>
        <w:ind w:firstLine="560"/>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联系方式：025-83668550、83668505</w:t>
      </w:r>
      <w:bookmarkEnd w:id="42"/>
      <w:r/>
      <w:bookmarkEnd w:id="43"/>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八、其他</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bCs/>
          <w:sz w:val="28"/>
          <w:szCs w:val="28"/>
          <w:highlight w:val="none"/>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highlight w:val="none"/>
        </w:rPr>
        <w:t xml:space="preserve">“苏采云”政府采购交易系统（以下简称苏采云系统）</w:t>
      </w:r>
      <w:r>
        <w:rPr>
          <w:rFonts w:hint="eastAsia" w:ascii="方正仿宋_GBK" w:hAnsi="方正仿宋_GBK" w:eastAsia="方正仿宋_GBK" w:cs="方正仿宋_GBK"/>
          <w:bCs/>
          <w:sz w:val="28"/>
          <w:szCs w:val="28"/>
          <w:highlight w:val="none"/>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highlight w:val="none"/>
          <w:lang w:val="en-US" w:eastAsia="zh-CN"/>
        </w:rPr>
        <w:t xml:space="preserve">http://www.ccgp-jiangsu.gov.cn/jiangsu/zlxz/ee/ee3a4bc5a3454aa2b0d9312230633ce9.html。</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2.有关本次招标的事项若存在变动或修改，敬请及时关注江苏省政府采购中心在“江苏政府采购网”发布的更正公告。</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3.本次招标不收取投标保证金。</w:t>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39"/>
        <w:jc w:val="center"/>
        <w:keepLines w:val="0"/>
        <w:keepNext w:val="0"/>
        <w:pageBreakBefore w:val="0"/>
        <w:spacing w:line="400" w:lineRule="exact"/>
        <w:widowControl w:val="off"/>
        <w:rPr>
          <w:rFonts w:hint="eastAsia" w:ascii="宋体" w:hAnsi="宋体"/>
          <w:sz w:val="28"/>
          <w:szCs w:val="28"/>
          <w:highlight w:val="none"/>
        </w:rPr>
      </w:pPr>
      <w:r>
        <w:rPr>
          <w:rFonts w:ascii="宋体" w:hAnsi="宋体"/>
          <w:sz w:val="24"/>
          <w:szCs w:val="24"/>
          <w:highlight w:val="none"/>
        </w:rPr>
        <w:br w:type="page" w:clear="all"/>
      </w:r>
      <w:bookmarkStart w:id="44" w:name="_Toc120614211"/>
      <w:r>
        <w:rPr>
          <w:rFonts w:hint="eastAsia" w:ascii="方正黑体_GBK" w:hAnsi="方正黑体_GBK" w:eastAsia="方正黑体_GBK" w:cs="方正黑体_GBK"/>
          <w:color w:val="000000"/>
          <w:sz w:val="28"/>
          <w:szCs w:val="28"/>
          <w:highlight w:val="none"/>
        </w:rPr>
        <w:t xml:space="preserve">第二章  </w:t>
      </w:r>
      <w:bookmarkEnd w:id="1"/>
      <w:r/>
      <w:bookmarkEnd w:id="2"/>
      <w:r/>
      <w:bookmarkEnd w:id="3"/>
      <w:r/>
      <w:bookmarkEnd w:id="4"/>
      <w:r/>
      <w:bookmarkEnd w:id="5"/>
      <w:r/>
      <w:bookmarkEnd w:id="44"/>
      <w:r/>
      <w:bookmarkStart w:id="45" w:name="_Toc513029202"/>
      <w:r/>
      <w:bookmarkStart w:id="46" w:name="_Toc120614213"/>
      <w:r/>
      <w:bookmarkStart w:id="47" w:name="_Toc20823274"/>
      <w:r/>
      <w:bookmarkStart w:id="48" w:name="_Toc16938518"/>
      <w:r>
        <w:rPr>
          <w:rFonts w:hint="eastAsia" w:ascii="方正黑体_GBK" w:hAnsi="方正黑体_GBK" w:eastAsia="方正黑体_GBK" w:cs="方正黑体_GBK"/>
          <w:color w:val="000000"/>
          <w:sz w:val="28"/>
          <w:szCs w:val="28"/>
          <w:highlight w:val="none"/>
        </w:rPr>
        <w:t xml:space="preserve">投标人须知</w:t>
      </w:r>
      <w:bookmarkEnd w:id="45"/>
      <w:r/>
      <w:bookmarkEnd w:id="46"/>
      <w:r/>
      <w:bookmarkEnd w:id="47"/>
      <w:r/>
      <w:bookmarkEnd w:id="48"/>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一、总则</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招标方式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 本次招标采取公开招标方式，本招标文件仅适用于招标公告中所述项目。</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合格的投标人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2.1满足招标公告中供应商的资格要求的规定。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 满足本文件实质性要求的规定。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rPr>
        <w:t xml:space="preserve">3</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适用法律</w:t>
      </w:r>
      <w:r>
        <w:rPr>
          <w:rFonts w:hint="eastAsia" w:ascii="方正仿宋_GBK" w:hAnsi="方正仿宋_GBK" w:eastAsia="方正仿宋_GBK" w:cs="方正仿宋_GBK"/>
          <w:bCs/>
          <w:sz w:val="28"/>
          <w:szCs w:val="28"/>
          <w:highlight w:val="none"/>
          <w:lang w:eastAsia="zh-CN"/>
        </w:rPr>
        <w:t xml:space="preserve">和标准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3.1 本次招标及由此产生的合同受中华人民共和国有关的法律法规制约和保护。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3.2 在本项目政府采购活动过程中，如果所执行的标准有更新的，按照最新标准执行。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投标费用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4.2本次招标采购中心和采购人不收取标书工本费与中标服务费。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招标文件的约束力</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5.1 投标人一旦参加本项目采购活动，即被认为接受了本招标文件的规定和约束。</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二、招标文件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招标文件构成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6.1 招标文件由以下部分组成：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（1）投标邀请</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（2）投标人须知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（3）合同文本</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（4）采购需求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（5）评标方法与评标标准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（6）投标文件格式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请仔细检查招标文件是否齐全，如有缺漏请立即与采购中心联系解决。</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招标文件的修改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7.1 在投标截止时间前，采购中心可以对招标文件进行修改。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7.2 采购中心有权按照法定的要求推迟投标截止日期和开标日期。</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7.3 招标文件的修改将在江苏政府采购网公布，补充文件将作为招标文件的组成部分，并对投标人具有约束力。</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bookmarkStart w:id="49" w:name="_Toc120614216"/>
      <w:r/>
      <w:bookmarkStart w:id="50" w:name="_Toc462564072"/>
      <w:r/>
      <w:bookmarkStart w:id="51" w:name="_Toc513029213"/>
      <w:r/>
      <w:bookmarkStart w:id="52" w:name="_Toc20823285"/>
      <w:r/>
      <w:bookmarkStart w:id="53" w:name="_Toc16938529"/>
      <w:r>
        <w:rPr>
          <w:rFonts w:hint="eastAsia" w:ascii="方正黑体_GBK" w:hAnsi="方正黑体_GBK" w:eastAsia="方正黑体_GBK" w:cs="方正黑体_GBK"/>
          <w:color w:val="000000"/>
          <w:sz w:val="28"/>
          <w:szCs w:val="28"/>
          <w:highlight w:val="none"/>
        </w:rPr>
        <w:t xml:space="preserve">三、投标文件的编制</w:t>
      </w:r>
      <w:bookmarkEnd w:id="49"/>
      <w:r/>
      <w:bookmarkEnd w:id="50"/>
      <w:r/>
      <w:bookmarkEnd w:id="51"/>
      <w:r/>
      <w:bookmarkEnd w:id="52"/>
      <w:r/>
      <w:bookmarkEnd w:id="53"/>
      <w:r/>
      <w:r/>
    </w:p>
    <w:p>
      <w:pPr>
        <w:pStyle w:val="775"/>
        <w:ind w:firstLine="560"/>
        <w:pageBreakBefore w:val="0"/>
        <w:spacing w:before="0" w:after="0" w:line="400" w:lineRule="exact"/>
        <w:widowControl w:val="off"/>
        <w:rPr>
          <w:rFonts w:hint="eastAsia" w:ascii="方正仿宋_GBK" w:hAnsi="方正仿宋_GBK" w:eastAsia="方正仿宋_GBK" w:cs="方正仿宋_GBK"/>
          <w:bCs w:val="0"/>
          <w:sz w:val="28"/>
          <w:szCs w:val="28"/>
          <w:highlight w:val="none"/>
        </w:rPr>
      </w:pPr>
      <w:r/>
      <w:bookmarkStart w:id="54" w:name="_Toc462564073"/>
      <w:r/>
      <w:bookmarkStart w:id="55" w:name="_Toc16938530"/>
      <w:r/>
      <w:bookmarkStart w:id="56" w:name="_Toc20823286"/>
      <w:r/>
      <w:bookmarkStart w:id="57" w:name="_Toc513029214"/>
      <w:r>
        <w:rPr>
          <w:rFonts w:hint="eastAsia" w:ascii="方正仿宋_GBK" w:hAnsi="方正仿宋_GBK" w:eastAsia="方正仿宋_GBK" w:cs="方正仿宋_GBK"/>
          <w:b w:val="0"/>
          <w:bCs w:val="0"/>
          <w:sz w:val="28"/>
          <w:szCs w:val="28"/>
          <w:highlight w:val="none"/>
        </w:rPr>
        <w:t xml:space="preserve">8</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投标文件的语言及度量衡单位</w:t>
      </w:r>
      <w:bookmarkEnd w:id="54"/>
      <w:r/>
      <w:bookmarkEnd w:id="55"/>
      <w:r/>
      <w:bookmarkEnd w:id="56"/>
      <w:r/>
      <w:bookmarkEnd w:id="57"/>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8.1</w:t>
      </w:r>
      <w:r>
        <w:rPr>
          <w:rFonts w:hint="eastAsia" w:ascii="方正仿宋_GBK" w:hAnsi="方正仿宋_GBK" w:eastAsia="方正仿宋_GBK" w:cs="方正仿宋_GBK"/>
          <w:sz w:val="28"/>
          <w:szCs w:val="28"/>
          <w:highlight w:val="none"/>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highlight w:val="none"/>
        </w:rPr>
        <w:t xml:space="preserve">简体中文</w:t>
      </w:r>
      <w:r>
        <w:rPr>
          <w:rFonts w:hint="eastAsia" w:ascii="方正仿宋_GBK" w:hAnsi="方正仿宋_GBK" w:eastAsia="方正仿宋_GBK" w:cs="方正仿宋_GBK"/>
          <w:sz w:val="28"/>
          <w:szCs w:val="28"/>
          <w:highlight w:val="none"/>
        </w:rPr>
        <w:t xml:space="preserve">。</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8.2</w:t>
      </w:r>
      <w:r>
        <w:rPr>
          <w:rFonts w:hint="eastAsia" w:ascii="方正仿宋_GBK" w:hAnsi="方正仿宋_GBK" w:eastAsia="方正仿宋_GBK" w:cs="方正仿宋_GBK"/>
          <w:sz w:val="28"/>
          <w:szCs w:val="28"/>
          <w:highlight w:val="none"/>
        </w:rPr>
        <w:t xml:space="preserve"> 除技术性能另有规定外，投标文件所使用的度量衡单位，均须采用国家法定计量单位。</w:t>
      </w:r>
      <w:r/>
    </w:p>
    <w:p>
      <w:pPr>
        <w:pStyle w:val="77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bookmarkStart w:id="58" w:name="_Toc20823287"/>
      <w:r/>
      <w:bookmarkStart w:id="59" w:name="_Toc16938531"/>
      <w:r/>
      <w:bookmarkStart w:id="60" w:name="_Toc513029215"/>
      <w:r/>
      <w:bookmarkStart w:id="61" w:name="_Toc462564074"/>
      <w:r>
        <w:rPr>
          <w:rFonts w:hint="eastAsia" w:ascii="方正仿宋_GBK" w:hAnsi="方正仿宋_GBK" w:eastAsia="方正仿宋_GBK" w:cs="方正仿宋_GBK"/>
          <w:b w:val="0"/>
          <w:bCs w:val="0"/>
          <w:sz w:val="28"/>
          <w:szCs w:val="28"/>
          <w:highlight w:val="none"/>
        </w:rPr>
        <w:t xml:space="preserve">9</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投标文件构成</w:t>
      </w:r>
      <w:bookmarkEnd w:id="58"/>
      <w:r/>
      <w:bookmarkEnd w:id="59"/>
      <w:r/>
      <w:bookmarkEnd w:id="60"/>
      <w:r/>
      <w:bookmarkEnd w:id="61"/>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9.1</w:t>
      </w:r>
      <w:r>
        <w:rPr>
          <w:rFonts w:hint="eastAsia" w:ascii="方正仿宋_GBK" w:hAnsi="方正仿宋_GBK" w:eastAsia="方正仿宋_GBK" w:cs="方正仿宋_GBK"/>
          <w:sz w:val="28"/>
          <w:szCs w:val="28"/>
          <w:highlight w:val="none"/>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9.2 如标书制作工具中格式和内容与“江苏政府采购网”发布的招标文件不一致，请以“江苏政府采购网”发布的招标文件为准。</w:t>
      </w:r>
      <w:r/>
    </w:p>
    <w:p>
      <w:pPr>
        <w:pStyle w:val="77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bookmarkStart w:id="62" w:name="_Hlt26670360"/>
      <w:r/>
      <w:bookmarkEnd w:id="62"/>
      <w:r/>
      <w:bookmarkStart w:id="63" w:name="_Hlt26668975"/>
      <w:r/>
      <w:bookmarkEnd w:id="63"/>
      <w:r/>
      <w:bookmarkStart w:id="64" w:name="_Hlt26954838"/>
      <w:r/>
      <w:bookmarkEnd w:id="64"/>
      <w:r/>
      <w:bookmarkStart w:id="65" w:name="_Toc14577354"/>
      <w:r/>
      <w:bookmarkStart w:id="66" w:name="_Toc49090509"/>
      <w:r/>
      <w:bookmarkStart w:id="67" w:name="_Toc49090507"/>
      <w:r/>
      <w:bookmarkStart w:id="68" w:name="_Toc513029219"/>
      <w:r/>
      <w:bookmarkStart w:id="69" w:name="_Toc14577357"/>
      <w:r/>
      <w:bookmarkStart w:id="70" w:name="_Toc513029216"/>
      <w:r>
        <w:rPr>
          <w:rFonts w:hint="eastAsia" w:ascii="方正仿宋_GBK" w:hAnsi="方正仿宋_GBK" w:eastAsia="方正仿宋_GBK" w:cs="方正仿宋_GBK"/>
          <w:b w:val="0"/>
          <w:bCs w:val="0"/>
          <w:sz w:val="28"/>
          <w:szCs w:val="28"/>
          <w:highlight w:val="none"/>
        </w:rPr>
        <w:t xml:space="preserve">10</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证明投标人及投标标的符合招标文件规定的文件</w:t>
      </w:r>
      <w:bookmarkEnd w:id="65"/>
      <w:r/>
      <w:bookmarkEnd w:id="66"/>
      <w:r/>
      <w:bookmarkEnd w:id="67"/>
      <w:r/>
      <w:bookmarkEnd w:id="68"/>
      <w:r/>
      <w:bookmarkEnd w:id="69"/>
      <w:r/>
      <w:bookmarkEnd w:id="70"/>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bookmarkStart w:id="71" w:name="_Toc14577355"/>
      <w:r/>
      <w:bookmarkStart w:id="72" w:name="_Toc49090508"/>
      <w:r>
        <w:rPr>
          <w:rFonts w:hint="eastAsia" w:ascii="方正仿宋_GBK" w:hAnsi="方正仿宋_GBK" w:eastAsia="方正仿宋_GBK" w:cs="方正仿宋_GBK"/>
          <w:sz w:val="28"/>
          <w:szCs w:val="28"/>
          <w:highlight w:val="none"/>
        </w:rPr>
        <w:t xml:space="preserve">10.1 投标人应按照法律、法规、规章和规范性文件以及招标文件要求提交证明文件，证明其及投标标的符合招标文件规定。</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10.2招标文件对证明文件无明确形式要求的，证明文件可以以文字资料、图纸和数据等形式提交。</w:t>
      </w:r>
      <w:r/>
    </w:p>
    <w:p>
      <w:pPr>
        <w:pStyle w:val="77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11</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投标分项报价</w:t>
      </w:r>
      <w:bookmarkEnd w:id="71"/>
      <w:r/>
      <w:bookmarkStart w:id="73" w:name="_Hlt26670373"/>
      <w:r/>
      <w:bookmarkEnd w:id="73"/>
      <w:r>
        <w:rPr>
          <w:rFonts w:hint="eastAsia" w:ascii="方正仿宋_GBK" w:hAnsi="方正仿宋_GBK" w:eastAsia="方正仿宋_GBK" w:cs="方正仿宋_GBK"/>
          <w:b w:val="0"/>
          <w:bCs w:val="0"/>
          <w:sz w:val="28"/>
          <w:szCs w:val="28"/>
          <w:highlight w:val="none"/>
        </w:rPr>
        <w:t xml:space="preserve">表</w:t>
      </w:r>
      <w:bookmarkEnd w:id="72"/>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11.1</w:t>
      </w:r>
      <w:r>
        <w:rPr>
          <w:rFonts w:hint="eastAsia" w:ascii="方正仿宋_GBK" w:hAnsi="方正仿宋_GBK" w:eastAsia="方正仿宋_GBK" w:cs="方正仿宋_GBK"/>
          <w:sz w:val="28"/>
          <w:szCs w:val="28"/>
          <w:highlight w:val="none"/>
        </w:rPr>
        <w:t xml:space="preserve"> 投</w:t>
      </w:r>
      <w:bookmarkStart w:id="74" w:name="_Hlt26954840"/>
      <w:r/>
      <w:bookmarkEnd w:id="74"/>
      <w:r>
        <w:rPr>
          <w:rFonts w:hint="eastAsia" w:ascii="方正仿宋_GBK" w:hAnsi="方正仿宋_GBK" w:eastAsia="方正仿宋_GBK" w:cs="方正仿宋_GBK"/>
          <w:sz w:val="28"/>
          <w:szCs w:val="28"/>
          <w:highlight w:val="none"/>
        </w:rPr>
        <w:t xml:space="preserve">标人按照招标文件规定格式填报投标分项报价表</w:t>
      </w:r>
      <w:bookmarkStart w:id="75" w:name="_Hlt26670399"/>
      <w:r/>
      <w:bookmarkEnd w:id="75"/>
      <w:r>
        <w:rPr>
          <w:rFonts w:hint="eastAsia" w:ascii="方正仿宋_GBK" w:hAnsi="方正仿宋_GBK" w:eastAsia="方正仿宋_GBK" w:cs="方正仿宋_GBK"/>
          <w:sz w:val="28"/>
          <w:szCs w:val="28"/>
          <w:highlight w:val="none"/>
        </w:rPr>
        <w:t xml:space="preserve">。</w:t>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11.2</w:t>
      </w:r>
      <w:r>
        <w:rPr>
          <w:rFonts w:hint="eastAsia" w:ascii="方正仿宋_GBK" w:hAnsi="方正仿宋_GBK" w:eastAsia="方正仿宋_GBK" w:cs="方正仿宋_GBK"/>
          <w:bCs/>
          <w:sz w:val="28"/>
          <w:szCs w:val="28"/>
          <w:highlight w:val="none"/>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highlight w:val="none"/>
        </w:rPr>
        <w:t xml:space="preserve">招标文件中另有规定的按规定执行。</w:t>
      </w:r>
      <w:r/>
    </w:p>
    <w:p>
      <w:pPr>
        <w:pStyle w:val="77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bookmarkStart w:id="76" w:name="_Hlt26954848"/>
      <w:r/>
      <w:bookmarkEnd w:id="76"/>
      <w:r/>
      <w:bookmarkStart w:id="77" w:name="_Hlt26954842"/>
      <w:r/>
      <w:bookmarkEnd w:id="77"/>
      <w:r/>
      <w:bookmarkStart w:id="78" w:name="_Hlt26668983"/>
      <w:r/>
      <w:bookmarkEnd w:id="78"/>
      <w:r/>
      <w:bookmarkStart w:id="79" w:name="_Hlt26670486"/>
      <w:r/>
      <w:bookmarkEnd w:id="79"/>
      <w:r/>
      <w:bookmarkStart w:id="80" w:name="_Hlt26670482"/>
      <w:r/>
      <w:bookmarkEnd w:id="80"/>
      <w:r/>
      <w:bookmarkStart w:id="81" w:name="_Hlt26954731"/>
      <w:r/>
      <w:bookmarkEnd w:id="81"/>
      <w:r/>
      <w:bookmarkStart w:id="82" w:name="_Hlt26954844"/>
      <w:r/>
      <w:bookmarkEnd w:id="82"/>
      <w:r/>
      <w:bookmarkStart w:id="83" w:name="_Hlt26954846"/>
      <w:r/>
      <w:bookmarkEnd w:id="83"/>
      <w:r/>
      <w:bookmarkStart w:id="84" w:name="_Hlt26670403"/>
      <w:r/>
      <w:bookmarkEnd w:id="84"/>
      <w:r/>
      <w:bookmarkStart w:id="85" w:name="_Hlt26670425"/>
      <w:r/>
      <w:bookmarkEnd w:id="85"/>
      <w:r>
        <w:rPr>
          <w:rFonts w:hint="eastAsia" w:ascii="方正仿宋_GBK" w:hAnsi="方正仿宋_GBK" w:eastAsia="方正仿宋_GBK" w:cs="方正仿宋_GBK"/>
          <w:b w:val="0"/>
          <w:bCs w:val="0"/>
          <w:sz w:val="28"/>
          <w:szCs w:val="28"/>
          <w:highlight w:val="none"/>
        </w:rPr>
        <w:t xml:space="preserve">12</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技术要求响应及偏离表、商务要求响应及偏离表</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bCs/>
          <w:sz w:val="28"/>
          <w:szCs w:val="28"/>
          <w:highlight w:val="none"/>
          <w:lang w:val="zh-CN"/>
        </w:rPr>
        <w:t xml:space="preserve">12.1</w:t>
      </w:r>
      <w:r>
        <w:rPr>
          <w:rFonts w:hint="eastAsia" w:ascii="方正仿宋_GBK" w:hAnsi="方正仿宋_GBK" w:eastAsia="方正仿宋_GBK" w:cs="方正仿宋_GBK"/>
          <w:sz w:val="28"/>
          <w:szCs w:val="28"/>
          <w:highlight w:val="none"/>
          <w:lang w:val="zh-CN"/>
        </w:rPr>
        <w:t xml:space="preserve"> 投标人需对招标文件中的技术要求与商务要求逐项作出响应或偏离，并说明原因。</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lang w:val="zh-CN"/>
        </w:rPr>
      </w:pPr>
      <w:r/>
      <w:bookmarkStart w:id="86" w:name="_Toc49090510"/>
      <w:r/>
      <w:bookmarkStart w:id="87" w:name="_Toc14577359"/>
      <w:r>
        <w:rPr>
          <w:rFonts w:hint="eastAsia" w:ascii="方正仿宋_GBK" w:hAnsi="方正仿宋_GBK" w:eastAsia="方正仿宋_GBK" w:cs="方正仿宋_GBK"/>
          <w:sz w:val="28"/>
          <w:szCs w:val="28"/>
          <w:highlight w:val="none"/>
          <w:lang w:val="zh-CN"/>
        </w:rPr>
        <w:t xml:space="preserve">12.2 投标人需按照招标文件要求，在投标文件中提供与技术要求和商务要求相关的证明材料。</w:t>
      </w:r>
      <w:r/>
    </w:p>
    <w:p>
      <w:pPr>
        <w:pStyle w:val="77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13</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投标函和开标一览表</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13.1</w:t>
      </w:r>
      <w:r>
        <w:rPr>
          <w:rFonts w:hint="eastAsia" w:ascii="方正仿宋_GBK" w:hAnsi="方正仿宋_GBK" w:eastAsia="方正仿宋_GBK" w:cs="方正仿宋_GBK"/>
          <w:sz w:val="28"/>
          <w:szCs w:val="28"/>
          <w:highlight w:val="none"/>
        </w:rPr>
        <w:t xml:space="preserve"> 投标人应按照招标文件中提供的格式完整、正确填写投标函、开标一览表。</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13.2</w:t>
      </w:r>
      <w:r>
        <w:rPr>
          <w:rFonts w:hint="eastAsia" w:ascii="方正仿宋_GBK" w:hAnsi="方正仿宋_GBK" w:eastAsia="方正仿宋_GBK" w:cs="方正仿宋_GBK"/>
          <w:sz w:val="28"/>
          <w:szCs w:val="28"/>
          <w:highlight w:val="none"/>
        </w:rPr>
        <w:t xml:space="preserve"> 对于采用货币报价的项目，</w:t>
      </w:r>
      <w:r>
        <w:rPr>
          <w:rFonts w:hint="eastAsia" w:ascii="方正仿宋_GBK" w:hAnsi="方正仿宋_GBK" w:eastAsia="方正仿宋_GBK" w:cs="方正仿宋_GBK"/>
          <w:bCs/>
          <w:sz w:val="28"/>
          <w:szCs w:val="28"/>
          <w:highlight w:val="none"/>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highlight w:val="none"/>
        </w:rPr>
        <w:t xml:space="preserve">不作为无效投标处理</w:t>
      </w:r>
      <w:r>
        <w:rPr>
          <w:rFonts w:hint="eastAsia" w:ascii="方正仿宋_GBK" w:hAnsi="方正仿宋_GBK" w:eastAsia="方正仿宋_GBK" w:cs="方正仿宋_GBK"/>
          <w:bCs/>
          <w:sz w:val="28"/>
          <w:szCs w:val="28"/>
          <w:highlight w:val="none"/>
        </w:rPr>
        <w:t xml:space="preserve">，但评标时按开标一览表中价格为准</w:t>
      </w:r>
      <w:r>
        <w:rPr>
          <w:rFonts w:hint="eastAsia" w:ascii="方正仿宋_GBK" w:hAnsi="方正仿宋_GBK" w:eastAsia="方正仿宋_GBK" w:cs="方正仿宋_GBK"/>
          <w:b/>
          <w:bCs/>
          <w:sz w:val="28"/>
          <w:szCs w:val="28"/>
          <w:highlight w:val="none"/>
        </w:rPr>
        <w:t xml:space="preserve">。</w:t>
      </w:r>
      <w:bookmarkEnd w:id="86"/>
      <w:r/>
      <w:bookmarkEnd w:id="87"/>
      <w:r/>
      <w:r/>
    </w:p>
    <w:p>
      <w:pPr>
        <w:pStyle w:val="77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bookmarkStart w:id="88" w:name="_Hlt26670489"/>
      <w:r/>
      <w:bookmarkEnd w:id="88"/>
      <w:r/>
      <w:bookmarkStart w:id="89" w:name="_Hlt26954734"/>
      <w:r/>
      <w:bookmarkEnd w:id="89"/>
      <w:r/>
      <w:bookmarkStart w:id="90" w:name="_Hlt26954850"/>
      <w:r/>
      <w:bookmarkEnd w:id="90"/>
      <w:r/>
      <w:bookmarkStart w:id="91" w:name="_Toc49090511"/>
      <w:r/>
      <w:bookmarkStart w:id="92" w:name="_Toc14577360"/>
      <w:r>
        <w:rPr>
          <w:rFonts w:hint="eastAsia" w:ascii="方正仿宋_GBK" w:hAnsi="方正仿宋_GBK" w:eastAsia="方正仿宋_GBK" w:cs="方正仿宋_GBK"/>
          <w:b w:val="0"/>
          <w:bCs w:val="0"/>
          <w:sz w:val="28"/>
          <w:szCs w:val="28"/>
          <w:highlight w:val="none"/>
        </w:rPr>
        <w:t xml:space="preserve">14</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投标有效期</w:t>
      </w:r>
      <w:bookmarkEnd w:id="91"/>
      <w:r/>
      <w:bookmarkEnd w:id="92"/>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14.1</w:t>
      </w:r>
      <w:r>
        <w:rPr>
          <w:rFonts w:hint="eastAsia" w:ascii="方正仿宋_GBK" w:hAnsi="方正仿宋_GBK" w:eastAsia="方正仿宋_GBK" w:cs="方正仿宋_GBK"/>
          <w:bCs/>
          <w:sz w:val="28"/>
          <w:szCs w:val="28"/>
          <w:highlight w:val="none"/>
        </w:rPr>
        <w:t xml:space="preserve"> 投标有效期为采购中心规定的开标之日后</w:t>
      </w:r>
      <w:r>
        <w:rPr>
          <w:rFonts w:hint="eastAsia" w:ascii="方正仿宋_GBK" w:hAnsi="方正仿宋_GBK" w:eastAsia="方正仿宋_GBK" w:cs="方正仿宋_GBK"/>
          <w:b/>
          <w:sz w:val="28"/>
          <w:szCs w:val="28"/>
          <w:highlight w:val="none"/>
          <w:u w:val="single"/>
        </w:rPr>
        <w:t xml:space="preserve">六十（60）天</w:t>
      </w:r>
      <w:r>
        <w:rPr>
          <w:rFonts w:hint="eastAsia" w:ascii="方正仿宋_GBK" w:hAnsi="方正仿宋_GBK" w:eastAsia="方正仿宋_GBK" w:cs="方正仿宋_GBK"/>
          <w:bCs/>
          <w:sz w:val="28"/>
          <w:szCs w:val="28"/>
          <w:highlight w:val="none"/>
        </w:rPr>
        <w:t xml:space="preserve">。投标有效期比规定短的将被视为未实质性响应招标文件而予以拒绝。</w:t>
      </w:r>
      <w:r/>
    </w:p>
    <w:p>
      <w:pPr>
        <w:pStyle w:val="77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15</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投标有效期的延长</w:t>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15.1</w:t>
      </w:r>
      <w:r>
        <w:rPr>
          <w:rFonts w:hint="eastAsia" w:ascii="方正仿宋_GBK" w:hAnsi="方正仿宋_GBK" w:eastAsia="方正仿宋_GBK" w:cs="方正仿宋_GBK"/>
          <w:bCs/>
          <w:sz w:val="28"/>
          <w:szCs w:val="28"/>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bCs/>
          <w:sz w:val="28"/>
          <w:szCs w:val="28"/>
          <w:highlight w:val="none"/>
        </w:rPr>
        <w:t xml:space="preserve">同意延长投标有效期的投标人既不能要求也不允许修改其投标文件</w:t>
      </w:r>
      <w:r>
        <w:rPr>
          <w:rFonts w:hint="eastAsia" w:ascii="方正仿宋_GBK" w:hAnsi="方正仿宋_GBK" w:eastAsia="方正仿宋_GBK" w:cs="方正仿宋_GBK"/>
          <w:sz w:val="28"/>
          <w:szCs w:val="28"/>
          <w:highlight w:val="none"/>
        </w:rPr>
        <w:t xml:space="preserve">，同时受投标有效期约束的所有权利与义务均延长至新的有效期</w:t>
      </w:r>
      <w:r>
        <w:rPr>
          <w:rFonts w:hint="eastAsia" w:ascii="方正仿宋_GBK" w:hAnsi="方正仿宋_GBK" w:eastAsia="方正仿宋_GBK" w:cs="方正仿宋_GBK"/>
          <w:bCs/>
          <w:sz w:val="28"/>
          <w:szCs w:val="28"/>
          <w:highlight w:val="none"/>
        </w:rPr>
        <w:t xml:space="preserve">。</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bookmarkStart w:id="93" w:name="_Hlt26954852"/>
      <w:r/>
      <w:bookmarkEnd w:id="93"/>
      <w:r/>
      <w:bookmarkStart w:id="94" w:name="_Hlt26954739"/>
      <w:r/>
      <w:bookmarkEnd w:id="94"/>
      <w:r/>
      <w:bookmarkStart w:id="95" w:name="_Toc20823296"/>
      <w:r/>
      <w:bookmarkStart w:id="96" w:name="_Toc513029224"/>
      <w:r/>
      <w:bookmarkStart w:id="97" w:name="_Toc120614217"/>
      <w:r/>
      <w:bookmarkStart w:id="98" w:name="_Toc16938540"/>
      <w:r>
        <w:rPr>
          <w:rFonts w:hint="eastAsia" w:ascii="方正黑体_GBK" w:hAnsi="方正黑体_GBK" w:eastAsia="方正黑体_GBK" w:cs="方正黑体_GBK"/>
          <w:color w:val="000000"/>
          <w:sz w:val="28"/>
          <w:szCs w:val="28"/>
          <w:highlight w:val="none"/>
        </w:rPr>
        <w:t xml:space="preserve">四、投标文件的递交</w:t>
      </w:r>
      <w:bookmarkEnd w:id="95"/>
      <w:r/>
      <w:bookmarkEnd w:id="96"/>
      <w:r/>
      <w:bookmarkEnd w:id="97"/>
      <w:r/>
      <w:bookmarkEnd w:id="98"/>
      <w:r/>
      <w:r/>
    </w:p>
    <w:p>
      <w:pPr>
        <w:pStyle w:val="77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bookmarkStart w:id="99" w:name="_Toc513029225"/>
      <w:r/>
      <w:bookmarkStart w:id="100" w:name="_Toc462564084"/>
      <w:r/>
      <w:bookmarkStart w:id="101" w:name="_Toc16938541"/>
      <w:r/>
      <w:bookmarkStart w:id="102" w:name="_Toc20823297"/>
      <w:r>
        <w:rPr>
          <w:rFonts w:hint="eastAsia" w:ascii="方正仿宋_GBK" w:hAnsi="方正仿宋_GBK" w:eastAsia="方正仿宋_GBK" w:cs="方正仿宋_GBK"/>
          <w:b w:val="0"/>
          <w:bCs w:val="0"/>
          <w:sz w:val="28"/>
          <w:szCs w:val="28"/>
          <w:highlight w:val="none"/>
        </w:rPr>
        <w:t xml:space="preserve">16</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投标文件</w:t>
      </w:r>
      <w:bookmarkEnd w:id="99"/>
      <w:r/>
      <w:bookmarkEnd w:id="100"/>
      <w:r/>
      <w:bookmarkEnd w:id="101"/>
      <w:r/>
      <w:bookmarkEnd w:id="102"/>
      <w:r>
        <w:rPr>
          <w:rFonts w:hint="eastAsia" w:ascii="方正仿宋_GBK" w:hAnsi="方正仿宋_GBK" w:eastAsia="方正仿宋_GBK" w:cs="方正仿宋_GBK"/>
          <w:b w:val="0"/>
          <w:bCs w:val="0"/>
          <w:sz w:val="28"/>
          <w:szCs w:val="28"/>
          <w:highlight w:val="none"/>
        </w:rPr>
        <w:t xml:space="preserve">的递交</w:t>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16.1</w:t>
      </w:r>
      <w:r>
        <w:rPr>
          <w:rFonts w:hint="eastAsia" w:ascii="方正仿宋_GBK" w:hAnsi="方正仿宋_GBK" w:eastAsia="方正仿宋_GBK" w:cs="方正仿宋_GBK"/>
          <w:bCs/>
          <w:sz w:val="28"/>
          <w:szCs w:val="28"/>
          <w:highlight w:val="none"/>
        </w:rPr>
        <w:t xml:space="preserve"> 电子投标文件的递交</w:t>
      </w:r>
      <w:r/>
    </w:p>
    <w:p>
      <w:pPr>
        <w:pStyle w:val="1042"/>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投标人应当按照《操作手册》规定，在投标截止时间前制作并上传电子投标文件。</w:t>
      </w:r>
      <w:bookmarkStart w:id="103" w:name="_Toc20823298"/>
      <w:r/>
      <w:bookmarkStart w:id="104" w:name="_Toc16938542"/>
      <w:r/>
      <w:bookmarkStart w:id="105" w:name="_Toc513029226"/>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lang w:val="en-US" w:eastAsia="zh-CN" w:bidi="ar-SA"/>
        </w:rPr>
      </w:pPr>
      <w:r>
        <w:rPr>
          <w:rFonts w:hint="eastAsia" w:ascii="方正仿宋_GBK" w:hAnsi="方正仿宋_GBK" w:eastAsia="方正仿宋_GBK" w:cs="方正仿宋_GBK"/>
          <w:bCs/>
          <w:sz w:val="28"/>
          <w:szCs w:val="28"/>
          <w:highlight w:val="none"/>
          <w:lang w:val="en-US" w:eastAsia="zh-CN" w:bidi="ar-SA"/>
        </w:rPr>
        <w:t xml:space="preserve">17.投标截止</w:t>
      </w:r>
      <w:bookmarkEnd w:id="103"/>
      <w:r/>
      <w:bookmarkEnd w:id="104"/>
      <w:r/>
      <w:bookmarkEnd w:id="105"/>
      <w:r>
        <w:rPr>
          <w:rFonts w:hint="eastAsia" w:ascii="方正仿宋_GBK" w:hAnsi="方正仿宋_GBK" w:eastAsia="方正仿宋_GBK" w:cs="方正仿宋_GBK"/>
          <w:bCs/>
          <w:sz w:val="28"/>
          <w:szCs w:val="28"/>
          <w:highlight w:val="none"/>
          <w:lang w:val="en-US" w:eastAsia="zh-CN" w:bidi="ar-SA"/>
        </w:rPr>
        <w:t xml:space="preserve">时间</w:t>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17.1</w:t>
      </w:r>
      <w:r>
        <w:rPr>
          <w:rFonts w:hint="eastAsia" w:ascii="方正仿宋_GBK" w:hAnsi="方正仿宋_GBK" w:eastAsia="方正仿宋_GBK" w:cs="方正仿宋_GBK"/>
          <w:bCs/>
          <w:sz w:val="28"/>
          <w:szCs w:val="28"/>
          <w:highlight w:val="none"/>
        </w:rPr>
        <w:t xml:space="preserve"> 投标人上传电子投标文件的时间不得迟于招标公告中规定的投标截止时间。</w:t>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投标人应充分考虑到网络环境、网络带宽等风险因素，如因投标人自身原因造成的电子投标文件上传不成功的按照本招标文件第二章第25.1.2条规定做无效投标处理。</w:t>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17.2</w:t>
      </w:r>
      <w:r>
        <w:rPr>
          <w:rFonts w:hint="eastAsia" w:ascii="方正仿宋_GBK" w:hAnsi="方正仿宋_GBK" w:eastAsia="方正仿宋_GBK" w:cs="方正仿宋_GBK"/>
          <w:bCs/>
          <w:sz w:val="28"/>
          <w:szCs w:val="28"/>
          <w:highlight w:val="none"/>
        </w:rPr>
        <w:t xml:space="preserve"> 采购中心可以按照规定，通过修改招标文件酌情延长投标截止时间，在此情况下，投标人的所有权利和义务以及投标人受制的截止时间均应以延长后新的截止时间为准。</w:t>
      </w:r>
      <w:r/>
    </w:p>
    <w:p>
      <w:pPr>
        <w:pStyle w:val="77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bookmarkStart w:id="106" w:name="_Toc16938543"/>
      <w:r/>
      <w:bookmarkStart w:id="107" w:name="_Toc20823299"/>
      <w:r/>
      <w:bookmarkStart w:id="108" w:name="_Toc513029227"/>
      <w:r>
        <w:rPr>
          <w:rFonts w:hint="eastAsia" w:ascii="方正仿宋_GBK" w:hAnsi="方正仿宋_GBK" w:eastAsia="方正仿宋_GBK" w:cs="方正仿宋_GBK"/>
          <w:b w:val="0"/>
          <w:bCs w:val="0"/>
          <w:sz w:val="28"/>
          <w:szCs w:val="28"/>
          <w:highlight w:val="none"/>
        </w:rPr>
        <w:t xml:space="preserve">18</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投标文件</w:t>
      </w:r>
      <w:bookmarkEnd w:id="106"/>
      <w:r/>
      <w:bookmarkEnd w:id="107"/>
      <w:r/>
      <w:bookmarkEnd w:id="108"/>
      <w:r>
        <w:rPr>
          <w:rFonts w:hint="eastAsia" w:ascii="方正仿宋_GBK" w:hAnsi="方正仿宋_GBK" w:eastAsia="方正仿宋_GBK" w:cs="方正仿宋_GBK"/>
          <w:b w:val="0"/>
          <w:bCs w:val="0"/>
          <w:sz w:val="28"/>
          <w:szCs w:val="28"/>
          <w:highlight w:val="none"/>
        </w:rPr>
        <w:t xml:space="preserve">的拒收</w:t>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18.1</w:t>
      </w:r>
      <w:r>
        <w:rPr>
          <w:rFonts w:hint="eastAsia" w:ascii="方正仿宋_GBK" w:hAnsi="方正仿宋_GBK" w:eastAsia="方正仿宋_GBK" w:cs="方正仿宋_GBK"/>
          <w:bCs/>
          <w:sz w:val="28"/>
          <w:szCs w:val="28"/>
          <w:highlight w:val="none"/>
        </w:rPr>
        <w:t xml:space="preserve">采购中心拒绝接收在其规定的投标截止时间后上传的任何投标文件。</w:t>
      </w:r>
      <w:r/>
    </w:p>
    <w:p>
      <w:pPr>
        <w:pStyle w:val="77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bookmarkStart w:id="109" w:name="_Toc513029228"/>
      <w:r/>
      <w:bookmarkStart w:id="110" w:name="_Toc20823300"/>
      <w:r/>
      <w:bookmarkStart w:id="111" w:name="_Toc16938544"/>
      <w:r>
        <w:rPr>
          <w:rFonts w:hint="eastAsia" w:ascii="方正仿宋_GBK" w:hAnsi="方正仿宋_GBK" w:eastAsia="方正仿宋_GBK" w:cs="方正仿宋_GBK"/>
          <w:b w:val="0"/>
          <w:bCs w:val="0"/>
          <w:sz w:val="28"/>
          <w:szCs w:val="28"/>
          <w:highlight w:val="none"/>
        </w:rPr>
        <w:t xml:space="preserve">19</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投标文件的撤回和修改</w:t>
      </w:r>
      <w:bookmarkEnd w:id="109"/>
      <w:r/>
      <w:bookmarkEnd w:id="110"/>
      <w:r/>
      <w:bookmarkEnd w:id="111"/>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 投标文件的撤回</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19.1.1 电子投标文件的撤回</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投标人可在投标截止时间前，撤回其电子投标文件，具体操作方法见《操作手册》。</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19.1.2 投标人撤回电子投标文件，则认为其不再参与本项目投标活动。</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19.2 投标文件的修改</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19.2.1投标人可在投标截止时间前，对其电子投标文件进行修改，具体操作方法见《操作手册》。</w:t>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19.2.2</w:t>
      </w:r>
      <w:r>
        <w:rPr>
          <w:rFonts w:hint="eastAsia" w:ascii="方正仿宋_GBK" w:hAnsi="方正仿宋_GBK" w:eastAsia="方正仿宋_GBK" w:cs="方正仿宋_GBK"/>
          <w:bCs/>
          <w:sz w:val="28"/>
          <w:szCs w:val="28"/>
          <w:highlight w:val="none"/>
        </w:rPr>
        <w:t xml:space="preserve"> 在投标截止时间之后，投标人不得对其电子投标文件作任何修改。</w:t>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19.3</w:t>
      </w:r>
      <w:r>
        <w:rPr>
          <w:rFonts w:hint="eastAsia" w:ascii="方正仿宋_GBK" w:hAnsi="方正仿宋_GBK" w:eastAsia="方正仿宋_GBK" w:cs="方正仿宋_GBK"/>
          <w:bCs/>
          <w:sz w:val="28"/>
          <w:szCs w:val="28"/>
          <w:highlight w:val="none"/>
        </w:rPr>
        <w:t xml:space="preserve"> 在投标截止时间至招标文件中规定的投标有效期满之间的这段时间内，投标人不得撤回其投标。</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bookmarkStart w:id="112" w:name="_Toc513029229"/>
      <w:r/>
      <w:bookmarkStart w:id="113" w:name="_Toc120614218"/>
      <w:r/>
      <w:bookmarkStart w:id="114" w:name="_Toc20823301"/>
      <w:r/>
      <w:bookmarkStart w:id="115" w:name="_Toc16938545"/>
      <w:r>
        <w:rPr>
          <w:rFonts w:hint="eastAsia" w:ascii="方正黑体_GBK" w:hAnsi="方正黑体_GBK" w:eastAsia="方正黑体_GBK" w:cs="方正黑体_GBK"/>
          <w:color w:val="000000"/>
          <w:sz w:val="28"/>
          <w:szCs w:val="28"/>
          <w:highlight w:val="none"/>
        </w:rPr>
        <w:t xml:space="preserve">五、开标与评标</w:t>
      </w:r>
      <w:bookmarkEnd w:id="112"/>
      <w:r/>
      <w:bookmarkEnd w:id="113"/>
      <w:r/>
      <w:bookmarkEnd w:id="114"/>
      <w:r/>
      <w:bookmarkEnd w:id="115"/>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bookmarkStart w:id="116" w:name="_Toc513029230"/>
      <w:r/>
      <w:bookmarkStart w:id="117" w:name="_Toc20823302"/>
      <w:r/>
      <w:bookmarkStart w:id="118" w:name="_Toc16938546"/>
      <w:r>
        <w:rPr>
          <w:rFonts w:hint="eastAsia" w:ascii="方正仿宋_GBK" w:hAnsi="方正仿宋_GBK" w:eastAsia="方正仿宋_GBK" w:cs="方正仿宋_GBK"/>
          <w:sz w:val="28"/>
          <w:szCs w:val="28"/>
          <w:highlight w:val="none"/>
        </w:rPr>
        <w:t xml:space="preserve">20</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开标</w:t>
      </w:r>
      <w:bookmarkEnd w:id="116"/>
      <w:r/>
      <w:bookmarkEnd w:id="117"/>
      <w:r/>
      <w:bookmarkEnd w:id="118"/>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20.1 采购中心将在招标公告中规定的时间和地点组织公开开标。投标人应当按照《操作手册》规定，参加开标活动和在苏采云系统规定的时间内对投标文件进行解密。</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20.2开标仪式由采购中心组织。苏采云系统将自动对项目进行开标，并宣布各投标人名称和投标价格。</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20.3投标人在开标过程中涉及到的投标文件解密、开标结果确认等工作，应按照《操作手册》规定执行。</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20.4投标人如果对开标过程和开标记录有疑义，应当根据《操作手册》规定提出，如苏采云系统中《开标记录表》宣布后5分钟内未提出的，视同认可开标结果。</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bookmarkStart w:id="119" w:name="_Toc20823303"/>
      <w:r/>
      <w:bookmarkStart w:id="120" w:name="_Toc16938547"/>
      <w:r/>
      <w:bookmarkStart w:id="121" w:name="_Toc513029231"/>
      <w:r>
        <w:rPr>
          <w:rFonts w:hint="eastAsia" w:ascii="方正仿宋_GBK" w:hAnsi="方正仿宋_GBK" w:eastAsia="方正仿宋_GBK" w:cs="方正仿宋_GBK"/>
          <w:sz w:val="28"/>
          <w:szCs w:val="28"/>
          <w:highlight w:val="none"/>
        </w:rPr>
        <w:t xml:space="preserve">21</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评标委员会</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21.1 开标后，采购中心将立即组织评标委员会进行评标。</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21.2 </w:t>
      </w:r>
      <w:r>
        <w:rPr>
          <w:rFonts w:hint="eastAsia" w:ascii="方正仿宋_GBK" w:hAnsi="方正仿宋_GBK" w:eastAsia="方正仿宋_GBK" w:cs="方正仿宋_GBK"/>
          <w:sz w:val="28"/>
          <w:szCs w:val="28"/>
          <w:highlight w:val="none"/>
          <w:lang w:eastAsia="zh-CN"/>
        </w:rPr>
        <w:t xml:space="preserve">评标委员会</w:t>
      </w:r>
      <w:r>
        <w:rPr>
          <w:rFonts w:hint="eastAsia" w:ascii="方正仿宋_GBK" w:hAnsi="方正仿宋_GBK" w:eastAsia="方正仿宋_GBK" w:cs="方正仿宋_GBK"/>
          <w:sz w:val="28"/>
          <w:szCs w:val="28"/>
          <w:highlight w:val="none"/>
        </w:rPr>
        <w:t xml:space="preserve">由采购人代表和有关技术、经济等方面的专家组成，且人员构成符合政府采购有关规定。</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21.3</w:t>
      </w:r>
      <w:r>
        <w:rPr>
          <w:rFonts w:hint="eastAsia" w:ascii="方正仿宋_GBK" w:hAnsi="方正仿宋_GBK" w:eastAsia="方正仿宋_GBK" w:cs="方正仿宋_GBK"/>
          <w:sz w:val="28"/>
          <w:szCs w:val="28"/>
          <w:highlight w:val="none"/>
          <w:lang w:eastAsia="zh-CN"/>
        </w:rPr>
        <w:t xml:space="preserve">评标委员会</w:t>
      </w:r>
      <w:r>
        <w:rPr>
          <w:rFonts w:hint="eastAsia" w:ascii="方正仿宋_GBK" w:hAnsi="方正仿宋_GBK" w:eastAsia="方正仿宋_GBK" w:cs="方正仿宋_GBK"/>
          <w:sz w:val="28"/>
          <w:szCs w:val="28"/>
          <w:highlight w:val="none"/>
        </w:rPr>
        <w:t xml:space="preserve">独立工作，负责评审所有投标文件并确定中标</w:t>
      </w:r>
      <w:r>
        <w:rPr>
          <w:rFonts w:hint="eastAsia" w:ascii="方正仿宋_GBK" w:hAnsi="方正仿宋_GBK" w:eastAsia="方正仿宋_GBK" w:cs="方正仿宋_GBK"/>
          <w:sz w:val="28"/>
          <w:szCs w:val="28"/>
          <w:highlight w:val="none"/>
          <w:lang w:val="en-US" w:eastAsia="zh-CN"/>
        </w:rPr>
        <w:t xml:space="preserve">候</w:t>
      </w:r>
      <w:r>
        <w:rPr>
          <w:rFonts w:hint="eastAsia" w:ascii="方正仿宋_GBK" w:hAnsi="方正仿宋_GBK" w:eastAsia="方正仿宋_GBK" w:cs="方正仿宋_GBK"/>
          <w:sz w:val="28"/>
          <w:szCs w:val="28"/>
          <w:highlight w:val="none"/>
        </w:rPr>
        <w:t xml:space="preserve">选人。</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评标过程的保密与公正</w:t>
      </w:r>
      <w:bookmarkEnd w:id="119"/>
      <w:r/>
      <w:bookmarkEnd w:id="120"/>
      <w:r/>
      <w:bookmarkEnd w:id="121"/>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22.1凡是与审查、澄清、评价和比较投标的有关资料以及授标建议等，采购人、评委、采购中心均不得向投标人或与评标无关的其他人员透露。</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22.2在评标过程中，投标人不得以任何行为影响评标过程，否则其投标文件将被作为无效投标文件。</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22.3 采购中心和评标委员会不向未中标的投标人解释未中标原因，也不公布评标过程中的相关细节。</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22.4 采用综合评分法的项目，未中标的投标人可于中标结果公告期限届满之日起通过苏采云系统查看自己的评审得分及排序情况。</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bookmarkStart w:id="122" w:name="_Toc16938548"/>
      <w:r/>
      <w:bookmarkStart w:id="123" w:name="_Toc513029232"/>
      <w:r/>
      <w:bookmarkStart w:id="124" w:name="_Toc20823304"/>
      <w:r>
        <w:rPr>
          <w:rFonts w:hint="eastAsia" w:ascii="方正仿宋_GBK" w:hAnsi="方正仿宋_GBK" w:eastAsia="方正仿宋_GBK" w:cs="方正仿宋_GBK"/>
          <w:sz w:val="28"/>
          <w:szCs w:val="28"/>
          <w:highlight w:val="none"/>
        </w:rPr>
        <w:t xml:space="preserve">23</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投标文件的澄清</w:t>
      </w:r>
      <w:bookmarkEnd w:id="122"/>
      <w:r/>
      <w:bookmarkEnd w:id="123"/>
      <w:r/>
      <w:bookmarkEnd w:id="124"/>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23.1评标期间，</w:t>
      </w:r>
      <w:r>
        <w:rPr>
          <w:rFonts w:hint="eastAsia" w:ascii="方正仿宋_GBK" w:hAnsi="方正仿宋_GBK" w:eastAsia="方正仿宋_GBK" w:cs="方正仿宋_GBK"/>
          <w:sz w:val="28"/>
          <w:szCs w:val="28"/>
          <w:highlight w:val="none"/>
          <w:lang w:eastAsia="zh-CN"/>
        </w:rPr>
        <w:t xml:space="preserve">评标委员会</w:t>
      </w:r>
      <w:r>
        <w:rPr>
          <w:rFonts w:hint="eastAsia" w:ascii="方正仿宋_GBK" w:hAnsi="方正仿宋_GBK" w:eastAsia="方正仿宋_GBK" w:cs="方正仿宋_GBK"/>
          <w:sz w:val="28"/>
          <w:szCs w:val="28"/>
          <w:highlight w:val="none"/>
        </w:rPr>
        <w:t xml:space="preserve">对投标文件中含义不明确、同类问题表述不一致或者有明显文字和计算错误的内容 ，有权要求投标人作出必要的澄清、说明或者补正。</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投标人的澄清、说明或者补正不得超出投标文件的范围或者改变投标文件的实质性内容。</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评标委员会并非对每个投标人都做澄清要求。</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23.2需要供应商进行澄清、说明和补正的，</w:t>
      </w:r>
      <w:r>
        <w:rPr>
          <w:rFonts w:hint="eastAsia" w:ascii="方正仿宋_GBK" w:hAnsi="方正仿宋_GBK" w:eastAsia="方正仿宋_GBK" w:cs="方正仿宋_GBK"/>
          <w:sz w:val="28"/>
          <w:szCs w:val="28"/>
          <w:highlight w:val="none"/>
          <w:lang w:eastAsia="zh-CN"/>
        </w:rPr>
        <w:t xml:space="preserve">评标委员会</w:t>
      </w:r>
      <w:r>
        <w:rPr>
          <w:rFonts w:hint="eastAsia" w:ascii="方正仿宋_GBK" w:hAnsi="方正仿宋_GBK" w:eastAsia="方正仿宋_GBK" w:cs="方正仿宋_GBK"/>
          <w:sz w:val="28"/>
          <w:szCs w:val="28"/>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23.3 接到</w:t>
      </w:r>
      <w:r>
        <w:rPr>
          <w:rFonts w:hint="eastAsia" w:ascii="方正仿宋_GBK" w:hAnsi="方正仿宋_GBK" w:eastAsia="方正仿宋_GBK" w:cs="方正仿宋_GBK"/>
          <w:sz w:val="28"/>
          <w:szCs w:val="28"/>
          <w:highlight w:val="none"/>
          <w:lang w:eastAsia="zh-CN"/>
        </w:rPr>
        <w:t xml:space="preserve">评标委员会</w:t>
      </w:r>
      <w:r>
        <w:rPr>
          <w:rFonts w:hint="eastAsia" w:ascii="方正仿宋_GBK" w:hAnsi="方正仿宋_GBK" w:eastAsia="方正仿宋_GBK" w:cs="方正仿宋_GBK"/>
          <w:sz w:val="28"/>
          <w:szCs w:val="28"/>
          <w:highlight w:val="none"/>
        </w:rPr>
        <w:t xml:space="preserve">澄清、说明和补正要求的投标人如未按规定做出澄清、说明和补正，其风险由投标人自行承担。</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bookmarkStart w:id="125" w:name="_Toc20823305"/>
      <w:r/>
      <w:bookmarkStart w:id="126" w:name="_Toc16938549"/>
      <w:r/>
      <w:bookmarkStart w:id="127" w:name="_Toc513029233"/>
      <w:r>
        <w:rPr>
          <w:rFonts w:hint="eastAsia" w:ascii="方正仿宋_GBK" w:hAnsi="方正仿宋_GBK" w:eastAsia="方正仿宋_GBK" w:cs="方正仿宋_GBK"/>
          <w:sz w:val="28"/>
          <w:szCs w:val="28"/>
          <w:highlight w:val="none"/>
          <w:lang w:val="en-US" w:eastAsia="zh-CN"/>
        </w:rPr>
        <w:t xml:space="preserve">24.对投标文件的初审</w:t>
      </w:r>
      <w:bookmarkEnd w:id="125"/>
      <w:r/>
      <w:bookmarkEnd w:id="126"/>
      <w:r/>
      <w:bookmarkEnd w:id="127"/>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24.1投标文件初审分为资格审查和符合性审查。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24.1.1 资格审查：依据法律法规和招标文件的规定，由采购人对投标文件中的资格证明文件进行审查。资格审查的结论，采购人以书面形式向评标委员会进行反馈。</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highlight w:val="none"/>
          <w:lang w:val="en-US" w:eastAsia="zh-CN"/>
        </w:rPr>
        <w:t xml:space="preserve">www.creditchina.gov.cn</w:t>
      </w:r>
      <w:r>
        <w:rPr>
          <w:rFonts w:hint="eastAsia" w:ascii="方正仿宋_GBK" w:hAnsi="方正仿宋_GBK" w:eastAsia="方正仿宋_GBK" w:cs="方正仿宋_GBK"/>
          <w:sz w:val="28"/>
          <w:szCs w:val="28"/>
          <w:highlight w:val="none"/>
          <w:lang w:val="en-US" w:eastAsia="zh-CN"/>
        </w:rPr>
        <w:t xml:space="preserve">）查询投标人的信用记录，以确定投标人是否具备投标资格,查询结果留存并归档。</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24.1.2 符合性审查：依据招标文件的规定，由评标委员会从投标文件的有效性、完整性和对招标文件的响应程度进行审查，以确定是否对招标文件的实质性要求作出响应。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24.3如果投标文件实质上没有响应招标文件的要求，评标委员会将予以拒绝，投标人不得通过修改或撤销不符合要求的偏离或保留而使其投标成为实质性响应的投标。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24.4评标委员会将对确定为实质性响应的投标进行进一步审核，确定其是否有计算上或累加上的算术错误，修正错误的原则如下：</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（1）投标文件中开标一览表内容与投标文件中相应内容不一致的，以开标一览表为准。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（2）大写金额和小写金额不一致的，以大写金额为准。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（3）单价金额小数点或者百分比有明显错位的，以开标一览表的总价为准，并修改单价。</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（4）总价金额与按单价汇总金额不一致的，以单价金额计算结果为准。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同时出现两种以上错误的，按照前款规定的顺序修正。</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bookmarkStart w:id="128" w:name="_Toc513029234"/>
      <w:r/>
      <w:bookmarkStart w:id="129" w:name="_Toc20823306"/>
      <w:r/>
      <w:bookmarkStart w:id="130" w:name="_Toc16938550"/>
      <w:r>
        <w:rPr>
          <w:rFonts w:hint="eastAsia" w:ascii="方正仿宋_GBK" w:hAnsi="方正仿宋_GBK" w:eastAsia="方正仿宋_GBK" w:cs="方正仿宋_GBK"/>
          <w:sz w:val="28"/>
          <w:szCs w:val="28"/>
          <w:highlight w:val="none"/>
          <w:lang w:val="en-US" w:eastAsia="zh-CN"/>
        </w:rPr>
        <w:t xml:space="preserve">24.6投标人在开、评标全过程中应保持通讯畅通，及时登录苏采云系统查阅、答复相关信息，并安排专人与采购中心及评标委员会联系。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24.7 异常低价投标审查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24.7.1 评标过程中出现下列情形之一的，评标委员会应当启动异常低价投标审查程序：</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（1）投标报价低于全部通过符合性审查供应商投标报价平均值50%的，即投标报价&lt;全部通过符合性审查供应商投标报价平均值×50%；</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（2）投标报价低于通过符合性审查的次低报价供应商投标报价50%的，即投标报价&lt;通过符合性审查的次低报价供应商投标报价×50%；</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（3）投标报价低于采购项目最高限价65%的，即投标报价&lt;采购项目最高限价×65%；</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（4）评标委员会基于专业判断，认为供应商报价过低，有可能影响产品质量或者不能诚信履约的其他情形。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w:t>
      </w:r>
      <w:bookmarkEnd w:id="128"/>
      <w:r/>
      <w:bookmarkEnd w:id="129"/>
      <w:r/>
      <w:bookmarkEnd w:id="130"/>
      <w:r>
        <w:rPr>
          <w:rFonts w:hint="eastAsia" w:ascii="方正仿宋_GBK" w:hAnsi="方正仿宋_GBK" w:eastAsia="方正仿宋_GBK" w:cs="方正仿宋_GBK"/>
          <w:sz w:val="28"/>
          <w:szCs w:val="28"/>
          <w:highlight w:val="none"/>
          <w:lang w:val="en-US" w:eastAsia="zh-CN"/>
        </w:rPr>
        <w:t xml:space="preserve">.无效投标条款和废标条款</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bookmarkStart w:id="131" w:name="_Toc513029235"/>
      <w:r/>
      <w:bookmarkStart w:id="132" w:name="_Toc20823307"/>
      <w:r/>
      <w:bookmarkStart w:id="133" w:name="_Toc16938551"/>
      <w:r>
        <w:rPr>
          <w:rFonts w:hint="eastAsia" w:ascii="方正仿宋_GBK" w:hAnsi="方正仿宋_GBK" w:eastAsia="方正仿宋_GBK" w:cs="方正仿宋_GBK"/>
          <w:sz w:val="28"/>
          <w:szCs w:val="28"/>
          <w:highlight w:val="none"/>
          <w:lang w:val="en-US" w:eastAsia="zh-CN"/>
        </w:rPr>
        <w:t xml:space="preserve">25.1无效投标条款</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25.1.1 投标人在苏采云系统规定的时间内未成功解密电子投标文件的。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25.1.2 投标人未按照招标文件要求上传电子投标文件的。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25.1.3 投标人同一采购包提交两个（含两个）以上不同的投标报价的。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25.1.4投标人不具备招标文件中规定资格要求的。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25.1.5投标人的报价超过了采购预算或最高限价的。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25.1.6未通过符合性审查的。</w:t>
      </w:r>
      <w:r/>
    </w:p>
    <w:p>
      <w:pPr>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highlight w:val="none"/>
          <w:u w:val="single"/>
        </w:rPr>
      </w:pPr>
      <w:r>
        <w:rPr>
          <w:rFonts w:hint="eastAsia" w:ascii="方正仿宋_GBK" w:hAnsi="方正仿宋_GBK" w:eastAsia="方正仿宋_GBK" w:cs="方正仿宋_GBK"/>
          <w:bCs/>
          <w:sz w:val="28"/>
          <w:szCs w:val="28"/>
          <w:highlight w:val="none"/>
        </w:rPr>
        <w:t xml:space="preserve">25.1.7不符合招标文件中规定的实质性要求的</w:t>
      </w:r>
      <w:r>
        <w:rPr>
          <w:rFonts w:hint="eastAsia" w:ascii="方正仿宋_GBK" w:hAnsi="方正仿宋_GBK" w:eastAsia="方正仿宋_GBK" w:cs="方正仿宋_GBK"/>
          <w:b/>
          <w:bCs/>
          <w:sz w:val="28"/>
          <w:szCs w:val="28"/>
          <w:highlight w:val="none"/>
        </w:rPr>
        <w:t xml:space="preserve">（本招标文件中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w:t>
      </w:r>
      <w:r>
        <w:rPr>
          <w:rFonts w:hint="eastAsia" w:ascii="方正仿宋_GBK" w:hAnsi="方正仿宋_GBK" w:eastAsia="方正仿宋_GBK" w:cs="方正仿宋_GBK"/>
          <w:b/>
          <w:bCs/>
          <w:sz w:val="28"/>
          <w:szCs w:val="28"/>
          <w:highlight w:val="none"/>
          <w:lang w:val="en-US" w:eastAsia="zh-CN"/>
        </w:rPr>
        <w:t xml:space="preserve">*</w:t>
      </w:r>
      <w:r>
        <w:rPr>
          <w:rFonts w:hint="eastAsia" w:ascii="方正仿宋_GBK" w:hAnsi="方正仿宋_GBK" w:eastAsia="方正仿宋_GBK" w:cs="方正仿宋_GBK"/>
          <w:b/>
          <w:bCs/>
          <w:sz w:val="28"/>
          <w:szCs w:val="28"/>
          <w:highlight w:val="none"/>
        </w:rPr>
        <w:t xml:space="preserve">号条款为实质性要求）</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25.1.8 投标人被 “信用中国”网站（</w:t>
      </w:r>
      <w:r>
        <w:rPr>
          <w:rFonts w:hint="eastAsia" w:ascii="Times New Roman" w:hAnsi="Times New Roman" w:eastAsia="方正仿宋_GBK" w:cs="Times New Roman"/>
          <w:color w:val="000000"/>
          <w:sz w:val="28"/>
          <w:szCs w:val="28"/>
          <w:highlight w:val="none"/>
          <w:lang w:val="en-US" w:eastAsia="zh-CN"/>
        </w:rPr>
        <w:t xml:space="preserve">www.creditchina.gov.cn</w:t>
      </w:r>
      <w:r>
        <w:rPr>
          <w:rFonts w:hint="eastAsia" w:ascii="方正仿宋_GBK" w:hAnsi="方正仿宋_GBK" w:eastAsia="方正仿宋_GBK" w:cs="方正仿宋_GBK"/>
          <w:sz w:val="28"/>
          <w:szCs w:val="28"/>
          <w:highlight w:val="none"/>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25.1.9 投标文件含有采购人不能接受的附加条件的。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25.1.10评标委员会按照本招标文件规定对投标人进行异常低价投标审查后，认为投标人不能证明其报价合理性的。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25.1.11 投标文件未按照招标文件要求加盖CA电子公章的。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25.1.12 投标人所提供的服务不符合招标文件中所列国家强制性标准的。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25.1.13其他法律、法规及本招标文件规定的属无效投标的情形。</w:t>
      </w:r>
      <w:r/>
    </w:p>
    <w:p>
      <w:p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25.1.14 如为专门面向中小微型企业采购的采购项目采购包，供应商未提供本项目所投采购包提供服务的人员均为依照《中华人民共和国劳动合同法》订立劳动合同的从业人员的书面声明（书面声明格式见招标文件第六章附件14）。</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25.2废标条款</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25.2.1符合专业条件的供应商或者对招标文件作实质响应的供应商不足三家的。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25.2.2出现影响采购公正的违法、违规行为的。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25.2.3因重大变故，采购任务取消的。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25.2.4评标委员会认定招标文件存在歧义、重大缺陷导致评审工作无法进行。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25.2.5 因苏采云系统故障原因造成开标不成功的。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25.3 投标截止时间结束后参加投标的供应商不足三家的处理：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25.3.1如出现投标截止时间结束后参加投标的供应商或者在评标期间对招标文件做出实质响应的供应商不足三家情况，按政府采购相关规定执行。</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bookmarkStart w:id="134" w:name="_Toc120614219"/>
      <w:r>
        <w:rPr>
          <w:rFonts w:hint="eastAsia" w:ascii="方正黑体_GBK" w:hAnsi="方正黑体_GBK" w:eastAsia="方正黑体_GBK" w:cs="方正黑体_GBK"/>
          <w:color w:val="000000"/>
          <w:sz w:val="28"/>
          <w:szCs w:val="28"/>
          <w:highlight w:val="none"/>
        </w:rPr>
        <w:t xml:space="preserve">六、</w:t>
      </w:r>
      <w:bookmarkEnd w:id="131"/>
      <w:r/>
      <w:bookmarkEnd w:id="132"/>
      <w:r/>
      <w:bookmarkEnd w:id="133"/>
      <w:r>
        <w:rPr>
          <w:rFonts w:hint="eastAsia" w:ascii="方正黑体_GBK" w:hAnsi="方正黑体_GBK" w:eastAsia="方正黑体_GBK" w:cs="方正黑体_GBK"/>
          <w:color w:val="000000"/>
          <w:sz w:val="28"/>
          <w:szCs w:val="28"/>
          <w:highlight w:val="none"/>
        </w:rPr>
        <w:t xml:space="preserve">定标</w:t>
      </w:r>
      <w:bookmarkEnd w:id="134"/>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bookmarkStart w:id="135" w:name="_Toc513029238"/>
      <w:r/>
      <w:bookmarkStart w:id="136" w:name="_Toc20823310"/>
      <w:r/>
      <w:bookmarkStart w:id="137" w:name="_Toc16938554"/>
      <w:r>
        <w:rPr>
          <w:rFonts w:hint="eastAsia" w:ascii="方正仿宋_GBK" w:hAnsi="方正仿宋_GBK" w:eastAsia="方正仿宋_GBK" w:cs="方正仿宋_GBK"/>
          <w:sz w:val="28"/>
          <w:szCs w:val="28"/>
          <w:highlight w:val="none"/>
          <w:lang w:val="en-US" w:eastAsia="zh-CN"/>
        </w:rPr>
        <w:t xml:space="preserve">26</w:t>
      </w:r>
      <w:bookmarkEnd w:id="135"/>
      <w:r>
        <w:rPr>
          <w:rFonts w:hint="eastAsia" w:ascii="方正仿宋_GBK" w:hAnsi="方正仿宋_GBK" w:eastAsia="方正仿宋_GBK" w:cs="方正仿宋_GBK"/>
          <w:sz w:val="28"/>
          <w:szCs w:val="28"/>
          <w:highlight w:val="none"/>
          <w:lang w:val="en-US" w:eastAsia="zh-CN"/>
        </w:rPr>
        <w:t xml:space="preserve">.确定</w:t>
      </w:r>
      <w:bookmarkEnd w:id="136"/>
      <w:r/>
      <w:bookmarkEnd w:id="137"/>
      <w:r>
        <w:rPr>
          <w:rFonts w:hint="eastAsia" w:ascii="方正仿宋_GBK" w:hAnsi="方正仿宋_GBK" w:eastAsia="方正仿宋_GBK" w:cs="方正仿宋_GBK"/>
          <w:sz w:val="28"/>
          <w:szCs w:val="28"/>
          <w:highlight w:val="none"/>
          <w:lang w:val="en-US" w:eastAsia="zh-CN"/>
        </w:rPr>
        <w:t xml:space="preserve">中标单位</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26.1中标候选人的选取原则和数量见招标文件第五章规定。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26.2采购人应根据评标委员会推荐的中标候选人确定中标供应商。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26.3 采购中心将在“江苏政府采购网”发布中标公告，公告期限为1个工作日。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26.4 若有充分证据证明，中标供应商出现下列情况之一的，一经查实，将被取消中标资格：</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26.4.1提供虚假材料谋取中标的。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26.4.2向采购人、采购中心行贿或者提供其他不正当利益的。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26.4.3属于本文件规定的无效条件，但在评标过程中又未被评标委员会发现的。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26.4.4与采购人或者其他供应商恶意串通的。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26.4.5采取不正当手段诋毁、排挤其他供应商的。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bookmarkStart w:id="138" w:name="_Toc200451960"/>
      <w:r>
        <w:rPr>
          <w:rFonts w:hint="eastAsia" w:ascii="方正仿宋_GBK" w:hAnsi="方正仿宋_GBK" w:eastAsia="方正仿宋_GBK" w:cs="方正仿宋_GBK"/>
          <w:sz w:val="28"/>
          <w:szCs w:val="28"/>
          <w:highlight w:val="none"/>
          <w:lang w:val="en-US" w:eastAsia="zh-CN"/>
        </w:rPr>
        <w:t xml:space="preserve">26.5有下列情形之一的，视为投标人串通投标，投标无效：</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26.5.1不同投标人的投标文件由同一单位或者个人编制。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26.5.2不同投标人委托同一单位或者个人办理投标事宜。</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26.5.3 不同投标人的投标文件载明的项目管理成员或者联系人员为同一人。</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26.5.4不同投标人的投标文件异常一致或者投标报价呈规律性差异。</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27.质疑处理</w:t>
      </w:r>
      <w:bookmarkEnd w:id="138"/>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27.1 提出质疑的供应商应当是参与所质疑项目采购活动的供应商。潜在供应商依法获取其可质疑的采购文件的，可以对采购文件提出质疑。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27.2.1对可以质疑的采购文件提出质疑的，为收到采购文件之日或者采购文件公告期限届满之日；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27.2.2对采购过程提出质疑的，为各采购程序环节结束之日；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27.2.3对中标或者成交结果提出质疑的，为中标或者成交结果公告期限届满之日。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采购人及采购中心只接收以纸质原件形式送达的质疑,建议供应商尽量通过邮寄方式提交质疑（采购人和采购中心不接受无快递运单号的快递）。</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采购中心质疑接收部门为质疑处理科（快递运单上的收件人填写“质疑处理科”即可），联系地址：南京市汉中门大街145号省政务中心二期3楼南区3029室，联系电话：025-83668531。</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采购人质疑接收人及联系方式见招标文件第一章。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27.5 以下情形的质疑不予受理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27.5.1 内容不符合《政府采购质疑和投诉办法》第十二条规定的质疑。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27.5.2 超出政府采购法定期限的质疑。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27.5.3 以传真、电子邮件等方式递交的非原件形式的质疑。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27.5.4 未参加投标活动的供应商或在投标活动中自身权益未受到损害的供应商所提出的质疑。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27.5.5供应商组成联合体参加投标，联合体中任何一方或多方未按要求签字、盖章、加盖公章的质疑。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28.中标通知书</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bookmarkStart w:id="139" w:name="_Toc20823308"/>
      <w:r/>
      <w:bookmarkStart w:id="140" w:name="_Toc16938552"/>
      <w:r/>
      <w:bookmarkStart w:id="141" w:name="_Toc513029236"/>
      <w:r/>
      <w:bookmarkStart w:id="142" w:name="_Toc120614220"/>
      <w:r>
        <w:rPr>
          <w:rFonts w:hint="eastAsia" w:ascii="方正黑体_GBK" w:hAnsi="方正黑体_GBK" w:eastAsia="方正黑体_GBK" w:cs="方正黑体_GBK"/>
          <w:color w:val="000000"/>
          <w:sz w:val="28"/>
          <w:szCs w:val="28"/>
          <w:highlight w:val="none"/>
        </w:rPr>
        <w:t xml:space="preserve">七、授予合同</w:t>
      </w:r>
      <w:bookmarkEnd w:id="139"/>
      <w:r/>
      <w:bookmarkEnd w:id="140"/>
      <w:r/>
      <w:bookmarkEnd w:id="141"/>
      <w:r/>
      <w:bookmarkEnd w:id="142"/>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bookmarkStart w:id="143" w:name="_Toc513029237"/>
      <w:r/>
      <w:bookmarkStart w:id="144" w:name="_Toc16938553"/>
      <w:r/>
      <w:bookmarkStart w:id="145" w:name="_Toc20823309"/>
      <w:r>
        <w:rPr>
          <w:rFonts w:hint="eastAsia" w:ascii="方正仿宋_GBK" w:hAnsi="方正仿宋_GBK" w:eastAsia="方正仿宋_GBK" w:cs="方正仿宋_GBK"/>
          <w:sz w:val="28"/>
          <w:szCs w:val="28"/>
          <w:highlight w:val="none"/>
          <w:lang w:val="en-US" w:eastAsia="zh-CN"/>
        </w:rPr>
        <w:t xml:space="preserve">29.签订合同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29.l中标供应商应当在中标通知书发出之日起三十日内，按照招标文件确定的事项与采购人签订政府采购合同。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29.2 招标文件、中标供应商的投标文件及招标过程中有关澄清、承诺文件均应作为合同附件。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30.服务（包含与服务相关的货物）的追加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43"/>
      <w:r/>
      <w:bookmarkEnd w:id="144"/>
      <w:r/>
      <w:bookmarkEnd w:id="145"/>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bookmarkStart w:id="146" w:name="_Toc479757207"/>
      <w:r/>
      <w:bookmarkStart w:id="147" w:name="_Toc16938558"/>
      <w:r/>
      <w:bookmarkStart w:id="148" w:name="_Toc513029242"/>
      <w:r/>
      <w:bookmarkStart w:id="149" w:name="_Toc20823314"/>
      <w:r/>
      <w:bookmarkStart w:id="150" w:name="_Toc120614221"/>
      <w:r>
        <w:rPr>
          <w:rFonts w:hint="eastAsia" w:ascii="方正仿宋_GBK" w:hAnsi="方正仿宋_GBK" w:eastAsia="方正仿宋_GBK" w:cs="方正仿宋_GBK"/>
          <w:sz w:val="28"/>
          <w:szCs w:val="28"/>
          <w:highlight w:val="none"/>
          <w:lang w:val="en-US" w:eastAsia="zh-CN"/>
        </w:rPr>
        <w:t xml:space="preserve">31.政府采购履约资金扶持政策</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中标供应商可凭政府采购合同办理融资贷款，详情请见江苏政府采购网“政采贷”专栏。</w:t>
      </w:r>
      <w:r/>
    </w:p>
    <w:p>
      <w:pPr>
        <w:pStyle w:val="783"/>
        <w:spacing w:line="400" w:lineRule="exact"/>
        <w:rPr>
          <w:rFonts w:hint="eastAsia" w:ascii="宋体" w:hAnsi="宋体"/>
          <w:bCs/>
          <w:sz w:val="24"/>
          <w:highlight w:val="none"/>
        </w:rPr>
      </w:pPr>
      <w:r>
        <w:rPr>
          <w:rFonts w:hint="eastAsia" w:ascii="宋体" w:hAnsi="宋体"/>
          <w:bCs/>
          <w:sz w:val="24"/>
          <w:highlight w:val="none"/>
        </w:rPr>
      </w:r>
      <w:r/>
    </w:p>
    <w:p>
      <w:pPr>
        <w:pStyle w:val="783"/>
        <w:spacing w:line="400" w:lineRule="exact"/>
        <w:rPr>
          <w:rFonts w:hint="eastAsia" w:ascii="宋体" w:hAnsi="宋体"/>
          <w:bCs/>
          <w:sz w:val="24"/>
          <w:highlight w:val="none"/>
        </w:rPr>
      </w:pPr>
      <w:r>
        <w:rPr>
          <w:rFonts w:hint="eastAsia" w:ascii="宋体" w:hAnsi="宋体"/>
          <w:bCs/>
          <w:sz w:val="24"/>
          <w:highlight w:val="none"/>
        </w:rPr>
      </w:r>
      <w:r/>
    </w:p>
    <w:p>
      <w:pPr>
        <w:pStyle w:val="783"/>
        <w:spacing w:line="400" w:lineRule="exact"/>
        <w:rPr>
          <w:rFonts w:hint="eastAsia" w:ascii="宋体" w:hAnsi="宋体"/>
          <w:bCs/>
          <w:sz w:val="24"/>
          <w:highlight w:val="none"/>
        </w:rPr>
      </w:pPr>
      <w:r>
        <w:rPr>
          <w:rFonts w:hint="eastAsia" w:ascii="宋体" w:hAnsi="宋体"/>
          <w:bCs/>
          <w:sz w:val="24"/>
          <w:highlight w:val="none"/>
        </w:rPr>
      </w:r>
      <w:r/>
    </w:p>
    <w:p>
      <w:pPr>
        <w:pStyle w:val="783"/>
        <w:spacing w:line="400" w:lineRule="exact"/>
        <w:rPr>
          <w:rFonts w:hint="eastAsia" w:ascii="宋体" w:hAnsi="宋体"/>
          <w:bCs/>
          <w:sz w:val="24"/>
          <w:highlight w:val="none"/>
        </w:rPr>
      </w:pPr>
      <w:r>
        <w:rPr>
          <w:rFonts w:hint="eastAsia" w:ascii="宋体" w:hAnsi="宋体"/>
          <w:bCs/>
          <w:sz w:val="24"/>
          <w:highlight w:val="none"/>
        </w:rPr>
      </w:r>
      <w:r/>
    </w:p>
    <w:p>
      <w:pPr>
        <w:pStyle w:val="783"/>
        <w:spacing w:line="400" w:lineRule="exact"/>
        <w:rPr>
          <w:rFonts w:hint="eastAsia" w:ascii="宋体" w:hAnsi="宋体"/>
          <w:bCs/>
          <w:sz w:val="24"/>
          <w:highlight w:val="none"/>
        </w:rPr>
      </w:pPr>
      <w:r>
        <w:rPr>
          <w:rFonts w:hint="eastAsia" w:ascii="宋体" w:hAnsi="宋体"/>
          <w:bCs/>
          <w:sz w:val="24"/>
          <w:highlight w:val="none"/>
        </w:rPr>
      </w:r>
      <w:r/>
    </w:p>
    <w:p>
      <w:pPr>
        <w:pStyle w:val="783"/>
        <w:spacing w:line="400" w:lineRule="exact"/>
        <w:rPr>
          <w:rFonts w:hint="eastAsia" w:ascii="宋体" w:hAnsi="宋体"/>
          <w:bCs/>
          <w:sz w:val="24"/>
          <w:highlight w:val="none"/>
        </w:rPr>
      </w:pPr>
      <w:r>
        <w:rPr>
          <w:rFonts w:hint="eastAsia" w:ascii="宋体" w:hAnsi="宋体"/>
          <w:bCs/>
          <w:sz w:val="24"/>
          <w:highlight w:val="none"/>
        </w:rPr>
      </w:r>
      <w:r/>
    </w:p>
    <w:p>
      <w:pPr>
        <w:pStyle w:val="783"/>
        <w:spacing w:line="400" w:lineRule="exact"/>
        <w:rPr>
          <w:rFonts w:hint="eastAsia" w:ascii="宋体" w:hAnsi="宋体"/>
          <w:bCs/>
          <w:sz w:val="24"/>
          <w:highlight w:val="none"/>
        </w:rPr>
      </w:pPr>
      <w:r>
        <w:rPr>
          <w:rFonts w:hint="eastAsia" w:ascii="宋体" w:hAnsi="宋体"/>
          <w:bCs/>
          <w:sz w:val="24"/>
          <w:highlight w:val="none"/>
        </w:rPr>
      </w:r>
      <w:r/>
    </w:p>
    <w:p>
      <w:pPr>
        <w:pStyle w:val="783"/>
        <w:spacing w:line="400" w:lineRule="exact"/>
        <w:rPr>
          <w:rFonts w:hint="eastAsia" w:ascii="宋体" w:hAnsi="宋体"/>
          <w:bCs/>
          <w:sz w:val="24"/>
          <w:highlight w:val="none"/>
        </w:rPr>
      </w:pPr>
      <w:r>
        <w:rPr>
          <w:rFonts w:hint="eastAsia" w:ascii="宋体" w:hAnsi="宋体"/>
          <w:bCs/>
          <w:sz w:val="24"/>
          <w:highlight w:val="none"/>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第三章  合同</w:t>
      </w:r>
      <w:bookmarkEnd w:id="146"/>
      <w:r/>
      <w:bookmarkEnd w:id="147"/>
      <w:r/>
      <w:bookmarkEnd w:id="148"/>
      <w:r/>
      <w:bookmarkEnd w:id="149"/>
      <w:r/>
      <w:bookmarkEnd w:id="150"/>
      <w:r>
        <w:rPr>
          <w:rFonts w:hint="eastAsia" w:ascii="方正黑体_GBK" w:hAnsi="方正黑体_GBK" w:eastAsia="方正黑体_GBK" w:cs="方正黑体_GBK"/>
          <w:color w:val="000000"/>
          <w:sz w:val="28"/>
          <w:szCs w:val="28"/>
          <w:highlight w:val="none"/>
        </w:rPr>
        <w:t xml:space="preserve">文本</w:t>
      </w:r>
      <w:r/>
    </w:p>
    <w:p>
      <w:pPr>
        <w:ind w:firstLine="560"/>
        <w:keepLines w:val="0"/>
        <w:keepNext w:val="0"/>
        <w:pageBreakBefore w:val="0"/>
        <w:spacing w:line="400" w:lineRule="exact"/>
        <w:widowControl w:val="off"/>
        <w:rPr>
          <w:rFonts w:hint="eastAsia" w:ascii="方正仿宋_GBK" w:hAnsi="方正仿宋_GBK" w:eastAsia="方正仿宋_GBK" w:cs="方正仿宋_GBK"/>
          <w:b w:val="0"/>
          <w:bCs/>
          <w:sz w:val="28"/>
          <w:szCs w:val="28"/>
          <w:highlight w:val="none"/>
        </w:rPr>
      </w:pPr>
      <w:r/>
      <w:bookmarkStart w:id="151" w:name="_Toc20823315"/>
      <w:r/>
      <w:bookmarkStart w:id="152" w:name="_Toc16938559"/>
      <w:r/>
      <w:bookmarkStart w:id="153" w:name="_Toc513029243"/>
      <w:r/>
      <w:r/>
    </w:p>
    <w:p>
      <w:pPr>
        <w:pStyle w:val="790"/>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highlight w:val="none"/>
        </w:rPr>
      </w:pPr>
      <w:r>
        <w:rPr>
          <w:rFonts w:hint="eastAsia" w:ascii="方正黑体_GBK" w:hAnsi="方正黑体_GBK" w:eastAsia="方正黑体_GBK" w:cs="方正黑体_GBK"/>
          <w:b w:val="0"/>
          <w:bCs w:val="0"/>
          <w:spacing w:val="-20"/>
          <w:sz w:val="28"/>
          <w:szCs w:val="28"/>
          <w:highlight w:val="none"/>
        </w:rPr>
        <w:t xml:space="preserve">江苏省政府采购合同（服务）（合同编号）</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项目名称：</w:t>
      </w:r>
      <w:r>
        <w:rPr>
          <w:rFonts w:ascii="Times New Roman" w:hAnsi="Times New Roman" w:eastAsia="方正仿宋_GBK" w:cs="Times New Roman"/>
          <w:color w:val="000000"/>
          <w:sz w:val="28"/>
          <w:szCs w:val="28"/>
          <w:highlight w:val="none"/>
          <w:lang w:eastAsia="zh-CN"/>
        </w:rPr>
        <w:t xml:space="preserve">XXXX</w:t>
      </w:r>
      <w:r>
        <w:rPr>
          <w:rFonts w:ascii="Times New Roman" w:hAnsi="Times New Roman" w:eastAsia="方正仿宋_GBK" w:cs="Times New Roman"/>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                  </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ff0000"/>
          <w:sz w:val="28"/>
          <w:szCs w:val="28"/>
          <w:highlight w:val="none"/>
        </w:rPr>
      </w:pPr>
      <w:r>
        <w:rPr>
          <w:rFonts w:hint="eastAsia" w:ascii="方正仿宋_GBK" w:hAnsi="方正仿宋_GBK" w:eastAsia="方正仿宋_GBK" w:cs="方正仿宋_GBK"/>
          <w:color w:val="000000"/>
          <w:sz w:val="28"/>
          <w:szCs w:val="28"/>
          <w:highlight w:val="none"/>
          <w:lang w:eastAsia="zh-CN"/>
        </w:rPr>
        <w:t xml:space="preserve">采购编号</w:t>
      </w:r>
      <w:r>
        <w:rPr>
          <w:rFonts w:hint="eastAsia" w:ascii="方正仿宋_GBK" w:hAnsi="方正仿宋_GBK" w:eastAsia="方正仿宋_GBK" w:cs="方正仿宋_GBK"/>
          <w:color w:val="000000"/>
          <w:sz w:val="28"/>
          <w:szCs w:val="28"/>
          <w:highlight w:val="none"/>
        </w:rPr>
        <w:t xml:space="preserve">：</w:t>
      </w:r>
      <w:r>
        <w:rPr>
          <w:rFonts w:hint="eastAsia" w:ascii="Times New Roman" w:hAnsi="Times New Roman" w:eastAsia="方正仿宋_GBK" w:cs="Times New Roman"/>
          <w:color w:val="000000"/>
          <w:sz w:val="28"/>
          <w:szCs w:val="28"/>
          <w:highlight w:val="none"/>
          <w:lang w:eastAsia="zh-CN"/>
        </w:rPr>
        <w:t xml:space="preserve">JSZC-320000-</w:t>
      </w:r>
      <w:r>
        <w:rPr>
          <w:rFonts w:hint="eastAsia" w:ascii="Times New Roman" w:hAnsi="Times New Roman" w:eastAsia="方正仿宋_GBK" w:cs="Times New Roman"/>
          <w:color w:val="000000"/>
          <w:sz w:val="28"/>
          <w:szCs w:val="28"/>
          <w:highlight w:val="none"/>
          <w:lang w:val="en-US" w:eastAsia="zh-CN"/>
        </w:rPr>
        <w:t xml:space="preserve">SCZX-G20XX-XXXX</w:t>
      </w:r>
      <w:r>
        <w:rPr>
          <w:rFonts w:hint="eastAsia" w:ascii="Times New Roman" w:hAnsi="Times New Roman" w:eastAsia="方正仿宋_GBK" w:cs="Times New Roman"/>
          <w:color w:val="000000"/>
          <w:sz w:val="28"/>
          <w:szCs w:val="28"/>
          <w:highlight w:val="none"/>
          <w:lang w:eastAsia="zh-CN"/>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ff0000"/>
          <w:sz w:val="28"/>
          <w:szCs w:val="28"/>
          <w:highlight w:val="none"/>
        </w:rPr>
        <w:t xml:space="preserve"> </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采购包号：</w:t>
      </w:r>
      <w:r>
        <w:rPr>
          <w:rFonts w:hint="eastAsia" w:ascii="Times New Roman" w:hAnsi="Times New Roman" w:eastAsia="方正仿宋_GBK" w:cs="Times New Roman"/>
          <w:color w:val="000000"/>
          <w:sz w:val="28"/>
          <w:szCs w:val="28"/>
          <w:highlight w:val="none"/>
          <w:lang w:eastAsia="zh-CN"/>
        </w:rPr>
        <w:t xml:space="preserve">XX</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甲方：（买方/采购人）_________</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乙方：（卖方/中标供应商）_________</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sz w:val="28"/>
          <w:szCs w:val="28"/>
          <w:highlight w:val="none"/>
        </w:rPr>
        <w:t xml:space="preserve">甲、乙双方根据江苏省政府采购中心</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项目公开招标的结果，签署本合同。</w:t>
      </w:r>
      <w:r/>
    </w:p>
    <w:p>
      <w:pPr>
        <w:pStyle w:val="7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一、合同内容</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 标的名称：</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1.2标的质量：</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 标的数量（规模）：</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 履行时间（期限）：</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 履行地点：</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 履行方式：</w:t>
      </w:r>
      <w:r/>
    </w:p>
    <w:p>
      <w:pPr>
        <w:pStyle w:val="7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二、合同金额</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 本合同金额为（大写）：________圆（________元）人民币或其他币种。</w:t>
      </w:r>
      <w:r/>
    </w:p>
    <w:p>
      <w:pPr>
        <w:pStyle w:val="7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三、技术资料</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3.1乙方应按招标文件规定的时间向甲方提供服务（包含与服务相关的货物）的有关技术资料。</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四、知识产权</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五、产权担保</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5.1 乙方保证所交付的服务（包含与服务相关的货物）的所有权完全属于乙方且无任何抵押、查封等产权瑕疵。</w:t>
      </w:r>
      <w:r/>
    </w:p>
    <w:p>
      <w:pPr>
        <w:pStyle w:val="7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六、履约保证金</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6.1乙方应在签订采购合同后，于5个工作日内向甲方提交有效的电子履约保函（保险）</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乙方</w:t>
      </w:r>
      <w:r>
        <w:rPr>
          <w:rFonts w:hint="eastAsia" w:ascii="方正仿宋_GBK" w:hAnsi="方正仿宋_GBK" w:eastAsia="方正仿宋_GBK" w:cs="方正仿宋_GBK"/>
          <w:sz w:val="28"/>
          <w:szCs w:val="28"/>
          <w:highlight w:val="none"/>
          <w:lang w:val="en-US" w:eastAsia="zh-CN"/>
        </w:rPr>
        <w:t xml:space="preserve">可</w:t>
      </w:r>
      <w:r>
        <w:rPr>
          <w:rFonts w:hint="eastAsia" w:ascii="方正仿宋_GBK" w:hAnsi="方正仿宋_GBK" w:eastAsia="方正仿宋_GBK" w:cs="方正仿宋_GBK"/>
          <w:sz w:val="28"/>
          <w:szCs w:val="28"/>
          <w:highlight w:val="none"/>
        </w:rPr>
        <w:t xml:space="preserve">通过江苏省政府采购电子履约保函（保险）平台线上申请，经第三方机构审核开函后向甲方出具履约保函（保单）。履约保函（保险）金额为人民币50000元</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（不得超过合同金额的10%）</w:t>
      </w:r>
      <w:r>
        <w:rPr>
          <w:rFonts w:hint="eastAsia" w:ascii="方正仿宋_GBK" w:hAnsi="方正仿宋_GBK" w:eastAsia="方正仿宋_GBK" w:cs="方正仿宋_GBK"/>
          <w:sz w:val="28"/>
          <w:szCs w:val="28"/>
          <w:highlight w:val="none"/>
          <w:lang w:eastAsia="zh-CN"/>
        </w:rPr>
        <w:t xml:space="preserve">。</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6.2合同履行结束后，甲方应及时退还交纳的履约保证金。</w:t>
      </w:r>
      <w:r/>
    </w:p>
    <w:p>
      <w:pPr>
        <w:pStyle w:val="796"/>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6.2.1履约保证金退还方式：乙方按合同要求全部履约完成并经甲方验收合格后，甲方应将履约保函（保单）原件退还乙方；以电子保函形式出具的，甲方应在平台确认履约完成，保函自动失效。</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6.2.2履约保证金退还时间：甲方应在收到乙方提交的退函申请及相关材料后</w:t>
      </w: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0日内将履约保函（保单）原件退还乙方</w:t>
      </w:r>
      <w:r>
        <w:rPr>
          <w:rFonts w:hint="eastAsia" w:ascii="方正仿宋_GBK" w:hAnsi="方正仿宋_GBK" w:eastAsia="方正仿宋_GBK" w:cs="方正仿宋_GBK"/>
          <w:sz w:val="28"/>
          <w:szCs w:val="28"/>
          <w:highlight w:val="none"/>
          <w:lang w:eastAsia="zh-CN"/>
        </w:rPr>
        <w:t xml:space="preserve">。</w:t>
      </w:r>
      <w:r/>
    </w:p>
    <w:p>
      <w:pPr>
        <w:pStyle w:val="796"/>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6.2.3履约保证金退还条件：乙方按合同要求全部履约完成，经甲方验收合格、出具验收报告，且合同履行期间未发生需启动保函赔付的违约情形。甲方向乙方退还保函（保单）原件或在平台确认履约完成。</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6.2.4履约保证金不予退还的情形：乙方出现下列情形之一的，甲方有权向出具保函（保险）的第三方机构提出索赔，由第三方机构按照保函（保险）金额向甲方承担赔偿责任：</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rPr>
        <w:t xml:space="preserve">）乙方不履行与甲方订立的合同的；</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）乙方所提供的货物或服务不符合合同约定或招标文件要求的；</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rPr>
        <w:t xml:space="preserve">）乙方将合同内容转包、违法分包的；</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）乙方在合同期内自行停止合约或被甲方终止合约的。</w:t>
      </w:r>
      <w:r/>
    </w:p>
    <w:p>
      <w:pPr>
        <w:pStyle w:val="7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七、合同转包或分包</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7.1乙方不得将合同标的转包给他人履行。</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7.2乙方不得将合同标的分包给他人履行。</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7.3乙方如有转包或未经甲方同意的分包行为，甲方有权解除合同。</w:t>
      </w:r>
      <w:r/>
    </w:p>
    <w:p>
      <w:pPr>
        <w:pStyle w:val="7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八、合同款项支付</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8.1合同款项的支付方式及进度安排</w:t>
      </w:r>
      <w:r/>
    </w:p>
    <w:p>
      <w:pPr>
        <w:pStyle w:val="815"/>
        <w:ind w:left="0" w:right="0" w:firstLine="560"/>
        <w:jc w:val="both"/>
        <w:keepLines w:val="0"/>
        <w:keepNext w:val="0"/>
        <w:spacing w:before="120" w:beforeAutospacing="0" w:after="12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8.1.1 第一笔款：合同生效后，采购人在收到供应商提供的有效增值税发票后20个工作日内，支付合同总金额的30%。</w:t>
      </w:r>
      <w:r/>
    </w:p>
    <w:p>
      <w:pPr>
        <w:ind w:left="0" w:right="0" w:firstLine="480"/>
        <w:jc w:val="both"/>
        <w:keepLines w:val="0"/>
        <w:keepNext w:val="0"/>
        <w:spacing w:before="0" w:beforeAutospacing="0" w:after="0" w:afterAutospacing="0" w:line="44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8.1.2 第二笔款：完成项目所有建设内容的《需求规格说明书》并经采购人书面确认，且收到供应商提供的有效增值税发票后20个工作日内，支付合同总金额的10%；</w:t>
      </w:r>
      <w:r/>
    </w:p>
    <w:p>
      <w:pPr>
        <w:ind w:left="0" w:right="0" w:firstLine="480"/>
        <w:jc w:val="both"/>
        <w:keepLines w:val="0"/>
        <w:keepNext w:val="0"/>
        <w:spacing w:before="0" w:beforeAutospacing="0" w:after="0" w:afterAutospacing="0" w:line="44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8.1.3</w:t>
      </w:r>
      <w:r>
        <w:rPr>
          <w:rFonts w:hint="eastAsia" w:ascii="方正仿宋_GBK" w:hAnsi="方正仿宋_GBK" w:eastAsia="方正仿宋_GBK" w:cs="方正仿宋_GBK"/>
          <w:sz w:val="28"/>
          <w:szCs w:val="28"/>
          <w:highlight w:val="none"/>
        </w:rPr>
        <w:t xml:space="preserve">第三笔款：项目建设内容试运行，</w:t>
      </w:r>
      <w:r>
        <w:rPr>
          <w:rFonts w:hint="eastAsia" w:ascii="方正仿宋_GBK" w:hAnsi="方正仿宋_GBK" w:eastAsia="方正仿宋_GBK" w:cs="方正仿宋_GBK"/>
          <w:color w:val="auto"/>
          <w:sz w:val="28"/>
          <w:szCs w:val="28"/>
          <w:highlight w:val="none"/>
          <w:lang w:val="en-US" w:eastAsia="zh-CN"/>
        </w:rPr>
        <w:t xml:space="preserve">单位内部试运行验收</w:t>
      </w:r>
      <w:r>
        <w:rPr>
          <w:rFonts w:hint="eastAsia" w:ascii="方正仿宋_GBK" w:hAnsi="方正仿宋_GBK" w:eastAsia="方正仿宋_GBK" w:cs="方正仿宋_GBK"/>
          <w:sz w:val="28"/>
          <w:szCs w:val="28"/>
          <w:highlight w:val="none"/>
          <w:lang w:val="en-US" w:eastAsia="zh-CN"/>
        </w:rPr>
        <w:t xml:space="preserve">通过且</w:t>
      </w:r>
      <w:r>
        <w:rPr>
          <w:rFonts w:hint="eastAsia" w:ascii="方正仿宋_GBK" w:hAnsi="方正仿宋_GBK" w:eastAsia="方正仿宋_GBK" w:cs="方正仿宋_GBK"/>
          <w:sz w:val="28"/>
          <w:szCs w:val="28"/>
          <w:highlight w:val="none"/>
        </w:rPr>
        <w:t xml:space="preserve">采购人收到供应商提供的有效增值税发票后20个工作日内，支付合同总金额的</w:t>
      </w: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0%；</w:t>
      </w:r>
      <w:r/>
    </w:p>
    <w:p>
      <w:pPr>
        <w:ind w:left="0" w:right="0" w:firstLine="480"/>
        <w:jc w:val="both"/>
        <w:keepLines w:val="0"/>
        <w:keepNext w:val="0"/>
        <w:spacing w:before="0" w:beforeAutospacing="0" w:after="0" w:afterAutospacing="0" w:line="440" w:lineRule="exact"/>
        <w:widowControl w:val="off"/>
        <w:rPr>
          <w:rFonts w:hint="default" w:ascii="仿宋" w:hAnsi="仿宋" w:eastAsia="方正仿宋_GBK" w:cs="方正仿宋_GBK"/>
          <w:sz w:val="28"/>
          <w:szCs w:val="28"/>
          <w:highlight w:val="none"/>
          <w:lang w:val="en-US" w:eastAsia="zh-CN"/>
        </w:rPr>
        <w:suppressLineNumbers w:val="0"/>
      </w:pPr>
      <w:r>
        <w:rPr>
          <w:rFonts w:hint="eastAsia" w:ascii="方正仿宋_GBK" w:hAnsi="方正仿宋_GBK" w:eastAsia="方正仿宋_GBK" w:cs="方正仿宋_GBK"/>
          <w:sz w:val="28"/>
          <w:szCs w:val="28"/>
          <w:highlight w:val="none"/>
          <w:lang w:val="en-US" w:eastAsia="zh-CN" w:bidi="ar-SA"/>
        </w:rPr>
        <w:t xml:space="preserve">8.1.4</w:t>
      </w:r>
      <w:r>
        <w:rPr>
          <w:rFonts w:hint="eastAsia" w:ascii="方正仿宋_GBK" w:hAnsi="方正仿宋_GBK" w:eastAsia="方正仿宋_GBK" w:cs="方正仿宋_GBK"/>
          <w:sz w:val="28"/>
          <w:szCs w:val="28"/>
          <w:highlight w:val="none"/>
        </w:rPr>
        <w:t xml:space="preserve">第四笔款：项目通过采购人组织的合同验收且采购人收到供应商提供的有效增值税发票后</w:t>
      </w:r>
      <w:r>
        <w:rPr>
          <w:rFonts w:hint="eastAsia" w:ascii="方正仿宋_GBK" w:hAnsi="方正仿宋_GBK" w:eastAsia="方正仿宋_GBK" w:cs="方正仿宋_GBK"/>
          <w:sz w:val="28"/>
          <w:szCs w:val="28"/>
          <w:highlight w:val="none"/>
          <w:lang w:val="en-US" w:eastAsia="zh-CN"/>
        </w:rPr>
        <w:t xml:space="preserve">10</w:t>
      </w:r>
      <w:r>
        <w:rPr>
          <w:rFonts w:hint="eastAsia" w:ascii="方正仿宋_GBK" w:hAnsi="方正仿宋_GBK" w:eastAsia="方正仿宋_GBK" w:cs="方正仿宋_GBK"/>
          <w:sz w:val="28"/>
          <w:szCs w:val="28"/>
          <w:highlight w:val="none"/>
        </w:rPr>
        <w:t xml:space="preserve">个工作日内，支付合同总金额的10%。</w:t>
      </w:r>
      <w:r/>
    </w:p>
    <w:p>
      <w:pPr>
        <w:pStyle w:val="7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九、税费</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9.1本合同执行中相关的一切税费均由乙方负担。</w:t>
      </w:r>
      <w:r/>
    </w:p>
    <w:p>
      <w:pPr>
        <w:pStyle w:val="7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十、项目验收</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10.1 甲方依法组织履约验收工作。</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10.3 对于实际使用人和甲方分离的项目，甲方邀请实际使用人参与验收。</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10.4 如有必要，甲方邀请参加本项目的其他供应商或第三方专业机构及专家参与验收，相关意见将作为验收书的参考资料。</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8"/>
          <w:szCs w:val="28"/>
          <w:highlight w:val="none"/>
          <w:lang w:eastAsia="zh-CN"/>
        </w:rPr>
        <w:t xml:space="preserve">中华人民共和国</w:t>
      </w:r>
      <w:r>
        <w:rPr>
          <w:rFonts w:hint="eastAsia" w:ascii="方正仿宋_GBK" w:hAnsi="方正仿宋_GBK" w:eastAsia="方正仿宋_GBK" w:cs="方正仿宋_GBK"/>
          <w:sz w:val="28"/>
          <w:szCs w:val="28"/>
          <w:highlight w:val="none"/>
        </w:rPr>
        <w:t xml:space="preserve">民法典》。乙方在履约过程中有政府采购法律法规规定的违法违规情形的,甲方将及时报告本级财政部门。</w:t>
      </w:r>
      <w:r/>
    </w:p>
    <w:p>
      <w:pPr>
        <w:pStyle w:val="7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十一、违约责任</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u w:val="single"/>
          <w:lang w:val="en-US" w:eastAsia="zh-CN"/>
        </w:rPr>
        <w:t xml:space="preserve">%</w:t>
      </w:r>
      <w:r>
        <w:rPr>
          <w:rFonts w:hint="eastAsia" w:ascii="方正仿宋_GBK" w:hAnsi="方正仿宋_GBK" w:eastAsia="方正仿宋_GBK" w:cs="方正仿宋_GBK"/>
          <w:sz w:val="28"/>
          <w:szCs w:val="28"/>
          <w:highlight w:val="none"/>
        </w:rPr>
        <w:t xml:space="preserve">的违约金。</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u w:val="single"/>
          <w:lang w:val="en-US" w:eastAsia="zh-CN"/>
        </w:rPr>
        <w:t xml:space="preserve">%</w:t>
      </w:r>
      <w:r>
        <w:rPr>
          <w:rFonts w:hint="eastAsia" w:ascii="方正仿宋_GBK" w:hAnsi="方正仿宋_GBK" w:eastAsia="方正仿宋_GBK" w:cs="方正仿宋_GBK"/>
          <w:sz w:val="28"/>
          <w:szCs w:val="28"/>
          <w:highlight w:val="none"/>
        </w:rPr>
        <w:t xml:space="preserve">每日向乙方支付违约金。</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u w:val="single"/>
          <w:lang w:val="en-US" w:eastAsia="zh-CN"/>
        </w:rPr>
        <w:t xml:space="preserve">%</w:t>
      </w:r>
      <w:r>
        <w:rPr>
          <w:rFonts w:hint="eastAsia" w:ascii="方正仿宋_GBK" w:hAnsi="方正仿宋_GBK" w:eastAsia="方正仿宋_GBK" w:cs="方正仿宋_GBK"/>
          <w:sz w:val="28"/>
          <w:szCs w:val="28"/>
          <w:highlight w:val="none"/>
        </w:rPr>
        <w:t xml:space="preserve">的违约金，如造成甲方损失超过违约金的，超出部分由乙方继续承担赔偿责任。 </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11.4 乙方所提供服务的标准不符合合同规定及招标文件规定标准的，甲方有权拒绝接受服务，并可单方面解除合同。</w:t>
      </w:r>
      <w:r/>
    </w:p>
    <w:p>
      <w:pPr>
        <w:pStyle w:val="7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十二、不可抗力事件处理</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12.1 在合同有效期内，任何一方因不可抗力事件导致不能履行合同，则合同履行期可延长，其延长期与不可抗力影响 期相同。</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12.2 不可抗力事件发生后，应立即通知对方，并寄送有关权威机构出具的证明。</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12.3 不可抗力事件延续120天以上，双方应通过友好协商，确定是否继续履行合同。</w:t>
      </w:r>
      <w:r/>
    </w:p>
    <w:p>
      <w:pPr>
        <w:pStyle w:val="7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十三、解决争议的方法</w:t>
      </w:r>
      <w:r/>
    </w:p>
    <w:p>
      <w:pPr>
        <w:pStyle w:val="796"/>
        <w:ind w:firstLine="560"/>
        <w:keepLines w:val="0"/>
        <w:keepNext w:val="0"/>
        <w:pageBreakBefore w:val="0"/>
        <w:spacing w:before="120" w:after="120" w:line="400" w:lineRule="exact"/>
        <w:widowControl w:val="off"/>
        <w:rPr>
          <w:rFonts w:hint="eastAsia" w:hAnsi="宋体"/>
          <w:sz w:val="28"/>
          <w:szCs w:val="28"/>
          <w:highlight w:val="none"/>
        </w:rPr>
      </w:pPr>
      <w:r>
        <w:rPr>
          <w:rFonts w:hint="eastAsia" w:ascii="方正仿宋_GBK" w:hAnsi="方正仿宋_GBK" w:eastAsia="方正仿宋_GBK" w:cs="方正仿宋_GBK"/>
          <w:sz w:val="28"/>
          <w:szCs w:val="28"/>
          <w:highlight w:val="none"/>
        </w:rPr>
        <w:t xml:space="preserve">13.1双方在签订、履行合同中所发生的一切争议，应通过友好协商解决。如协商不成，由甲方住所地人民法院管辖。</w:t>
      </w:r>
      <w:r/>
    </w:p>
    <w:p>
      <w:pPr>
        <w:pStyle w:val="7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十四、合同生效及其它</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14.1 合同经双方法定代表人或授权委托代表人签字并加盖单位公章后生效。</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14.2本合同未尽事宜，遵照中华人民共和国现行法律法规有关条文执行。</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14.3 本合同正本一式两份，具有同等法律效力，甲方、乙方各执一份。</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                        乙方： </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                        地址： </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法定代表人或授权代表：        法定代表人或授权代表：</w:t>
      </w:r>
      <w:r/>
    </w:p>
    <w:p>
      <w:pPr>
        <w:pStyle w:val="796"/>
        <w:ind w:firstLine="560"/>
        <w:keepLines w:val="0"/>
        <w:keepNext w:val="0"/>
        <w:pageBreakBefore w:val="0"/>
        <w:spacing w:before="120" w:after="120" w:line="400" w:lineRule="exact"/>
        <w:widowControl w:val="off"/>
        <w:rPr>
          <w:rFonts w:hint="eastAsia"/>
          <w:sz w:val="28"/>
          <w:szCs w:val="28"/>
          <w:highlight w:val="none"/>
        </w:rPr>
      </w:pPr>
      <w:r>
        <w:rPr>
          <w:rFonts w:hint="eastAsia" w:ascii="方正仿宋_GBK" w:hAnsi="方正仿宋_GBK" w:eastAsia="方正仿宋_GBK" w:cs="方正仿宋_GBK"/>
          <w:sz w:val="28"/>
          <w:szCs w:val="28"/>
          <w:highlight w:val="none"/>
        </w:rPr>
        <w:t xml:space="preserve">联系电话：                    联系电话：    </w:t>
      </w:r>
      <w:r>
        <w:rPr>
          <w:rFonts w:hint="eastAsia" w:hAnsi="宋体"/>
          <w:sz w:val="28"/>
          <w:szCs w:val="28"/>
          <w:highlight w:val="none"/>
        </w:rPr>
        <w:t xml:space="preserve">      </w:t>
      </w:r>
      <w:r/>
    </w:p>
    <w:p>
      <w:pPr>
        <w:pStyle w:val="796"/>
        <w:jc w:val="center"/>
        <w:keepLines w:val="0"/>
        <w:keepNext w:val="0"/>
        <w:pageBreakBefore w:val="0"/>
        <w:spacing w:before="120" w:after="120" w:line="400" w:lineRule="exact"/>
        <w:widowControl w:val="off"/>
        <w:rPr>
          <w:sz w:val="28"/>
          <w:szCs w:val="28"/>
          <w:highlight w:val="none"/>
        </w:rPr>
      </w:pPr>
      <w:r>
        <w:rPr>
          <w:rFonts w:hint="eastAsia"/>
          <w:sz w:val="28"/>
          <w:szCs w:val="28"/>
          <w:highlight w:val="none"/>
        </w:rPr>
        <w:t xml:space="preserve">                                         </w:t>
      </w:r>
      <w:r/>
    </w:p>
    <w:p>
      <w:pPr>
        <w:pStyle w:val="796"/>
        <w:jc w:val="right"/>
        <w:keepLines w:val="0"/>
        <w:keepNext w:val="0"/>
        <w:pageBreakBefore w:val="0"/>
        <w:spacing w:before="120" w:after="120" w:line="400" w:lineRule="exact"/>
        <w:widowControl w:val="off"/>
        <w:rPr>
          <w:sz w:val="28"/>
          <w:szCs w:val="28"/>
          <w:highlight w:val="none"/>
        </w:rPr>
      </w:pPr>
      <w:r>
        <w:rPr>
          <w:rFonts w:hint="eastAsia"/>
          <w:sz w:val="28"/>
          <w:szCs w:val="28"/>
          <w:highlight w:val="none"/>
        </w:rPr>
        <w:t xml:space="preserve"> </w:t>
      </w:r>
      <w:r/>
    </w:p>
    <w:p>
      <w:pPr>
        <w:pStyle w:val="796"/>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28"/>
          <w:szCs w:val="28"/>
          <w:highlight w:val="none"/>
        </w:rPr>
      </w:pPr>
      <w:r>
        <w:rPr>
          <w:rFonts w:hint="eastAsia" w:ascii="方正仿宋_GBK" w:hAnsi="方正仿宋_GBK" w:eastAsia="方正仿宋_GBK" w:cs="方正仿宋_GBK"/>
          <w:sz w:val="28"/>
          <w:szCs w:val="28"/>
          <w:highlight w:val="none"/>
        </w:rPr>
        <w:t xml:space="preserve">签订日期：</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年</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月</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w:t>
      </w:r>
      <w:bookmarkEnd w:id="151"/>
      <w:r/>
      <w:bookmarkEnd w:id="152"/>
      <w:r/>
      <w:bookmarkEnd w:id="153"/>
      <w:r/>
      <w:bookmarkStart w:id="154" w:name="_Hlt16619369"/>
      <w:r/>
      <w:bookmarkEnd w:id="154"/>
      <w:r/>
      <w:bookmarkStart w:id="155" w:name="_Hlt16619350"/>
      <w:r/>
      <w:bookmarkStart w:id="156" w:name="_Toc120614244"/>
      <w:r/>
      <w:bookmarkStart w:id="157" w:name="_Toc20823346"/>
      <w:r/>
      <w:bookmarkStart w:id="158" w:name="_Toc16938590"/>
      <w:r/>
      <w:bookmarkStart w:id="159" w:name="_Toc479757211"/>
      <w:r/>
      <w:bookmarkStart w:id="160" w:name="_Toc462564139"/>
      <w:r>
        <w:rPr>
          <w:rFonts w:ascii="黑体" w:eastAsia="黑体"/>
          <w:bCs/>
          <w:sz w:val="28"/>
          <w:szCs w:val="28"/>
          <w:highlight w:val="none"/>
        </w:rPr>
        <w:br w:type="page" w:clear="all"/>
      </w:r>
      <w:r>
        <w:rPr>
          <w:rFonts w:hint="eastAsia" w:ascii="方正黑体_GBK" w:hAnsi="方正黑体_GBK" w:eastAsia="方正黑体_GBK" w:cs="方正黑体_GBK"/>
          <w:color w:val="000000"/>
          <w:sz w:val="28"/>
          <w:szCs w:val="28"/>
          <w:highlight w:val="none"/>
          <w:lang w:val="en-US" w:eastAsia="zh-CN" w:bidi="ar-SA"/>
        </w:rPr>
        <w:t xml:space="preserve">第</w:t>
      </w:r>
      <w:bookmarkEnd w:id="155"/>
      <w:r>
        <w:rPr>
          <w:rFonts w:hint="eastAsia" w:ascii="方正黑体_GBK" w:hAnsi="方正黑体_GBK" w:eastAsia="方正黑体_GBK" w:cs="方正黑体_GBK"/>
          <w:color w:val="000000"/>
          <w:sz w:val="28"/>
          <w:szCs w:val="28"/>
          <w:highlight w:val="none"/>
          <w:lang w:val="en-US" w:eastAsia="zh-CN" w:bidi="ar-SA"/>
        </w:rPr>
        <w:t xml:space="preserve">四章 采购需求</w:t>
      </w:r>
      <w:bookmarkEnd w:id="156"/>
      <w:r/>
      <w:bookmarkEnd w:id="157"/>
      <w:r/>
      <w:bookmarkEnd w:id="158"/>
      <w:r/>
      <w:r/>
    </w:p>
    <w:p>
      <w:pPr>
        <w:pStyle w:val="7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bookmarkStart w:id="161" w:name="_Toc49090575"/>
      <w:r/>
      <w:bookmarkStart w:id="162" w:name="_Toc26554093"/>
      <w:r>
        <w:rPr>
          <w:rFonts w:hint="eastAsia" w:ascii="方正黑体_GBK" w:hAnsi="方正黑体_GBK" w:eastAsia="方正黑体_GBK" w:cs="方正黑体_GBK"/>
          <w:b w:val="0"/>
          <w:bCs/>
          <w:sz w:val="28"/>
          <w:szCs w:val="28"/>
          <w:highlight w:val="none"/>
        </w:rPr>
        <w:t xml:space="preserve">一、采购标的清单</w:t>
      </w:r>
      <w:r/>
    </w:p>
    <w:tbl>
      <w:tblPr>
        <w:tblStyle w:val="78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5"/>
        <w:gridCol w:w="3571"/>
        <w:gridCol w:w="2438"/>
      </w:tblGrid>
      <w:tr>
        <w:trPr>
          <w:cantSplit/>
          <w:jc w:val="center"/>
          <w:trHeight w:val="701"/>
        </w:trPr>
        <w:tc>
          <w:tcPr>
            <w:tcW w:w="1425"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采购包号</w:t>
            </w:r>
            <w:r/>
          </w:p>
        </w:tc>
        <w:tc>
          <w:tcPr>
            <w:tcW w:w="357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采购标的</w:t>
            </w:r>
            <w:r/>
          </w:p>
        </w:tc>
        <w:tc>
          <w:tcPr>
            <w:tcW w:w="2438"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对应中小企业划分标准所属行业</w:t>
            </w:r>
            <w:r/>
          </w:p>
        </w:tc>
      </w:tr>
      <w:tr>
        <w:trPr>
          <w:cantSplit/>
          <w:jc w:val="center"/>
          <w:trHeight w:val="291"/>
        </w:trPr>
        <w:tc>
          <w:tcPr>
            <w:tcW w:w="1425"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ascii="方正仿宋_GBK" w:hAnsi="方正仿宋_GBK" w:eastAsia="方正仿宋_GBK" w:cs="方正仿宋_GBK"/>
                <w:sz w:val="28"/>
                <w:szCs w:val="28"/>
                <w:highlight w:val="none"/>
                <w:lang w:val="en-US" w:eastAsia="zh-CN" w:bidi="ar-SA"/>
              </w:rPr>
              <w:suppressLineNumbers w:val="0"/>
            </w:pPr>
            <w:r>
              <w:rPr>
                <w:rFonts w:hint="eastAsia" w:ascii="Times New Roman" w:hAnsi="Times New Roman" w:eastAsia="方正仿宋_GBK" w:cs="Times New Roman"/>
                <w:color w:val="000000"/>
                <w:sz w:val="28"/>
                <w:szCs w:val="28"/>
                <w:highlight w:val="none"/>
                <w:u w:val="none"/>
                <w:lang w:val="en-US" w:eastAsia="zh-CN" w:bidi="ar-SA"/>
              </w:rPr>
              <w:t xml:space="preserve">1</w:t>
            </w:r>
            <w:r/>
          </w:p>
        </w:tc>
        <w:tc>
          <w:tcPr>
            <w:tcW w:w="3571"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tabs>
                <w:tab w:val="left" w:pos="2020" w:leader="none"/>
              </w:tabs>
              <w:rPr>
                <w:rFonts w:hint="eastAsia" w:ascii="方正仿宋_GBK" w:hAnsi="方正仿宋_GBK" w:eastAsia="方正仿宋_GBK" w:cs="方正仿宋_GBK"/>
                <w:sz w:val="28"/>
                <w:szCs w:val="28"/>
                <w:highlight w:val="none"/>
                <w:u w:val="none"/>
                <w:lang w:val="en-US" w:eastAsia="zh-CN" w:bidi="ar-SA"/>
              </w:rPr>
              <w:suppressLineNumbers w:val="0"/>
            </w:pPr>
            <w:r>
              <w:rPr>
                <w:rFonts w:hint="eastAsia" w:ascii="Times New Roman" w:hAnsi="Times New Roman" w:eastAsia="方正仿宋_GBK" w:cs="Times New Roman"/>
                <w:color w:val="000000"/>
                <w:sz w:val="28"/>
                <w:szCs w:val="28"/>
                <w:highlight w:val="none"/>
                <w:u w:val="none"/>
                <w:lang w:val="en-US" w:eastAsia="zh-CN" w:bidi="ar-SA"/>
              </w:rPr>
              <w:t xml:space="preserve">数据处理系统（数据中心二期）</w:t>
            </w:r>
            <w:r/>
          </w:p>
        </w:tc>
        <w:tc>
          <w:tcPr>
            <w:tcW w:w="2438"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tabs>
                <w:tab w:val="left" w:pos="2020" w:leader="none"/>
              </w:tabs>
              <w:rPr>
                <w:rFonts w:hint="eastAsia" w:ascii="Times New Roman" w:hAnsi="Times New Roman" w:eastAsia="方正仿宋_GBK" w:cs="Times New Roman"/>
                <w:color w:val="000000"/>
                <w:sz w:val="28"/>
                <w:szCs w:val="28"/>
                <w:highlight w:val="none"/>
                <w:u w:val="none"/>
                <w:lang w:val="en-US" w:eastAsia="zh-CN" w:bidi="ar-SA"/>
              </w:rPr>
              <w:suppressLineNumbers w:val="0"/>
            </w:pPr>
            <w:r>
              <w:rPr>
                <w:rFonts w:hint="eastAsia" w:ascii="Times New Roman" w:hAnsi="Times New Roman" w:eastAsia="方正仿宋_GBK" w:cs="Times New Roman"/>
                <w:color w:val="000000"/>
                <w:sz w:val="28"/>
                <w:szCs w:val="28"/>
                <w:highlight w:val="none"/>
                <w:u w:val="none"/>
                <w:lang w:val="en-US" w:eastAsia="zh-CN" w:bidi="ar-SA"/>
              </w:rPr>
              <w:t xml:space="preserve">软件和信息技术服务业</w:t>
            </w:r>
            <w:r/>
          </w:p>
        </w:tc>
      </w:tr>
    </w:tbl>
    <w:p>
      <w:pPr>
        <w:ind w:firstLine="562"/>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本项目采购内容中不包含货物。</w:t>
      </w:r>
      <w:r/>
    </w:p>
    <w:p>
      <w:pPr>
        <w:pStyle w:val="7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lang w:val="en-US" w:eastAsia="zh-CN"/>
        </w:rPr>
      </w:pPr>
      <w:r>
        <w:rPr>
          <w:rFonts w:hint="eastAsia" w:ascii="方正黑体_GBK" w:hAnsi="方正黑体_GBK" w:eastAsia="方正黑体_GBK" w:cs="方正黑体_GBK"/>
          <w:b w:val="0"/>
          <w:bCs/>
          <w:sz w:val="28"/>
          <w:szCs w:val="28"/>
          <w:highlight w:val="none"/>
          <w:lang w:val="en-US" w:eastAsia="zh-CN"/>
        </w:rPr>
        <w:t xml:space="preserve">二、政府采购中实施本国产品标准及相关政策</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96"/>
        <w:ind w:firstLine="560"/>
        <w:keepLines w:val="0"/>
        <w:keepNext w:val="0"/>
        <w:pageBreakBefore w:val="0"/>
        <w:spacing w:before="0" w:after="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lang w:eastAsia="zh-CN"/>
        </w:rPr>
        <w:t xml:space="preserve">三</w:t>
      </w:r>
      <w:r>
        <w:rPr>
          <w:rFonts w:hint="eastAsia" w:ascii="方正黑体_GBK" w:hAnsi="方正黑体_GBK" w:eastAsia="方正黑体_GBK" w:cs="方正黑体_GBK"/>
          <w:b w:val="0"/>
          <w:bCs/>
          <w:sz w:val="28"/>
          <w:szCs w:val="28"/>
          <w:highlight w:val="none"/>
        </w:rPr>
        <w:t xml:space="preserve">、技术要求</w:t>
      </w:r>
      <w:r/>
    </w:p>
    <w:p>
      <w:pPr>
        <w:pStyle w:val="1043"/>
        <w:ind w:firstLine="42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1</w:t>
      </w:r>
      <w:r>
        <w:rPr>
          <w:rFonts w:hint="eastAsia" w:ascii="方正仿宋_GBK" w:hAnsi="方正仿宋_GBK" w:eastAsia="方正仿宋_GBK" w:cs="方正仿宋_GBK"/>
          <w:b/>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lang w:val="en-US" w:eastAsia="zh-CN"/>
        </w:rPr>
        <w:t xml:space="preserve">项目背景</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本项目在江苏省体育科学研究所数据中心（一期）平台基础上，开展二期一体化体育科研数据智能应用平台建设，核心完成科研数据中心搭建、运动知识图谱构建、运动学科高质量数据集建设、智能体应用四大核心任务。平台整体设计需遵循体育科研数据管理相关规范，兼顾实用性、专业性与扩展性，全面适配竞技体育科研分析、日常训练指导、学科专项研究等核心业务场景，保障数据合规安全、质量稳定可靠，实现数据可复用、可拓展，为后续体育科研创新与智能化应用筑牢底层数据根基。</w:t>
      </w:r>
      <w:r/>
    </w:p>
    <w:p>
      <w:pPr>
        <w:ind w:firstLine="420"/>
        <w:jc w:val="left"/>
        <w:keepLines w:val="0"/>
        <w:keepNext w:val="0"/>
        <w:pageBreakBefore w:val="0"/>
        <w:spacing w:before="0" w:after="0" w:line="400" w:lineRule="exact"/>
        <w:widowControl w:val="off"/>
        <w:rPr>
          <w:rFonts w:hint="eastAsia" w:ascii="方正仿宋_GBK" w:hAnsi="方正仿宋_GBK" w:eastAsia="方正仿宋_GBK" w:cs="方正仿宋_GBK"/>
          <w:b/>
          <w:bCs/>
          <w:sz w:val="28"/>
          <w:szCs w:val="28"/>
          <w:highlight w:val="none"/>
        </w:rPr>
        <w:outlineLvl w:val="1"/>
      </w:pPr>
      <w:r/>
      <w:bookmarkStart w:id="163" w:name="heading_2"/>
      <w:r>
        <w:rPr>
          <w:rFonts w:hint="eastAsia" w:ascii="方正仿宋_GBK" w:hAnsi="方正仿宋_GBK" w:eastAsia="方正仿宋_GBK" w:cs="方正仿宋_GBK"/>
          <w:b/>
          <w:bCs/>
          <w:sz w:val="28"/>
          <w:szCs w:val="28"/>
          <w:highlight w:val="none"/>
          <w:lang w:val="en-US" w:eastAsia="zh-CN"/>
        </w:rPr>
        <w:t xml:space="preserve">2.</w:t>
      </w:r>
      <w:r>
        <w:rPr>
          <w:rFonts w:hint="eastAsia" w:ascii="方正仿宋_GBK" w:hAnsi="方正仿宋_GBK" w:eastAsia="方正仿宋_GBK" w:cs="方正仿宋_GBK"/>
          <w:b/>
          <w:bCs/>
          <w:sz w:val="28"/>
          <w:szCs w:val="28"/>
          <w:highlight w:val="none"/>
        </w:rPr>
        <w:t xml:space="preserve">科研数据中心建设</w:t>
      </w:r>
      <w:bookmarkEnd w:id="163"/>
      <w:r/>
      <w:r/>
    </w:p>
    <w:p>
      <w:pPr>
        <w:ind w:left="0" w:firstLine="560"/>
        <w:jc w:val="left"/>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科研数据中心作为平台核心数据底座，需具备高效数据汇聚、规范数据治理、安全权限管控三大核心功能，实现体科所多类科研数据的统一管理、高效调用与安全防护。</w:t>
      </w:r>
      <w:r/>
    </w:p>
    <w:p>
      <w:pPr>
        <w:ind w:left="0" w:firstLine="420"/>
        <w:jc w:val="left"/>
        <w:keepLines w:val="0"/>
        <w:keepNext w:val="0"/>
        <w:pageBreakBefore w:val="0"/>
        <w:spacing w:before="0" w:after="0" w:line="400" w:lineRule="exact"/>
        <w:widowControl w:val="off"/>
        <w:rPr>
          <w:rFonts w:hint="eastAsia" w:ascii="方正仿宋_GBK" w:hAnsi="方正仿宋_GBK" w:eastAsia="方正仿宋_GBK" w:cs="方正仿宋_GBK"/>
          <w:b/>
          <w:bCs/>
          <w:sz w:val="28"/>
          <w:szCs w:val="28"/>
          <w:highlight w:val="none"/>
        </w:rPr>
        <w:outlineLvl w:val="2"/>
      </w:pPr>
      <w:r/>
      <w:bookmarkStart w:id="164" w:name="heading_3"/>
      <w:r>
        <w:rPr>
          <w:rFonts w:hint="eastAsia" w:ascii="方正仿宋_GBK" w:hAnsi="方正仿宋_GBK" w:eastAsia="方正仿宋_GBK" w:cs="方正仿宋_GBK"/>
          <w:b/>
          <w:bCs/>
          <w:sz w:val="28"/>
          <w:szCs w:val="28"/>
          <w:highlight w:val="none"/>
          <w:lang w:val="en-US" w:eastAsia="zh-CN"/>
        </w:rPr>
        <w:t xml:space="preserve">2.1</w:t>
      </w:r>
      <w:r>
        <w:rPr>
          <w:rFonts w:hint="eastAsia" w:ascii="方正仿宋_GBK" w:hAnsi="方正仿宋_GBK" w:eastAsia="方正仿宋_GBK" w:cs="方正仿宋_GBK"/>
          <w:b/>
          <w:bCs/>
          <w:sz w:val="28"/>
          <w:szCs w:val="28"/>
          <w:highlight w:val="none"/>
        </w:rPr>
        <w:t xml:space="preserve">数据汇聚功能</w:t>
      </w:r>
      <w:bookmarkEnd w:id="164"/>
      <w:r/>
      <w:r/>
    </w:p>
    <w:p>
      <w:pPr>
        <w:ind w:left="0" w:firstLine="420"/>
        <w:jc w:val="left"/>
        <w:keepLines w:val="0"/>
        <w:keepNext w:val="0"/>
        <w:pageBreakBefore w:val="0"/>
        <w:spacing w:before="0" w:after="0" w:line="400" w:lineRule="exact"/>
        <w:widowControl w:val="off"/>
        <w:rPr>
          <w:rFonts w:hint="eastAsia" w:ascii="方正仿宋_GBK" w:hAnsi="方正仿宋_GBK" w:eastAsia="方正仿宋_GBK" w:cs="方正仿宋_GBK"/>
          <w:b/>
          <w:bCs/>
          <w:sz w:val="28"/>
          <w:szCs w:val="28"/>
          <w:highlight w:val="none"/>
        </w:rPr>
        <w:outlineLvl w:val="3"/>
      </w:pPr>
      <w:r/>
      <w:bookmarkStart w:id="165" w:name="heading_4"/>
      <w:r>
        <w:rPr>
          <w:rFonts w:hint="eastAsia" w:ascii="方正仿宋_GBK" w:hAnsi="方正仿宋_GBK" w:eastAsia="方正仿宋_GBK" w:cs="方正仿宋_GBK"/>
          <w:b/>
          <w:bCs/>
          <w:sz w:val="28"/>
          <w:szCs w:val="28"/>
          <w:highlight w:val="none"/>
          <w:lang w:val="en-US" w:eastAsia="zh-CN"/>
        </w:rPr>
        <w:t xml:space="preserve">2.1.1</w:t>
      </w:r>
      <w:r>
        <w:rPr>
          <w:rFonts w:hint="eastAsia" w:ascii="方正仿宋_GBK" w:hAnsi="方正仿宋_GBK" w:eastAsia="方正仿宋_GBK" w:cs="方正仿宋_GBK"/>
          <w:b/>
          <w:bCs/>
          <w:sz w:val="28"/>
          <w:szCs w:val="28"/>
          <w:highlight w:val="none"/>
        </w:rPr>
        <w:t xml:space="preserve">功能要求</w:t>
      </w:r>
      <w:bookmarkEnd w:id="165"/>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lang w:val="en-US" w:eastAsia="zh-CN"/>
        </w:rPr>
        <w:t xml:space="preserve">1</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rPr>
        <w:t xml:space="preserve">数据接入管理：</w:t>
      </w:r>
      <w:r>
        <w:rPr>
          <w:rFonts w:hint="eastAsia" w:ascii="方正仿宋_GBK" w:hAnsi="方正仿宋_GBK" w:eastAsia="方正仿宋_GBK" w:cs="方正仿宋_GBK"/>
          <w:color w:val="000000"/>
          <w:sz w:val="28"/>
          <w:szCs w:val="28"/>
          <w:highlight w:val="none"/>
        </w:rPr>
        <w:t xml:space="preserve">支持统一查看、新增、编辑、停用数据源；可查看接入数据源名称、类型、协议、连接地址、接入时间、运行状态</w:t>
      </w:r>
      <w:r>
        <w:rPr>
          <w:rFonts w:hint="eastAsia" w:ascii="方正仿宋_GBK" w:hAnsi="方正仿宋_GBK" w:eastAsia="方正仿宋_GBK" w:cs="方正仿宋_GBK"/>
          <w:color w:val="000000"/>
          <w:sz w:val="28"/>
          <w:szCs w:val="28"/>
          <w:highlight w:val="none"/>
          <w:lang w:val="en-US" w:eastAsia="zh-CN"/>
        </w:rPr>
        <w:t xml:space="preserve">等</w:t>
      </w:r>
      <w:r>
        <w:rPr>
          <w:rFonts w:hint="eastAsia" w:ascii="方正仿宋_GBK" w:hAnsi="方正仿宋_GBK" w:eastAsia="方正仿宋_GBK" w:cs="方正仿宋_GBK"/>
          <w:color w:val="000000"/>
          <w:sz w:val="28"/>
          <w:szCs w:val="28"/>
          <w:highlight w:val="none"/>
        </w:rPr>
        <w:t xml:space="preserve">；支持在线测试数据源连通性、一键重连、异常告警。</w:t>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lang w:val="en-US" w:eastAsia="zh-CN"/>
        </w:rPr>
        <w:t xml:space="preserve">2</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rPr>
        <w:t xml:space="preserve">数据同步任务管理：</w:t>
      </w:r>
      <w:r>
        <w:rPr>
          <w:rFonts w:hint="eastAsia" w:ascii="方正仿宋_GBK" w:hAnsi="方正仿宋_GBK" w:eastAsia="方正仿宋_GBK" w:cs="方正仿宋_GBK"/>
          <w:color w:val="000000"/>
          <w:sz w:val="28"/>
          <w:szCs w:val="28"/>
          <w:highlight w:val="none"/>
        </w:rPr>
        <w:t xml:space="preserve">支持可视化配置定时 / 实时同步任务；支持增量同步、全量同步、断点续传；可查看任务执行日志、同步记录、失败原因，支持任务暂停 / 重启 / 删除。</w:t>
      </w:r>
      <w:r/>
    </w:p>
    <w:p>
      <w:pPr>
        <w:ind w:left="0" w:firstLine="420"/>
        <w:jc w:val="left"/>
        <w:keepLines w:val="0"/>
        <w:keepNext w:val="0"/>
        <w:pageBreakBefore w:val="0"/>
        <w:spacing w:before="0" w:after="0" w:line="400" w:lineRule="exact"/>
        <w:widowControl w:val="off"/>
        <w:rPr>
          <w:rFonts w:hint="eastAsia" w:ascii="方正仿宋_GBK" w:hAnsi="方正仿宋_GBK" w:eastAsia="方正仿宋_GBK" w:cs="方正仿宋_GBK"/>
          <w:b/>
          <w:bCs/>
          <w:sz w:val="28"/>
          <w:szCs w:val="28"/>
          <w:highlight w:val="none"/>
        </w:rPr>
        <w:outlineLvl w:val="3"/>
      </w:pPr>
      <w:r/>
      <w:bookmarkStart w:id="166" w:name="heading_5"/>
      <w:r>
        <w:rPr>
          <w:rFonts w:hint="eastAsia" w:ascii="方正仿宋_GBK" w:hAnsi="方正仿宋_GBK" w:eastAsia="方正仿宋_GBK" w:cs="方正仿宋_GBK"/>
          <w:b/>
          <w:bCs/>
          <w:sz w:val="28"/>
          <w:szCs w:val="28"/>
          <w:highlight w:val="none"/>
        </w:rPr>
        <w:t xml:space="preserve">2.</w:t>
      </w:r>
      <w:r>
        <w:rPr>
          <w:rFonts w:hint="eastAsia" w:ascii="方正仿宋_GBK" w:hAnsi="方正仿宋_GBK" w:eastAsia="方正仿宋_GBK" w:cs="方正仿宋_GBK"/>
          <w:b/>
          <w:bCs/>
          <w:sz w:val="28"/>
          <w:szCs w:val="28"/>
          <w:highlight w:val="none"/>
          <w:lang w:val="en-US" w:eastAsia="zh-CN"/>
        </w:rPr>
        <w:t xml:space="preserve">1.2</w:t>
      </w:r>
      <w:r>
        <w:rPr>
          <w:rFonts w:hint="eastAsia" w:ascii="方正仿宋_GBK" w:hAnsi="方正仿宋_GBK" w:eastAsia="方正仿宋_GBK" w:cs="方正仿宋_GBK"/>
          <w:b/>
          <w:bCs/>
          <w:sz w:val="28"/>
          <w:szCs w:val="28"/>
          <w:highlight w:val="none"/>
        </w:rPr>
        <w:t xml:space="preserve">技术参数</w:t>
      </w:r>
      <w:bookmarkEnd w:id="166"/>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b w:val="0"/>
          <w:bCs w:val="0"/>
          <w:color w:val="000000"/>
          <w:sz w:val="28"/>
          <w:szCs w:val="28"/>
          <w:highlight w:val="none"/>
        </w:rPr>
      </w:pP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lang w:val="en-US" w:eastAsia="zh-CN"/>
        </w:rPr>
        <w:t xml:space="preserve">1</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rPr>
        <w:t xml:space="preserve">多渠道数据接入：可对接体科所现有一期数据平台数据，同步整合运动健康、运动康复、运动营养、运动心理、运动训练五大学科日常业务数据，以及低氧实验室环境监测数据，实现全场景科研数据集中汇总。</w:t>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b w:val="0"/>
          <w:bCs w:val="0"/>
          <w:color w:val="000000"/>
          <w:sz w:val="28"/>
          <w:szCs w:val="28"/>
          <w:highlight w:val="none"/>
        </w:rPr>
      </w:pP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lang w:val="en-US" w:eastAsia="zh-CN"/>
        </w:rPr>
        <w:t xml:space="preserve">2</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rPr>
        <w:t xml:space="preserve">多类型数据兼容：支持结构化数据（测试指标、业务表单）、半结构化数据（运行日志、XML/JSON 格式文件）、非结构化数据（体测报告、康复方案、训练视频、科研文档）全覆盖接入；兼容数值、文本、日期及图片、视频、音频等多媒体文件格式，满足体育科研多样化数据存储需求。</w:t>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b w:val="0"/>
          <w:bCs w:val="0"/>
          <w:color w:val="000000"/>
          <w:sz w:val="28"/>
          <w:szCs w:val="28"/>
          <w:highlight w:val="none"/>
        </w:rPr>
      </w:pP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lang w:val="en-US" w:eastAsia="zh-CN"/>
        </w:rPr>
        <w:t xml:space="preserve">3</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rPr>
        <w:t xml:space="preserve">协议适配对接：支持 TCP/IP、HTTP/HTTPS、FTP、SFTP、MQTT 及各类设备私有协议，适配不同设备、不同系统的数据传输对接，保障数据接入的灵活性与稳定性。</w:t>
      </w:r>
      <w:r/>
    </w:p>
    <w:p>
      <w:pPr>
        <w:ind w:firstLine="420"/>
        <w:jc w:val="left"/>
        <w:keepLines w:val="0"/>
        <w:keepNext w:val="0"/>
        <w:pageBreakBefore w:val="0"/>
        <w:spacing w:before="0" w:after="0" w:line="400" w:lineRule="exact"/>
        <w:widowControl w:val="off"/>
        <w:rPr>
          <w:rFonts w:hint="eastAsia" w:ascii="方正仿宋_GBK" w:hAnsi="方正仿宋_GBK" w:eastAsia="方正仿宋_GBK" w:cs="方正仿宋_GBK"/>
          <w:b/>
          <w:bCs/>
          <w:sz w:val="28"/>
          <w:szCs w:val="28"/>
          <w:highlight w:val="none"/>
        </w:rPr>
        <w:outlineLvl w:val="2"/>
      </w:pPr>
      <w:r/>
      <w:bookmarkStart w:id="167" w:name="heading_6"/>
      <w:r>
        <w:rPr>
          <w:rFonts w:hint="eastAsia" w:ascii="方正仿宋_GBK" w:hAnsi="方正仿宋_GBK" w:eastAsia="方正仿宋_GBK" w:cs="方正仿宋_GBK"/>
          <w:b/>
          <w:bCs/>
          <w:sz w:val="28"/>
          <w:szCs w:val="28"/>
          <w:highlight w:val="none"/>
          <w:lang w:val="en-US" w:eastAsia="zh-CN"/>
        </w:rPr>
        <w:t xml:space="preserve">2.2</w:t>
      </w:r>
      <w:r>
        <w:rPr>
          <w:rFonts w:hint="eastAsia" w:ascii="方正仿宋_GBK" w:hAnsi="方正仿宋_GBK" w:eastAsia="方正仿宋_GBK" w:cs="方正仿宋_GBK"/>
          <w:b/>
          <w:bCs/>
          <w:sz w:val="28"/>
          <w:szCs w:val="28"/>
          <w:highlight w:val="none"/>
        </w:rPr>
        <w:t xml:space="preserve">数据治理功能</w:t>
      </w:r>
      <w:bookmarkEnd w:id="167"/>
      <w:r/>
      <w:r/>
    </w:p>
    <w:p>
      <w:pPr>
        <w:ind w:left="0" w:firstLine="420"/>
        <w:jc w:val="left"/>
        <w:keepLines w:val="0"/>
        <w:keepNext w:val="0"/>
        <w:pageBreakBefore w:val="0"/>
        <w:spacing w:before="0" w:after="0" w:line="400" w:lineRule="exact"/>
        <w:widowControl w:val="off"/>
        <w:rPr>
          <w:rFonts w:hint="eastAsia" w:ascii="方正仿宋_GBK" w:hAnsi="方正仿宋_GBK" w:eastAsia="方正仿宋_GBK" w:cs="方正仿宋_GBK"/>
          <w:b/>
          <w:bCs/>
          <w:sz w:val="28"/>
          <w:szCs w:val="28"/>
          <w:highlight w:val="none"/>
        </w:rPr>
        <w:outlineLvl w:val="3"/>
      </w:pPr>
      <w:r/>
      <w:bookmarkStart w:id="168" w:name="heading_7"/>
      <w:r>
        <w:rPr>
          <w:rFonts w:hint="eastAsia" w:ascii="方正仿宋_GBK" w:hAnsi="方正仿宋_GBK" w:eastAsia="方正仿宋_GBK" w:cs="方正仿宋_GBK"/>
          <w:b/>
          <w:bCs/>
          <w:sz w:val="28"/>
          <w:szCs w:val="28"/>
          <w:highlight w:val="none"/>
          <w:lang w:val="en-US" w:eastAsia="zh-CN"/>
        </w:rPr>
        <w:t xml:space="preserve">2.2.1</w:t>
      </w:r>
      <w:r>
        <w:rPr>
          <w:rFonts w:hint="eastAsia" w:ascii="方正仿宋_GBK" w:hAnsi="方正仿宋_GBK" w:eastAsia="方正仿宋_GBK" w:cs="方正仿宋_GBK"/>
          <w:b/>
          <w:bCs/>
          <w:sz w:val="28"/>
          <w:szCs w:val="28"/>
          <w:highlight w:val="none"/>
        </w:rPr>
        <w:t xml:space="preserve">功能要求</w:t>
      </w:r>
      <w:bookmarkEnd w:id="168"/>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lang w:val="en-US" w:eastAsia="zh-CN"/>
        </w:rPr>
        <w:t xml:space="preserve">1</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rPr>
        <w:t xml:space="preserve">▲</w:t>
      </w:r>
      <w:r>
        <w:rPr>
          <w:rFonts w:hint="eastAsia" w:ascii="方正仿宋_GBK" w:hAnsi="方正仿宋_GBK" w:eastAsia="方正仿宋_GBK" w:cs="方正仿宋_GBK"/>
          <w:b w:val="0"/>
          <w:bCs w:val="0"/>
          <w:sz w:val="28"/>
          <w:szCs w:val="28"/>
          <w:highlight w:val="none"/>
        </w:rPr>
        <w:t xml:space="preserve">数据标准管理：</w:t>
      </w:r>
      <w:r>
        <w:rPr>
          <w:rFonts w:hint="eastAsia" w:ascii="方正仿宋_GBK" w:hAnsi="方正仿宋_GBK" w:eastAsia="方正仿宋_GBK" w:cs="方正仿宋_GBK"/>
          <w:sz w:val="28"/>
          <w:szCs w:val="28"/>
          <w:highlight w:val="none"/>
        </w:rPr>
        <w:t xml:space="preserve">提供可视化数据字典、数据元、编码规则管理界面；支持按学科、专项、环境分类维护标准；支持标准导入导出、版本管理、审核发布。</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提供</w:t>
      </w:r>
      <w:r>
        <w:rPr>
          <w:rFonts w:hint="eastAsia" w:ascii="方正仿宋_GBK" w:hAnsi="方正仿宋_GBK" w:eastAsia="方正仿宋_GBK" w:cs="方正仿宋_GBK"/>
          <w:sz w:val="28"/>
          <w:szCs w:val="28"/>
          <w:highlight w:val="none"/>
        </w:rPr>
        <w:t xml:space="preserve">同类项目类似功能的系统截图</w:t>
      </w:r>
      <w:r>
        <w:rPr>
          <w:rFonts w:hint="eastAsia" w:ascii="方正仿宋_GBK" w:hAnsi="方正仿宋_GBK" w:eastAsia="方正仿宋_GBK" w:cs="方正仿宋_GBK"/>
          <w:sz w:val="28"/>
          <w:szCs w:val="28"/>
          <w:highlight w:val="none"/>
          <w:lang w:eastAsia="zh-CN"/>
        </w:rPr>
        <w:t xml:space="preserve">）</w:t>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lang w:val="en-US" w:eastAsia="zh-CN"/>
        </w:rPr>
        <w:t xml:space="preserve">2</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Cs w:val="0"/>
          <w:color w:val="000000"/>
          <w:sz w:val="28"/>
          <w:szCs w:val="28"/>
          <w:highlight w:val="none"/>
        </w:rPr>
        <w:t xml:space="preserve">▲</w:t>
      </w:r>
      <w:r>
        <w:rPr>
          <w:rFonts w:hint="eastAsia" w:ascii="方正仿宋_GBK" w:hAnsi="方正仿宋_GBK" w:eastAsia="方正仿宋_GBK" w:cs="方正仿宋_GBK"/>
          <w:b w:val="0"/>
          <w:bCs w:val="0"/>
          <w:sz w:val="28"/>
          <w:szCs w:val="28"/>
          <w:highlight w:val="none"/>
        </w:rPr>
        <w:t xml:space="preserve">数据质量监控：</w:t>
      </w:r>
      <w:r>
        <w:rPr>
          <w:rFonts w:hint="eastAsia" w:ascii="方正仿宋_GBK" w:hAnsi="方正仿宋_GBK" w:eastAsia="方正仿宋_GBK" w:cs="方正仿宋_GBK"/>
          <w:sz w:val="28"/>
          <w:szCs w:val="28"/>
          <w:highlight w:val="none"/>
        </w:rPr>
        <w:t xml:space="preserve">支持配置完整性、准确性、一致性、时效性、唯一性质量规则；提供质量仪表盘、质量报告、异常告警。</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提供</w:t>
      </w:r>
      <w:r>
        <w:rPr>
          <w:rFonts w:hint="eastAsia" w:ascii="方正仿宋_GBK" w:hAnsi="方正仿宋_GBK" w:eastAsia="方正仿宋_GBK" w:cs="方正仿宋_GBK"/>
          <w:sz w:val="28"/>
          <w:szCs w:val="28"/>
          <w:highlight w:val="none"/>
        </w:rPr>
        <w:t xml:space="preserve">同类项目类似功能的系统截图</w:t>
      </w:r>
      <w:r>
        <w:rPr>
          <w:rFonts w:hint="eastAsia" w:ascii="方正仿宋_GBK" w:hAnsi="方正仿宋_GBK" w:eastAsia="方正仿宋_GBK" w:cs="方正仿宋_GBK"/>
          <w:sz w:val="28"/>
          <w:szCs w:val="28"/>
          <w:highlight w:val="none"/>
          <w:lang w:eastAsia="zh-CN"/>
        </w:rPr>
        <w:t xml:space="preserve">）</w:t>
      </w:r>
      <w:r/>
    </w:p>
    <w:p>
      <w:pPr>
        <w:ind w:left="0" w:firstLine="420"/>
        <w:jc w:val="left"/>
        <w:keepLines w:val="0"/>
        <w:keepNext w:val="0"/>
        <w:pageBreakBefore w:val="0"/>
        <w:spacing w:before="0" w:after="0" w:line="400" w:lineRule="exact"/>
        <w:widowControl w:val="off"/>
        <w:rPr>
          <w:rFonts w:hint="eastAsia" w:ascii="方正仿宋_GBK" w:hAnsi="方正仿宋_GBK" w:eastAsia="方正仿宋_GBK" w:cs="方正仿宋_GBK"/>
          <w:b/>
          <w:bCs/>
          <w:sz w:val="28"/>
          <w:szCs w:val="28"/>
          <w:highlight w:val="none"/>
        </w:rPr>
        <w:outlineLvl w:val="3"/>
      </w:pPr>
      <w:r/>
      <w:bookmarkStart w:id="169" w:name="heading_8"/>
      <w:r>
        <w:rPr>
          <w:rFonts w:hint="eastAsia" w:ascii="方正仿宋_GBK" w:hAnsi="方正仿宋_GBK" w:eastAsia="方正仿宋_GBK" w:cs="方正仿宋_GBK"/>
          <w:b/>
          <w:bCs/>
          <w:sz w:val="28"/>
          <w:szCs w:val="28"/>
          <w:highlight w:val="none"/>
          <w:lang w:val="en-US" w:eastAsia="zh-CN"/>
        </w:rPr>
        <w:t xml:space="preserve">2.2.2</w:t>
      </w:r>
      <w:r>
        <w:rPr>
          <w:rFonts w:hint="eastAsia" w:ascii="方正仿宋_GBK" w:hAnsi="方正仿宋_GBK" w:eastAsia="方正仿宋_GBK" w:cs="方正仿宋_GBK"/>
          <w:b/>
          <w:bCs/>
          <w:sz w:val="28"/>
          <w:szCs w:val="28"/>
          <w:highlight w:val="none"/>
        </w:rPr>
        <w:t xml:space="preserve">技术参数</w:t>
      </w:r>
      <w:bookmarkEnd w:id="169"/>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bCs w:val="0"/>
          <w:color w:val="000000"/>
          <w:sz w:val="28"/>
          <w:szCs w:val="28"/>
          <w:highlight w:val="none"/>
        </w:rPr>
      </w:pP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lang w:val="en-US" w:eastAsia="zh-CN"/>
        </w:rPr>
        <w:t xml:space="preserve">1</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rPr>
        <w:t xml:space="preserve">数据标准统一管理：</w:t>
      </w:r>
      <w:r>
        <w:rPr>
          <w:rFonts w:hint="eastAsia" w:ascii="方正仿宋_GBK" w:hAnsi="方正仿宋_GBK" w:eastAsia="方正仿宋_GBK" w:cs="方正仿宋_GBK"/>
          <w:bCs w:val="0"/>
          <w:color w:val="000000"/>
          <w:sz w:val="28"/>
          <w:szCs w:val="28"/>
          <w:highlight w:val="none"/>
        </w:rPr>
        <w:t xml:space="preserve">严格遵循国家体育科研数据标准及行业数据元规范，支持自定义学科、专项运动、低氧环境专属数据字典、编码规则及字段定义，实现跨学科、跨项目数据格式统一，保障数据互通共享。</w:t>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bCs w:val="0"/>
          <w:color w:val="000000"/>
          <w:sz w:val="28"/>
          <w:szCs w:val="28"/>
          <w:highlight w:val="none"/>
        </w:rPr>
      </w:pP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lang w:val="en-US" w:eastAsia="zh-CN"/>
        </w:rPr>
        <w:t xml:space="preserve">2</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rPr>
        <w:t xml:space="preserve">自动化数据清洗处理：内</w:t>
      </w:r>
      <w:r>
        <w:rPr>
          <w:rFonts w:hint="eastAsia" w:ascii="方正仿宋_GBK" w:hAnsi="方正仿宋_GBK" w:eastAsia="方正仿宋_GBK" w:cs="方正仿宋_GBK"/>
          <w:bCs w:val="0"/>
          <w:color w:val="000000"/>
          <w:sz w:val="28"/>
          <w:szCs w:val="28"/>
          <w:highlight w:val="none"/>
        </w:rPr>
        <w:t xml:space="preserve">置智能清洗引擎，可自动完成数据去重、降噪、缺失值补全、异常值修正等操作，减少人工干预，提升数据处理效率。</w:t>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bCs w:val="0"/>
          <w:color w:val="000000"/>
          <w:sz w:val="28"/>
          <w:szCs w:val="28"/>
          <w:highlight w:val="none"/>
        </w:rPr>
      </w:pP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lang w:val="en-US" w:eastAsia="zh-CN"/>
        </w:rPr>
        <w:t xml:space="preserve">3</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rPr>
        <w:t xml:space="preserve">全维度数据质量管控：</w:t>
      </w:r>
      <w:r>
        <w:rPr>
          <w:rFonts w:hint="eastAsia" w:ascii="方正仿宋_GBK" w:hAnsi="方正仿宋_GBK" w:eastAsia="方正仿宋_GBK" w:cs="方正仿宋_GBK"/>
          <w:bCs w:val="0"/>
          <w:color w:val="000000"/>
          <w:sz w:val="28"/>
          <w:szCs w:val="28"/>
          <w:highlight w:val="none"/>
        </w:rPr>
        <w:t xml:space="preserve">建立覆盖数据完整性、准确性、一致性、时效性、唯一性的质量监控机制，实时监测数据质量状态，及时预警异常问题，保障科研数据可靠有效。</w:t>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bCs w:val="0"/>
          <w:color w:val="000000"/>
          <w:sz w:val="28"/>
          <w:szCs w:val="28"/>
          <w:highlight w:val="none"/>
        </w:rPr>
      </w:pPr>
      <w:r>
        <w:rPr>
          <w:rFonts w:hint="eastAsia" w:ascii="方正仿宋_GBK" w:hAnsi="方正仿宋_GBK" w:eastAsia="方正仿宋_GBK" w:cs="方正仿宋_GBK"/>
          <w:bCs w:val="0"/>
          <w:color w:val="000000"/>
          <w:sz w:val="28"/>
          <w:szCs w:val="28"/>
          <w:highlight w:val="none"/>
          <w:lang w:eastAsia="zh-CN"/>
        </w:rPr>
        <w:t xml:space="preserve">（</w:t>
      </w:r>
      <w:r>
        <w:rPr>
          <w:rFonts w:hint="eastAsia" w:ascii="方正仿宋_GBK" w:hAnsi="方正仿宋_GBK" w:eastAsia="方正仿宋_GBK" w:cs="方正仿宋_GBK"/>
          <w:bCs w:val="0"/>
          <w:color w:val="000000"/>
          <w:sz w:val="28"/>
          <w:szCs w:val="28"/>
          <w:highlight w:val="none"/>
          <w:lang w:val="en-US" w:eastAsia="zh-CN"/>
        </w:rPr>
        <w:t xml:space="preserve">4</w:t>
      </w:r>
      <w:r>
        <w:rPr>
          <w:rFonts w:hint="eastAsia" w:ascii="方正仿宋_GBK" w:hAnsi="方正仿宋_GBK" w:eastAsia="方正仿宋_GBK" w:cs="方正仿宋_GBK"/>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rPr>
        <w:t xml:space="preserve">跨维度数据融合关联：</w:t>
      </w:r>
      <w:r>
        <w:rPr>
          <w:rFonts w:hint="eastAsia" w:ascii="方正仿宋_GBK" w:hAnsi="方正仿宋_GBK" w:eastAsia="方正仿宋_GBK" w:cs="方正仿宋_GBK"/>
          <w:bCs w:val="0"/>
          <w:color w:val="000000"/>
          <w:sz w:val="28"/>
          <w:szCs w:val="28"/>
          <w:highlight w:val="none"/>
        </w:rPr>
        <w:t xml:space="preserve">支持学科数据、专项运动数据、低氧环境数据与运动员基础信息的多维度关联整合，支撑多场景科研研究。</w:t>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（5）</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lang w:val="en-US" w:eastAsia="zh-CN" w:bidi="ar-SA"/>
        </w:rPr>
        <w:t xml:space="preserve">自动化数据处理量化指标：内置智能清洗引擎实现数据异常识别、缺失值处理自动化率≥80%，大幅降低人工数据修正工作量。</w:t>
      </w:r>
      <w:r/>
    </w:p>
    <w:p>
      <w:pPr>
        <w:ind w:firstLine="420"/>
        <w:jc w:val="left"/>
        <w:keepLines w:val="0"/>
        <w:keepNext w:val="0"/>
        <w:pageBreakBefore w:val="0"/>
        <w:spacing w:before="0" w:after="0" w:line="400" w:lineRule="exact"/>
        <w:widowControl w:val="off"/>
        <w:rPr>
          <w:rFonts w:hint="eastAsia" w:ascii="方正仿宋_GBK" w:hAnsi="方正仿宋_GBK" w:eastAsia="方正仿宋_GBK" w:cs="方正仿宋_GBK"/>
          <w:b/>
          <w:bCs/>
          <w:sz w:val="28"/>
          <w:szCs w:val="28"/>
          <w:highlight w:val="none"/>
        </w:rPr>
        <w:outlineLvl w:val="2"/>
      </w:pPr>
      <w:r/>
      <w:bookmarkStart w:id="170" w:name="heading_9"/>
      <w:r>
        <w:rPr>
          <w:rFonts w:hint="eastAsia" w:ascii="方正仿宋_GBK" w:hAnsi="方正仿宋_GBK" w:eastAsia="方正仿宋_GBK" w:cs="方正仿宋_GBK"/>
          <w:b/>
          <w:bCs/>
          <w:sz w:val="28"/>
          <w:szCs w:val="28"/>
          <w:highlight w:val="none"/>
          <w:lang w:val="en-US" w:eastAsia="zh-CN"/>
        </w:rPr>
        <w:t xml:space="preserve">2.3</w:t>
      </w:r>
      <w:r>
        <w:rPr>
          <w:rFonts w:hint="eastAsia" w:ascii="方正仿宋_GBK" w:hAnsi="方正仿宋_GBK" w:eastAsia="方正仿宋_GBK" w:cs="方正仿宋_GBK"/>
          <w:b/>
          <w:bCs/>
          <w:sz w:val="28"/>
          <w:szCs w:val="28"/>
          <w:highlight w:val="none"/>
        </w:rPr>
        <w:t xml:space="preserve">数据安全与权限管理功能</w:t>
      </w:r>
      <w:bookmarkEnd w:id="170"/>
      <w:r/>
      <w:r/>
    </w:p>
    <w:p>
      <w:pPr>
        <w:ind w:left="0" w:firstLine="420"/>
        <w:jc w:val="left"/>
        <w:keepLines w:val="0"/>
        <w:keepNext w:val="0"/>
        <w:pageBreakBefore w:val="0"/>
        <w:spacing w:before="0" w:after="0" w:line="400" w:lineRule="exact"/>
        <w:widowControl w:val="off"/>
        <w:rPr>
          <w:rFonts w:hint="eastAsia" w:ascii="方正仿宋_GBK" w:hAnsi="方正仿宋_GBK" w:eastAsia="方正仿宋_GBK" w:cs="方正仿宋_GBK"/>
          <w:b/>
          <w:bCs/>
          <w:sz w:val="28"/>
          <w:szCs w:val="28"/>
          <w:highlight w:val="none"/>
        </w:rPr>
        <w:outlineLvl w:val="3"/>
      </w:pPr>
      <w:r/>
      <w:bookmarkStart w:id="171" w:name="heading_10"/>
      <w:r>
        <w:rPr>
          <w:rFonts w:hint="eastAsia" w:ascii="方正仿宋_GBK" w:hAnsi="方正仿宋_GBK" w:eastAsia="方正仿宋_GBK" w:cs="方正仿宋_GBK"/>
          <w:b/>
          <w:bCs/>
          <w:sz w:val="28"/>
          <w:szCs w:val="28"/>
          <w:highlight w:val="none"/>
          <w:lang w:val="en-US" w:eastAsia="zh-CN"/>
        </w:rPr>
        <w:t xml:space="preserve">2.3.1</w:t>
      </w:r>
      <w:r>
        <w:rPr>
          <w:rFonts w:hint="eastAsia" w:ascii="方正仿宋_GBK" w:hAnsi="方正仿宋_GBK" w:eastAsia="方正仿宋_GBK" w:cs="方正仿宋_GBK"/>
          <w:b/>
          <w:bCs/>
          <w:sz w:val="28"/>
          <w:szCs w:val="28"/>
          <w:highlight w:val="none"/>
        </w:rPr>
        <w:t xml:space="preserve">功能要求</w:t>
      </w:r>
      <w:bookmarkEnd w:id="171"/>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lang w:val="en-US" w:eastAsia="zh-CN"/>
        </w:rPr>
        <w:t xml:space="preserve">1</w:t>
      </w: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rPr>
        <w:t xml:space="preserve">用户与角色管理：</w:t>
      </w:r>
      <w:r>
        <w:rPr>
          <w:rFonts w:hint="eastAsia" w:ascii="方正仿宋_GBK" w:hAnsi="方正仿宋_GBK" w:eastAsia="方正仿宋_GBK" w:cs="方正仿宋_GBK"/>
          <w:sz w:val="28"/>
          <w:szCs w:val="28"/>
          <w:highlight w:val="none"/>
        </w:rPr>
        <w:t xml:space="preserve">支持用户新增、编辑、禁用、删除；支持角色自定义（超级管理员、学科管理员、科研人员、运动员等）；支持用户多角色分配、角色权限批量复制。</w:t>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rPr>
        <w:t xml:space="preserve">细粒度权限管控：</w:t>
      </w:r>
      <w:r>
        <w:rPr>
          <w:rFonts w:hint="eastAsia" w:ascii="方正仿宋_GBK" w:hAnsi="方正仿宋_GBK" w:eastAsia="方正仿宋_GBK" w:cs="方正仿宋_GBK"/>
          <w:sz w:val="28"/>
          <w:szCs w:val="28"/>
          <w:highlight w:val="none"/>
        </w:rPr>
        <w:t xml:space="preserve">支持按数据目录、数据源、数据集、字段级分配查看 / 录入 / 修改 / 导出 / 删除权限。</w:t>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rPr>
        <w:t xml:space="preserve">操作审计日志管理：</w:t>
      </w:r>
      <w:r>
        <w:rPr>
          <w:rFonts w:hint="eastAsia" w:ascii="方正仿宋_GBK" w:hAnsi="方正仿宋_GBK" w:eastAsia="方正仿宋_GBK" w:cs="方正仿宋_GBK"/>
          <w:sz w:val="28"/>
          <w:szCs w:val="28"/>
          <w:highlight w:val="none"/>
        </w:rPr>
        <w:t xml:space="preserve">支持日志统一存储、检索、导出；支持按用户、时间、操作类型筛选；支持日志留存周期配置（≥3 年）、日志备份。</w:t>
      </w:r>
      <w:r/>
    </w:p>
    <w:p>
      <w:pPr>
        <w:pStyle w:val="804"/>
        <w:ind w:firstLine="560"/>
        <w:rPr>
          <w:rFonts w:hint="eastAsia" w:ascii="方正仿宋_GBK" w:hAnsi="方正仿宋_GBK" w:eastAsia="方正仿宋_GBK" w:cs="方正仿宋_GBK"/>
          <w:caps w:val="0"/>
          <w:sz w:val="28"/>
          <w:szCs w:val="28"/>
          <w:highlight w:val="none"/>
        </w:rPr>
      </w:pPr>
      <w:r>
        <w:rPr>
          <w:rFonts w:hint="eastAsia" w:ascii="方正仿宋_GBK" w:hAnsi="方正仿宋_GBK" w:eastAsia="方正仿宋_GBK" w:cs="方正仿宋_GBK"/>
          <w:caps w:val="0"/>
          <w:sz w:val="28"/>
          <w:szCs w:val="28"/>
          <w:highlight w:val="none"/>
          <w:lang w:eastAsia="zh-CN"/>
        </w:rPr>
        <w:t xml:space="preserve">（</w:t>
      </w:r>
      <w:r>
        <w:rPr>
          <w:rFonts w:hint="eastAsia" w:ascii="方正仿宋_GBK" w:hAnsi="方正仿宋_GBK" w:eastAsia="方正仿宋_GBK" w:cs="方正仿宋_GBK"/>
          <w:caps w:val="0"/>
          <w:sz w:val="28"/>
          <w:szCs w:val="28"/>
          <w:highlight w:val="none"/>
          <w:lang w:val="en-US" w:eastAsia="zh-CN"/>
        </w:rPr>
        <w:t xml:space="preserve">4</w:t>
      </w:r>
      <w:r>
        <w:rPr>
          <w:rFonts w:hint="eastAsia" w:ascii="方正仿宋_GBK" w:hAnsi="方正仿宋_GBK" w:eastAsia="方正仿宋_GBK" w:cs="方正仿宋_GBK"/>
          <w:caps w:val="0"/>
          <w:sz w:val="28"/>
          <w:szCs w:val="28"/>
          <w:highlight w:val="none"/>
          <w:lang w:eastAsia="zh-CN"/>
        </w:rPr>
        <w:t xml:space="preserve">）</w:t>
      </w:r>
      <w:r>
        <w:rPr>
          <w:rFonts w:hint="eastAsia" w:ascii="方正仿宋_GBK" w:hAnsi="方正仿宋_GBK" w:eastAsia="方正仿宋_GBK" w:cs="方正仿宋_GBK"/>
          <w:b w:val="0"/>
          <w:bCs w:val="0"/>
          <w:caps w:val="0"/>
          <w:color w:val="000000"/>
          <w:sz w:val="28"/>
          <w:szCs w:val="28"/>
          <w:highlight w:val="none"/>
          <w:lang w:eastAsia="zh-CN"/>
        </w:rPr>
        <w:t xml:space="preserve">◇</w:t>
      </w:r>
      <w:r>
        <w:rPr>
          <w:rFonts w:hint="eastAsia" w:ascii="方正仿宋_GBK" w:hAnsi="方正仿宋_GBK" w:eastAsia="方正仿宋_GBK" w:cs="方正仿宋_GBK"/>
          <w:caps w:val="0"/>
          <w:sz w:val="28"/>
          <w:szCs w:val="28"/>
          <w:highlight w:val="none"/>
          <w:lang w:val="en-US" w:eastAsia="zh-CN"/>
        </w:rPr>
        <w:t xml:space="preserve">国产化适配：支持数据平台的国产化适配迁移。</w:t>
      </w:r>
      <w:r>
        <w:rPr>
          <w:rFonts w:hint="eastAsia" w:ascii="方正仿宋_GBK" w:hAnsi="方正仿宋_GBK" w:eastAsia="方正仿宋_GBK" w:cs="方正仿宋_GBK"/>
          <w:caps w:val="0"/>
          <w:sz w:val="28"/>
          <w:szCs w:val="28"/>
          <w:highlight w:val="none"/>
        </w:rPr>
        <w:t xml:space="preserve">针对现有系统数据向国产化环境迁移，从迁移策略、适配转换、测试验证等方面，制定数据迁移方案。</w:t>
      </w:r>
      <w:r/>
    </w:p>
    <w:p>
      <w:pPr>
        <w:ind w:left="0" w:firstLine="420"/>
        <w:jc w:val="left"/>
        <w:keepLines w:val="0"/>
        <w:keepNext w:val="0"/>
        <w:pageBreakBefore w:val="0"/>
        <w:spacing w:before="0" w:after="0" w:line="400" w:lineRule="exact"/>
        <w:widowControl w:val="off"/>
        <w:rPr>
          <w:rFonts w:hint="eastAsia" w:ascii="方正仿宋_GBK" w:hAnsi="方正仿宋_GBK" w:eastAsia="方正仿宋_GBK" w:cs="方正仿宋_GBK"/>
          <w:b/>
          <w:bCs/>
          <w:sz w:val="28"/>
          <w:szCs w:val="28"/>
          <w:highlight w:val="none"/>
        </w:rPr>
        <w:outlineLvl w:val="3"/>
      </w:pPr>
      <w:r/>
      <w:bookmarkStart w:id="172" w:name="heading_11"/>
      <w:r>
        <w:rPr>
          <w:rFonts w:hint="eastAsia" w:ascii="方正仿宋_GBK" w:hAnsi="方正仿宋_GBK" w:eastAsia="方正仿宋_GBK" w:cs="方正仿宋_GBK"/>
          <w:b/>
          <w:bCs/>
          <w:sz w:val="28"/>
          <w:szCs w:val="28"/>
          <w:highlight w:val="none"/>
          <w:lang w:val="en-US" w:eastAsia="zh-CN"/>
        </w:rPr>
        <w:t xml:space="preserve">2.3.2</w:t>
      </w:r>
      <w:r>
        <w:rPr>
          <w:rFonts w:hint="eastAsia" w:ascii="方正仿宋_GBK" w:hAnsi="方正仿宋_GBK" w:eastAsia="方正仿宋_GBK" w:cs="方正仿宋_GBK"/>
          <w:b/>
          <w:bCs/>
          <w:sz w:val="28"/>
          <w:szCs w:val="28"/>
          <w:highlight w:val="none"/>
        </w:rPr>
        <w:t xml:space="preserve">技术参数</w:t>
      </w:r>
      <w:bookmarkEnd w:id="172"/>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lang w:val="en-US" w:eastAsia="zh-CN"/>
        </w:rPr>
        <w:t xml:space="preserve">1</w:t>
      </w: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rPr>
        <w:t xml:space="preserve">分级权限精细化管控：</w:t>
      </w:r>
      <w:r>
        <w:rPr>
          <w:rFonts w:hint="eastAsia" w:ascii="方正仿宋_GBK" w:hAnsi="方正仿宋_GBK" w:eastAsia="方正仿宋_GBK" w:cs="方正仿宋_GBK"/>
          <w:sz w:val="28"/>
          <w:szCs w:val="28"/>
          <w:highlight w:val="none"/>
        </w:rPr>
        <w:t xml:space="preserve">支持超级管理员、学科管理员、科研人员、运动员多级角色权限配置，可按角色灵活分配数据查看、录入、修改、导出权限，严格杜绝越权操作，适配不同岗位人员使用需求。</w:t>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lang w:val="en-US" w:eastAsia="zh-CN"/>
        </w:rPr>
        <w:t xml:space="preserve">2</w:t>
      </w: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rPr>
        <w:t xml:space="preserve">隐私数据智能脱敏保护：</w:t>
      </w:r>
      <w:r>
        <w:rPr>
          <w:rFonts w:hint="eastAsia" w:ascii="方正仿宋_GBK" w:hAnsi="方正仿宋_GBK" w:eastAsia="方正仿宋_GBK" w:cs="方正仿宋_GBK"/>
          <w:sz w:val="28"/>
          <w:szCs w:val="28"/>
          <w:highlight w:val="none"/>
        </w:rPr>
        <w:t xml:space="preserve">针对运动员身份证号、联系方式、病史等隐私信息，以及涉密科研数据，支持自动脱敏处理，可自定义脱敏规则，脱敏后数据不影响正常科研分析，兼顾隐私保护与科研价值。</w:t>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lang w:val="en-US" w:eastAsia="zh-CN"/>
        </w:rPr>
        <w:t xml:space="preserve">3</w:t>
      </w: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rPr>
        <w:t xml:space="preserve">全流程操作日志审计：</w:t>
      </w:r>
      <w:r>
        <w:rPr>
          <w:rFonts w:hint="eastAsia" w:ascii="方正仿宋_GBK" w:hAnsi="方正仿宋_GBK" w:eastAsia="方正仿宋_GBK" w:cs="方正仿宋_GBK"/>
          <w:sz w:val="28"/>
          <w:szCs w:val="28"/>
          <w:highlight w:val="none"/>
        </w:rPr>
        <w:t xml:space="preserve">全程记录数据接入、查询、修改、导出、删除等所有操作日志，日志留存周期不低于3年，支持日志检索、导出与行为溯源，满足科研保密及合规审计要求。</w:t>
      </w:r>
      <w:r/>
    </w:p>
    <w:p>
      <w:pPr>
        <w:ind w:firstLine="420"/>
        <w:jc w:val="left"/>
        <w:keepLines w:val="0"/>
        <w:keepNext w:val="0"/>
        <w:pageBreakBefore w:val="0"/>
        <w:spacing w:before="0" w:after="0" w:line="400" w:lineRule="exact"/>
        <w:widowControl w:val="off"/>
        <w:rPr>
          <w:rFonts w:hint="eastAsia" w:ascii="方正仿宋_GBK" w:hAnsi="方正仿宋_GBK" w:eastAsia="方正仿宋_GBK" w:cs="方正仿宋_GBK"/>
          <w:b/>
          <w:bCs/>
          <w:sz w:val="28"/>
          <w:szCs w:val="28"/>
          <w:highlight w:val="none"/>
        </w:rPr>
        <w:outlineLvl w:val="1"/>
      </w:pPr>
      <w:r/>
      <w:bookmarkStart w:id="173" w:name="heading_12"/>
      <w:r>
        <w:rPr>
          <w:rFonts w:hint="eastAsia" w:ascii="方正仿宋_GBK" w:hAnsi="方正仿宋_GBK" w:eastAsia="方正仿宋_GBK" w:cs="方正仿宋_GBK"/>
          <w:b/>
          <w:bCs/>
          <w:sz w:val="28"/>
          <w:szCs w:val="28"/>
          <w:highlight w:val="none"/>
          <w:lang w:val="en-US" w:eastAsia="zh-CN"/>
        </w:rPr>
        <w:t xml:space="preserve">3</w:t>
      </w:r>
      <w:r>
        <w:rPr>
          <w:rFonts w:hint="eastAsia" w:ascii="方正仿宋_GBK" w:hAnsi="方正仿宋_GBK" w:eastAsia="方正仿宋_GBK" w:cs="方正仿宋_GBK"/>
          <w:b/>
          <w:bCs/>
          <w:sz w:val="28"/>
          <w:szCs w:val="28"/>
          <w:highlight w:val="none"/>
        </w:rPr>
        <w:t xml:space="preserve">运动知识图谱建设</w:t>
      </w:r>
      <w:bookmarkEnd w:id="173"/>
      <w:r/>
      <w:r/>
    </w:p>
    <w:p>
      <w:pPr>
        <w:ind w:left="0" w:firstLine="560"/>
        <w:jc w:val="left"/>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运动知识图谱作为平台智能化核心引擎，需具备专业知识体系构建、多源知识整合、可视化交互查询三大功能，将零散体育科研知识结构化、可视化，支撑智能检索、知识关联分析等应用。</w:t>
      </w:r>
      <w:r/>
    </w:p>
    <w:p>
      <w:pPr>
        <w:ind w:left="0" w:firstLine="420"/>
        <w:jc w:val="left"/>
        <w:keepLines w:val="0"/>
        <w:keepNext w:val="0"/>
        <w:pageBreakBefore w:val="0"/>
        <w:spacing w:before="0" w:after="0" w:line="400" w:lineRule="exact"/>
        <w:widowControl w:val="off"/>
        <w:rPr>
          <w:rFonts w:hint="eastAsia" w:ascii="方正仿宋_GBK" w:hAnsi="方正仿宋_GBK" w:eastAsia="方正仿宋_GBK" w:cs="方正仿宋_GBK"/>
          <w:b/>
          <w:bCs/>
          <w:sz w:val="28"/>
          <w:szCs w:val="28"/>
          <w:highlight w:val="none"/>
        </w:rPr>
        <w:outlineLvl w:val="2"/>
      </w:pPr>
      <w:r/>
      <w:bookmarkStart w:id="174" w:name="heading_13"/>
      <w:r>
        <w:rPr>
          <w:rFonts w:hint="eastAsia" w:ascii="方正仿宋_GBK" w:hAnsi="方正仿宋_GBK" w:eastAsia="方正仿宋_GBK" w:cs="方正仿宋_GBK"/>
          <w:b/>
          <w:bCs/>
          <w:sz w:val="28"/>
          <w:szCs w:val="28"/>
          <w:highlight w:val="none"/>
          <w:lang w:val="en-US" w:eastAsia="zh-CN"/>
        </w:rPr>
        <w:t xml:space="preserve">3.1</w:t>
      </w:r>
      <w:r>
        <w:rPr>
          <w:rFonts w:hint="eastAsia" w:ascii="方正仿宋_GBK" w:hAnsi="方正仿宋_GBK" w:eastAsia="方正仿宋_GBK" w:cs="方正仿宋_GBK"/>
          <w:b/>
          <w:bCs/>
          <w:sz w:val="28"/>
          <w:szCs w:val="28"/>
          <w:highlight w:val="none"/>
        </w:rPr>
        <w:t xml:space="preserve">知识图谱本体构建功能</w:t>
      </w:r>
      <w:bookmarkEnd w:id="174"/>
      <w:r/>
      <w:r/>
    </w:p>
    <w:p>
      <w:pPr>
        <w:ind w:left="0" w:firstLine="420"/>
        <w:jc w:val="left"/>
        <w:keepLines w:val="0"/>
        <w:keepNext w:val="0"/>
        <w:pageBreakBefore w:val="0"/>
        <w:spacing w:before="0" w:after="0" w:line="400" w:lineRule="exact"/>
        <w:widowControl w:val="off"/>
        <w:rPr>
          <w:rFonts w:hint="eastAsia" w:ascii="方正仿宋_GBK" w:hAnsi="方正仿宋_GBK" w:eastAsia="方正仿宋_GBK" w:cs="方正仿宋_GBK"/>
          <w:b/>
          <w:bCs/>
          <w:sz w:val="28"/>
          <w:szCs w:val="28"/>
          <w:highlight w:val="none"/>
        </w:rPr>
        <w:outlineLvl w:val="3"/>
      </w:pPr>
      <w:r/>
      <w:bookmarkStart w:id="175" w:name="heading_14"/>
      <w:r>
        <w:rPr>
          <w:rFonts w:hint="eastAsia" w:ascii="方正仿宋_GBK" w:hAnsi="方正仿宋_GBK" w:eastAsia="方正仿宋_GBK" w:cs="方正仿宋_GBK"/>
          <w:b/>
          <w:bCs/>
          <w:sz w:val="28"/>
          <w:szCs w:val="28"/>
          <w:highlight w:val="none"/>
          <w:lang w:val="en-US" w:eastAsia="zh-CN"/>
        </w:rPr>
        <w:t xml:space="preserve">3.1.1</w:t>
      </w:r>
      <w:r>
        <w:rPr>
          <w:rFonts w:hint="eastAsia" w:ascii="方正仿宋_GBK" w:hAnsi="方正仿宋_GBK" w:eastAsia="方正仿宋_GBK" w:cs="方正仿宋_GBK"/>
          <w:b/>
          <w:bCs/>
          <w:sz w:val="28"/>
          <w:szCs w:val="28"/>
          <w:highlight w:val="none"/>
        </w:rPr>
        <w:t xml:space="preserve">功能要求</w:t>
      </w:r>
      <w:bookmarkEnd w:id="175"/>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lang w:val="en-US" w:eastAsia="zh-CN"/>
        </w:rPr>
        <w:t xml:space="preserve">1</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rPr>
        <w:t xml:space="preserve">▲</w:t>
      </w:r>
      <w:r>
        <w:rPr>
          <w:rFonts w:hint="eastAsia" w:ascii="方正仿宋_GBK" w:hAnsi="方正仿宋_GBK" w:eastAsia="方正仿宋_GBK" w:cs="方正仿宋_GBK"/>
          <w:b w:val="0"/>
          <w:bCs w:val="0"/>
          <w:sz w:val="28"/>
          <w:szCs w:val="28"/>
          <w:highlight w:val="none"/>
        </w:rPr>
        <w:t xml:space="preserve">本体可视化建模：</w:t>
      </w:r>
      <w:r>
        <w:rPr>
          <w:rFonts w:hint="eastAsia" w:ascii="方正仿宋_GBK" w:hAnsi="方正仿宋_GBK" w:eastAsia="方正仿宋_GBK" w:cs="方正仿宋_GBK"/>
          <w:sz w:val="28"/>
          <w:szCs w:val="28"/>
          <w:highlight w:val="none"/>
        </w:rPr>
        <w:t xml:space="preserve">提供图形化本体编辑器，支持节点（运动员、项目、学科、指标等）、关系（属于、影响、关联等）、属性拖拽式编辑；支持本体分类管理、版本管理、导入导出。</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提供</w:t>
      </w:r>
      <w:r>
        <w:rPr>
          <w:rFonts w:hint="eastAsia" w:ascii="方正仿宋_GBK" w:hAnsi="方正仿宋_GBK" w:eastAsia="方正仿宋_GBK" w:cs="方正仿宋_GBK"/>
          <w:sz w:val="28"/>
          <w:szCs w:val="28"/>
          <w:highlight w:val="none"/>
        </w:rPr>
        <w:t xml:space="preserve">同类项目类似功能的系统截图</w:t>
      </w:r>
      <w:r>
        <w:rPr>
          <w:rFonts w:hint="eastAsia" w:ascii="方正仿宋_GBK" w:hAnsi="方正仿宋_GBK" w:eastAsia="方正仿宋_GBK" w:cs="方正仿宋_GBK"/>
          <w:sz w:val="28"/>
          <w:szCs w:val="28"/>
          <w:highlight w:val="none"/>
          <w:lang w:eastAsia="zh-CN"/>
        </w:rPr>
        <w:t xml:space="preserve">）</w:t>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lang w:val="en-US" w:eastAsia="zh-CN"/>
        </w:rPr>
        <w:t xml:space="preserve">2</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rPr>
        <w:t xml:space="preserve">▲</w:t>
      </w:r>
      <w:r>
        <w:rPr>
          <w:rFonts w:hint="eastAsia" w:ascii="方正仿宋_GBK" w:hAnsi="方正仿宋_GBK" w:eastAsia="方正仿宋_GBK" w:cs="方正仿宋_GBK"/>
          <w:b w:val="0"/>
          <w:bCs w:val="0"/>
          <w:sz w:val="28"/>
          <w:szCs w:val="28"/>
          <w:highlight w:val="none"/>
        </w:rPr>
        <w:t xml:space="preserve">本体审核与发布：</w:t>
      </w:r>
      <w:r>
        <w:rPr>
          <w:rFonts w:hint="eastAsia" w:ascii="方正仿宋_GBK" w:hAnsi="方正仿宋_GBK" w:eastAsia="方正仿宋_GBK" w:cs="方正仿宋_GBK"/>
          <w:sz w:val="28"/>
          <w:szCs w:val="28"/>
          <w:highlight w:val="none"/>
        </w:rPr>
        <w:t xml:space="preserve">支持本体新建、修改后提交审核；支持审核流程配置、审核意见记录、版本回退；支持正式发布本体、下线停用。</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提供</w:t>
      </w:r>
      <w:r>
        <w:rPr>
          <w:rFonts w:hint="eastAsia" w:ascii="方正仿宋_GBK" w:hAnsi="方正仿宋_GBK" w:eastAsia="方正仿宋_GBK" w:cs="方正仿宋_GBK"/>
          <w:sz w:val="28"/>
          <w:szCs w:val="28"/>
          <w:highlight w:val="none"/>
        </w:rPr>
        <w:t xml:space="preserve">同类项目类似功能的系统截图</w:t>
      </w:r>
      <w:r>
        <w:rPr>
          <w:rFonts w:hint="eastAsia" w:ascii="方正仿宋_GBK" w:hAnsi="方正仿宋_GBK" w:eastAsia="方正仿宋_GBK" w:cs="方正仿宋_GBK"/>
          <w:sz w:val="28"/>
          <w:szCs w:val="28"/>
          <w:highlight w:val="none"/>
          <w:lang w:eastAsia="zh-CN"/>
        </w:rPr>
        <w:t xml:space="preserve">）</w:t>
      </w:r>
      <w:r/>
    </w:p>
    <w:p>
      <w:pPr>
        <w:ind w:left="0" w:firstLine="420"/>
        <w:jc w:val="left"/>
        <w:keepLines w:val="0"/>
        <w:keepNext w:val="0"/>
        <w:pageBreakBefore w:val="0"/>
        <w:spacing w:before="0" w:after="0" w:line="400" w:lineRule="exact"/>
        <w:widowControl w:val="off"/>
        <w:rPr>
          <w:rFonts w:hint="eastAsia" w:ascii="方正仿宋_GBK" w:hAnsi="方正仿宋_GBK" w:eastAsia="方正仿宋_GBK" w:cs="方正仿宋_GBK"/>
          <w:b/>
          <w:bCs/>
          <w:sz w:val="28"/>
          <w:szCs w:val="28"/>
          <w:highlight w:val="none"/>
        </w:rPr>
        <w:outlineLvl w:val="3"/>
      </w:pPr>
      <w:r/>
      <w:bookmarkStart w:id="176" w:name="heading_15"/>
      <w:r>
        <w:rPr>
          <w:rFonts w:hint="eastAsia" w:ascii="方正仿宋_GBK" w:hAnsi="方正仿宋_GBK" w:eastAsia="方正仿宋_GBK" w:cs="方正仿宋_GBK"/>
          <w:b/>
          <w:bCs/>
          <w:sz w:val="28"/>
          <w:szCs w:val="28"/>
          <w:highlight w:val="none"/>
          <w:lang w:val="en-US" w:eastAsia="zh-CN"/>
        </w:rPr>
        <w:t xml:space="preserve">3.1.2</w:t>
      </w:r>
      <w:r>
        <w:rPr>
          <w:rFonts w:hint="eastAsia" w:ascii="方正仿宋_GBK" w:hAnsi="方正仿宋_GBK" w:eastAsia="方正仿宋_GBK" w:cs="方正仿宋_GBK"/>
          <w:b/>
          <w:bCs/>
          <w:sz w:val="28"/>
          <w:szCs w:val="28"/>
          <w:highlight w:val="none"/>
        </w:rPr>
        <w:t xml:space="preserve">技术参数</w:t>
      </w:r>
      <w:bookmarkEnd w:id="176"/>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lang w:val="en-US" w:eastAsia="zh-CN"/>
        </w:rPr>
        <w:t xml:space="preserve">1</w:t>
      </w: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rPr>
        <w:t xml:space="preserve">全领域本体覆盖：构建以运动员、运动项目、学科、训练场景、科研指标为核心的本体体系，全面覆盖体科所科研核心业务维度。</w:t>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lang w:val="en-US" w:eastAsia="zh-CN"/>
        </w:rPr>
        <w:t xml:space="preserve">2</w:t>
      </w: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rPr>
        <w:t xml:space="preserve">可视化本体管理：支持本体节点与关系的新增、修改、删除操作；适配竞技体育科研特色，灵活新增专项运动专属节点与关联关系。</w:t>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lang w:val="en-US" w:eastAsia="zh-CN"/>
        </w:rPr>
        <w:t xml:space="preserve">3</w:t>
      </w: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rPr>
        <w:t xml:space="preserve">权威领域知识融合：整合体育科研行业标准、学术文献、体科所历史科研成果及学科专业知识，构建专业级体育科研领域本体，确保知识内容的权威性与专业性。</w:t>
      </w:r>
      <w:r/>
    </w:p>
    <w:p>
      <w:pPr>
        <w:ind w:firstLine="420"/>
        <w:jc w:val="left"/>
        <w:keepLines w:val="0"/>
        <w:keepNext w:val="0"/>
        <w:pageBreakBefore w:val="0"/>
        <w:spacing w:before="0" w:after="0" w:line="400" w:lineRule="exact"/>
        <w:widowControl w:val="off"/>
        <w:rPr>
          <w:rFonts w:hint="eastAsia" w:ascii="方正仿宋_GBK" w:hAnsi="方正仿宋_GBK" w:eastAsia="方正仿宋_GBK" w:cs="方正仿宋_GBK"/>
          <w:b/>
          <w:bCs/>
          <w:sz w:val="28"/>
          <w:szCs w:val="28"/>
          <w:highlight w:val="none"/>
        </w:rPr>
        <w:outlineLvl w:val="2"/>
      </w:pPr>
      <w:r/>
      <w:bookmarkStart w:id="177" w:name="heading_16"/>
      <w:r>
        <w:rPr>
          <w:rFonts w:hint="eastAsia" w:ascii="方正仿宋_GBK" w:hAnsi="方正仿宋_GBK" w:eastAsia="方正仿宋_GBK" w:cs="方正仿宋_GBK"/>
          <w:b/>
          <w:bCs/>
          <w:sz w:val="28"/>
          <w:szCs w:val="28"/>
          <w:highlight w:val="none"/>
          <w:lang w:val="en-US" w:eastAsia="zh-CN"/>
        </w:rPr>
        <w:t xml:space="preserve">3.2</w:t>
      </w:r>
      <w:r>
        <w:rPr>
          <w:rFonts w:hint="eastAsia" w:ascii="方正仿宋_GBK" w:hAnsi="方正仿宋_GBK" w:eastAsia="方正仿宋_GBK" w:cs="方正仿宋_GBK"/>
          <w:b/>
          <w:bCs/>
          <w:sz w:val="28"/>
          <w:szCs w:val="28"/>
          <w:highlight w:val="none"/>
        </w:rPr>
        <w:t xml:space="preserve">知识抽取与融合功能</w:t>
      </w:r>
      <w:bookmarkEnd w:id="177"/>
      <w:r/>
      <w:r/>
    </w:p>
    <w:p>
      <w:pPr>
        <w:ind w:left="0" w:firstLine="420"/>
        <w:jc w:val="left"/>
        <w:keepLines w:val="0"/>
        <w:keepNext w:val="0"/>
        <w:pageBreakBefore w:val="0"/>
        <w:spacing w:before="0" w:after="0" w:line="400" w:lineRule="exact"/>
        <w:widowControl w:val="off"/>
        <w:rPr>
          <w:rFonts w:hint="eastAsia" w:ascii="方正仿宋_GBK" w:hAnsi="方正仿宋_GBK" w:eastAsia="方正仿宋_GBK" w:cs="方正仿宋_GBK"/>
          <w:b/>
          <w:bCs/>
          <w:sz w:val="28"/>
          <w:szCs w:val="28"/>
          <w:highlight w:val="none"/>
        </w:rPr>
        <w:outlineLvl w:val="3"/>
      </w:pPr>
      <w:r/>
      <w:bookmarkStart w:id="178" w:name="heading_17"/>
      <w:r>
        <w:rPr>
          <w:rFonts w:hint="eastAsia" w:ascii="方正仿宋_GBK" w:hAnsi="方正仿宋_GBK" w:eastAsia="方正仿宋_GBK" w:cs="方正仿宋_GBK"/>
          <w:b/>
          <w:bCs/>
          <w:sz w:val="28"/>
          <w:szCs w:val="28"/>
          <w:highlight w:val="none"/>
          <w:lang w:val="en-US" w:eastAsia="zh-CN"/>
        </w:rPr>
        <w:t xml:space="preserve">3.2.1</w:t>
      </w:r>
      <w:r>
        <w:rPr>
          <w:rFonts w:hint="eastAsia" w:ascii="方正仿宋_GBK" w:hAnsi="方正仿宋_GBK" w:eastAsia="方正仿宋_GBK" w:cs="方正仿宋_GBK"/>
          <w:b/>
          <w:bCs/>
          <w:sz w:val="28"/>
          <w:szCs w:val="28"/>
          <w:highlight w:val="none"/>
        </w:rPr>
        <w:t xml:space="preserve">功能要求</w:t>
      </w:r>
      <w:bookmarkEnd w:id="178"/>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lang w:val="en-US" w:eastAsia="zh-CN"/>
        </w:rPr>
        <w:t xml:space="preserve">1</w:t>
      </w: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rPr>
        <w:t xml:space="preserve">知识抽取任务管理：</w:t>
      </w:r>
      <w:r>
        <w:rPr>
          <w:rFonts w:hint="eastAsia" w:ascii="方正仿宋_GBK" w:hAnsi="方正仿宋_GBK" w:eastAsia="方正仿宋_GBK" w:cs="方正仿宋_GBK"/>
          <w:sz w:val="28"/>
          <w:szCs w:val="28"/>
          <w:highlight w:val="none"/>
        </w:rPr>
        <w:t xml:space="preserve">支持配置结构化库、文档、论文、方案等抽取任务；可查看抽取进度、结果统计、失败明细，支持重跑任务。</w:t>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lang w:val="en-US" w:eastAsia="zh-CN"/>
        </w:rPr>
        <w:t xml:space="preserve">2</w:t>
      </w: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rPr>
        <w:t xml:space="preserve">知识标注管理：</w:t>
      </w:r>
      <w:r>
        <w:rPr>
          <w:rFonts w:hint="eastAsia" w:ascii="方正仿宋_GBK" w:hAnsi="方正仿宋_GBK" w:eastAsia="方正仿宋_GBK" w:cs="方正仿宋_GBK"/>
          <w:sz w:val="28"/>
          <w:szCs w:val="28"/>
          <w:highlight w:val="none"/>
        </w:rPr>
        <w:t xml:space="preserve">提供实体标注、关系标注、属性标注界面；支持多人协同标注、标注任务分配、标注结果审核。</w:t>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lang w:val="en-US" w:eastAsia="zh-CN"/>
        </w:rPr>
        <w:t xml:space="preserve">3</w:t>
      </w: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rPr>
        <w:t xml:space="preserve">知识更新管理：</w:t>
      </w:r>
      <w:r>
        <w:rPr>
          <w:rFonts w:hint="eastAsia" w:ascii="方正仿宋_GBK" w:hAnsi="方正仿宋_GBK" w:eastAsia="方正仿宋_GBK" w:cs="方正仿宋_GBK"/>
          <w:sz w:val="28"/>
          <w:szCs w:val="28"/>
          <w:highlight w:val="none"/>
        </w:rPr>
        <w:t xml:space="preserve">支持增量更新、定时批量更新、人工触发更新；支持更新内容预览、更新前后对比、更新回退；支持知识发布上线、下线归档。</w:t>
      </w:r>
      <w:r/>
    </w:p>
    <w:p>
      <w:pPr>
        <w:ind w:left="0" w:firstLine="420"/>
        <w:jc w:val="left"/>
        <w:keepLines w:val="0"/>
        <w:keepNext w:val="0"/>
        <w:pageBreakBefore w:val="0"/>
        <w:spacing w:before="0" w:after="0" w:line="400" w:lineRule="exact"/>
        <w:widowControl w:val="off"/>
        <w:rPr>
          <w:rFonts w:hint="eastAsia" w:ascii="方正仿宋_GBK" w:hAnsi="方正仿宋_GBK" w:eastAsia="方正仿宋_GBK" w:cs="方正仿宋_GBK"/>
          <w:b/>
          <w:bCs/>
          <w:sz w:val="28"/>
          <w:szCs w:val="28"/>
          <w:highlight w:val="none"/>
        </w:rPr>
        <w:outlineLvl w:val="3"/>
      </w:pPr>
      <w:r/>
      <w:bookmarkStart w:id="179" w:name="heading_18"/>
      <w:r>
        <w:rPr>
          <w:rFonts w:hint="eastAsia" w:ascii="方正仿宋_GBK" w:hAnsi="方正仿宋_GBK" w:eastAsia="方正仿宋_GBK" w:cs="方正仿宋_GBK"/>
          <w:b/>
          <w:bCs/>
          <w:sz w:val="28"/>
          <w:szCs w:val="28"/>
          <w:highlight w:val="none"/>
          <w:lang w:val="en-US" w:eastAsia="zh-CN"/>
        </w:rPr>
        <w:t xml:space="preserve">3.2.2</w:t>
      </w:r>
      <w:r>
        <w:rPr>
          <w:rFonts w:hint="eastAsia" w:ascii="方正仿宋_GBK" w:hAnsi="方正仿宋_GBK" w:eastAsia="方正仿宋_GBK" w:cs="方正仿宋_GBK"/>
          <w:b/>
          <w:bCs/>
          <w:sz w:val="28"/>
          <w:szCs w:val="28"/>
          <w:highlight w:val="none"/>
        </w:rPr>
        <w:t xml:space="preserve">技术参数</w:t>
      </w:r>
      <w:bookmarkEnd w:id="179"/>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lang w:val="en-US" w:eastAsia="zh-CN"/>
        </w:rPr>
        <w:t xml:space="preserve">1</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rPr>
        <w:t xml:space="preserve">▲</w:t>
      </w:r>
      <w:r>
        <w:rPr>
          <w:rFonts w:hint="eastAsia" w:ascii="方正仿宋_GBK" w:hAnsi="方正仿宋_GBK" w:eastAsia="方正仿宋_GBK" w:cs="方正仿宋_GBK"/>
          <w:b w:val="0"/>
          <w:bCs w:val="0"/>
          <w:sz w:val="28"/>
          <w:szCs w:val="28"/>
          <w:highlight w:val="none"/>
        </w:rPr>
        <w:t xml:space="preserve">多源知识智能抽取：</w:t>
      </w:r>
      <w:r>
        <w:rPr>
          <w:rFonts w:hint="eastAsia" w:ascii="方正仿宋_GBK" w:hAnsi="方正仿宋_GBK" w:eastAsia="方正仿宋_GBK" w:cs="方正仿宋_GBK"/>
          <w:sz w:val="28"/>
          <w:szCs w:val="28"/>
          <w:highlight w:val="none"/>
        </w:rPr>
        <w:t xml:space="preserve">支持从结构化数据库、科研报告、学术论文、康复方案、营养手册、心理资料、训练大纲中自动抽取实体、关系与属性；针对小众专项领域知识，支持人工标注补充，完善知识覆盖范围。</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提供</w:t>
      </w:r>
      <w:r>
        <w:rPr>
          <w:rFonts w:hint="eastAsia" w:ascii="方正仿宋_GBK" w:hAnsi="方正仿宋_GBK" w:eastAsia="方正仿宋_GBK" w:cs="方正仿宋_GBK"/>
          <w:sz w:val="28"/>
          <w:szCs w:val="28"/>
          <w:highlight w:val="none"/>
        </w:rPr>
        <w:t xml:space="preserve">同类项目类似功能的系统截图</w:t>
      </w:r>
      <w:r>
        <w:rPr>
          <w:rFonts w:hint="eastAsia" w:ascii="方正仿宋_GBK" w:hAnsi="方正仿宋_GBK" w:eastAsia="方正仿宋_GBK" w:cs="方正仿宋_GBK"/>
          <w:sz w:val="28"/>
          <w:szCs w:val="28"/>
          <w:highlight w:val="none"/>
          <w:lang w:eastAsia="zh-CN"/>
        </w:rPr>
        <w:t xml:space="preserve">）</w:t>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lang w:val="en-US" w:eastAsia="zh-CN"/>
        </w:rPr>
        <w:t xml:space="preserve">2</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rPr>
        <w:t xml:space="preserve">▲</w:t>
      </w:r>
      <w:r>
        <w:rPr>
          <w:rFonts w:hint="eastAsia" w:ascii="方正仿宋_GBK" w:hAnsi="方正仿宋_GBK" w:eastAsia="方正仿宋_GBK" w:cs="方正仿宋_GBK"/>
          <w:b w:val="0"/>
          <w:bCs w:val="0"/>
          <w:sz w:val="28"/>
          <w:szCs w:val="28"/>
          <w:highlight w:val="none"/>
        </w:rPr>
        <w:t xml:space="preserve">知识对齐消歧处理：</w:t>
      </w:r>
      <w:r>
        <w:rPr>
          <w:rFonts w:hint="eastAsia" w:ascii="方正仿宋_GBK" w:hAnsi="方正仿宋_GBK" w:eastAsia="方正仿宋_GBK" w:cs="方正仿宋_GBK"/>
          <w:sz w:val="28"/>
          <w:szCs w:val="28"/>
          <w:highlight w:val="none"/>
        </w:rPr>
        <w:t xml:space="preserve">自动完成跨数据源、跨学科知识实体对齐与关系消歧，有效解决同名异义、同义异名问题，确保知识关联准确无误。</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提供</w:t>
      </w:r>
      <w:r>
        <w:rPr>
          <w:rFonts w:hint="eastAsia" w:ascii="方正仿宋_GBK" w:hAnsi="方正仿宋_GBK" w:eastAsia="方正仿宋_GBK" w:cs="方正仿宋_GBK"/>
          <w:sz w:val="28"/>
          <w:szCs w:val="28"/>
          <w:highlight w:val="none"/>
        </w:rPr>
        <w:t xml:space="preserve">同类项目类似功能的系统截图</w:t>
      </w:r>
      <w:r>
        <w:rPr>
          <w:rFonts w:hint="eastAsia" w:ascii="方正仿宋_GBK" w:hAnsi="方正仿宋_GBK" w:eastAsia="方正仿宋_GBK" w:cs="方正仿宋_GBK"/>
          <w:sz w:val="28"/>
          <w:szCs w:val="28"/>
          <w:highlight w:val="none"/>
          <w:lang w:eastAsia="zh-CN"/>
        </w:rPr>
        <w:t xml:space="preserve">）</w:t>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val="0"/>
          <w:color w:val="000000"/>
          <w:sz w:val="28"/>
          <w:szCs w:val="28"/>
          <w:highlight w:val="none"/>
          <w:lang w:eastAsia="zh-CN"/>
        </w:rPr>
        <w:t xml:space="preserve">（</w:t>
      </w:r>
      <w:r>
        <w:rPr>
          <w:rFonts w:hint="eastAsia" w:ascii="方正仿宋_GBK" w:hAnsi="方正仿宋_GBK" w:eastAsia="方正仿宋_GBK" w:cs="方正仿宋_GBK"/>
          <w:bCs w:val="0"/>
          <w:color w:val="000000"/>
          <w:sz w:val="28"/>
          <w:szCs w:val="28"/>
          <w:highlight w:val="none"/>
          <w:lang w:val="en-US" w:eastAsia="zh-CN"/>
        </w:rPr>
        <w:t xml:space="preserve">3</w:t>
      </w:r>
      <w:r>
        <w:rPr>
          <w:rFonts w:hint="eastAsia" w:ascii="方正仿宋_GBK" w:hAnsi="方正仿宋_GBK" w:eastAsia="方正仿宋_GBK" w:cs="方正仿宋_GBK"/>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rPr>
        <w:t xml:space="preserve">▲</w:t>
      </w:r>
      <w:r>
        <w:rPr>
          <w:rFonts w:hint="eastAsia" w:ascii="方正仿宋_GBK" w:hAnsi="方正仿宋_GBK" w:eastAsia="方正仿宋_GBK" w:cs="方正仿宋_GBK"/>
          <w:b w:val="0"/>
          <w:bCs w:val="0"/>
          <w:sz w:val="28"/>
          <w:szCs w:val="28"/>
          <w:highlight w:val="none"/>
        </w:rPr>
        <w:t xml:space="preserve">灵活知识更新机制：</w:t>
      </w:r>
      <w:r>
        <w:rPr>
          <w:rFonts w:hint="eastAsia" w:ascii="方正仿宋_GBK" w:hAnsi="方正仿宋_GBK" w:eastAsia="方正仿宋_GBK" w:cs="方正仿宋_GBK"/>
          <w:sz w:val="28"/>
          <w:szCs w:val="28"/>
          <w:highlight w:val="none"/>
        </w:rPr>
        <w:t xml:space="preserve">支持增量知识更新、定时批量更新、人工触发更新三种模式，适配知识新增、修正、迭代需求，保障知识图谱时效性。</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提供</w:t>
      </w:r>
      <w:r>
        <w:rPr>
          <w:rFonts w:hint="eastAsia" w:ascii="方正仿宋_GBK" w:hAnsi="方正仿宋_GBK" w:eastAsia="方正仿宋_GBK" w:cs="方正仿宋_GBK"/>
          <w:sz w:val="28"/>
          <w:szCs w:val="28"/>
          <w:highlight w:val="none"/>
        </w:rPr>
        <w:t xml:space="preserve">同类项目类似功能的系统截图</w:t>
      </w:r>
      <w:r>
        <w:rPr>
          <w:rFonts w:hint="eastAsia" w:ascii="方正仿宋_GBK" w:hAnsi="方正仿宋_GBK" w:eastAsia="方正仿宋_GBK" w:cs="方正仿宋_GBK"/>
          <w:sz w:val="28"/>
          <w:szCs w:val="28"/>
          <w:highlight w:val="none"/>
          <w:lang w:eastAsia="zh-CN"/>
        </w:rPr>
        <w:t xml:space="preserve">）</w:t>
      </w:r>
      <w:r/>
    </w:p>
    <w:p>
      <w:pPr>
        <w:ind w:firstLine="420"/>
        <w:jc w:val="left"/>
        <w:keepLines w:val="0"/>
        <w:keepNext w:val="0"/>
        <w:pageBreakBefore w:val="0"/>
        <w:spacing w:before="0" w:after="0" w:line="400" w:lineRule="exact"/>
        <w:widowControl w:val="off"/>
        <w:rPr>
          <w:rFonts w:hint="eastAsia" w:ascii="方正仿宋_GBK" w:hAnsi="方正仿宋_GBK" w:eastAsia="方正仿宋_GBK" w:cs="方正仿宋_GBK"/>
          <w:b/>
          <w:bCs/>
          <w:sz w:val="28"/>
          <w:szCs w:val="28"/>
          <w:highlight w:val="none"/>
        </w:rPr>
        <w:outlineLvl w:val="2"/>
      </w:pPr>
      <w:r/>
      <w:bookmarkStart w:id="180" w:name="heading_19"/>
      <w:r>
        <w:rPr>
          <w:rFonts w:hint="eastAsia" w:ascii="方正仿宋_GBK" w:hAnsi="方正仿宋_GBK" w:eastAsia="方正仿宋_GBK" w:cs="方正仿宋_GBK"/>
          <w:b/>
          <w:bCs/>
          <w:sz w:val="28"/>
          <w:szCs w:val="28"/>
          <w:highlight w:val="none"/>
          <w:lang w:val="en-US" w:eastAsia="zh-CN"/>
        </w:rPr>
        <w:t xml:space="preserve">3.3</w:t>
      </w:r>
      <w:r>
        <w:rPr>
          <w:rFonts w:hint="eastAsia" w:ascii="方正仿宋_GBK" w:hAnsi="方正仿宋_GBK" w:eastAsia="方正仿宋_GBK" w:cs="方正仿宋_GBK"/>
          <w:b/>
          <w:bCs/>
          <w:sz w:val="28"/>
          <w:szCs w:val="28"/>
          <w:highlight w:val="none"/>
        </w:rPr>
        <w:t xml:space="preserve">知识图谱可视化交互功能</w:t>
      </w:r>
      <w:bookmarkEnd w:id="180"/>
      <w:r/>
      <w:r/>
    </w:p>
    <w:p>
      <w:pPr>
        <w:ind w:left="0" w:firstLine="420"/>
        <w:jc w:val="left"/>
        <w:keepLines w:val="0"/>
        <w:keepNext w:val="0"/>
        <w:pageBreakBefore w:val="0"/>
        <w:spacing w:before="0" w:after="0" w:line="400" w:lineRule="exact"/>
        <w:widowControl w:val="off"/>
        <w:rPr>
          <w:rFonts w:hint="eastAsia" w:ascii="方正仿宋_GBK" w:hAnsi="方正仿宋_GBK" w:eastAsia="方正仿宋_GBK" w:cs="方正仿宋_GBK"/>
          <w:b/>
          <w:bCs/>
          <w:sz w:val="28"/>
          <w:szCs w:val="28"/>
          <w:highlight w:val="none"/>
        </w:rPr>
        <w:outlineLvl w:val="3"/>
      </w:pPr>
      <w:r/>
      <w:bookmarkStart w:id="181" w:name="heading_20"/>
      <w:r>
        <w:rPr>
          <w:rFonts w:hint="eastAsia" w:ascii="方正仿宋_GBK" w:hAnsi="方正仿宋_GBK" w:eastAsia="方正仿宋_GBK" w:cs="方正仿宋_GBK"/>
          <w:b/>
          <w:bCs/>
          <w:sz w:val="28"/>
          <w:szCs w:val="28"/>
          <w:highlight w:val="none"/>
          <w:lang w:val="en-US" w:eastAsia="zh-CN"/>
        </w:rPr>
        <w:t xml:space="preserve">3.3.1</w:t>
      </w:r>
      <w:r>
        <w:rPr>
          <w:rFonts w:hint="eastAsia" w:ascii="方正仿宋_GBK" w:hAnsi="方正仿宋_GBK" w:eastAsia="方正仿宋_GBK" w:cs="方正仿宋_GBK"/>
          <w:b/>
          <w:bCs/>
          <w:sz w:val="28"/>
          <w:szCs w:val="28"/>
          <w:highlight w:val="none"/>
        </w:rPr>
        <w:t xml:space="preserve">功能要求</w:t>
      </w:r>
      <w:bookmarkEnd w:id="181"/>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lang w:val="en-US" w:eastAsia="zh-CN"/>
        </w:rPr>
        <w:t xml:space="preserve">1</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rPr>
        <w:t xml:space="preserve">▲</w:t>
      </w:r>
      <w:r>
        <w:rPr>
          <w:rFonts w:hint="eastAsia" w:ascii="方正仿宋_GBK" w:hAnsi="方正仿宋_GBK" w:eastAsia="方正仿宋_GBK" w:cs="方正仿宋_GBK"/>
          <w:b w:val="0"/>
          <w:bCs w:val="0"/>
          <w:sz w:val="28"/>
          <w:szCs w:val="28"/>
          <w:highlight w:val="none"/>
        </w:rPr>
        <w:t xml:space="preserve">图谱可视化展示：</w:t>
      </w:r>
      <w:r>
        <w:rPr>
          <w:rFonts w:hint="eastAsia" w:ascii="方正仿宋_GBK" w:hAnsi="方正仿宋_GBK" w:eastAsia="方正仿宋_GBK" w:cs="方正仿宋_GBK"/>
          <w:sz w:val="28"/>
          <w:szCs w:val="28"/>
          <w:highlight w:val="none"/>
        </w:rPr>
        <w:t xml:space="preserve">支持全图浏览、聚焦节点、放大缩小、平移、全屏；支持节点 / 关系自定义颜色、图标、大小；支持一键布局、层级展开 / 收缩、隐藏无关节点。</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提供</w:t>
      </w:r>
      <w:r>
        <w:rPr>
          <w:rFonts w:hint="eastAsia" w:ascii="方正仿宋_GBK" w:hAnsi="方正仿宋_GBK" w:eastAsia="方正仿宋_GBK" w:cs="方正仿宋_GBK"/>
          <w:sz w:val="28"/>
          <w:szCs w:val="28"/>
          <w:highlight w:val="none"/>
        </w:rPr>
        <w:t xml:space="preserve">同类项目类似功能的系统截图</w:t>
      </w:r>
      <w:r>
        <w:rPr>
          <w:rFonts w:hint="eastAsia" w:ascii="方正仿宋_GBK" w:hAnsi="方正仿宋_GBK" w:eastAsia="方正仿宋_GBK" w:cs="方正仿宋_GBK"/>
          <w:sz w:val="28"/>
          <w:szCs w:val="28"/>
          <w:highlight w:val="none"/>
          <w:lang w:eastAsia="zh-CN"/>
        </w:rPr>
        <w:t xml:space="preserve">）</w:t>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lang w:val="en-US" w:eastAsia="zh-CN"/>
        </w:rPr>
        <w:t xml:space="preserve">2</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rPr>
        <w:t xml:space="preserve">▲</w:t>
      </w:r>
      <w:r>
        <w:rPr>
          <w:rFonts w:hint="eastAsia" w:ascii="方正仿宋_GBK" w:hAnsi="方正仿宋_GBK" w:eastAsia="方正仿宋_GBK" w:cs="方正仿宋_GBK"/>
          <w:b w:val="0"/>
          <w:bCs w:val="0"/>
          <w:sz w:val="28"/>
          <w:szCs w:val="28"/>
          <w:highlight w:val="none"/>
        </w:rPr>
        <w:t xml:space="preserve">多维度检索查询：</w:t>
      </w:r>
      <w:r>
        <w:rPr>
          <w:rFonts w:hint="eastAsia" w:ascii="方正仿宋_GBK" w:hAnsi="方正仿宋_GBK" w:eastAsia="方正仿宋_GBK" w:cs="方正仿宋_GBK"/>
          <w:sz w:val="28"/>
          <w:szCs w:val="28"/>
          <w:highlight w:val="none"/>
        </w:rPr>
        <w:t xml:space="preserve">支持关键词检索、实体检索、关系检索、属性检索；支持按学科、项目、运动员、指标等多维度筛选；支持检索结果高亮定位、快速聚焦图谱。</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提供</w:t>
      </w:r>
      <w:r>
        <w:rPr>
          <w:rFonts w:hint="eastAsia" w:ascii="方正仿宋_GBK" w:hAnsi="方正仿宋_GBK" w:eastAsia="方正仿宋_GBK" w:cs="方正仿宋_GBK"/>
          <w:sz w:val="28"/>
          <w:szCs w:val="28"/>
          <w:highlight w:val="none"/>
        </w:rPr>
        <w:t xml:space="preserve">同类项目类似功能的系统截图</w:t>
      </w:r>
      <w:r>
        <w:rPr>
          <w:rFonts w:hint="eastAsia" w:ascii="方正仿宋_GBK" w:hAnsi="方正仿宋_GBK" w:eastAsia="方正仿宋_GBK" w:cs="方正仿宋_GBK"/>
          <w:sz w:val="28"/>
          <w:szCs w:val="28"/>
          <w:highlight w:val="none"/>
          <w:lang w:eastAsia="zh-CN"/>
        </w:rPr>
        <w:t xml:space="preserve">）</w:t>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lang w:val="en-US" w:eastAsia="zh-CN"/>
        </w:rPr>
        <w:t xml:space="preserve">3</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rPr>
        <w:t xml:space="preserve">▲</w:t>
      </w:r>
      <w:r>
        <w:rPr>
          <w:rFonts w:hint="eastAsia" w:ascii="方正仿宋_GBK" w:hAnsi="方正仿宋_GBK" w:eastAsia="方正仿宋_GBK" w:cs="方正仿宋_GBK"/>
          <w:b w:val="0"/>
          <w:bCs w:val="0"/>
          <w:sz w:val="28"/>
          <w:szCs w:val="28"/>
          <w:highlight w:val="none"/>
        </w:rPr>
        <w:t xml:space="preserve">图谱导出与共享：</w:t>
      </w:r>
      <w:r>
        <w:rPr>
          <w:rFonts w:hint="eastAsia" w:ascii="方正仿宋_GBK" w:hAnsi="方正仿宋_GBK" w:eastAsia="方正仿宋_GBK" w:cs="方正仿宋_GBK"/>
          <w:sz w:val="28"/>
          <w:szCs w:val="28"/>
          <w:highlight w:val="none"/>
        </w:rPr>
        <w:t xml:space="preserve">支持图谱图片导出、数据导出、嵌入链接共享</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提供</w:t>
      </w:r>
      <w:r>
        <w:rPr>
          <w:rFonts w:hint="eastAsia" w:ascii="方正仿宋_GBK" w:hAnsi="方正仿宋_GBK" w:eastAsia="方正仿宋_GBK" w:cs="方正仿宋_GBK"/>
          <w:sz w:val="28"/>
          <w:szCs w:val="28"/>
          <w:highlight w:val="none"/>
        </w:rPr>
        <w:t xml:space="preserve">同类项目类似功能的系统截图</w:t>
      </w:r>
      <w:r>
        <w:rPr>
          <w:rFonts w:hint="eastAsia" w:ascii="方正仿宋_GBK" w:hAnsi="方正仿宋_GBK" w:eastAsia="方正仿宋_GBK" w:cs="方正仿宋_GBK"/>
          <w:sz w:val="28"/>
          <w:szCs w:val="28"/>
          <w:highlight w:val="none"/>
          <w:lang w:eastAsia="zh-CN"/>
        </w:rPr>
        <w:t xml:space="preserve">）</w:t>
      </w:r>
      <w:r/>
    </w:p>
    <w:p>
      <w:pPr>
        <w:numPr>
          <w:ilvl w:val="0"/>
          <w:numId w:val="0"/>
        </w:numPr>
        <w:ind w:left="0" w:firstLine="562"/>
        <w:jc w:val="left"/>
        <w:keepLines w:val="0"/>
        <w:keepNext w:val="0"/>
        <w:pageBreakBefore w:val="0"/>
        <w:spacing w:before="0" w:after="0" w:line="400" w:lineRule="exact"/>
        <w:widowControl w:val="off"/>
        <w:rPr>
          <w:rFonts w:hint="eastAsia" w:ascii="方正仿宋_GBK" w:hAnsi="方正仿宋_GBK" w:eastAsia="方正仿宋_GBK" w:cs="方正仿宋_GBK"/>
          <w:b/>
          <w:bCs/>
          <w:color w:val="000000"/>
          <w:sz w:val="28"/>
          <w:szCs w:val="28"/>
          <w:highlight w:val="none"/>
        </w:rPr>
        <w:outlineLvl w:val="9"/>
      </w:pPr>
      <w:r/>
      <w:bookmarkStart w:id="182" w:name="heading_21"/>
      <w:r>
        <w:rPr>
          <w:rFonts w:hint="eastAsia" w:ascii="方正仿宋_GBK" w:hAnsi="方正仿宋_GBK" w:eastAsia="方正仿宋_GBK" w:cs="方正仿宋_GBK"/>
          <w:b/>
          <w:bCs/>
          <w:sz w:val="28"/>
          <w:szCs w:val="28"/>
          <w:highlight w:val="none"/>
          <w:lang w:val="en-US" w:eastAsia="zh-CN"/>
        </w:rPr>
        <w:t xml:space="preserve">3.</w:t>
      </w:r>
      <w:r>
        <w:rPr>
          <w:rFonts w:hint="eastAsia" w:ascii="方正仿宋_GBK" w:hAnsi="方正仿宋_GBK" w:eastAsia="方正仿宋_GBK" w:cs="方正仿宋_GBK"/>
          <w:b/>
          <w:bCs/>
          <w:color w:val="000000"/>
          <w:sz w:val="28"/>
          <w:szCs w:val="28"/>
          <w:highlight w:val="none"/>
          <w:lang w:val="en-US" w:eastAsia="zh-CN"/>
        </w:rPr>
        <w:t xml:space="preserve">3.2</w:t>
      </w:r>
      <w:r>
        <w:rPr>
          <w:rFonts w:hint="eastAsia" w:ascii="方正仿宋_GBK" w:hAnsi="方正仿宋_GBK" w:eastAsia="方正仿宋_GBK" w:cs="方正仿宋_GBK"/>
          <w:b/>
          <w:bCs/>
          <w:color w:val="000000"/>
          <w:sz w:val="28"/>
          <w:szCs w:val="28"/>
          <w:highlight w:val="none"/>
        </w:rPr>
        <w:t xml:space="preserve">技术参数</w:t>
      </w:r>
      <w:bookmarkEnd w:id="182"/>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lang w:val="en-US" w:eastAsia="zh-CN"/>
        </w:rPr>
        <w:t xml:space="preserve">1</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rPr>
        <w:t xml:space="preserve">可视化图谱操作：</w:t>
      </w:r>
      <w:r>
        <w:rPr>
          <w:rFonts w:hint="eastAsia" w:ascii="方正仿宋_GBK" w:hAnsi="方正仿宋_GBK" w:eastAsia="方正仿宋_GBK" w:cs="方正仿宋_GBK"/>
          <w:color w:val="000000"/>
          <w:sz w:val="28"/>
          <w:szCs w:val="28"/>
          <w:highlight w:val="none"/>
        </w:rPr>
        <w:t xml:space="preserve">支持图谱节点、关系拖拽调整，自定义颜色标注，以及层级展开 / 收缩操作，直观呈现知识关联逻辑。</w:t>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lang w:val="en-US" w:eastAsia="zh-CN"/>
        </w:rPr>
        <w:t xml:space="preserve">2</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rPr>
        <w:t xml:space="preserve">多维度图谱筛选：</w:t>
      </w:r>
      <w:r>
        <w:rPr>
          <w:rFonts w:hint="eastAsia" w:ascii="方正仿宋_GBK" w:hAnsi="方正仿宋_GBK" w:eastAsia="方正仿宋_GBK" w:cs="方正仿宋_GBK"/>
          <w:color w:val="000000"/>
          <w:sz w:val="28"/>
          <w:szCs w:val="28"/>
          <w:highlight w:val="none"/>
        </w:rPr>
        <w:t xml:space="preserve">可按学科、运动项目、运动员等维度快速筛选图谱视图，精准定位目标知识内容，提升知识检索效率。</w:t>
      </w:r>
      <w:r/>
    </w:p>
    <w:p>
      <w:pPr>
        <w:ind w:firstLine="420"/>
        <w:jc w:val="left"/>
        <w:keepLines w:val="0"/>
        <w:keepNext w:val="0"/>
        <w:pageBreakBefore w:val="0"/>
        <w:spacing w:before="0" w:after="0" w:line="400" w:lineRule="exact"/>
        <w:widowControl w:val="off"/>
        <w:rPr>
          <w:rFonts w:hint="eastAsia" w:ascii="方正仿宋_GBK" w:hAnsi="方正仿宋_GBK" w:eastAsia="方正仿宋_GBK" w:cs="方正仿宋_GBK"/>
          <w:b/>
          <w:bCs/>
          <w:color w:val="000000"/>
          <w:sz w:val="28"/>
          <w:szCs w:val="28"/>
          <w:highlight w:val="none"/>
        </w:rPr>
        <w:outlineLvl w:val="1"/>
      </w:pPr>
      <w:r/>
      <w:bookmarkStart w:id="183" w:name="heading_22"/>
      <w:r>
        <w:rPr>
          <w:rFonts w:hint="eastAsia" w:ascii="方正仿宋_GBK" w:hAnsi="方正仿宋_GBK" w:eastAsia="方正仿宋_GBK" w:cs="方正仿宋_GBK"/>
          <w:b/>
          <w:bCs/>
          <w:color w:val="000000"/>
          <w:sz w:val="28"/>
          <w:szCs w:val="28"/>
          <w:highlight w:val="none"/>
          <w:lang w:val="en-US" w:eastAsia="zh-CN"/>
        </w:rPr>
        <w:t xml:space="preserve">4</w:t>
      </w:r>
      <w:r>
        <w:rPr>
          <w:rFonts w:hint="eastAsia" w:ascii="方正仿宋_GBK" w:hAnsi="方正仿宋_GBK" w:eastAsia="方正仿宋_GBK" w:cs="方正仿宋_GBK"/>
          <w:b/>
          <w:bCs/>
          <w:color w:val="000000"/>
          <w:sz w:val="28"/>
          <w:szCs w:val="28"/>
          <w:highlight w:val="none"/>
        </w:rPr>
        <w:t xml:space="preserve">垂直领域高质量数据集建设</w:t>
      </w:r>
      <w:bookmarkEnd w:id="183"/>
      <w:r/>
      <w:r/>
    </w:p>
    <w:p>
      <w:pPr>
        <w:ind w:left="0" w:firstLine="560"/>
        <w:jc w:val="left"/>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围绕体科所竞技体育科研专属场景，建设垂直领域标准化、高质量数据集，所有数据集仅用于支撑</w:t>
      </w:r>
      <w:r>
        <w:rPr>
          <w:rFonts w:hint="eastAsia" w:ascii="方正仿宋_GBK" w:hAnsi="方正仿宋_GBK" w:eastAsia="方正仿宋_GBK" w:cs="方正仿宋_GBK"/>
          <w:sz w:val="28"/>
          <w:szCs w:val="28"/>
          <w:highlight w:val="none"/>
        </w:rPr>
        <w:t xml:space="preserve">对应体育垂直大模型的训练、微调与推理工作，不依托平台实现智能化业务功能。数据集整体具备合规安全、高精准、低噪声、强适配、可迭代的特性，为体育科研大模型研发提供专业数据支撑。</w:t>
      </w:r>
      <w:r/>
    </w:p>
    <w:p>
      <w:pPr>
        <w:ind w:left="0" w:firstLine="420"/>
        <w:jc w:val="left"/>
        <w:keepLines w:val="0"/>
        <w:keepNext w:val="0"/>
        <w:pageBreakBefore w:val="0"/>
        <w:spacing w:before="0" w:after="0" w:line="400" w:lineRule="exact"/>
        <w:widowControl w:val="off"/>
        <w:rPr>
          <w:rFonts w:hint="eastAsia" w:ascii="方正仿宋_GBK" w:hAnsi="方正仿宋_GBK" w:eastAsia="方正仿宋_GBK" w:cs="方正仿宋_GBK"/>
          <w:b/>
          <w:bCs/>
          <w:sz w:val="28"/>
          <w:szCs w:val="28"/>
          <w:highlight w:val="none"/>
        </w:rPr>
        <w:outlineLvl w:val="2"/>
      </w:pPr>
      <w:r/>
      <w:bookmarkStart w:id="184" w:name="heading_23"/>
      <w:r>
        <w:rPr>
          <w:rFonts w:hint="eastAsia" w:ascii="方正仿宋_GBK" w:hAnsi="方正仿宋_GBK" w:eastAsia="方正仿宋_GBK" w:cs="方正仿宋_GBK"/>
          <w:b/>
          <w:bCs/>
          <w:sz w:val="28"/>
          <w:szCs w:val="28"/>
          <w:highlight w:val="none"/>
          <w:lang w:val="en-US" w:eastAsia="zh-CN"/>
        </w:rPr>
        <w:t xml:space="preserve">4.1高质量数据管理</w:t>
      </w:r>
      <w:r>
        <w:rPr>
          <w:rFonts w:hint="eastAsia" w:ascii="方正仿宋_GBK" w:hAnsi="方正仿宋_GBK" w:eastAsia="方正仿宋_GBK" w:cs="方正仿宋_GBK"/>
          <w:b/>
          <w:bCs/>
          <w:sz w:val="28"/>
          <w:szCs w:val="28"/>
          <w:highlight w:val="none"/>
        </w:rPr>
        <w:t xml:space="preserve">功能与质量要求</w:t>
      </w:r>
      <w:bookmarkEnd w:id="184"/>
      <w:r/>
      <w:r/>
    </w:p>
    <w:p>
      <w:pPr>
        <w:ind w:left="0" w:firstLine="420"/>
        <w:jc w:val="left"/>
        <w:keepLines w:val="0"/>
        <w:keepNext w:val="0"/>
        <w:pageBreakBefore w:val="0"/>
        <w:spacing w:before="0" w:after="0" w:line="400" w:lineRule="exact"/>
        <w:widowControl w:val="off"/>
        <w:rPr>
          <w:rFonts w:hint="eastAsia" w:ascii="方正仿宋_GBK" w:hAnsi="方正仿宋_GBK" w:eastAsia="方正仿宋_GBK" w:cs="方正仿宋_GBK"/>
          <w:b/>
          <w:bCs/>
          <w:sz w:val="28"/>
          <w:szCs w:val="28"/>
          <w:highlight w:val="none"/>
        </w:rPr>
        <w:outlineLvl w:val="3"/>
      </w:pPr>
      <w:r/>
      <w:bookmarkStart w:id="185" w:name="heading_24"/>
      <w:r>
        <w:rPr>
          <w:rFonts w:hint="eastAsia" w:ascii="方正仿宋_GBK" w:hAnsi="方正仿宋_GBK" w:eastAsia="方正仿宋_GBK" w:cs="方正仿宋_GBK"/>
          <w:b/>
          <w:bCs/>
          <w:sz w:val="28"/>
          <w:szCs w:val="28"/>
          <w:highlight w:val="none"/>
          <w:lang w:val="en-US" w:eastAsia="zh-CN"/>
        </w:rPr>
        <w:t xml:space="preserve">4.1.1</w:t>
      </w:r>
      <w:r>
        <w:rPr>
          <w:rFonts w:hint="eastAsia" w:ascii="方正仿宋_GBK" w:hAnsi="方正仿宋_GBK" w:eastAsia="方正仿宋_GBK" w:cs="方正仿宋_GBK"/>
          <w:b/>
          <w:bCs/>
          <w:sz w:val="28"/>
          <w:szCs w:val="28"/>
          <w:highlight w:val="none"/>
        </w:rPr>
        <w:t xml:space="preserve">功能要求</w:t>
      </w:r>
      <w:bookmarkEnd w:id="185"/>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lang w:val="en-US" w:eastAsia="zh-CN"/>
        </w:rPr>
        <w:t xml:space="preserve">1</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rPr>
        <w:t xml:space="preserve">▲</w:t>
      </w:r>
      <w:r>
        <w:rPr>
          <w:rFonts w:hint="eastAsia" w:ascii="方正仿宋_GBK" w:hAnsi="方正仿宋_GBK" w:eastAsia="方正仿宋_GBK" w:cs="方正仿宋_GBK"/>
          <w:b w:val="0"/>
          <w:bCs w:val="0"/>
          <w:sz w:val="28"/>
          <w:szCs w:val="28"/>
          <w:highlight w:val="none"/>
        </w:rPr>
        <w:t xml:space="preserve">高质量数据集管理：</w:t>
      </w:r>
      <w:r>
        <w:rPr>
          <w:rFonts w:hint="eastAsia" w:ascii="方正仿宋_GBK" w:hAnsi="方正仿宋_GBK" w:eastAsia="方正仿宋_GBK" w:cs="方正仿宋_GBK"/>
          <w:sz w:val="28"/>
          <w:szCs w:val="28"/>
          <w:highlight w:val="none"/>
        </w:rPr>
        <w:t xml:space="preserve">支持数据集创建、命名、分类、标签、版本管理；支持数据集详情查看</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提供</w:t>
      </w:r>
      <w:r>
        <w:rPr>
          <w:rFonts w:hint="eastAsia" w:ascii="方正仿宋_GBK" w:hAnsi="方正仿宋_GBK" w:eastAsia="方正仿宋_GBK" w:cs="方正仿宋_GBK"/>
          <w:sz w:val="28"/>
          <w:szCs w:val="28"/>
          <w:highlight w:val="none"/>
        </w:rPr>
        <w:t xml:space="preserve">同类项目类似功能的系统截图</w:t>
      </w:r>
      <w:r>
        <w:rPr>
          <w:rFonts w:hint="eastAsia" w:ascii="方正仿宋_GBK" w:hAnsi="方正仿宋_GBK" w:eastAsia="方正仿宋_GBK" w:cs="方正仿宋_GBK"/>
          <w:sz w:val="28"/>
          <w:szCs w:val="28"/>
          <w:highlight w:val="none"/>
          <w:lang w:eastAsia="zh-CN"/>
        </w:rPr>
        <w:t xml:space="preserve">）</w:t>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lang w:val="en-US" w:eastAsia="zh-CN"/>
        </w:rPr>
        <w:t xml:space="preserve">2</w:t>
      </w: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rPr>
        <w:t xml:space="preserve">数据集权限与共享：</w:t>
      </w:r>
      <w:r>
        <w:rPr>
          <w:rFonts w:hint="eastAsia" w:ascii="方正仿宋_GBK" w:hAnsi="方正仿宋_GBK" w:eastAsia="方正仿宋_GBK" w:cs="方正仿宋_GBK"/>
          <w:sz w:val="28"/>
          <w:szCs w:val="28"/>
          <w:highlight w:val="none"/>
        </w:rPr>
        <w:t xml:space="preserve">支持数据集查看、下载、导出权限控制；支持数据集申请、审批、授权；支持数据集离线交付、在线接口调用配置、访问日志审计。</w:t>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val="0"/>
          <w:color w:val="000000"/>
          <w:sz w:val="28"/>
          <w:szCs w:val="28"/>
          <w:highlight w:val="none"/>
          <w:lang w:eastAsia="zh-CN"/>
        </w:rPr>
        <w:t xml:space="preserve">（</w:t>
      </w:r>
      <w:r>
        <w:rPr>
          <w:rFonts w:hint="eastAsia" w:ascii="方正仿宋_GBK" w:hAnsi="方正仿宋_GBK" w:eastAsia="方正仿宋_GBK" w:cs="方正仿宋_GBK"/>
          <w:bCs w:val="0"/>
          <w:color w:val="000000"/>
          <w:sz w:val="28"/>
          <w:szCs w:val="28"/>
          <w:highlight w:val="none"/>
          <w:lang w:val="en-US" w:eastAsia="zh-CN"/>
        </w:rPr>
        <w:t xml:space="preserve">3</w:t>
      </w:r>
      <w:r>
        <w:rPr>
          <w:rFonts w:hint="eastAsia" w:ascii="方正仿宋_GBK" w:hAnsi="方正仿宋_GBK" w:eastAsia="方正仿宋_GBK" w:cs="方正仿宋_GBK"/>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rPr>
        <w:t xml:space="preserve">▲</w:t>
      </w:r>
      <w:r>
        <w:rPr>
          <w:rFonts w:hint="eastAsia" w:ascii="方正仿宋_GBK" w:hAnsi="方正仿宋_GBK" w:eastAsia="方正仿宋_GBK" w:cs="方正仿宋_GBK"/>
          <w:b w:val="0"/>
          <w:bCs w:val="0"/>
          <w:sz w:val="28"/>
          <w:szCs w:val="28"/>
          <w:highlight w:val="none"/>
        </w:rPr>
        <w:t xml:space="preserve">数据集质量评估：</w:t>
      </w:r>
      <w:r>
        <w:rPr>
          <w:rFonts w:hint="eastAsia" w:ascii="方正仿宋_GBK" w:hAnsi="方正仿宋_GBK" w:eastAsia="方正仿宋_GBK" w:cs="方正仿宋_GBK"/>
          <w:sz w:val="28"/>
          <w:szCs w:val="28"/>
          <w:highlight w:val="none"/>
        </w:rPr>
        <w:t xml:space="preserve">支持自动化质量评分（合规、完整、准确、一致、时效、低噪）；支持生成质量报告、问题明细、整改建议；支持质量版本对比、质量趋势分析。</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提供</w:t>
      </w:r>
      <w:r>
        <w:rPr>
          <w:rFonts w:hint="eastAsia" w:ascii="方正仿宋_GBK" w:hAnsi="方正仿宋_GBK" w:eastAsia="方正仿宋_GBK" w:cs="方正仿宋_GBK"/>
          <w:sz w:val="28"/>
          <w:szCs w:val="28"/>
          <w:highlight w:val="none"/>
        </w:rPr>
        <w:t xml:space="preserve">同类项目类似功能的系统截图</w:t>
      </w:r>
      <w:r>
        <w:rPr>
          <w:rFonts w:hint="eastAsia" w:ascii="方正仿宋_GBK" w:hAnsi="方正仿宋_GBK" w:eastAsia="方正仿宋_GBK" w:cs="方正仿宋_GBK"/>
          <w:sz w:val="28"/>
          <w:szCs w:val="28"/>
          <w:highlight w:val="none"/>
          <w:lang w:eastAsia="zh-CN"/>
        </w:rPr>
        <w:t xml:space="preserve">）</w:t>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lang w:val="en-US" w:eastAsia="zh-CN"/>
        </w:rPr>
        <w:t xml:space="preserve">4</w:t>
      </w: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rPr>
        <w:t xml:space="preserve">数据集更新管理：</w:t>
      </w:r>
      <w:r>
        <w:rPr>
          <w:rFonts w:hint="eastAsia" w:ascii="方正仿宋_GBK" w:hAnsi="方正仿宋_GBK" w:eastAsia="方正仿宋_GBK" w:cs="方正仿宋_GBK"/>
          <w:sz w:val="28"/>
          <w:szCs w:val="28"/>
          <w:highlight w:val="none"/>
        </w:rPr>
        <w:t xml:space="preserve">支持增量更新、批量定时更新、版本迭代；支持更新内容校验、更新记录追溯、历史版本回溯；支持更新后自动触发质量重评。</w:t>
      </w:r>
      <w:r/>
    </w:p>
    <w:p>
      <w:pPr>
        <w:ind w:left="0" w:firstLine="420"/>
        <w:jc w:val="left"/>
        <w:keepLines w:val="0"/>
        <w:keepNext w:val="0"/>
        <w:pageBreakBefore w:val="0"/>
        <w:spacing w:before="0" w:after="0" w:line="400" w:lineRule="exact"/>
        <w:widowControl w:val="off"/>
        <w:rPr>
          <w:rFonts w:hint="eastAsia" w:ascii="方正仿宋_GBK" w:hAnsi="方正仿宋_GBK" w:eastAsia="方正仿宋_GBK" w:cs="方正仿宋_GBK"/>
          <w:b/>
          <w:bCs/>
          <w:sz w:val="28"/>
          <w:szCs w:val="28"/>
          <w:highlight w:val="none"/>
        </w:rPr>
        <w:outlineLvl w:val="3"/>
      </w:pPr>
      <w:r/>
      <w:bookmarkStart w:id="186" w:name="heading_25"/>
      <w:r>
        <w:rPr>
          <w:rFonts w:hint="eastAsia" w:ascii="方正仿宋_GBK" w:hAnsi="方正仿宋_GBK" w:eastAsia="方正仿宋_GBK" w:cs="方正仿宋_GBK"/>
          <w:b/>
          <w:bCs/>
          <w:sz w:val="28"/>
          <w:szCs w:val="28"/>
          <w:highlight w:val="none"/>
          <w:lang w:val="en-US" w:eastAsia="zh-CN"/>
        </w:rPr>
        <w:t xml:space="preserve">4.1.2</w:t>
      </w:r>
      <w:r>
        <w:rPr>
          <w:rFonts w:hint="eastAsia" w:ascii="方正仿宋_GBK" w:hAnsi="方正仿宋_GBK" w:eastAsia="方正仿宋_GBK" w:cs="方正仿宋_GBK"/>
          <w:b/>
          <w:bCs/>
          <w:sz w:val="28"/>
          <w:szCs w:val="28"/>
          <w:highlight w:val="none"/>
        </w:rPr>
        <w:t xml:space="preserve">技术参数</w:t>
      </w:r>
      <w:bookmarkEnd w:id="186"/>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lang w:val="en-US" w:eastAsia="zh-CN"/>
        </w:rPr>
        <w:t xml:space="preserve">1</w:t>
      </w: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rPr>
        <w:t xml:space="preserve">数据合规安全：所有数据集严格遵循《数据安全法》《个人信息保护法》，数据来源为体科所正规科研实测数据、专项训练案例、权威诊疗记录、科研档案等，数据真实有效，无虚假、无效、冗余数据，符合体育科研数据保密规范。</w:t>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lang w:val="en-US" w:eastAsia="zh-CN"/>
        </w:rPr>
        <w:t xml:space="preserve">2</w:t>
      </w: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rPr>
        <w:t xml:space="preserve">数据质量标准：完成全流程数据清洗、脱敏、降噪、标注、结构化处理，适配体育垂直大模型微调与推理场景，保障数据质量与可用性。</w:t>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lang w:val="en-US" w:eastAsia="zh-CN"/>
        </w:rPr>
        <w:t xml:space="preserve">3</w:t>
      </w: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rPr>
        <w:t xml:space="preserve">数据格式规范：数据集采用 CSV、JSON、Parquet 等通用标准格式，附带完整数据说明文档，包含字段定义、数据来源、采集时间、质量说明、使用规范等核心内容，便于数据复用与模型训练。</w:t>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lang w:val="en-US" w:eastAsia="zh-CN"/>
        </w:rPr>
        <w:t xml:space="preserve">4</w:t>
      </w: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rPr>
        <w:t xml:space="preserve">数据更新机制：支持数据集实时更新、批量定时更新，适配体育科研数据迭代、模型优化的动态需求。</w:t>
      </w:r>
      <w:r/>
    </w:p>
    <w:p>
      <w:pPr>
        <w:numPr>
          <w:ilvl w:val="0"/>
          <w:numId w:val="0"/>
        </w:numPr>
        <w:ind w:firstLine="560"/>
        <w:jc w:val="left"/>
        <w:keepLines w:val="0"/>
        <w:keepNext w:val="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lang w:val="en-US" w:eastAsia="zh-CN"/>
        </w:rPr>
        <w:t xml:space="preserve">5</w:t>
      </w: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rPr>
        <w:t xml:space="preserve">数据集交付：完整交付标注数据集、配套数据文档、元数据，支持离线交付、在线接口调用两种交付方式，满足大模型研发使用需求。</w:t>
      </w:r>
      <w:r/>
    </w:p>
    <w:p>
      <w:pPr>
        <w:ind w:firstLine="420"/>
        <w:jc w:val="left"/>
        <w:keepLines w:val="0"/>
        <w:keepNext w:val="0"/>
        <w:pageBreakBefore w:val="0"/>
        <w:spacing w:before="0" w:after="0" w:line="400" w:lineRule="exact"/>
        <w:widowControl w:val="off"/>
        <w:rPr>
          <w:rFonts w:hint="eastAsia" w:ascii="方正仿宋_GBK" w:hAnsi="方正仿宋_GBK" w:eastAsia="方正仿宋_GBK" w:cs="方正仿宋_GBK"/>
          <w:b/>
          <w:bCs/>
          <w:sz w:val="28"/>
          <w:szCs w:val="28"/>
          <w:highlight w:val="none"/>
        </w:rPr>
        <w:outlineLvl w:val="2"/>
      </w:pPr>
      <w:r/>
      <w:bookmarkStart w:id="187" w:name="heading_26"/>
      <w:r>
        <w:rPr>
          <w:rFonts w:hint="eastAsia" w:ascii="方正仿宋_GBK" w:hAnsi="方正仿宋_GBK" w:eastAsia="方正仿宋_GBK" w:cs="方正仿宋_GBK"/>
          <w:b/>
          <w:bCs/>
          <w:sz w:val="28"/>
          <w:szCs w:val="28"/>
          <w:highlight w:val="none"/>
          <w:lang w:val="en-US" w:eastAsia="zh-CN"/>
        </w:rPr>
        <w:t xml:space="preserve">4.2</w:t>
      </w:r>
      <w:r>
        <w:rPr>
          <w:rFonts w:hint="eastAsia" w:ascii="方正仿宋_GBK" w:hAnsi="方正仿宋_GBK" w:eastAsia="方正仿宋_GBK" w:cs="方正仿宋_GBK"/>
          <w:b/>
          <w:bCs/>
          <w:sz w:val="28"/>
          <w:szCs w:val="28"/>
          <w:highlight w:val="none"/>
        </w:rPr>
        <w:t xml:space="preserve">分场景高质量数据集建设</w:t>
      </w:r>
      <w:bookmarkEnd w:id="187"/>
      <w:r/>
      <w:r/>
    </w:p>
    <w:p>
      <w:pPr>
        <w:ind w:left="0" w:firstLine="420"/>
        <w:jc w:val="left"/>
        <w:keepLines w:val="0"/>
        <w:keepNext w:val="0"/>
        <w:pageBreakBefore w:val="0"/>
        <w:spacing w:before="0" w:after="0" w:line="400" w:lineRule="exact"/>
        <w:widowControl w:val="off"/>
        <w:rPr>
          <w:rFonts w:hint="eastAsia" w:ascii="方正仿宋_GBK" w:hAnsi="方正仿宋_GBK" w:eastAsia="方正仿宋_GBK" w:cs="方正仿宋_GBK"/>
          <w:b/>
          <w:bCs/>
          <w:sz w:val="28"/>
          <w:szCs w:val="28"/>
          <w:highlight w:val="none"/>
        </w:rPr>
        <w:outlineLvl w:val="3"/>
      </w:pPr>
      <w:r/>
      <w:bookmarkStart w:id="188" w:name="heading_39"/>
      <w:r/>
      <w:bookmarkStart w:id="189" w:name="heading_27"/>
      <w:r>
        <w:rPr>
          <w:rFonts w:hint="eastAsia" w:ascii="方正仿宋_GBK" w:hAnsi="方正仿宋_GBK" w:eastAsia="方正仿宋_GBK" w:cs="方正仿宋_GBK"/>
          <w:b/>
          <w:bCs/>
          <w:sz w:val="28"/>
          <w:szCs w:val="28"/>
          <w:highlight w:val="none"/>
          <w:lang w:val="en-US" w:eastAsia="zh-CN"/>
        </w:rPr>
        <w:t xml:space="preserve">4.2.1</w:t>
      </w:r>
      <w:r>
        <w:rPr>
          <w:rFonts w:hint="eastAsia" w:ascii="方正仿宋_GBK" w:hAnsi="方正仿宋_GBK" w:eastAsia="方正仿宋_GBK" w:cs="方正仿宋_GBK"/>
          <w:b/>
          <w:bCs/>
          <w:sz w:val="28"/>
          <w:szCs w:val="28"/>
          <w:highlight w:val="none"/>
        </w:rPr>
        <w:t xml:space="preserve">运动训练管理数据集</w:t>
      </w:r>
      <w:bookmarkEnd w:id="188"/>
      <w:r/>
      <w:r/>
    </w:p>
    <w:p>
      <w:pPr>
        <w:ind w:left="0" w:firstLine="560"/>
        <w:jc w:val="left"/>
        <w:keepLines w:val="0"/>
        <w:keepNext w:val="0"/>
        <w:pageBreakBefore w:val="0"/>
        <w:spacing w:before="0" w:after="0" w:line="400" w:lineRule="exact"/>
        <w:widowControl w:val="off"/>
        <w:rPr>
          <w:rFonts w:hint="eastAsia" w:ascii="方正仿宋_GBK" w:hAnsi="方正仿宋_GBK" w:eastAsia="方正仿宋_GBK" w:cs="方正仿宋_GBK"/>
          <w:b w:val="0"/>
          <w:sz w:val="28"/>
          <w:szCs w:val="28"/>
          <w:highlight w:val="none"/>
          <w:lang w:val="en-US" w:eastAsia="zh-CN"/>
        </w:rPr>
      </w:pPr>
      <w:r>
        <w:rPr>
          <w:rFonts w:hint="eastAsia" w:ascii="方正仿宋_GBK" w:hAnsi="方正仿宋_GBK" w:eastAsia="方正仿宋_GBK" w:cs="方正仿宋_GBK"/>
          <w:sz w:val="28"/>
          <w:szCs w:val="28"/>
          <w:highlight w:val="none"/>
        </w:rPr>
        <w:t xml:space="preserve">本数据集为运动训练领域垂直大模型训练、微调、推理提供全流程科研数据支撑，聚焦运动员日常训练、负荷管控、训练优化等核心科研场景。数据集收录不同训练周期的标准化训练计划、训练内容、训练强度参数、训练负荷数据、身体疲劳监测数据、训练恢复数据、阶段性训练效果评估数据、运动员主观反馈数据等；区分整理合理负荷、过度负荷、负荷不足等分类样本，数据结构统一、质量可控，适配运动训练大模型的专项训练与推理场景</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适配技战术分析系统数据的接入。</w:t>
      </w:r>
      <w:r/>
    </w:p>
    <w:p>
      <w:pPr>
        <w:ind w:left="0" w:firstLine="420"/>
        <w:jc w:val="left"/>
        <w:keepLines w:val="0"/>
        <w:keepNext w:val="0"/>
        <w:pageBreakBefore w:val="0"/>
        <w:spacing w:before="0" w:after="0" w:line="400" w:lineRule="exact"/>
        <w:widowControl w:val="off"/>
        <w:rPr>
          <w:rFonts w:hint="eastAsia" w:ascii="方正仿宋_GBK" w:hAnsi="方正仿宋_GBK" w:eastAsia="方正仿宋_GBK" w:cs="方正仿宋_GBK"/>
          <w:b/>
          <w:bCs/>
          <w:sz w:val="28"/>
          <w:szCs w:val="28"/>
          <w:highlight w:val="none"/>
        </w:rPr>
        <w:outlineLvl w:val="3"/>
      </w:pPr>
      <w:r>
        <w:rPr>
          <w:rFonts w:hint="eastAsia" w:ascii="方正仿宋_GBK" w:hAnsi="方正仿宋_GBK" w:eastAsia="方正仿宋_GBK" w:cs="方正仿宋_GBK"/>
          <w:b/>
          <w:bCs/>
          <w:sz w:val="28"/>
          <w:szCs w:val="28"/>
          <w:highlight w:val="none"/>
          <w:lang w:val="en-US" w:eastAsia="zh-CN"/>
        </w:rPr>
        <w:t xml:space="preserve">4.2.2</w:t>
      </w:r>
      <w:r>
        <w:rPr>
          <w:rFonts w:hint="eastAsia" w:ascii="方正仿宋_GBK" w:hAnsi="方正仿宋_GBK" w:eastAsia="方正仿宋_GBK" w:cs="方正仿宋_GBK"/>
          <w:b/>
          <w:bCs/>
          <w:sz w:val="28"/>
          <w:szCs w:val="28"/>
          <w:highlight w:val="none"/>
        </w:rPr>
        <w:t xml:space="preserve">运动健康管理数据集</w:t>
      </w:r>
      <w:bookmarkEnd w:id="189"/>
      <w:r/>
      <w:r/>
    </w:p>
    <w:p>
      <w:pPr>
        <w:ind w:left="0" w:firstLine="560"/>
        <w:jc w:val="left"/>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数据集为运动健康领域垂直大模型训练、微调、推理提供标准化数据支撑，汇总整理运动员全维度健康监测与评估相关数据。数据集涵盖不同年龄段、不同训练阶段运动员的身体形态、身体机能、身体素质常态化监测数据、阶段性评估数据，包含健康状态分类、体态异常、机能偏差、素质短板等标准化标签数据，数据经过结构化、降噪、标注处理，适配运动健康大模型专项训练场景。</w:t>
      </w:r>
      <w:r/>
    </w:p>
    <w:p>
      <w:pPr>
        <w:ind w:left="0" w:firstLine="420"/>
        <w:jc w:val="left"/>
        <w:keepLines w:val="0"/>
        <w:keepNext w:val="0"/>
        <w:pageBreakBefore w:val="0"/>
        <w:spacing w:before="0" w:after="0" w:line="400" w:lineRule="exact"/>
        <w:widowControl w:val="off"/>
        <w:rPr>
          <w:rFonts w:hint="eastAsia" w:ascii="方正仿宋_GBK" w:hAnsi="方正仿宋_GBK" w:eastAsia="方正仿宋_GBK" w:cs="方正仿宋_GBK"/>
          <w:b/>
          <w:bCs/>
          <w:sz w:val="28"/>
          <w:szCs w:val="28"/>
          <w:highlight w:val="none"/>
        </w:rPr>
        <w:outlineLvl w:val="3"/>
      </w:pPr>
      <w:r/>
      <w:bookmarkStart w:id="190" w:name="heading_30"/>
      <w:r>
        <w:rPr>
          <w:rFonts w:hint="eastAsia" w:ascii="方正仿宋_GBK" w:hAnsi="方正仿宋_GBK" w:eastAsia="方正仿宋_GBK" w:cs="方正仿宋_GBK"/>
          <w:b/>
          <w:bCs/>
          <w:sz w:val="28"/>
          <w:szCs w:val="28"/>
          <w:highlight w:val="none"/>
          <w:lang w:val="en-US" w:eastAsia="zh-CN"/>
        </w:rPr>
        <w:t xml:space="preserve">4.2.3</w:t>
      </w:r>
      <w:r>
        <w:rPr>
          <w:rFonts w:hint="eastAsia" w:ascii="方正仿宋_GBK" w:hAnsi="方正仿宋_GBK" w:eastAsia="方正仿宋_GBK" w:cs="方正仿宋_GBK"/>
          <w:b/>
          <w:bCs/>
          <w:sz w:val="28"/>
          <w:szCs w:val="28"/>
          <w:highlight w:val="none"/>
        </w:rPr>
        <w:t xml:space="preserve">运动康复管理数据集</w:t>
      </w:r>
      <w:bookmarkEnd w:id="190"/>
      <w:r/>
      <w:r/>
    </w:p>
    <w:p>
      <w:pPr>
        <w:ind w:left="0" w:firstLine="560"/>
        <w:jc w:val="left"/>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本数据集为运动康复领域垂直大模型训练、微调、推理提供专业化数据支撑，聚焦运动康复全流程科研数据归集整理。数据集构建 “损伤 - 评估 - 方案 - 干预 - 效果” 闭环数据体系，收录各类常见运动损伤的诊断数据、损伤程度分级标签、标准化康复方案、分阶段康复训练计划、干预执行记录、自主作业反馈、康复效果评分、预后评估、康复复盘等核心数据，数据标注规范、噪声低，适配运动康复大模型研发训练需求。</w:t>
      </w:r>
      <w:r/>
    </w:p>
    <w:p>
      <w:pPr>
        <w:ind w:left="0" w:firstLine="420"/>
        <w:jc w:val="left"/>
        <w:keepLines w:val="0"/>
        <w:keepNext w:val="0"/>
        <w:pageBreakBefore w:val="0"/>
        <w:spacing w:before="0" w:after="0" w:line="400" w:lineRule="exact"/>
        <w:widowControl w:val="off"/>
        <w:rPr>
          <w:rFonts w:hint="eastAsia" w:ascii="方正仿宋_GBK" w:hAnsi="方正仿宋_GBK" w:eastAsia="方正仿宋_GBK" w:cs="方正仿宋_GBK"/>
          <w:b/>
          <w:bCs/>
          <w:sz w:val="28"/>
          <w:szCs w:val="28"/>
          <w:highlight w:val="none"/>
        </w:rPr>
        <w:outlineLvl w:val="3"/>
      </w:pPr>
      <w:r/>
      <w:bookmarkStart w:id="191" w:name="heading_33"/>
      <w:r>
        <w:rPr>
          <w:rFonts w:hint="eastAsia" w:ascii="方正仿宋_GBK" w:hAnsi="方正仿宋_GBK" w:eastAsia="方正仿宋_GBK" w:cs="方正仿宋_GBK"/>
          <w:b/>
          <w:bCs/>
          <w:sz w:val="28"/>
          <w:szCs w:val="28"/>
          <w:highlight w:val="none"/>
          <w:lang w:val="en-US" w:eastAsia="zh-CN"/>
        </w:rPr>
        <w:t xml:space="preserve">4.2.4</w:t>
      </w:r>
      <w:r>
        <w:rPr>
          <w:rFonts w:hint="eastAsia" w:ascii="方正仿宋_GBK" w:hAnsi="方正仿宋_GBK" w:eastAsia="方正仿宋_GBK" w:cs="方正仿宋_GBK"/>
          <w:b/>
          <w:bCs/>
          <w:sz w:val="28"/>
          <w:szCs w:val="28"/>
          <w:highlight w:val="none"/>
        </w:rPr>
        <w:t xml:space="preserve">运动营养管理数据集</w:t>
      </w:r>
      <w:bookmarkEnd w:id="191"/>
      <w:r/>
      <w:r/>
    </w:p>
    <w:p>
      <w:pPr>
        <w:ind w:left="0" w:firstLine="560"/>
        <w:jc w:val="left"/>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数据集为运动营养领域垂直大模型训练、微调、推理提供多维度数据支撑，整合运动员营养科研相关关联数据。数据集收录不同训练强度、训练周期、身体状态、伤病情况、低氧环境下的运动员生理生化数据、体格体态数据、饮食摄入数据、营养需求样本数据，经过合规脱敏与结构化处理，适配运动营养大模型的训练与迭代。</w:t>
      </w:r>
      <w:r/>
    </w:p>
    <w:p>
      <w:pPr>
        <w:ind w:left="0" w:firstLine="420"/>
        <w:jc w:val="left"/>
        <w:keepLines w:val="0"/>
        <w:keepNext w:val="0"/>
        <w:pageBreakBefore w:val="0"/>
        <w:spacing w:before="0" w:after="0" w:line="400" w:lineRule="exact"/>
        <w:widowControl w:val="off"/>
        <w:rPr>
          <w:rFonts w:hint="eastAsia" w:ascii="方正仿宋_GBK" w:hAnsi="方正仿宋_GBK" w:eastAsia="方正仿宋_GBK" w:cs="方正仿宋_GBK"/>
          <w:b/>
          <w:bCs/>
          <w:sz w:val="28"/>
          <w:szCs w:val="28"/>
          <w:highlight w:val="none"/>
        </w:rPr>
        <w:outlineLvl w:val="3"/>
      </w:pPr>
      <w:r/>
      <w:bookmarkStart w:id="192" w:name="heading_36"/>
      <w:r>
        <w:rPr>
          <w:rFonts w:hint="eastAsia" w:ascii="方正仿宋_GBK" w:hAnsi="方正仿宋_GBK" w:eastAsia="方正仿宋_GBK" w:cs="方正仿宋_GBK"/>
          <w:b/>
          <w:bCs/>
          <w:sz w:val="28"/>
          <w:szCs w:val="28"/>
          <w:highlight w:val="none"/>
          <w:lang w:val="en-US" w:eastAsia="zh-CN"/>
        </w:rPr>
        <w:t xml:space="preserve">4.2.5</w:t>
      </w:r>
      <w:r>
        <w:rPr>
          <w:rFonts w:hint="eastAsia" w:ascii="方正仿宋_GBK" w:hAnsi="方正仿宋_GBK" w:eastAsia="方正仿宋_GBK" w:cs="方正仿宋_GBK"/>
          <w:b/>
          <w:bCs/>
          <w:sz w:val="28"/>
          <w:szCs w:val="28"/>
          <w:highlight w:val="none"/>
        </w:rPr>
        <w:t xml:space="preserve">运动心理管理数据集</w:t>
      </w:r>
      <w:bookmarkEnd w:id="192"/>
      <w:r/>
      <w:r/>
    </w:p>
    <w:p>
      <w:pPr>
        <w:ind w:left="0" w:firstLine="560"/>
        <w:jc w:val="left"/>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数据集为运动心理领域垂直大模型训练、微调、推理提供精细化数据支撑，归集运动员全周期心理科研数据。数据集包含运动员心理测评原始数据、情绪分类标签、压力等级标注、心理问题分类数据、训练及赛事场景心理状态样本、心理咨询干预案例、心理调节方案、心理状态动态时序变化数据等，数据维度全面、标注精准，适配运动心理垂直大模型研发应用。</w:t>
      </w:r>
      <w:r/>
    </w:p>
    <w:p>
      <w:pPr>
        <w:ind w:left="0" w:firstLine="420"/>
        <w:jc w:val="left"/>
        <w:keepLines w:val="0"/>
        <w:keepNext w:val="0"/>
        <w:pageBreakBefore w:val="0"/>
        <w:spacing w:before="0" w:after="0" w:line="400" w:lineRule="exact"/>
        <w:widowControl w:val="off"/>
        <w:rPr>
          <w:rFonts w:hint="eastAsia" w:ascii="方正仿宋_GBK" w:hAnsi="方正仿宋_GBK" w:eastAsia="方正仿宋_GBK" w:cs="方正仿宋_GBK"/>
          <w:b/>
          <w:bCs/>
          <w:sz w:val="28"/>
          <w:szCs w:val="28"/>
          <w:highlight w:val="none"/>
        </w:rPr>
        <w:outlineLvl w:val="3"/>
      </w:pPr>
      <w:r>
        <w:rPr>
          <w:rFonts w:hint="eastAsia" w:ascii="方正仿宋_GBK" w:hAnsi="方正仿宋_GBK" w:eastAsia="方正仿宋_GBK" w:cs="方正仿宋_GBK"/>
          <w:b/>
          <w:bCs/>
          <w:sz w:val="28"/>
          <w:szCs w:val="28"/>
          <w:highlight w:val="none"/>
          <w:lang w:val="en-US" w:eastAsia="zh-CN"/>
        </w:rPr>
        <w:t xml:space="preserve">4.2.6</w:t>
      </w:r>
      <w:r>
        <w:rPr>
          <w:rFonts w:hint="eastAsia" w:ascii="方正仿宋_GBK" w:hAnsi="方正仿宋_GBK" w:eastAsia="方正仿宋_GBK" w:cs="方正仿宋_GBK"/>
          <w:b/>
          <w:bCs/>
          <w:sz w:val="28"/>
          <w:szCs w:val="28"/>
          <w:highlight w:val="none"/>
        </w:rPr>
        <w:t xml:space="preserve">运动生理生化数据集</w:t>
      </w:r>
      <w:r/>
    </w:p>
    <w:p>
      <w:pPr>
        <w:ind w:left="0" w:firstLine="560"/>
        <w:jc w:val="left"/>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数据集为运动生理生化领域垂直大模型训练、微调、推理提供标准化数据支撑，归集运动员在不同训练状态、环境、负荷下的生理与生化检测数据。涵盖血细胞、免疫、内分泌、铁代谢、能量代谢、肌肉损伤、氧转运等核心指标，包括 WBC、RBC、Hb、Hct、CK、BUN、睾酮、皮质醇、铁蛋白、血清铁等；数据包含单次检测值、历史序列、性别 / 项目参考区间、异常标注、采样环境与时间信息；经过合规脱敏、清洗降噪、结构化标注、质量校验，适配生理生化趋势研判、机能监控、疲劳诊断类大模型训练场景。</w:t>
      </w:r>
      <w:r/>
    </w:p>
    <w:p>
      <w:pPr>
        <w:ind w:left="0" w:firstLine="420"/>
        <w:jc w:val="left"/>
        <w:keepLines w:val="0"/>
        <w:keepNext w:val="0"/>
        <w:pageBreakBefore w:val="0"/>
        <w:spacing w:before="0" w:after="0" w:line="400" w:lineRule="exact"/>
        <w:widowControl w:val="off"/>
        <w:rPr>
          <w:rFonts w:hint="eastAsia" w:ascii="方正仿宋_GBK" w:hAnsi="方正仿宋_GBK" w:eastAsia="方正仿宋_GBK" w:cs="方正仿宋_GBK"/>
          <w:b/>
          <w:bCs/>
          <w:sz w:val="28"/>
          <w:szCs w:val="28"/>
          <w:highlight w:val="none"/>
        </w:rPr>
        <w:outlineLvl w:val="3"/>
      </w:pPr>
      <w:r>
        <w:rPr>
          <w:rFonts w:hint="eastAsia" w:ascii="方正仿宋_GBK" w:hAnsi="方正仿宋_GBK" w:eastAsia="方正仿宋_GBK" w:cs="方正仿宋_GBK"/>
          <w:b/>
          <w:bCs/>
          <w:sz w:val="28"/>
          <w:szCs w:val="28"/>
          <w:highlight w:val="none"/>
          <w:lang w:val="en-US" w:eastAsia="zh-CN"/>
        </w:rPr>
        <w:t xml:space="preserve">4.2.7</w:t>
      </w:r>
      <w:r>
        <w:rPr>
          <w:rFonts w:hint="eastAsia" w:ascii="方正仿宋_GBK" w:hAnsi="方正仿宋_GBK" w:eastAsia="方正仿宋_GBK" w:cs="方正仿宋_GBK"/>
          <w:b/>
          <w:bCs/>
          <w:sz w:val="28"/>
          <w:szCs w:val="28"/>
          <w:highlight w:val="none"/>
        </w:rPr>
        <w:t xml:space="preserve">体能训练数据集</w:t>
      </w:r>
      <w:r/>
    </w:p>
    <w:p>
      <w:pPr>
        <w:ind w:left="0" w:firstLine="560"/>
        <w:jc w:val="left"/>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数据集为体能训练领域垂直大模型训练、微调、推理提供全流程数据支撑，聚焦运动员基础体能、专项体能、体能评估、体能恢复全链条数据。涵盖体成分（体重、肌肉量、体脂率、BMI）、有氧能力（最大摄氧量、无氧阈）、无氧能力（峰值功率、平均功率、递减率）、力量素质（最大力量、爆发力、核心力量）、速度灵敏柔韧指标；包含测试成绩、历史对比、等级标签、训练负荷、恢复情况、专项适配度标注；数据格式统一、标注规范、噪声低、覆盖多项目多周期，适配体能诊断、训练优化、专项提升类大模型训练场景。</w:t>
      </w:r>
      <w:r/>
    </w:p>
    <w:p>
      <w:pPr>
        <w:ind w:left="0" w:firstLine="420"/>
        <w:jc w:val="left"/>
        <w:keepLines w:val="0"/>
        <w:keepNext w:val="0"/>
        <w:pageBreakBefore w:val="0"/>
        <w:spacing w:before="0" w:after="0" w:line="400" w:lineRule="exact"/>
        <w:widowControl w:val="off"/>
        <w:rPr>
          <w:rFonts w:hint="eastAsia" w:ascii="方正仿宋_GBK" w:hAnsi="方正仿宋_GBK" w:eastAsia="方正仿宋_GBK" w:cs="方正仿宋_GBK"/>
          <w:b/>
          <w:bCs/>
          <w:sz w:val="28"/>
          <w:szCs w:val="28"/>
          <w:highlight w:val="none"/>
        </w:rPr>
        <w:outlineLvl w:val="3"/>
      </w:pPr>
      <w:r>
        <w:rPr>
          <w:rFonts w:hint="eastAsia" w:ascii="方正仿宋_GBK" w:hAnsi="方正仿宋_GBK" w:eastAsia="方正仿宋_GBK" w:cs="方正仿宋_GBK"/>
          <w:b/>
          <w:bCs/>
          <w:sz w:val="28"/>
          <w:szCs w:val="28"/>
          <w:highlight w:val="none"/>
          <w:lang w:val="en-US" w:eastAsia="zh-CN"/>
        </w:rPr>
        <w:t xml:space="preserve">4.2.8</w:t>
      </w:r>
      <w:r>
        <w:rPr>
          <w:rFonts w:hint="eastAsia" w:ascii="方正仿宋_GBK" w:hAnsi="方正仿宋_GBK" w:eastAsia="方正仿宋_GBK" w:cs="方正仿宋_GBK"/>
          <w:b/>
          <w:bCs/>
          <w:sz w:val="28"/>
          <w:szCs w:val="28"/>
          <w:highlight w:val="none"/>
        </w:rPr>
        <w:t xml:space="preserve">运动生物力学数据集</w:t>
      </w:r>
      <w:r/>
    </w:p>
    <w:p>
      <w:pPr>
        <w:ind w:left="0" w:firstLine="560"/>
        <w:jc w:val="left"/>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数据集为运动生物力学领域垂直大模型训练、微调、推理提供专业化数据支撑，归集竞技体育专项动作的运动学、动力学、肌电、足底压力、三维动作捕捉等数据。涵盖关节角度、角速度、位移、速度、加速度、地面反作用力、力矩、冲量、肌电激活时序与幅值、足底压力分布等核心参数；包含动作视频、原始采集数据、关键参数序列、技术评价标签、动作质量分级、伤病风险标注；数据经过降噪、校准、结构化、标注与脱敏，适配动作技术分析、动作纠错、专项技术优化、运动损伤预防类大模型训练场景。</w:t>
      </w:r>
      <w:r/>
    </w:p>
    <w:p>
      <w:pPr>
        <w:ind w:firstLine="420"/>
        <w:jc w:val="left"/>
        <w:keepLines w:val="0"/>
        <w:keepNext w:val="0"/>
        <w:pageBreakBefore w:val="0"/>
        <w:spacing w:before="0" w:after="0" w:line="400" w:lineRule="exact"/>
        <w:widowControl w:val="off"/>
        <w:rPr>
          <w:rFonts w:hint="eastAsia" w:ascii="方正仿宋_GBK" w:hAnsi="方正仿宋_GBK" w:eastAsia="方正仿宋_GBK" w:cs="方正仿宋_GBK"/>
          <w:b/>
          <w:bCs/>
          <w:sz w:val="28"/>
          <w:szCs w:val="28"/>
          <w:highlight w:val="none"/>
          <w:lang w:val="en-US" w:eastAsia="zh-CN"/>
        </w:rPr>
        <w:outlineLvl w:val="1"/>
      </w:pPr>
      <w:r>
        <w:rPr>
          <w:rFonts w:hint="eastAsia" w:ascii="方正仿宋_GBK" w:hAnsi="方正仿宋_GBK" w:eastAsia="方正仿宋_GBK" w:cs="方正仿宋_GBK"/>
          <w:b/>
          <w:bCs/>
          <w:sz w:val="28"/>
          <w:szCs w:val="28"/>
          <w:highlight w:val="none"/>
          <w:lang w:val="en-US" w:eastAsia="zh-CN"/>
        </w:rPr>
        <w:t xml:space="preserve">5</w:t>
      </w:r>
      <w:r>
        <w:rPr>
          <w:rFonts w:hint="eastAsia" w:ascii="方正仿宋_GBK" w:hAnsi="方正仿宋_GBK" w:eastAsia="方正仿宋_GBK" w:cs="方正仿宋_GBK"/>
          <w:b/>
          <w:bCs/>
          <w:sz w:val="28"/>
          <w:szCs w:val="28"/>
          <w:highlight w:val="none"/>
        </w:rPr>
        <w:t xml:space="preserve">学科报告</w:t>
      </w:r>
      <w:r>
        <w:rPr>
          <w:rFonts w:hint="eastAsia" w:ascii="方正仿宋_GBK" w:hAnsi="方正仿宋_GBK" w:eastAsia="方正仿宋_GBK" w:cs="方正仿宋_GBK"/>
          <w:b/>
          <w:bCs/>
          <w:sz w:val="28"/>
          <w:szCs w:val="28"/>
          <w:highlight w:val="none"/>
          <w:lang w:val="en-US" w:eastAsia="zh-CN"/>
        </w:rPr>
        <w:t xml:space="preserve">智能体</w:t>
      </w:r>
      <w:r/>
    </w:p>
    <w:p>
      <w:pPr>
        <w:pStyle w:val="8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构建科学报告智能体应用。支持将“</w:t>
      </w:r>
      <w:r>
        <w:rPr>
          <w:rFonts w:ascii="Arial" w:hAnsi="Arial" w:eastAsia="方正仿宋_GBK" w:cs="Arial"/>
          <w:sz w:val="28"/>
          <w:szCs w:val="28"/>
          <w:highlight w:val="none"/>
          <w:lang w:val="en-US" w:eastAsia="zh-CN" w:bidi="ar-SA"/>
        </w:rPr>
        <w:t xml:space="preserve">××</w:t>
      </w:r>
      <w:r>
        <w:rPr>
          <w:rFonts w:hint="eastAsia" w:ascii="方正仿宋_GBK" w:hAnsi="方正仿宋_GBK" w:eastAsia="方正仿宋_GBK" w:cs="方正仿宋_GBK"/>
          <w:sz w:val="28"/>
          <w:szCs w:val="28"/>
          <w:highlight w:val="none"/>
          <w:lang w:val="en-US" w:eastAsia="zh-CN" w:bidi="ar-SA"/>
        </w:rPr>
        <w:t xml:space="preserve">近半年最大摄氧量与深蹲力量变化趋势”这类口语化查询，自动转化为数据查询与图谱推理，进而生成从战术指令、个人激励到统计分析的多版本报告，并配合趋势图等可视化图表，直观呈现测试数据的标准化结果、动态趋势与深层关联，实现一站式精准解读。</w:t>
      </w:r>
      <w:r/>
    </w:p>
    <w:p>
      <w:pPr>
        <w:ind w:left="0" w:firstLine="420"/>
        <w:jc w:val="left"/>
        <w:keepLines w:val="0"/>
        <w:keepNext w:val="0"/>
        <w:pageBreakBefore w:val="0"/>
        <w:spacing w:before="0" w:after="0" w:line="400" w:lineRule="exact"/>
        <w:widowControl w:val="off"/>
        <w:rPr>
          <w:rFonts w:hint="eastAsia" w:ascii="方正仿宋_GBK" w:hAnsi="方正仿宋_GBK" w:eastAsia="方正仿宋_GBK" w:cs="方正仿宋_GBK"/>
          <w:b/>
          <w:bCs/>
          <w:sz w:val="28"/>
          <w:szCs w:val="28"/>
          <w:highlight w:val="none"/>
        </w:rPr>
        <w:outlineLvl w:val="3"/>
      </w:pPr>
      <w:r>
        <w:rPr>
          <w:rFonts w:hint="eastAsia" w:ascii="方正仿宋_GBK" w:hAnsi="方正仿宋_GBK" w:eastAsia="方正仿宋_GBK" w:cs="方正仿宋_GBK"/>
          <w:b/>
          <w:bCs/>
          <w:sz w:val="28"/>
          <w:szCs w:val="28"/>
          <w:highlight w:val="none"/>
          <w:lang w:val="en-US" w:eastAsia="zh-CN"/>
        </w:rPr>
        <w:t xml:space="preserve">5.1</w:t>
      </w:r>
      <w:r>
        <w:rPr>
          <w:rFonts w:hint="eastAsia" w:ascii="方正仿宋_GBK" w:hAnsi="方正仿宋_GBK" w:eastAsia="方正仿宋_GBK" w:cs="方正仿宋_GBK"/>
          <w:b/>
          <w:bCs/>
          <w:sz w:val="28"/>
          <w:szCs w:val="28"/>
          <w:highlight w:val="none"/>
        </w:rPr>
        <w:t xml:space="preserve">功能要求</w:t>
      </w:r>
      <w:r/>
    </w:p>
    <w:p>
      <w:pPr>
        <w:pStyle w:val="8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（1）学科报告智能体需通过整合运动员数据集、知识图谱与大语言模型，支持以自然语言对话方式，适配教练员、运动员、科研人员的差异化场景。</w:t>
      </w:r>
      <w:r/>
    </w:p>
    <w:p>
      <w:pPr>
        <w:pStyle w:val="8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（2）多版本报告生成</w:t>
      </w:r>
      <w:r/>
    </w:p>
    <w:p>
      <w:pPr>
        <w:pStyle w:val="8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智能体需支持面向不同角色的多版本报告生成：</w:t>
      </w:r>
      <w:r/>
    </w:p>
    <w:p>
      <w:pPr>
        <w:pStyle w:val="8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①</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bidi="ar-SA"/>
        </w:rPr>
        <w:t xml:space="preserve">教练员团队版报告：智能体支持批量生成团队测试报告，按队员维度展示血细胞、生化、免疫、铁代谢核心指标数值，并自动生成单指标团队对比柱状图。实现智能体同步输出指标异常提示与训练建议，并可统一填写采样日期、检测人员、复核人员信息。</w:t>
      </w:r>
      <w:r/>
    </w:p>
    <w:p>
      <w:pPr>
        <w:pStyle w:val="8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②</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bidi="ar-SA"/>
        </w:rPr>
        <w:t xml:space="preserve">运动员简版报告：适配运动员个人查看场景，智能体支持以表格形式清晰呈现血细胞、铁代谢、生化、免疫指标，并支持展示指标男女参考范围、既往均值/最值、历史历次检测值，便于运动员直观对比个人健康数据。</w:t>
      </w:r>
      <w:r/>
    </w:p>
    <w:p>
      <w:pPr>
        <w:pStyle w:val="8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③</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bidi="ar-SA"/>
        </w:rPr>
        <w:t xml:space="preserve">科研人员全版报告：面向科研深度分析需求，智能体需全面覆盖血细胞（含细分比率/数量）、铁代谢、内分泌、生化等全量指标，支持多维度数据汇总与精细化数值呈现，满足科研数据溯源与专项研究需求。</w:t>
      </w:r>
      <w:r/>
    </w:p>
    <w:p>
      <w:pPr>
        <w:pStyle w:val="8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④</w:t>
      </w:r>
      <w:r>
        <w:rPr>
          <w:rFonts w:hint="eastAsia" w:ascii="方正仿宋_GBK" w:hAnsi="方正仿宋_GBK" w:eastAsia="方正仿宋_GBK" w:cs="方正仿宋_GBK"/>
          <w:b w:val="0"/>
          <w:bCs w:val="0"/>
          <w:color w:val="000000"/>
          <w:sz w:val="28"/>
          <w:szCs w:val="28"/>
          <w:highlight w:val="none"/>
        </w:rPr>
        <w:t xml:space="preserve">▲</w:t>
      </w:r>
      <w:r>
        <w:rPr>
          <w:rFonts w:hint="eastAsia" w:ascii="方正仿宋_GBK" w:hAnsi="方正仿宋_GBK" w:eastAsia="方正仿宋_GBK" w:cs="方正仿宋_GBK"/>
          <w:sz w:val="28"/>
          <w:szCs w:val="28"/>
          <w:highlight w:val="none"/>
          <w:lang w:val="en-US" w:eastAsia="zh-CN" w:bidi="ar-SA"/>
        </w:rPr>
        <w:t xml:space="preserve">机能测试报告：智能体可独立生成体成分、有氧能力、无氧能力专项报告，以表格化展示体重、肌肉量、最大摄氧量、峰值功率等指标，并配套专项趋势图表，适配体能训练评估场景。</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提供</w:t>
      </w:r>
      <w:r>
        <w:rPr>
          <w:rFonts w:hint="eastAsia" w:ascii="方正仿宋_GBK" w:hAnsi="方正仿宋_GBK" w:eastAsia="方正仿宋_GBK" w:cs="方正仿宋_GBK"/>
          <w:sz w:val="28"/>
          <w:szCs w:val="28"/>
          <w:highlight w:val="none"/>
        </w:rPr>
        <w:t xml:space="preserve">同类项目类似功能的系统截图</w:t>
      </w:r>
      <w:r>
        <w:rPr>
          <w:rFonts w:hint="eastAsia" w:ascii="方正仿宋_GBK" w:hAnsi="方正仿宋_GBK" w:eastAsia="方正仿宋_GBK" w:cs="方正仿宋_GBK"/>
          <w:sz w:val="28"/>
          <w:szCs w:val="28"/>
          <w:highlight w:val="none"/>
          <w:lang w:eastAsia="zh-CN"/>
        </w:rPr>
        <w:t xml:space="preserve">）</w:t>
      </w:r>
      <w:r/>
    </w:p>
    <w:p>
      <w:pPr>
        <w:pStyle w:val="8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highlight w:val="none"/>
        </w:rPr>
        <w:suppressLineNumbers w:val="0"/>
      </w:pPr>
      <w:r>
        <w:rPr>
          <w:rFonts w:hint="eastAsia" w:ascii="方正仿宋_GBK" w:hAnsi="方正仿宋_GBK" w:eastAsia="方正仿宋_GBK" w:cs="方正仿宋_GBK"/>
          <w:sz w:val="28"/>
          <w:szCs w:val="28"/>
          <w:highlight w:val="none"/>
        </w:rPr>
        <w:t xml:space="preserve">（2）可视化趋势分析</w:t>
      </w:r>
      <w:r/>
    </w:p>
    <w:p>
      <w:pPr>
        <w:pStyle w:val="8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rPr>
        <w:t xml:space="preserve">学科报告智能体内置图表引擎，实现可视化趋势分析：</w:t>
      </w:r>
      <w:r/>
    </w:p>
    <w:p>
      <w:pPr>
        <w:pStyle w:val="8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①</w:t>
      </w:r>
      <w:r>
        <w:rPr>
          <w:rFonts w:hint="eastAsia" w:ascii="方正仿宋_GBK" w:hAnsi="方正仿宋_GBK" w:eastAsia="方正仿宋_GBK" w:cs="方正仿宋_GBK"/>
          <w:b w:val="0"/>
          <w:bCs w:val="0"/>
          <w:color w:val="000000"/>
          <w:sz w:val="28"/>
          <w:szCs w:val="28"/>
          <w:highlight w:val="none"/>
        </w:rPr>
        <w:t xml:space="preserve">▲</w:t>
      </w:r>
      <w:r>
        <w:rPr>
          <w:rFonts w:hint="eastAsia" w:ascii="方正仿宋_GBK" w:hAnsi="方正仿宋_GBK" w:eastAsia="方正仿宋_GBK" w:cs="方正仿宋_GBK"/>
          <w:sz w:val="28"/>
          <w:szCs w:val="28"/>
          <w:highlight w:val="none"/>
          <w:lang w:val="en-US" w:eastAsia="zh-CN" w:bidi="ar-SA"/>
        </w:rPr>
        <w:t xml:space="preserve">智能体支持按指标分类生成趋势折线图，涵盖氧转运系统、铁代谢、免疫系统、内分泌系统、肌肉负荷、能量代谢、体成分、有氧/无氧能力等维度。</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提供</w:t>
      </w:r>
      <w:r>
        <w:rPr>
          <w:rFonts w:hint="eastAsia" w:ascii="方正仿宋_GBK" w:hAnsi="方正仿宋_GBK" w:eastAsia="方正仿宋_GBK" w:cs="方正仿宋_GBK"/>
          <w:sz w:val="28"/>
          <w:szCs w:val="28"/>
          <w:highlight w:val="none"/>
        </w:rPr>
        <w:t xml:space="preserve">同类项目类似功能的系统截图</w:t>
      </w:r>
      <w:r>
        <w:rPr>
          <w:rFonts w:hint="eastAsia" w:ascii="方正仿宋_GBK" w:hAnsi="方正仿宋_GBK" w:eastAsia="方正仿宋_GBK" w:cs="方正仿宋_GBK"/>
          <w:sz w:val="28"/>
          <w:szCs w:val="28"/>
          <w:highlight w:val="none"/>
          <w:lang w:eastAsia="zh-CN"/>
        </w:rPr>
        <w:t xml:space="preserve">）</w:t>
      </w:r>
      <w:r/>
    </w:p>
    <w:p>
      <w:pPr>
        <w:pStyle w:val="8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②</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bidi="ar-SA"/>
        </w:rPr>
        <w:t xml:space="preserve">图表支持多时间节点数据回溯，可自定义展示周期与指标组合，并支持放大、缩小、平移操作，智能体以此直观呈现指标动态变化规律。</w:t>
      </w:r>
      <w:r/>
    </w:p>
    <w:p>
      <w:pPr>
        <w:pStyle w:val="8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③在团队版报告中，智能体支持生成单指标队员对比柱状图，以快速定位个体指标差异。</w:t>
      </w:r>
      <w:r/>
    </w:p>
    <w:p>
      <w:pPr>
        <w:pStyle w:val="8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highlight w:val="none"/>
        </w:rPr>
        <w:suppressLineNumbers w:val="0"/>
      </w:pPr>
      <w:r>
        <w:rPr>
          <w:rFonts w:hint="eastAsia" w:ascii="方正仿宋_GBK" w:hAnsi="方正仿宋_GBK" w:eastAsia="方正仿宋_GBK" w:cs="方正仿宋_GBK"/>
          <w:sz w:val="28"/>
          <w:szCs w:val="28"/>
          <w:highlight w:val="none"/>
        </w:rPr>
        <w:t xml:space="preserve">（3）报告数据关联与筛选</w:t>
      </w:r>
      <w:r/>
    </w:p>
    <w:p>
      <w:pPr>
        <w:pStyle w:val="8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rPr>
        <w:t xml:space="preserve">智能体可将报告数据与科研数据中心互通，实现“数据-报告-档案”一体化查询：</w:t>
      </w:r>
      <w:r/>
    </w:p>
    <w:p>
      <w:pPr>
        <w:pStyle w:val="8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①</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bidi="ar-SA"/>
        </w:rPr>
        <w:t xml:space="preserve">智能体需支持关联运动员基础信息、历史测试数据、训练档案，构建完整的查询链路。</w:t>
      </w:r>
      <w:r/>
    </w:p>
    <w:p>
      <w:pPr>
        <w:pStyle w:val="8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②</w:t>
      </w:r>
      <w:r>
        <w:rPr>
          <w:rFonts w:hint="eastAsia" w:ascii="方正仿宋_GBK" w:hAnsi="方正仿宋_GBK" w:eastAsia="方正仿宋_GBK" w:cs="方正仿宋_GBK"/>
          <w:bCs w:val="0"/>
          <w:color w:val="000000"/>
          <w:sz w:val="28"/>
          <w:szCs w:val="28"/>
          <w:highlight w:val="none"/>
        </w:rPr>
        <w:t xml:space="preserve">▲</w:t>
      </w:r>
      <w:r>
        <w:rPr>
          <w:rFonts w:hint="eastAsia" w:ascii="方正仿宋_GBK" w:hAnsi="方正仿宋_GBK" w:eastAsia="方正仿宋_GBK" w:cs="方正仿宋_GBK"/>
          <w:sz w:val="28"/>
          <w:szCs w:val="28"/>
          <w:highlight w:val="none"/>
          <w:lang w:val="en-US" w:eastAsia="zh-CN" w:bidi="ar-SA"/>
        </w:rPr>
        <w:t xml:space="preserve">智能体需支持按运动员姓名、测试日期、运动项目、指标类型进行多维度筛选报告，并可批量筛选、导出指定范围报告。</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提供</w:t>
      </w:r>
      <w:r>
        <w:rPr>
          <w:rFonts w:hint="eastAsia" w:ascii="方正仿宋_GBK" w:hAnsi="方正仿宋_GBK" w:eastAsia="方正仿宋_GBK" w:cs="方正仿宋_GBK"/>
          <w:sz w:val="28"/>
          <w:szCs w:val="28"/>
          <w:highlight w:val="none"/>
        </w:rPr>
        <w:t xml:space="preserve">同类项目类似功能的系统截图</w:t>
      </w:r>
      <w:r>
        <w:rPr>
          <w:rFonts w:hint="eastAsia" w:ascii="方正仿宋_GBK" w:hAnsi="方正仿宋_GBK" w:eastAsia="方正仿宋_GBK" w:cs="方正仿宋_GBK"/>
          <w:sz w:val="28"/>
          <w:szCs w:val="28"/>
          <w:highlight w:val="none"/>
          <w:lang w:eastAsia="zh-CN"/>
        </w:rPr>
        <w:t xml:space="preserve">）</w:t>
      </w:r>
      <w:r/>
    </w:p>
    <w:p>
      <w:pPr>
        <w:pStyle w:val="8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③</w:t>
      </w:r>
      <w:r>
        <w:rPr>
          <w:rFonts w:hint="eastAsia" w:ascii="方正仿宋_GBK" w:hAnsi="方正仿宋_GBK" w:eastAsia="方正仿宋_GBK" w:cs="方正仿宋_GBK"/>
          <w:bCs w:val="0"/>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bidi="ar-SA"/>
        </w:rPr>
        <w:t xml:space="preserve">智能体可对指标异常值自动标红高亮，快速识别健康风险与训练负荷异常。</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提供</w:t>
      </w:r>
      <w:r>
        <w:rPr>
          <w:rFonts w:hint="eastAsia" w:ascii="方正仿宋_GBK" w:hAnsi="方正仿宋_GBK" w:eastAsia="方正仿宋_GBK" w:cs="方正仿宋_GBK"/>
          <w:sz w:val="28"/>
          <w:szCs w:val="28"/>
          <w:highlight w:val="none"/>
        </w:rPr>
        <w:t xml:space="preserve">同类项目类似功能的系统截图</w:t>
      </w:r>
      <w:r>
        <w:rPr>
          <w:rFonts w:hint="eastAsia" w:ascii="方正仿宋_GBK" w:hAnsi="方正仿宋_GBK" w:eastAsia="方正仿宋_GBK" w:cs="方正仿宋_GBK"/>
          <w:sz w:val="28"/>
          <w:szCs w:val="28"/>
          <w:highlight w:val="none"/>
          <w:lang w:eastAsia="zh-CN"/>
        </w:rPr>
        <w:t xml:space="preserve">）</w:t>
      </w:r>
      <w:r/>
    </w:p>
    <w:p>
      <w:pPr>
        <w:pStyle w:val="8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highlight w:val="none"/>
          <w:shd w:val="clear" w:color="auto" w:fill="auto"/>
        </w:rPr>
        <w:suppressLineNumbers w:val="0"/>
      </w:pPr>
      <w:r>
        <w:rPr>
          <w:rFonts w:hint="eastAsia" w:ascii="方正仿宋_GBK" w:hAnsi="方正仿宋_GBK" w:eastAsia="方正仿宋_GBK" w:cs="方正仿宋_GBK"/>
          <w:color w:val="000000"/>
          <w:sz w:val="28"/>
          <w:szCs w:val="28"/>
          <w:highlight w:val="none"/>
        </w:rPr>
        <w:t xml:space="preserve">④支持多学科数据综合查询与跨学科知识推理分析，兼容单学科独立分析、多学科联合综合分析两类业务场景；可围绕运动员训练负荷、身体机能、恢复水平多核心维度开展竞技状态综合研判与运动损伤、过度疲劳等风险自动识别；依托AI智能体实现跨垂直学科数据联动检索、多学科融合分析报告自动生成、针对性训练干预方案智能规划输出。</w:t>
      </w:r>
      <w:r/>
    </w:p>
    <w:p>
      <w:pPr>
        <w:ind w:left="0" w:firstLine="420"/>
        <w:jc w:val="left"/>
        <w:keepLines w:val="0"/>
        <w:keepNext w:val="0"/>
        <w:pageBreakBefore w:val="0"/>
        <w:spacing w:before="0" w:after="0" w:line="400" w:lineRule="exact"/>
        <w:widowControl w:val="off"/>
        <w:rPr>
          <w:rFonts w:hint="eastAsia" w:ascii="方正仿宋_GBK" w:hAnsi="方正仿宋_GBK" w:eastAsia="方正仿宋_GBK" w:cs="方正仿宋_GBK"/>
          <w:b/>
          <w:bCs/>
          <w:color w:val="000000"/>
          <w:sz w:val="28"/>
          <w:szCs w:val="28"/>
          <w:highlight w:val="none"/>
        </w:rPr>
        <w:outlineLvl w:val="3"/>
      </w:pPr>
      <w:r>
        <w:rPr>
          <w:rFonts w:hint="eastAsia" w:ascii="方正仿宋_GBK" w:hAnsi="方正仿宋_GBK" w:eastAsia="方正仿宋_GBK" w:cs="方正仿宋_GBK"/>
          <w:b/>
          <w:bCs/>
          <w:color w:val="000000"/>
          <w:sz w:val="28"/>
          <w:szCs w:val="28"/>
          <w:highlight w:val="none"/>
          <w:lang w:val="en-US" w:eastAsia="zh-CN"/>
        </w:rPr>
        <w:t xml:space="preserve">5.2</w:t>
      </w:r>
      <w:r>
        <w:rPr>
          <w:rFonts w:hint="eastAsia" w:ascii="方正仿宋_GBK" w:hAnsi="方正仿宋_GBK" w:eastAsia="方正仿宋_GBK" w:cs="方正仿宋_GBK"/>
          <w:b/>
          <w:bCs/>
          <w:color w:val="000000"/>
          <w:sz w:val="28"/>
          <w:szCs w:val="28"/>
          <w:highlight w:val="none"/>
        </w:rPr>
        <w:t xml:space="preserve">技术参数</w:t>
      </w:r>
      <w:r/>
    </w:p>
    <w:p>
      <w:pPr>
        <w:pStyle w:val="8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学科报告智能体的技术参数如下：</w:t>
      </w:r>
      <w:r/>
    </w:p>
    <w:p>
      <w:pPr>
        <w:pStyle w:val="8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(1)报告类型覆盖：智能体需支持教练员团队版、运动员简版、科研人员全版、机能测试报告4类核心报告。</w:t>
      </w:r>
      <w:r/>
    </w:p>
    <w:p>
      <w:pPr>
        <w:pStyle w:val="8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(2)覆盖学科核心指标，如：</w:t>
      </w:r>
      <w:r/>
    </w:p>
    <w:p>
      <w:pPr>
        <w:pStyle w:val="8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血细胞：WBC#、中性粒细胞、淋巴细胞、RBC#、Hct、Hb、RDW、MCV、MCHC、PLT及细分比率/数量指标；</w:t>
      </w:r>
      <w:r/>
    </w:p>
    <w:p>
      <w:pPr>
        <w:pStyle w:val="8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生化：CK、BUN；</w:t>
      </w:r>
      <w:r/>
    </w:p>
    <w:p>
      <w:pPr>
        <w:pStyle w:val="8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免疫：T、C、T/C；</w:t>
      </w:r>
      <w:r/>
    </w:p>
    <w:p>
      <w:pPr>
        <w:pStyle w:val="8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铁代谢：铁蛋白、血清铁、转铁蛋白；</w:t>
      </w:r>
      <w:r/>
    </w:p>
    <w:p>
      <w:pPr>
        <w:pStyle w:val="8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内分泌：睾酮、皮质醇、维生素B12、叶酸；</w:t>
      </w:r>
      <w:r/>
    </w:p>
    <w:p>
      <w:pPr>
        <w:pStyle w:val="8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体成分：体重、肌肉量、体脂率、BMI；</w:t>
      </w:r>
      <w:r/>
    </w:p>
    <w:p>
      <w:pPr>
        <w:pStyle w:val="8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有氧能力：最大摄氧量、相对最大摄氧量、呼吸商、心率、持续运动时长、无氧阈；</w:t>
      </w:r>
      <w:r/>
    </w:p>
    <w:p>
      <w:pPr>
        <w:pStyle w:val="8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无氧能力：峰值功率、相对峰值功率、峰值功率时间、平均功率、无氧功率递减率。</w:t>
      </w:r>
      <w:r/>
    </w:p>
    <w:p>
      <w:pPr>
        <w:pStyle w:val="8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(3)数据维度支持：智能体兼容男女差异化参考范围，支持展示既往均值、既往最值、历次检测值，并支持多周期数据对比与趋势回溯。</w:t>
      </w:r>
      <w:r/>
    </w:p>
    <w:p>
      <w:pPr>
        <w:pStyle w:val="8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(4)可视化能力：智能体内置图表引擎，支持柱状图、折线图生成；图表支持多指标叠加、时间轴自定义、数据标签显示，趋势数据精度保留至小数点后2位。</w:t>
      </w:r>
      <w:r/>
    </w:p>
    <w:p>
      <w:pPr>
        <w:pStyle w:val="815"/>
        <w:ind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bidi="ar-SA"/>
        </w:rPr>
        <w:t xml:space="preserve">(5)异常识别与解读：需面向教练员、运动员、科研人员输出差异化报告。智能体内置指标异常阈值规则，可自动识别超标数据并高亮提示；智能体支持预设训练建议模板，并能根据指标异常类型自动匹配对应解读建议。</w:t>
      </w:r>
      <w:r/>
    </w:p>
    <w:p>
      <w:pPr>
        <w:ind w:firstLine="420"/>
        <w:keepLines w:val="0"/>
        <w:keepNext w:val="0"/>
        <w:pageBreakBefore w:val="0"/>
        <w:spacing w:line="400" w:lineRule="exact"/>
        <w:widowControl w:val="off"/>
        <w:rPr>
          <w:rFonts w:hint="eastAsia" w:ascii="方正仿宋_GBK" w:hAnsi="方正仿宋_GBK" w:eastAsia="方正仿宋_GBK" w:cs="方正仿宋_GBK"/>
          <w:b/>
          <w:bCs/>
          <w:color w:val="000000"/>
          <w:sz w:val="28"/>
          <w:szCs w:val="28"/>
          <w:highlight w:val="none"/>
          <w:lang w:val="en-US" w:eastAsia="zh-CN"/>
        </w:rPr>
      </w:pPr>
      <w:r>
        <w:rPr>
          <w:rFonts w:hint="eastAsia" w:ascii="方正仿宋_GBK" w:hAnsi="方正仿宋_GBK" w:eastAsia="方正仿宋_GBK" w:cs="方正仿宋_GBK"/>
          <w:b/>
          <w:bCs/>
          <w:color w:val="000000"/>
          <w:sz w:val="28"/>
          <w:szCs w:val="28"/>
          <w:highlight w:val="none"/>
          <w:lang w:val="en-US" w:eastAsia="zh-CN"/>
        </w:rPr>
        <w:t xml:space="preserve">6 综合报告智能体</w:t>
      </w:r>
      <w:r/>
    </w:p>
    <w:p>
      <w:pPr>
        <w:pStyle w:val="815"/>
        <w:ind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bCs w:val="0"/>
          <w:color w:val="000000"/>
          <w:sz w:val="28"/>
          <w:szCs w:val="28"/>
          <w:highlight w:val="none"/>
          <w:lang w:val="en-US" w:eastAsia="zh-CN"/>
        </w:rPr>
      </w:pPr>
      <w:r>
        <w:rPr>
          <w:rFonts w:hint="eastAsia" w:ascii="方正仿宋_GBK" w:hAnsi="方正仿宋_GBK" w:eastAsia="方正仿宋_GBK" w:cs="方正仿宋_GBK"/>
          <w:bCs w:val="0"/>
          <w:color w:val="000000"/>
          <w:sz w:val="28"/>
          <w:szCs w:val="28"/>
          <w:highlight w:val="none"/>
          <w:lang w:val="en-US" w:eastAsia="zh-CN"/>
        </w:rPr>
        <w:t xml:space="preserve">以典型周期性运动项目（1-2个）的科研数据全链条分析应用为目标，构建跨学科综合分析智能体应用。智能体在</w:t>
      </w:r>
      <w:r>
        <w:rPr>
          <w:rFonts w:ascii="方正仿宋_GBK" w:hAnsi="方正仿宋_GBK" w:eastAsia="方正仿宋_GBK" w:cs="方正仿宋_GBK"/>
          <w:bCs w:val="0"/>
          <w:color w:val="000000"/>
          <w:sz w:val="28"/>
          <w:szCs w:val="28"/>
          <w:highlight w:val="none"/>
          <w:lang w:val="en-US" w:eastAsia="zh-CN"/>
        </w:rPr>
        <w:t xml:space="preserve">运动训练、运动健康、运动康复、运动营养、运动心理、生理生化、体能训练、生物力学</w:t>
      </w:r>
      <w:r>
        <w:rPr>
          <w:rFonts w:hint="eastAsia" w:ascii="方正仿宋_GBK" w:hAnsi="方正仿宋_GBK" w:eastAsia="方正仿宋_GBK" w:cs="方正仿宋_GBK"/>
          <w:bCs w:val="0"/>
          <w:color w:val="000000"/>
          <w:sz w:val="28"/>
          <w:szCs w:val="28"/>
          <w:highlight w:val="none"/>
          <w:lang w:val="en-US" w:eastAsia="zh-CN"/>
        </w:rPr>
        <w:t xml:space="preserve">等垂直学科数据基础上，通过知识图谱关联与大语言模型推理，实现训练负荷、身体机能、恢复水平三大核心维度的综合研判，自动识别运动损伤、过度疲劳等风险，并输出跨学科融合分析报告与针对性训练干预方案，支撑教练团队、科研人员的科学化决策。</w:t>
      </w:r>
      <w:r/>
    </w:p>
    <w:p>
      <w:pPr>
        <w:pStyle w:val="815"/>
        <w:ind w:firstLine="562"/>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b/>
          <w:bCs/>
          <w:color w:val="000000"/>
          <w:sz w:val="28"/>
          <w:szCs w:val="28"/>
          <w:highlight w:val="none"/>
          <w:lang w:val="en-US" w:eastAsia="zh-CN"/>
        </w:rPr>
      </w:pPr>
      <w:r>
        <w:rPr>
          <w:rFonts w:hint="eastAsia" w:ascii="方正仿宋_GBK" w:hAnsi="方正仿宋_GBK" w:eastAsia="方正仿宋_GBK" w:cs="方正仿宋_GBK"/>
          <w:b/>
          <w:bCs/>
          <w:color w:val="000000"/>
          <w:sz w:val="28"/>
          <w:szCs w:val="28"/>
          <w:highlight w:val="none"/>
          <w:lang w:val="en-US" w:eastAsia="zh-CN"/>
        </w:rPr>
        <w:t xml:space="preserve">6.1功能要求</w:t>
      </w:r>
      <w:r/>
    </w:p>
    <w:p>
      <w:pPr>
        <w:pStyle w:val="815"/>
        <w:ind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bCs w:val="0"/>
          <w:color w:val="000000"/>
          <w:sz w:val="28"/>
          <w:szCs w:val="28"/>
          <w:highlight w:val="none"/>
          <w:lang w:val="en-US" w:eastAsia="zh-CN"/>
        </w:rPr>
      </w:pPr>
      <w:r>
        <w:rPr>
          <w:rFonts w:hint="eastAsia" w:ascii="方正仿宋_GBK" w:hAnsi="方正仿宋_GBK" w:eastAsia="方正仿宋_GBK" w:cs="方正仿宋_GBK"/>
          <w:bCs w:val="0"/>
          <w:color w:val="000000"/>
          <w:sz w:val="28"/>
          <w:szCs w:val="28"/>
          <w:highlight w:val="none"/>
          <w:lang w:val="en-US" w:eastAsia="zh-CN"/>
        </w:rPr>
        <w:t xml:space="preserve">（1）综合学科智能体需在学科报告智能体的单学科数据基础上，通过知识图谱构建学科间指标关联关系（如免疫指标与训练负荷），支持以自然语言对话方式发起跨学科综合查询与推理分析，兼容单学科独立分析、多学科联合综合分析两类业务场景。</w:t>
      </w:r>
      <w:r/>
    </w:p>
    <w:p>
      <w:pPr>
        <w:pStyle w:val="815"/>
        <w:ind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bCs w:val="0"/>
          <w:color w:val="000000"/>
          <w:sz w:val="28"/>
          <w:szCs w:val="28"/>
          <w:highlight w:val="none"/>
          <w:lang w:val="en-US" w:eastAsia="zh-CN"/>
        </w:rPr>
      </w:pPr>
      <w:r>
        <w:rPr>
          <w:rFonts w:hint="eastAsia" w:ascii="方正仿宋_GBK" w:hAnsi="方正仿宋_GBK" w:eastAsia="方正仿宋_GBK" w:cs="方正仿宋_GBK"/>
          <w:bCs w:val="0"/>
          <w:color w:val="000000"/>
          <w:sz w:val="28"/>
          <w:szCs w:val="28"/>
          <w:highlight w:val="none"/>
          <w:lang w:val="en-US" w:eastAsia="zh-CN"/>
        </w:rPr>
        <w:t xml:space="preserve">（2）竞技状态综合研判</w:t>
      </w:r>
      <w:r/>
    </w:p>
    <w:p>
      <w:pPr>
        <w:pStyle w:val="815"/>
        <w:ind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bCs w:val="0"/>
          <w:color w:val="000000"/>
          <w:sz w:val="28"/>
          <w:szCs w:val="28"/>
          <w:highlight w:val="none"/>
          <w:lang w:val="en-US" w:eastAsia="zh-CN"/>
        </w:rPr>
      </w:pPr>
      <w:r>
        <w:rPr>
          <w:rFonts w:hint="eastAsia" w:ascii="方正仿宋_GBK" w:hAnsi="方正仿宋_GBK" w:eastAsia="方正仿宋_GBK" w:cs="方正仿宋_GBK"/>
          <w:bCs w:val="0"/>
          <w:color w:val="000000"/>
          <w:sz w:val="28"/>
          <w:szCs w:val="28"/>
          <w:highlight w:val="none"/>
          <w:lang w:val="en-US" w:eastAsia="zh-CN"/>
        </w:rPr>
        <w:t xml:space="preserve">智能体需围绕训练负荷、身体机能、恢复水平三大核心维度，对运动员竞技状态进行综合评估：</w:t>
      </w:r>
      <w:r/>
    </w:p>
    <w:p>
      <w:pPr>
        <w:pStyle w:val="815"/>
        <w:ind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bCs w:val="0"/>
          <w:color w:val="000000"/>
          <w:sz w:val="28"/>
          <w:szCs w:val="28"/>
          <w:highlight w:val="none"/>
          <w:lang w:val="en-US" w:eastAsia="zh-CN"/>
        </w:rPr>
      </w:pPr>
      <w:r>
        <w:rPr>
          <w:rFonts w:hint="eastAsia" w:ascii="方正仿宋_GBK" w:hAnsi="方正仿宋_GBK" w:eastAsia="方正仿宋_GBK" w:cs="方正仿宋_GBK"/>
          <w:bCs w:val="0"/>
          <w:color w:val="000000"/>
          <w:sz w:val="28"/>
          <w:szCs w:val="28"/>
          <w:highlight w:val="none"/>
          <w:lang w:val="en-US" w:eastAsia="zh-CN"/>
        </w:rPr>
        <w:t xml:space="preserve">①</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Cs w:val="0"/>
          <w:color w:val="000000"/>
          <w:sz w:val="28"/>
          <w:szCs w:val="28"/>
          <w:highlight w:val="none"/>
          <w:lang w:val="en-US" w:eastAsia="zh-CN"/>
        </w:rPr>
        <w:t xml:space="preserve">训练负荷维度：智能体整合主观训练负荷（RPE）、客观训练负荷（GPS/心率等，如已接入）与生化、内分泌指标（如CK、皮质醇、睾酮/皮质醇比值），自动计算急慢性负荷比等负荷监控指标，判定训练负荷是否处于合理区间。</w:t>
      </w:r>
      <w:r/>
    </w:p>
    <w:p>
      <w:pPr>
        <w:pStyle w:val="815"/>
        <w:ind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bCs w:val="0"/>
          <w:color w:val="000000"/>
          <w:sz w:val="28"/>
          <w:szCs w:val="28"/>
          <w:highlight w:val="none"/>
          <w:lang w:val="en-US" w:eastAsia="zh-CN"/>
        </w:rPr>
      </w:pPr>
      <w:r>
        <w:rPr>
          <w:rFonts w:hint="eastAsia" w:ascii="方正仿宋_GBK" w:hAnsi="方正仿宋_GBK" w:eastAsia="方正仿宋_GBK" w:cs="方正仿宋_GBK"/>
          <w:bCs w:val="0"/>
          <w:color w:val="000000"/>
          <w:sz w:val="28"/>
          <w:szCs w:val="28"/>
          <w:highlight w:val="none"/>
          <w:lang w:val="en-US" w:eastAsia="zh-CN"/>
        </w:rPr>
        <w:t xml:space="preserve">②</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Cs w:val="0"/>
          <w:color w:val="000000"/>
          <w:sz w:val="28"/>
          <w:szCs w:val="28"/>
          <w:highlight w:val="none"/>
          <w:lang w:val="en-US" w:eastAsia="zh-CN"/>
        </w:rPr>
        <w:t xml:space="preserve">身体机能维度：智能体综合体成分、有氧能力、无氧能力、血细胞等指标，生成机能状态综合评分，识别机能下降或异常波动的运动员及可能诱因。</w:t>
      </w:r>
      <w:r/>
    </w:p>
    <w:p>
      <w:pPr>
        <w:pStyle w:val="815"/>
        <w:ind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bCs w:val="0"/>
          <w:color w:val="000000"/>
          <w:sz w:val="28"/>
          <w:szCs w:val="28"/>
          <w:highlight w:val="none"/>
          <w:lang w:val="en-US" w:eastAsia="zh-CN"/>
        </w:rPr>
      </w:pPr>
      <w:r>
        <w:rPr>
          <w:rFonts w:hint="eastAsia" w:ascii="方正仿宋_GBK" w:hAnsi="方正仿宋_GBK" w:eastAsia="方正仿宋_GBK" w:cs="方正仿宋_GBK"/>
          <w:bCs w:val="0"/>
          <w:color w:val="000000"/>
          <w:sz w:val="28"/>
          <w:szCs w:val="28"/>
          <w:highlight w:val="none"/>
          <w:lang w:val="en-US" w:eastAsia="zh-CN"/>
        </w:rPr>
        <w:t xml:space="preserve">③</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Cs w:val="0"/>
          <w:color w:val="000000"/>
          <w:sz w:val="28"/>
          <w:szCs w:val="28"/>
          <w:highlight w:val="none"/>
          <w:lang w:val="en-US" w:eastAsia="zh-CN"/>
        </w:rPr>
        <w:t xml:space="preserve">恢复水平维度：智能体综合免疫、铁代谢、内分泌、神经压力、睡眠质量等指标的动态变化，评估运动员机体恢复程度，识别恢复不足或恢复延迟的个体。</w:t>
      </w:r>
      <w:r/>
    </w:p>
    <w:p>
      <w:pPr>
        <w:pStyle w:val="815"/>
        <w:ind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bCs w:val="0"/>
          <w:color w:val="000000"/>
          <w:sz w:val="28"/>
          <w:szCs w:val="28"/>
          <w:highlight w:val="none"/>
          <w:lang w:val="en-US" w:eastAsia="zh-CN"/>
        </w:rPr>
      </w:pPr>
      <w:r>
        <w:rPr>
          <w:rFonts w:hint="eastAsia" w:ascii="方正仿宋_GBK" w:hAnsi="方正仿宋_GBK" w:eastAsia="方正仿宋_GBK" w:cs="方正仿宋_GBK"/>
          <w:bCs w:val="0"/>
          <w:color w:val="000000"/>
          <w:sz w:val="28"/>
          <w:szCs w:val="28"/>
          <w:highlight w:val="none"/>
          <w:lang w:val="en-US" w:eastAsia="zh-CN"/>
        </w:rPr>
        <w:t xml:space="preserve">④</w:t>
      </w:r>
      <w:r>
        <w:rPr>
          <w:rFonts w:hint="eastAsia" w:ascii="方正仿宋_GBK" w:hAnsi="方正仿宋_GBK" w:eastAsia="方正仿宋_GBK" w:cs="方正仿宋_GBK"/>
          <w:bCs w:val="0"/>
          <w:sz w:val="28"/>
          <w:szCs w:val="28"/>
          <w:highlight w:val="none"/>
          <w:lang w:val="en-US" w:eastAsia="zh-CN"/>
        </w:rPr>
        <w:t xml:space="preserve">▲</w:t>
      </w:r>
      <w:r>
        <w:rPr>
          <w:rFonts w:hint="eastAsia" w:ascii="方正仿宋_GBK" w:hAnsi="方正仿宋_GBK" w:eastAsia="方正仿宋_GBK" w:cs="方正仿宋_GBK"/>
          <w:bCs w:val="0"/>
          <w:color w:val="000000"/>
          <w:sz w:val="28"/>
          <w:szCs w:val="28"/>
          <w:highlight w:val="none"/>
          <w:lang w:val="en-US" w:eastAsia="zh-CN"/>
        </w:rPr>
        <w:t xml:space="preserve">智能体需支持将三大维度评估结果进行加权融合，输出竞技状态综合研判结论，并以量化评分与等级（如良好/关注/预警）形式呈现。</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提供</w:t>
      </w:r>
      <w:r>
        <w:rPr>
          <w:rFonts w:hint="eastAsia" w:ascii="方正仿宋_GBK" w:hAnsi="方正仿宋_GBK" w:eastAsia="方正仿宋_GBK" w:cs="方正仿宋_GBK"/>
          <w:sz w:val="28"/>
          <w:szCs w:val="28"/>
          <w:highlight w:val="none"/>
        </w:rPr>
        <w:t xml:space="preserve">同类项目类似功能的系统截图</w:t>
      </w:r>
      <w:r>
        <w:rPr>
          <w:rFonts w:hint="eastAsia" w:ascii="方正仿宋_GBK" w:hAnsi="方正仿宋_GBK" w:eastAsia="方正仿宋_GBK" w:cs="方正仿宋_GBK"/>
          <w:sz w:val="28"/>
          <w:szCs w:val="28"/>
          <w:highlight w:val="none"/>
          <w:lang w:eastAsia="zh-CN"/>
        </w:rPr>
        <w:t xml:space="preserve">）</w:t>
      </w:r>
      <w:r/>
    </w:p>
    <w:p>
      <w:pPr>
        <w:pStyle w:val="815"/>
        <w:ind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bCs w:val="0"/>
          <w:color w:val="000000"/>
          <w:sz w:val="28"/>
          <w:szCs w:val="28"/>
          <w:highlight w:val="none"/>
          <w:lang w:val="en-US" w:eastAsia="zh-CN"/>
        </w:rPr>
      </w:pPr>
      <w:r>
        <w:rPr>
          <w:rFonts w:hint="eastAsia" w:ascii="方正仿宋_GBK" w:hAnsi="方正仿宋_GBK" w:eastAsia="方正仿宋_GBK" w:cs="方正仿宋_GBK"/>
          <w:bCs w:val="0"/>
          <w:color w:val="000000"/>
          <w:sz w:val="28"/>
          <w:szCs w:val="28"/>
          <w:highlight w:val="none"/>
          <w:lang w:val="en-US" w:eastAsia="zh-CN"/>
        </w:rPr>
        <w:t xml:space="preserve">（3）风险自动识别</w:t>
      </w:r>
      <w:r/>
    </w:p>
    <w:p>
      <w:pPr>
        <w:pStyle w:val="815"/>
        <w:ind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bCs w:val="0"/>
          <w:color w:val="000000"/>
          <w:sz w:val="28"/>
          <w:szCs w:val="28"/>
          <w:highlight w:val="none"/>
          <w:lang w:val="en-US" w:eastAsia="zh-CN"/>
        </w:rPr>
      </w:pPr>
      <w:r>
        <w:rPr>
          <w:rFonts w:hint="eastAsia" w:ascii="方正仿宋_GBK" w:hAnsi="方正仿宋_GBK" w:eastAsia="方正仿宋_GBK" w:cs="方正仿宋_GBK"/>
          <w:bCs w:val="0"/>
          <w:color w:val="000000"/>
          <w:sz w:val="28"/>
          <w:szCs w:val="28"/>
          <w:highlight w:val="none"/>
          <w:lang w:val="en-US" w:eastAsia="zh-CN"/>
        </w:rPr>
        <w:t xml:space="preserve">①智能体需具备运动负荷监测下的运动损伤风险与过度疲劳（过度训练综合征）风险自动识别能力，基于多学科指标的组合异常模式进行风险判定，降低单指标误判率。</w:t>
      </w:r>
      <w:r/>
    </w:p>
    <w:p>
      <w:pPr>
        <w:pStyle w:val="815"/>
        <w:ind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bCs w:val="0"/>
          <w:color w:val="000000"/>
          <w:sz w:val="28"/>
          <w:szCs w:val="28"/>
          <w:highlight w:val="none"/>
          <w:lang w:val="en-US" w:eastAsia="zh-CN"/>
        </w:rPr>
      </w:pPr>
      <w:r>
        <w:rPr>
          <w:rFonts w:hint="eastAsia" w:ascii="方正仿宋_GBK" w:hAnsi="方正仿宋_GBK" w:eastAsia="方正仿宋_GBK" w:cs="方正仿宋_GBK"/>
          <w:bCs w:val="0"/>
          <w:color w:val="000000"/>
          <w:sz w:val="28"/>
          <w:szCs w:val="28"/>
          <w:highlight w:val="none"/>
          <w:lang w:val="en-US" w:eastAsia="zh-CN"/>
        </w:rPr>
        <w:t xml:space="preserve">②▲智能体需支持运动员机能恢复能力的评估及恢复不足的风险等级分级（如低/中/高风险），并对机能恢复不足高风险个体自动生成预警提示，标注风险关联的核心指标与学科来源。</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提供</w:t>
      </w:r>
      <w:r>
        <w:rPr>
          <w:rFonts w:hint="eastAsia" w:ascii="方正仿宋_GBK" w:hAnsi="方正仿宋_GBK" w:eastAsia="方正仿宋_GBK" w:cs="方正仿宋_GBK"/>
          <w:sz w:val="28"/>
          <w:szCs w:val="28"/>
          <w:highlight w:val="none"/>
        </w:rPr>
        <w:t xml:space="preserve">同类项目类似功能的系统截图</w:t>
      </w:r>
      <w:r>
        <w:rPr>
          <w:rFonts w:hint="eastAsia" w:ascii="方正仿宋_GBK" w:hAnsi="方正仿宋_GBK" w:eastAsia="方正仿宋_GBK" w:cs="方正仿宋_GBK"/>
          <w:sz w:val="28"/>
          <w:szCs w:val="28"/>
          <w:highlight w:val="none"/>
          <w:lang w:eastAsia="zh-CN"/>
        </w:rPr>
        <w:t xml:space="preserve">）</w:t>
      </w:r>
      <w:r/>
    </w:p>
    <w:p>
      <w:pPr>
        <w:pStyle w:val="815"/>
        <w:ind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bCs w:val="0"/>
          <w:color w:val="000000"/>
          <w:sz w:val="28"/>
          <w:szCs w:val="28"/>
          <w:highlight w:val="none"/>
          <w:lang w:val="en-US" w:eastAsia="zh-CN"/>
        </w:rPr>
      </w:pPr>
      <w:r>
        <w:rPr>
          <w:rFonts w:hint="eastAsia" w:ascii="方正仿宋_GBK" w:hAnsi="方正仿宋_GBK" w:eastAsia="方正仿宋_GBK" w:cs="方正仿宋_GBK"/>
          <w:bCs w:val="0"/>
          <w:color w:val="000000"/>
          <w:sz w:val="28"/>
          <w:szCs w:val="28"/>
          <w:highlight w:val="none"/>
          <w:lang w:val="en-US" w:eastAsia="zh-CN"/>
        </w:rPr>
        <w:t xml:space="preserve">③智能体需支持风险识别结果的历史追溯，便于科研人员回溯风险发生前的指标演变轨迹，验证风险模型的有效性。</w:t>
      </w:r>
      <w:r/>
    </w:p>
    <w:p>
      <w:pPr>
        <w:pStyle w:val="815"/>
        <w:ind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bCs w:val="0"/>
          <w:color w:val="000000"/>
          <w:sz w:val="28"/>
          <w:szCs w:val="28"/>
          <w:highlight w:val="none"/>
          <w:lang w:val="en-US" w:eastAsia="zh-CN"/>
        </w:rPr>
      </w:pPr>
      <w:r>
        <w:rPr>
          <w:rFonts w:hint="eastAsia" w:ascii="方正仿宋_GBK" w:hAnsi="方正仿宋_GBK" w:eastAsia="方正仿宋_GBK" w:cs="方正仿宋_GBK"/>
          <w:bCs w:val="0"/>
          <w:color w:val="000000"/>
          <w:sz w:val="28"/>
          <w:szCs w:val="28"/>
          <w:highlight w:val="none"/>
          <w:lang w:val="en-US" w:eastAsia="zh-CN"/>
        </w:rPr>
        <w:t xml:space="preserve">（4）多学科融合分析报告自动生成</w:t>
      </w:r>
      <w:r/>
    </w:p>
    <w:p>
      <w:pPr>
        <w:pStyle w:val="815"/>
        <w:ind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bCs w:val="0"/>
          <w:color w:val="000000"/>
          <w:sz w:val="28"/>
          <w:szCs w:val="28"/>
          <w:highlight w:val="none"/>
          <w:lang w:val="en-US" w:eastAsia="zh-CN"/>
        </w:rPr>
      </w:pPr>
      <w:r>
        <w:rPr>
          <w:rFonts w:hint="eastAsia" w:ascii="方正仿宋_GBK" w:hAnsi="方正仿宋_GBK" w:eastAsia="方正仿宋_GBK" w:cs="方正仿宋_GBK"/>
          <w:bCs w:val="0"/>
          <w:color w:val="000000"/>
          <w:sz w:val="28"/>
          <w:szCs w:val="28"/>
          <w:highlight w:val="none"/>
          <w:lang w:val="en-US" w:eastAsia="zh-CN"/>
        </w:rPr>
        <w:t xml:space="preserve">①团队综合版报告：面向教练团队，智能体支持批量生成全队竞技状态综合报告，按队员维度展示三大核心维度评分、风险等级，并自动生成团队风险分布、维度对比等可视化图表。</w:t>
      </w:r>
      <w:r/>
    </w:p>
    <w:p>
      <w:pPr>
        <w:pStyle w:val="815"/>
        <w:ind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bCs w:val="0"/>
          <w:color w:val="000000"/>
          <w:sz w:val="28"/>
          <w:szCs w:val="28"/>
          <w:highlight w:val="none"/>
          <w:lang w:val="en-US" w:eastAsia="zh-CN"/>
        </w:rPr>
      </w:pPr>
      <w:r>
        <w:rPr>
          <w:rFonts w:hint="eastAsia" w:ascii="方正仿宋_GBK" w:hAnsi="方正仿宋_GBK" w:eastAsia="方正仿宋_GBK" w:cs="方正仿宋_GBK"/>
          <w:bCs w:val="0"/>
          <w:color w:val="000000"/>
          <w:sz w:val="28"/>
          <w:szCs w:val="28"/>
          <w:highlight w:val="none"/>
          <w:lang w:val="en-US" w:eastAsia="zh-CN"/>
        </w:rPr>
        <w:t xml:space="preserve">②个人综合版报告：面向运动员个人，智能体以简明易懂的方式呈现个人竞技状态综合评估结果、风险提示及针对性建议，避免专业术语堆砌。</w:t>
      </w:r>
      <w:r/>
    </w:p>
    <w:p>
      <w:pPr>
        <w:pStyle w:val="815"/>
        <w:ind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bCs w:val="0"/>
          <w:color w:val="000000"/>
          <w:sz w:val="28"/>
          <w:szCs w:val="28"/>
          <w:highlight w:val="none"/>
          <w:lang w:val="en-US" w:eastAsia="zh-CN"/>
        </w:rPr>
      </w:pPr>
      <w:r>
        <w:rPr>
          <w:rFonts w:hint="eastAsia" w:ascii="方正仿宋_GBK" w:hAnsi="方正仿宋_GBK" w:eastAsia="方正仿宋_GBK" w:cs="方正仿宋_GBK"/>
          <w:bCs w:val="0"/>
          <w:color w:val="000000"/>
          <w:sz w:val="28"/>
          <w:szCs w:val="28"/>
          <w:highlight w:val="none"/>
          <w:lang w:val="en-US" w:eastAsia="zh-CN"/>
        </w:rPr>
        <w:t xml:space="preserve">③科研综合版报告：面向科研人员，智能体全面呈现跨学科指标关联分析过程、模型计算依据与置信度，支持数据溯源与方法学复核。</w:t>
      </w:r>
      <w:r/>
    </w:p>
    <w:p>
      <w:pPr>
        <w:pStyle w:val="815"/>
        <w:ind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bCs w:val="0"/>
          <w:color w:val="000000"/>
          <w:sz w:val="28"/>
          <w:szCs w:val="28"/>
          <w:highlight w:val="none"/>
          <w:lang w:val="en-US" w:eastAsia="zh-CN"/>
        </w:rPr>
      </w:pPr>
      <w:r>
        <w:rPr>
          <w:rFonts w:hint="eastAsia" w:ascii="方正仿宋_GBK" w:hAnsi="方正仿宋_GBK" w:eastAsia="方正仿宋_GBK" w:cs="方正仿宋_GBK"/>
          <w:bCs w:val="0"/>
          <w:color w:val="000000"/>
          <w:sz w:val="28"/>
          <w:szCs w:val="28"/>
          <w:highlight w:val="none"/>
          <w:lang w:val="en-US" w:eastAsia="zh-CN"/>
        </w:rPr>
        <w:t xml:space="preserve">（5）针对性训练干预方案智能规划</w:t>
      </w:r>
      <w:r/>
    </w:p>
    <w:p>
      <w:pPr>
        <w:pStyle w:val="815"/>
        <w:ind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bCs w:val="0"/>
          <w:color w:val="000000"/>
          <w:sz w:val="28"/>
          <w:szCs w:val="28"/>
          <w:highlight w:val="none"/>
          <w:lang w:val="en-US" w:eastAsia="zh-CN"/>
        </w:rPr>
      </w:pPr>
      <w:r>
        <w:rPr>
          <w:rFonts w:hint="eastAsia" w:ascii="方正仿宋_GBK" w:hAnsi="方正仿宋_GBK" w:eastAsia="方正仿宋_GBK" w:cs="方正仿宋_GBK"/>
          <w:bCs w:val="0"/>
          <w:color w:val="000000"/>
          <w:sz w:val="28"/>
          <w:szCs w:val="28"/>
          <w:highlight w:val="none"/>
          <w:lang w:val="en-US" w:eastAsia="zh-CN"/>
        </w:rPr>
        <w:t xml:space="preserve">①</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Cs w:val="0"/>
          <w:color w:val="000000"/>
          <w:sz w:val="28"/>
          <w:szCs w:val="28"/>
          <w:highlight w:val="none"/>
          <w:lang w:val="en-US" w:eastAsia="zh-CN"/>
        </w:rPr>
        <w:t xml:space="preserve">智能体需基于综合研判结果与风险识别结论，自动匹配并生成个性化训练干预方案，涵盖训练负荷调整建议、恢复措施建议、营养/医学转介建议等。</w:t>
      </w:r>
      <w:r/>
    </w:p>
    <w:p>
      <w:pPr>
        <w:pStyle w:val="815"/>
        <w:ind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bCs w:val="0"/>
          <w:color w:val="000000"/>
          <w:sz w:val="28"/>
          <w:szCs w:val="28"/>
          <w:highlight w:val="none"/>
          <w:lang w:val="en-US" w:eastAsia="zh-CN"/>
        </w:rPr>
      </w:pPr>
      <w:r>
        <w:rPr>
          <w:rFonts w:hint="eastAsia" w:ascii="方正仿宋_GBK" w:hAnsi="方正仿宋_GBK" w:eastAsia="方正仿宋_GBK" w:cs="方正仿宋_GBK"/>
          <w:bCs w:val="0"/>
          <w:color w:val="000000"/>
          <w:sz w:val="28"/>
          <w:szCs w:val="28"/>
          <w:highlight w:val="none"/>
          <w:lang w:val="en-US" w:eastAsia="zh-CN"/>
        </w:rPr>
        <w:t xml:space="preserve">②智能体支持干预方案库的动态维护与更新，支持科研人员对方案模板进行编辑、审核与版本管理。</w:t>
      </w:r>
      <w:r/>
    </w:p>
    <w:p>
      <w:pPr>
        <w:pStyle w:val="815"/>
        <w:ind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bCs w:val="0"/>
          <w:color w:val="000000"/>
          <w:sz w:val="28"/>
          <w:szCs w:val="28"/>
          <w:highlight w:val="none"/>
          <w:lang w:val="en-US" w:eastAsia="zh-CN"/>
        </w:rPr>
      </w:pPr>
      <w:r>
        <w:rPr>
          <w:rFonts w:hint="eastAsia" w:ascii="方正仿宋_GBK" w:hAnsi="方正仿宋_GBK" w:eastAsia="方正仿宋_GBK" w:cs="方正仿宋_GBK"/>
          <w:bCs w:val="0"/>
          <w:color w:val="000000"/>
          <w:sz w:val="28"/>
          <w:szCs w:val="28"/>
          <w:highlight w:val="none"/>
          <w:lang w:val="en-US" w:eastAsia="zh-CN"/>
        </w:rPr>
        <w:t xml:space="preserve">③</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Cs w:val="0"/>
          <w:color w:val="000000"/>
          <w:sz w:val="28"/>
          <w:szCs w:val="28"/>
          <w:highlight w:val="none"/>
          <w:lang w:val="en-US" w:eastAsia="zh-CN"/>
        </w:rPr>
        <w:t xml:space="preserve">智能体输出的干预方案需注明关联的判定依据（对应学科指标与研判维度），确保方案可解释、可追溯。</w:t>
      </w:r>
      <w:r/>
    </w:p>
    <w:p>
      <w:pPr>
        <w:ind w:firstLine="420"/>
        <w:keepLines w:val="0"/>
        <w:keepNext w:val="0"/>
        <w:pageBreakBefore w:val="0"/>
        <w:spacing w:line="400" w:lineRule="exact"/>
        <w:widowControl w:val="off"/>
        <w:rPr>
          <w:rFonts w:hint="eastAsia" w:ascii="方正仿宋_GBK" w:hAnsi="方正仿宋_GBK" w:eastAsia="方正仿宋_GBK" w:cs="方正仿宋_GBK"/>
          <w:b/>
          <w:bCs/>
          <w:color w:val="000000"/>
          <w:sz w:val="28"/>
          <w:szCs w:val="28"/>
          <w:highlight w:val="none"/>
          <w:lang w:val="en-US" w:eastAsia="zh-CN"/>
        </w:rPr>
      </w:pPr>
      <w:r>
        <w:rPr>
          <w:rFonts w:hint="eastAsia" w:ascii="方正仿宋_GBK" w:hAnsi="方正仿宋_GBK" w:eastAsia="方正仿宋_GBK" w:cs="方正仿宋_GBK"/>
          <w:b/>
          <w:bCs/>
          <w:color w:val="000000"/>
          <w:sz w:val="28"/>
          <w:szCs w:val="28"/>
          <w:highlight w:val="none"/>
          <w:lang w:val="en-US" w:eastAsia="zh-CN"/>
        </w:rPr>
        <w:t xml:space="preserve">6.2技术参数</w:t>
      </w:r>
      <w:r/>
    </w:p>
    <w:p>
      <w:pPr>
        <w:ind w:firstLine="420"/>
        <w:keepLines w:val="0"/>
        <w:keepNext w:val="0"/>
        <w:pageBreakBefore w:val="0"/>
        <w:spacing w:line="400" w:lineRule="exact"/>
        <w:widowControl w:val="off"/>
        <w:rPr>
          <w:rFonts w:hint="eastAsia" w:ascii="方正仿宋_GBK" w:hAnsi="方正仿宋_GBK" w:eastAsia="方正仿宋_GBK" w:cs="方正仿宋_GBK"/>
          <w:bCs w:val="0"/>
          <w:color w:val="000000"/>
          <w:sz w:val="28"/>
          <w:szCs w:val="28"/>
          <w:highlight w:val="none"/>
          <w:lang w:val="en-US" w:eastAsia="zh-CN"/>
        </w:rPr>
      </w:pPr>
      <w:r>
        <w:rPr>
          <w:rFonts w:hint="eastAsia" w:ascii="方正仿宋_GBK" w:hAnsi="方正仿宋_GBK" w:eastAsia="方正仿宋_GBK" w:cs="方正仿宋_GBK"/>
          <w:bCs w:val="0"/>
          <w:color w:val="000000"/>
          <w:sz w:val="28"/>
          <w:szCs w:val="28"/>
          <w:highlight w:val="none"/>
          <w:lang w:val="en-US" w:eastAsia="zh-CN"/>
        </w:rPr>
        <w:t xml:space="preserve">(1)学科覆盖范围：智能体需整合</w:t>
      </w:r>
      <w:r>
        <w:rPr>
          <w:rFonts w:ascii="方正仿宋_GBK" w:hAnsi="方正仿宋_GBK" w:eastAsia="方正仿宋_GBK" w:cs="方正仿宋_GBK"/>
          <w:bCs w:val="0"/>
          <w:sz w:val="28"/>
          <w:szCs w:val="28"/>
          <w:highlight w:val="none"/>
          <w:lang w:val="en-US" w:eastAsia="zh-CN"/>
        </w:rPr>
        <w:t xml:space="preserve">运动训练、运动健康、运动康复、运动营养、运动心理、生理生化、体能训练、生物力学</w:t>
      </w:r>
      <w:r>
        <w:rPr>
          <w:rFonts w:hint="eastAsia" w:ascii="方正仿宋_GBK" w:hAnsi="方正仿宋_GBK" w:eastAsia="方正仿宋_GBK" w:cs="方正仿宋_GBK"/>
          <w:bCs w:val="0"/>
          <w:color w:val="000000"/>
          <w:sz w:val="28"/>
          <w:szCs w:val="28"/>
          <w:highlight w:val="none"/>
          <w:lang w:val="en-US" w:eastAsia="zh-CN"/>
        </w:rPr>
        <w:t xml:space="preserve">等垂直学科全量指标数据。</w:t>
      </w:r>
      <w:r/>
    </w:p>
    <w:p>
      <w:pPr>
        <w:ind w:firstLine="420"/>
        <w:keepLines w:val="0"/>
        <w:keepNext w:val="0"/>
        <w:pageBreakBefore w:val="0"/>
        <w:spacing w:line="400" w:lineRule="exact"/>
        <w:widowControl w:val="off"/>
        <w:rPr>
          <w:rFonts w:hint="eastAsia" w:ascii="方正仿宋_GBK" w:hAnsi="方正仿宋_GBK" w:eastAsia="方正仿宋_GBK" w:cs="方正仿宋_GBK"/>
          <w:bCs w:val="0"/>
          <w:color w:val="000000"/>
          <w:sz w:val="28"/>
          <w:szCs w:val="28"/>
          <w:highlight w:val="none"/>
          <w:lang w:val="en-US" w:eastAsia="zh-CN"/>
        </w:rPr>
      </w:pPr>
      <w:r>
        <w:rPr>
          <w:rFonts w:hint="eastAsia" w:ascii="方正仿宋_GBK" w:hAnsi="方正仿宋_GBK" w:eastAsia="方正仿宋_GBK" w:cs="方正仿宋_GBK"/>
          <w:bCs w:val="0"/>
          <w:color w:val="000000"/>
          <w:sz w:val="28"/>
          <w:szCs w:val="28"/>
          <w:highlight w:val="none"/>
          <w:lang w:val="en-US" w:eastAsia="zh-CN"/>
        </w:rPr>
        <w:t xml:space="preserve">(2)</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Cs w:val="0"/>
          <w:color w:val="000000"/>
          <w:sz w:val="28"/>
          <w:szCs w:val="28"/>
          <w:highlight w:val="none"/>
          <w:lang w:val="en-US" w:eastAsia="zh-CN"/>
        </w:rPr>
        <w:t xml:space="preserve">核心研判维度：训练负荷、身体机能、恢复水平三大核心维度，支持维度权重可配置。</w:t>
      </w:r>
      <w:r/>
    </w:p>
    <w:p>
      <w:pPr>
        <w:ind w:firstLine="420"/>
        <w:keepLines w:val="0"/>
        <w:keepNext w:val="0"/>
        <w:pageBreakBefore w:val="0"/>
        <w:spacing w:line="400" w:lineRule="exact"/>
        <w:widowControl w:val="off"/>
        <w:rPr>
          <w:rFonts w:hint="eastAsia" w:ascii="方正仿宋_GBK" w:hAnsi="方正仿宋_GBK" w:eastAsia="方正仿宋_GBK" w:cs="方正仿宋_GBK"/>
          <w:bCs w:val="0"/>
          <w:color w:val="000000"/>
          <w:sz w:val="28"/>
          <w:szCs w:val="28"/>
          <w:highlight w:val="none"/>
          <w:lang w:val="en-US" w:eastAsia="zh-CN"/>
        </w:rPr>
      </w:pPr>
      <w:r>
        <w:rPr>
          <w:rFonts w:hint="eastAsia" w:ascii="方正仿宋_GBK" w:hAnsi="方正仿宋_GBK" w:eastAsia="方正仿宋_GBK" w:cs="方正仿宋_GBK"/>
          <w:bCs w:val="0"/>
          <w:color w:val="000000"/>
          <w:sz w:val="28"/>
          <w:szCs w:val="28"/>
          <w:highlight w:val="none"/>
          <w:lang w:val="en-US" w:eastAsia="zh-CN"/>
        </w:rPr>
        <w:t xml:space="preserve">(3)风险识别类型：至少覆盖运动损伤风险、过度疲劳（过度训练综合征）风险两类，支持风险类型的规则扩展。需基于训练、体能、生理等相关指标识别运动损伤风险、过度疲劳风险，并在输出结果中完整体现风险类型、风险等级、主要触发指标及风险判定依据。</w:t>
      </w:r>
      <w:r/>
    </w:p>
    <w:p>
      <w:pPr>
        <w:ind w:firstLine="420"/>
        <w:keepLines w:val="0"/>
        <w:keepNext w:val="0"/>
        <w:pageBreakBefore w:val="0"/>
        <w:spacing w:line="400" w:lineRule="exact"/>
        <w:widowControl w:val="off"/>
        <w:rPr>
          <w:rFonts w:hint="eastAsia" w:ascii="方正仿宋_GBK" w:hAnsi="方正仿宋_GBK" w:eastAsia="方正仿宋_GBK" w:cs="方正仿宋_GBK"/>
          <w:bCs w:val="0"/>
          <w:color w:val="000000"/>
          <w:sz w:val="28"/>
          <w:szCs w:val="28"/>
          <w:highlight w:val="none"/>
          <w:lang w:val="en-US" w:eastAsia="zh-CN"/>
        </w:rPr>
      </w:pPr>
      <w:r>
        <w:rPr>
          <w:rFonts w:hint="eastAsia" w:ascii="方正仿宋_GBK" w:hAnsi="方正仿宋_GBK" w:eastAsia="方正仿宋_GBK" w:cs="方正仿宋_GBK"/>
          <w:bCs w:val="0"/>
          <w:color w:val="000000"/>
          <w:sz w:val="28"/>
          <w:szCs w:val="28"/>
          <w:highlight w:val="none"/>
          <w:lang w:val="en-US" w:eastAsia="zh-CN"/>
        </w:rPr>
        <w:t xml:space="preserve">(4)报告类型覆盖：智能体需支持团队综合版、个人综合版、科研综合版3类核心综合报告。</w:t>
      </w:r>
      <w:r/>
    </w:p>
    <w:p>
      <w:pPr>
        <w:ind w:firstLine="420"/>
        <w:keepLines w:val="0"/>
        <w:keepNext w:val="0"/>
        <w:pageBreakBefore w:val="0"/>
        <w:spacing w:line="400" w:lineRule="exact"/>
        <w:widowControl w:val="off"/>
        <w:rPr>
          <w:rFonts w:hint="eastAsia" w:ascii="方正仿宋_GBK" w:hAnsi="方正仿宋_GBK" w:eastAsia="方正仿宋_GBK" w:cs="方正仿宋_GBK"/>
          <w:bCs w:val="0"/>
          <w:color w:val="000000"/>
          <w:sz w:val="28"/>
          <w:szCs w:val="28"/>
          <w:highlight w:val="none"/>
          <w:lang w:val="en-US" w:eastAsia="zh-CN"/>
        </w:rPr>
      </w:pPr>
      <w:r>
        <w:rPr>
          <w:rFonts w:hint="eastAsia" w:ascii="方正仿宋_GBK" w:hAnsi="方正仿宋_GBK" w:eastAsia="方正仿宋_GBK" w:cs="方正仿宋_GBK"/>
          <w:bCs w:val="0"/>
          <w:color w:val="000000"/>
          <w:sz w:val="28"/>
          <w:szCs w:val="28"/>
          <w:highlight w:val="none"/>
          <w:lang w:val="en-US" w:eastAsia="zh-CN"/>
        </w:rPr>
        <w:t xml:space="preserve">(5)分析模型能力：智能体需内置跨学科指标关联分析模型（知识图谱驱动）、竞技状态综合评分模型、风险预测模型，支持模型规则的可配置与迭代更新。需基于知识图谱对训练、体能、生理、生化、医疗、心理等不同学科指标开展关联分析，并在输出结果中完整体现关联指标、关联关系或推理路径、关键影响因素及综合分析结论。</w:t>
      </w:r>
      <w:r/>
    </w:p>
    <w:p>
      <w:pPr>
        <w:ind w:firstLine="420"/>
        <w:keepLines w:val="0"/>
        <w:keepNext w:val="0"/>
        <w:pageBreakBefore w:val="0"/>
        <w:spacing w:line="400" w:lineRule="exact"/>
        <w:widowControl w:val="off"/>
        <w:rPr>
          <w:rFonts w:hint="eastAsia" w:ascii="方正仿宋_GBK" w:hAnsi="方正仿宋_GBK" w:eastAsia="方正仿宋_GBK" w:cs="方正仿宋_GBK"/>
          <w:bCs w:val="0"/>
          <w:color w:val="000000"/>
          <w:sz w:val="28"/>
          <w:szCs w:val="28"/>
          <w:highlight w:val="none"/>
          <w:lang w:val="en-US" w:eastAsia="zh-CN"/>
        </w:rPr>
      </w:pPr>
      <w:r>
        <w:rPr>
          <w:rFonts w:hint="eastAsia" w:ascii="方正仿宋_GBK" w:hAnsi="方正仿宋_GBK" w:eastAsia="方正仿宋_GBK" w:cs="方正仿宋_GBK"/>
          <w:bCs w:val="0"/>
          <w:color w:val="000000"/>
          <w:sz w:val="28"/>
          <w:szCs w:val="28"/>
          <w:highlight w:val="none"/>
          <w:lang w:val="en-US" w:eastAsia="zh-CN"/>
        </w:rPr>
        <w:t xml:space="preserve">(6)可视化能力：智能体内置跨学科图表引擎，支持关联热力图、雷达图、多维度趋势叠加图等图表类型；图表支持多学科数据叠加展示、时间轴自定义、数据标签显示，趋势数据精度保留至小数点后2位。</w:t>
      </w:r>
      <w:r/>
    </w:p>
    <w:p>
      <w:pPr>
        <w:ind w:firstLine="420"/>
        <w:keepLines w:val="0"/>
        <w:keepNext w:val="0"/>
        <w:pageBreakBefore w:val="0"/>
        <w:spacing w:line="400" w:lineRule="exact"/>
        <w:widowControl w:val="off"/>
        <w:rPr>
          <w:rFonts w:hint="eastAsia" w:ascii="方正仿宋_GBK" w:hAnsi="方正仿宋_GBK" w:eastAsia="方正仿宋_GBK" w:cs="方正仿宋_GBK"/>
          <w:bCs w:val="0"/>
          <w:color w:val="000000"/>
          <w:sz w:val="28"/>
          <w:szCs w:val="28"/>
          <w:highlight w:val="none"/>
          <w:lang w:val="en-US" w:eastAsia="zh-CN"/>
        </w:rPr>
      </w:pPr>
      <w:r>
        <w:rPr>
          <w:rFonts w:hint="eastAsia" w:ascii="方正仿宋_GBK" w:hAnsi="方正仿宋_GBK" w:eastAsia="方正仿宋_GBK" w:cs="方正仿宋_GBK"/>
          <w:bCs w:val="0"/>
          <w:color w:val="000000"/>
          <w:sz w:val="28"/>
          <w:szCs w:val="28"/>
          <w:highlight w:val="none"/>
          <w:lang w:val="en-US" w:eastAsia="zh-CN"/>
        </w:rPr>
        <w:t xml:space="preserve">(7)</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查询推理性能量化指标：智能体单次查询推理响应时间≤5秒、跨学科联合推理全流程响应时间≤</w:t>
      </w:r>
      <w:r>
        <w:rPr>
          <w:rFonts w:hint="eastAsia" w:ascii="方正仿宋_GBK" w:hAnsi="方正仿宋_GBK" w:eastAsia="方正仿宋_GBK" w:cs="方正仿宋_GBK"/>
          <w:sz w:val="28"/>
          <w:szCs w:val="28"/>
          <w:highlight w:val="none"/>
          <w:lang w:val="en-US" w:eastAsia="zh-CN"/>
        </w:rPr>
        <w:t xml:space="preserve">10</w:t>
      </w:r>
      <w:r>
        <w:rPr>
          <w:rFonts w:hint="eastAsia" w:ascii="方正仿宋_GBK" w:hAnsi="方正仿宋_GBK" w:eastAsia="方正仿宋_GBK" w:cs="方正仿宋_GBK"/>
          <w:sz w:val="28"/>
          <w:szCs w:val="28"/>
          <w:highlight w:val="none"/>
        </w:rPr>
        <w:t xml:space="preserve">秒，保障多角色人员实时数据分析、报告生成使用体验。</w:t>
      </w:r>
      <w:r/>
    </w:p>
    <w:p>
      <w:pPr>
        <w:pStyle w:val="7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lang w:val="en-US" w:eastAsia="zh-CN"/>
        </w:rPr>
        <w:t xml:space="preserve">四</w:t>
      </w:r>
      <w:r>
        <w:rPr>
          <w:rFonts w:hint="eastAsia" w:ascii="方正黑体_GBK" w:hAnsi="方正黑体_GBK" w:eastAsia="方正黑体_GBK" w:cs="方正黑体_GBK"/>
          <w:b w:val="0"/>
          <w:bCs/>
          <w:sz w:val="28"/>
          <w:szCs w:val="28"/>
          <w:highlight w:val="none"/>
        </w:rPr>
        <w:t xml:space="preserve">、商务要求</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服务期限</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合同签订后</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个月内完成所有成果的交付。</w:t>
      </w:r>
      <w:r/>
    </w:p>
    <w:p>
      <w:pPr>
        <w:numPr>
          <w:ilvl w:val="0"/>
          <w:numId w:val="4"/>
        </w:num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付款方式</w:t>
      </w:r>
      <w:r/>
    </w:p>
    <w:p>
      <w:pPr>
        <w:numPr>
          <w:ilvl w:val="0"/>
          <w:numId w:val="0"/>
        </w:numPr>
        <w:ind w:firstLine="420"/>
        <w:keepLines w:val="0"/>
        <w:keepNext w:val="0"/>
        <w:pageBreakBefore w:val="0"/>
        <w:spacing w:line="400" w:lineRule="exact"/>
        <w:widowControl w:val="off"/>
        <w:rPr>
          <w:rFonts w:hint="default"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2.1付款进度</w:t>
      </w:r>
      <w:r/>
    </w:p>
    <w:p>
      <w:pPr>
        <w:pStyle w:val="815"/>
        <w:ind w:left="0" w:right="0" w:firstLine="560"/>
        <w:jc w:val="both"/>
        <w:keepLines w:val="0"/>
        <w:keepNext w:val="0"/>
        <w:spacing w:before="120" w:beforeAutospacing="0" w:after="12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(1) 第一笔款：合同生效后，采购人在收到供应商提供的有效增值税发票后20个工作日内，支付合同总金额的30%。</w:t>
      </w:r>
      <w:r/>
    </w:p>
    <w:p>
      <w:pPr>
        <w:ind w:left="0" w:right="0" w:firstLine="480"/>
        <w:jc w:val="both"/>
        <w:keepLines w:val="0"/>
        <w:keepNext w:val="0"/>
        <w:spacing w:before="0" w:beforeAutospacing="0" w:after="0" w:afterAutospacing="0" w:line="44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(2) 第二笔款：完成项目所有建设内容的《需求规格说明书》并经采购人书面确认，且收到供应商提供的有效增值税发票后20个工作日内，支付合同总金额的10%；</w:t>
      </w:r>
      <w:r/>
    </w:p>
    <w:p>
      <w:pPr>
        <w:ind w:left="0" w:right="0" w:firstLine="480"/>
        <w:jc w:val="both"/>
        <w:keepLines w:val="0"/>
        <w:keepNext w:val="0"/>
        <w:spacing w:before="0" w:beforeAutospacing="0" w:after="0" w:afterAutospacing="0" w:line="44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(3)</w:t>
      </w:r>
      <w:r>
        <w:rPr>
          <w:rFonts w:hint="eastAsia" w:ascii="方正仿宋_GBK" w:hAnsi="方正仿宋_GBK" w:eastAsia="方正仿宋_GBK" w:cs="方正仿宋_GBK"/>
          <w:sz w:val="28"/>
          <w:szCs w:val="28"/>
          <w:highlight w:val="none"/>
        </w:rPr>
        <w:t xml:space="preserve">第三笔款：项目建设内容试运行，</w:t>
      </w:r>
      <w:r>
        <w:rPr>
          <w:rFonts w:hint="eastAsia" w:ascii="方正仿宋_GBK" w:hAnsi="方正仿宋_GBK" w:eastAsia="方正仿宋_GBK" w:cs="方正仿宋_GBK"/>
          <w:color w:val="auto"/>
          <w:sz w:val="28"/>
          <w:szCs w:val="28"/>
          <w:highlight w:val="none"/>
          <w:lang w:val="en-US" w:eastAsia="zh-CN"/>
        </w:rPr>
        <w:t xml:space="preserve">单位内部试运行验收</w:t>
      </w:r>
      <w:r>
        <w:rPr>
          <w:rFonts w:hint="eastAsia" w:ascii="方正仿宋_GBK" w:hAnsi="方正仿宋_GBK" w:eastAsia="方正仿宋_GBK" w:cs="方正仿宋_GBK"/>
          <w:sz w:val="28"/>
          <w:szCs w:val="28"/>
          <w:highlight w:val="none"/>
          <w:lang w:val="en-US" w:eastAsia="zh-CN"/>
        </w:rPr>
        <w:t xml:space="preserve">通过且</w:t>
      </w:r>
      <w:r>
        <w:rPr>
          <w:rFonts w:hint="eastAsia" w:ascii="方正仿宋_GBK" w:hAnsi="方正仿宋_GBK" w:eastAsia="方正仿宋_GBK" w:cs="方正仿宋_GBK"/>
          <w:sz w:val="28"/>
          <w:szCs w:val="28"/>
          <w:highlight w:val="none"/>
        </w:rPr>
        <w:t xml:space="preserve">采购人收到供应商提供的有效增值税发票后20个工作日内，支付合同总金额的</w:t>
      </w: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0%；</w:t>
      </w:r>
      <w:r/>
    </w:p>
    <w:p>
      <w:pPr>
        <w:ind w:left="0" w:right="0" w:firstLine="480"/>
        <w:jc w:val="both"/>
        <w:keepLines w:val="0"/>
        <w:keepNext w:val="0"/>
        <w:spacing w:before="0" w:beforeAutospacing="0" w:after="0" w:afterAutospacing="0" w:line="440" w:lineRule="exact"/>
        <w:widowControl w:val="off"/>
        <w:rPr>
          <w:rFonts w:hint="eastAsia" w:ascii="方正仿宋_GBK" w:hAnsi="方正仿宋_GBK" w:eastAsia="方正仿宋_GBK" w:cs="方正仿宋_GBK"/>
          <w:sz w:val="28"/>
          <w:szCs w:val="28"/>
          <w:highlight w:val="none"/>
          <w:lang w:val="en-US" w:eastAsia="zh-CN"/>
        </w:rPr>
        <w:suppressLineNumbers w:val="0"/>
      </w:pPr>
      <w:r>
        <w:rPr>
          <w:rFonts w:hint="eastAsia" w:ascii="方正仿宋_GBK" w:hAnsi="方正仿宋_GBK" w:eastAsia="方正仿宋_GBK" w:cs="方正仿宋_GBK"/>
          <w:sz w:val="28"/>
          <w:szCs w:val="28"/>
          <w:highlight w:val="none"/>
          <w:lang w:val="en-US" w:eastAsia="zh-CN" w:bidi="ar-SA"/>
        </w:rPr>
        <w:t xml:space="preserve">(4)</w:t>
      </w:r>
      <w:r>
        <w:rPr>
          <w:rFonts w:hint="eastAsia" w:ascii="方正仿宋_GBK" w:hAnsi="方正仿宋_GBK" w:eastAsia="方正仿宋_GBK" w:cs="方正仿宋_GBK"/>
          <w:sz w:val="28"/>
          <w:szCs w:val="28"/>
          <w:highlight w:val="none"/>
        </w:rPr>
        <w:t xml:space="preserve">第四笔款：项目通过采购人组织的合同验收且采购人收到供应商提供的有效增值税发票后</w:t>
      </w:r>
      <w:r>
        <w:rPr>
          <w:rFonts w:hint="eastAsia" w:ascii="方正仿宋_GBK" w:hAnsi="方正仿宋_GBK" w:eastAsia="方正仿宋_GBK" w:cs="方正仿宋_GBK"/>
          <w:sz w:val="28"/>
          <w:szCs w:val="28"/>
          <w:highlight w:val="none"/>
          <w:lang w:val="en-US" w:eastAsia="zh-CN"/>
        </w:rPr>
        <w:t xml:space="preserve">10</w:t>
      </w:r>
      <w:r>
        <w:rPr>
          <w:rFonts w:hint="eastAsia" w:ascii="方正仿宋_GBK" w:hAnsi="方正仿宋_GBK" w:eastAsia="方正仿宋_GBK" w:cs="方正仿宋_GBK"/>
          <w:sz w:val="28"/>
          <w:szCs w:val="28"/>
          <w:highlight w:val="none"/>
        </w:rPr>
        <w:t xml:space="preserve">个工作日内，支付合同总金额的10%。</w:t>
      </w:r>
      <w:r/>
    </w:p>
    <w:p>
      <w:pPr>
        <w:ind w:left="0" w:right="0" w:firstLine="480"/>
        <w:jc w:val="both"/>
        <w:keepLines w:val="0"/>
        <w:keepNext w:val="0"/>
        <w:spacing w:before="0" w:beforeAutospacing="0" w:after="0" w:afterAutospacing="0" w:line="440" w:lineRule="exact"/>
        <w:widowControl w:val="off"/>
        <w:rPr>
          <w:rFonts w:hint="eastAsia" w:ascii="方正仿宋_GBK" w:hAnsi="方正仿宋_GBK" w:eastAsia="方正仿宋_GBK" w:cs="方正仿宋_GBK"/>
          <w:sz w:val="28"/>
          <w:szCs w:val="28"/>
          <w:highlight w:val="none"/>
          <w:lang w:val="en-US" w:eastAsia="zh-CN"/>
        </w:rPr>
        <w:suppressLineNumbers w:val="0"/>
      </w:pPr>
      <w:r>
        <w:rPr>
          <w:rFonts w:hint="eastAsia" w:ascii="方正仿宋_GBK" w:hAnsi="方正仿宋_GBK" w:eastAsia="方正仿宋_GBK" w:cs="方正仿宋_GBK"/>
          <w:sz w:val="28"/>
          <w:szCs w:val="28"/>
          <w:highlight w:val="none"/>
          <w:lang w:val="en-US" w:eastAsia="zh-CN"/>
        </w:rPr>
        <w:t xml:space="preserve">2.2 履约保证金</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rPr>
        <w:t xml:space="preserve">乙方应在签订采购合同后，于5个工作日内向甲方提交有效的电子履约保函（保险）</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乙方</w:t>
      </w:r>
      <w:r>
        <w:rPr>
          <w:rFonts w:hint="eastAsia" w:ascii="方正仿宋_GBK" w:hAnsi="方正仿宋_GBK" w:eastAsia="方正仿宋_GBK" w:cs="方正仿宋_GBK"/>
          <w:sz w:val="28"/>
          <w:szCs w:val="28"/>
          <w:highlight w:val="none"/>
          <w:lang w:val="en-US" w:eastAsia="zh-CN"/>
        </w:rPr>
        <w:t xml:space="preserve">可</w:t>
      </w:r>
      <w:r>
        <w:rPr>
          <w:rFonts w:hint="eastAsia" w:ascii="方正仿宋_GBK" w:hAnsi="方正仿宋_GBK" w:eastAsia="方正仿宋_GBK" w:cs="方正仿宋_GBK"/>
          <w:sz w:val="28"/>
          <w:szCs w:val="28"/>
          <w:highlight w:val="none"/>
        </w:rPr>
        <w:t xml:space="preserve">通过江苏省政府采购电子履约保函（保险）平台线上申请，经第三方机构审核开函后向甲方出具履约保函（保单）。履约保函（保险）金额为人民币50000元</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（不得超过合同金额的10%）</w:t>
      </w:r>
      <w:r>
        <w:rPr>
          <w:rFonts w:hint="eastAsia" w:ascii="方正仿宋_GBK" w:hAnsi="方正仿宋_GBK" w:eastAsia="方正仿宋_GBK" w:cs="方正仿宋_GBK"/>
          <w:sz w:val="28"/>
          <w:szCs w:val="28"/>
          <w:highlight w:val="none"/>
          <w:lang w:eastAsia="zh-CN"/>
        </w:rPr>
        <w:t xml:space="preserve">。</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合同履行结束后，甲方应及时退还交纳的履约保证金。</w:t>
      </w:r>
      <w:r/>
    </w:p>
    <w:p>
      <w:pPr>
        <w:pStyle w:val="796"/>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①履约保证金退还方式：乙方按合同要求全部履约完成并经甲方验收合格后，甲方应将履约保函（保单）原件退还乙方；以电子保函形式出具的，甲方应在平台确认履约完成，保函自动失效。</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②履约保证金退还时间：甲方应在收到乙方提交的退函申请及相关材料后</w:t>
      </w: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0日内将履约保函（保单）原件退还乙方</w:t>
      </w:r>
      <w:r>
        <w:rPr>
          <w:rFonts w:hint="eastAsia" w:ascii="方正仿宋_GBK" w:hAnsi="方正仿宋_GBK" w:eastAsia="方正仿宋_GBK" w:cs="方正仿宋_GBK"/>
          <w:sz w:val="28"/>
          <w:szCs w:val="28"/>
          <w:highlight w:val="none"/>
          <w:lang w:eastAsia="zh-CN"/>
        </w:rPr>
        <w:t xml:space="preserve">。</w:t>
      </w:r>
      <w:r/>
    </w:p>
    <w:p>
      <w:pPr>
        <w:pStyle w:val="796"/>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③履约保证金退还条件：乙方按合同要求全部履约完成，经甲方验收合格、出具验收报告，且合同履行期间未发生需启动保函赔付的违约情形。甲方向乙方退还保函（保单）原件或在平台确认履约完成。</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微软雅黑" w:hAnsi="微软雅黑" w:eastAsia="微软雅黑" w:cs="微软雅黑"/>
          <w:sz w:val="28"/>
          <w:szCs w:val="28"/>
          <w:highlight w:val="none"/>
        </w:rPr>
        <w:t xml:space="preserve">④</w:t>
      </w:r>
      <w:r>
        <w:rPr>
          <w:rFonts w:hint="eastAsia" w:ascii="方正仿宋_GBK" w:hAnsi="方正仿宋_GBK" w:eastAsia="方正仿宋_GBK" w:cs="方正仿宋_GBK"/>
          <w:sz w:val="28"/>
          <w:szCs w:val="28"/>
          <w:highlight w:val="none"/>
        </w:rPr>
        <w:t xml:space="preserve">履约保证金不予退还的情形：乙方出现下列情形之一的，甲方有权向出具保函（保险）的第三方机构提出索赔，由第三方机构按照保函（保险）金额向甲方承担赔偿责任：</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rPr>
        <w:t xml:space="preserve">）乙方不履行与甲方订立的合同的；</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）乙方所提供的货物或服务不符合合同约定或招标文件要求的；</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rPr>
        <w:t xml:space="preserve">）乙方将合同内容转包、违法分包的；</w:t>
      </w:r>
      <w:r/>
    </w:p>
    <w:p>
      <w:pPr>
        <w:pStyle w:val="7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）乙方在合同期内自行停止合约或被甲方终止合约的。</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合同验收</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（1）验收条件</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项目需满足以下条件方可申请验收：</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①项目已按合同及招标文件要求完成全部建设内容，并已连续稳定运行不少于1个月。</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②供应商已按合同约定提交所有必要的验收成果文档（包括但不限于方案、设计、手册、报告、清单等）。</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③供应商已完成内部检查，整理好验收文件清单。</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④项目已通过监理单位预验收、必要的第三方软件测试及安全测评。</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⑤所有相关检验结果已随服务提交采购人，并经采购人确认满足验收条件。</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（2）验收方式</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满足上述验收条件后，采购人将依据相关政府采购及政务信息化项目管理规定成立验收小组进行合同验收。</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（3）验收说明</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①若验收不合格，供应商应负责整改，并在符合条件后重新申请验收。</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②若二次验收仍不合格，采购人有权终止合同并要求赔偿损失（具体赔偿方式按合同约定执行）。因供应商原因导致验收不合格产生的延期及额外成本由供应商承担。</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4.项目需求理解</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投标人需深刻理解竞技体育科研场景提供需求理解方案。方案包括</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痛点分析：方案需结合垂直学科，详细分析各学科的数据特征与业务痛点；</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针对性措施：针对所覆盖学科提出数据汇聚治理、知识图谱构建或高质量数据集建设的具体针对性措施，而非通用性描述；</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技术支持路径：明确阐述“数据→知识→智能应用”赋能链条各环节间的逻辑衔接关系，并说明对训练指导、学科专项研究、垂直大模型三类应用场景的具体支撑路径。</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eastAsia="zh-CN"/>
        </w:rPr>
        <w:t xml:space="preserve">5.总体技术方案</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eastAsia="zh-CN"/>
        </w:rPr>
        <w:t xml:space="preserve">投标人须提供项目总体技术方案，方案包含：①总体架构设计（提供架构图）；②数据治理和高质量数据集建设设计（提供流程图）；③知识图谱增强的智能体认知推理与闭环决策架构（提供流程图）。</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.项目实施方案</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投标人须提供项目实施方案，提供完整的项目组织与管理、可行的工作计划进度、稳妥的项目实施方案（如部署、联调）、质量管理方案等。</w:t>
      </w:r>
      <w:r/>
    </w:p>
    <w:p>
      <w:pPr>
        <w:pStyle w:val="804"/>
        <w:ind w:firstLine="560"/>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工作计划进度要求：</w:t>
      </w:r>
      <w:r/>
    </w:p>
    <w:p>
      <w:pPr>
        <w:pStyle w:val="804"/>
        <w:numPr>
          <w:ilvl w:val="0"/>
          <w:numId w:val="5"/>
        </w:numPr>
        <w:ind w:firstLine="560"/>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总工期与阶段节点：自合同签订之日</w:t>
      </w:r>
      <w:r>
        <w:rPr>
          <w:rFonts w:hint="eastAsia" w:ascii="方正仿宋_GBK" w:hAnsi="方正仿宋_GBK" w:eastAsia="方正仿宋_GBK" w:cs="方正仿宋_GBK"/>
          <w:sz w:val="28"/>
          <w:szCs w:val="28"/>
          <w:highlight w:val="none"/>
        </w:rPr>
        <w:t xml:space="preserve">后6个月</w:t>
      </w:r>
      <w:r>
        <w:rPr>
          <w:rFonts w:hint="eastAsia" w:ascii="方正仿宋_GBK" w:hAnsi="方正仿宋_GBK" w:eastAsia="方正仿宋_GBK" w:cs="方正仿宋_GBK"/>
          <w:sz w:val="28"/>
          <w:szCs w:val="28"/>
          <w:highlight w:val="none"/>
          <w:lang w:val="en-US" w:eastAsia="zh-CN"/>
        </w:rPr>
        <w:t xml:space="preserve">内完成全部建设并通过终验。</w:t>
      </w:r>
      <w:r/>
    </w:p>
    <w:p>
      <w:pPr>
        <w:pStyle w:val="804"/>
        <w:numPr>
          <w:ilvl w:val="0"/>
          <w:numId w:val="5"/>
        </w:numPr>
        <w:ind w:firstLine="560"/>
        <w:rPr>
          <w:rFonts w:ascii="方正仿宋_GBK" w:hAnsi="方正仿宋_GBK" w:eastAsia="方正仿宋_GBK" w:cs="方正仿宋_GBK"/>
          <w:sz w:val="28"/>
          <w:szCs w:val="28"/>
          <w:highlight w:val="none"/>
          <w:lang w:val="en-US" w:eastAsia="zh-CN"/>
        </w:rPr>
      </w:pPr>
      <w:r>
        <w:rPr>
          <w:rFonts w:ascii="方正仿宋_GBK" w:hAnsi="方正仿宋_GBK" w:eastAsia="方正仿宋_GBK" w:cs="方正仿宋_GBK"/>
          <w:sz w:val="28"/>
          <w:szCs w:val="28"/>
          <w:highlight w:val="none"/>
          <w:lang w:val="en-US" w:eastAsia="zh-CN"/>
        </w:rPr>
        <w:t xml:space="preserve">响应文件须提供《项目实施进度计划表》，逐项载明阶段任务、起止时间、里程碑、交付物及人员投入。实施期内执行周报、月报与月度例会制度；每阶段完成后 5 个工作日内提交阶段成果供采购人确认，确认通过方可转入下一阶段。</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7.</w:t>
      </w:r>
      <w:r>
        <w:rPr>
          <w:rFonts w:hint="eastAsia" w:ascii="方正仿宋_GBK" w:hAnsi="方正仿宋_GBK" w:eastAsia="方正仿宋_GBK" w:cs="方正仿宋_GBK"/>
          <w:sz w:val="28"/>
          <w:szCs w:val="28"/>
          <w:highlight w:val="none"/>
        </w:rPr>
        <w:t xml:space="preserve">技术培训要求</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投标人须提供项目培训方案</w:t>
      </w:r>
      <w:r>
        <w:rPr>
          <w:rFonts w:hint="eastAsia" w:ascii="方正仿宋_GBK" w:hAnsi="方正仿宋_GBK" w:eastAsia="方正仿宋_GBK" w:cs="方正仿宋_GBK"/>
          <w:sz w:val="28"/>
          <w:szCs w:val="28"/>
          <w:highlight w:val="none"/>
          <w:lang w:eastAsia="zh-CN"/>
        </w:rPr>
        <w:t xml:space="preserve">）</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供应商需免费向采购人提供相关培训，以便工作人员对平台熟练操作，同时保证能够进行系统的运行管理、操作、维护，故障分析处理等工作。</w:t>
      </w:r>
      <w:r>
        <w:rPr>
          <w:rFonts w:hint="eastAsia" w:ascii="方正仿宋_GBK" w:hAnsi="方正仿宋_GBK" w:eastAsia="方正仿宋_GBK" w:cs="方正仿宋_GBK"/>
          <w:color w:val="000000"/>
          <w:sz w:val="28"/>
          <w:szCs w:val="28"/>
          <w:highlight w:val="none"/>
          <w:lang w:eastAsia="zh-CN"/>
        </w:rPr>
        <w:t xml:space="preserve">投标人须提供售后服务方案，包含服务方式、服务组织体系、售后服务保障措施、售后服务应急响应措施等内容。</w:t>
      </w:r>
      <w:r>
        <w:rPr>
          <w:rFonts w:hint="eastAsia" w:ascii="方正仿宋_GBK" w:hAnsi="方正仿宋_GBK" w:eastAsia="方正仿宋_GBK" w:cs="方正仿宋_GBK"/>
          <w:sz w:val="28"/>
          <w:szCs w:val="28"/>
          <w:highlight w:val="none"/>
        </w:rPr>
        <w:t xml:space="preserve">具体培训要求包括：</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（1）供应商必须提供具有相应专业知识、实际工作和教学经验的培训教师，供应商所提供的讲师必须具有2年以上的培训工作经验，讲师数量至少2人。</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（2）供应商应为采购人提供包括但不限于下列几个方面的培训</w:t>
      </w:r>
      <w:r>
        <w:rPr>
          <w:rFonts w:hint="eastAsia" w:ascii="方正仿宋_GBK" w:hAnsi="方正仿宋_GBK" w:eastAsia="方正仿宋_GBK" w:cs="方正仿宋_GBK"/>
          <w:sz w:val="28"/>
          <w:szCs w:val="28"/>
          <w:highlight w:val="none"/>
          <w:lang w:val="en-US" w:eastAsia="zh-CN"/>
        </w:rPr>
        <w:t xml:space="preserve">内容</w:t>
      </w:r>
      <w:r>
        <w:rPr>
          <w:rFonts w:hint="eastAsia" w:ascii="方正仿宋_GBK" w:hAnsi="方正仿宋_GBK" w:eastAsia="方正仿宋_GBK" w:cs="方正仿宋_GBK"/>
          <w:sz w:val="28"/>
          <w:szCs w:val="28"/>
          <w:highlight w:val="none"/>
        </w:rPr>
        <w:t xml:space="preserve">：</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①系统业务操作培训；</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②系统管理、维护工具培训；</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③采购人认为必要的其他培训。</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（3）供应商负责提供培训所需计划和电子版资料，采购人有权在系统内部使用这些培训资料。</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（4）培训地点：由采购人指定。</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8.</w:t>
      </w:r>
      <w:r>
        <w:rPr>
          <w:rFonts w:hint="eastAsia" w:ascii="方正仿宋_GBK" w:hAnsi="方正仿宋_GBK" w:eastAsia="方正仿宋_GBK" w:cs="方正仿宋_GBK"/>
          <w:sz w:val="28"/>
          <w:szCs w:val="28"/>
          <w:highlight w:val="none"/>
        </w:rPr>
        <w:t xml:space="preserve">知识产权要求</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项目开发成果的知识产权归采购人所有，项目验收前，供应商必须向采购人提交相关项目文档及本项目开发部分程序源代码等开发成果。供应商应保证采购人方在使用、接受本次招标中产品和服务或其任何一部分时，不受第三方提出侵犯其专利权、版权、商标权和工业设计权等知识产权的起诉，避免潜在的版权纠纷。一旦出现侵权，由供应商负全部责任。</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9.</w:t>
      </w:r>
      <w:r>
        <w:rPr>
          <w:rFonts w:hint="eastAsia" w:ascii="方正仿宋_GBK" w:hAnsi="方正仿宋_GBK" w:eastAsia="方正仿宋_GBK" w:cs="方正仿宋_GBK"/>
          <w:sz w:val="28"/>
          <w:szCs w:val="28"/>
          <w:highlight w:val="none"/>
        </w:rPr>
        <w:t xml:space="preserve">售后服务要求</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投标人须提供售后服务方案</w:t>
      </w:r>
      <w:r>
        <w:rPr>
          <w:rFonts w:hint="eastAsia" w:ascii="方正仿宋_GBK" w:hAnsi="方正仿宋_GBK" w:eastAsia="方正仿宋_GBK" w:cs="方正仿宋_GBK"/>
          <w:sz w:val="28"/>
          <w:szCs w:val="28"/>
          <w:highlight w:val="none"/>
          <w:lang w:eastAsia="zh-CN"/>
        </w:rPr>
        <w:t xml:space="preserve">）</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val="0"/>
          <w:color w:val="000000"/>
          <w:sz w:val="28"/>
          <w:szCs w:val="28"/>
          <w:highlight w:val="none"/>
        </w:rPr>
        <w:t xml:space="preserve">投标人须提供售后服务方案，包含服务方式、服务组织体系、售后服务保障措施、售后服务应急响应措施等内容。</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在合同验收合格后，供应商须提供</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rPr>
        <w:t xml:space="preserve">年免费质保</w:t>
      </w:r>
      <w:r>
        <w:rPr>
          <w:rFonts w:hint="eastAsia" w:ascii="方正仿宋_GBK" w:hAnsi="方正仿宋_GBK" w:eastAsia="方正仿宋_GBK" w:cs="方正仿宋_GBK"/>
          <w:sz w:val="28"/>
          <w:szCs w:val="28"/>
          <w:highlight w:val="none"/>
          <w:lang w:val="en-US" w:eastAsia="zh-CN"/>
        </w:rPr>
        <w:t xml:space="preserve">与系统维护</w:t>
      </w:r>
      <w:r>
        <w:rPr>
          <w:rFonts w:hint="eastAsia" w:ascii="方正仿宋_GBK" w:hAnsi="方正仿宋_GBK" w:eastAsia="方正仿宋_GBK" w:cs="方正仿宋_GBK"/>
          <w:sz w:val="28"/>
          <w:szCs w:val="28"/>
          <w:highlight w:val="none"/>
        </w:rPr>
        <w:t xml:space="preserve">服务。免费质保期从合同验收合格之日起计算。</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质保期间发生的任何异常故障和损坏（人为损坏除外）引起的费用应由供应商负责。在发生故障后，对关键故障和核心业务支持 7×24 小时响应，对于一般故障，可确保技术人员 2 小时内抵达现场、12 小时内解决，实现业务中断影响最小化。</w:t>
      </w:r>
      <w:r/>
    </w:p>
    <w:p>
      <w:pPr>
        <w:ind w:firstLine="480"/>
        <w:spacing w:after="160" w:line="440" w:lineRule="exact"/>
        <w:rPr>
          <w:rFonts w:hint="eastAsia" w:eastAsia="宋体"/>
          <w:highlight w:val="none"/>
          <w:lang w:val="en-US" w:eastAsia="zh-CN"/>
        </w:rPr>
      </w:pPr>
      <w:r>
        <w:rPr>
          <w:rFonts w:hint="eastAsia" w:ascii="方正仿宋_GBK" w:hAnsi="方正仿宋_GBK" w:eastAsia="方正仿宋_GBK" w:cs="方正仿宋_GBK"/>
          <w:bCs w:val="0"/>
          <w:color w:val="000000"/>
          <w:sz w:val="28"/>
          <w:szCs w:val="28"/>
          <w:highlight w:val="none"/>
        </w:rPr>
        <w:t xml:space="preserve">售后服务保障措施</w:t>
      </w:r>
      <w:r>
        <w:rPr>
          <w:rFonts w:hint="eastAsia" w:ascii="方正仿宋_GBK" w:hAnsi="方正仿宋_GBK" w:eastAsia="方正仿宋_GBK" w:cs="方正仿宋_GBK"/>
          <w:bCs w:val="0"/>
          <w:color w:val="000000"/>
          <w:sz w:val="28"/>
          <w:szCs w:val="28"/>
          <w:highlight w:val="none"/>
          <w:lang w:val="en-US" w:eastAsia="zh-CN"/>
        </w:rPr>
        <w:t xml:space="preserve">包括：（1）定期</w:t>
      </w:r>
      <w:r>
        <w:rPr>
          <w:rFonts w:hint="eastAsia" w:ascii="方正仿宋_GBK" w:hAnsi="方正仿宋_GBK" w:eastAsia="方正仿宋_GBK" w:cs="方正仿宋_GBK"/>
          <w:sz w:val="28"/>
          <w:szCs w:val="28"/>
          <w:highlight w:val="none"/>
        </w:rPr>
        <w:t xml:space="preserve">巡检</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每</w:t>
      </w:r>
      <w:r>
        <w:rPr>
          <w:rFonts w:hint="eastAsia" w:ascii="方正仿宋_GBK" w:hAnsi="方正仿宋_GBK" w:eastAsia="方正仿宋_GBK" w:cs="方正仿宋_GBK"/>
          <w:sz w:val="28"/>
          <w:szCs w:val="28"/>
          <w:highlight w:val="none"/>
          <w:lang w:val="en-US" w:eastAsia="zh-CN"/>
        </w:rPr>
        <w:t xml:space="preserve">月</w:t>
      </w:r>
      <w:r>
        <w:rPr>
          <w:rFonts w:hint="eastAsia" w:ascii="方正仿宋_GBK" w:hAnsi="方正仿宋_GBK" w:eastAsia="方正仿宋_GBK" w:cs="方正仿宋_GBK"/>
          <w:sz w:val="28"/>
          <w:szCs w:val="28"/>
          <w:highlight w:val="none"/>
        </w:rPr>
        <w:t xml:space="preserve">开展1次平台巡检，涵盖数据库、应用系统、网络安全等维度，重点检查资源占用、性能瓶颈等</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灾难恢复</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制定灾难恢复方案，RTO（恢复时间目标）≤4小时（从故障发生到业务完全恢复）；</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协同运维</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配合完成政务云环境升级、安全策略调整等工作，确保平台与政务云环境兼容适配。</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质保期内所提供技术服务涉及的费用含在合同总价中（即项目质保期为免费服务）。质保期内，供应商应提供故障响应、系统配置管理等质保服务，以保障系统安全稳定运行。</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10.</w:t>
      </w:r>
      <w:r>
        <w:rPr>
          <w:rFonts w:hint="eastAsia" w:ascii="方正仿宋_GBK" w:hAnsi="方正仿宋_GBK" w:eastAsia="方正仿宋_GBK" w:cs="方正仿宋_GBK"/>
          <w:sz w:val="28"/>
          <w:szCs w:val="28"/>
          <w:highlight w:val="none"/>
        </w:rPr>
        <w:t xml:space="preserve">项目保密要求</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供应商应对项目技术文件以及由采购人提供的所有内部资料、技术文档、数据和信息予以保密；供应商应与采购人签订保密协议并严格遵守，未经采购人书面许可，供应商不得以任何形式向第三方透露本项目标书、技术方案等内容。</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（2）供应商驻场工作人员应签订保密承诺书，承诺内容需得到采购人认可，并与合同、保密协议一并提交给采购人。</w:t>
      </w:r>
      <w:r/>
    </w:p>
    <w:p>
      <w:pPr>
        <w:ind w:firstLine="48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11.投标人要求</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lang w:eastAsia="zh-CN"/>
        </w:rPr>
        <w:t xml:space="preserve">投标人须提供有效期内的ISO9001质量管理体系认证证书。</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lang w:eastAsia="zh-CN"/>
        </w:rPr>
        <w:t xml:space="preserve">）投标人具有自主研发能力，具备类似如下自主知识产权的著作权证书：</w:t>
      </w:r>
      <w:r>
        <w:rPr>
          <w:rFonts w:hint="eastAsia" w:ascii="方正仿宋_GBK" w:hAnsi="方正仿宋_GBK" w:eastAsia="方正仿宋_GBK" w:cs="方正仿宋_GBK"/>
          <w:bCs/>
          <w:color w:val="000000"/>
          <w:sz w:val="28"/>
          <w:szCs w:val="28"/>
          <w:highlight w:val="none"/>
          <w:lang w:val="en-US" w:eastAsia="zh-CN"/>
        </w:rPr>
        <w:t xml:space="preserve">健康风险评估类、知识图谱类、康复训练类</w:t>
      </w:r>
      <w:r>
        <w:rPr>
          <w:rFonts w:hint="eastAsia" w:ascii="方正仿宋_GBK" w:hAnsi="方正仿宋_GBK" w:eastAsia="方正仿宋_GBK" w:cs="方正仿宋_GBK"/>
          <w:color w:val="000000"/>
          <w:sz w:val="28"/>
          <w:szCs w:val="28"/>
          <w:highlight w:val="none"/>
          <w:lang w:eastAsia="zh-CN"/>
        </w:rPr>
        <w:t xml:space="preserve">等。</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（3）项目经理（限1人）配置：投标人需提供拟担任本</w:t>
      </w:r>
      <w:r>
        <w:rPr>
          <w:rFonts w:hint="eastAsia" w:ascii="方正仿宋_GBK" w:hAnsi="方正仿宋_GBK" w:eastAsia="方正仿宋_GBK" w:cs="方正仿宋_GBK"/>
          <w:color w:val="000000"/>
          <w:sz w:val="28"/>
          <w:szCs w:val="28"/>
          <w:highlight w:val="none"/>
          <w:lang w:val="en-US" w:eastAsia="zh-CN"/>
        </w:rPr>
        <w:t xml:space="preserve">项目的</w:t>
      </w:r>
      <w:r>
        <w:rPr>
          <w:rFonts w:hint="eastAsia" w:ascii="方正仿宋_GBK" w:hAnsi="方正仿宋_GBK" w:eastAsia="方正仿宋_GBK" w:cs="方正仿宋_GBK"/>
          <w:color w:val="000000"/>
          <w:sz w:val="28"/>
          <w:szCs w:val="28"/>
          <w:highlight w:val="none"/>
          <w:lang w:eastAsia="zh-CN"/>
        </w:rPr>
        <w:t xml:space="preserve">项目经理具有</w:t>
      </w:r>
      <w:r>
        <w:rPr>
          <w:rFonts w:hint="eastAsia" w:ascii="方正仿宋_GBK" w:hAnsi="方正仿宋_GBK" w:eastAsia="方正仿宋_GBK" w:cs="方正仿宋_GBK"/>
          <w:color w:val="000000"/>
          <w:sz w:val="28"/>
          <w:szCs w:val="28"/>
          <w:highlight w:val="none"/>
          <w:lang w:val="en-US" w:eastAsia="zh-CN"/>
        </w:rPr>
        <w:t xml:space="preserve">在</w:t>
      </w:r>
      <w:r>
        <w:rPr>
          <w:rFonts w:hint="eastAsia" w:ascii="方正仿宋_GBK" w:hAnsi="方正仿宋_GBK" w:eastAsia="方正仿宋_GBK" w:cs="方正仿宋_GBK"/>
          <w:color w:val="000000"/>
          <w:sz w:val="28"/>
          <w:szCs w:val="28"/>
          <w:highlight w:val="none"/>
          <w:lang w:eastAsia="zh-CN"/>
        </w:rPr>
        <w:t xml:space="preserve">专科知识图谱构建或专科高质量数据集构建或研究数据平台类项目</w:t>
      </w:r>
      <w:r>
        <w:rPr>
          <w:rFonts w:hint="eastAsia" w:ascii="方正仿宋_GBK" w:hAnsi="方正仿宋_GBK" w:eastAsia="方正仿宋_GBK" w:cs="方正仿宋_GBK"/>
          <w:color w:val="000000"/>
          <w:sz w:val="28"/>
          <w:szCs w:val="28"/>
          <w:highlight w:val="none"/>
          <w:lang w:val="en-US" w:eastAsia="zh-CN"/>
        </w:rPr>
        <w:t xml:space="preserve">中担任项目经理的</w:t>
      </w:r>
      <w:r>
        <w:rPr>
          <w:rFonts w:hint="eastAsia" w:ascii="方正仿宋_GBK" w:hAnsi="方正仿宋_GBK" w:eastAsia="方正仿宋_GBK" w:cs="方正仿宋_GBK"/>
          <w:color w:val="000000"/>
          <w:sz w:val="28"/>
          <w:szCs w:val="28"/>
          <w:highlight w:val="none"/>
          <w:lang w:eastAsia="zh-CN"/>
        </w:rPr>
        <w:t xml:space="preserve">经验的相关证明。证明材料包括具有项目经理</w:t>
      </w:r>
      <w:r>
        <w:rPr>
          <w:rFonts w:hint="eastAsia" w:ascii="方正仿宋_GBK" w:hAnsi="方正仿宋_GBK" w:eastAsia="方正仿宋_GBK" w:cs="方正仿宋_GBK"/>
          <w:color w:val="000000"/>
          <w:sz w:val="28"/>
          <w:szCs w:val="28"/>
          <w:highlight w:val="none"/>
          <w:lang w:val="en-US" w:eastAsia="zh-CN"/>
        </w:rPr>
        <w:t xml:space="preserve">姓名</w:t>
      </w:r>
      <w:r>
        <w:rPr>
          <w:rFonts w:hint="eastAsia" w:ascii="方正仿宋_GBK" w:hAnsi="方正仿宋_GBK" w:eastAsia="方正仿宋_GBK" w:cs="方正仿宋_GBK"/>
          <w:color w:val="000000"/>
          <w:sz w:val="28"/>
          <w:szCs w:val="28"/>
          <w:highlight w:val="none"/>
          <w:lang w:eastAsia="zh-CN"/>
        </w:rPr>
        <w:t xml:space="preserve">的专科知识图谱构建或专科高质量数据集构建或研究数据平台类项目合同或验收报告，须提供复印件并加盖投标人公章。</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注：须提供投标人和项目经理签订的</w:t>
      </w:r>
      <w:r>
        <w:rPr>
          <w:rFonts w:hint="eastAsia" w:ascii="方正仿宋_GBK" w:hAnsi="方正仿宋_GBK" w:eastAsia="方正仿宋_GBK" w:cs="方正仿宋_GBK"/>
          <w:color w:val="000000"/>
          <w:sz w:val="28"/>
          <w:szCs w:val="28"/>
          <w:highlight w:val="none"/>
          <w:lang w:val="en-US" w:eastAsia="zh-CN"/>
        </w:rPr>
        <w:t xml:space="preserve">有效期内的劳动</w:t>
      </w:r>
      <w:r>
        <w:rPr>
          <w:rFonts w:hint="eastAsia" w:ascii="方正仿宋_GBK" w:hAnsi="方正仿宋_GBK" w:eastAsia="方正仿宋_GBK" w:cs="方正仿宋_GBK"/>
          <w:color w:val="000000"/>
          <w:sz w:val="28"/>
          <w:szCs w:val="28"/>
          <w:highlight w:val="none"/>
          <w:lang w:eastAsia="zh-CN"/>
        </w:rPr>
        <w:t xml:space="preserve">合同扫描件、近半年内任意一个月投标人为其缴纳社保的证明文件。</w:t>
      </w:r>
      <w:r/>
    </w:p>
    <w:p>
      <w:pPr>
        <w:numPr>
          <w:ilvl w:val="0"/>
          <w:numId w:val="5"/>
        </w:numPr>
        <w:ind w:left="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投标人自2023年1月1日以来（以合同签订时间为准）承担过专科知识图谱构建</w:t>
      </w:r>
      <w:r>
        <w:rPr>
          <w:rFonts w:hint="eastAsia" w:ascii="方正仿宋_GBK" w:hAnsi="方正仿宋_GBK" w:eastAsia="方正仿宋_GBK" w:cs="方正仿宋_GBK"/>
          <w:color w:val="000000"/>
          <w:sz w:val="28"/>
          <w:szCs w:val="28"/>
          <w:highlight w:val="none"/>
          <w:lang w:val="en-US" w:eastAsia="zh-CN"/>
        </w:rPr>
        <w:t xml:space="preserve">或</w:t>
      </w:r>
      <w:r>
        <w:rPr>
          <w:rFonts w:hint="eastAsia" w:ascii="方正仿宋_GBK" w:hAnsi="方正仿宋_GBK" w:eastAsia="方正仿宋_GBK" w:cs="方正仿宋_GBK"/>
          <w:color w:val="000000"/>
          <w:sz w:val="28"/>
          <w:szCs w:val="28"/>
          <w:highlight w:val="none"/>
          <w:lang w:eastAsia="zh-CN"/>
        </w:rPr>
        <w:t xml:space="preserve">专科高质量数据集构建</w:t>
      </w:r>
      <w:r>
        <w:rPr>
          <w:rFonts w:hint="eastAsia" w:ascii="方正仿宋_GBK" w:hAnsi="方正仿宋_GBK" w:eastAsia="方正仿宋_GBK" w:cs="方正仿宋_GBK"/>
          <w:color w:val="000000"/>
          <w:sz w:val="28"/>
          <w:szCs w:val="28"/>
          <w:highlight w:val="none"/>
          <w:lang w:val="en-US" w:eastAsia="zh-CN"/>
        </w:rPr>
        <w:t xml:space="preserve">或</w:t>
      </w:r>
      <w:r>
        <w:rPr>
          <w:rFonts w:hint="eastAsia" w:ascii="方正仿宋_GBK" w:hAnsi="方正仿宋_GBK" w:eastAsia="方正仿宋_GBK" w:cs="方正仿宋_GBK"/>
          <w:color w:val="000000"/>
          <w:sz w:val="28"/>
          <w:szCs w:val="28"/>
          <w:highlight w:val="none"/>
          <w:lang w:eastAsia="zh-CN"/>
        </w:rPr>
        <w:t xml:space="preserve">研究数据平台类项目案例。</w:t>
      </w:r>
      <w:r/>
    </w:p>
    <w:p>
      <w:pPr>
        <w:pStyle w:val="7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lang w:val="en-US" w:eastAsia="zh-CN"/>
        </w:rPr>
        <w:t xml:space="preserve">六</w:t>
      </w:r>
      <w:r>
        <w:rPr>
          <w:rFonts w:hint="eastAsia" w:ascii="方正黑体_GBK" w:hAnsi="方正黑体_GBK" w:eastAsia="方正黑体_GBK" w:cs="方正黑体_GBK"/>
          <w:b w:val="0"/>
          <w:bCs/>
          <w:sz w:val="28"/>
          <w:szCs w:val="28"/>
          <w:highlight w:val="none"/>
        </w:rPr>
        <w:t xml:space="preserve">、其他要求</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1.项目属性:服务类项目。</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lang w:eastAsia="zh-CN"/>
        </w:rPr>
        <w:t xml:space="preserve">.演示要求</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上传视频演示</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val="en-US" w:eastAsia="zh-CN"/>
        </w:rPr>
        <w:t xml:space="preserve">投标人需按照招标文件规定的演示内容制作演示视频文件，视频文件的格式为X.mp4或X.avi，投标人须将视频文件分段压缩为X.zip文件上传（单个文件不得大于50M，所有文件总共不得大于300M）。文件上传方式见《操作手册》规定，上传的演示视频将作为投标文件的组成部分，视频时长总计不超过10分钟</w:t>
      </w:r>
      <w:r>
        <w:rPr>
          <w:rFonts w:hint="eastAsia" w:ascii="方正仿宋_GBK" w:hAnsi="方正仿宋_GBK" w:eastAsia="方正仿宋_GBK" w:cs="方正仿宋_GBK"/>
          <w:color w:val="000000"/>
          <w:sz w:val="28"/>
          <w:szCs w:val="28"/>
          <w:highlight w:val="none"/>
          <w:lang w:eastAsia="zh-CN"/>
        </w:rPr>
        <w:t xml:space="preserve">。</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演示内容如下：</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bookmarkStart w:id="193" w:name="_Toc120614281"/>
      <w:r>
        <w:rPr>
          <w:rFonts w:hint="eastAsia" w:ascii="方正仿宋_GBK" w:hAnsi="方正仿宋_GBK" w:eastAsia="方正仿宋_GBK" w:cs="方正仿宋_GBK"/>
          <w:color w:val="000000"/>
          <w:sz w:val="28"/>
          <w:szCs w:val="28"/>
          <w:highlight w:val="none"/>
          <w:lang w:val="en-US" w:eastAsia="zh-CN"/>
        </w:rPr>
        <w:t xml:space="preserve">围绕“知识图谱可视化交互功能”、“学科报告智能体”和“综合报告智能体”功能要求进行演示。</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针对“知识图谱可视化交互功能”进行演示，演示内容包括;</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（1）演示可视化图谱操作：支持图谱节点、关系拖拽调整，自定义颜色标注，以及层级展开/收缩操作，直观呈现知识关联逻辑。</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（2）演示多维度图谱筛选：按学科、运动项目、运动员等维度快速筛选图谱视图，精准定位目标知识内容。</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针对“学科报告智能体”中“可视化能力”进行演示，演示内容包括：智能体内置图表引擎，支持柱状图、折线图生成；图表支持多指标叠加、时间轴自定义、数据标签显示，趋势数据精度保留至小数点后2位。针对“学科报告智能体”中“异常识别与解读”进行演示，演示内容包括：需面向教练员、运动员、科研人员输出差异化报告。智能体内置指标异常阈值规则，可自动识别超标数据并高亮提示；智能体支持预设训练建议模板，并能根据指标异常类型自动匹配对应解读建议。</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针对“综合报告智能体”进行演示，演示内容包括：</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1）演示风险识别类型：至少覆盖运动损伤风险、过度疲劳(过度训练综合征)风险两类风险识别，支持风险类型规则扩展。需基于训练、体能、生理等相关指标识别运动损伤风险、过度疲劳风险，并在输出结果中完整体现风险类型、风险等级、主要触发指标及风险判定依据。</w:t>
      </w:r>
      <w:r/>
    </w:p>
    <w:p>
      <w:pPr>
        <w:ind w:firstLine="48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演示分析模型能力：智能体内置跨学科指标关联分析模型(知识图谱驱动)、竞技状态综合评分模型、风险预测模型，支特模型规则的可配置与选代更新。需基于知识图谱对训练、体能、生理、生化、医疗、心理等不同学科指标开展关联分析，并在输出结果中完整体现关联指标、关联关系或推理路径、关键影响因素及综合分析结论。</w:t>
      </w:r>
      <w:r/>
    </w:p>
    <w:p>
      <w:pPr>
        <w:rPr>
          <w:rFonts w:hint="eastAsia" w:ascii="黑体" w:eastAsia="黑体"/>
          <w:bCs/>
          <w:sz w:val="44"/>
          <w:highlight w:val="none"/>
        </w:rPr>
      </w:pPr>
      <w:r>
        <w:rPr>
          <w:rFonts w:hint="eastAsia" w:ascii="黑体" w:eastAsia="黑体"/>
          <w:bCs/>
          <w:sz w:val="44"/>
          <w:highlight w:val="none"/>
        </w:rPr>
      </w:r>
      <w:r/>
    </w:p>
    <w:p>
      <w:pPr>
        <w:pStyle w:val="773"/>
        <w:pageBreakBefore w:val="0"/>
        <w:spacing w:line="400" w:lineRule="exact"/>
        <w:widowControl w:val="off"/>
        <w:rPr>
          <w:rFonts w:hint="eastAsia" w:ascii="黑体" w:hAnsi="黑体" w:eastAsia="黑体" w:cs="Arial"/>
          <w:b/>
          <w:bCs/>
          <w:sz w:val="28"/>
          <w:szCs w:val="28"/>
          <w:highlight w:val="none"/>
        </w:rPr>
      </w:pPr>
      <w:r>
        <w:rPr>
          <w:rFonts w:hint="eastAsia" w:ascii="黑体" w:hAnsi="黑体" w:eastAsia="黑体" w:cs="Arial"/>
          <w:b/>
          <w:bCs/>
          <w:sz w:val="28"/>
          <w:szCs w:val="28"/>
          <w:highlight w:val="none"/>
        </w:rPr>
        <w:t xml:space="preserve">第五章  评标方法与评标标准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highlight w:val="none"/>
        </w:rPr>
        <w:t xml:space="preserve">得分且投标报价相同的并列。</w:t>
      </w:r>
      <w:r/>
    </w:p>
    <w:tbl>
      <w:tblPr>
        <w:tblStyle w:val="782"/>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采购包号</w:t>
            </w:r>
            <w:r/>
          </w:p>
        </w:tc>
        <w:tc>
          <w:tcPr>
            <w:tcW w:w="2183"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选取中标候选人数量</w:t>
            </w:r>
            <w:r/>
          </w:p>
        </w:tc>
        <w:tc>
          <w:tcPr>
            <w:tcW w:w="5134"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选取中标候选人的原则</w:t>
            </w:r>
            <w:r/>
          </w:p>
        </w:tc>
      </w:tr>
      <w:tr>
        <w:trPr/>
        <w:tc>
          <w:tcPr>
            <w:tcW w:w="1608"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1</w:t>
            </w:r>
            <w:r/>
          </w:p>
        </w:tc>
        <w:tc>
          <w:tcPr>
            <w:tcW w:w="2183"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1</w:t>
            </w:r>
            <w:r/>
          </w:p>
        </w:tc>
        <w:tc>
          <w:tcPr>
            <w:tcW w:w="5134" w:type="dxa"/>
            <w:vAlign w:val="top"/>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满足招标文件全部实质性要求，且按照评审因素的量化指标评审得分最高的投标人为中标候选人。</w:t>
            </w:r>
            <w:r/>
          </w:p>
        </w:tc>
      </w:tr>
    </w:tbl>
    <w:p>
      <w:pPr>
        <w:pStyle w:val="1017"/>
        <w:ind w:firstLine="562"/>
        <w:keepLines w:val="0"/>
        <w:keepNext w:val="0"/>
        <w:pageBreakBefore w:val="0"/>
        <w:spacing w:line="400" w:lineRule="exact"/>
        <w:widowControl w:val="off"/>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政府采购政策功能落实</w:t>
      </w:r>
      <w:r/>
    </w:p>
    <w:p>
      <w:pPr>
        <w:pStyle w:val="101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1.小微型企业价格扣除</w:t>
      </w:r>
      <w:r/>
    </w:p>
    <w:p>
      <w:pPr>
        <w:pStyle w:val="1017"/>
        <w:ind w:firstLine="560"/>
        <w:keepLines w:val="0"/>
        <w:keepNext w:val="0"/>
        <w:pageBreakBefore w:val="0"/>
        <w:spacing w:line="400" w:lineRule="exact"/>
        <w:widowControl w:val="off"/>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lang w:val="en-US" w:eastAsia="zh-CN" w:bidi="ar-SA"/>
        </w:rPr>
        <w:t xml:space="preserve">（1）本项目对小型和微型企业提供的服务给予10%的扣除价格，用扣除后的价格参与评审。</w:t>
      </w:r>
      <w:r/>
    </w:p>
    <w:p>
      <w:pPr>
        <w:pStyle w:val="101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（2）供应商需按照采购文件的要求提供相应的《中小微企业声明函》。</w:t>
      </w:r>
      <w:r/>
    </w:p>
    <w:p>
      <w:pPr>
        <w:pStyle w:val="1017"/>
        <w:ind w:firstLine="561"/>
        <w:keepLines w:val="0"/>
        <w:keepNext w:val="0"/>
        <w:pageBreakBefore w:val="0"/>
        <w:spacing w:line="500" w:lineRule="exact"/>
        <w:widowControl w:val="off"/>
        <w:rPr>
          <w:rFonts w:hint="eastAsia" w:ascii="方正仿宋_GBK" w:hAnsi="方正仿宋_GBK" w:eastAsia="方正仿宋_GBK" w:cs="方正仿宋_GBK"/>
          <w:color w:val="000000"/>
          <w:sz w:val="44"/>
          <w:szCs w:val="44"/>
          <w:highlight w:val="none"/>
          <w:lang w:eastAsia="zh-CN"/>
        </w:rPr>
      </w:pPr>
      <w:r>
        <w:rPr>
          <w:rFonts w:hint="eastAsia" w:ascii="方正仿宋_GBK" w:hAnsi="方正仿宋_GBK" w:eastAsia="方正仿宋_GBK" w:cs="方正仿宋_GBK"/>
          <w:color w:val="000000"/>
          <w:sz w:val="44"/>
          <w:szCs w:val="44"/>
          <w:highlight w:val="none"/>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rPr>
          <w:rFonts w:hint="eastAsia" w:ascii="方正仿宋_GBK" w:hAnsi="方正仿宋_GBK" w:eastAsia="方正仿宋_GBK" w:cs="方正仿宋_GBK"/>
          <w:color w:val="000000"/>
          <w:sz w:val="44"/>
          <w:szCs w:val="44"/>
          <w:highlight w:val="none"/>
          <w:lang w:eastAsia="zh-CN"/>
        </w:rPr>
        <w:t xml:space="preserve">。</w:t>
      </w:r>
      <w:r/>
    </w:p>
    <w:p>
      <w:pPr>
        <w:pStyle w:val="101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2.残疾人福利单位价格扣除</w:t>
      </w:r>
      <w:r/>
    </w:p>
    <w:p>
      <w:pPr>
        <w:pStyle w:val="1017"/>
        <w:ind w:left="120" w:firstLine="560"/>
        <w:keepLines w:val="0"/>
        <w:keepNext w:val="0"/>
        <w:pageBreakBefore w:val="0"/>
        <w:spacing w:line="400" w:lineRule="exact"/>
        <w:widowControl w:val="off"/>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lang w:val="en-US" w:eastAsia="zh-CN" w:bidi="ar-SA"/>
        </w:rPr>
        <w:t xml:space="preserve">（1）本项目对残疾人福利性单位视同小型、微型企业，给予10%的价格扣除，用扣除后的价格参与评审。</w:t>
      </w:r>
      <w:r/>
    </w:p>
    <w:p>
      <w:pPr>
        <w:pStyle w:val="1017"/>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（2）残疾人福利单位需按照采购文件的要求提供《残疾人福利性单位声明函》。</w:t>
      </w:r>
      <w:r/>
    </w:p>
    <w:p>
      <w:pPr>
        <w:pStyle w:val="1017"/>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（3）残疾人福利单位标准请参照《关于促进残疾人就业政府采购政策的通知》（财库〔2017〕141号）。</w:t>
      </w:r>
      <w:r/>
    </w:p>
    <w:p>
      <w:pPr>
        <w:pStyle w:val="101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3.监狱和戒毒企业价格扣除</w:t>
      </w:r>
      <w:r/>
    </w:p>
    <w:p>
      <w:pPr>
        <w:pStyle w:val="101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（1）本项目对监狱和戒毒企业（简称监狱企业）视同小型、微型企业，给予10%的价格扣除，用扣除后的价格参与评审。</w:t>
      </w:r>
      <w:r/>
    </w:p>
    <w:p>
      <w:pPr>
        <w:pStyle w:val="101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1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（3）监狱企业标准请参照《关于政府采购支持监狱企业发展有关问题的通知》（财库〔2014〕68号）。</w:t>
      </w:r>
      <w:r/>
    </w:p>
    <w:p>
      <w:pPr>
        <w:pStyle w:val="101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4.残疾人福利单位、监狱企业属于小型、微型企业的，不重复享受政策。</w:t>
      </w:r>
      <w:r/>
    </w:p>
    <w:p>
      <w:pPr>
        <w:pStyle w:val="1017"/>
        <w:ind w:firstLine="560"/>
        <w:keepLines w:val="0"/>
        <w:keepNext w:val="0"/>
        <w:pageBreakBefore w:val="0"/>
        <w:spacing w:line="400" w:lineRule="exact"/>
        <w:widowControl w:val="off"/>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1017"/>
        <w:ind w:firstLine="560"/>
        <w:keepLines w:val="0"/>
        <w:keepNext w:val="0"/>
        <w:pageBreakBefore w:val="0"/>
        <w:spacing w:line="400" w:lineRule="exact"/>
        <w:widowControl w:val="off"/>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lang w:val="en-US" w:eastAsia="zh-CN" w:bidi="ar-SA"/>
        </w:rPr>
        <w:t xml:space="preserve">6.联合体各方均为小型、微型企业（残疾人福利单位、监狱企业）的，联合体享受10%价格扣除，用扣除后的价格参与评审。</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7.采购本国产品的支持政策</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7.1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highlight w:val="none"/>
          <w:lang w:val="en-US" w:eastAsia="zh-CN"/>
        </w:rPr>
        <w:t xml:space="preserve">整个采购包</w:t>
      </w:r>
      <w:r>
        <w:rPr>
          <w:rFonts w:hint="eastAsia" w:ascii="方正仿宋_GBK" w:hAnsi="方正仿宋_GBK" w:eastAsia="方正仿宋_GBK" w:cs="方正仿宋_GBK"/>
          <w:color w:val="000000"/>
          <w:sz w:val="28"/>
          <w:szCs w:val="28"/>
          <w:highlight w:val="none"/>
          <w:lang w:val="en-US" w:eastAsia="zh-CN"/>
        </w:rPr>
        <w:t xml:space="preserve">成本之和的比例达到</w:t>
      </w:r>
      <w:r>
        <w:rPr>
          <w:rFonts w:hint="eastAsia" w:ascii="方正仿宋_GBK" w:hAnsi="方正仿宋_GBK" w:eastAsia="方正仿宋_GBK" w:cs="方正仿宋_GBK"/>
          <w:color w:val="000000"/>
          <w:sz w:val="28"/>
          <w:szCs w:val="28"/>
          <w:highlight w:val="none"/>
          <w:u w:val="single"/>
          <w:lang w:val="en-US" w:eastAsia="zh-CN"/>
        </w:rPr>
        <w:t xml:space="preserve">80%</w:t>
      </w:r>
      <w:r>
        <w:rPr>
          <w:rFonts w:hint="eastAsia" w:ascii="方正仿宋_GBK" w:hAnsi="方正仿宋_GBK" w:eastAsia="方正仿宋_GBK" w:cs="方正仿宋_GBK"/>
          <w:color w:val="000000"/>
          <w:sz w:val="28"/>
          <w:szCs w:val="28"/>
          <w:highlight w:val="none"/>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000000"/>
          <w:sz w:val="28"/>
          <w:szCs w:val="28"/>
          <w:highlight w:val="none"/>
          <w:lang w:val="en-US" w:eastAsia="zh-CN"/>
        </w:rPr>
        <w:t xml:space="preserve">整个采购包</w:t>
      </w:r>
      <w:r>
        <w:rPr>
          <w:rFonts w:hint="eastAsia" w:ascii="方正仿宋_GBK" w:hAnsi="方正仿宋_GBK" w:eastAsia="方正仿宋_GBK" w:cs="方正仿宋_GBK"/>
          <w:color w:val="000000"/>
          <w:sz w:val="28"/>
          <w:szCs w:val="28"/>
          <w:highlight w:val="none"/>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highlight w:val="none"/>
          <w:lang w:val="en-US" w:eastAsia="zh-CN"/>
        </w:rPr>
        <w:t xml:space="preserve">整个采购包</w:t>
      </w:r>
      <w:r>
        <w:rPr>
          <w:rFonts w:hint="eastAsia" w:ascii="方正仿宋_GBK" w:hAnsi="方正仿宋_GBK" w:eastAsia="方正仿宋_GBK" w:cs="方正仿宋_GBK"/>
          <w:color w:val="000000"/>
          <w:sz w:val="28"/>
          <w:szCs w:val="28"/>
          <w:highlight w:val="none"/>
          <w:lang w:val="en-US" w:eastAsia="zh-CN"/>
        </w:rPr>
        <w:t xml:space="preserve">的总报价给予</w:t>
      </w:r>
      <w:r>
        <w:rPr>
          <w:rFonts w:hint="eastAsia" w:ascii="方正仿宋_GBK" w:hAnsi="方正仿宋_GBK" w:eastAsia="方正仿宋_GBK" w:cs="方正仿宋_GBK"/>
          <w:color w:val="000000"/>
          <w:sz w:val="28"/>
          <w:szCs w:val="28"/>
          <w:highlight w:val="none"/>
          <w:u w:val="single"/>
          <w:lang w:val="en-US" w:eastAsia="zh-CN"/>
        </w:rPr>
        <w:t xml:space="preserve">20%</w:t>
      </w:r>
      <w:r>
        <w:rPr>
          <w:rFonts w:hint="eastAsia" w:ascii="方正仿宋_GBK" w:hAnsi="方正仿宋_GBK" w:eastAsia="方正仿宋_GBK" w:cs="方正仿宋_GBK"/>
          <w:color w:val="000000"/>
          <w:sz w:val="28"/>
          <w:szCs w:val="28"/>
          <w:highlight w:val="none"/>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highlight w:val="none"/>
          <w:u w:val="none"/>
          <w:lang w:val="en-US" w:eastAsia="zh-CN"/>
        </w:rPr>
        <w:t xml:space="preserve">不足</w:t>
      </w:r>
      <w:r>
        <w:rPr>
          <w:rFonts w:hint="eastAsia" w:ascii="方正仿宋_GBK" w:hAnsi="方正仿宋_GBK" w:eastAsia="方正仿宋_GBK" w:cs="方正仿宋_GBK"/>
          <w:color w:val="000000"/>
          <w:sz w:val="28"/>
          <w:szCs w:val="28"/>
          <w:highlight w:val="none"/>
          <w:u w:val="single"/>
          <w:lang w:val="en-US" w:eastAsia="zh-CN"/>
        </w:rPr>
        <w:t xml:space="preserve">80%</w:t>
      </w:r>
      <w:r>
        <w:rPr>
          <w:rFonts w:hint="eastAsia" w:ascii="方正仿宋_GBK" w:hAnsi="方正仿宋_GBK" w:eastAsia="方正仿宋_GBK" w:cs="方正仿宋_GBK"/>
          <w:color w:val="000000"/>
          <w:sz w:val="28"/>
          <w:szCs w:val="28"/>
          <w:highlight w:val="none"/>
          <w:lang w:val="en-US" w:eastAsia="zh-CN"/>
        </w:rPr>
        <w:t xml:space="preserve">的，将不享受本国产品价格评审优惠</w:t>
      </w:r>
      <w:r>
        <w:rPr>
          <w:rFonts w:hint="eastAsia" w:ascii="方正仿宋_GBK" w:hAnsi="方正仿宋_GBK" w:eastAsia="方正仿宋_GBK" w:cs="方正仿宋_GBK"/>
          <w:color w:val="000000"/>
          <w:sz w:val="28"/>
          <w:szCs w:val="28"/>
          <w:highlight w:val="none"/>
        </w:rPr>
        <w:t xml:space="preserve">。</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7.2 </w:t>
      </w:r>
      <w:r>
        <w:rPr>
          <w:rFonts w:hint="eastAsia" w:ascii="方正仿宋_GBK" w:hAnsi="方正仿宋_GBK" w:eastAsia="方正仿宋_GBK" w:cs="方正仿宋_GBK"/>
          <w:color w:val="000000"/>
          <w:sz w:val="28"/>
          <w:szCs w:val="28"/>
          <w:highlight w:val="none"/>
        </w:rPr>
        <w:t xml:space="preserve">供应商需按照</w:t>
      </w:r>
      <w:r>
        <w:rPr>
          <w:rFonts w:hint="eastAsia" w:ascii="方正仿宋_GBK" w:hAnsi="方正仿宋_GBK" w:eastAsia="方正仿宋_GBK" w:cs="方正仿宋_GBK"/>
          <w:color w:val="000000"/>
          <w:sz w:val="28"/>
          <w:szCs w:val="28"/>
          <w:highlight w:val="none"/>
          <w:lang w:eastAsia="zh-CN"/>
        </w:rPr>
        <w:t xml:space="preserve">招标</w:t>
      </w:r>
      <w:r>
        <w:rPr>
          <w:rFonts w:hint="eastAsia" w:ascii="方正仿宋_GBK" w:hAnsi="方正仿宋_GBK" w:eastAsia="方正仿宋_GBK" w:cs="方正仿宋_GBK"/>
          <w:color w:val="000000"/>
          <w:sz w:val="28"/>
          <w:szCs w:val="28"/>
          <w:highlight w:val="none"/>
        </w:rPr>
        <w:t xml:space="preserve">文件的要求提供《关于符合本国产品标准的声明函》</w:t>
      </w:r>
      <w:r>
        <w:rPr>
          <w:rFonts w:hint="eastAsia" w:ascii="方正仿宋_GBK" w:hAnsi="方正仿宋_GBK" w:eastAsia="方正仿宋_GBK" w:cs="方正仿宋_GBK"/>
          <w:color w:val="000000"/>
          <w:sz w:val="28"/>
          <w:szCs w:val="28"/>
          <w:highlight w:val="none"/>
          <w:lang w:eastAsia="zh-CN"/>
        </w:rPr>
        <w:t xml:space="preserve">（以下简称《声明函》），如不提供</w:t>
      </w:r>
      <w:r>
        <w:rPr>
          <w:rFonts w:hint="eastAsia" w:ascii="方正仿宋_GBK" w:hAnsi="方正仿宋_GBK" w:eastAsia="方正仿宋_GBK" w:cs="方正仿宋_GBK"/>
          <w:color w:val="000000"/>
          <w:sz w:val="28"/>
          <w:szCs w:val="28"/>
          <w:highlight w:val="none"/>
          <w:lang w:val="en-US" w:eastAsia="zh-CN"/>
        </w:rPr>
        <w:t xml:space="preserve">将不享受本国产品价格评审优惠</w:t>
      </w:r>
      <w:r>
        <w:rPr>
          <w:rFonts w:hint="eastAsia" w:ascii="方正仿宋_GBK" w:hAnsi="方正仿宋_GBK" w:eastAsia="方正仿宋_GBK" w:cs="方正仿宋_GBK"/>
          <w:color w:val="000000"/>
          <w:sz w:val="28"/>
          <w:szCs w:val="28"/>
          <w:highlight w:val="none"/>
        </w:rPr>
        <w:t xml:space="preserve">。</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w:t>
      </w: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rPr>
        <w:t xml:space="preserve"> 供应商需在《声明函》中逐一、准确填写产品名称、厂名、生产厂址三项信息（</w:t>
      </w:r>
      <w:r>
        <w:rPr>
          <w:rFonts w:hint="eastAsia" w:ascii="方正仿宋_GBK" w:hAnsi="方正仿宋_GBK" w:eastAsia="方正仿宋_GBK" w:cs="方正仿宋_GBK"/>
          <w:color w:val="000000"/>
          <w:sz w:val="28"/>
          <w:szCs w:val="28"/>
          <w:highlight w:val="none"/>
          <w:lang w:val="en-US" w:eastAsia="zh-CN"/>
        </w:rPr>
        <w:t xml:space="preserve">《声明函》中标注</w:t>
      </w:r>
      <w:r>
        <w:rPr>
          <w:rFonts w:hint="eastAsia" w:ascii="方正仿宋_GBK" w:hAnsi="方正仿宋_GBK" w:eastAsia="方正仿宋_GBK" w:cs="方正仿宋_GBK"/>
          <w:color w:val="000000"/>
          <w:sz w:val="28"/>
          <w:szCs w:val="28"/>
          <w:highlight w:val="none"/>
          <w:u w:val="single"/>
          <w:lang w:val="en-US" w:eastAsia="zh-CN"/>
        </w:rPr>
        <w:t xml:space="preserve">“  /  ”</w:t>
      </w:r>
      <w:r>
        <w:rPr>
          <w:rFonts w:hint="eastAsia" w:ascii="方正仿宋_GBK" w:hAnsi="方正仿宋_GBK" w:eastAsia="方正仿宋_GBK" w:cs="方正仿宋_GBK"/>
          <w:color w:val="000000"/>
          <w:sz w:val="28"/>
          <w:szCs w:val="28"/>
          <w:highlight w:val="none"/>
          <w:lang w:val="en-US" w:eastAsia="zh-CN"/>
        </w:rPr>
        <w:t xml:space="preserve">的地方无需填写</w:t>
      </w:r>
      <w:r>
        <w:rPr>
          <w:rFonts w:hint="eastAsia" w:ascii="方正仿宋_GBK" w:hAnsi="方正仿宋_GBK" w:eastAsia="方正仿宋_GBK" w:cs="方正仿宋_GBK"/>
          <w:color w:val="000000"/>
          <w:sz w:val="28"/>
          <w:szCs w:val="28"/>
          <w:highlight w:val="none"/>
        </w:rPr>
        <w:t xml:space="preserve">），三项信息中任意一项未填写的视为该项产品不符合本国产品标准，不享受本国产品价格评审优惠。</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b w:val="0"/>
          <w:bCs w:val="0"/>
          <w:color w:val="000000"/>
          <w:sz w:val="28"/>
          <w:szCs w:val="28"/>
          <w:highlight w:val="none"/>
          <w:u w:val="none"/>
        </w:rPr>
      </w:pPr>
      <w:r>
        <w:rPr>
          <w:rFonts w:hint="eastAsia" w:ascii="方正仿宋_GBK" w:hAnsi="方正仿宋_GBK" w:eastAsia="方正仿宋_GBK" w:cs="方正仿宋_GBK"/>
          <w:b w:val="0"/>
          <w:bCs w:val="0"/>
          <w:color w:val="000000"/>
          <w:sz w:val="28"/>
          <w:szCs w:val="28"/>
          <w:highlight w:val="none"/>
          <w:u w:val="none"/>
        </w:rPr>
        <w:t xml:space="preserve">7.</w:t>
      </w:r>
      <w:r>
        <w:rPr>
          <w:rFonts w:hint="eastAsia" w:ascii="方正仿宋_GBK" w:hAnsi="方正仿宋_GBK" w:eastAsia="方正仿宋_GBK" w:cs="方正仿宋_GBK"/>
          <w:b w:val="0"/>
          <w:bCs w:val="0"/>
          <w:color w:val="000000"/>
          <w:sz w:val="28"/>
          <w:szCs w:val="28"/>
          <w:highlight w:val="none"/>
          <w:u w:val="none"/>
          <w:lang w:val="en-US" w:eastAsia="zh-CN"/>
        </w:rPr>
        <w:t xml:space="preserve">4</w:t>
      </w:r>
      <w:r>
        <w:rPr>
          <w:rFonts w:hint="eastAsia" w:ascii="方正仿宋_GBK" w:hAnsi="方正仿宋_GBK" w:eastAsia="方正仿宋_GBK" w:cs="方正仿宋_GBK"/>
          <w:b w:val="0"/>
          <w:bCs w:val="0"/>
          <w:color w:val="000000"/>
          <w:sz w:val="28"/>
          <w:szCs w:val="28"/>
          <w:highlight w:val="none"/>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b w:val="0"/>
          <w:bCs w:val="0"/>
          <w:color w:val="000000"/>
          <w:sz w:val="28"/>
          <w:szCs w:val="28"/>
          <w:highlight w:val="none"/>
          <w:u w:val="none"/>
          <w:lang w:eastAsia="zh-CN"/>
        </w:rPr>
        <w:t xml:space="preserve">和招标文件</w:t>
      </w:r>
      <w:r>
        <w:rPr>
          <w:rFonts w:hint="eastAsia" w:ascii="方正仿宋_GBK" w:hAnsi="方正仿宋_GBK" w:eastAsia="方正仿宋_GBK" w:cs="方正仿宋_GBK"/>
          <w:b w:val="0"/>
          <w:bCs w:val="0"/>
          <w:color w:val="000000"/>
          <w:sz w:val="28"/>
          <w:szCs w:val="28"/>
          <w:highlight w:val="none"/>
          <w:u w:val="none"/>
        </w:rPr>
        <w:t xml:space="preserve">规定的，供应商提供的相关产品视为不符合本国产品标准。</w:t>
      </w:r>
      <w:r/>
    </w:p>
    <w:p>
      <w:pPr>
        <w:ind w:firstLine="562"/>
        <w:jc w:val="left"/>
        <w:pageBreakBefore w:val="0"/>
        <w:spacing w:before="120" w:after="120" w:line="400" w:lineRule="exact"/>
        <w:widowControl w:val="off"/>
        <w:rPr>
          <w:rFonts w:hint="eastAsia"/>
          <w:highlight w:val="none"/>
        </w:rPr>
      </w:pPr>
      <w:r>
        <w:rPr>
          <w:rFonts w:hint="eastAsia" w:ascii="方正仿宋_GBK" w:hAnsi="方正仿宋_GBK" w:eastAsia="方正仿宋_GBK" w:cs="方正仿宋_GBK"/>
          <w:b/>
          <w:color w:val="000000"/>
          <w:sz w:val="28"/>
          <w:szCs w:val="28"/>
          <w:highlight w:val="none"/>
        </w:rPr>
        <w:t xml:space="preserve">评标方法与评标标准</w:t>
      </w:r>
      <w:r/>
    </w:p>
    <w:tbl>
      <w:tblPr>
        <w:tblStyle w:val="782"/>
        <w:tblW w:w="536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411"/>
        <w:gridCol w:w="6788"/>
        <w:gridCol w:w="813"/>
      </w:tblGrid>
      <w:tr>
        <w:trPr>
          <w:jc w:val="center"/>
          <w:trHeight w:val="538"/>
          <w:tblHeader/>
        </w:trPr>
        <w:tc>
          <w:tcPr>
            <w:tcW w:w="82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b/>
                <w:bCs/>
                <w:color w:val="000000"/>
                <w:sz w:val="24"/>
                <w:szCs w:val="24"/>
                <w:highlight w:val="none"/>
                <w:lang w:val="en-US" w:eastAsia="zh-CN" w:bidi="ar-SA"/>
              </w:rPr>
              <w:suppressLineNumbers w:val="0"/>
            </w:pPr>
            <w:r>
              <w:rPr>
                <w:rFonts w:hint="eastAsia" w:ascii="方正仿宋_GBK" w:hAnsi="方正仿宋_GBK" w:eastAsia="方正仿宋_GBK" w:cs="方正仿宋_GBK"/>
                <w:b/>
                <w:bCs/>
                <w:color w:val="000000"/>
                <w:sz w:val="24"/>
                <w:szCs w:val="24"/>
                <w:highlight w:val="none"/>
                <w:lang w:val="en-US" w:eastAsia="zh-CN" w:bidi="ar"/>
              </w:rPr>
              <w:t xml:space="preserve">序号</w:t>
            </w:r>
            <w:r/>
          </w:p>
        </w:tc>
        <w:tc>
          <w:tcPr>
            <w:tcW w:w="141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b/>
                <w:bCs/>
                <w:color w:val="000000"/>
                <w:sz w:val="24"/>
                <w:szCs w:val="24"/>
                <w:highlight w:val="none"/>
                <w:lang w:val="en-US" w:eastAsia="zh-CN" w:bidi="ar-SA"/>
              </w:rPr>
              <w:suppressLineNumbers w:val="0"/>
            </w:pPr>
            <w:r>
              <w:rPr>
                <w:rFonts w:hint="eastAsia" w:ascii="方正仿宋_GBK" w:hAnsi="方正仿宋_GBK" w:eastAsia="方正仿宋_GBK" w:cs="方正仿宋_GBK"/>
                <w:b/>
                <w:bCs/>
                <w:color w:val="000000"/>
                <w:sz w:val="24"/>
                <w:szCs w:val="24"/>
                <w:highlight w:val="none"/>
                <w:lang w:val="en-US" w:eastAsia="zh-CN" w:bidi="ar"/>
              </w:rPr>
              <w:t xml:space="preserve">评审内容</w:t>
            </w:r>
            <w:r/>
          </w:p>
        </w:tc>
        <w:tc>
          <w:tcPr>
            <w:tcW w:w="6788"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b/>
                <w:bCs/>
                <w:color w:val="000000"/>
                <w:sz w:val="24"/>
                <w:szCs w:val="24"/>
                <w:highlight w:val="none"/>
                <w:lang w:val="en-US" w:eastAsia="zh-CN" w:bidi="ar-SA"/>
              </w:rPr>
              <w:suppressLineNumbers w:val="0"/>
            </w:pPr>
            <w:r>
              <w:rPr>
                <w:rFonts w:hint="eastAsia" w:ascii="方正仿宋_GBK" w:hAnsi="方正仿宋_GBK" w:eastAsia="方正仿宋_GBK" w:cs="方正仿宋_GBK"/>
                <w:b/>
                <w:bCs/>
                <w:color w:val="000000"/>
                <w:sz w:val="24"/>
                <w:szCs w:val="24"/>
                <w:highlight w:val="none"/>
                <w:lang w:val="en-US" w:eastAsia="zh-CN" w:bidi="ar"/>
              </w:rPr>
              <w:t xml:space="preserve">评分细则</w:t>
            </w:r>
            <w:r/>
          </w:p>
        </w:tc>
        <w:tc>
          <w:tcPr>
            <w:tcW w:w="813"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b/>
                <w:bCs/>
                <w:color w:val="000000"/>
                <w:sz w:val="24"/>
                <w:szCs w:val="24"/>
                <w:highlight w:val="none"/>
                <w:lang w:val="en-US" w:eastAsia="zh-CN" w:bidi="ar-SA"/>
              </w:rPr>
              <w:suppressLineNumbers w:val="0"/>
            </w:pPr>
            <w:r>
              <w:rPr>
                <w:rFonts w:hint="eastAsia" w:ascii="方正仿宋_GBK" w:hAnsi="方正仿宋_GBK" w:eastAsia="方正仿宋_GBK" w:cs="方正仿宋_GBK"/>
                <w:b/>
                <w:bCs/>
                <w:color w:val="000000"/>
                <w:sz w:val="24"/>
                <w:szCs w:val="24"/>
                <w:highlight w:val="none"/>
                <w:lang w:val="en-US" w:eastAsia="zh-CN" w:bidi="ar"/>
              </w:rPr>
              <w:t xml:space="preserve">分值</w:t>
            </w:r>
            <w:r/>
          </w:p>
        </w:tc>
      </w:tr>
      <w:tr>
        <w:trPr>
          <w:jc w:val="center"/>
          <w:trHeight w:val="449"/>
        </w:trPr>
        <w:tc>
          <w:tcPr>
            <w:tcW w:w="82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1</w:t>
            </w:r>
            <w:r/>
          </w:p>
        </w:tc>
        <w:tc>
          <w:tcPr>
            <w:tcW w:w="1411" w:type="dxa"/>
            <w:vAlign w:val="center"/>
            <w:textDirection w:val="lrTb"/>
            <w:noWrap w:val="false"/>
          </w:tcPr>
          <w:p>
            <w:pPr>
              <w:pStyle w:val="790"/>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报价评分</w:t>
            </w:r>
            <w:r/>
          </w:p>
          <w:p>
            <w:pPr>
              <w:pStyle w:val="790"/>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（10分）</w:t>
            </w:r>
            <w:r/>
          </w:p>
        </w:tc>
        <w:tc>
          <w:tcPr>
            <w:tcW w:w="6788" w:type="dxa"/>
            <w:vAlign w:val="center"/>
            <w:textDirection w:val="lrTb"/>
            <w:noWrap w:val="false"/>
          </w:tcPr>
          <w:p>
            <w:pPr>
              <w:ind w:left="0" w:right="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以合格投标人的最低的投标报价为评标基准价，其报价得分为满分。其他合格投标人的报价得分统一按照下列公式计算：报价得分=（评分基准价/投标报价）*10(保留两位小数)。</w:t>
            </w:r>
            <w:r/>
          </w:p>
        </w:tc>
        <w:tc>
          <w:tcPr>
            <w:tcW w:w="813"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b w:val="0"/>
                <w:bCs w:val="0"/>
                <w:color w:val="000000"/>
                <w:sz w:val="24"/>
                <w:szCs w:val="24"/>
                <w:highlight w:val="none"/>
                <w:lang w:val="en-US" w:eastAsia="zh-CN" w:bidi="ar-SA"/>
              </w:rPr>
              <w:suppressLineNumbers w:val="0"/>
            </w:pPr>
            <w:r>
              <w:rPr>
                <w:rFonts w:hint="eastAsia" w:ascii="方正仿宋_GBK" w:hAnsi="方正仿宋_GBK" w:eastAsia="方正仿宋_GBK" w:cs="方正仿宋_GBK"/>
                <w:b w:val="0"/>
                <w:bCs w:val="0"/>
                <w:color w:val="000000"/>
                <w:sz w:val="24"/>
                <w:szCs w:val="24"/>
                <w:highlight w:val="none"/>
                <w:lang w:val="en-US" w:eastAsia="zh-CN" w:bidi="ar-SA"/>
              </w:rPr>
              <w:t xml:space="preserve">10</w:t>
            </w:r>
            <w:r/>
          </w:p>
        </w:tc>
      </w:tr>
      <w:tr>
        <w:trPr>
          <w:jc w:val="center"/>
          <w:trHeight w:val="1378"/>
        </w:trPr>
        <w:tc>
          <w:tcPr>
            <w:tcW w:w="82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2</w:t>
            </w:r>
            <w:r/>
          </w:p>
        </w:tc>
        <w:tc>
          <w:tcPr>
            <w:tcW w:w="1411" w:type="dxa"/>
            <w:vAlign w:val="center"/>
            <w:textDirection w:val="lrTb"/>
            <w:noWrap w:val="false"/>
          </w:tcPr>
          <w:p>
            <w:pPr>
              <w:pStyle w:val="790"/>
              <w:ind w:left="0" w:right="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技术指标</w:t>
            </w:r>
            <w:r/>
          </w:p>
          <w:p>
            <w:pPr>
              <w:pStyle w:val="790"/>
              <w:ind w:left="0" w:right="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（40分）</w:t>
            </w:r>
            <w:r/>
          </w:p>
        </w:tc>
        <w:tc>
          <w:tcPr>
            <w:tcW w:w="6788" w:type="dxa"/>
            <w:vAlign w:val="center"/>
            <w:textDirection w:val="lrTb"/>
            <w:noWrap w:val="false"/>
          </w:tcPr>
          <w:p>
            <w:pPr>
              <w:ind w:left="0" w:right="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color w:val="000000"/>
                <w:sz w:val="24"/>
                <w:szCs w:val="24"/>
                <w:highlight w:val="none"/>
                <w:lang w:val="en-US" w:eastAsia="zh-CN" w:bidi="ar-SA"/>
              </w:rPr>
              <w:suppressLineNumbers w:val="0"/>
            </w:pPr>
            <w:r>
              <w:rPr>
                <w:rFonts w:hint="eastAsia" w:ascii="方正仿宋_GBK" w:hAnsi="方正仿宋_GBK" w:eastAsia="方正仿宋_GBK" w:cs="方正仿宋_GBK"/>
                <w:b/>
                <w:bCs/>
                <w:color w:val="000000"/>
                <w:sz w:val="24"/>
                <w:szCs w:val="24"/>
                <w:highlight w:val="none"/>
                <w:lang w:val="en-US" w:eastAsia="zh-CN" w:bidi="ar-SA"/>
              </w:rPr>
              <w:t xml:space="preserve">技术指标响应：</w:t>
            </w:r>
            <w:r>
              <w:rPr>
                <w:rFonts w:hint="eastAsia" w:ascii="方正仿宋_GBK" w:hAnsi="方正仿宋_GBK" w:eastAsia="方正仿宋_GBK" w:cs="方正仿宋_GBK"/>
                <w:color w:val="000000"/>
                <w:sz w:val="24"/>
                <w:szCs w:val="24"/>
                <w:highlight w:val="none"/>
                <w:lang w:val="en-US" w:eastAsia="zh-CN" w:bidi="ar-SA"/>
              </w:rPr>
              <w:t xml:space="preserve">评委根据投标文件对招标文件第四章“采购需求”中第三项 技术要求的响应情况进行评审。</w:t>
            </w:r>
            <w:r/>
          </w:p>
          <w:p>
            <w:pPr>
              <w:ind w:left="0" w:right="0" w:firstLine="48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加▲的技术要求为重要指标项，共18项，按照采购需求提供对应证明材料，证明材料不符合要求每项扣1.5分，共27分，扣完为止。</w:t>
            </w:r>
            <w:r/>
          </w:p>
          <w:p>
            <w:pPr>
              <w:ind w:left="0" w:right="0" w:firstLine="48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加◇的技术要求为普通技术要求项，共26项，不符合要求的每项扣0.5分，共13分，扣完为止。</w:t>
            </w:r>
            <w:r/>
          </w:p>
        </w:tc>
        <w:tc>
          <w:tcPr>
            <w:tcW w:w="813"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default" w:ascii="方正仿宋_GBK" w:hAnsi="方正仿宋_GBK" w:eastAsia="方正仿宋_GBK" w:cs="方正仿宋_GBK"/>
                <w:b w:val="0"/>
                <w:bCs w:val="0"/>
                <w:color w:val="000000"/>
                <w:sz w:val="24"/>
                <w:szCs w:val="24"/>
                <w:highlight w:val="none"/>
                <w:lang w:val="en-US" w:eastAsia="zh-CN" w:bidi="ar-SA"/>
              </w:rPr>
              <w:suppressLineNumbers w:val="0"/>
            </w:pPr>
            <w:r>
              <w:rPr>
                <w:rFonts w:hint="eastAsia" w:ascii="方正仿宋_GBK" w:hAnsi="方正仿宋_GBK" w:eastAsia="方正仿宋_GBK" w:cs="方正仿宋_GBK"/>
                <w:b w:val="0"/>
                <w:bCs w:val="0"/>
                <w:color w:val="000000"/>
                <w:sz w:val="24"/>
                <w:szCs w:val="24"/>
                <w:highlight w:val="none"/>
                <w:lang w:val="en-US" w:eastAsia="zh-CN" w:bidi="ar-SA"/>
              </w:rPr>
              <w:t xml:space="preserve">40</w:t>
            </w:r>
            <w:r/>
          </w:p>
        </w:tc>
      </w:tr>
      <w:tr>
        <w:trPr>
          <w:cantSplit/>
          <w:jc w:val="center"/>
          <w:trHeight w:val="1136"/>
        </w:trPr>
        <w:tc>
          <w:tcPr>
            <w:tcW w:w="821" w:type="dxa"/>
            <w:vAlign w:val="center"/>
            <w:vMerge w:val="restart"/>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3</w:t>
            </w:r>
            <w:r/>
          </w:p>
        </w:tc>
        <w:tc>
          <w:tcPr>
            <w:tcW w:w="1411" w:type="dxa"/>
            <w:vAlign w:val="center"/>
            <w:vMerge w:val="restart"/>
            <w:textDirection w:val="lrTb"/>
            <w:noWrap w:val="false"/>
          </w:tcPr>
          <w:p>
            <w:pPr>
              <w:pStyle w:val="790"/>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项目方案</w:t>
            </w:r>
            <w:r/>
          </w:p>
          <w:p>
            <w:pPr>
              <w:pStyle w:val="790"/>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（20分）</w:t>
            </w:r>
            <w:r/>
          </w:p>
        </w:tc>
        <w:tc>
          <w:tcPr>
            <w:tcW w:w="6788" w:type="dxa"/>
            <w:vAlign w:val="center"/>
            <w:textDirection w:val="lrTb"/>
            <w:noWrap w:val="false"/>
          </w:tcPr>
          <w:p>
            <w:pPr>
              <w:ind w:left="0" w:right="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b/>
                <w:bCs/>
                <w:color w:val="000000"/>
                <w:sz w:val="24"/>
                <w:szCs w:val="24"/>
                <w:highlight w:val="none"/>
                <w:lang w:val="en-US" w:eastAsia="zh-CN" w:bidi="ar-SA"/>
              </w:rPr>
              <w:t xml:space="preserve">3.1 项目需求理解：</w:t>
            </w:r>
            <w:r>
              <w:rPr>
                <w:rFonts w:hint="eastAsia" w:ascii="方正仿宋_GBK" w:hAnsi="方正仿宋_GBK" w:eastAsia="方正仿宋_GBK" w:cs="方正仿宋_GBK"/>
                <w:color w:val="000000"/>
                <w:sz w:val="24"/>
                <w:szCs w:val="24"/>
                <w:highlight w:val="none"/>
                <w:lang w:val="en-US" w:eastAsia="zh-CN" w:bidi="ar-SA"/>
              </w:rPr>
              <w:t xml:space="preserve">评委根据投标文件对招标文件第四章“采购需求”中第四项 商务要求（第4点 项目需求理解）的响应情况进行评审。</w:t>
            </w:r>
            <w:r/>
          </w:p>
          <w:p>
            <w:pPr>
              <w:pStyle w:val="796"/>
              <w:numPr>
                <w:ilvl w:val="0"/>
                <w:numId w:val="0"/>
              </w:numPr>
              <w:ind w:left="0" w:right="0" w:firstLine="42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（1）投标文件未符合“项目需求理解方案”中全部条款要求的，视为不符合招标文件要求，本项得0分。</w:t>
            </w:r>
            <w:r/>
          </w:p>
          <w:p>
            <w:pPr>
              <w:ind w:left="0" w:right="0" w:firstLine="48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（2）投标文件符合“项目需求理解方案”中全部条款要求的，视为符合招标文件，本项得3分。</w:t>
            </w:r>
            <w:r/>
          </w:p>
          <w:p>
            <w:pPr>
              <w:ind w:left="0" w:right="0" w:firstLine="48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（3）投标文件中对“项目需求理解方案”中的“针对性措施”、“技术支持路径”两项要求的响应内容全部优于招标文件要求的（前提是投标文件对“项目需求理解方案”中除“针对性措施</w:t>
            </w:r>
            <w:r>
              <w:rPr>
                <w:rFonts w:hint="eastAsia" w:ascii="方正仿宋_GBK" w:hAnsi="方正仿宋_GBK" w:eastAsia="方正仿宋_GBK" w:cs="方正仿宋_GBK"/>
                <w:sz w:val="24"/>
                <w:szCs w:val="24"/>
                <w:highlight w:val="none"/>
                <w:lang w:val="en-US" w:eastAsia="zh-CN" w:bidi="ar-SA"/>
              </w:rPr>
              <w:t xml:space="preserve">”“</w:t>
            </w:r>
            <w:r>
              <w:rPr>
                <w:rFonts w:hint="eastAsia" w:ascii="方正仿宋_GBK" w:hAnsi="方正仿宋_GBK" w:eastAsia="方正仿宋_GBK" w:cs="方正仿宋_GBK"/>
                <w:color w:val="000000"/>
                <w:sz w:val="24"/>
                <w:szCs w:val="24"/>
                <w:highlight w:val="none"/>
                <w:lang w:val="en-US" w:eastAsia="zh-CN" w:bidi="ar-SA"/>
              </w:rPr>
              <w:t xml:space="preserve">技术支持路径”外其他要求响应内容符合招标文件要求），本项得5分。</w:t>
            </w:r>
            <w:r/>
          </w:p>
        </w:tc>
        <w:tc>
          <w:tcPr>
            <w:tcW w:w="813"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b w:val="0"/>
                <w:bCs w:val="0"/>
                <w:color w:val="000000"/>
                <w:sz w:val="24"/>
                <w:szCs w:val="24"/>
                <w:highlight w:val="none"/>
                <w:lang w:val="en-US" w:eastAsia="zh-CN" w:bidi="ar-SA"/>
              </w:rPr>
              <w:suppressLineNumbers w:val="0"/>
            </w:pPr>
            <w:r>
              <w:rPr>
                <w:rFonts w:hint="eastAsia" w:ascii="方正仿宋_GBK" w:hAnsi="方正仿宋_GBK" w:eastAsia="方正仿宋_GBK" w:cs="方正仿宋_GBK"/>
                <w:b w:val="0"/>
                <w:bCs w:val="0"/>
                <w:color w:val="000000"/>
                <w:sz w:val="24"/>
                <w:szCs w:val="24"/>
                <w:highlight w:val="none"/>
                <w:lang w:val="en-US" w:eastAsia="zh-CN" w:bidi="ar-SA"/>
              </w:rPr>
              <w:t xml:space="preserve">5</w:t>
            </w:r>
            <w:r/>
          </w:p>
        </w:tc>
      </w:tr>
      <w:tr>
        <w:trPr>
          <w:cantSplit/>
          <w:jc w:val="center"/>
          <w:trHeight w:val="4127"/>
        </w:trPr>
        <w:tc>
          <w:tcPr>
            <w:tcW w:w="821"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r>
            <w:r/>
          </w:p>
        </w:tc>
        <w:tc>
          <w:tcPr>
            <w:tcW w:w="1411" w:type="dxa"/>
            <w:vAlign w:val="center"/>
            <w:vMerge w:val="continue"/>
            <w:textDirection w:val="lrTb"/>
            <w:noWrap w:val="false"/>
          </w:tcPr>
          <w:p>
            <w:pPr>
              <w:pStyle w:val="790"/>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color w:val="000000"/>
                <w:sz w:val="24"/>
                <w:szCs w:val="24"/>
                <w:highlight w:val="none"/>
                <w:lang w:val="en-US" w:eastAsia="zh-CN" w:bidi="ar"/>
              </w:rPr>
              <w:suppressLineNumbers w:val="0"/>
            </w:pPr>
            <w:r>
              <w:rPr>
                <w:rFonts w:hint="eastAsia" w:ascii="方正仿宋_GBK" w:hAnsi="方正仿宋_GBK" w:eastAsia="方正仿宋_GBK" w:cs="方正仿宋_GBK"/>
                <w:b w:val="0"/>
                <w:bCs w:val="0"/>
                <w:color w:val="000000"/>
                <w:sz w:val="24"/>
                <w:szCs w:val="24"/>
                <w:highlight w:val="none"/>
                <w:lang w:val="en-US" w:eastAsia="zh-CN" w:bidi="ar"/>
              </w:rPr>
            </w:r>
            <w:r/>
          </w:p>
        </w:tc>
        <w:tc>
          <w:tcPr>
            <w:tcW w:w="6788" w:type="dxa"/>
            <w:vAlign w:val="top"/>
            <w:textDirection w:val="lrTb"/>
            <w:noWrap w:val="false"/>
          </w:tcPr>
          <w:p>
            <w:pPr>
              <w:ind w:left="0" w:right="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b/>
                <w:bCs/>
                <w:color w:val="000000"/>
                <w:sz w:val="24"/>
                <w:szCs w:val="24"/>
                <w:highlight w:val="none"/>
                <w:lang w:val="en-US" w:eastAsia="zh-CN" w:bidi="ar-SA"/>
              </w:rPr>
              <w:t xml:space="preserve">3.2 总体技术方案：</w:t>
            </w:r>
            <w:r>
              <w:rPr>
                <w:rFonts w:hint="eastAsia" w:ascii="方正仿宋_GBK" w:hAnsi="方正仿宋_GBK" w:eastAsia="方正仿宋_GBK" w:cs="方正仿宋_GBK"/>
                <w:color w:val="000000"/>
                <w:sz w:val="24"/>
                <w:szCs w:val="24"/>
                <w:highlight w:val="none"/>
                <w:lang w:val="en-US" w:eastAsia="zh-CN" w:bidi="ar-SA"/>
              </w:rPr>
              <w:t xml:space="preserve">评委根据投标文件对招标文件第四章“采购需求”中第四项 商务要求（第5点 总体技术方案）的响应情况进行评审。</w:t>
            </w:r>
            <w:r/>
          </w:p>
          <w:p>
            <w:pPr>
              <w:ind w:right="0" w:firstLine="48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（1）投标文件未符合“总体技术方案”中全部条款要求的，视为不符合招标文件要求，本项得0分。</w:t>
            </w:r>
            <w:r/>
          </w:p>
          <w:p>
            <w:pPr>
              <w:ind w:right="0" w:firstLine="48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（2）投标文件符合“总体技术方案”中全部条款要求的，视为符合招标文件，本项得3分。</w:t>
            </w:r>
            <w:r/>
          </w:p>
          <w:p>
            <w:pPr>
              <w:ind w:right="0" w:firstLine="48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3）投标文件中对“总体技术方案”中的“数据治理和高质量数据集建设设计”、“知识图谱增强的智能体认知推理与闭环决策架构”两项要求的响应内容全部优于招标文件要求的（前提是投标文件对“总体技术方案”中的除“数据治理和高质量数据集建设设计”、“知识图谱驱动的智能体推理与业务闭环设计”外其他要求响应内容符合招标文件要求），本项得5分。</w:t>
            </w:r>
            <w:r/>
          </w:p>
        </w:tc>
        <w:tc>
          <w:tcPr>
            <w:tcW w:w="813"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default" w:ascii="方正仿宋_GBK" w:hAnsi="方正仿宋_GBK" w:eastAsia="方正仿宋_GBK" w:cs="方正仿宋_GBK"/>
                <w:b w:val="0"/>
                <w:bCs w:val="0"/>
                <w:color w:val="000000"/>
                <w:sz w:val="24"/>
                <w:szCs w:val="24"/>
                <w:highlight w:val="none"/>
                <w:lang w:val="en-US" w:eastAsia="zh-CN" w:bidi="ar-SA"/>
              </w:rPr>
              <w:suppressLineNumbers w:val="0"/>
            </w:pPr>
            <w:r>
              <w:rPr>
                <w:rFonts w:hint="eastAsia" w:ascii="方正仿宋_GBK" w:hAnsi="方正仿宋_GBK" w:eastAsia="方正仿宋_GBK" w:cs="方正仿宋_GBK"/>
                <w:b w:val="0"/>
                <w:bCs w:val="0"/>
                <w:color w:val="000000"/>
                <w:sz w:val="24"/>
                <w:szCs w:val="24"/>
                <w:highlight w:val="none"/>
                <w:lang w:val="en-US" w:eastAsia="zh-CN" w:bidi="ar-SA"/>
              </w:rPr>
              <w:t xml:space="preserve">5</w:t>
            </w:r>
            <w:r/>
          </w:p>
        </w:tc>
      </w:tr>
      <w:tr>
        <w:trPr>
          <w:cantSplit/>
          <w:jc w:val="center"/>
          <w:trHeight w:val="4127"/>
        </w:trPr>
        <w:tc>
          <w:tcPr>
            <w:tcW w:w="821"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r>
            <w:r/>
          </w:p>
        </w:tc>
        <w:tc>
          <w:tcPr>
            <w:tcW w:w="1411" w:type="dxa"/>
            <w:vAlign w:val="center"/>
            <w:vMerge w:val="continue"/>
            <w:textDirection w:val="lrTb"/>
            <w:noWrap w:val="false"/>
          </w:tcPr>
          <w:p>
            <w:pPr>
              <w:pStyle w:val="790"/>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color w:val="000000"/>
                <w:sz w:val="24"/>
                <w:szCs w:val="24"/>
                <w:highlight w:val="none"/>
                <w:lang w:val="en-US" w:eastAsia="zh-CN" w:bidi="ar"/>
              </w:rPr>
              <w:suppressLineNumbers w:val="0"/>
            </w:pPr>
            <w:r>
              <w:rPr>
                <w:rFonts w:hint="eastAsia" w:ascii="方正仿宋_GBK" w:hAnsi="方正仿宋_GBK" w:eastAsia="方正仿宋_GBK" w:cs="方正仿宋_GBK"/>
                <w:b w:val="0"/>
                <w:bCs w:val="0"/>
                <w:color w:val="000000"/>
                <w:sz w:val="24"/>
                <w:szCs w:val="24"/>
                <w:highlight w:val="none"/>
                <w:lang w:val="en-US" w:eastAsia="zh-CN" w:bidi="ar"/>
              </w:rPr>
            </w:r>
            <w:r/>
          </w:p>
        </w:tc>
        <w:tc>
          <w:tcPr>
            <w:tcW w:w="6788" w:type="dxa"/>
            <w:vAlign w:val="center"/>
            <w:textDirection w:val="lrTb"/>
            <w:noWrap w:val="false"/>
          </w:tcPr>
          <w:p>
            <w:pPr>
              <w:ind w:left="0" w:right="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b/>
                <w:bCs/>
                <w:color w:val="000000"/>
                <w:sz w:val="24"/>
                <w:szCs w:val="24"/>
                <w:highlight w:val="none"/>
                <w:lang w:val="en-US" w:eastAsia="zh-CN" w:bidi="ar-SA"/>
              </w:rPr>
              <w:t xml:space="preserve">3.3 项目实施方案：</w:t>
            </w:r>
            <w:r>
              <w:rPr>
                <w:rFonts w:hint="eastAsia" w:ascii="方正仿宋_GBK" w:hAnsi="方正仿宋_GBK" w:eastAsia="方正仿宋_GBK" w:cs="方正仿宋_GBK"/>
                <w:color w:val="000000"/>
                <w:sz w:val="24"/>
                <w:szCs w:val="24"/>
                <w:highlight w:val="none"/>
                <w:lang w:val="en-US" w:eastAsia="zh-CN" w:bidi="ar-SA"/>
              </w:rPr>
              <w:t xml:space="preserve">评委根据投标文件对招标文件第四章“采购需求”中第四项 商务要求（第6点 项目实施方案）的响应情况进行评审。</w:t>
            </w:r>
            <w:r/>
          </w:p>
          <w:p>
            <w:pPr>
              <w:ind w:left="0" w:right="0" w:firstLine="48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1）投标文件未符合“项目实施方案”中全部条款要求的，视为不符合招标文件要求，本项得0分。</w:t>
            </w:r>
            <w:r/>
          </w:p>
          <w:p>
            <w:pPr>
              <w:ind w:left="0" w:right="0" w:firstLine="48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（2）投标文件符合“项目实施方案”中全部条款要求的，视为符合招标文件要求，本项得2分。</w:t>
            </w:r>
            <w:r/>
          </w:p>
          <w:p>
            <w:pPr>
              <w:ind w:left="0" w:right="0" w:firstLine="48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3）投标文件对“项目实施方案”中“可行的工作计划进度”一项要求的响应内容优于招标文件要求的（前提是投标文件对“项目实施方案”中除“可行的工作计划进度”外其他要求响应内容符合招标文件要求），本项得4分。</w:t>
            </w:r>
            <w:r/>
          </w:p>
        </w:tc>
        <w:tc>
          <w:tcPr>
            <w:tcW w:w="813"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b w:val="0"/>
                <w:bCs w:val="0"/>
                <w:color w:val="000000"/>
                <w:sz w:val="24"/>
                <w:szCs w:val="24"/>
                <w:highlight w:val="none"/>
                <w:lang w:val="en-US" w:eastAsia="zh-CN" w:bidi="ar-SA"/>
              </w:rPr>
              <w:suppressLineNumbers w:val="0"/>
            </w:pPr>
            <w:r>
              <w:rPr>
                <w:rFonts w:hint="eastAsia" w:ascii="方正仿宋_GBK" w:hAnsi="方正仿宋_GBK" w:eastAsia="方正仿宋_GBK" w:cs="方正仿宋_GBK"/>
                <w:b w:val="0"/>
                <w:bCs w:val="0"/>
                <w:color w:val="000000"/>
                <w:sz w:val="24"/>
                <w:szCs w:val="24"/>
                <w:highlight w:val="none"/>
                <w:lang w:val="en-US" w:eastAsia="zh-CN" w:bidi="ar-SA"/>
              </w:rPr>
              <w:t xml:space="preserve">4</w:t>
            </w:r>
            <w:r/>
          </w:p>
        </w:tc>
      </w:tr>
      <w:tr>
        <w:trPr>
          <w:cantSplit/>
          <w:jc w:val="center"/>
          <w:trHeight w:val="90"/>
        </w:trPr>
        <w:tc>
          <w:tcPr>
            <w:tcW w:w="821"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r>
            <w:r/>
          </w:p>
        </w:tc>
        <w:tc>
          <w:tcPr>
            <w:tcW w:w="1411" w:type="dxa"/>
            <w:vAlign w:val="center"/>
            <w:vMerge w:val="continue"/>
            <w:textDirection w:val="lrTb"/>
            <w:noWrap w:val="false"/>
          </w:tcPr>
          <w:p>
            <w:pPr>
              <w:pStyle w:val="790"/>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color w:val="000000"/>
                <w:sz w:val="24"/>
                <w:szCs w:val="24"/>
                <w:highlight w:val="none"/>
                <w:lang w:val="en-US" w:eastAsia="zh-CN" w:bidi="ar"/>
              </w:rPr>
              <w:suppressLineNumbers w:val="0"/>
            </w:pPr>
            <w:r>
              <w:rPr>
                <w:rFonts w:hint="eastAsia" w:ascii="方正仿宋_GBK" w:hAnsi="方正仿宋_GBK" w:eastAsia="方正仿宋_GBK" w:cs="方正仿宋_GBK"/>
                <w:b w:val="0"/>
                <w:bCs w:val="0"/>
                <w:color w:val="000000"/>
                <w:sz w:val="24"/>
                <w:szCs w:val="24"/>
                <w:highlight w:val="none"/>
                <w:lang w:val="en-US" w:eastAsia="zh-CN" w:bidi="ar"/>
              </w:rPr>
            </w:r>
            <w:r/>
          </w:p>
        </w:tc>
        <w:tc>
          <w:tcPr>
            <w:tcW w:w="6788" w:type="dxa"/>
            <w:vAlign w:val="center"/>
            <w:textDirection w:val="lrTb"/>
            <w:noWrap w:val="false"/>
          </w:tcPr>
          <w:p>
            <w:pPr>
              <w:ind w:left="0" w:right="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b/>
                <w:bCs/>
                <w:color w:val="000000"/>
                <w:sz w:val="24"/>
                <w:szCs w:val="24"/>
                <w:highlight w:val="none"/>
                <w:lang w:val="en-US" w:eastAsia="zh-CN" w:bidi="ar-SA"/>
              </w:rPr>
              <w:t xml:space="preserve">3.4 项目培训方案：</w:t>
            </w:r>
            <w:r>
              <w:rPr>
                <w:rFonts w:hint="eastAsia" w:ascii="方正仿宋_GBK" w:hAnsi="方正仿宋_GBK" w:eastAsia="方正仿宋_GBK" w:cs="方正仿宋_GBK"/>
                <w:color w:val="000000"/>
                <w:sz w:val="24"/>
                <w:szCs w:val="24"/>
                <w:highlight w:val="none"/>
                <w:lang w:val="en-US" w:eastAsia="zh-CN" w:bidi="ar-SA"/>
              </w:rPr>
              <w:t xml:space="preserve">评委根据投标文件对招标文件第四章“采购需求”中第四项 商务要求（第7点 技术培训要求）的响应情况进行评审。</w:t>
            </w:r>
            <w:r/>
          </w:p>
          <w:p>
            <w:pPr>
              <w:ind w:left="0" w:right="0" w:firstLine="48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（1）投标文件未符合“技术培训要求”中全部条款要求的，视为不符合招标文件要求，本项得0分。</w:t>
            </w:r>
            <w:r/>
          </w:p>
          <w:p>
            <w:pPr>
              <w:ind w:left="0" w:right="0" w:firstLine="48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（2）投标文件符合“技术培训要求”中全部条款要求的，视为符合招标文件要求，本项得2分。</w:t>
            </w:r>
            <w:r/>
          </w:p>
          <w:p>
            <w:pPr>
              <w:ind w:left="0" w:right="0" w:firstLine="48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（3）投标文件对“技术培训要求”中“培训内容”一项要求的响应内容优于招标文件要求的（前提是投标文件对“项目培训方案”中除“培训内容”外其他要求响应内容符合招标文件要求），本项得3分。</w:t>
            </w:r>
            <w:r/>
          </w:p>
        </w:tc>
        <w:tc>
          <w:tcPr>
            <w:tcW w:w="813"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b w:val="0"/>
                <w:bCs w:val="0"/>
                <w:color w:val="000000"/>
                <w:sz w:val="24"/>
                <w:szCs w:val="24"/>
                <w:highlight w:val="none"/>
                <w:lang w:val="en-US" w:eastAsia="zh-CN" w:bidi="ar-SA"/>
              </w:rPr>
              <w:suppressLineNumbers w:val="0"/>
            </w:pPr>
            <w:r>
              <w:rPr>
                <w:rFonts w:hint="eastAsia" w:ascii="方正仿宋_GBK" w:hAnsi="方正仿宋_GBK" w:eastAsia="方正仿宋_GBK" w:cs="方正仿宋_GBK"/>
                <w:b w:val="0"/>
                <w:bCs w:val="0"/>
                <w:color w:val="000000"/>
                <w:sz w:val="24"/>
                <w:szCs w:val="24"/>
                <w:highlight w:val="none"/>
                <w:lang w:val="en-US" w:eastAsia="zh-CN" w:bidi="ar-SA"/>
              </w:rPr>
              <w:t xml:space="preserve">3</w:t>
            </w:r>
            <w:r/>
          </w:p>
        </w:tc>
      </w:tr>
      <w:tr>
        <w:trPr>
          <w:cantSplit/>
          <w:jc w:val="center"/>
          <w:trHeight w:val="3664"/>
        </w:trPr>
        <w:tc>
          <w:tcPr>
            <w:tcW w:w="821"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r>
            <w:r/>
          </w:p>
        </w:tc>
        <w:tc>
          <w:tcPr>
            <w:tcW w:w="1411" w:type="dxa"/>
            <w:vAlign w:val="center"/>
            <w:vMerge w:val="continue"/>
            <w:textDirection w:val="lrTb"/>
            <w:noWrap w:val="false"/>
          </w:tcPr>
          <w:p>
            <w:pPr>
              <w:pStyle w:val="790"/>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color w:val="000000"/>
                <w:sz w:val="24"/>
                <w:szCs w:val="24"/>
                <w:highlight w:val="none"/>
                <w:lang w:val="en-US" w:eastAsia="zh-CN" w:bidi="ar"/>
              </w:rPr>
              <w:suppressLineNumbers w:val="0"/>
            </w:pPr>
            <w:r>
              <w:rPr>
                <w:rFonts w:hint="eastAsia" w:ascii="方正仿宋_GBK" w:hAnsi="方正仿宋_GBK" w:eastAsia="方正仿宋_GBK" w:cs="方正仿宋_GBK"/>
                <w:b w:val="0"/>
                <w:bCs w:val="0"/>
                <w:color w:val="000000"/>
                <w:sz w:val="24"/>
                <w:szCs w:val="24"/>
                <w:highlight w:val="none"/>
                <w:lang w:val="en-US" w:eastAsia="zh-CN" w:bidi="ar"/>
              </w:rPr>
            </w:r>
            <w:r/>
          </w:p>
        </w:tc>
        <w:tc>
          <w:tcPr>
            <w:tcW w:w="6788" w:type="dxa"/>
            <w:vAlign w:val="center"/>
            <w:textDirection w:val="lrTb"/>
            <w:noWrap w:val="false"/>
          </w:tcPr>
          <w:p>
            <w:pPr>
              <w:ind w:left="0" w:right="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b/>
                <w:bCs/>
                <w:color w:val="000000"/>
                <w:sz w:val="24"/>
                <w:szCs w:val="24"/>
                <w:highlight w:val="none"/>
                <w:lang w:val="en-US" w:eastAsia="zh-CN" w:bidi="ar-SA"/>
              </w:rPr>
              <w:t xml:space="preserve">3.5售后服务方案：</w:t>
            </w:r>
            <w:r>
              <w:rPr>
                <w:rFonts w:hint="eastAsia" w:ascii="方正仿宋_GBK" w:hAnsi="方正仿宋_GBK" w:eastAsia="方正仿宋_GBK" w:cs="方正仿宋_GBK"/>
                <w:color w:val="000000"/>
                <w:sz w:val="24"/>
                <w:szCs w:val="24"/>
                <w:highlight w:val="none"/>
                <w:lang w:val="en-US" w:eastAsia="zh-CN" w:bidi="ar-SA"/>
              </w:rPr>
              <w:t xml:space="preserve">评委根据投标文件对招标文件第四章“采购需求”中第四项 商务要求（第9点 售后服务要求）的响应情况进行评审。</w:t>
            </w:r>
            <w:r/>
          </w:p>
          <w:p>
            <w:pPr>
              <w:ind w:left="0" w:right="0" w:firstLine="48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（1）投标文件未符合“售后服务要求”中全部条款要求的，视为不符合招标文件要求，本项得0分。</w:t>
            </w:r>
            <w:r/>
          </w:p>
          <w:p>
            <w:pPr>
              <w:ind w:left="0" w:right="0" w:firstLine="48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（2）投标文件符合“售后服务要求”中全部条款要求的，视为符合招标文件要求，本项得2分。</w:t>
            </w:r>
            <w:r/>
          </w:p>
          <w:p>
            <w:pPr>
              <w:ind w:left="0" w:right="0" w:firstLine="48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3）投标文件对“售后服务要求”中“售后服务保障措施”一项要求的响应内容优于招标文件要求的（前提是投标文件对“售后服务方案”中除“售后服务保障措施”外其他要求响应内容符合招标文件要求），本项得3分。</w:t>
            </w:r>
            <w:r/>
          </w:p>
        </w:tc>
        <w:tc>
          <w:tcPr>
            <w:tcW w:w="813"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b w:val="0"/>
                <w:bCs w:val="0"/>
                <w:color w:val="000000"/>
                <w:sz w:val="24"/>
                <w:szCs w:val="24"/>
                <w:highlight w:val="none"/>
                <w:lang w:val="en-US" w:eastAsia="zh-CN" w:bidi="ar-SA"/>
              </w:rPr>
              <w:suppressLineNumbers w:val="0"/>
            </w:pPr>
            <w:r>
              <w:rPr>
                <w:rFonts w:hint="eastAsia" w:ascii="方正仿宋_GBK" w:hAnsi="方正仿宋_GBK" w:eastAsia="方正仿宋_GBK" w:cs="方正仿宋_GBK"/>
                <w:b w:val="0"/>
                <w:bCs w:val="0"/>
                <w:color w:val="000000"/>
                <w:sz w:val="24"/>
                <w:szCs w:val="24"/>
                <w:highlight w:val="none"/>
                <w:lang w:val="en-US" w:eastAsia="zh-CN" w:bidi="ar-SA"/>
              </w:rPr>
              <w:t xml:space="preserve">3</w:t>
            </w:r>
            <w:r/>
          </w:p>
        </w:tc>
      </w:tr>
      <w:tr>
        <w:trPr>
          <w:cantSplit/>
          <w:jc w:val="center"/>
          <w:trHeight w:val="1332"/>
        </w:trPr>
        <w:tc>
          <w:tcPr>
            <w:tcW w:w="821" w:type="dxa"/>
            <w:vAlign w:val="center"/>
            <w:vMerge w:val="restart"/>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4</w:t>
            </w:r>
            <w:r/>
          </w:p>
        </w:tc>
        <w:tc>
          <w:tcPr>
            <w:tcW w:w="1411" w:type="dxa"/>
            <w:vAlign w:val="center"/>
            <w:vMerge w:val="restart"/>
            <w:textDirection w:val="lrTb"/>
            <w:noWrap w:val="false"/>
          </w:tcPr>
          <w:p>
            <w:pPr>
              <w:pStyle w:val="790"/>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商务评分</w:t>
            </w:r>
            <w:r/>
          </w:p>
          <w:p>
            <w:pPr>
              <w:pStyle w:val="790"/>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（20分）</w:t>
            </w:r>
            <w:r/>
          </w:p>
        </w:tc>
        <w:tc>
          <w:tcPr>
            <w:tcW w:w="6788" w:type="dxa"/>
            <w:vAlign w:val="center"/>
            <w:textDirection w:val="lrTb"/>
            <w:noWrap w:val="false"/>
          </w:tcPr>
          <w:p>
            <w:pPr>
              <w:ind w:left="0" w:right="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bCs/>
                <w:color w:val="000000"/>
                <w:sz w:val="24"/>
                <w:szCs w:val="24"/>
                <w:highlight w:val="none"/>
                <w:lang w:val="en-US" w:eastAsia="zh-CN" w:bidi="ar-SA"/>
              </w:rPr>
              <w:suppressLineNumbers w:val="0"/>
            </w:pPr>
            <w:r>
              <w:rPr>
                <w:rFonts w:hint="eastAsia" w:ascii="方正仿宋_GBK" w:hAnsi="方正仿宋_GBK" w:eastAsia="方正仿宋_GBK" w:cs="方正仿宋_GBK"/>
                <w:b/>
                <w:bCs/>
                <w:color w:val="000000"/>
                <w:sz w:val="24"/>
                <w:szCs w:val="24"/>
                <w:highlight w:val="none"/>
                <w:lang w:val="en-US" w:eastAsia="zh-CN" w:bidi="ar-SA"/>
              </w:rPr>
              <w:t xml:space="preserve">4.1投标人资信能力</w:t>
            </w:r>
            <w:r/>
          </w:p>
          <w:p>
            <w:pPr>
              <w:ind w:left="0" w:right="0" w:firstLine="48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投标人须提供有效期内的ISO9001质量管理体系认证证书。提供得1分，不提供不得分。（以上证书须提供复印件并加盖投标人公章）</w:t>
            </w:r>
            <w:r/>
          </w:p>
        </w:tc>
        <w:tc>
          <w:tcPr>
            <w:tcW w:w="813"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b w:val="0"/>
                <w:bCs w:val="0"/>
                <w:color w:val="000000"/>
                <w:sz w:val="24"/>
                <w:szCs w:val="24"/>
                <w:highlight w:val="none"/>
                <w:lang w:val="en-US" w:eastAsia="zh-CN" w:bidi="ar-SA"/>
              </w:rPr>
              <w:suppressLineNumbers w:val="0"/>
            </w:pPr>
            <w:r>
              <w:rPr>
                <w:rFonts w:hint="eastAsia" w:ascii="方正仿宋_GBK" w:hAnsi="方正仿宋_GBK" w:eastAsia="方正仿宋_GBK" w:cs="方正仿宋_GBK"/>
                <w:b w:val="0"/>
                <w:bCs w:val="0"/>
                <w:color w:val="000000"/>
                <w:sz w:val="24"/>
                <w:szCs w:val="24"/>
                <w:highlight w:val="none"/>
                <w:lang w:val="en-US" w:eastAsia="zh-CN" w:bidi="ar-SA"/>
              </w:rPr>
              <w:t xml:space="preserve">1</w:t>
            </w:r>
            <w:r/>
          </w:p>
        </w:tc>
      </w:tr>
      <w:tr>
        <w:trPr>
          <w:cantSplit/>
          <w:jc w:val="center"/>
          <w:trHeight w:val="1332"/>
        </w:trPr>
        <w:tc>
          <w:tcPr>
            <w:tcW w:w="821"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r>
            <w:r/>
          </w:p>
        </w:tc>
        <w:tc>
          <w:tcPr>
            <w:tcW w:w="1411" w:type="dxa"/>
            <w:vAlign w:val="center"/>
            <w:vMerge w:val="continue"/>
            <w:textDirection w:val="lrTb"/>
            <w:noWrap w:val="false"/>
          </w:tcPr>
          <w:p>
            <w:pPr>
              <w:pStyle w:val="790"/>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r>
            <w:r/>
          </w:p>
        </w:tc>
        <w:tc>
          <w:tcPr>
            <w:tcW w:w="6788" w:type="dxa"/>
            <w:vAlign w:val="center"/>
            <w:textDirection w:val="lrTb"/>
            <w:noWrap w:val="false"/>
          </w:tcPr>
          <w:p>
            <w:pPr>
              <w:ind w:left="0" w:right="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bCs/>
                <w:color w:val="000000"/>
                <w:sz w:val="24"/>
                <w:szCs w:val="24"/>
                <w:highlight w:val="none"/>
                <w:lang w:val="en-US" w:eastAsia="zh-CN" w:bidi="ar-SA"/>
              </w:rPr>
              <w:suppressLineNumbers w:val="0"/>
            </w:pPr>
            <w:r>
              <w:rPr>
                <w:rFonts w:hint="eastAsia" w:ascii="方正仿宋_GBK" w:hAnsi="方正仿宋_GBK" w:eastAsia="方正仿宋_GBK" w:cs="方正仿宋_GBK"/>
                <w:b/>
                <w:bCs/>
                <w:color w:val="000000"/>
                <w:sz w:val="24"/>
                <w:szCs w:val="24"/>
                <w:highlight w:val="none"/>
                <w:lang w:val="en-US" w:eastAsia="zh-CN" w:bidi="ar-SA"/>
              </w:rPr>
              <w:t xml:space="preserve">4.2 投标人能力评估</w:t>
            </w:r>
            <w:r/>
          </w:p>
          <w:p>
            <w:pPr>
              <w:ind w:left="0" w:right="0" w:firstLine="480"/>
              <w:keepLines w:val="0"/>
              <w:keepNext w:val="0"/>
              <w:pageBreakBefore w:val="0"/>
              <w:spacing w:before="0" w:beforeAutospacing="0" w:after="0" w:afterAutospacing="0" w:line="400" w:lineRule="exact"/>
              <w:rPr>
                <w:rFonts w:hint="eastAsia" w:ascii="方正仿宋_GBK" w:hAnsi="方正仿宋_GBK" w:eastAsia="方正仿宋_GBK" w:cs="方正仿宋_GBK"/>
                <w:color w:val="auto"/>
                <w:sz w:val="24"/>
                <w:szCs w:val="24"/>
                <w:highlight w:val="none"/>
                <w:lang w:eastAsia="zh-CN"/>
              </w:rPr>
              <w:suppressLineNumbers w:val="0"/>
            </w:pPr>
            <w:r>
              <w:rPr>
                <w:rFonts w:hint="eastAsia" w:ascii="方正仿宋_GBK" w:hAnsi="方正仿宋_GBK" w:eastAsia="方正仿宋_GBK" w:cs="方正仿宋_GBK"/>
                <w:color w:val="auto"/>
                <w:sz w:val="24"/>
                <w:szCs w:val="24"/>
                <w:highlight w:val="none"/>
                <w:lang w:eastAsia="zh-CN"/>
              </w:rPr>
              <w:t xml:space="preserve">投标人具有自主研发能力，具备类似如下自主知识产权的著作权证书：健康风险评估类、知识图谱类、康复训练类等，每提供一类得1分，</w:t>
            </w:r>
            <w:r>
              <w:rPr>
                <w:rFonts w:hint="eastAsia" w:ascii="方正仿宋_GBK" w:hAnsi="方正仿宋_GBK" w:eastAsia="方正仿宋_GBK" w:cs="方正仿宋_GBK"/>
                <w:color w:val="auto"/>
                <w:sz w:val="24"/>
                <w:szCs w:val="24"/>
                <w:highlight w:val="none"/>
                <w:lang w:val="en-US" w:eastAsia="zh-CN"/>
              </w:rPr>
              <w:t xml:space="preserve">同一类关键词不重复计分，</w:t>
            </w:r>
            <w:r>
              <w:rPr>
                <w:rFonts w:hint="eastAsia" w:ascii="方正仿宋_GBK" w:hAnsi="方正仿宋_GBK" w:eastAsia="方正仿宋_GBK" w:cs="方正仿宋_GBK"/>
                <w:color w:val="auto"/>
                <w:sz w:val="24"/>
                <w:szCs w:val="24"/>
                <w:highlight w:val="none"/>
                <w:lang w:eastAsia="zh-CN"/>
              </w:rPr>
              <w:t xml:space="preserve">本项最高得3分，不提供不得分。（以上证书须提供复印件并加盖投标人公章）</w:t>
            </w:r>
            <w:r/>
          </w:p>
          <w:p>
            <w:pPr>
              <w:ind w:left="0" w:right="0" w:firstLine="48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default" w:ascii="方正仿宋_GBK" w:hAnsi="方正仿宋_GBK" w:eastAsia="方正仿宋_GBK" w:cs="方正仿宋_GBK"/>
                <w:color w:val="auto"/>
                <w:sz w:val="24"/>
                <w:szCs w:val="24"/>
                <w:highlight w:val="none"/>
                <w:lang w:eastAsia="zh-CN"/>
              </w:rPr>
              <w:t xml:space="preserve">（如投标文件中提供的著作权名称表述与招标文件描述的关键字样不</w:t>
            </w:r>
            <w:r>
              <w:rPr>
                <w:rFonts w:hint="eastAsia" w:ascii="方正仿宋_GBK" w:hAnsi="方正仿宋_GBK" w:eastAsia="方正仿宋_GBK" w:cs="方正仿宋_GBK"/>
                <w:color w:val="auto"/>
                <w:sz w:val="24"/>
                <w:szCs w:val="24"/>
                <w:highlight w:val="none"/>
                <w:lang w:val="en-US" w:eastAsia="zh-CN"/>
              </w:rPr>
              <w:t xml:space="preserve">完全</w:t>
            </w:r>
            <w:r>
              <w:rPr>
                <w:rFonts w:hint="default" w:ascii="方正仿宋_GBK" w:hAnsi="方正仿宋_GBK" w:eastAsia="方正仿宋_GBK" w:cs="方正仿宋_GBK"/>
                <w:color w:val="auto"/>
                <w:sz w:val="24"/>
                <w:szCs w:val="24"/>
                <w:highlight w:val="none"/>
                <w:lang w:eastAsia="zh-CN"/>
              </w:rPr>
              <w:t xml:space="preserve">一致，而该投标文件中能证明供应商拥有的著作权具有相同或相似功能和效果，且评标委员会认可的，视同符合要求。）</w:t>
            </w:r>
            <w:r/>
          </w:p>
        </w:tc>
        <w:tc>
          <w:tcPr>
            <w:tcW w:w="813"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b w:val="0"/>
                <w:bCs w:val="0"/>
                <w:color w:val="000000"/>
                <w:sz w:val="24"/>
                <w:szCs w:val="24"/>
                <w:highlight w:val="none"/>
                <w:lang w:val="en-US" w:eastAsia="zh-CN" w:bidi="ar-SA"/>
              </w:rPr>
              <w:suppressLineNumbers w:val="0"/>
            </w:pPr>
            <w:r>
              <w:rPr>
                <w:rFonts w:hint="eastAsia" w:ascii="方正仿宋_GBK" w:hAnsi="方正仿宋_GBK" w:eastAsia="方正仿宋_GBK" w:cs="方正仿宋_GBK"/>
                <w:b w:val="0"/>
                <w:bCs w:val="0"/>
                <w:color w:val="000000"/>
                <w:sz w:val="24"/>
                <w:szCs w:val="24"/>
                <w:highlight w:val="none"/>
                <w:lang w:val="en-US" w:eastAsia="zh-CN" w:bidi="ar-SA"/>
              </w:rPr>
              <w:t xml:space="preserve">3</w:t>
            </w:r>
            <w:r/>
          </w:p>
        </w:tc>
      </w:tr>
      <w:tr>
        <w:trPr>
          <w:cantSplit/>
          <w:jc w:val="center"/>
          <w:trHeight w:val="1332"/>
        </w:trPr>
        <w:tc>
          <w:tcPr>
            <w:tcBorders>
              <w:bottom w:val="single" w:color="000000" w:sz="4" w:space="0"/>
            </w:tcBorders>
            <w:tcW w:w="821"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r>
            <w:r/>
          </w:p>
        </w:tc>
        <w:tc>
          <w:tcPr>
            <w:tcBorders>
              <w:bottom w:val="single" w:color="000000" w:sz="4" w:space="0"/>
            </w:tcBorders>
            <w:tcW w:w="1411" w:type="dxa"/>
            <w:vAlign w:val="center"/>
            <w:vMerge w:val="continue"/>
            <w:textDirection w:val="lrTb"/>
            <w:noWrap w:val="false"/>
          </w:tcPr>
          <w:p>
            <w:pPr>
              <w:pStyle w:val="790"/>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r>
            <w:r/>
          </w:p>
        </w:tc>
        <w:tc>
          <w:tcPr>
            <w:tcBorders>
              <w:bottom w:val="single" w:color="000000" w:sz="4" w:space="0"/>
            </w:tcBorders>
            <w:tcW w:w="6788" w:type="dxa"/>
            <w:vAlign w:val="top"/>
            <w:textDirection w:val="lrTb"/>
            <w:noWrap w:val="false"/>
          </w:tcPr>
          <w:p>
            <w:pPr>
              <w:ind w:right="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bCs/>
                <w:color w:val="000000"/>
                <w:sz w:val="24"/>
                <w:szCs w:val="24"/>
                <w:highlight w:val="none"/>
                <w:lang w:val="en-US" w:eastAsia="zh-CN" w:bidi="ar-SA"/>
              </w:rPr>
              <w:suppressLineNumbers w:val="0"/>
            </w:pPr>
            <w:r>
              <w:rPr>
                <w:rFonts w:hint="eastAsia" w:ascii="方正仿宋_GBK" w:hAnsi="方正仿宋_GBK" w:eastAsia="方正仿宋_GBK" w:cs="方正仿宋_GBK"/>
                <w:b/>
                <w:bCs/>
                <w:color w:val="000000"/>
                <w:sz w:val="24"/>
                <w:szCs w:val="24"/>
                <w:highlight w:val="none"/>
                <w:lang w:val="en-US" w:eastAsia="zh-CN" w:bidi="ar-SA"/>
              </w:rPr>
              <w:t xml:space="preserve">4.3 项目经理（限1人）配置</w:t>
            </w:r>
            <w:r/>
          </w:p>
          <w:p>
            <w:pPr>
              <w:ind w:right="0" w:firstLine="480"/>
              <w:jc w:val="both"/>
              <w:keepLines w:val="0"/>
              <w:keepNext w:val="0"/>
              <w:pageBreakBefore w:val="0"/>
              <w:spacing w:before="0" w:beforeAutospacing="0" w:after="0" w:afterAutospacing="0" w:line="400" w:lineRule="exact"/>
              <w:widowControl w:val="off"/>
              <w:rPr>
                <w:rFonts w:hint="default"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拟担任本项目的项目经理，具有在专科知识图谱构建或专科高质量数据集构建或研究数据平台类项目中担任项目经理经验的，每提供一类项目出具的相关证明材料的得2分，本项最高得6分。证明材料包括具有该项目经理姓名的专科知识图谱构建或专科高质量数据集构建或研究数据平台类项目的合同或验收报告，须提供复印件并加盖投标人公章。同一类项目、同一个项目均不重复得分。</w:t>
            </w:r>
            <w:r/>
          </w:p>
          <w:p>
            <w:pPr>
              <w:ind w:right="0" w:firstLine="48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注：须提供投标人和项目经理签订的有效期内的劳动合同扫描件、近半年内任意一个月投标人为其缴纳社保的证明文件。</w:t>
            </w:r>
            <w:r/>
          </w:p>
        </w:tc>
        <w:tc>
          <w:tcPr>
            <w:tcW w:w="813"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default" w:ascii="方正仿宋_GBK" w:hAnsi="方正仿宋_GBK" w:eastAsia="方正仿宋_GBK" w:cs="方正仿宋_GBK"/>
                <w:b w:val="0"/>
                <w:bCs w:val="0"/>
                <w:color w:val="000000"/>
                <w:sz w:val="24"/>
                <w:szCs w:val="24"/>
                <w:highlight w:val="none"/>
                <w:lang w:val="en-US" w:eastAsia="zh-CN" w:bidi="ar-SA"/>
              </w:rPr>
              <w:suppressLineNumbers w:val="0"/>
            </w:pPr>
            <w:r>
              <w:rPr>
                <w:rFonts w:hint="eastAsia" w:ascii="方正仿宋_GBK" w:hAnsi="方正仿宋_GBK" w:eastAsia="方正仿宋_GBK" w:cs="方正仿宋_GBK"/>
                <w:b w:val="0"/>
                <w:bCs w:val="0"/>
                <w:color w:val="000000"/>
                <w:sz w:val="24"/>
                <w:szCs w:val="24"/>
                <w:highlight w:val="none"/>
                <w:lang w:val="en-US" w:eastAsia="zh-CN" w:bidi="ar-SA"/>
              </w:rPr>
              <w:t xml:space="preserve">6</w:t>
            </w:r>
            <w:r/>
          </w:p>
        </w:tc>
      </w:tr>
      <w:tr>
        <w:trPr>
          <w:cantSplit/>
          <w:jc w:val="center"/>
          <w:trHeight w:val="217"/>
        </w:trPr>
        <w:tc>
          <w:tcPr>
            <w:tcBorders>
              <w:bottom w:val="single" w:color="000000" w:sz="4" w:space="0"/>
            </w:tcBorders>
            <w:tcW w:w="821"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r>
            <w:r/>
          </w:p>
        </w:tc>
        <w:tc>
          <w:tcPr>
            <w:tcBorders>
              <w:bottom w:val="single" w:color="000000" w:sz="4" w:space="0"/>
            </w:tcBorders>
            <w:tcW w:w="1411" w:type="dxa"/>
            <w:vAlign w:val="center"/>
            <w:vMerge w:val="continue"/>
            <w:textDirection w:val="lrTb"/>
            <w:noWrap w:val="false"/>
          </w:tcPr>
          <w:p>
            <w:pPr>
              <w:pStyle w:val="790"/>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r>
            <w:r/>
          </w:p>
        </w:tc>
        <w:tc>
          <w:tcPr>
            <w:tcBorders>
              <w:bottom w:val="single" w:color="000000" w:sz="4" w:space="0"/>
            </w:tcBorders>
            <w:tcW w:w="6788" w:type="dxa"/>
            <w:vAlign w:val="center"/>
            <w:textDirection w:val="lrTb"/>
            <w:noWrap w:val="false"/>
          </w:tcPr>
          <w:p>
            <w:pPr>
              <w:ind w:left="0" w:right="0" w:firstLine="48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bCs/>
                <w:color w:val="000000"/>
                <w:sz w:val="24"/>
                <w:szCs w:val="24"/>
                <w:highlight w:val="none"/>
                <w:lang w:val="en-US" w:eastAsia="zh-CN" w:bidi="ar-SA"/>
              </w:rPr>
              <w:suppressLineNumbers w:val="0"/>
            </w:pPr>
            <w:r>
              <w:rPr>
                <w:rFonts w:hint="eastAsia" w:ascii="方正仿宋_GBK" w:hAnsi="方正仿宋_GBK" w:eastAsia="方正仿宋_GBK" w:cs="方正仿宋_GBK"/>
                <w:b/>
                <w:bCs/>
                <w:color w:val="000000"/>
                <w:sz w:val="24"/>
                <w:szCs w:val="24"/>
                <w:highlight w:val="none"/>
                <w:lang w:val="en-US" w:eastAsia="zh-CN" w:bidi="ar-SA"/>
              </w:rPr>
              <w:t xml:space="preserve">4.4 投标人类似项目业绩</w:t>
            </w:r>
            <w:r/>
          </w:p>
          <w:p>
            <w:pPr>
              <w:ind w:left="0" w:right="0" w:firstLine="48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投标人自2023年1月1日以来（以合同签订时间为准）承担过专科知识图谱构建或专科高质量数据集构建或研究数据平台类项目案例，提供一份案例得2.5分，同类型案例每类最高得5分，本项最高得10分，不提供不得分。须提供合同关键页（含签约双方、项目内容、签订日期及盖章页）的清晰扫描件，并加盖投标人公章；</w:t>
            </w:r>
            <w:r/>
          </w:p>
          <w:p>
            <w:pPr>
              <w:ind w:left="0" w:right="0" w:firstLine="48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合同未明确注明签订时间的，不予计分；同一项目合同仅计分一次，重复提交无效；未提供合同复印件或</w:t>
            </w:r>
            <w:r>
              <w:rPr>
                <w:rFonts w:hint="default" w:ascii="方正仿宋_GBK" w:hAnsi="方正仿宋_GBK" w:eastAsia="方正仿宋_GBK" w:cs="方正仿宋_GBK"/>
                <w:color w:val="000000"/>
                <w:sz w:val="24"/>
                <w:szCs w:val="24"/>
                <w:highlight w:val="none"/>
                <w:lang w:val="en-US" w:eastAsia="zh-CN" w:bidi="ar-SA"/>
              </w:rPr>
              <w:t xml:space="preserve">关键信息缺失</w:t>
            </w:r>
            <w:r>
              <w:rPr>
                <w:rFonts w:hint="eastAsia" w:ascii="方正仿宋_GBK" w:hAnsi="方正仿宋_GBK" w:eastAsia="方正仿宋_GBK" w:cs="方正仿宋_GBK"/>
                <w:color w:val="000000"/>
                <w:sz w:val="24"/>
                <w:szCs w:val="24"/>
                <w:highlight w:val="none"/>
                <w:lang w:val="en-US" w:eastAsia="zh-CN" w:bidi="ar-SA"/>
              </w:rPr>
              <w:t xml:space="preserve">不能体现项目内容的，不予计分。</w:t>
            </w:r>
            <w:r/>
          </w:p>
        </w:tc>
        <w:tc>
          <w:tcPr>
            <w:tcW w:w="813"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b w:val="0"/>
                <w:bCs w:val="0"/>
                <w:color w:val="000000"/>
                <w:sz w:val="24"/>
                <w:szCs w:val="24"/>
                <w:highlight w:val="none"/>
                <w:lang w:val="en-US" w:eastAsia="zh-CN" w:bidi="ar-SA"/>
              </w:rPr>
              <w:suppressLineNumbers w:val="0"/>
            </w:pPr>
            <w:r>
              <w:rPr>
                <w:rFonts w:hint="eastAsia" w:ascii="方正仿宋_GBK" w:hAnsi="方正仿宋_GBK" w:eastAsia="方正仿宋_GBK" w:cs="方正仿宋_GBK"/>
                <w:b w:val="0"/>
                <w:bCs w:val="0"/>
                <w:color w:val="000000"/>
                <w:sz w:val="24"/>
                <w:szCs w:val="24"/>
                <w:highlight w:val="none"/>
                <w:lang w:val="en-US" w:eastAsia="zh-CN" w:bidi="ar-SA"/>
              </w:rPr>
              <w:t xml:space="preserve">10</w:t>
            </w:r>
            <w:r/>
          </w:p>
        </w:tc>
      </w:tr>
      <w:tr>
        <w:trPr>
          <w:jc w:val="center"/>
          <w:trHeight w:val="1332"/>
        </w:trPr>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pStyle w:val="790"/>
              <w:ind w:left="0" w:right="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功能演示分（10分）</w:t>
            </w:r>
            <w:r/>
          </w:p>
        </w:tc>
        <w:tc>
          <w:tcPr>
            <w:tcBorders>
              <w:top w:val="single" w:color="000000" w:sz="4" w:space="0"/>
              <w:left w:val="single" w:color="000000" w:sz="4" w:space="0"/>
              <w:bottom w:val="single" w:color="000000" w:sz="4" w:space="0"/>
            </w:tcBorders>
            <w:tcW w:w="6788" w:type="dxa"/>
            <w:vAlign w:val="center"/>
            <w:textDirection w:val="lrTb"/>
            <w:noWrap w:val="false"/>
          </w:tcPr>
          <w:p>
            <w:pPr>
              <w:ind w:left="0" w:right="0" w:firstLine="48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演示时间不超过10分钟，按评标方法与评标标准提供软件功能演示讲解视频，演示视频上传指定平台，按演示点得分。采用真实系统或原型系统演示的，最高得10分；采用PPT等其他方式演示的，最终得分=原始得分*50%，最高得5分。不演示或演示不符合要求不得分。</w:t>
            </w:r>
            <w:r/>
          </w:p>
          <w:p>
            <w:pPr>
              <w:ind w:left="0" w:right="0" w:firstLine="48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围绕“知识图谱可视化交互功能”、“学科报告智能体”和“综合报告智能体”功能要求进行演示。</w:t>
            </w:r>
            <w:r/>
          </w:p>
          <w:p>
            <w:pPr>
              <w:ind w:left="0" w:right="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bCs/>
                <w:color w:val="000000"/>
                <w:sz w:val="24"/>
                <w:szCs w:val="24"/>
                <w:highlight w:val="none"/>
                <w:lang w:val="en-US" w:eastAsia="zh-CN" w:bidi="ar-SA"/>
              </w:rPr>
              <w:suppressLineNumbers w:val="0"/>
            </w:pPr>
            <w:r>
              <w:rPr>
                <w:rFonts w:hint="eastAsia" w:ascii="方正仿宋_GBK" w:hAnsi="方正仿宋_GBK" w:eastAsia="方正仿宋_GBK" w:cs="方正仿宋_GBK"/>
                <w:b/>
                <w:bCs/>
                <w:color w:val="000000"/>
                <w:sz w:val="24"/>
                <w:szCs w:val="24"/>
                <w:highlight w:val="none"/>
                <w:lang w:val="en-US" w:eastAsia="zh-CN" w:bidi="ar-SA"/>
              </w:rPr>
              <w:t xml:space="preserve">5.1针对“知识图谱可视化交互功能”进行演示，演示内容包括：</w:t>
            </w:r>
            <w:r/>
          </w:p>
          <w:p>
            <w:pPr>
              <w:ind w:left="0" w:right="0" w:firstLine="48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（1）演示可视化图谱操作：支持图谱节点、关系拖拽调整，自定义颜色标注，以及层级展开/收缩操作，直观呈现知识关联逻辑，全部演示得1分。</w:t>
            </w:r>
            <w:r/>
          </w:p>
          <w:p>
            <w:pPr>
              <w:ind w:left="0" w:right="0" w:firstLine="48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（2）演示多维度图谱筛选：按学科、运动项目、运动员等维度快速筛选图谱视图，精准定位目标知识内容。全部演示得2分。</w:t>
            </w:r>
            <w:r/>
          </w:p>
          <w:p>
            <w:pPr>
              <w:ind w:left="0" w:right="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b/>
                <w:bCs/>
                <w:color w:val="000000"/>
                <w:sz w:val="24"/>
                <w:szCs w:val="24"/>
                <w:highlight w:val="none"/>
                <w:lang w:val="en-US" w:eastAsia="zh-CN" w:bidi="ar-SA"/>
              </w:rPr>
              <w:t xml:space="preserve">5.2针对“学科报告智能体”中“可视化能力”进行演示，演示内容包括：</w:t>
            </w:r>
            <w:r>
              <w:rPr>
                <w:rFonts w:hint="eastAsia" w:ascii="方正仿宋_GBK" w:hAnsi="方正仿宋_GBK" w:eastAsia="方正仿宋_GBK" w:cs="方正仿宋_GBK"/>
                <w:color w:val="000000"/>
                <w:sz w:val="24"/>
                <w:szCs w:val="24"/>
                <w:highlight w:val="none"/>
                <w:lang w:val="en-US" w:eastAsia="zh-CN" w:bidi="ar-SA"/>
              </w:rPr>
              <w:t xml:space="preserve">智能体内置图表引擎，支持柱状图、折线图生成；图表支持多指标叠加、时间轴自定义、数据标签显示，趋势数据精度保留至小数点后2位。全部演示得1分。</w:t>
            </w:r>
            <w:r/>
          </w:p>
          <w:p>
            <w:pPr>
              <w:ind w:left="0" w:right="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b/>
                <w:bCs/>
                <w:color w:val="000000"/>
                <w:sz w:val="24"/>
                <w:szCs w:val="24"/>
                <w:highlight w:val="none"/>
                <w:lang w:val="en-US" w:eastAsia="zh-CN" w:bidi="ar-SA"/>
              </w:rPr>
              <w:t xml:space="preserve">5.3针对“学科报告智能体”中“异常识别与解读”进行演示，演示内容包括：</w:t>
            </w:r>
            <w:r>
              <w:rPr>
                <w:rFonts w:hint="eastAsia" w:ascii="方正仿宋_GBK" w:hAnsi="方正仿宋_GBK" w:eastAsia="方正仿宋_GBK" w:cs="方正仿宋_GBK"/>
                <w:color w:val="000000"/>
                <w:sz w:val="24"/>
                <w:szCs w:val="24"/>
                <w:highlight w:val="none"/>
                <w:lang w:val="en-US" w:eastAsia="zh-CN" w:bidi="ar-SA"/>
              </w:rPr>
              <w:t xml:space="preserve">需面向教练员、运动员、科研人员输出差异化报告。智能体内置指标异常阈值规则，可自动识别超标数据并高亮提示；智能体支持预设训练建议模板，并能根据指标异常类型自动匹配对应解读建议。全部演示得3分。</w:t>
            </w:r>
            <w:r/>
          </w:p>
          <w:p>
            <w:pPr>
              <w:ind w:left="0" w:right="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bCs/>
                <w:color w:val="000000"/>
                <w:sz w:val="24"/>
                <w:szCs w:val="24"/>
                <w:highlight w:val="none"/>
                <w:lang w:val="en-US" w:eastAsia="zh-CN" w:bidi="ar-SA"/>
              </w:rPr>
              <w:suppressLineNumbers w:val="0"/>
            </w:pPr>
            <w:r>
              <w:rPr>
                <w:rFonts w:hint="eastAsia" w:ascii="方正仿宋_GBK" w:hAnsi="方正仿宋_GBK" w:eastAsia="方正仿宋_GBK" w:cs="方正仿宋_GBK"/>
                <w:b/>
                <w:bCs/>
                <w:color w:val="000000"/>
                <w:sz w:val="24"/>
                <w:szCs w:val="24"/>
                <w:highlight w:val="none"/>
                <w:lang w:val="en-US" w:eastAsia="zh-CN" w:bidi="ar-SA"/>
              </w:rPr>
              <w:t xml:space="preserve">5.4针对“综合报告智能体”进行演示，演示内容包括：</w:t>
            </w:r>
            <w:r/>
          </w:p>
          <w:p>
            <w:pPr>
              <w:ind w:left="0" w:right="0" w:firstLine="48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1）演示风险识别类型：至少覆盖运动损伤风险、过度疲劳(过度训练综合征)风险两类风险识别，支持风险类型规则扩展。需基于训练、体能、生理等相关指标识别运动损伤风险、过度疲劳风险，并在输出结果中完整体现风险类型、风险等级、主要触发指标及风险判定依据。全部演示得1分。</w:t>
            </w:r>
            <w:r/>
          </w:p>
          <w:p>
            <w:pPr>
              <w:ind w:left="0" w:right="0" w:firstLine="48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4"/>
                <w:szCs w:val="24"/>
                <w:highlight w:val="none"/>
                <w:lang w:val="en-US" w:eastAsia="zh-CN" w:bidi="ar-SA"/>
              </w:rPr>
              <w:suppressLineNumbers w:val="0"/>
            </w:pPr>
            <w:r>
              <w:rPr>
                <w:rFonts w:hint="eastAsia" w:ascii="方正仿宋_GBK" w:hAnsi="方正仿宋_GBK" w:eastAsia="方正仿宋_GBK" w:cs="方正仿宋_GBK"/>
                <w:color w:val="000000"/>
                <w:sz w:val="24"/>
                <w:szCs w:val="24"/>
                <w:highlight w:val="none"/>
                <w:lang w:val="en-US" w:eastAsia="zh-CN" w:bidi="ar-SA"/>
              </w:rPr>
              <w:t xml:space="preserve">（2）演示分析模型能力：智能体内置跨学科指标关联分析模型(知识图谱驱动)、竞技状态综合评分模型、风险预测模型，支特模型规则的可配置与选代更新。需基于知识图谱对训练、体能、生理、生化、医疗、心理等不同学科指标开展关联分析，并在输出结果中完整体现关联指标、关联关系或推理路径、关键影响因素及综合分析结论。全部演示得2分。</w:t>
            </w:r>
            <w:r/>
          </w:p>
        </w:tc>
        <w:tc>
          <w:tcPr>
            <w:tcW w:w="813"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b w:val="0"/>
                <w:bCs w:val="0"/>
                <w:color w:val="000000"/>
                <w:sz w:val="24"/>
                <w:szCs w:val="24"/>
                <w:highlight w:val="none"/>
                <w:lang w:val="en-US" w:eastAsia="zh-CN" w:bidi="ar-SA"/>
              </w:rPr>
              <w:suppressLineNumbers w:val="0"/>
            </w:pPr>
            <w:r>
              <w:rPr>
                <w:rFonts w:hint="eastAsia" w:ascii="方正仿宋_GBK" w:hAnsi="方正仿宋_GBK" w:eastAsia="方正仿宋_GBK" w:cs="方正仿宋_GBK"/>
                <w:b w:val="0"/>
                <w:bCs w:val="0"/>
                <w:color w:val="000000"/>
                <w:sz w:val="24"/>
                <w:szCs w:val="24"/>
                <w:highlight w:val="none"/>
                <w:lang w:val="en-US" w:eastAsia="zh-CN" w:bidi="ar-SA"/>
              </w:rPr>
              <w:t xml:space="preserve">10</w:t>
            </w:r>
            <w:r/>
          </w:p>
        </w:tc>
      </w:tr>
    </w:tbl>
    <w:p>
      <w:pPr>
        <w:rPr>
          <w:rFonts w:hint="eastAsia"/>
          <w:highlight w:val="none"/>
        </w:rPr>
      </w:pPr>
      <w:r>
        <w:rPr>
          <w:rFonts w:hint="eastAsia"/>
          <w:highlight w:val="none"/>
        </w:rPr>
      </w:r>
      <w:r/>
    </w:p>
    <w:p>
      <w:pPr>
        <w:pStyle w:val="772"/>
        <w:rPr>
          <w:rFonts w:ascii="黑体" w:eastAsia="黑体"/>
          <w:bCs/>
          <w:sz w:val="44"/>
          <w:highlight w:val="none"/>
        </w:rPr>
      </w:pPr>
      <w:r>
        <w:rPr>
          <w:rFonts w:ascii="黑体" w:eastAsia="黑体"/>
          <w:bCs/>
          <w:sz w:val="44"/>
          <w:highlight w:val="none"/>
        </w:rPr>
      </w:r>
      <w:r/>
    </w:p>
    <w:p>
      <w:pPr>
        <w:rPr>
          <w:rFonts w:ascii="黑体" w:eastAsia="黑体"/>
          <w:bCs/>
          <w:sz w:val="44"/>
          <w:highlight w:val="none"/>
        </w:rPr>
      </w:pPr>
      <w:r>
        <w:rPr>
          <w:rFonts w:ascii="黑体" w:eastAsia="黑体"/>
          <w:bCs/>
          <w:sz w:val="44"/>
          <w:highlight w:val="none"/>
        </w:rPr>
      </w:r>
      <w:r/>
    </w:p>
    <w:p>
      <w:pPr>
        <w:rPr>
          <w:rFonts w:ascii="黑体" w:eastAsia="黑体"/>
          <w:bCs/>
          <w:sz w:val="44"/>
          <w:highlight w:val="none"/>
        </w:rPr>
      </w:pPr>
      <w:r>
        <w:rPr>
          <w:rFonts w:ascii="黑体" w:eastAsia="黑体"/>
          <w:bCs/>
          <w:sz w:val="44"/>
          <w:highlight w:val="none"/>
        </w:rPr>
      </w:r>
      <w:r/>
    </w:p>
    <w:p>
      <w:pPr>
        <w:rPr>
          <w:rFonts w:ascii="黑体" w:eastAsia="黑体"/>
          <w:bCs/>
          <w:sz w:val="44"/>
          <w:highlight w:val="none"/>
        </w:rPr>
      </w:pPr>
      <w:r>
        <w:rPr>
          <w:rFonts w:ascii="黑体" w:eastAsia="黑体"/>
          <w:bCs/>
          <w:sz w:val="44"/>
          <w:highlight w:val="none"/>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第六章  投标</w:t>
      </w:r>
      <w:bookmarkEnd w:id="161"/>
      <w:r/>
      <w:bookmarkEnd w:id="162"/>
      <w:r/>
      <w:bookmarkEnd w:id="193"/>
      <w:r>
        <w:rPr>
          <w:rFonts w:hint="eastAsia" w:ascii="方正黑体_GBK" w:hAnsi="方正黑体_GBK" w:eastAsia="方正黑体_GBK" w:cs="方正黑体_GBK"/>
          <w:color w:val="000000"/>
          <w:sz w:val="28"/>
          <w:szCs w:val="28"/>
          <w:highlight w:val="none"/>
        </w:rPr>
        <w:t xml:space="preserve">文件格式 </w:t>
      </w:r>
      <w:r/>
    </w:p>
    <w:p>
      <w:pPr>
        <w:jc w:val="center"/>
        <w:rPr>
          <w:rFonts w:hint="eastAsia" w:ascii="宋体" w:hAnsi="宋体"/>
          <w:b/>
          <w:sz w:val="28"/>
          <w:szCs w:val="28"/>
          <w:highlight w:val="none"/>
        </w:rPr>
      </w:pPr>
      <w:r/>
      <w:bookmarkStart w:id="194" w:name="_Hlt26955039"/>
      <w:r/>
      <w:bookmarkEnd w:id="194"/>
      <w:r/>
      <w:bookmarkStart w:id="195" w:name="_Hlt26671244"/>
      <w:r/>
      <w:bookmarkEnd w:id="195"/>
      <w:r/>
      <w:bookmarkStart w:id="196" w:name="_Toc49090576"/>
      <w:r/>
      <w:bookmarkStart w:id="197" w:name="_Toc26554094"/>
      <w:r/>
      <w:bookmarkStart w:id="198" w:name="_Toc120614282"/>
      <w:r/>
      <w:r/>
    </w:p>
    <w:p>
      <w:pPr>
        <w:jc w:val="center"/>
        <w:rPr>
          <w:rFonts w:hint="eastAsia" w:ascii="方正小标宋_GBK" w:hAnsi="方正小标宋_GBK" w:eastAsia="方正小标宋_GBK" w:cs="方正小标宋_GBK"/>
          <w:b w:val="0"/>
          <w:bCs/>
          <w:sz w:val="44"/>
          <w:szCs w:val="44"/>
          <w:highlight w:val="none"/>
        </w:rPr>
      </w:pPr>
      <w:r>
        <w:rPr>
          <w:rFonts w:hint="eastAsia" w:ascii="方正小标宋_GBK" w:hAnsi="方正小标宋_GBK" w:eastAsia="方正小标宋_GBK" w:cs="方正小标宋_GBK"/>
          <w:b w:val="0"/>
          <w:bCs/>
          <w:sz w:val="44"/>
          <w:szCs w:val="44"/>
          <w:highlight w:val="none"/>
        </w:rPr>
      </w:r>
      <w:r/>
    </w:p>
    <w:p>
      <w:pPr>
        <w:jc w:val="center"/>
        <w:rPr>
          <w:rFonts w:hint="eastAsia" w:ascii="方正小标宋_GBK" w:hAnsi="方正小标宋_GBK" w:eastAsia="方正小标宋_GBK" w:cs="方正小标宋_GBK"/>
          <w:b w:val="0"/>
          <w:bCs/>
          <w:sz w:val="32"/>
          <w:szCs w:val="32"/>
          <w:highlight w:val="none"/>
        </w:rPr>
      </w:pPr>
      <w:r>
        <w:rPr>
          <w:rFonts w:hint="eastAsia" w:ascii="方正小标宋_GBK" w:hAnsi="方正小标宋_GBK" w:eastAsia="方正小标宋_GBK" w:cs="方正小标宋_GBK"/>
          <w:b w:val="0"/>
          <w:bCs/>
          <w:sz w:val="32"/>
          <w:szCs w:val="32"/>
          <w:highlight w:val="none"/>
        </w:rPr>
        <w:t xml:space="preserve">投  标  文  件</w:t>
      </w:r>
      <w:r/>
    </w:p>
    <w:p>
      <w:pPr>
        <w:jc w:val="center"/>
        <w:rPr>
          <w:rFonts w:hint="eastAsia" w:ascii="宋体" w:hAnsi="宋体"/>
          <w:b/>
          <w:sz w:val="28"/>
          <w:szCs w:val="28"/>
          <w:highlight w:val="none"/>
        </w:rPr>
      </w:pPr>
      <w:r>
        <w:rPr>
          <w:rFonts w:hint="eastAsia" w:ascii="宋体" w:hAnsi="宋体"/>
          <w:b/>
          <w:sz w:val="28"/>
          <w:szCs w:val="28"/>
          <w:highlight w:val="none"/>
        </w:rPr>
      </w:r>
      <w:r/>
    </w:p>
    <w:p>
      <w:pPr>
        <w:jc w:val="center"/>
        <w:rPr>
          <w:rFonts w:hint="eastAsia" w:ascii="宋体" w:hAnsi="宋体"/>
          <w:b/>
          <w:sz w:val="28"/>
          <w:szCs w:val="28"/>
          <w:highlight w:val="none"/>
        </w:rPr>
      </w:pPr>
      <w:r>
        <w:rPr>
          <w:rFonts w:hint="eastAsia" w:ascii="宋体" w:hAnsi="宋体"/>
          <w:b/>
          <w:sz w:val="28"/>
          <w:szCs w:val="28"/>
          <w:highlight w:val="none"/>
        </w:rPr>
      </w:r>
      <w:r/>
    </w:p>
    <w:p>
      <w:pPr>
        <w:jc w:val="center"/>
        <w:rPr>
          <w:rFonts w:hint="eastAsia" w:ascii="宋体" w:hAnsi="宋体"/>
          <w:b/>
          <w:sz w:val="28"/>
          <w:szCs w:val="28"/>
          <w:highlight w:val="none"/>
        </w:rPr>
      </w:pPr>
      <w:r>
        <w:rPr>
          <w:rFonts w:hint="eastAsia" w:ascii="宋体" w:hAnsi="宋体"/>
          <w:b/>
          <w:sz w:val="28"/>
          <w:szCs w:val="28"/>
          <w:highlight w:val="none"/>
        </w:rPr>
      </w:r>
      <w:r/>
    </w:p>
    <w:p>
      <w:pPr>
        <w:jc w:val="center"/>
        <w:rPr>
          <w:rFonts w:hint="eastAsia" w:ascii="宋体" w:hAnsi="宋体"/>
          <w:b/>
          <w:sz w:val="28"/>
          <w:szCs w:val="28"/>
          <w:highlight w:val="none"/>
        </w:rPr>
      </w:pPr>
      <w:r>
        <w:rPr>
          <w:rFonts w:hint="eastAsia" w:ascii="宋体" w:hAnsi="宋体"/>
          <w:b/>
          <w:sz w:val="28"/>
          <w:szCs w:val="28"/>
          <w:highlight w:val="none"/>
        </w:rPr>
      </w:r>
      <w:r/>
    </w:p>
    <w:p>
      <w:pPr>
        <w:jc w:val="center"/>
        <w:rPr>
          <w:rFonts w:hint="eastAsia" w:ascii="宋体" w:hAnsi="宋体"/>
          <w:b/>
          <w:sz w:val="28"/>
          <w:szCs w:val="28"/>
          <w:highlight w:val="none"/>
        </w:rPr>
      </w:pPr>
      <w:r>
        <w:rPr>
          <w:rFonts w:hint="eastAsia" w:ascii="宋体" w:hAnsi="宋体"/>
          <w:b/>
          <w:sz w:val="28"/>
          <w:szCs w:val="28"/>
          <w:highlight w:val="none"/>
        </w:rPr>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项 目 名 称：</w:t>
      </w:r>
      <w:r>
        <w:rPr>
          <w:rFonts w:hint="eastAsia" w:ascii="方正黑体_GBK" w:hAnsi="方正黑体_GBK" w:eastAsia="方正黑体_GBK" w:cs="方正黑体_GBK"/>
          <w:b w:val="0"/>
          <w:bCs/>
          <w:sz w:val="28"/>
          <w:szCs w:val="28"/>
          <w:highlight w:val="none"/>
          <w:u w:val="single"/>
        </w:rPr>
        <w:t xml:space="preserve">               </w:t>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u w:val="single"/>
        </w:rPr>
      </w:pPr>
      <w:r>
        <w:rPr>
          <w:rFonts w:hint="eastAsia" w:ascii="方正黑体_GBK" w:hAnsi="方正黑体_GBK" w:eastAsia="方正黑体_GBK" w:cs="方正黑体_GBK"/>
          <w:b w:val="0"/>
          <w:bCs/>
          <w:sz w:val="28"/>
          <w:szCs w:val="28"/>
          <w:highlight w:val="none"/>
          <w:lang w:eastAsia="zh-CN"/>
        </w:rPr>
        <w:t xml:space="preserve">采</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lang w:eastAsia="zh-CN"/>
        </w:rPr>
        <w:t xml:space="preserve">购</w:t>
      </w:r>
      <w:r>
        <w:rPr>
          <w:rFonts w:hint="eastAsia" w:ascii="方正黑体_GBK" w:hAnsi="方正黑体_GBK" w:eastAsia="方正黑体_GBK" w:cs="方正黑体_GBK"/>
          <w:b w:val="0"/>
          <w:bCs/>
          <w:sz w:val="28"/>
          <w:szCs w:val="28"/>
          <w:highlight w:val="none"/>
        </w:rPr>
        <w:t xml:space="preserve"> 编 号：</w:t>
      </w:r>
      <w:r>
        <w:rPr>
          <w:rFonts w:hint="eastAsia" w:ascii="方正黑体_GBK" w:hAnsi="方正黑体_GBK" w:eastAsia="方正黑体_GBK" w:cs="方正黑体_GBK"/>
          <w:b w:val="0"/>
          <w:bCs/>
          <w:sz w:val="28"/>
          <w:szCs w:val="28"/>
          <w:highlight w:val="none"/>
          <w:u w:val="single"/>
        </w:rPr>
        <w:t xml:space="preserve">               </w:t>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u w:val="single"/>
        </w:rPr>
      </w:pPr>
      <w:r>
        <w:rPr>
          <w:rFonts w:hint="eastAsia" w:ascii="方正黑体_GBK" w:hAnsi="方正黑体_GBK" w:eastAsia="方正黑体_GBK" w:cs="方正黑体_GBK"/>
          <w:b w:val="0"/>
          <w:bCs/>
          <w:sz w:val="28"/>
          <w:szCs w:val="28"/>
          <w:highlight w:val="none"/>
        </w:rPr>
        <w:t xml:space="preserve">      投标人名称 ：</w:t>
      </w:r>
      <w:r>
        <w:rPr>
          <w:rFonts w:hint="eastAsia" w:ascii="方正黑体_GBK" w:hAnsi="方正黑体_GBK" w:eastAsia="方正黑体_GBK" w:cs="方正黑体_GBK"/>
          <w:b w:val="0"/>
          <w:bCs/>
          <w:sz w:val="28"/>
          <w:szCs w:val="28"/>
          <w:highlight w:val="none"/>
          <w:u w:val="single"/>
        </w:rPr>
        <w:t xml:space="preserve">（加盖CA电子公章）</w:t>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u w:val="single"/>
        </w:rPr>
      </w:pPr>
      <w:r>
        <w:rPr>
          <w:rFonts w:hint="eastAsia" w:ascii="方正黑体_GBK" w:hAnsi="方正黑体_GBK" w:eastAsia="方正黑体_GBK" w:cs="方正黑体_GBK"/>
          <w:b w:val="0"/>
          <w:bCs/>
          <w:sz w:val="28"/>
          <w:szCs w:val="28"/>
          <w:highlight w:val="none"/>
        </w:rPr>
        <w:t xml:space="preserve">      日      期 ：</w:t>
      </w:r>
      <w:r>
        <w:rPr>
          <w:rFonts w:hint="eastAsia" w:ascii="方正黑体_GBK" w:hAnsi="方正黑体_GBK" w:eastAsia="方正黑体_GBK" w:cs="方正黑体_GBK"/>
          <w:b w:val="0"/>
          <w:bCs/>
          <w:sz w:val="28"/>
          <w:szCs w:val="28"/>
          <w:highlight w:val="none"/>
          <w:u w:val="single"/>
        </w:rPr>
        <w:t xml:space="preserve">               </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line="440" w:lineRule="exact"/>
        <w:rPr>
          <w:rFonts w:ascii="宋体" w:hAnsi="宋体"/>
          <w:highlight w:val="none"/>
        </w:rPr>
      </w:pPr>
      <w:r>
        <w:rPr>
          <w:rFonts w:ascii="宋体" w:hAnsi="宋体"/>
          <w:highlight w:val="none"/>
        </w:rPr>
      </w:r>
      <w:r/>
    </w:p>
    <w:p>
      <w:pPr>
        <w:ind w:firstLine="1084"/>
        <w:rPr>
          <w:rFonts w:ascii="宋体" w:hAnsi="宋体"/>
          <w:b/>
          <w:bCs/>
          <w:sz w:val="32"/>
          <w:szCs w:val="32"/>
          <w:highlight w:val="none"/>
        </w:rPr>
      </w:pPr>
      <w:r>
        <w:rPr>
          <w:rFonts w:ascii="宋体" w:hAnsi="宋体"/>
          <w:b/>
          <w:sz w:val="36"/>
          <w:highlight w:val="none"/>
          <w:u w:val="single"/>
        </w:rPr>
        <w:br w:type="page" w:clear="all"/>
      </w:r>
      <w:r/>
    </w:p>
    <w:p>
      <w:pPr>
        <w:jc w:val="center"/>
        <w:keepLines w:val="0"/>
        <w:keepNext w:val="0"/>
        <w:pageBreakBefore w:val="0"/>
        <w:spacing w:line="400" w:lineRule="exact"/>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投标文件的组成</w:t>
      </w:r>
      <w:r/>
    </w:p>
    <w:p>
      <w:pPr>
        <w:jc w:val="center"/>
        <w:keepLines w:val="0"/>
        <w:keepNext w:val="0"/>
        <w:pageBreakBefore w:val="0"/>
        <w:spacing w:line="400" w:lineRule="exact"/>
        <w:rPr>
          <w:rFonts w:hint="eastAsia" w:ascii="宋体" w:hAnsi="宋体"/>
          <w:b/>
          <w:bCs/>
          <w:sz w:val="28"/>
          <w:szCs w:val="28"/>
          <w:highlight w:val="none"/>
        </w:rPr>
      </w:pPr>
      <w:r>
        <w:rPr>
          <w:rFonts w:hint="eastAsia" w:ascii="宋体" w:hAnsi="宋体"/>
          <w:b/>
          <w:bCs/>
          <w:sz w:val="28"/>
          <w:szCs w:val="28"/>
          <w:highlight w:val="none"/>
        </w:rPr>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一、基本目录</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1.开标一览表（格式见附件1）</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2.投标分项报价表（格式见附件2）</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3.技术要求响应及偏离表（格式见附件3）</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4.商务要求响应及偏离表（格式见附件4）</w:t>
      </w:r>
      <w:r/>
    </w:p>
    <w:p>
      <w:pPr>
        <w:ind w:firstLine="560"/>
        <w:keepLines w:val="0"/>
        <w:keepNext w:val="0"/>
        <w:pageBreakBefore w:val="0"/>
        <w:spacing w:line="400" w:lineRule="exact"/>
        <w:widowControl w:val="off"/>
        <w:rPr>
          <w:rFonts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5.提供服务的人员均为订立劳动合同的从业人员的书面声明（附件14）</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二、资格审查内容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2.上一年度的财务状况报告（投标人成立不满一年无需提供）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4.具备履行合同所必需的设备和专业技术能力的书面声明（格式见附件5）</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5.参加政府采购活动前 3 年内在经营活动中没有重大违法记录的书面声明（格式见附件6）</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6.特定资格要求的证明文件（如果本项目对投标人做出特定资格要求的，必须提供）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7.在“信用中国”网站（</w:t>
      </w:r>
      <w:r>
        <w:rPr>
          <w:rFonts w:hint="eastAsia" w:ascii="Times New Roman" w:hAnsi="Times New Roman" w:eastAsia="方正仿宋_GBK" w:cs="Times New Roman"/>
          <w:color w:val="000000"/>
          <w:sz w:val="28"/>
          <w:szCs w:val="28"/>
          <w:highlight w:val="none"/>
          <w:u w:val="none"/>
          <w:lang w:val="en-US" w:eastAsia="zh-CN" w:bidi="ar-SA"/>
        </w:rPr>
        <w:t xml:space="preserve">www.creditchina.gov.cn</w:t>
      </w:r>
      <w:r>
        <w:rPr>
          <w:rFonts w:hint="eastAsia" w:ascii="方正仿宋_GBK" w:hAnsi="方正仿宋_GBK" w:eastAsia="方正仿宋_GBK" w:cs="方正仿宋_GBK"/>
          <w:sz w:val="28"/>
          <w:szCs w:val="28"/>
          <w:highlight w:val="none"/>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8.法人授权书（格式见附件7）</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9.投标函（格式见附件8）</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总备注：上述“资格审查内容”中1-5条、8、9条投标人必须在投标文件中提供相关材料，否则作无效投标处理；6条如招标文件要求必须提供相关材料而未提供的，作无效投标处理。</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三、符合性审查内容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投标人必须对招标文件（含技术要求和商务要求）中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w:t>
      </w:r>
      <w:r>
        <w:rPr>
          <w:rFonts w:hint="eastAsia" w:ascii="方正仿宋_GBK" w:hAnsi="方正仿宋_GBK" w:eastAsia="方正仿宋_GBK" w:cs="方正仿宋_GBK"/>
          <w:b/>
          <w:bCs/>
          <w:color w:val="000000"/>
          <w:sz w:val="28"/>
          <w:szCs w:val="28"/>
          <w:highlight w:val="none"/>
          <w:lang w:val="en-US" w:eastAsia="zh-CN"/>
        </w:rPr>
        <w:t xml:space="preserve">*</w:t>
      </w:r>
      <w:r>
        <w:rPr>
          <w:rFonts w:hint="eastAsia" w:ascii="方正仿宋_GBK" w:hAnsi="方正仿宋_GBK" w:eastAsia="方正仿宋_GBK" w:cs="方正仿宋_GBK"/>
          <w:b/>
          <w:bCs/>
          <w:color w:val="000000"/>
          <w:sz w:val="28"/>
          <w:szCs w:val="28"/>
          <w:highlight w:val="none"/>
        </w:rPr>
        <w:t xml:space="preserve">号条款</w:t>
      </w:r>
      <w:r>
        <w:rPr>
          <w:rFonts w:hint="eastAsia" w:ascii="方正仿宋_GBK" w:hAnsi="方正仿宋_GBK" w:eastAsia="方正仿宋_GBK" w:cs="方正仿宋_GBK"/>
          <w:color w:val="000000"/>
          <w:sz w:val="28"/>
          <w:szCs w:val="28"/>
          <w:highlight w:val="none"/>
        </w:rPr>
        <w:t xml:space="preserve">的实质性要求逐条做出响应，并按照招标文件要求提供证明材料，否则作无效投标处理。（格式见附件12）</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四、价格扣除证明文件</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1.中小微企业声明函（格式见附件9）</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2.残疾人福利性单位声明函（格式见附件10）</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3.关于符合本国产品标准的声明函（</w:t>
      </w:r>
      <w:r>
        <w:rPr>
          <w:rFonts w:hint="eastAsia" w:ascii="方正仿宋_GBK" w:hAnsi="方正仿宋_GBK" w:eastAsia="方正仿宋_GBK" w:cs="方正仿宋_GBK"/>
          <w:color w:val="000000"/>
          <w:sz w:val="28"/>
          <w:szCs w:val="28"/>
          <w:highlight w:val="none"/>
        </w:rPr>
        <w:t xml:space="preserve">格式见附件</w:t>
      </w:r>
      <w:r>
        <w:rPr>
          <w:rFonts w:hint="eastAsia" w:ascii="方正仿宋_GBK" w:hAnsi="方正仿宋_GBK" w:eastAsia="方正仿宋_GBK" w:cs="方正仿宋_GBK"/>
          <w:color w:val="000000"/>
          <w:sz w:val="28"/>
          <w:szCs w:val="28"/>
          <w:highlight w:val="none"/>
          <w:lang w:val="en-US" w:eastAsia="zh-CN"/>
        </w:rPr>
        <w:t xml:space="preserve">13）</w:t>
      </w:r>
      <w:r/>
    </w:p>
    <w:p>
      <w:pPr>
        <w:keepLines w:val="0"/>
        <w:keepNext w:val="0"/>
        <w:pageBreakBefore w:val="0"/>
        <w:spacing w:line="400" w:lineRule="exact"/>
        <w:rPr>
          <w:rFonts w:ascii="宋体" w:hAnsi="宋体"/>
          <w:sz w:val="28"/>
          <w:szCs w:val="28"/>
          <w:highlight w:val="none"/>
        </w:rPr>
      </w:pPr>
      <w:r>
        <w:rPr>
          <w:rFonts w:ascii="宋体" w:hAnsi="宋体"/>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keepLines w:val="0"/>
        <w:keepNext w:val="0"/>
        <w:pageBreakBefore w:val="0"/>
        <w:spacing w:line="400" w:lineRule="exact"/>
        <w:widowControl w:val="off"/>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b w:val="0"/>
          <w:bCs/>
          <w:sz w:val="28"/>
          <w:szCs w:val="28"/>
          <w:highlight w:val="none"/>
        </w:rPr>
        <w:t xml:space="preserve">附件1 开标一览表</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投标人全称（加盖CA电子签章）：</w:t>
      </w:r>
      <w:r/>
    </w:p>
    <w:p>
      <w:pPr>
        <w:ind w:firstLine="482"/>
        <w:keepLines w:val="0"/>
        <w:keepNext w:val="0"/>
        <w:pageBreakBefore w:val="0"/>
        <w:spacing w:line="400" w:lineRule="exact"/>
        <w:widowControl w:val="off"/>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项目名称：</w:t>
      </w:r>
      <w:r>
        <w:rPr>
          <w:rFonts w:hint="eastAsia" w:ascii="Times New Roman" w:hAnsi="Times New Roman" w:eastAsia="方正仿宋_GBK" w:cs="Times New Roman"/>
          <w:color w:val="000000"/>
          <w:sz w:val="28"/>
          <w:szCs w:val="28"/>
          <w:highlight w:val="none"/>
          <w:u w:val="none"/>
          <w:lang w:val="en-US" w:eastAsia="zh-CN" w:bidi="ar-SA"/>
        </w:rPr>
        <w:t xml:space="preserve">XXXX</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eastAsia="zh-CN"/>
        </w:rPr>
        <w:t xml:space="preserve">采购编号</w:t>
      </w:r>
      <w:r>
        <w:rPr>
          <w:rFonts w:hint="eastAsia" w:ascii="方正仿宋_GBK" w:hAnsi="方正仿宋_GBK" w:eastAsia="方正仿宋_GBK" w:cs="方正仿宋_GBK"/>
          <w:sz w:val="28"/>
          <w:szCs w:val="28"/>
          <w:highlight w:val="none"/>
        </w:rPr>
        <w:t xml:space="preserve">：</w:t>
      </w:r>
      <w:r>
        <w:rPr>
          <w:rFonts w:hint="eastAsia" w:ascii="Times New Roman" w:hAnsi="Times New Roman" w:eastAsia="方正仿宋_GBK" w:cs="Times New Roman"/>
          <w:color w:val="000000"/>
          <w:sz w:val="28"/>
          <w:szCs w:val="28"/>
          <w:highlight w:val="none"/>
          <w:u w:val="none"/>
          <w:lang w:val="en-US" w:eastAsia="zh-CN" w:bidi="ar-SA"/>
        </w:rPr>
        <w:t xml:space="preserve">JSZC-320000-SCZX-G20XX-XXXX    </w:t>
      </w:r>
      <w:r>
        <w:rPr>
          <w:rFonts w:hint="eastAsia" w:ascii="方正仿宋_GBK" w:hAnsi="方正仿宋_GBK" w:eastAsia="方正仿宋_GBK" w:cs="方正仿宋_GBK"/>
          <w:sz w:val="28"/>
          <w:szCs w:val="28"/>
          <w:highlight w:val="none"/>
        </w:rPr>
        <w:t xml:space="preserve">                                  </w:t>
      </w:r>
      <w:r/>
    </w:p>
    <w:p>
      <w:pPr>
        <w:ind w:firstLine="482"/>
        <w:keepLines w:val="0"/>
        <w:keepNext w:val="0"/>
        <w:pageBreakBefore w:val="0"/>
        <w:spacing w:line="400" w:lineRule="exact"/>
        <w:widowControl w:val="off"/>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采购包号：</w:t>
      </w:r>
      <w:r>
        <w:rPr>
          <w:rFonts w:hint="eastAsia" w:ascii="Times New Roman" w:hAnsi="Times New Roman" w:eastAsia="方正仿宋_GBK" w:cs="Times New Roman"/>
          <w:color w:val="000000"/>
          <w:sz w:val="28"/>
          <w:szCs w:val="28"/>
          <w:highlight w:val="none"/>
          <w:u w:val="none"/>
          <w:lang w:val="en-US" w:eastAsia="zh-CN" w:bidi="ar-SA"/>
        </w:rPr>
        <w:t xml:space="preserve">XX</w:t>
      </w:r>
      <w:r/>
    </w:p>
    <w:tbl>
      <w:tblPr>
        <w:tblStyle w:val="78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ind w:left="0" w:right="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                      投标总报价</w:t>
            </w:r>
            <w:r/>
          </w:p>
        </w:tc>
      </w:tr>
      <w:tr>
        <w:trPr>
          <w:cantSplit/>
          <w:trHeight w:val="612"/>
        </w:trPr>
        <w:tc>
          <w:tcPr>
            <w:tcW w:w="8934" w:type="dxa"/>
            <w:vAlign w:val="center"/>
            <w:textDirection w:val="lrTb"/>
            <w:noWrap w:val="false"/>
          </w:tcPr>
          <w:p>
            <w:pPr>
              <w:pStyle w:val="1017"/>
              <w:ind w:left="0" w:right="0" w:firstLine="0"/>
              <w:jc w:val="left"/>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小写：                             （人民币：元）</w:t>
            </w:r>
            <w:r/>
          </w:p>
        </w:tc>
      </w:tr>
    </w:tbl>
    <w:p>
      <w:pPr>
        <w:ind w:firstLine="480"/>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附件2 投标分项报价表（采购包号：</w:t>
      </w:r>
      <w:r>
        <w:rPr>
          <w:rFonts w:hint="eastAsia" w:ascii="Times New Roman" w:hAnsi="Times New Roman" w:eastAsia="方正仿宋_GBK" w:cs="Times New Roman"/>
          <w:color w:val="000000"/>
          <w:sz w:val="28"/>
          <w:szCs w:val="28"/>
          <w:highlight w:val="none"/>
          <w:u w:val="none"/>
          <w:lang w:val="en-US" w:eastAsia="zh-CN" w:bidi="ar-SA"/>
        </w:rPr>
        <w:t xml:space="preserve">XX</w:t>
      </w:r>
      <w:r>
        <w:rPr>
          <w:rFonts w:hint="eastAsia" w:ascii="方正黑体_GBK" w:hAnsi="方正黑体_GBK" w:eastAsia="方正黑体_GBK" w:cs="方正黑体_GBK"/>
          <w:b w:val="0"/>
          <w:bCs/>
          <w:sz w:val="28"/>
          <w:szCs w:val="28"/>
          <w:highlight w:val="none"/>
        </w:rPr>
        <w:t xml:space="preserve">）</w:t>
      </w:r>
      <w:r/>
    </w:p>
    <w:tbl>
      <w:tblPr>
        <w:tblStyle w:val="782"/>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序号</w:t>
            </w:r>
            <w:r/>
          </w:p>
        </w:tc>
        <w:tc>
          <w:tcPr>
            <w:tcW w:w="1106"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1</w:t>
            </w:r>
            <w:r/>
          </w:p>
        </w:tc>
        <w:tc>
          <w:tcPr>
            <w:tcW w:w="106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2</w:t>
            </w:r>
            <w:r/>
          </w:p>
        </w:tc>
        <w:tc>
          <w:tcPr>
            <w:tcW w:w="106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3</w:t>
            </w:r>
            <w:r/>
          </w:p>
        </w:tc>
        <w:tc>
          <w:tcPr>
            <w:tcW w:w="9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4</w:t>
            </w:r>
            <w:r/>
          </w:p>
        </w:tc>
        <w:tc>
          <w:tcPr>
            <w:tcW w:w="104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5</w:t>
            </w:r>
            <w:r/>
          </w:p>
        </w:tc>
        <w:tc>
          <w:tcPr>
            <w:tcW w:w="125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6</w:t>
            </w:r>
            <w:r/>
          </w:p>
        </w:tc>
        <w:tc>
          <w:tcPr>
            <w:tcW w:w="86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7</w:t>
            </w:r>
            <w:r/>
          </w:p>
        </w:tc>
        <w:tc>
          <w:tcPr>
            <w:tcW w:w="92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8</w:t>
            </w:r>
            <w:r/>
          </w:p>
        </w:tc>
        <w:tc>
          <w:tcPr>
            <w:tcW w:w="86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9</w:t>
            </w:r>
            <w:r/>
          </w:p>
        </w:tc>
      </w:tr>
      <w:tr>
        <w:trPr>
          <w:cantSplit/>
          <w:trHeight w:val="294"/>
        </w:trPr>
        <w:tc>
          <w:tcPr>
            <w:tcW w:w="72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1</w:t>
            </w:r>
            <w:r/>
          </w:p>
        </w:tc>
        <w:tc>
          <w:tcPr>
            <w:tcW w:w="1106" w:type="dxa"/>
            <w:vAlign w:val="center"/>
            <w:textDirection w:val="lrTb"/>
            <w:noWrap w:val="false"/>
          </w:tcPr>
          <w:p>
            <w:pPr>
              <w:ind w:left="0" w:right="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分项服务名称/货物名称</w:t>
            </w:r>
            <w:r/>
          </w:p>
        </w:tc>
        <w:tc>
          <w:tcPr>
            <w:tcW w:w="106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品牌</w:t>
            </w:r>
            <w:r/>
          </w:p>
        </w:tc>
        <w:tc>
          <w:tcPr>
            <w:tcW w:w="106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规格</w:t>
            </w:r>
            <w:r/>
          </w:p>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型号</w:t>
            </w:r>
            <w:r/>
          </w:p>
        </w:tc>
        <w:tc>
          <w:tcPr>
            <w:tcW w:w="9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制造商名称</w:t>
            </w:r>
            <w:r/>
          </w:p>
        </w:tc>
        <w:tc>
          <w:tcPr>
            <w:tcW w:w="104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产地</w:t>
            </w:r>
            <w:r/>
          </w:p>
        </w:tc>
        <w:tc>
          <w:tcPr>
            <w:tcW w:w="125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交付期/服务期</w:t>
            </w:r>
            <w:r/>
          </w:p>
        </w:tc>
        <w:tc>
          <w:tcPr>
            <w:tcW w:w="86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数量</w:t>
            </w:r>
            <w:r/>
          </w:p>
        </w:tc>
        <w:tc>
          <w:tcPr>
            <w:tcW w:w="92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分项</w:t>
            </w:r>
            <w:r/>
          </w:p>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单价</w:t>
            </w:r>
            <w:r/>
          </w:p>
        </w:tc>
        <w:tc>
          <w:tcPr>
            <w:tcW w:w="86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分项</w:t>
            </w:r>
            <w:r/>
          </w:p>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总价</w:t>
            </w:r>
            <w:r/>
          </w:p>
        </w:tc>
      </w:tr>
      <w:tr>
        <w:trPr>
          <w:cantSplit/>
          <w:trHeight w:val="696"/>
        </w:trPr>
        <w:tc>
          <w:tcPr>
            <w:tcW w:w="72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2</w:t>
            </w:r>
            <w:r/>
          </w:p>
        </w:tc>
        <w:tc>
          <w:tcPr>
            <w:tcW w:w="1106"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106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106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9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1040"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125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u w:val="singl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合同签订后</w:t>
            </w:r>
            <w:r>
              <w:rPr>
                <w:rFonts w:hint="eastAsia" w:ascii="方正仿宋_GBK" w:hAnsi="方正仿宋_GBK" w:eastAsia="方正仿宋_GBK" w:cs="方正仿宋_GBK"/>
                <w:color w:val="000000"/>
                <w:sz w:val="28"/>
                <w:szCs w:val="28"/>
                <w:highlight w:val="none"/>
                <w:u w:val="single"/>
                <w:lang w:val="en-US" w:eastAsia="zh-CN" w:bidi="ar-SA"/>
              </w:rPr>
              <w:t xml:space="preserve">  </w:t>
            </w:r>
            <w:r>
              <w:rPr>
                <w:rFonts w:hint="eastAsia" w:ascii="方正仿宋_GBK" w:hAnsi="方正仿宋_GBK" w:eastAsia="方正仿宋_GBK" w:cs="方正仿宋_GBK"/>
                <w:color w:val="000000"/>
                <w:sz w:val="28"/>
                <w:szCs w:val="28"/>
                <w:highlight w:val="none"/>
                <w:lang w:val="en-US" w:eastAsia="zh-CN" w:bidi="ar-SA"/>
              </w:rPr>
              <w:t xml:space="preserve">日</w:t>
            </w:r>
            <w:r/>
          </w:p>
        </w:tc>
        <w:tc>
          <w:tcPr>
            <w:tcW w:w="86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92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86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r>
      <w:tr>
        <w:trPr>
          <w:cantSplit/>
          <w:trHeight w:val="724"/>
        </w:trPr>
        <w:tc>
          <w:tcPr>
            <w:tcW w:w="72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3</w:t>
            </w:r>
            <w:r/>
          </w:p>
        </w:tc>
        <w:tc>
          <w:tcPr>
            <w:tcW w:w="1106"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106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106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9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1040"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125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86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92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86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r>
      <w:tr>
        <w:trPr>
          <w:cantSplit/>
          <w:trHeight w:val="640"/>
        </w:trPr>
        <w:tc>
          <w:tcPr>
            <w:tcW w:w="72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4</w:t>
            </w:r>
            <w:r/>
          </w:p>
        </w:tc>
        <w:tc>
          <w:tcPr>
            <w:tcW w:w="1106"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106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106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9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1040"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125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86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92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86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r>
      <w:tr>
        <w:trPr>
          <w:cantSplit/>
          <w:trHeight w:val="580"/>
        </w:trPr>
        <w:tc>
          <w:tcPr>
            <w:tcW w:w="72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w:t>
            </w:r>
            <w:r/>
          </w:p>
        </w:tc>
        <w:tc>
          <w:tcPr>
            <w:tcW w:w="1106"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w:t>
            </w:r>
            <w:r/>
          </w:p>
        </w:tc>
        <w:tc>
          <w:tcPr>
            <w:tcW w:w="106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106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9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1040"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125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86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92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86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r>
      <w:tr>
        <w:trPr>
          <w:cantSplit/>
          <w:trHeight w:val="434"/>
        </w:trPr>
        <w:tc>
          <w:tcPr>
            <w:gridSpan w:val="10"/>
            <w:tcW w:w="9861" w:type="dxa"/>
            <w:vAlign w:val="top"/>
            <w:textDirection w:val="lrTb"/>
            <w:noWrap w:val="false"/>
          </w:tcPr>
          <w:p>
            <w:pPr>
              <w:ind w:left="0" w:right="0"/>
              <w:jc w:val="both"/>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u w:val="singl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投标总报价（人民币：元）</w:t>
            </w:r>
            <w:r>
              <w:rPr>
                <w:rFonts w:hint="eastAsia" w:ascii="方正仿宋_GBK" w:hAnsi="方正仿宋_GBK" w:eastAsia="方正仿宋_GBK" w:cs="方正仿宋_GBK"/>
                <w:color w:val="000000"/>
                <w:sz w:val="28"/>
                <w:szCs w:val="28"/>
                <w:highlight w:val="none"/>
                <w:u w:val="single"/>
                <w:lang w:val="en-US" w:eastAsia="zh-CN" w:bidi="ar-SA"/>
              </w:rPr>
              <w:t xml:space="preserve">                             </w:t>
            </w:r>
            <w:r/>
          </w:p>
        </w:tc>
      </w:tr>
      <w:tr>
        <w:trPr>
          <w:cantSplit/>
          <w:trHeight w:val="757"/>
        </w:trPr>
        <w:tc>
          <w:tcPr>
            <w:gridSpan w:val="10"/>
            <w:tcW w:w="9861" w:type="dxa"/>
            <w:vAlign w:val="top"/>
            <w:textDirection w:val="lrTb"/>
            <w:noWrap w:val="false"/>
          </w:tcPr>
          <w:p>
            <w:pPr>
              <w:pStyle w:val="815"/>
              <w:ind w:left="0" w:right="0"/>
              <w:jc w:val="left"/>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val="en-US" w:eastAsia="zh-CN" w:bidi="ar-SA"/>
              </w:rPr>
              <w:t xml:space="preserve">本采购包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bidi="ar-SA"/>
              </w:rPr>
              <w:t xml:space="preserve">中</w:t>
            </w:r>
            <w:r>
              <w:rPr>
                <w:rFonts w:hint="eastAsia" w:ascii="方正仿宋_GBK" w:hAnsi="方正仿宋_GBK" w:eastAsia="方正仿宋_GBK" w:cs="方正仿宋_GBK"/>
                <w:i w:val="0"/>
                <w:iCs w:val="0"/>
                <w:caps w:val="0"/>
                <w:color w:val="000000"/>
                <w:spacing w:val="0"/>
                <w:sz w:val="28"/>
                <w:szCs w:val="28"/>
                <w:highlight w:val="none"/>
                <w:lang w:val="en-US" w:eastAsia="zh-CN" w:bidi="ar-SA"/>
              </w:rPr>
              <w:t xml:space="preserve">提供的符合本国产品标准的货物成本之和占该采购包</w:t>
            </w:r>
            <w:r>
              <w:rPr>
                <w:rFonts w:hint="eastAsia" w:ascii="方正仿宋_GBK" w:hAnsi="方正仿宋_GBK" w:eastAsia="方正仿宋_GBK" w:cs="方正仿宋_GBK"/>
                <w:i w:val="0"/>
                <w:iCs w:val="0"/>
                <w:caps w:val="0"/>
                <w:strike w:val="0"/>
                <w:color w:val="000000"/>
                <w:spacing w:val="0"/>
                <w:sz w:val="28"/>
                <w:szCs w:val="28"/>
                <w:highlight w:val="none"/>
                <w:lang w:val="en-US" w:eastAsia="zh-CN" w:bidi="ar-SA"/>
              </w:rPr>
              <w:t xml:space="preserve">全部</w:t>
            </w:r>
            <w:r>
              <w:rPr>
                <w:rFonts w:hint="eastAsia" w:ascii="方正仿宋_GBK" w:hAnsi="方正仿宋_GBK" w:eastAsia="方正仿宋_GBK" w:cs="方正仿宋_GBK"/>
                <w:i w:val="0"/>
                <w:iCs w:val="0"/>
                <w:caps w:val="0"/>
                <w:color w:val="000000"/>
                <w:spacing w:val="0"/>
                <w:sz w:val="28"/>
                <w:szCs w:val="28"/>
                <w:highlight w:val="none"/>
                <w:lang w:val="en-US" w:eastAsia="zh-CN" w:bidi="ar-SA"/>
              </w:rPr>
              <w:t xml:space="preserve">成本之和的比例为</w:t>
            </w:r>
            <w:r>
              <w:rPr>
                <w:rFonts w:hint="eastAsia" w:ascii="方正仿宋_GBK" w:hAnsi="方正仿宋_GBK" w:eastAsia="方正仿宋_GBK" w:cs="方正仿宋_GBK"/>
                <w:color w:val="000000"/>
                <w:sz w:val="28"/>
                <w:szCs w:val="28"/>
                <w:highlight w:val="none"/>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lang w:val="en-US" w:eastAsia="zh-CN" w:bidi="ar-SA"/>
              </w:rPr>
              <w:t xml:space="preserve">%</w:t>
            </w:r>
            <w:r>
              <w:rPr>
                <w:rFonts w:hint="eastAsia" w:ascii="方正仿宋_GBK" w:hAnsi="方正仿宋_GBK" w:eastAsia="方正仿宋_GBK" w:cs="方正仿宋_GBK"/>
                <w:i w:val="0"/>
                <w:iCs w:val="0"/>
                <w:caps w:val="0"/>
                <w:color w:val="000000"/>
                <w:spacing w:val="0"/>
                <w:sz w:val="28"/>
                <w:szCs w:val="28"/>
                <w:highlight w:val="none"/>
                <w:lang w:val="en-US" w:eastAsia="zh-CN" w:bidi="ar-SA"/>
              </w:rPr>
              <w:t xml:space="preserve">。</w:t>
            </w:r>
            <w:r/>
          </w:p>
        </w:tc>
      </w:tr>
    </w:tbl>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8"/>
          <w:szCs w:val="28"/>
          <w:highlight w:val="none"/>
          <w:lang w:eastAsia="zh-CN"/>
        </w:rPr>
        <w:t xml:space="preserve">数额为各“分项总价”之和。</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2.“投标分项报价表”中“投标总报价”数额应当与“开标一览表”中“投标总报价”数额一致。</w:t>
      </w:r>
      <w:r/>
    </w:p>
    <w:p>
      <w:pPr>
        <w:ind w:firstLine="482"/>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lang w:val="en-US" w:eastAsia="zh-CN"/>
        </w:rPr>
      </w:pPr>
      <w:r>
        <w:rPr>
          <w:rFonts w:hint="eastAsia" w:ascii="方正仿宋_GBK" w:hAnsi="方正仿宋_GBK" w:eastAsia="方正仿宋_GBK" w:cs="方正仿宋_GBK"/>
          <w:b/>
          <w:bCs/>
          <w:sz w:val="28"/>
          <w:szCs w:val="28"/>
          <w:highlight w:val="none"/>
          <w:lang w:val="en-US" w:eastAsia="zh-CN"/>
        </w:rPr>
        <w:t xml:space="preserve">3.分项服务不需填写品牌、规格型号、制造商、产地。</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eastAsia="zh-CN"/>
        </w:rPr>
        <w:t xml:space="preserve">本</w:t>
      </w:r>
      <w:r>
        <w:rPr>
          <w:rFonts w:hint="eastAsia" w:ascii="方正仿宋_GBK" w:hAnsi="方正仿宋_GBK" w:eastAsia="方正仿宋_GBK" w:cs="方正仿宋_GBK"/>
          <w:sz w:val="28"/>
          <w:szCs w:val="28"/>
          <w:highlight w:val="none"/>
          <w:lang w:val="en-US" w:eastAsia="zh-CN"/>
        </w:rPr>
        <w:t xml:space="preserve">采购包中含有货物时，</w:t>
      </w:r>
      <w:r>
        <w:rPr>
          <w:rFonts w:hint="eastAsia" w:ascii="方正仿宋_GBK" w:hAnsi="方正仿宋_GBK" w:eastAsia="方正仿宋_GBK" w:cs="方正仿宋_GBK"/>
          <w:sz w:val="28"/>
          <w:szCs w:val="28"/>
          <w:highlight w:val="none"/>
        </w:rPr>
        <w:t xml:space="preserve">供应商未填写本采购包中提供的符合本国产品标准的</w:t>
      </w:r>
      <w:r>
        <w:rPr>
          <w:rFonts w:hint="eastAsia" w:ascii="方正仿宋_GBK" w:hAnsi="方正仿宋_GBK" w:eastAsia="方正仿宋_GBK" w:cs="方正仿宋_GBK"/>
          <w:sz w:val="28"/>
          <w:szCs w:val="28"/>
          <w:highlight w:val="none"/>
          <w:lang w:eastAsia="zh-CN"/>
        </w:rPr>
        <w:t xml:space="preserve">货物</w:t>
      </w:r>
      <w:r>
        <w:rPr>
          <w:rFonts w:hint="eastAsia" w:ascii="方正仿宋_GBK" w:hAnsi="方正仿宋_GBK" w:eastAsia="方正仿宋_GBK" w:cs="方正仿宋_GBK"/>
          <w:sz w:val="28"/>
          <w:szCs w:val="28"/>
          <w:highlight w:val="none"/>
        </w:rPr>
        <w:t xml:space="preserve">成本之和占该采购包</w:t>
      </w:r>
      <w:r>
        <w:rPr>
          <w:rFonts w:hint="eastAsia" w:ascii="方正仿宋_GBK" w:hAnsi="方正仿宋_GBK" w:eastAsia="方正仿宋_GBK" w:cs="方正仿宋_GBK"/>
          <w:sz w:val="28"/>
          <w:szCs w:val="28"/>
          <w:highlight w:val="none"/>
          <w:lang w:eastAsia="zh-CN"/>
        </w:rPr>
        <w:t xml:space="preserve">全部</w:t>
      </w:r>
      <w:r>
        <w:rPr>
          <w:rFonts w:hint="eastAsia" w:ascii="方正仿宋_GBK" w:hAnsi="方正仿宋_GBK" w:eastAsia="方正仿宋_GBK" w:cs="方正仿宋_GBK"/>
          <w:sz w:val="28"/>
          <w:szCs w:val="28"/>
          <w:highlight w:val="none"/>
        </w:rPr>
        <w:t xml:space="preserve">成本之和比例数值的，或比例数值低于</w:t>
      </w:r>
      <w:r>
        <w:rPr>
          <w:rFonts w:hint="eastAsia" w:ascii="方正仿宋_GBK" w:hAnsi="方正仿宋_GBK" w:eastAsia="方正仿宋_GBK" w:cs="方正仿宋_GBK"/>
          <w:sz w:val="28"/>
          <w:szCs w:val="28"/>
          <w:highlight w:val="none"/>
          <w:u w:val="single"/>
        </w:rPr>
        <w:t xml:space="preserve">80%</w:t>
      </w:r>
      <w:r>
        <w:rPr>
          <w:rFonts w:hint="eastAsia" w:ascii="方正仿宋_GBK" w:hAnsi="方正仿宋_GBK" w:eastAsia="方正仿宋_GBK" w:cs="方正仿宋_GBK"/>
          <w:sz w:val="28"/>
          <w:szCs w:val="28"/>
          <w:highlight w:val="none"/>
        </w:rPr>
        <w:t xml:space="preserve">的，将不享受本国产品价格评审优惠。</w:t>
      </w:r>
      <w:r/>
    </w:p>
    <w:p>
      <w:pPr>
        <w:keepLines w:val="0"/>
        <w:keepNext w:val="0"/>
        <w:pageBreakBefore w:val="0"/>
        <w:spacing w:line="400" w:lineRule="exact"/>
        <w:rPr>
          <w:rFonts w:ascii="宋体" w:hAnsi="宋体"/>
          <w:sz w:val="28"/>
          <w:szCs w:val="28"/>
          <w:highlight w:val="none"/>
        </w:rPr>
      </w:pPr>
      <w:r>
        <w:rPr>
          <w:rFonts w:hint="eastAsia" w:ascii="宋体" w:hAnsi="宋体"/>
          <w:sz w:val="28"/>
          <w:szCs w:val="28"/>
          <w:highlight w:val="none"/>
        </w:rPr>
        <w:t xml:space="preserve">                         </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附件3 技术要求响应及偏离表（采购包号：</w:t>
      </w:r>
      <w:r>
        <w:rPr>
          <w:rFonts w:hint="eastAsia" w:ascii="方正黑体_GBK" w:hAnsi="方正黑体_GBK" w:eastAsia="方正黑体_GBK" w:cs="方正黑体_GBK"/>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tbl>
      <w:tblPr>
        <w:tblStyle w:val="78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序号</w:t>
            </w:r>
            <w:r/>
          </w:p>
        </w:tc>
        <w:tc>
          <w:tcPr>
            <w:tcW w:w="306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技术要求</w:t>
            </w:r>
            <w:r/>
          </w:p>
        </w:tc>
        <w:tc>
          <w:tcPr>
            <w:tcW w:w="319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投标响应情况</w:t>
            </w:r>
            <w:r/>
          </w:p>
        </w:tc>
        <w:tc>
          <w:tcPr>
            <w:tcW w:w="2128"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超出、符合或偏离</w:t>
            </w:r>
            <w:r/>
          </w:p>
        </w:tc>
      </w:tr>
      <w:tr>
        <w:trPr>
          <w:cantSplit/>
          <w:trHeight w:val="640"/>
        </w:trPr>
        <w:tc>
          <w:tcPr>
            <w:tcW w:w="545"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1</w:t>
            </w:r>
            <w:r/>
          </w:p>
        </w:tc>
        <w:tc>
          <w:tcPr>
            <w:tcW w:w="3063"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r>
            <w:r/>
          </w:p>
        </w:tc>
        <w:tc>
          <w:tcPr>
            <w:tcW w:w="3191"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r>
            <w:r/>
          </w:p>
        </w:tc>
        <w:tc>
          <w:tcPr>
            <w:tcW w:w="2128"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r>
            <w:r/>
          </w:p>
        </w:tc>
      </w:tr>
      <w:tr>
        <w:trPr>
          <w:cantSplit/>
          <w:trHeight w:val="640"/>
        </w:trPr>
        <w:tc>
          <w:tcPr>
            <w:tcW w:w="545"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r>
            <w:r/>
          </w:p>
        </w:tc>
        <w:tc>
          <w:tcPr>
            <w:tcW w:w="3063"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w:t>
            </w:r>
            <w:r/>
          </w:p>
        </w:tc>
        <w:tc>
          <w:tcPr>
            <w:tcW w:w="3191"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r>
            <w:r/>
          </w:p>
        </w:tc>
        <w:tc>
          <w:tcPr>
            <w:tcW w:w="2128"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r>
            <w:r/>
          </w:p>
        </w:tc>
      </w:tr>
    </w:tbl>
    <w:p>
      <w:pPr>
        <w:jc w:val="left"/>
        <w:keepLines w:val="0"/>
        <w:keepNext w:val="0"/>
        <w:pageBreakBefore w:val="0"/>
        <w:spacing w:line="400" w:lineRule="exact"/>
        <w:widowControl w:val="off"/>
        <w:rPr>
          <w:rFonts w:ascii="宋体" w:hAnsi="宋体"/>
          <w:sz w:val="28"/>
          <w:szCs w:val="28"/>
          <w:highlight w:val="none"/>
        </w:rPr>
      </w:pPr>
      <w:r>
        <w:rPr>
          <w:rFonts w:hint="eastAsia" w:ascii="方正仿宋_GBK" w:hAnsi="方正仿宋_GBK" w:eastAsia="方正仿宋_GBK" w:cs="方正仿宋_GBK"/>
          <w:sz w:val="28"/>
          <w:szCs w:val="28"/>
          <w:highlight w:val="none"/>
        </w:rPr>
        <w:t xml:space="preserve">附件3-1  证明材料1，证明材料2，……</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1.投标人需对招标文件技术要求中非实质性要求（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w:t>
      </w:r>
      <w:r>
        <w:rPr>
          <w:rFonts w:hint="eastAsia" w:ascii="方正仿宋_GBK" w:hAnsi="方正仿宋_GBK" w:eastAsia="方正仿宋_GBK" w:cs="方正仿宋_GBK"/>
          <w:b/>
          <w:color w:val="000000"/>
          <w:sz w:val="28"/>
          <w:szCs w:val="28"/>
          <w:highlight w:val="none"/>
          <w:lang w:val="en-US" w:eastAsia="zh-CN"/>
        </w:rPr>
        <w:t xml:space="preserve">*</w:t>
      </w:r>
      <w:r>
        <w:rPr>
          <w:rFonts w:hint="eastAsia" w:ascii="方正仿宋_GBK" w:hAnsi="方正仿宋_GBK" w:eastAsia="方正仿宋_GBK" w:cs="方正仿宋_GBK"/>
          <w:b/>
          <w:color w:val="000000"/>
          <w:sz w:val="28"/>
          <w:szCs w:val="28"/>
          <w:highlight w:val="none"/>
        </w:rPr>
        <w:t xml:space="preserve">号条款</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sz w:val="28"/>
          <w:szCs w:val="28"/>
          <w:highlight w:val="none"/>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2.如果招标文件要求提供证明材料，投标人需将证明材料列于该表之下。</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附件4 商务要求响应及偏离表（采购包号：</w:t>
      </w:r>
      <w:r>
        <w:rPr>
          <w:rFonts w:hint="eastAsia" w:ascii="方正黑体_GBK" w:hAnsi="方正黑体_GBK" w:eastAsia="方正黑体_GBK" w:cs="方正黑体_GBK"/>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tbl>
      <w:tblPr>
        <w:tblStyle w:val="78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序号</w:t>
            </w:r>
            <w:r/>
          </w:p>
        </w:tc>
        <w:tc>
          <w:tcPr>
            <w:tcW w:w="306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商务要求 </w:t>
            </w:r>
            <w:r/>
          </w:p>
        </w:tc>
        <w:tc>
          <w:tcPr>
            <w:tcW w:w="319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投标响应情况</w:t>
            </w:r>
            <w:r/>
          </w:p>
        </w:tc>
        <w:tc>
          <w:tcPr>
            <w:tcW w:w="2296"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超出、符合或偏离</w:t>
            </w:r>
            <w:r/>
          </w:p>
        </w:tc>
      </w:tr>
      <w:tr>
        <w:trPr>
          <w:cantSplit/>
          <w:trHeight w:val="640"/>
        </w:trPr>
        <w:tc>
          <w:tcPr>
            <w:tcW w:w="545"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1</w:t>
            </w:r>
            <w:r/>
          </w:p>
        </w:tc>
        <w:tc>
          <w:tcPr>
            <w:tcW w:w="3063"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r>
            <w:r/>
          </w:p>
        </w:tc>
        <w:tc>
          <w:tcPr>
            <w:tcW w:w="3191"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r>
            <w:r/>
          </w:p>
        </w:tc>
        <w:tc>
          <w:tcPr>
            <w:tcW w:w="2296"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r>
            <w:r/>
          </w:p>
        </w:tc>
      </w:tr>
      <w:tr>
        <w:trPr>
          <w:cantSplit/>
          <w:trHeight w:val="640"/>
        </w:trPr>
        <w:tc>
          <w:tcPr>
            <w:tcW w:w="545"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r>
            <w:r/>
          </w:p>
        </w:tc>
        <w:tc>
          <w:tcPr>
            <w:tcW w:w="3063"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t xml:space="preserve">……</w:t>
            </w:r>
            <w:r/>
          </w:p>
        </w:tc>
        <w:tc>
          <w:tcPr>
            <w:tcW w:w="3191"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r>
            <w:r/>
          </w:p>
        </w:tc>
        <w:tc>
          <w:tcPr>
            <w:tcW w:w="2296"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lang w:val="en-US" w:eastAsia="zh-CN" w:bidi="ar-SA"/>
              </w:rPr>
              <w:suppressLineNumbers w:val="0"/>
            </w:pPr>
            <w:r>
              <w:rPr>
                <w:rFonts w:hint="eastAsia" w:ascii="方正仿宋_GBK" w:hAnsi="方正仿宋_GBK" w:eastAsia="方正仿宋_GBK" w:cs="方正仿宋_GBK"/>
                <w:sz w:val="28"/>
                <w:szCs w:val="28"/>
                <w:highlight w:val="none"/>
                <w:lang w:val="en-US" w:eastAsia="zh-CN" w:bidi="ar-SA"/>
              </w:rPr>
            </w:r>
            <w:r/>
          </w:p>
        </w:tc>
      </w:tr>
    </w:tbl>
    <w:p>
      <w:pPr>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附件4-1  证明材料1，证明材料2，……</w:t>
      </w:r>
      <w:r/>
    </w:p>
    <w:p>
      <w:pPr>
        <w:keepLines w:val="0"/>
        <w:keepNext w:val="0"/>
        <w:pageBreakBefore w:val="0"/>
        <w:spacing w:line="400" w:lineRule="exact"/>
        <w:rPr>
          <w:rFonts w:ascii="宋体" w:hAnsi="宋体"/>
          <w:sz w:val="28"/>
          <w:szCs w:val="28"/>
          <w:highlight w:val="none"/>
        </w:rPr>
      </w:pPr>
      <w:r>
        <w:rPr>
          <w:rFonts w:ascii="宋体" w:hAnsi="宋体"/>
          <w:sz w:val="28"/>
          <w:szCs w:val="28"/>
          <w:highlight w:val="none"/>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1.投标人需对招标文件商务要求中非实质性要求（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w:t>
      </w:r>
      <w:r>
        <w:rPr>
          <w:rFonts w:hint="eastAsia" w:ascii="方正仿宋_GBK" w:hAnsi="方正仿宋_GBK" w:eastAsia="方正仿宋_GBK" w:cs="方正仿宋_GBK"/>
          <w:b/>
          <w:color w:val="000000"/>
          <w:sz w:val="28"/>
          <w:szCs w:val="28"/>
          <w:highlight w:val="none"/>
          <w:lang w:val="en-US" w:eastAsia="zh-CN"/>
        </w:rPr>
        <w:t xml:space="preserve">*</w:t>
      </w:r>
      <w:r>
        <w:rPr>
          <w:rFonts w:hint="eastAsia" w:ascii="方正仿宋_GBK" w:hAnsi="方正仿宋_GBK" w:eastAsia="方正仿宋_GBK" w:cs="方正仿宋_GBK"/>
          <w:b/>
          <w:color w:val="000000"/>
          <w:sz w:val="28"/>
          <w:szCs w:val="28"/>
          <w:highlight w:val="none"/>
        </w:rPr>
        <w:t xml:space="preserve">号条款</w:t>
      </w:r>
      <w:r>
        <w:rPr>
          <w:rFonts w:hint="eastAsia" w:ascii="方正仿宋_GBK" w:hAnsi="方正仿宋_GBK" w:eastAsia="方正仿宋_GBK" w:cs="方正仿宋_GBK"/>
          <w:color w:val="000000"/>
          <w:sz w:val="28"/>
          <w:szCs w:val="28"/>
          <w:highlight w:val="none"/>
        </w:rPr>
        <w:t xml:space="preserve">）逐条做出明确响应。</w:t>
      </w:r>
      <w:r/>
    </w:p>
    <w:p>
      <w:pPr>
        <w:ind w:firstLine="560"/>
        <w:keepLines w:val="0"/>
        <w:keepNext w:val="0"/>
        <w:pageBreakBefore w:val="0"/>
        <w:spacing w:line="400" w:lineRule="exact"/>
        <w:widowControl w:val="off"/>
        <w:rPr>
          <w:rFonts w:hint="eastAsia" w:ascii="宋体" w:hAnsi="宋体"/>
          <w:b/>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2.如果招标文件要求提供证明材料，投标人需将证明材料列于该表之下。</w:t>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附件5 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我单位郑重声明：我单位具备履行本项采购合同所必需的设备和专业技术能力，为履行本项采购合同我公司具备如下主要设备和主要专业技术能力：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主要设备有：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主要专业技术能力有：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p>
    <w:p>
      <w:pPr>
        <w:keepLines w:val="0"/>
        <w:keepNext w:val="0"/>
        <w:pageBreakBefore w:val="0"/>
        <w:spacing w:line="400" w:lineRule="exact"/>
        <w:rPr>
          <w:rFonts w:ascii="宋体" w:hAnsi="宋体"/>
          <w:b/>
          <w:color w:val="000000"/>
          <w:sz w:val="28"/>
          <w:szCs w:val="28"/>
          <w:highlight w:val="none"/>
        </w:rPr>
      </w:pPr>
      <w:r>
        <w:rPr>
          <w:rFonts w:hint="eastAsia" w:ascii="宋体" w:hAnsi="宋体"/>
          <w:bCs/>
          <w:color w:val="000000"/>
          <w:sz w:val="28"/>
          <w:szCs w:val="28"/>
          <w:highlight w:val="none"/>
        </w:rPr>
        <w:t xml:space="preserve">                                     </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jc w:val="center"/>
        <w:keepLines w:val="0"/>
        <w:keepNext w:val="0"/>
        <w:pageBreakBefore w:val="0"/>
        <w:spacing w:line="400" w:lineRule="exact"/>
        <w:widowControl w:val="off"/>
        <w:rPr>
          <w:rFonts w:ascii="宋体" w:hAnsi="宋体"/>
          <w:b w:val="0"/>
          <w:bCs/>
          <w:color w:val="000000"/>
          <w:sz w:val="28"/>
          <w:szCs w:val="28"/>
          <w:highlight w:val="none"/>
        </w:rPr>
      </w:pPr>
      <w:r>
        <w:rPr>
          <w:rFonts w:hint="eastAsia" w:ascii="方正黑体_GBK" w:hAnsi="方正黑体_GBK" w:eastAsia="方正黑体_GBK" w:cs="方正黑体_GBK"/>
          <w:b w:val="0"/>
          <w:bCs/>
          <w:sz w:val="28"/>
          <w:szCs w:val="28"/>
          <w:highlight w:val="none"/>
        </w:rPr>
        <w:t xml:space="preserve">附件6 参加政府采购活动前 3 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附件7         法人授权书</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本授权书声明：</w:t>
      </w:r>
      <w:r>
        <w:rPr>
          <w:rFonts w:ascii="Times New Roman" w:hAnsi="Times New Roman" w:eastAsia="方正仿宋_GBK" w:cs="Times New Roman"/>
          <w:color w:val="000000"/>
          <w:sz w:val="28"/>
          <w:szCs w:val="28"/>
          <w:highlight w:val="none"/>
          <w:u w:val="single"/>
          <w:lang w:val="en-US" w:eastAsia="zh-CN"/>
        </w:rPr>
        <w:t xml:space="preserve">XXXX</w:t>
      </w:r>
      <w:r>
        <w:rPr>
          <w:rFonts w:hint="eastAsia" w:ascii="方正仿宋_GBK" w:hAnsi="方正仿宋_GBK" w:eastAsia="方正仿宋_GBK" w:cs="方正仿宋_GBK"/>
          <w:color w:val="000000"/>
          <w:sz w:val="28"/>
          <w:szCs w:val="28"/>
          <w:highlight w:val="none"/>
        </w:rPr>
        <w:t xml:space="preserve">（投标人名称）授权</w:t>
      </w:r>
      <w:r>
        <w:rPr>
          <w:rFonts w:hint="eastAsia"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（被授权人的姓名）为我方就采购编号为</w:t>
      </w:r>
      <w:r>
        <w:rPr>
          <w:rFonts w:ascii="Times New Roman" w:hAnsi="Times New Roman" w:eastAsia="方正仿宋_GBK" w:cs="Times New Roman"/>
          <w:color w:val="000000"/>
          <w:sz w:val="28"/>
          <w:szCs w:val="28"/>
          <w:highlight w:val="none"/>
        </w:rPr>
        <w:t xml:space="preserve">JSZC-320000-</w:t>
      </w:r>
      <w:r>
        <w:rPr>
          <w:rFonts w:ascii="Times New Roman" w:hAnsi="Times New Roman" w:eastAsia="方正仿宋_GBK" w:cs="Times New Roman"/>
          <w:color w:val="000000"/>
          <w:sz w:val="28"/>
          <w:szCs w:val="28"/>
          <w:highlight w:val="none"/>
          <w:lang w:val="en-US" w:eastAsia="zh-CN"/>
        </w:rPr>
        <w:t xml:space="preserve">SCZX-G20XX-XXXX</w:t>
      </w:r>
      <w:r>
        <w:rPr>
          <w:rFonts w:hint="eastAsia" w:ascii="方正仿宋_GBK" w:hAnsi="方正仿宋_GBK" w:eastAsia="方正仿宋_GBK" w:cs="方正仿宋_GBK"/>
          <w:color w:val="000000"/>
          <w:sz w:val="28"/>
          <w:szCs w:val="28"/>
          <w:highlight w:val="none"/>
        </w:rPr>
        <w:t xml:space="preserve">，</w:t>
      </w:r>
      <w:r>
        <w:rPr>
          <w:rFonts w:hint="eastAsia" w:ascii="Times New Roman" w:hAnsi="Times New Roman" w:eastAsia="方正仿宋_GBK" w:cs="Times New Roman"/>
          <w:color w:val="000000"/>
          <w:sz w:val="28"/>
          <w:szCs w:val="28"/>
          <w:highlight w:val="none"/>
          <w:u w:val="single"/>
          <w:lang w:val="en-US" w:eastAsia="zh-CN"/>
        </w:rPr>
        <w:t xml:space="preserve">XXXX</w:t>
      </w:r>
      <w:r>
        <w:rPr>
          <w:rFonts w:hint="eastAsia" w:ascii="方正仿宋_GBK" w:hAnsi="方正仿宋_GBK" w:eastAsia="方正仿宋_GBK" w:cs="方正仿宋_GBK"/>
          <w:color w:val="000000"/>
          <w:sz w:val="28"/>
          <w:szCs w:val="28"/>
          <w:highlight w:val="none"/>
        </w:rPr>
        <w:t xml:space="preserve">项目（项目名称）采购活动的合法代理人，以本单位名义全权处理一切与该项目采购有关的事务。</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本授权书于</w:t>
      </w:r>
      <w:r>
        <w:rPr>
          <w:rFonts w:hint="eastAsia"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年</w:t>
      </w:r>
      <w:r>
        <w:rPr>
          <w:rFonts w:hint="eastAsia"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月</w:t>
      </w:r>
      <w:r>
        <w:rPr>
          <w:rFonts w:hint="eastAsia"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日起生效，特此声明。</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被授权人身份证号码：</w:t>
      </w:r>
      <w:r>
        <w:rPr>
          <w:rFonts w:hint="eastAsia" w:ascii="方正仿宋_GBK" w:hAnsi="方正仿宋_GBK" w:eastAsia="方正仿宋_GBK" w:cs="方正仿宋_GBK"/>
          <w:color w:val="000000"/>
          <w:sz w:val="28"/>
          <w:szCs w:val="28"/>
          <w:highlight w:val="none"/>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被授权人联系电话：（手机）</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被授权人电子邮箱：</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授权单位名称：</w:t>
      </w:r>
      <w:r>
        <w:rPr>
          <w:rFonts w:hint="eastAsia" w:ascii="方正仿宋_GBK" w:hAnsi="方正仿宋_GBK" w:eastAsia="方正仿宋_GBK" w:cs="方正仿宋_GBK"/>
          <w:sz w:val="28"/>
          <w:szCs w:val="28"/>
          <w:highlight w:val="none"/>
          <w:u w:val="single"/>
        </w:rPr>
        <w:t xml:space="preserve">（加盖CA电子公章）</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单位地址：</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w:t>
      </w: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期：</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jc w:val="center"/>
        <w:keepLines w:val="0"/>
        <w:keepNext w:val="0"/>
        <w:pageBreakBefore w:val="0"/>
        <w:spacing w:line="400" w:lineRule="exact"/>
        <w:widowControl w:val="off"/>
        <w:rPr>
          <w:rFonts w:ascii="黑体" w:hAnsi="黑体" w:eastAsia="黑体"/>
          <w:b/>
          <w:i/>
          <w:color w:val="000000"/>
          <w:sz w:val="28"/>
          <w:szCs w:val="28"/>
          <w:highlight w:val="none"/>
          <w:u w:val="single"/>
        </w:rPr>
      </w:pPr>
      <w:r>
        <w:rPr>
          <w:rFonts w:hint="eastAsia" w:ascii="方正黑体_GBK" w:hAnsi="方正黑体_GBK" w:eastAsia="方正黑体_GBK" w:cs="方正黑体_GBK"/>
          <w:b w:val="0"/>
          <w:bCs/>
          <w:sz w:val="28"/>
          <w:szCs w:val="28"/>
          <w:highlight w:val="none"/>
        </w:rPr>
        <w:t xml:space="preserve">附件8              投标函</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致：江苏省政府采购中心</w:t>
      </w:r>
      <w:r/>
    </w:p>
    <w:p>
      <w:pPr>
        <w:pStyle w:val="101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根据贵方</w:t>
      </w:r>
      <w:r>
        <w:rPr>
          <w:rFonts w:hint="eastAsia" w:ascii="方正仿宋_GBK" w:hAnsi="方正仿宋_GBK" w:eastAsia="方正仿宋_GBK" w:cs="方正仿宋_GBK"/>
          <w:sz w:val="28"/>
          <w:szCs w:val="28"/>
          <w:highlight w:val="none"/>
        </w:rPr>
        <w:t xml:space="preserve">采购编号为</w:t>
      </w:r>
      <w:r>
        <w:rPr>
          <w:rFonts w:ascii="Times New Roman" w:hAnsi="Times New Roman" w:eastAsia="方正仿宋_GBK" w:cs="Times New Roman"/>
          <w:color w:val="000000"/>
          <w:sz w:val="28"/>
          <w:szCs w:val="28"/>
          <w:highlight w:val="none"/>
        </w:rPr>
        <w:t xml:space="preserve">JSZC-320000-</w:t>
      </w:r>
      <w:r>
        <w:rPr>
          <w:rFonts w:ascii="Times New Roman" w:hAnsi="Times New Roman" w:eastAsia="方正仿宋_GBK" w:cs="Times New Roman"/>
          <w:color w:val="000000"/>
          <w:sz w:val="28"/>
          <w:szCs w:val="28"/>
          <w:highlight w:val="none"/>
          <w:lang w:val="en-US" w:eastAsia="zh-CN"/>
        </w:rPr>
        <w:t xml:space="preserve">SCZX-G20XX-XXXX</w:t>
      </w:r>
      <w:r>
        <w:rPr>
          <w:rFonts w:ascii="Times New Roman" w:hAnsi="Times New Roman" w:eastAsia="方正仿宋_GBK" w:cs="Times New Roman"/>
          <w:sz w:val="28"/>
          <w:szCs w:val="28"/>
          <w:highlight w:val="none"/>
        </w:rPr>
        <w:t xml:space="preserve">，</w:t>
      </w:r>
      <w:r>
        <w:rPr>
          <w:rFonts w:ascii="Times New Roman" w:hAnsi="Times New Roman" w:eastAsia="方正仿宋_GBK" w:cs="Times New Roman"/>
          <w:color w:val="000000"/>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u w:val="none"/>
          <w:lang w:val="en-US" w:eastAsia="zh-CN"/>
        </w:rPr>
        <w:t xml:space="preserve">项目</w:t>
      </w:r>
      <w:r>
        <w:rPr>
          <w:rFonts w:hint="eastAsia" w:ascii="方正仿宋_GBK" w:hAnsi="方正仿宋_GBK" w:eastAsia="方正仿宋_GBK" w:cs="方正仿宋_GBK"/>
          <w:sz w:val="28"/>
          <w:szCs w:val="28"/>
          <w:highlight w:val="none"/>
          <w:u w:val="none"/>
        </w:rPr>
        <w:t xml:space="preserve">（项目名称）</w:t>
      </w:r>
      <w:r>
        <w:rPr>
          <w:rFonts w:hint="eastAsia" w:ascii="方正仿宋_GBK" w:hAnsi="方正仿宋_GBK" w:eastAsia="方正仿宋_GBK" w:cs="方正仿宋_GBK"/>
          <w:sz w:val="28"/>
          <w:szCs w:val="28"/>
          <w:highlight w:val="none"/>
          <w:u w:val="none"/>
          <w:lang w:eastAsia="zh-CN"/>
        </w:rPr>
        <w:t xml:space="preserve">的</w:t>
      </w:r>
      <w:r>
        <w:rPr>
          <w:rFonts w:hint="eastAsia" w:ascii="方正仿宋_GBK" w:hAnsi="方正仿宋_GBK" w:eastAsia="方正仿宋_GBK" w:cs="方正仿宋_GBK"/>
          <w:color w:val="000000"/>
          <w:sz w:val="28"/>
          <w:szCs w:val="28"/>
          <w:highlight w:val="none"/>
        </w:rPr>
        <w:t xml:space="preserve">招标文件</w:t>
      </w:r>
      <w:r>
        <w:rPr>
          <w:rFonts w:hint="eastAsia" w:ascii="方正仿宋_GBK" w:hAnsi="方正仿宋_GBK" w:eastAsia="方正仿宋_GBK" w:cs="方正仿宋_GBK"/>
          <w:sz w:val="28"/>
          <w:szCs w:val="28"/>
          <w:highlight w:val="none"/>
        </w:rPr>
        <w:t xml:space="preserve">，正式授权下述签字人</w:t>
      </w:r>
      <w:r>
        <w:rPr>
          <w:rFonts w:hint="eastAsia"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(姓名)代表我方</w:t>
      </w:r>
      <w:r>
        <w:rPr>
          <w:rFonts w:hint="eastAsia" w:ascii="Times New Roman" w:hAnsi="Times New Roman" w:eastAsia="方正仿宋_GBK" w:cs="Times New Roman"/>
          <w:color w:val="000000"/>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rPr>
        <w:t xml:space="preserve">（投标人的名称），全权处理本次项目投标的有关事宜。</w:t>
      </w:r>
      <w:r/>
    </w:p>
    <w:p>
      <w:pPr>
        <w:pStyle w:val="101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据此函，</w:t>
      </w:r>
      <w:r>
        <w:rPr>
          <w:rFonts w:hint="eastAsia"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签字人兹宣布同意如下：</w:t>
      </w:r>
      <w:r/>
    </w:p>
    <w:p>
      <w:pPr>
        <w:pStyle w:val="101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1.按招标文件规定的各项要求，向买方提供所需服务（包含与服务相关的货物）。</w:t>
      </w:r>
      <w:r/>
    </w:p>
    <w:p>
      <w:pPr>
        <w:pStyle w:val="101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2.我们完全理解贵方不一定将合同授予最低报价的投标人。</w:t>
      </w:r>
      <w:r/>
    </w:p>
    <w:p>
      <w:pPr>
        <w:pStyle w:val="101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3.我们已详细审核全部招标文件及其有效补充文件。</w:t>
      </w:r>
      <w:r/>
    </w:p>
    <w:p>
      <w:pPr>
        <w:pStyle w:val="101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4.我们同意从规定的开标日期起遵循本投标文件，并在规定的投标有效期期满之前均具有约束力。</w:t>
      </w:r>
      <w:r/>
    </w:p>
    <w:p>
      <w:pPr>
        <w:pStyle w:val="101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5.同意向贵方提供贵方可能另外要求的与投标有关的任何证据或资料，并保证我方已提供和将要提供的文件是真实的、准确的。</w:t>
      </w:r>
      <w:r/>
    </w:p>
    <w:p>
      <w:pPr>
        <w:pStyle w:val="101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8"/>
          <w:szCs w:val="28"/>
          <w:highlight w:val="none"/>
          <w:lang w:eastAsia="zh-CN"/>
        </w:rPr>
        <w:t xml:space="preserve">内</w:t>
      </w:r>
      <w:r>
        <w:rPr>
          <w:rFonts w:hint="eastAsia" w:ascii="方正仿宋_GBK" w:hAnsi="方正仿宋_GBK" w:eastAsia="方正仿宋_GBK" w:cs="方正仿宋_GBK"/>
          <w:sz w:val="28"/>
          <w:szCs w:val="28"/>
          <w:highlight w:val="none"/>
        </w:rPr>
        <w:t xml:space="preserve">完成项目，交付买方验收、使用。</w:t>
      </w:r>
      <w:r/>
    </w:p>
    <w:p>
      <w:pPr>
        <w:pStyle w:val="101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7.与本投标有关的正式通讯地址为：</w:t>
      </w:r>
      <w:r/>
    </w:p>
    <w:p>
      <w:pPr>
        <w:pStyle w:val="1017"/>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          址：</w:t>
      </w:r>
      <w:r/>
    </w:p>
    <w:p>
      <w:pPr>
        <w:pStyle w:val="1017"/>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邮          编：</w:t>
      </w:r>
      <w:r/>
    </w:p>
    <w:p>
      <w:pPr>
        <w:pStyle w:val="1017"/>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电          话：</w:t>
      </w:r>
      <w:r/>
    </w:p>
    <w:p>
      <w:pPr>
        <w:pStyle w:val="1017"/>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传          真：</w:t>
      </w:r>
      <w:r/>
    </w:p>
    <w:p>
      <w:pPr>
        <w:pStyle w:val="1017"/>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投标人开户行：</w:t>
      </w:r>
      <w:r/>
    </w:p>
    <w:p>
      <w:pPr>
        <w:pStyle w:val="1017"/>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账        号： </w:t>
      </w:r>
      <w:r/>
    </w:p>
    <w:p>
      <w:pPr>
        <w:pStyle w:val="1017"/>
        <w:ind w:left="420"/>
        <w:keepLines w:val="0"/>
        <w:keepNext w:val="0"/>
        <w:pageBreakBefore w:val="0"/>
        <w:spacing w:before="0" w:after="0" w:line="400" w:lineRule="exact"/>
        <w:rPr>
          <w:rFonts w:hint="eastAsia" w:ascii="宋体" w:hAnsi="宋体"/>
          <w:sz w:val="28"/>
          <w:szCs w:val="28"/>
          <w:highlight w:val="none"/>
        </w:rPr>
      </w:pPr>
      <w:r>
        <w:rPr>
          <w:rFonts w:hint="eastAsia" w:ascii="宋体" w:hAnsi="宋体"/>
          <w:sz w:val="28"/>
          <w:szCs w:val="28"/>
          <w:highlight w:val="none"/>
        </w:rPr>
      </w:r>
      <w:r/>
    </w:p>
    <w:p>
      <w:pPr>
        <w:pStyle w:val="1017"/>
        <w:ind w:left="420"/>
        <w:keepLines w:val="0"/>
        <w:keepNext w:val="0"/>
        <w:pageBreakBefore w:val="0"/>
        <w:spacing w:before="0" w:after="0" w:line="400" w:lineRule="exact"/>
        <w:rPr>
          <w:rFonts w:hint="eastAsia" w:ascii="宋体" w:hAnsi="宋体"/>
          <w:sz w:val="28"/>
          <w:szCs w:val="28"/>
          <w:highlight w:val="none"/>
        </w:rPr>
      </w:pPr>
      <w:r>
        <w:rPr>
          <w:rFonts w:hint="eastAsia" w:ascii="宋体" w:hAnsi="宋体"/>
          <w:sz w:val="28"/>
          <w:szCs w:val="28"/>
          <w:highlight w:val="none"/>
        </w:rPr>
      </w:r>
      <w:r/>
    </w:p>
    <w:p>
      <w:pPr>
        <w:jc w:val="right"/>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供应商全称（加盖CA电子公章）：</w:t>
      </w:r>
      <w:r/>
    </w:p>
    <w:p>
      <w:pPr>
        <w:pStyle w:val="1017"/>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日     </w:t>
      </w: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期：___年____月____日</w:t>
      </w:r>
      <w:r/>
    </w:p>
    <w:p>
      <w:pPr>
        <w:ind w:firstLine="560"/>
        <w:keepLines w:val="0"/>
        <w:keepNext w:val="0"/>
        <w:pageBreakBefore w:val="0"/>
        <w:spacing w:line="400" w:lineRule="exact"/>
        <w:rPr>
          <w:rFonts w:ascii="宋体" w:hAnsi="宋体"/>
          <w:sz w:val="28"/>
          <w:szCs w:val="28"/>
          <w:highlight w:val="none"/>
        </w:rPr>
      </w:pPr>
      <w:r>
        <w:rPr>
          <w:rFonts w:ascii="宋体" w:hAnsi="宋体"/>
          <w:sz w:val="28"/>
          <w:szCs w:val="28"/>
          <w:highlight w:val="none"/>
        </w:rPr>
      </w:r>
      <w:bookmarkEnd w:id="196"/>
      <w:r/>
      <w:bookmarkEnd w:id="197"/>
      <w:r/>
      <w:bookmarkEnd w:id="198"/>
      <w:r/>
      <w:r/>
    </w:p>
    <w:p>
      <w:pPr>
        <w:ind w:firstLine="560"/>
        <w:keepLines w:val="0"/>
        <w:keepNext w:val="0"/>
        <w:pageBreakBefore w:val="0"/>
        <w:spacing w:line="400" w:lineRule="exact"/>
        <w:rPr>
          <w:rFonts w:ascii="宋体" w:hAnsi="宋体"/>
          <w:sz w:val="28"/>
          <w:szCs w:val="28"/>
          <w:highlight w:val="none"/>
        </w:rPr>
      </w:pPr>
      <w:r>
        <w:rPr>
          <w:rFonts w:ascii="宋体" w:hAnsi="宋体"/>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bookmarkStart w:id="199" w:name="_Toc120614284"/>
      <w:r>
        <w:rPr>
          <w:rFonts w:hint="eastAsia" w:ascii="方正黑体_GBK" w:hAnsi="方正黑体_GBK" w:eastAsia="方正黑体_GBK" w:cs="方正黑体_GBK"/>
          <w:b w:val="0"/>
          <w:bCs/>
          <w:sz w:val="28"/>
          <w:szCs w:val="28"/>
          <w:highlight w:val="none"/>
        </w:rPr>
        <w:t xml:space="preserve">附件9 中小微企业声明函（服务类项目）（采购包号：</w:t>
      </w:r>
      <w:r>
        <w:rPr>
          <w:rFonts w:ascii="Times New Roman" w:hAnsi="Times New Roman" w:eastAsia="方正黑体_GBK" w:cs="Times New Roman"/>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u w:val="none"/>
        </w:rPr>
        <w:t xml:space="preserve">（单位名称）</w:t>
      </w:r>
      <w:r>
        <w:rPr>
          <w:rFonts w:hint="eastAsia" w:ascii="方正仿宋_GBK" w:hAnsi="方正仿宋_GBK" w:eastAsia="方正仿宋_GBK" w:cs="方正仿宋_GBK"/>
          <w:sz w:val="28"/>
          <w:szCs w:val="28"/>
          <w:highlight w:val="none"/>
        </w:rPr>
        <w:t xml:space="preserve">采购编号为</w:t>
      </w:r>
      <w:r>
        <w:rPr>
          <w:rFonts w:hint="eastAsia" w:ascii="Times New Roman" w:hAnsi="Times New Roman" w:eastAsia="方正黑体_GBK" w:cs="Times New Roman"/>
          <w:b w:val="0"/>
          <w:bCs/>
          <w:sz w:val="28"/>
          <w:szCs w:val="28"/>
          <w:highlight w:val="none"/>
          <w:lang w:eastAsia="zh-CN"/>
        </w:rPr>
        <w:t xml:space="preserve">JSZC-320000-</w:t>
      </w:r>
      <w:r>
        <w:rPr>
          <w:rFonts w:hint="eastAsia" w:ascii="Times New Roman" w:hAnsi="Times New Roman" w:eastAsia="方正黑体_GBK" w:cs="Times New Roman"/>
          <w:b w:val="0"/>
          <w:bCs/>
          <w:sz w:val="28"/>
          <w:szCs w:val="28"/>
          <w:highlight w:val="none"/>
          <w:lang w:val="en-US" w:eastAsia="zh-CN"/>
        </w:rPr>
        <w:t xml:space="preserve">SCZX-G20XX-XXXX</w:t>
      </w:r>
      <w:r>
        <w:rPr>
          <w:rFonts w:hint="eastAsia" w:ascii="方正仿宋_GBK" w:hAnsi="方正仿宋_GBK" w:eastAsia="方正仿宋_GBK" w:cs="方正仿宋_GBK"/>
          <w:sz w:val="28"/>
          <w:szCs w:val="28"/>
          <w:highlight w:val="none"/>
        </w:rPr>
        <w:t xml:space="preserve">，</w:t>
      </w:r>
      <w:r>
        <w:rPr>
          <w:rFonts w:hint="eastAsia" w:ascii="Times New Roman" w:hAnsi="Times New Roman" w:eastAsia="方正仿宋_GBK" w:cs="Times New Roman"/>
          <w:color w:val="000000"/>
          <w:sz w:val="28"/>
          <w:szCs w:val="28"/>
          <w:highlight w:val="none"/>
          <w:u w:val="single"/>
          <w:lang w:val="en-US" w:eastAsia="zh-CN" w:bidi="ar-SA"/>
        </w:rPr>
        <w:t xml:space="preserve">XXXX</w:t>
      </w:r>
      <w:r>
        <w:rPr>
          <w:rFonts w:hint="eastAsia" w:ascii="方正仿宋_GBK" w:hAnsi="方正仿宋_GBK" w:eastAsia="方正仿宋_GBK" w:cs="方正仿宋_GBK"/>
          <w:sz w:val="28"/>
          <w:szCs w:val="28"/>
          <w:highlight w:val="none"/>
          <w:u w:val="none"/>
          <w:lang w:val="en-US" w:eastAsia="zh-CN"/>
        </w:rPr>
        <w:t xml:space="preserve">项目</w:t>
      </w:r>
      <w:r>
        <w:rPr>
          <w:rFonts w:hint="eastAsia" w:ascii="方正仿宋_GBK" w:hAnsi="方正仿宋_GBK" w:eastAsia="方正仿宋_GBK" w:cs="方正仿宋_GBK"/>
          <w:sz w:val="28"/>
          <w:szCs w:val="28"/>
          <w:highlight w:val="none"/>
          <w:u w:val="none"/>
        </w:rPr>
        <w:t xml:space="preserve">（项目名称）（采购包号：</w:t>
      </w:r>
      <w:r>
        <w:rPr>
          <w:rFonts w:hint="eastAsia" w:ascii="方正仿宋_GBK" w:hAnsi="方正仿宋_GBK" w:eastAsia="方正仿宋_GBK" w:cs="方正仿宋_GBK"/>
          <w:sz w:val="28"/>
          <w:szCs w:val="28"/>
          <w:highlight w:val="none"/>
          <w:u w:val="none"/>
          <w:lang w:eastAsia="zh-CN"/>
        </w:rPr>
        <w:t xml:space="preserve">XX</w:t>
      </w:r>
      <w:r>
        <w:rPr>
          <w:rFonts w:hint="eastAsia" w:ascii="方正仿宋_GBK" w:hAnsi="方正仿宋_GBK" w:eastAsia="方正仿宋_GBK" w:cs="方正仿宋_GBK"/>
          <w:sz w:val="28"/>
          <w:szCs w:val="28"/>
          <w:highlight w:val="none"/>
          <w:u w:val="none"/>
        </w:rPr>
        <w:t xml:space="preserve">）</w:t>
      </w:r>
      <w:r>
        <w:rPr>
          <w:rFonts w:hint="eastAsia" w:ascii="方正仿宋_GBK" w:hAnsi="方正仿宋_GBK" w:eastAsia="方正仿宋_GBK" w:cs="方正仿宋_GBK"/>
          <w:sz w:val="28"/>
          <w:szCs w:val="28"/>
          <w:highlight w:val="none"/>
        </w:rPr>
        <w:t xml:space="preserve">的采购活动，服务全部由符合政策的中小微企业承接。相关企业（含联合体中的中小微企业、签订采购包意向协议的中小微企业）的具体情况如下：</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1.</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u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属于</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Times New Roman" w:hAnsi="Times New Roman" w:eastAsia="方正仿宋_GBK" w:cs="Times New Roman"/>
          <w:color w:val="000000"/>
          <w:sz w:val="28"/>
          <w:szCs w:val="28"/>
          <w:highlight w:val="none"/>
          <w:u w:val="none"/>
          <w:lang w:val="en-US" w:eastAsia="zh-CN" w:bidi="ar-SA"/>
        </w:rPr>
        <w:t xml:space="preserve">（</w:t>
      </w:r>
      <w:r>
        <w:rPr>
          <w:rFonts w:hint="eastAsia" w:ascii="方正仿宋_GBK" w:hAnsi="方正仿宋_GBK" w:eastAsia="方正仿宋_GBK" w:cs="方正仿宋_GBK"/>
          <w:sz w:val="28"/>
          <w:szCs w:val="28"/>
          <w:highlight w:val="none"/>
          <w:u w:val="none"/>
        </w:rPr>
        <w:t xml:space="preserve">供应商填写招标文件中明确的所属行业）</w:t>
      </w:r>
      <w:r>
        <w:rPr>
          <w:rFonts w:hint="eastAsia" w:ascii="方正仿宋_GBK" w:hAnsi="方正仿宋_GBK" w:eastAsia="方正仿宋_GBK" w:cs="方正仿宋_GBK"/>
          <w:sz w:val="28"/>
          <w:szCs w:val="28"/>
          <w:highlight w:val="none"/>
        </w:rPr>
        <w:t xml:space="preserve">行业；承接企业为</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u w:val="none"/>
        </w:rPr>
        <w:t xml:space="preserve">（企业名称）</w:t>
      </w:r>
      <w:r>
        <w:rPr>
          <w:rFonts w:hint="eastAsia" w:ascii="方正仿宋_GBK" w:hAnsi="方正仿宋_GBK" w:eastAsia="方正仿宋_GBK" w:cs="方正仿宋_GBK"/>
          <w:sz w:val="28"/>
          <w:szCs w:val="28"/>
          <w:highlight w:val="none"/>
        </w:rPr>
        <w:t xml:space="preserve">，从业人员</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rPr>
        <w:t xml:space="preserve">人，营业收入为</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rPr>
        <w:t xml:space="preserve">万元，资产总额为</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rPr>
        <w:t xml:space="preserve">万元</w:t>
      </w:r>
      <w:r>
        <w:rPr>
          <w:rFonts w:hint="eastAsia" w:ascii="方正仿宋_GBK" w:hAnsi="方正仿宋_GBK" w:eastAsia="方正仿宋_GBK" w:cs="方正仿宋_GBK"/>
          <w:sz w:val="28"/>
          <w:szCs w:val="28"/>
          <w:highlight w:val="none"/>
          <w:vertAlign w:val="superscript"/>
        </w:rPr>
        <w:t xml:space="preserve">1</w:t>
      </w:r>
      <w:r>
        <w:rPr>
          <w:rFonts w:hint="eastAsia" w:ascii="方正仿宋_GBK" w:hAnsi="方正仿宋_GBK" w:eastAsia="方正仿宋_GBK" w:cs="方正仿宋_GBK"/>
          <w:sz w:val="28"/>
          <w:szCs w:val="28"/>
          <w:highlight w:val="none"/>
        </w:rPr>
        <w:t xml:space="preserve">，属于</w:t>
      </w:r>
      <w:r>
        <w:rPr>
          <w:rFonts w:hint="eastAsia" w:ascii="方正仿宋_GBK" w:hAnsi="方正仿宋_GBK" w:eastAsia="方正仿宋_GBK" w:cs="方正仿宋_GBK"/>
          <w:sz w:val="28"/>
          <w:szCs w:val="28"/>
          <w:highlight w:val="none"/>
          <w:u w:val="single"/>
        </w:rPr>
        <w:t xml:space="preserve">（□中型企业 □小型企业 □微型企业）；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2.</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u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属于</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u w:val="none"/>
        </w:rPr>
        <w:t xml:space="preserve">（供应商填写招标文件中明确的所属行业）</w:t>
      </w:r>
      <w:r>
        <w:rPr>
          <w:rFonts w:hint="eastAsia" w:ascii="方正仿宋_GBK" w:hAnsi="方正仿宋_GBK" w:eastAsia="方正仿宋_GBK" w:cs="方正仿宋_GBK"/>
          <w:sz w:val="28"/>
          <w:szCs w:val="28"/>
          <w:highlight w:val="none"/>
        </w:rPr>
        <w:t xml:space="preserve">行业；承接企业为</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u w:val="none"/>
        </w:rPr>
        <w:t xml:space="preserve">（企业名称）</w:t>
      </w:r>
      <w:r>
        <w:rPr>
          <w:rFonts w:hint="eastAsia" w:ascii="方正仿宋_GBK" w:hAnsi="方正仿宋_GBK" w:eastAsia="方正仿宋_GBK" w:cs="方正仿宋_GBK"/>
          <w:sz w:val="28"/>
          <w:szCs w:val="28"/>
          <w:highlight w:val="none"/>
        </w:rPr>
        <w:t xml:space="preserve">，从业人员</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rPr>
        <w:t xml:space="preserve">人，营业收入为</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rPr>
        <w:t xml:space="preserve">万元，资产总额为</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rPr>
        <w:t xml:space="preserve">万元</w:t>
      </w:r>
      <w:r>
        <w:rPr>
          <w:rFonts w:hint="eastAsia" w:ascii="方正仿宋_GBK" w:hAnsi="方正仿宋_GBK" w:eastAsia="方正仿宋_GBK" w:cs="方正仿宋_GBK"/>
          <w:sz w:val="28"/>
          <w:szCs w:val="28"/>
          <w:highlight w:val="none"/>
          <w:vertAlign w:val="superscript"/>
        </w:rPr>
        <w:t xml:space="preserve">1</w:t>
      </w:r>
      <w:r>
        <w:rPr>
          <w:rFonts w:hint="eastAsia" w:ascii="方正仿宋_GBK" w:hAnsi="方正仿宋_GBK" w:eastAsia="方正仿宋_GBK" w:cs="方正仿宋_GBK"/>
          <w:sz w:val="28"/>
          <w:szCs w:val="28"/>
          <w:highlight w:val="none"/>
        </w:rPr>
        <w:t xml:space="preserve">，属于</w:t>
      </w:r>
      <w:r>
        <w:rPr>
          <w:rFonts w:hint="eastAsia" w:ascii="方正仿宋_GBK" w:hAnsi="方正仿宋_GBK" w:eastAsia="方正仿宋_GBK" w:cs="方正仿宋_GBK"/>
          <w:sz w:val="28"/>
          <w:szCs w:val="28"/>
          <w:highlight w:val="none"/>
          <w:u w:val="single"/>
        </w:rPr>
        <w:t xml:space="preserve">（□中型企业 □小型企业 □微型企业）；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以上企业，不属于大企业的分支机构，不存在控股股东为大企业的情形，也不存在与大企业的负责人为同一人的情形。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本企业对上述声明内容的真实性负责。如有虚假，将依法承担相应责任</w:t>
      </w:r>
      <w:r/>
    </w:p>
    <w:p>
      <w:pPr>
        <w:ind w:right="720"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企业名称（加盖CA电子公章）：</w:t>
      </w:r>
      <w:r/>
    </w:p>
    <w:p>
      <w:pPr>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期：___年___月___日 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1.从业人员、营业收入、资产总额填报上一年度数据，无上一年度数据的新成立企业可不填报。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ind w:firstLine="560"/>
        <w:keepLines w:val="0"/>
        <w:keepNext w:val="0"/>
        <w:pageBreakBefore w:val="0"/>
        <w:spacing w:line="400" w:lineRule="exact"/>
        <w:widowControl w:val="off"/>
        <w:rPr>
          <w:rFonts w:hint="eastAsia" w:ascii="宋体" w:hAnsi="宋体"/>
          <w:color w:val="ff0000"/>
          <w:sz w:val="28"/>
          <w:szCs w:val="28"/>
          <w:highlight w:val="none"/>
        </w:rPr>
      </w:pPr>
      <w:r>
        <w:rPr>
          <w:rFonts w:hint="eastAsia" w:ascii="方正黑体_GBK" w:hAnsi="方正黑体_GBK" w:eastAsia="方正黑体_GBK" w:cs="方正黑体_GBK"/>
          <w:b w:val="0"/>
          <w:bCs/>
          <w:sz w:val="28"/>
          <w:szCs w:val="28"/>
          <w:highlight w:val="none"/>
        </w:rPr>
        <w:t xml:space="preserve">附件10 残疾人福利性单位声明函（服务类项目）（采购包号：</w:t>
      </w:r>
      <w:r>
        <w:rPr>
          <w:rFonts w:hint="eastAsia" w:ascii="Times New Roman" w:hAnsi="Times New Roman" w:eastAsia="方正黑体_GBK" w:cs="Times New Roman"/>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单位采购编号为</w:t>
      </w:r>
      <w:r>
        <w:rPr>
          <w:rFonts w:hint="eastAsia" w:ascii="Times New Roman" w:hAnsi="Times New Roman" w:eastAsia="方正黑体_GBK" w:cs="Times New Roman"/>
          <w:b w:val="0"/>
          <w:bCs/>
          <w:sz w:val="28"/>
          <w:szCs w:val="28"/>
          <w:highlight w:val="none"/>
          <w:lang w:eastAsia="zh-CN"/>
        </w:rPr>
        <w:t xml:space="preserve">JSZC-320000-</w:t>
      </w:r>
      <w:r>
        <w:rPr>
          <w:rFonts w:hint="eastAsia" w:ascii="Times New Roman" w:hAnsi="Times New Roman" w:eastAsia="方正黑体_GBK" w:cs="Times New Roman"/>
          <w:b w:val="0"/>
          <w:bCs/>
          <w:sz w:val="28"/>
          <w:szCs w:val="28"/>
          <w:highlight w:val="none"/>
          <w:lang w:val="en-US" w:eastAsia="zh-CN"/>
        </w:rPr>
        <w:t xml:space="preserve">SCZX-G20XX-XXXX</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u w:val="none"/>
          <w:lang w:val="en-US" w:eastAsia="zh-CN"/>
        </w:rPr>
        <w:t xml:space="preserve"> </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u w:val="none"/>
          <w:lang w:val="en-US" w:eastAsia="zh-CN"/>
        </w:rPr>
        <w:t xml:space="preserve">项目</w:t>
      </w:r>
      <w:r>
        <w:rPr>
          <w:rFonts w:hint="eastAsia" w:ascii="方正仿宋_GBK" w:hAnsi="方正仿宋_GBK" w:eastAsia="方正仿宋_GBK" w:cs="方正仿宋_GBK"/>
          <w:sz w:val="28"/>
          <w:szCs w:val="28"/>
          <w:highlight w:val="none"/>
          <w:u w:val="none"/>
        </w:rPr>
        <w:t xml:space="preserve">（项目名称）（采购包号：</w:t>
      </w:r>
      <w:r>
        <w:rPr>
          <w:rFonts w:hint="eastAsia" w:ascii="Times New Roman" w:hAnsi="Times New Roman" w:eastAsia="方正黑体_GBK" w:cs="Times New Roman"/>
          <w:b w:val="0"/>
          <w:bCs/>
          <w:sz w:val="28"/>
          <w:szCs w:val="28"/>
          <w:highlight w:val="none"/>
          <w:lang w:eastAsia="zh-CN"/>
        </w:rPr>
        <w:t xml:space="preserve">XX</w:t>
      </w:r>
      <w:r>
        <w:rPr>
          <w:rFonts w:hint="eastAsia" w:ascii="方正仿宋_GBK" w:hAnsi="方正仿宋_GBK" w:eastAsia="方正仿宋_GBK" w:cs="方正仿宋_GBK"/>
          <w:sz w:val="28"/>
          <w:szCs w:val="28"/>
          <w:highlight w:val="none"/>
          <w:u w:val="none"/>
        </w:rPr>
        <w:t xml:space="preserve">）</w:t>
      </w:r>
      <w:r>
        <w:rPr>
          <w:rFonts w:hint="eastAsia" w:ascii="方正仿宋_GBK" w:hAnsi="方正仿宋_GBK" w:eastAsia="方正仿宋_GBK" w:cs="方正仿宋_GBK"/>
          <w:sz w:val="28"/>
          <w:szCs w:val="28"/>
          <w:highlight w:val="none"/>
        </w:rPr>
        <w:t xml:space="preserve">采购活动由本单位提供服务。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本单位对上述声明的真实性负责。如有虚假，将依法承担相应责任。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1.专门面向中小微型企业采购的项目，供应商为残疾人福利性单位并提供服务的必须提供此声明函，否则将不能通过资格审查。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2.非专门面向中小微型企业采购的项目，供应商如不提供此声明函，价格将不做相应扣除。</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3.中标/成交供应商为残疾人福利性单位的，此声明函将随中标/成交结果同时公告，接受社会监督</w:t>
      </w:r>
      <w:r/>
    </w:p>
    <w:p>
      <w:pPr>
        <w:ind w:firstLine="584"/>
        <w:keepLines w:val="0"/>
        <w:keepNext w:val="0"/>
        <w:pageBreakBefore w:val="0"/>
        <w:spacing w:line="400" w:lineRule="exact"/>
        <w:widowControl w:val="off"/>
        <w:rPr>
          <w:rFonts w:hint="eastAsia" w:ascii="方正仿宋_GBK" w:hAnsi="方正仿宋_GBK" w:eastAsia="方正仿宋_GBK" w:cs="方正仿宋_GBK"/>
          <w:spacing w:val="6"/>
          <w:sz w:val="28"/>
          <w:szCs w:val="28"/>
          <w:highlight w:val="none"/>
        </w:rPr>
      </w:pPr>
      <w:r>
        <w:rPr>
          <w:rFonts w:hint="eastAsia" w:ascii="方正仿宋_GBK" w:hAnsi="方正仿宋_GBK" w:eastAsia="方正仿宋_GBK" w:cs="方正仿宋_GBK"/>
          <w:spacing w:val="6"/>
          <w:sz w:val="28"/>
          <w:szCs w:val="28"/>
          <w:highlight w:val="none"/>
        </w:rPr>
      </w:r>
      <w:r/>
    </w:p>
    <w:p>
      <w:pPr>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pacing w:val="6"/>
          <w:sz w:val="28"/>
          <w:szCs w:val="28"/>
          <w:highlight w:val="none"/>
        </w:rPr>
        <w:t xml:space="preserve">            </w:t>
      </w:r>
      <w:r>
        <w:rPr>
          <w:rFonts w:hint="eastAsia" w:ascii="方正仿宋_GBK" w:hAnsi="方正仿宋_GBK" w:eastAsia="方正仿宋_GBK" w:cs="方正仿宋_GBK"/>
          <w:spacing w:val="6"/>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供应商全称（加盖CA电子公章）：</w:t>
      </w:r>
      <w:r/>
    </w:p>
    <w:p>
      <w:pPr>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期：___年____月____日   </w:t>
      </w:r>
      <w:r/>
    </w:p>
    <w:p>
      <w:pPr>
        <w:jc w:val="center"/>
        <w:keepLines w:val="0"/>
        <w:keepNext w:val="0"/>
        <w:pageBreakBefore w:val="0"/>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jc w:val="center"/>
        <w:keepLines w:val="0"/>
        <w:keepNext w:val="0"/>
        <w:pageBreakBefore w:val="0"/>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keepLines w:val="0"/>
        <w:keepNext w:val="0"/>
        <w:pageBreakBefore w:val="0"/>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附件11 联合体协议（参考格式）（采购包号：</w:t>
      </w:r>
      <w:r>
        <w:rPr>
          <w:rFonts w:hint="eastAsia" w:ascii="方正黑体_GBK" w:hAnsi="方正黑体_GBK" w:eastAsia="方正黑体_GBK" w:cs="方正黑体_GBK"/>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（联合体中各供应商全称）在此达成以下协议：</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我们</w:t>
      </w:r>
      <w:r>
        <w:rPr>
          <w:rFonts w:hint="eastAsia" w:ascii="方正仿宋_GBK" w:hAnsi="方正仿宋_GBK" w:eastAsia="方正仿宋_GBK" w:cs="方正仿宋_GBK"/>
          <w:sz w:val="28"/>
          <w:szCs w:val="28"/>
          <w:highlight w:val="none"/>
          <w:u w:val="single"/>
        </w:rPr>
        <w:t xml:space="preserve"> （供应商1），（供应商2） ，……</w:t>
      </w:r>
      <w:r>
        <w:rPr>
          <w:rFonts w:hint="eastAsia" w:ascii="方正仿宋_GBK" w:hAnsi="方正仿宋_GBK" w:eastAsia="方正仿宋_GBK" w:cs="方正仿宋_GBK"/>
          <w:sz w:val="28"/>
          <w:szCs w:val="28"/>
          <w:highlight w:val="none"/>
        </w:rPr>
        <w:t xml:space="preserve">自愿组成联合体，参加江苏省政府采购中心组织的采购编号为</w:t>
      </w:r>
      <w:r>
        <w:rPr>
          <w:rFonts w:ascii="Times New Roman" w:hAnsi="Times New Roman" w:eastAsia="方正仿宋_GBK" w:cs="Times New Roman"/>
          <w:color w:val="000000"/>
          <w:sz w:val="28"/>
          <w:szCs w:val="28"/>
          <w:highlight w:val="none"/>
        </w:rPr>
        <w:t xml:space="preserve">JSZC-320000-</w:t>
      </w:r>
      <w:r>
        <w:rPr>
          <w:rFonts w:ascii="Times New Roman" w:hAnsi="Times New Roman" w:eastAsia="方正仿宋_GBK" w:cs="Times New Roman"/>
          <w:color w:val="000000"/>
          <w:sz w:val="28"/>
          <w:szCs w:val="28"/>
          <w:highlight w:val="none"/>
          <w:lang w:val="en-US" w:eastAsia="zh-CN"/>
        </w:rPr>
        <w:t xml:space="preserve">SCZX-G20XX-XXXX</w:t>
      </w:r>
      <w:r>
        <w:rPr>
          <w:rFonts w:hint="eastAsia" w:ascii="方正仿宋_GBK" w:hAnsi="方正仿宋_GBK" w:eastAsia="方正仿宋_GBK" w:cs="方正仿宋_GBK"/>
          <w:sz w:val="28"/>
          <w:szCs w:val="28"/>
          <w:highlight w:val="none"/>
        </w:rPr>
        <w:t xml:space="preserve">，</w:t>
      </w:r>
      <w:r>
        <w:rPr>
          <w:rFonts w:hint="eastAsia"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u w:val="none"/>
          <w:lang w:val="en-US" w:eastAsia="zh-CN"/>
        </w:rPr>
        <w:t xml:space="preserve">项目</w:t>
      </w:r>
      <w:r>
        <w:rPr>
          <w:rFonts w:hint="eastAsia" w:ascii="方正仿宋_GBK" w:hAnsi="方正仿宋_GBK" w:eastAsia="方正仿宋_GBK" w:cs="方正仿宋_GBK"/>
          <w:sz w:val="28"/>
          <w:szCs w:val="28"/>
          <w:highlight w:val="none"/>
          <w:u w:val="none"/>
        </w:rPr>
        <w:t xml:space="preserve">（项目名称）（采购包号：</w:t>
      </w:r>
      <w:r>
        <w:rPr>
          <w:rFonts w:hint="eastAsia" w:ascii="方正仿宋_GBK" w:hAnsi="方正仿宋_GBK" w:eastAsia="方正仿宋_GBK" w:cs="方正仿宋_GBK"/>
          <w:sz w:val="28"/>
          <w:szCs w:val="28"/>
          <w:highlight w:val="none"/>
          <w:u w:val="none"/>
          <w:lang w:eastAsia="zh-CN"/>
        </w:rPr>
        <w:t xml:space="preserve">XX</w:t>
      </w:r>
      <w:r>
        <w:rPr>
          <w:rFonts w:hint="eastAsia" w:ascii="方正仿宋_GBK" w:hAnsi="方正仿宋_GBK" w:eastAsia="方正仿宋_GBK" w:cs="方正仿宋_GBK"/>
          <w:sz w:val="28"/>
          <w:szCs w:val="28"/>
          <w:highlight w:val="none"/>
          <w:u w:val="none"/>
        </w:rPr>
        <w:t xml:space="preserve">）</w:t>
      </w:r>
      <w:r>
        <w:rPr>
          <w:rFonts w:hint="eastAsia" w:ascii="方正仿宋_GBK" w:hAnsi="方正仿宋_GBK" w:eastAsia="方正仿宋_GBK" w:cs="方正仿宋_GBK"/>
          <w:sz w:val="28"/>
          <w:szCs w:val="28"/>
          <w:highlight w:val="none"/>
        </w:rPr>
        <w:t xml:space="preserve">的政府采购活动，我联合体指定</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（供应商</w:t>
      </w:r>
      <w:r>
        <w:rPr>
          <w:rFonts w:hint="eastAsia" w:ascii="方正仿宋_GBK" w:hAnsi="方正仿宋_GBK" w:eastAsia="方正仿宋_GBK" w:cs="方正仿宋_GBK"/>
          <w:sz w:val="28"/>
          <w:szCs w:val="28"/>
          <w:highlight w:val="none"/>
          <w:u w:val="none"/>
          <w:lang w:eastAsia="zh-CN"/>
        </w:rPr>
        <w:t xml:space="preserve">全称</w:t>
      </w:r>
      <w:r>
        <w:rPr>
          <w:rFonts w:hint="eastAsia" w:ascii="方正仿宋_GBK" w:hAnsi="方正仿宋_GBK" w:eastAsia="方正仿宋_GBK" w:cs="方正仿宋_GBK"/>
          <w:sz w:val="28"/>
          <w:szCs w:val="28"/>
          <w:highlight w:val="none"/>
          <w:u w:val="none"/>
        </w:rPr>
        <w:t xml:space="preserve">）</w:t>
      </w:r>
      <w:r>
        <w:rPr>
          <w:rFonts w:hint="eastAsia" w:ascii="方正仿宋_GBK" w:hAnsi="方正仿宋_GBK" w:eastAsia="方正仿宋_GBK" w:cs="方正仿宋_GBK"/>
          <w:sz w:val="28"/>
          <w:szCs w:val="28"/>
          <w:highlight w:val="none"/>
        </w:rPr>
        <w:t xml:space="preserve">为牵头单位（牵头单位必须为联合体成员）。</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若我们联合中标、成交，</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（供应商单位1全称）实施项目中</w:t>
      </w:r>
      <w:r>
        <w:rPr>
          <w:rFonts w:hint="eastAsia"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rPr>
        <w:t xml:space="preserve">（工作内容）部分工作，并承担相应的责任。</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（供应商单位2全称）实施项目中</w:t>
      </w:r>
      <w:r>
        <w:rPr>
          <w:rFonts w:hint="eastAsia"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rPr>
        <w:t xml:space="preserve">（工作内容）部分工作，并承担相应的责任……。（注：联合体中各供应商都应明示所承担的工作和相应的责任）。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其中</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（小型、微型企业/残疾人福利性单位/监狱企业全称）为（</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小型、微型企业</w:t>
      </w:r>
      <w:r>
        <w:rPr>
          <w:rFonts w:hint="eastAsia" w:ascii="方正仿宋_GBK" w:hAnsi="方正仿宋_GBK" w:eastAsia="方正仿宋_GBK" w:cs="方正仿宋_GBK"/>
          <w:sz w:val="28"/>
          <w:szCs w:val="28"/>
          <w:highlight w:val="none"/>
          <w:lang w:val="en-US" w:eastAsia="zh-CN"/>
        </w:rPr>
        <w:t xml:space="preserve">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残疾人福利性单位</w:t>
      </w:r>
      <w:r>
        <w:rPr>
          <w:rFonts w:hint="eastAsia" w:ascii="方正仿宋_GBK" w:hAnsi="方正仿宋_GBK" w:eastAsia="方正仿宋_GBK" w:cs="方正仿宋_GBK"/>
          <w:sz w:val="28"/>
          <w:szCs w:val="28"/>
          <w:highlight w:val="none"/>
          <w:lang w:val="en-US" w:eastAsia="zh-CN"/>
        </w:rPr>
        <w:t xml:space="preserve">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p>
    <w:p>
      <w:pPr>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联合体中各供应商全称（公章）：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日期：___年____月____日     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备注：本招标文件中要求加盖CA电子签章的地方，仅需加盖牵头单位的CA电子签章。</w:t>
      </w:r>
      <w:r/>
    </w:p>
    <w:p>
      <w:pPr>
        <w:ind w:firstLine="645"/>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p>
    <w:p>
      <w:pPr>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p>
    <w:p>
      <w:pPr>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附件12 实质性要求响应及偏离表（采购包号：</w:t>
      </w:r>
      <w:r>
        <w:rPr>
          <w:rFonts w:hint="eastAsia" w:ascii="方正黑体_GBK" w:hAnsi="方正黑体_GBK" w:eastAsia="方正黑体_GBK" w:cs="方正黑体_GBK"/>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tbl>
      <w:tblPr>
        <w:tblStyle w:val="78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序号</w:t>
            </w:r>
            <w:r/>
          </w:p>
        </w:tc>
        <w:tc>
          <w:tcPr>
            <w:tcW w:w="360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招标文件（含技术要求和商务要求）中的实质性要求</w:t>
            </w:r>
            <w:r>
              <w:rPr>
                <w:rFonts w:hint="eastAsia" w:ascii="方正仿宋_GBK" w:hAnsi="方正仿宋_GBK" w:eastAsia="方正仿宋_GBK" w:cs="方正仿宋_GBK"/>
                <w:b/>
                <w:bCs/>
                <w:color w:val="000000"/>
                <w:sz w:val="28"/>
                <w:szCs w:val="28"/>
                <w:highlight w:val="none"/>
                <w:lang w:val="en-US" w:eastAsia="zh-CN" w:bidi="ar-SA"/>
              </w:rPr>
              <w:t xml:space="preserve">（</w:t>
            </w:r>
            <w:r>
              <w:rPr>
                <w:rFonts w:hint="eastAsia" w:ascii="方正仿宋_GBK" w:hAnsi="方正仿宋_GBK" w:eastAsia="方正仿宋_GBK" w:cs="方正仿宋_GBK"/>
                <w:b/>
                <w:bCs/>
                <w:i/>
                <w:color w:val="000000"/>
                <w:sz w:val="28"/>
                <w:szCs w:val="28"/>
                <w:highlight w:val="none"/>
                <w:u w:val="single"/>
                <w:lang w:val="en-US" w:eastAsia="zh-CN" w:bidi="ar-SA"/>
              </w:rPr>
              <w:t xml:space="preserve">斜体且有下划线部分</w:t>
            </w:r>
            <w:r>
              <w:rPr>
                <w:rFonts w:hint="eastAsia" w:ascii="方正仿宋_GBK" w:hAnsi="方正仿宋_GBK" w:eastAsia="方正仿宋_GBK" w:cs="方正仿宋_GBK"/>
                <w:b/>
                <w:bCs/>
                <w:color w:val="000000"/>
                <w:sz w:val="28"/>
                <w:szCs w:val="28"/>
                <w:highlight w:val="none"/>
                <w:lang w:val="en-US" w:eastAsia="zh-CN" w:bidi="ar-SA"/>
              </w:rPr>
              <w:t xml:space="preserve">或加*号条款）</w:t>
            </w:r>
            <w:r/>
          </w:p>
        </w:tc>
        <w:tc>
          <w:tcPr>
            <w:tcW w:w="331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投标响应情况</w:t>
            </w:r>
            <w:r/>
          </w:p>
        </w:tc>
        <w:tc>
          <w:tcPr>
            <w:tcW w:w="1526"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超出、符合或偏离</w:t>
            </w:r>
            <w:r/>
          </w:p>
        </w:tc>
      </w:tr>
      <w:tr>
        <w:trPr>
          <w:cantSplit/>
          <w:trHeight w:val="640"/>
        </w:trPr>
        <w:tc>
          <w:tcPr>
            <w:tcW w:w="545"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1</w:t>
            </w:r>
            <w:r/>
          </w:p>
        </w:tc>
        <w:tc>
          <w:tcPr>
            <w:tcW w:w="3609"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3317"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1526"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r>
      <w:tr>
        <w:trPr>
          <w:cantSplit/>
          <w:trHeight w:val="640"/>
        </w:trPr>
        <w:tc>
          <w:tcPr>
            <w:tcW w:w="545"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2</w:t>
            </w:r>
            <w:r/>
          </w:p>
        </w:tc>
        <w:tc>
          <w:tcPr>
            <w:tcW w:w="3609"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3317"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1526"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r>
      <w:tr>
        <w:trPr>
          <w:cantSplit/>
          <w:trHeight w:val="640"/>
        </w:trPr>
        <w:tc>
          <w:tcPr>
            <w:tcW w:w="545"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3609"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t xml:space="preserve">……</w:t>
            </w:r>
            <w:r/>
          </w:p>
        </w:tc>
        <w:tc>
          <w:tcPr>
            <w:tcW w:w="3317"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c>
          <w:tcPr>
            <w:tcW w:w="1526"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eastAsia="zh-CN" w:bidi="ar-SA"/>
              </w:rPr>
              <w:suppressLineNumbers w:val="0"/>
            </w:pPr>
            <w:r>
              <w:rPr>
                <w:rFonts w:hint="eastAsia" w:ascii="方正仿宋_GBK" w:hAnsi="方正仿宋_GBK" w:eastAsia="方正仿宋_GBK" w:cs="方正仿宋_GBK"/>
                <w:color w:val="000000"/>
                <w:sz w:val="28"/>
                <w:szCs w:val="28"/>
                <w:highlight w:val="none"/>
                <w:lang w:val="en-US" w:eastAsia="zh-CN" w:bidi="ar-SA"/>
              </w:rPr>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附件12-1 证明材料1，证明材料2，……</w:t>
      </w:r>
      <w:r/>
    </w:p>
    <w:p>
      <w:pP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w:t>
      </w:r>
      <w:r>
        <w:rPr>
          <w:rFonts w:hint="eastAsia" w:ascii="方正仿宋_GBK" w:hAnsi="方正仿宋_GBK" w:eastAsia="方正仿宋_GBK" w:cs="方正仿宋_GBK"/>
          <w:b/>
          <w:bCs/>
          <w:color w:val="000000"/>
          <w:sz w:val="28"/>
          <w:szCs w:val="28"/>
          <w:highlight w:val="none"/>
          <w:lang w:eastAsia="zh-CN"/>
        </w:rPr>
        <w:t xml:space="preserve">加*号条款</w:t>
      </w:r>
      <w:r>
        <w:rPr>
          <w:rFonts w:hint="eastAsia" w:ascii="方正仿宋_GBK" w:hAnsi="方正仿宋_GBK" w:eastAsia="方正仿宋_GBK" w:cs="方正仿宋_GBK"/>
          <w:b/>
          <w:bCs/>
          <w:color w:val="000000"/>
          <w:sz w:val="28"/>
          <w:szCs w:val="28"/>
          <w:highlight w:val="none"/>
        </w:rPr>
        <w:t xml:space="preserve">为实质性要求）</w:t>
      </w:r>
      <w:r>
        <w:rPr>
          <w:rFonts w:hint="eastAsia" w:ascii="方正仿宋_GBK" w:hAnsi="方正仿宋_GBK" w:eastAsia="方正仿宋_GBK" w:cs="方正仿宋_GBK"/>
          <w:color w:val="000000"/>
          <w:sz w:val="28"/>
          <w:szCs w:val="28"/>
          <w:highlight w:val="none"/>
        </w:rPr>
        <w:t xml:space="preserve">逐条做出明确响应，否则作无效投标处理。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2.如果招标文件要求提供证明材料，投标人必须将证明材料列于该表之下。</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3.投标人未对实质性要求逐条作出明确响应的，或未按招标文件要求提供证明材料的，该采购包作无效投标处理。</w:t>
      </w:r>
      <w:r/>
    </w:p>
    <w:p>
      <w:pPr>
        <w:keepLines w:val="0"/>
        <w:keepNext w:val="0"/>
        <w:pageBreakBefore w:val="0"/>
        <w:spacing w:line="400" w:lineRule="exact"/>
        <w:rPr>
          <w:rFonts w:hint="eastAsia" w:ascii="宋体" w:hAnsi="宋体"/>
          <w:color w:val="ff0000"/>
          <w:sz w:val="28"/>
          <w:szCs w:val="28"/>
          <w:highlight w:val="none"/>
        </w:rPr>
      </w:pPr>
      <w:r>
        <w:rPr>
          <w:rFonts w:hint="eastAsia" w:ascii="宋体" w:hAnsi="宋体"/>
          <w:color w:val="ff0000"/>
          <w:sz w:val="28"/>
          <w:szCs w:val="28"/>
          <w:highlight w:val="none"/>
        </w:rPr>
      </w:r>
      <w:r/>
    </w:p>
    <w:p>
      <w:pPr>
        <w:jc w:val="center"/>
        <w:keepLines w:val="0"/>
        <w:keepNext w:val="0"/>
        <w:pageBreakBefore w:val="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lang w:val="en-US" w:eastAsia="zh-CN"/>
        </w:rPr>
      </w:pPr>
      <w:r>
        <w:rPr>
          <w:rFonts w:hint="eastAsia" w:ascii="方正黑体_GBK" w:hAnsi="方正黑体_GBK" w:eastAsia="方正黑体_GBK" w:cs="方正黑体_GBK"/>
          <w:b w:val="0"/>
          <w:bCs/>
          <w:sz w:val="28"/>
          <w:szCs w:val="28"/>
          <w:highlight w:val="none"/>
          <w:lang w:val="en-US" w:eastAsia="zh-CN"/>
        </w:rPr>
        <w:t xml:space="preserve">附件13  关于符合本国产品标准的声明函（采购包号：XX）</w:t>
      </w:r>
      <w:r/>
    </w:p>
    <w:p>
      <w:pPr>
        <w:pStyle w:val="8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5"/>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1.</w:t>
      </w:r>
      <w:r>
        <w:rPr>
          <w:rStyle w:val="825"/>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（产品名称1）</w:t>
      </w:r>
      <w:r>
        <w:rPr>
          <w:rStyle w:val="825"/>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，生产厂为</w:t>
      </w:r>
      <w:r>
        <w:rPr>
          <w:rStyle w:val="825"/>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（厂名）</w:t>
      </w:r>
      <w:r>
        <w:rPr>
          <w:rStyle w:val="825"/>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，厂址为</w:t>
      </w:r>
      <w:r>
        <w:rPr>
          <w:rStyle w:val="825"/>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82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82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825"/>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82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82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825"/>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82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82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825"/>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在中国境内完成。</w:t>
      </w:r>
      <w:r/>
    </w:p>
    <w:p>
      <w:pPr>
        <w:pStyle w:val="815"/>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Style w:val="825"/>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（产品名称</w:t>
      </w:r>
      <w:r>
        <w:rPr>
          <w:rStyle w:val="82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2</w:t>
      </w:r>
      <w:r>
        <w:rPr>
          <w:rStyle w:val="825"/>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，生产厂为</w:t>
      </w:r>
      <w:r>
        <w:rPr>
          <w:rStyle w:val="825"/>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，厂址为</w:t>
      </w:r>
      <w:r>
        <w:rPr>
          <w:rStyle w:val="825"/>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82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82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82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82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82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82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在中国境内完成。</w:t>
      </w:r>
      <w:r/>
    </w:p>
    <w:p>
      <w:pPr>
        <w:pStyle w:val="815"/>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p>
    <w:p>
      <w:pPr>
        <w:pStyle w:val="815"/>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本公司（单位）对上述声明内容的真实性负责。如有虚假，愿承担相应法律责任。</w:t>
      </w:r>
      <w:r/>
    </w:p>
    <w:p>
      <w:pPr>
        <w:pStyle w:val="815"/>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rPr>
      </w:r>
      <w:r/>
    </w:p>
    <w:p>
      <w:pPr>
        <w:pStyle w:val="815"/>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　        </w:t>
      </w:r>
      <w:r/>
    </w:p>
    <w:p>
      <w:pPr>
        <w:pStyle w:val="815"/>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日期：</w:t>
      </w:r>
      <w:r>
        <w:rPr>
          <w:rFonts w:hint="eastAsia" w:ascii="方正仿宋_GBK" w:hAnsi="方正仿宋_GBK" w:eastAsia="方正仿宋_GBK" w:cs="方正仿宋_GBK"/>
          <w:color w:val="000000"/>
          <w:sz w:val="28"/>
          <w:szCs w:val="28"/>
          <w:highlight w:val="none"/>
        </w:rPr>
        <w:t xml:space="preserve">___年____月____日</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        </w:t>
      </w:r>
      <w:r/>
    </w:p>
    <w:p>
      <w:pPr>
        <w:pStyle w:val="815"/>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__________________</w:t>
      </w:r>
      <w:r/>
    </w:p>
    <w:p>
      <w:pPr>
        <w:pStyle w:val="81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1.产品如有型号，请在“产品名称”栏一并填写。</w:t>
      </w:r>
      <w:r/>
    </w:p>
    <w:p>
      <w:pPr>
        <w:pStyle w:val="81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2.生产厂名与厂址应与生产厂营业执照载明的相关信息保持一致。</w:t>
      </w:r>
      <w:r/>
    </w:p>
    <w:p>
      <w:pPr>
        <w:pStyle w:val="81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3.该产品的中国境内生产的组件成本占比相关要求实施前，“规定比例”栏可不填，下同。</w:t>
      </w:r>
      <w:r/>
    </w:p>
    <w:p>
      <w:pPr>
        <w:pStyle w:val="81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4.该产品的关键组件要求实施前，“关键组件”栏可不填，下同。</w:t>
      </w:r>
      <w:r/>
    </w:p>
    <w:p>
      <w:pPr>
        <w:pStyle w:val="81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5.该产品的关键工序要求实施前，“关键工序”栏可不填，下同。</w:t>
      </w:r>
      <w:r/>
    </w:p>
    <w:p>
      <w:pPr>
        <w:pStyle w:val="81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82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”的地方无需填写。</w:t>
      </w:r>
      <w:r/>
    </w:p>
    <w:p>
      <w:pPr>
        <w:ind w:firstLine="560"/>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附件1</w:t>
      </w:r>
      <w:r>
        <w:rPr>
          <w:rFonts w:hint="eastAsia" w:ascii="方正黑体_GBK" w:hAnsi="方正黑体_GBK" w:eastAsia="方正黑体_GBK" w:cs="方正黑体_GBK"/>
          <w:bCs/>
          <w:sz w:val="28"/>
          <w:szCs w:val="28"/>
          <w:highlight w:val="none"/>
          <w:lang w:val="en-US" w:eastAsia="zh-CN"/>
        </w:rPr>
        <w:t xml:space="preserve">4</w:t>
      </w:r>
      <w:r>
        <w:rPr>
          <w:rFonts w:hint="eastAsia" w:ascii="方正黑体_GBK" w:hAnsi="方正黑体_GBK" w:eastAsia="方正黑体_GBK" w:cs="方正黑体_GBK"/>
          <w:bCs/>
          <w:sz w:val="28"/>
          <w:szCs w:val="28"/>
          <w:highlight w:val="none"/>
        </w:rPr>
        <w:t xml:space="preserve">  提供服务的人员均为订立劳动合同的从业人员的书面声明</w:t>
      </w:r>
      <w:r/>
    </w:p>
    <w:p>
      <w:pPr>
        <w:ind w:firstLine="560"/>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（采购包号：XX）</w:t>
      </w:r>
      <w:r/>
    </w:p>
    <w:p>
      <w:pPr>
        <w:pStyle w:val="1046"/>
        <w:ind w:firstLine="560"/>
        <w:spacing w:before="30" w:beforeAutospacing="0" w:after="30" w:afterAutospacing="0" w:line="400" w:lineRule="exact"/>
        <w:rPr>
          <w:rFonts w:hint="eastAsia" w:ascii="方正仿宋_GBK" w:hAnsi="方正仿宋_GBK" w:eastAsia="方正仿宋_GBK" w:cs="方正仿宋_GBK"/>
          <w:sz w:val="28"/>
          <w:szCs w:val="28"/>
          <w:highlight w:val="none"/>
          <w:shd w:val="clear" w:color="auto" w:fill="ffffff"/>
        </w:rPr>
      </w:pPr>
      <w:r>
        <w:rPr>
          <w:rFonts w:hint="eastAsia" w:ascii="方正仿宋_GBK" w:hAnsi="方正仿宋_GBK" w:eastAsia="方正仿宋_GBK" w:cs="方正仿宋_GBK"/>
          <w:sz w:val="28"/>
          <w:szCs w:val="28"/>
          <w:highlight w:val="none"/>
          <w:shd w:val="clear" w:color="auto" w:fill="ffffff"/>
        </w:rPr>
      </w:r>
      <w:r/>
    </w:p>
    <w:p>
      <w:pPr>
        <w:pStyle w:val="1046"/>
        <w:ind w:firstLine="560"/>
        <w:spacing w:before="30" w:beforeAutospacing="0" w:after="30" w:afterAutospacing="0" w:line="400" w:lineRule="exact"/>
        <w:rPr>
          <w:rFonts w:ascii="方正仿宋_GBK" w:hAnsi="方正仿宋_GBK" w:eastAsia="方正仿宋_GBK" w:cs="方正仿宋_GBK"/>
          <w:sz w:val="28"/>
          <w:szCs w:val="28"/>
          <w:highlight w:val="none"/>
          <w:shd w:val="clear" w:color="auto" w:fill="ffffff"/>
          <w:lang w:val="en-US" w:eastAsia="zh-CN"/>
        </w:rPr>
      </w:pPr>
      <w:r>
        <w:rPr>
          <w:rFonts w:hint="eastAsia" w:ascii="方正仿宋_GBK" w:hAnsi="方正仿宋_GBK" w:eastAsia="方正仿宋_GBK" w:cs="方正仿宋_GBK"/>
          <w:sz w:val="28"/>
          <w:szCs w:val="28"/>
          <w:highlight w:val="none"/>
          <w:shd w:val="clear" w:color="auto" w:fill="ffffff"/>
          <w:lang w:val="en-US" w:eastAsia="zh-CN"/>
        </w:rPr>
        <w:t xml:space="preserve">本企业（本联合体，如项目采购包接受联合体参加的）</w:t>
      </w:r>
      <w:r>
        <w:rPr>
          <w:rFonts w:ascii="方正仿宋_GBK" w:hAnsi="方正仿宋_GBK" w:eastAsia="方正仿宋_GBK" w:cs="方正仿宋_GBK"/>
          <w:sz w:val="28"/>
          <w:szCs w:val="28"/>
          <w:highlight w:val="none"/>
          <w:shd w:val="clear" w:color="auto" w:fill="ffffff"/>
          <w:lang w:val="en-US" w:eastAsia="zh-CN"/>
        </w:rPr>
        <w:t xml:space="preserve">参加江苏省政府采购中心组织的项目编号为JSZC-320000-SCZX-</w:t>
      </w:r>
      <w:r>
        <w:rPr>
          <w:rFonts w:hint="eastAsia" w:ascii="方正仿宋_GBK" w:hAnsi="方正仿宋_GBK" w:eastAsia="方正仿宋_GBK" w:cs="方正仿宋_GBK"/>
          <w:sz w:val="28"/>
          <w:szCs w:val="28"/>
          <w:highlight w:val="none"/>
          <w:shd w:val="clear" w:color="auto" w:fill="ffffff"/>
          <w:lang w:val="en-US" w:eastAsia="zh-CN"/>
        </w:rPr>
        <w:t xml:space="preserve">G</w:t>
      </w:r>
      <w:r>
        <w:rPr>
          <w:rFonts w:ascii="方正仿宋_GBK" w:hAnsi="方正仿宋_GBK" w:eastAsia="方正仿宋_GBK" w:cs="方正仿宋_GBK"/>
          <w:sz w:val="28"/>
          <w:szCs w:val="28"/>
          <w:highlight w:val="none"/>
          <w:shd w:val="clear" w:color="auto" w:fill="ffffff"/>
          <w:lang w:val="en-US" w:eastAsia="zh-CN"/>
        </w:rPr>
        <w:t xml:space="preserve">20XX-XXXX，XXXX（项目名称）（采购包号：XX）项目采购活动</w:t>
      </w:r>
      <w:r>
        <w:rPr>
          <w:rFonts w:hint="eastAsia" w:ascii="方正仿宋_GBK" w:hAnsi="方正仿宋_GBK" w:eastAsia="方正仿宋_GBK" w:cs="方正仿宋_GBK"/>
          <w:sz w:val="28"/>
          <w:szCs w:val="28"/>
          <w:highlight w:val="none"/>
          <w:shd w:val="clear" w:color="auto" w:fill="ffffff"/>
          <w:lang w:val="en-US" w:eastAsia="zh-CN"/>
        </w:rPr>
        <w:t xml:space="preserve">，根据</w:t>
      </w:r>
      <w:r>
        <w:rPr>
          <w:rFonts w:ascii="方正仿宋_GBK" w:hAnsi="方正仿宋_GBK" w:eastAsia="方正仿宋_GBK" w:cs="方正仿宋_GBK"/>
          <w:sz w:val="28"/>
          <w:szCs w:val="28"/>
          <w:highlight w:val="none"/>
          <w:shd w:val="clear" w:color="auto" w:fill="ffffff"/>
          <w:lang w:val="en-US" w:eastAsia="zh-CN"/>
        </w:rPr>
        <w:t xml:space="preserve">《政府采购促进中小企业发展管理办法》</w:t>
      </w:r>
      <w:r>
        <w:rPr>
          <w:rFonts w:hint="eastAsia" w:ascii="方正仿宋_GBK" w:hAnsi="方正仿宋_GBK" w:eastAsia="方正仿宋_GBK" w:cs="方正仿宋_GBK"/>
          <w:sz w:val="28"/>
          <w:szCs w:val="28"/>
          <w:highlight w:val="none"/>
          <w:shd w:val="clear" w:color="auto" w:fill="ffffff"/>
          <w:lang w:val="en-US" w:eastAsia="zh-CN"/>
        </w:rPr>
        <w:t xml:space="preserve">第四条规定</w:t>
      </w:r>
      <w:r>
        <w:rPr>
          <w:rFonts w:ascii="方正仿宋_GBK" w:hAnsi="方正仿宋_GBK" w:eastAsia="方正仿宋_GBK" w:cs="方正仿宋_GBK"/>
          <w:sz w:val="28"/>
          <w:szCs w:val="28"/>
          <w:highlight w:val="none"/>
          <w:shd w:val="clear" w:color="auto" w:fill="ffffff"/>
          <w:lang w:val="en-US" w:eastAsia="zh-CN"/>
        </w:rPr>
        <w:t xml:space="preserve">，</w:t>
      </w:r>
      <w:r>
        <w:rPr>
          <w:rFonts w:hint="eastAsia" w:ascii="方正仿宋_GBK" w:hAnsi="方正仿宋_GBK" w:eastAsia="方正仿宋_GBK" w:cs="方正仿宋_GBK"/>
          <w:sz w:val="28"/>
          <w:szCs w:val="28"/>
          <w:highlight w:val="none"/>
          <w:shd w:val="clear" w:color="auto" w:fill="ffffff"/>
          <w:lang w:val="en-US" w:eastAsia="zh-CN"/>
        </w:rPr>
        <w:t xml:space="preserve">本企业（本联合体，如项目采购包接受联合体参加的）</w:t>
      </w:r>
      <w:r>
        <w:rPr>
          <w:rFonts w:ascii="方正仿宋_GBK" w:hAnsi="方正仿宋_GBK" w:eastAsia="方正仿宋_GBK" w:cs="方正仿宋_GBK"/>
          <w:sz w:val="28"/>
          <w:szCs w:val="28"/>
          <w:highlight w:val="none"/>
          <w:shd w:val="clear" w:color="auto" w:fill="ffffff"/>
          <w:lang w:val="en-US" w:eastAsia="zh-CN"/>
        </w:rPr>
        <w:t xml:space="preserve">郑重声明</w:t>
      </w:r>
      <w:r>
        <w:rPr>
          <w:rFonts w:hint="eastAsia" w:ascii="方正仿宋_GBK" w:hAnsi="方正仿宋_GBK" w:eastAsia="方正仿宋_GBK" w:cs="方正仿宋_GBK"/>
          <w:sz w:val="28"/>
          <w:szCs w:val="28"/>
          <w:highlight w:val="none"/>
          <w:shd w:val="clear" w:color="auto" w:fill="ffffff"/>
          <w:lang w:val="en-US" w:eastAsia="zh-CN"/>
        </w:rPr>
        <w:t xml:space="preserve">：如服务由本企业（本联合体，如项目采购包接受联合体参加的）承接，为本项目采购包提供服务的人员均为依照《中华人民共和国劳动合同法》订立劳动合同的从业人员。</w:t>
      </w:r>
      <w:r/>
    </w:p>
    <w:p>
      <w:pPr>
        <w:pStyle w:val="1046"/>
        <w:ind w:firstLine="560"/>
        <w:spacing w:before="30" w:beforeAutospacing="0" w:after="30" w:afterAutospacing="0" w:line="400" w:lineRule="exact"/>
        <w:rPr>
          <w:rFonts w:ascii="方正仿宋_GBK" w:hAnsi="方正仿宋_GBK" w:eastAsia="方正仿宋_GBK" w:cs="方正仿宋_GBK"/>
          <w:sz w:val="28"/>
          <w:szCs w:val="28"/>
          <w:highlight w:val="none"/>
          <w:shd w:val="clear" w:color="auto" w:fill="ffffff"/>
          <w:lang w:val="en-US" w:eastAsia="zh-CN"/>
        </w:rPr>
      </w:pPr>
      <w:r>
        <w:rPr>
          <w:rFonts w:ascii="方正仿宋_GBK" w:hAnsi="方正仿宋_GBK" w:eastAsia="方正仿宋_GBK" w:cs="方正仿宋_GBK"/>
          <w:sz w:val="28"/>
          <w:szCs w:val="28"/>
          <w:highlight w:val="none"/>
          <w:shd w:val="clear" w:color="auto" w:fill="ffffff"/>
          <w:lang w:val="en-US" w:eastAsia="zh-CN"/>
        </w:rPr>
        <w:t xml:space="preserve">本</w:t>
      </w:r>
      <w:r>
        <w:rPr>
          <w:rFonts w:hint="eastAsia" w:ascii="方正仿宋_GBK" w:hAnsi="方正仿宋_GBK" w:eastAsia="方正仿宋_GBK" w:cs="方正仿宋_GBK"/>
          <w:sz w:val="28"/>
          <w:szCs w:val="28"/>
          <w:highlight w:val="none"/>
          <w:shd w:val="clear" w:color="auto" w:fill="ffffff"/>
          <w:lang w:val="en-US" w:eastAsia="zh-CN"/>
        </w:rPr>
        <w:t xml:space="preserve">企业（联合体）</w:t>
      </w:r>
      <w:r>
        <w:rPr>
          <w:rFonts w:ascii="方正仿宋_GBK" w:hAnsi="方正仿宋_GBK" w:eastAsia="方正仿宋_GBK" w:cs="方正仿宋_GBK"/>
          <w:sz w:val="28"/>
          <w:szCs w:val="28"/>
          <w:highlight w:val="none"/>
          <w:shd w:val="clear" w:color="auto" w:fill="ffffff"/>
          <w:lang w:val="en-US" w:eastAsia="zh-CN"/>
        </w:rPr>
        <w:t xml:space="preserve">对上述声明的真实性负责。如有虚假，将依法承担相应责任。</w:t>
      </w:r>
      <w:r/>
    </w:p>
    <w:p>
      <w:pPr>
        <w:pStyle w:val="1046"/>
        <w:ind w:firstLine="560"/>
        <w:spacing w:before="30" w:beforeAutospacing="0" w:after="30" w:afterAutospacing="0" w:line="400" w:lineRule="exact"/>
        <w:rPr>
          <w:rFonts w:ascii="方正仿宋_GBK" w:hAnsi="方正仿宋_GBK" w:eastAsia="方正仿宋_GBK" w:cs="方正仿宋_GBK"/>
          <w:sz w:val="28"/>
          <w:szCs w:val="28"/>
          <w:highlight w:val="none"/>
          <w:shd w:val="clear" w:color="auto" w:fill="ffffff"/>
          <w:lang w:val="en-US" w:eastAsia="zh-CN"/>
        </w:rPr>
      </w:pPr>
      <w:r>
        <w:rPr>
          <w:rFonts w:ascii="方正仿宋_GBK" w:hAnsi="方正仿宋_GBK" w:eastAsia="方正仿宋_GBK" w:cs="方正仿宋_GBK"/>
          <w:sz w:val="28"/>
          <w:szCs w:val="28"/>
          <w:highlight w:val="none"/>
          <w:shd w:val="clear" w:color="auto" w:fill="ffffff"/>
          <w:lang w:val="en-US" w:eastAsia="zh-CN"/>
        </w:rPr>
      </w:r>
      <w:r/>
    </w:p>
    <w:p>
      <w:pPr>
        <w:pStyle w:val="1046"/>
        <w:ind w:firstLine="560"/>
        <w:spacing w:before="30" w:beforeAutospacing="0" w:after="30" w:afterAutospacing="0" w:line="400" w:lineRule="exact"/>
        <w:rPr>
          <w:rFonts w:hint="eastAsia" w:ascii="方正仿宋_GBK" w:hAnsi="方正仿宋_GBK" w:eastAsia="方正仿宋_GBK" w:cs="方正仿宋_GBK"/>
          <w:sz w:val="28"/>
          <w:szCs w:val="28"/>
          <w:highlight w:val="none"/>
          <w:shd w:val="clear" w:color="auto" w:fill="ffffff"/>
          <w:lang w:val="en-US" w:eastAsia="zh-CN"/>
        </w:rPr>
      </w:pPr>
      <w:r>
        <w:rPr>
          <w:rFonts w:hint="eastAsia" w:ascii="方正仿宋_GBK" w:hAnsi="方正仿宋_GBK" w:eastAsia="方正仿宋_GBK" w:cs="方正仿宋_GBK"/>
          <w:sz w:val="28"/>
          <w:szCs w:val="28"/>
          <w:highlight w:val="none"/>
          <w:shd w:val="clear" w:color="auto" w:fill="ffffff"/>
          <w:lang w:val="en-US" w:eastAsia="zh-CN"/>
        </w:rPr>
        <w:t xml:space="preserve">注：如为专门面向中小微型企业采购的采购项目采购包，投标人（供应商）未提供该书面声明的，投标（响应）无效。</w:t>
      </w:r>
      <w:r/>
    </w:p>
    <w:p>
      <w:pPr>
        <w:pStyle w:val="1046"/>
        <w:ind w:firstLine="560"/>
        <w:jc w:val="right"/>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公司（单位）名称（加盖CA电子公章）：　        </w:t>
      </w:r>
      <w:r/>
    </w:p>
    <w:p>
      <w:pPr>
        <w:ind w:left="0" w:firstLine="560"/>
        <w:keepLines w:val="0"/>
        <w:keepNext w:val="0"/>
        <w:pageBreakBefore w:val="0"/>
        <w:spacing w:line="560" w:lineRule="atLeast"/>
        <w:widowControl w:val="off"/>
        <w:rPr>
          <w:highlight w:val="none"/>
          <w:lang w:val="en-US" w:eastAsia="zh-CN"/>
        </w:rPr>
      </w:pPr>
      <w:r>
        <w:rPr>
          <w:rFonts w:hint="eastAsia" w:ascii="方正仿宋_GBK" w:hAnsi="方正仿宋_GBK" w:eastAsia="方正仿宋_GBK" w:cs="方正仿宋_GBK"/>
          <w:sz w:val="28"/>
          <w:szCs w:val="28"/>
          <w:highlight w:val="none"/>
          <w:shd w:val="clear" w:color="auto" w:fill="ffffff"/>
        </w:rPr>
        <w:t xml:space="preserve">          日期：</w:t>
      </w:r>
      <w:r>
        <w:rPr>
          <w:rFonts w:hint="eastAsia" w:ascii="方正仿宋_GBK" w:hAnsi="方正仿宋_GBK" w:eastAsia="方正仿宋_GBK" w:cs="方正仿宋_GBK"/>
          <w:sz w:val="28"/>
          <w:szCs w:val="28"/>
          <w:highlight w:val="none"/>
        </w:rPr>
        <w:t xml:space="preserve">___年____月____日</w:t>
      </w:r>
      <w:r>
        <w:rPr>
          <w:rFonts w:hint="eastAsia" w:ascii="方正仿宋_GBK" w:hAnsi="方正仿宋_GBK" w:eastAsia="方正仿宋_GBK" w:cs="方正仿宋_GBK"/>
          <w:sz w:val="28"/>
          <w:szCs w:val="28"/>
          <w:highlight w:val="none"/>
          <w:shd w:val="clear" w:color="auto" w:fill="ffffff"/>
        </w:rPr>
        <w:t xml:space="preserve">    </w:t>
      </w:r>
      <w:r/>
    </w:p>
    <w:p>
      <w:pPr>
        <w:ind w:left="0" w:firstLine="420"/>
        <w:keepLines w:val="0"/>
        <w:keepNext w:val="0"/>
        <w:pageBreakBefore w:val="0"/>
        <w:spacing w:line="560" w:lineRule="atLeast"/>
        <w:widowControl w:val="off"/>
        <w:rPr>
          <w:rFonts w:hint="eastAsia"/>
          <w:highlight w:val="none"/>
          <w:lang w:val="en-US" w:eastAsia="zh-CN"/>
        </w:rPr>
      </w:pPr>
      <w:r>
        <w:rPr>
          <w:rFonts w:hint="eastAsia"/>
          <w:highlight w:val="none"/>
          <w:lang w:val="en-US" w:eastAsia="zh-CN"/>
        </w:rPr>
      </w:r>
      <w:r/>
    </w:p>
    <w:p>
      <w:pPr>
        <w:spacing w:line="400" w:lineRule="exact"/>
        <w:rPr>
          <w:rFonts w:hint="eastAsia" w:ascii="方正魏碑_GBK" w:hAnsi="方正魏碑_GBK" w:eastAsia="方正魏碑_GBK" w:cs="方正魏碑_GBK"/>
          <w:bCs/>
          <w:color w:val="ff0000"/>
          <w:sz w:val="28"/>
          <w:szCs w:val="28"/>
          <w:highlight w:val="none"/>
        </w:rPr>
      </w:pPr>
      <w:r>
        <w:rPr>
          <w:rFonts w:hint="eastAsia" w:ascii="方正魏碑_GBK" w:hAnsi="方正魏碑_GBK" w:eastAsia="方正魏碑_GBK" w:cs="方正魏碑_GBK"/>
          <w:bCs/>
          <w:color w:val="ff0000"/>
          <w:sz w:val="28"/>
          <w:szCs w:val="28"/>
          <w:highlight w:val="none"/>
        </w:rPr>
      </w:r>
      <w:bookmarkEnd w:id="159"/>
      <w:r/>
      <w:bookmarkEnd w:id="160"/>
      <w:r/>
      <w:bookmarkEnd w:id="199"/>
      <w:r/>
      <w:r/>
    </w:p>
    <w:p>
      <w:pPr>
        <w:keepLines w:val="0"/>
        <w:keepNext w:val="0"/>
        <w:pageBreakBefore w:val="0"/>
        <w:spacing w:line="400" w:lineRule="exact"/>
        <w:rPr>
          <w:rFonts w:hint="eastAsia" w:ascii="方正魏碑_GBK" w:hAnsi="方正魏碑_GBK" w:eastAsia="方正魏碑_GBK" w:cs="方正魏碑_GBK"/>
          <w:bCs/>
          <w:color w:val="ff0000"/>
          <w:sz w:val="28"/>
          <w:szCs w:val="28"/>
          <w:highlight w:val="none"/>
        </w:rPr>
      </w:pPr>
      <w:r>
        <w:rPr>
          <w:rFonts w:hint="eastAsia" w:ascii="方正魏碑_GBK" w:hAnsi="方正魏碑_GBK" w:eastAsia="方正魏碑_GBK" w:cs="方正魏碑_GBK"/>
          <w:bCs/>
          <w:color w:val="ff0000"/>
          <w:sz w:val="28"/>
          <w:szCs w:val="28"/>
          <w:highlight w:val="none"/>
        </w:rPr>
      </w:r>
      <w:r/>
    </w:p>
    <w:p>
      <w:pPr>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质疑函范本</w:t>
      </w:r>
      <w:r/>
    </w:p>
    <w:p>
      <w:pPr>
        <w:ind w:firstLine="560"/>
        <w:keepLines w:val="0"/>
        <w:keepNext w:val="0"/>
        <w:pageBreakBefore w:val="0"/>
        <w:spacing w:before="290"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一、质疑供应商基本信息</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质疑供应商：</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邮编：</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联系人：</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授权代表：</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邮编：</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二、质疑项目基本情况</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质疑项目的名称：</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质疑项目的编号：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采购人名称：</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采购文件获取日期：</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三、质疑事项具体内容</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质疑事项1：</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事实依据：</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法律依据：</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质疑事项2</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四、与质疑事项相关的质疑请求</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请求：</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签字(签章)：                   公章：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日期：    </w:t>
      </w:r>
      <w:r/>
    </w:p>
    <w:p>
      <w:pPr>
        <w:ind w:firstLine="562"/>
        <w:keepLines w:val="0"/>
        <w:keepNext w:val="0"/>
        <w:pageBreakBefore w:val="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质疑函制作说明：</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1.供应商提出质疑时，应提交质疑函和必要的证明材料。</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3.质疑供应商若对项目的某一采购包进行质疑，质疑函中应列明具体采购包号。</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4.质疑函的质疑事项应具体、明确，并有必要的事实依据和法律依据。</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5.质疑函的质疑请求应与质疑事项相关。</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方正仿宋_GB2312">
    <w:panose1 w:val="020B0503020202020204"/>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仿宋">
    <w:panose1 w:val="02010609060101010101"/>
  </w:font>
  <w:font w:name="方正楷体_GB2312">
    <w:panose1 w:val="020B0503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7"/>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7"/>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823"/>
      </w:rPr>
      <w:framePr w:wrap="around" w:vAnchor="text" w:hAnchor="margin" w:xAlign="center" w:y="1"/>
    </w:pPr>
    <w:r>
      <w:fldChar w:fldCharType="begin"/>
    </w:r>
    <w:r>
      <w:rPr>
        <w:rStyle w:val="823"/>
      </w:rPr>
      <w:instrText xml:space="preserve">PAGE  </w:instrText>
    </w:r>
    <w:r>
      <w:fldChar w:fldCharType="separate"/>
    </w:r>
    <w:r>
      <w:rPr>
        <w:rStyle w:val="823"/>
      </w:rPr>
      <w:t xml:space="preserve">1</w:t>
    </w:r>
    <w:r>
      <w:fldChar w:fldCharType="end"/>
    </w:r>
    <w:r/>
  </w:p>
  <w:p>
    <w:pPr>
      <w:pStyle w:val="97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7"/>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7"/>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v:textbox>
            </v:shape>
          </w:pict>
        </mc:Fallback>
      </mc:AlternateContent>
    </w:r>
    <w:r/>
  </w:p>
  <w:p>
    <w:pPr>
      <w:pStyle w:val="9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101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77"/>
      <w:isLgl w:val="false"/>
      <w:suff w:val="nothing"/>
      <w:lvlText w:val=""/>
      <w:lvlJc w:val="left"/>
      <w:pPr>
        <w:ind w:left="0" w:firstLine="0"/>
      </w:pPr>
      <w:rPr>
        <w:rFonts w:hint="eastAsia"/>
      </w:rPr>
    </w:lvl>
    <w:lvl w:ilvl="6">
      <w:start w:val="1"/>
      <w:numFmt w:val="decimal"/>
      <w:pStyle w:val="778"/>
      <w:isLgl w:val="false"/>
      <w:suff w:val="nothing"/>
      <w:lvlText w:val=""/>
      <w:lvlJc w:val="left"/>
      <w:pPr>
        <w:ind w:left="0" w:firstLine="0"/>
      </w:pPr>
      <w:rPr>
        <w:rFonts w:hint="eastAsia"/>
      </w:rPr>
    </w:lvl>
    <w:lvl w:ilvl="7">
      <w:start w:val="1"/>
      <w:numFmt w:val="decimal"/>
      <w:pStyle w:val="779"/>
      <w:isLgl w:val="false"/>
      <w:suff w:val="nothing"/>
      <w:lvlText w:val=""/>
      <w:lvlJc w:val="left"/>
      <w:pPr>
        <w:ind w:left="0" w:firstLine="0"/>
      </w:pPr>
      <w:rPr>
        <w:rFonts w:hint="eastAsia"/>
      </w:rPr>
    </w:lvl>
    <w:lvl w:ilvl="8">
      <w:start w:val="1"/>
      <w:numFmt w:val="decimal"/>
      <w:pStyle w:val="780"/>
      <w:isLgl w:val="false"/>
      <w:suff w:val="nothing"/>
      <w:lvlText w:val=""/>
      <w:lvlJc w:val="left"/>
      <w:pPr>
        <w:ind w:left="0" w:firstLine="0"/>
      </w:pPr>
      <w:rPr>
        <w:rFonts w:hint="eastAsia"/>
      </w:rPr>
    </w:lvl>
  </w:abstractNum>
  <w:abstractNum w:abstractNumId="4">
    <w:multiLevelType w:val="hybridMultilevel"/>
    <w:lvl w:ilvl="0">
      <w:start w:val="1"/>
      <w:numFmt w:val="decimal"/>
      <w:pStyle w:val="102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default="1">
    <w:name w:val="Normal"/>
    <w:link w:val="1007"/>
    <w:uiPriority w:val="0"/>
    <w:qFormat/>
    <w:pPr>
      <w:jc w:val="both"/>
      <w:widowControl w:val="off"/>
    </w:pPr>
    <w:rPr>
      <w:rFonts w:hint="default" w:ascii="Times New Roman" w:hAnsi="Times New Roman" w:eastAsia="宋体" w:cs="Times New Roman"/>
      <w:sz w:val="21"/>
      <w:szCs w:val="21"/>
      <w:lang w:eastAsia="zh-CN"/>
    </w:rPr>
  </w:style>
  <w:style w:type="paragraph" w:styleId="772">
    <w:name w:val="Heading 1"/>
    <w:basedOn w:val="771"/>
    <w:next w:val="771"/>
    <w:link w:val="981"/>
    <w:uiPriority w:val="0"/>
    <w:qFormat/>
    <w:pPr>
      <w:jc w:val="center"/>
      <w:keepNext/>
      <w:outlineLvl w:val="0"/>
    </w:pPr>
    <w:rPr>
      <w:rFonts w:ascii="方正楷体_GB2312" w:eastAsia="方正楷体_GB2312"/>
      <w:sz w:val="28"/>
      <w:szCs w:val="28"/>
    </w:rPr>
  </w:style>
  <w:style w:type="paragraph" w:styleId="773">
    <w:name w:val="Heading 2"/>
    <w:basedOn w:val="771"/>
    <w:next w:val="783"/>
    <w:link w:val="98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74">
    <w:name w:val="Heading 3"/>
    <w:basedOn w:val="771"/>
    <w:next w:val="783"/>
    <w:link w:val="984"/>
    <w:uiPriority w:val="0"/>
    <w:qFormat/>
    <w:pPr>
      <w:keepLines/>
      <w:keepNext/>
      <w:spacing w:before="260" w:after="260" w:line="416" w:lineRule="auto"/>
      <w:outlineLvl w:val="2"/>
    </w:pPr>
    <w:rPr>
      <w:b/>
      <w:bCs/>
      <w:sz w:val="32"/>
      <w:szCs w:val="32"/>
    </w:rPr>
  </w:style>
  <w:style w:type="paragraph" w:styleId="775">
    <w:name w:val="Heading 4"/>
    <w:basedOn w:val="771"/>
    <w:next w:val="783"/>
    <w:link w:val="985"/>
    <w:uiPriority w:val="0"/>
    <w:qFormat/>
    <w:pPr>
      <w:keepLines/>
      <w:keepNext/>
      <w:spacing w:before="280" w:after="290" w:line="376" w:lineRule="auto"/>
      <w:outlineLvl w:val="3"/>
    </w:pPr>
    <w:rPr>
      <w:rFonts w:ascii="Arial" w:hAnsi="Arial" w:eastAsia="黑体" w:cs="Arial"/>
      <w:b/>
      <w:bCs/>
      <w:sz w:val="28"/>
      <w:szCs w:val="28"/>
    </w:rPr>
  </w:style>
  <w:style w:type="paragraph" w:styleId="776">
    <w:name w:val="Heading 5"/>
    <w:basedOn w:val="771"/>
    <w:next w:val="783"/>
    <w:link w:val="986"/>
    <w:uiPriority w:val="0"/>
    <w:qFormat/>
    <w:pPr>
      <w:keepNext/>
      <w:outlineLvl w:val="4"/>
    </w:pPr>
    <w:rPr>
      <w:rFonts w:ascii="宋体"/>
      <w:color w:val="000000"/>
      <w:sz w:val="28"/>
      <w:szCs w:val="28"/>
    </w:rPr>
  </w:style>
  <w:style w:type="paragraph" w:styleId="777">
    <w:name w:val="Heading 6"/>
    <w:basedOn w:val="771"/>
    <w:next w:val="771"/>
    <w:link w:val="98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78">
    <w:name w:val="Heading 7"/>
    <w:basedOn w:val="771"/>
    <w:next w:val="771"/>
    <w:link w:val="988"/>
    <w:uiPriority w:val="0"/>
    <w:qFormat/>
    <w:pPr>
      <w:numPr>
        <w:ilvl w:val="6"/>
        <w:numId w:val="1"/>
      </w:numPr>
      <w:keepLines/>
      <w:keepNext/>
      <w:spacing w:before="240" w:after="64" w:line="320" w:lineRule="auto"/>
      <w:outlineLvl w:val="6"/>
    </w:pPr>
    <w:rPr>
      <w:b/>
      <w:bCs/>
      <w:sz w:val="24"/>
      <w:szCs w:val="24"/>
    </w:rPr>
  </w:style>
  <w:style w:type="paragraph" w:styleId="779">
    <w:name w:val="Heading 8"/>
    <w:basedOn w:val="771"/>
    <w:next w:val="771"/>
    <w:link w:val="98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80">
    <w:name w:val="Heading 9"/>
    <w:basedOn w:val="771"/>
    <w:next w:val="771"/>
    <w:link w:val="990"/>
    <w:uiPriority w:val="0"/>
    <w:qFormat/>
    <w:pPr>
      <w:numPr>
        <w:ilvl w:val="8"/>
        <w:numId w:val="1"/>
      </w:numPr>
      <w:keepLines/>
      <w:keepNext/>
      <w:spacing w:before="240" w:after="64" w:line="320" w:lineRule="auto"/>
      <w:outlineLvl w:val="8"/>
    </w:pPr>
    <w:rPr>
      <w:rFonts w:ascii="Arial" w:hAnsi="Arial" w:eastAsia="黑体"/>
    </w:rPr>
  </w:style>
  <w:style w:type="character" w:styleId="781" w:default="1">
    <w:name w:val="Default Paragraph Font"/>
    <w:link w:val="771"/>
    <w:uiPriority w:val="1"/>
    <w:unhideWhenUsed/>
    <w:qFormat/>
  </w:style>
  <w:style w:type="table" w:styleId="782" w:default="1">
    <w:name w:val="Normal Table"/>
    <w:uiPriority w:val="99"/>
    <w:semiHidden/>
    <w:unhideWhenUsed/>
    <w:qFormat/>
    <w:tblPr>
      <w:tblCellMar>
        <w:left w:w="108" w:type="dxa"/>
        <w:top w:w="0" w:type="dxa"/>
        <w:right w:w="108" w:type="dxa"/>
        <w:bottom w:w="0" w:type="dxa"/>
      </w:tblCellMar>
    </w:tblPr>
  </w:style>
  <w:style w:type="paragraph" w:styleId="783">
    <w:name w:val="Normal Indent"/>
    <w:basedOn w:val="771"/>
    <w:link w:val="983"/>
    <w:uiPriority w:val="0"/>
    <w:qFormat/>
    <w:pPr>
      <w:ind w:firstLine="420"/>
    </w:pPr>
  </w:style>
  <w:style w:type="paragraph" w:styleId="784">
    <w:name w:val="List 3"/>
    <w:basedOn w:val="771"/>
    <w:uiPriority w:val="0"/>
    <w:qFormat/>
    <w:pPr>
      <w:ind w:left="100" w:hanging="200"/>
    </w:pPr>
  </w:style>
  <w:style w:type="paragraph" w:styleId="785">
    <w:name w:val="toc 7"/>
    <w:basedOn w:val="771"/>
    <w:next w:val="771"/>
    <w:uiPriority w:val="0"/>
    <w:semiHidden/>
    <w:qFormat/>
    <w:pPr>
      <w:ind w:left="1260"/>
      <w:jc w:val="left"/>
    </w:pPr>
  </w:style>
  <w:style w:type="paragraph" w:styleId="786">
    <w:name w:val="Caption"/>
    <w:basedOn w:val="771"/>
    <w:next w:val="77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7">
    <w:name w:val="Document Map"/>
    <w:basedOn w:val="771"/>
    <w:link w:val="991"/>
    <w:uiPriority w:val="0"/>
    <w:semiHidden/>
    <w:qFormat/>
    <w:pPr>
      <w:shd w:val="clear" w:color="auto" w:fill="000080"/>
    </w:pPr>
  </w:style>
  <w:style w:type="paragraph" w:styleId="788">
    <w:name w:val="annotation text"/>
    <w:basedOn w:val="771"/>
    <w:uiPriority w:val="99"/>
    <w:semiHidden/>
    <w:unhideWhenUsed/>
    <w:qFormat/>
    <w:pPr>
      <w:jc w:val="left"/>
    </w:pPr>
  </w:style>
  <w:style w:type="paragraph" w:styleId="789">
    <w:name w:val="Body Text 3"/>
    <w:basedOn w:val="771"/>
    <w:link w:val="993"/>
    <w:uiPriority w:val="0"/>
    <w:qFormat/>
    <w:rPr>
      <w:rFonts w:ascii="方正仿宋_GB2312" w:hAnsi="Arial" w:eastAsia="方正仿宋_GB2312"/>
      <w:sz w:val="32"/>
      <w:szCs w:val="32"/>
    </w:rPr>
  </w:style>
  <w:style w:type="paragraph" w:styleId="790">
    <w:name w:val="Body Text"/>
    <w:basedOn w:val="771"/>
    <w:next w:val="791"/>
    <w:link w:val="994"/>
    <w:uiPriority w:val="0"/>
    <w:qFormat/>
    <w:rPr>
      <w:rFonts w:ascii="方正楷体_GB2312" w:hAnsi="Arial" w:eastAsia="方正楷体_GB2312"/>
      <w:sz w:val="28"/>
      <w:szCs w:val="28"/>
    </w:rPr>
  </w:style>
  <w:style w:type="paragraph" w:styleId="791">
    <w:name w:val="Body Text First Indent"/>
    <w:basedOn w:val="790"/>
    <w:link w:val="995"/>
    <w:uiPriority w:val="0"/>
    <w:qFormat/>
    <w:pPr>
      <w:ind w:firstLine="200"/>
      <w:spacing w:line="360" w:lineRule="auto"/>
    </w:pPr>
    <w:rPr>
      <w:rFonts w:ascii="方正仿宋_GB2312" w:eastAsia="方正仿宋_GB2312"/>
      <w:sz w:val="30"/>
      <w:szCs w:val="30"/>
    </w:rPr>
  </w:style>
  <w:style w:type="paragraph" w:styleId="792">
    <w:name w:val="Body Text Indent"/>
    <w:basedOn w:val="771"/>
    <w:link w:val="996"/>
    <w:uiPriority w:val="0"/>
    <w:qFormat/>
    <w:pPr>
      <w:ind w:firstLine="645"/>
    </w:pPr>
    <w:rPr>
      <w:rFonts w:ascii="方正楷体_GB2312" w:eastAsia="方正楷体_GB2312"/>
      <w:sz w:val="32"/>
      <w:szCs w:val="32"/>
    </w:rPr>
  </w:style>
  <w:style w:type="paragraph" w:styleId="793">
    <w:name w:val="List 2"/>
    <w:basedOn w:val="771"/>
    <w:uiPriority w:val="0"/>
    <w:qFormat/>
    <w:pPr>
      <w:ind w:left="100" w:hanging="200"/>
    </w:pPr>
  </w:style>
  <w:style w:type="paragraph" w:styleId="794">
    <w:name w:val="toc 5"/>
    <w:basedOn w:val="771"/>
    <w:next w:val="771"/>
    <w:uiPriority w:val="0"/>
    <w:semiHidden/>
    <w:qFormat/>
    <w:pPr>
      <w:ind w:left="840"/>
      <w:jc w:val="left"/>
    </w:pPr>
  </w:style>
  <w:style w:type="paragraph" w:styleId="795">
    <w:name w:val="toc 3"/>
    <w:basedOn w:val="771"/>
    <w:next w:val="771"/>
    <w:uiPriority w:val="0"/>
    <w:semiHidden/>
    <w:qFormat/>
    <w:pPr>
      <w:ind w:left="420"/>
      <w:jc w:val="left"/>
    </w:pPr>
    <w:rPr>
      <w:i/>
      <w:iCs/>
      <w:szCs w:val="24"/>
    </w:rPr>
  </w:style>
  <w:style w:type="paragraph" w:styleId="796">
    <w:name w:val="Plain Text"/>
    <w:basedOn w:val="771"/>
    <w:link w:val="1044"/>
    <w:uiPriority w:val="0"/>
    <w:qFormat/>
    <w:rPr>
      <w:rFonts w:ascii="宋体" w:hAnsi="Courier New" w:cs="Courier New"/>
    </w:rPr>
  </w:style>
  <w:style w:type="paragraph" w:styleId="797">
    <w:name w:val="toc 8"/>
    <w:basedOn w:val="771"/>
    <w:next w:val="771"/>
    <w:uiPriority w:val="0"/>
    <w:semiHidden/>
    <w:qFormat/>
    <w:pPr>
      <w:ind w:left="1470"/>
      <w:jc w:val="left"/>
    </w:pPr>
  </w:style>
  <w:style w:type="paragraph" w:styleId="798">
    <w:name w:val="Date"/>
    <w:basedOn w:val="771"/>
    <w:next w:val="771"/>
    <w:link w:val="998"/>
    <w:uiPriority w:val="0"/>
    <w:qFormat/>
    <w:rPr>
      <w:sz w:val="24"/>
      <w:szCs w:val="24"/>
    </w:rPr>
  </w:style>
  <w:style w:type="paragraph" w:styleId="799">
    <w:name w:val="Body Text Indent 2"/>
    <w:basedOn w:val="771"/>
    <w:link w:val="999"/>
    <w:uiPriority w:val="0"/>
    <w:qFormat/>
    <w:pPr>
      <w:ind w:left="630" w:firstLine="645"/>
    </w:pPr>
    <w:rPr>
      <w:rFonts w:ascii="Arial" w:hAnsi="Arial" w:eastAsia="方正仿宋_GB2312" w:cs="Arial"/>
      <w:sz w:val="32"/>
      <w:szCs w:val="32"/>
    </w:rPr>
  </w:style>
  <w:style w:type="paragraph" w:styleId="800">
    <w:name w:val="endnote text"/>
    <w:basedOn w:val="771"/>
    <w:link w:val="974"/>
    <w:uiPriority w:val="99"/>
    <w:semiHidden/>
    <w:unhideWhenUsed/>
    <w:qFormat/>
    <w:pPr>
      <w:spacing w:after="0" w:line="240" w:lineRule="auto"/>
    </w:pPr>
    <w:rPr>
      <w:sz w:val="20"/>
    </w:rPr>
  </w:style>
  <w:style w:type="paragraph" w:styleId="801">
    <w:name w:val="Balloon Text"/>
    <w:basedOn w:val="771"/>
    <w:link w:val="1000"/>
    <w:uiPriority w:val="0"/>
    <w:semiHidden/>
    <w:qFormat/>
    <w:rPr>
      <w:sz w:val="18"/>
      <w:szCs w:val="18"/>
    </w:rPr>
  </w:style>
  <w:style w:type="paragraph" w:styleId="802">
    <w:name w:val="Footer"/>
    <w:basedOn w:val="771"/>
    <w:uiPriority w:val="99"/>
    <w:unhideWhenUsed/>
    <w:qFormat/>
    <w:pPr>
      <w:spacing w:after="0" w:line="240" w:lineRule="auto"/>
      <w:tabs>
        <w:tab w:val="center" w:pos="7143" w:leader="none"/>
        <w:tab w:val="right" w:pos="14287" w:leader="none"/>
      </w:tabs>
    </w:pPr>
  </w:style>
  <w:style w:type="paragraph" w:styleId="803">
    <w:name w:val="Header"/>
    <w:basedOn w:val="771"/>
    <w:uiPriority w:val="99"/>
    <w:unhideWhenUsed/>
    <w:qFormat/>
    <w:pPr>
      <w:spacing w:after="0" w:line="240" w:lineRule="auto"/>
      <w:tabs>
        <w:tab w:val="center" w:pos="7143" w:leader="none"/>
        <w:tab w:val="right" w:pos="14287" w:leader="none"/>
      </w:tabs>
    </w:pPr>
  </w:style>
  <w:style w:type="paragraph" w:styleId="804">
    <w:name w:val="toc 1"/>
    <w:basedOn w:val="771"/>
    <w:next w:val="771"/>
    <w:uiPriority w:val="0"/>
    <w:semiHidden/>
    <w:qFormat/>
    <w:pPr>
      <w:jc w:val="left"/>
      <w:spacing w:before="120" w:after="120" w:line="400" w:lineRule="exact"/>
      <w:tabs>
        <w:tab w:val="right" w:pos="8720" w:leader="dot"/>
      </w:tabs>
    </w:pPr>
    <w:rPr>
      <w:rFonts w:ascii="宋体" w:hAnsi="宋体"/>
      <w:caps/>
      <w:sz w:val="24"/>
      <w:szCs w:val="24"/>
    </w:rPr>
  </w:style>
  <w:style w:type="paragraph" w:styleId="805">
    <w:name w:val="toc 4"/>
    <w:basedOn w:val="771"/>
    <w:next w:val="771"/>
    <w:uiPriority w:val="0"/>
    <w:semiHidden/>
    <w:qFormat/>
    <w:pPr>
      <w:ind w:left="630"/>
      <w:jc w:val="left"/>
    </w:pPr>
  </w:style>
  <w:style w:type="paragraph" w:styleId="806">
    <w:name w:val="Subtitle"/>
    <w:basedOn w:val="771"/>
    <w:next w:val="771"/>
    <w:link w:val="839"/>
    <w:uiPriority w:val="11"/>
    <w:qFormat/>
    <w:pPr>
      <w:spacing w:before="200" w:after="200"/>
    </w:pPr>
    <w:rPr>
      <w:sz w:val="24"/>
      <w:szCs w:val="24"/>
    </w:rPr>
  </w:style>
  <w:style w:type="paragraph" w:styleId="807">
    <w:name w:val="List"/>
    <w:basedOn w:val="771"/>
    <w:uiPriority w:val="0"/>
    <w:qFormat/>
    <w:pPr>
      <w:ind w:left="200" w:hanging="200"/>
    </w:pPr>
  </w:style>
  <w:style w:type="paragraph" w:styleId="808">
    <w:name w:val="footnote text"/>
    <w:basedOn w:val="771"/>
    <w:link w:val="973"/>
    <w:uiPriority w:val="99"/>
    <w:semiHidden/>
    <w:unhideWhenUsed/>
    <w:qFormat/>
    <w:pPr>
      <w:spacing w:after="40" w:line="240" w:lineRule="auto"/>
    </w:pPr>
    <w:rPr>
      <w:sz w:val="18"/>
    </w:rPr>
  </w:style>
  <w:style w:type="paragraph" w:styleId="809">
    <w:name w:val="toc 6"/>
    <w:basedOn w:val="771"/>
    <w:next w:val="771"/>
    <w:uiPriority w:val="0"/>
    <w:semiHidden/>
    <w:qFormat/>
    <w:pPr>
      <w:ind w:left="1050"/>
      <w:jc w:val="left"/>
    </w:pPr>
  </w:style>
  <w:style w:type="paragraph" w:styleId="810">
    <w:name w:val="Body Text Indent 3"/>
    <w:basedOn w:val="771"/>
    <w:link w:val="1003"/>
    <w:uiPriority w:val="0"/>
    <w:qFormat/>
    <w:pPr>
      <w:ind w:left="645" w:firstLine="645"/>
    </w:pPr>
    <w:rPr>
      <w:rFonts w:ascii="Arial" w:hAnsi="Arial" w:eastAsia="方正仿宋_GB2312" w:cs="Arial"/>
      <w:color w:val="ffff00"/>
      <w:sz w:val="32"/>
      <w:szCs w:val="32"/>
    </w:rPr>
  </w:style>
  <w:style w:type="paragraph" w:styleId="811">
    <w:name w:val="table of figures"/>
    <w:basedOn w:val="771"/>
    <w:next w:val="771"/>
    <w:uiPriority w:val="0"/>
    <w:semiHidden/>
    <w:qFormat/>
    <w:pPr>
      <w:ind w:left="840" w:hanging="420"/>
    </w:pPr>
  </w:style>
  <w:style w:type="paragraph" w:styleId="812">
    <w:name w:val="toc 2"/>
    <w:basedOn w:val="771"/>
    <w:next w:val="771"/>
    <w:uiPriority w:val="0"/>
    <w:semiHidden/>
    <w:qFormat/>
    <w:pPr>
      <w:ind w:left="210"/>
      <w:jc w:val="left"/>
    </w:pPr>
    <w:rPr>
      <w:smallCaps/>
      <w:szCs w:val="24"/>
    </w:rPr>
  </w:style>
  <w:style w:type="paragraph" w:styleId="813">
    <w:name w:val="toc 9"/>
    <w:basedOn w:val="771"/>
    <w:next w:val="771"/>
    <w:uiPriority w:val="0"/>
    <w:semiHidden/>
    <w:qFormat/>
    <w:pPr>
      <w:ind w:left="1680"/>
      <w:jc w:val="left"/>
    </w:pPr>
  </w:style>
  <w:style w:type="paragraph" w:styleId="814">
    <w:name w:val="Body Text 2"/>
    <w:basedOn w:val="771"/>
    <w:link w:val="1004"/>
    <w:uiPriority w:val="0"/>
    <w:qFormat/>
    <w:pPr>
      <w:jc w:val="center"/>
      <w:widowControl/>
    </w:pPr>
    <w:rPr>
      <w:rFonts w:ascii="方正楷体_GB2312" w:eastAsia="方正楷体_GB2312"/>
      <w:sz w:val="28"/>
      <w:szCs w:val="28"/>
    </w:rPr>
  </w:style>
  <w:style w:type="paragraph" w:styleId="815">
    <w:name w:val="Normal (Web)"/>
    <w:basedOn w:val="771"/>
    <w:uiPriority w:val="99"/>
    <w:qFormat/>
    <w:pPr>
      <w:jc w:val="left"/>
      <w:spacing w:before="100" w:beforeAutospacing="1" w:after="100" w:afterAutospacing="1"/>
      <w:widowControl/>
    </w:pPr>
    <w:rPr>
      <w:rFonts w:ascii="宋体" w:hAnsi="宋体" w:cs="宋体"/>
      <w:sz w:val="24"/>
      <w:szCs w:val="24"/>
    </w:rPr>
  </w:style>
  <w:style w:type="paragraph" w:styleId="816">
    <w:name w:val="index 1"/>
    <w:basedOn w:val="771"/>
    <w:next w:val="771"/>
    <w:uiPriority w:val="0"/>
    <w:semiHidden/>
    <w:qFormat/>
    <w:pPr>
      <w:spacing w:line="240" w:lineRule="atLeast"/>
    </w:pPr>
    <w:rPr>
      <w:b/>
      <w:bCs/>
    </w:rPr>
  </w:style>
  <w:style w:type="paragraph" w:styleId="817">
    <w:name w:val="Title"/>
    <w:basedOn w:val="771"/>
    <w:next w:val="771"/>
    <w:link w:val="838"/>
    <w:uiPriority w:val="10"/>
    <w:qFormat/>
    <w:pPr>
      <w:contextualSpacing/>
      <w:spacing w:before="300" w:after="200"/>
    </w:pPr>
    <w:rPr>
      <w:sz w:val="48"/>
      <w:szCs w:val="48"/>
    </w:rPr>
  </w:style>
  <w:style w:type="paragraph" w:styleId="818">
    <w:name w:val="Body Text First Indent 2"/>
    <w:basedOn w:val="792"/>
    <w:link w:val="1006"/>
    <w:uiPriority w:val="0"/>
    <w:qFormat/>
    <w:pPr>
      <w:ind w:firstLine="420"/>
      <w:spacing w:line="360" w:lineRule="auto"/>
    </w:pPr>
    <w:rPr>
      <w:rFonts w:ascii="宋体" w:hAnsi="宋体" w:eastAsia="宋体"/>
      <w:sz w:val="21"/>
      <w:szCs w:val="20"/>
    </w:rPr>
  </w:style>
  <w:style w:type="table" w:styleId="819">
    <w:name w:val="Table Grid"/>
    <w:basedOn w:val="820"/>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0" w:customStyle="1">
    <w:name w:val="Table Normal"/>
    <w:uiPriority w:val="99"/>
    <w:unhideWhenUsed/>
    <w:qFormat/>
    <w:tblPr/>
  </w:style>
  <w:style w:type="character" w:styleId="821">
    <w:name w:val="Strong"/>
    <w:link w:val="771"/>
    <w:uiPriority w:val="0"/>
    <w:qFormat/>
    <w:rPr>
      <w:b/>
      <w:bCs/>
    </w:rPr>
  </w:style>
  <w:style w:type="character" w:styleId="822">
    <w:name w:val="endnote reference"/>
    <w:basedOn w:val="781"/>
    <w:link w:val="771"/>
    <w:uiPriority w:val="99"/>
    <w:semiHidden/>
    <w:unhideWhenUsed/>
    <w:qFormat/>
    <w:rPr>
      <w:vertAlign w:val="superscript"/>
    </w:rPr>
  </w:style>
  <w:style w:type="character" w:styleId="823">
    <w:name w:val="page number"/>
    <w:link w:val="771"/>
    <w:uiPriority w:val="0"/>
    <w:qFormat/>
  </w:style>
  <w:style w:type="character" w:styleId="824">
    <w:name w:val="FollowedHyperlink"/>
    <w:link w:val="771"/>
    <w:uiPriority w:val="0"/>
    <w:qFormat/>
    <w:rPr>
      <w:color w:val="800080"/>
      <w:u w:val="single"/>
    </w:rPr>
  </w:style>
  <w:style w:type="character" w:styleId="825">
    <w:name w:val="Emphasis"/>
    <w:basedOn w:val="781"/>
    <w:link w:val="771"/>
    <w:uiPriority w:val="0"/>
    <w:qFormat/>
    <w:rPr>
      <w:i/>
    </w:rPr>
  </w:style>
  <w:style w:type="character" w:styleId="826">
    <w:name w:val="Hyperlink"/>
    <w:link w:val="771"/>
    <w:uiPriority w:val="0"/>
    <w:qFormat/>
    <w:rPr>
      <w:color w:val="0000ff"/>
      <w:u w:val="single"/>
    </w:rPr>
  </w:style>
  <w:style w:type="character" w:styleId="827">
    <w:name w:val="footnote reference"/>
    <w:basedOn w:val="781"/>
    <w:link w:val="771"/>
    <w:uiPriority w:val="99"/>
    <w:unhideWhenUsed/>
    <w:qFormat/>
    <w:rPr>
      <w:vertAlign w:val="superscript"/>
    </w:rPr>
  </w:style>
  <w:style w:type="paragraph" w:styleId="828" w:customStyle="1">
    <w:name w:val="标题 21"/>
    <w:basedOn w:val="771"/>
    <w:next w:val="771"/>
    <w:uiPriority w:val="0"/>
    <w:qFormat/>
    <w:pPr>
      <w:jc w:val="center"/>
      <w:keepLines/>
      <w:keepNext/>
      <w:spacing w:before="260" w:after="260" w:line="416" w:lineRule="auto"/>
      <w:outlineLvl w:val="1"/>
    </w:pPr>
    <w:rPr>
      <w:rFonts w:ascii="Arial" w:hAnsi="Arial" w:eastAsia="幼圆"/>
      <w:b/>
      <w:bCs/>
      <w:sz w:val="44"/>
      <w:szCs w:val="44"/>
    </w:rPr>
  </w:style>
  <w:style w:type="character" w:styleId="829" w:customStyle="1">
    <w:name w:val="Heading 1 Char"/>
    <w:basedOn w:val="781"/>
    <w:uiPriority w:val="9"/>
    <w:qFormat/>
    <w:rPr>
      <w:rFonts w:ascii="Arial" w:hAnsi="Arial" w:eastAsia="Arial" w:cs="Arial"/>
      <w:sz w:val="40"/>
      <w:szCs w:val="40"/>
    </w:rPr>
  </w:style>
  <w:style w:type="character" w:styleId="830" w:customStyle="1">
    <w:name w:val="Heading 2 Char"/>
    <w:basedOn w:val="781"/>
    <w:uiPriority w:val="9"/>
    <w:qFormat/>
    <w:rPr>
      <w:rFonts w:ascii="Arial" w:hAnsi="Arial" w:eastAsia="Arial" w:cs="Arial"/>
      <w:sz w:val="34"/>
    </w:rPr>
  </w:style>
  <w:style w:type="character" w:styleId="831" w:customStyle="1">
    <w:name w:val="Heading 3 Char"/>
    <w:basedOn w:val="781"/>
    <w:uiPriority w:val="9"/>
    <w:qFormat/>
    <w:rPr>
      <w:rFonts w:ascii="Arial" w:hAnsi="Arial" w:eastAsia="Arial" w:cs="Arial"/>
      <w:sz w:val="30"/>
      <w:szCs w:val="30"/>
    </w:rPr>
  </w:style>
  <w:style w:type="character" w:styleId="832" w:customStyle="1">
    <w:name w:val="Heading 4 Char"/>
    <w:basedOn w:val="781"/>
    <w:uiPriority w:val="9"/>
    <w:qFormat/>
    <w:rPr>
      <w:rFonts w:ascii="Arial" w:hAnsi="Arial" w:eastAsia="Arial" w:cs="Arial"/>
      <w:b/>
      <w:bCs/>
      <w:sz w:val="26"/>
      <w:szCs w:val="26"/>
    </w:rPr>
  </w:style>
  <w:style w:type="character" w:styleId="833" w:customStyle="1">
    <w:name w:val="Heading 5 Char"/>
    <w:basedOn w:val="781"/>
    <w:uiPriority w:val="9"/>
    <w:qFormat/>
    <w:rPr>
      <w:rFonts w:ascii="Arial" w:hAnsi="Arial" w:eastAsia="Arial" w:cs="Arial"/>
      <w:b/>
      <w:bCs/>
      <w:sz w:val="24"/>
      <w:szCs w:val="24"/>
    </w:rPr>
  </w:style>
  <w:style w:type="character" w:styleId="834" w:customStyle="1">
    <w:name w:val="Heading 6 Char"/>
    <w:basedOn w:val="781"/>
    <w:uiPriority w:val="9"/>
    <w:qFormat/>
    <w:rPr>
      <w:rFonts w:ascii="Arial" w:hAnsi="Arial" w:eastAsia="Arial" w:cs="Arial"/>
      <w:b/>
      <w:bCs/>
      <w:sz w:val="22"/>
      <w:szCs w:val="22"/>
    </w:rPr>
  </w:style>
  <w:style w:type="character" w:styleId="835" w:customStyle="1">
    <w:name w:val="Heading 7 Char"/>
    <w:basedOn w:val="781"/>
    <w:uiPriority w:val="9"/>
    <w:qFormat/>
    <w:rPr>
      <w:rFonts w:ascii="Arial" w:hAnsi="Arial" w:eastAsia="Arial" w:cs="Arial"/>
      <w:b/>
      <w:bCs/>
      <w:i/>
      <w:iCs/>
      <w:sz w:val="22"/>
      <w:szCs w:val="22"/>
    </w:rPr>
  </w:style>
  <w:style w:type="character" w:styleId="836" w:customStyle="1">
    <w:name w:val="Heading 8 Char"/>
    <w:basedOn w:val="781"/>
    <w:uiPriority w:val="9"/>
    <w:qFormat/>
    <w:rPr>
      <w:rFonts w:ascii="Arial" w:hAnsi="Arial" w:eastAsia="Arial" w:cs="Arial"/>
      <w:i/>
      <w:iCs/>
      <w:sz w:val="22"/>
      <w:szCs w:val="22"/>
    </w:rPr>
  </w:style>
  <w:style w:type="character" w:styleId="837" w:customStyle="1">
    <w:name w:val="Heading 9 Char"/>
    <w:basedOn w:val="781"/>
    <w:uiPriority w:val="9"/>
    <w:qFormat/>
    <w:rPr>
      <w:rFonts w:ascii="Arial" w:hAnsi="Arial" w:eastAsia="Arial" w:cs="Arial"/>
      <w:i/>
      <w:iCs/>
      <w:sz w:val="21"/>
      <w:szCs w:val="21"/>
    </w:rPr>
  </w:style>
  <w:style w:type="character" w:styleId="838" w:customStyle="1">
    <w:name w:val="Title Char"/>
    <w:basedOn w:val="781"/>
    <w:link w:val="817"/>
    <w:uiPriority w:val="10"/>
    <w:qFormat/>
    <w:rPr>
      <w:sz w:val="48"/>
      <w:szCs w:val="48"/>
    </w:rPr>
  </w:style>
  <w:style w:type="character" w:styleId="839" w:customStyle="1">
    <w:name w:val="Subtitle Char"/>
    <w:basedOn w:val="781"/>
    <w:link w:val="806"/>
    <w:uiPriority w:val="11"/>
    <w:qFormat/>
    <w:rPr>
      <w:sz w:val="24"/>
      <w:szCs w:val="24"/>
    </w:rPr>
  </w:style>
  <w:style w:type="paragraph" w:styleId="840">
    <w:name w:val="Quote"/>
    <w:basedOn w:val="771"/>
    <w:next w:val="771"/>
    <w:link w:val="841"/>
    <w:uiPriority w:val="29"/>
    <w:qFormat/>
    <w:pPr>
      <w:ind w:left="720" w:right="720"/>
    </w:pPr>
    <w:rPr>
      <w:i/>
    </w:rPr>
  </w:style>
  <w:style w:type="character" w:styleId="841" w:customStyle="1">
    <w:name w:val="Quote Char"/>
    <w:link w:val="840"/>
    <w:uiPriority w:val="29"/>
    <w:qFormat/>
    <w:rPr>
      <w:i/>
    </w:rPr>
  </w:style>
  <w:style w:type="paragraph" w:styleId="842">
    <w:name w:val="Intense Quote"/>
    <w:basedOn w:val="771"/>
    <w:next w:val="771"/>
    <w:link w:val="8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Intense Quote Char"/>
    <w:link w:val="842"/>
    <w:uiPriority w:val="30"/>
    <w:qFormat/>
    <w:rPr>
      <w:i/>
    </w:rPr>
  </w:style>
  <w:style w:type="character" w:styleId="844" w:customStyle="1">
    <w:name w:val="Header Char"/>
    <w:basedOn w:val="781"/>
    <w:uiPriority w:val="99"/>
    <w:qFormat/>
  </w:style>
  <w:style w:type="character" w:styleId="845" w:customStyle="1">
    <w:name w:val="Footer Char"/>
    <w:basedOn w:val="781"/>
    <w:uiPriority w:val="99"/>
    <w:qFormat/>
  </w:style>
  <w:style w:type="paragraph" w:styleId="846" w:customStyle="1">
    <w:name w:val="Caption1"/>
    <w:basedOn w:val="771"/>
    <w:next w:val="771"/>
    <w:uiPriority w:val="35"/>
    <w:semiHidden/>
    <w:unhideWhenUsed/>
    <w:qFormat/>
    <w:pPr>
      <w:spacing w:line="276" w:lineRule="auto"/>
    </w:pPr>
    <w:rPr>
      <w:b/>
      <w:bCs/>
      <w:color w:val="4f81bd"/>
      <w:sz w:val="18"/>
      <w:szCs w:val="18"/>
    </w:rPr>
  </w:style>
  <w:style w:type="character" w:styleId="847" w:customStyle="1">
    <w:name w:val="Caption Char"/>
    <w:uiPriority w:val="99"/>
    <w:qFormat/>
  </w:style>
  <w:style w:type="table" w:styleId="848" w:customStyle="1">
    <w:name w:val="Table Grid Light"/>
    <w:basedOn w:val="820"/>
    <w:uiPriority w:val="59"/>
    <w:qFormat/>
    <w:pPr>
      <w:spacing w:after="0" w:line="240" w:lineRule="auto"/>
    </w:pPr>
    <w:tblPr/>
  </w:style>
  <w:style w:type="table" w:styleId="849" w:customStyle="1">
    <w:name w:val="Plain Table 1"/>
    <w:basedOn w:val="820"/>
    <w:uiPriority w:val="59"/>
    <w:qFormat/>
    <w:pPr>
      <w:spacing w:after="0" w:line="240" w:lineRule="auto"/>
    </w:pPr>
    <w:tblPr/>
  </w:style>
  <w:style w:type="table" w:styleId="850" w:customStyle="1">
    <w:name w:val="Plain Table 2"/>
    <w:basedOn w:val="820"/>
    <w:uiPriority w:val="59"/>
    <w:qFormat/>
    <w:pPr>
      <w:spacing w:after="0" w:line="240" w:lineRule="auto"/>
    </w:pPr>
    <w:tblPr/>
  </w:style>
  <w:style w:type="table" w:styleId="851" w:customStyle="1">
    <w:name w:val="Plain Table 3"/>
    <w:basedOn w:val="820"/>
    <w:uiPriority w:val="99"/>
    <w:qFormat/>
    <w:pPr>
      <w:spacing w:after="0" w:line="240" w:lineRule="auto"/>
    </w:pPr>
    <w:tblPr/>
  </w:style>
  <w:style w:type="table" w:styleId="852" w:customStyle="1">
    <w:name w:val="Plain Table 4"/>
    <w:basedOn w:val="820"/>
    <w:uiPriority w:val="99"/>
    <w:qFormat/>
    <w:pPr>
      <w:spacing w:after="0" w:line="240" w:lineRule="auto"/>
    </w:pPr>
    <w:tblPr/>
  </w:style>
  <w:style w:type="table" w:styleId="853" w:customStyle="1">
    <w:name w:val="Plain Table 5"/>
    <w:basedOn w:val="820"/>
    <w:uiPriority w:val="99"/>
    <w:qFormat/>
    <w:pPr>
      <w:spacing w:after="0" w:line="240" w:lineRule="auto"/>
    </w:pPr>
    <w:tblPr/>
  </w:style>
  <w:style w:type="table" w:styleId="854" w:customStyle="1">
    <w:name w:val="Grid Table 1 Light"/>
    <w:basedOn w:val="820"/>
    <w:uiPriority w:val="99"/>
    <w:qFormat/>
    <w:pPr>
      <w:spacing w:after="0" w:line="240" w:lineRule="auto"/>
    </w:pPr>
    <w:tblPr/>
  </w:style>
  <w:style w:type="table" w:styleId="855" w:customStyle="1">
    <w:name w:val="Grid Table 1 Light - Accent 1"/>
    <w:basedOn w:val="820"/>
    <w:uiPriority w:val="99"/>
    <w:qFormat/>
    <w:pPr>
      <w:spacing w:after="0" w:line="240" w:lineRule="auto"/>
    </w:pPr>
    <w:tblPr/>
  </w:style>
  <w:style w:type="table" w:styleId="856" w:customStyle="1">
    <w:name w:val="Grid Table 1 Light - Accent 2"/>
    <w:basedOn w:val="820"/>
    <w:uiPriority w:val="99"/>
    <w:qFormat/>
    <w:pPr>
      <w:spacing w:after="0" w:line="240" w:lineRule="auto"/>
    </w:pPr>
    <w:tblPr/>
  </w:style>
  <w:style w:type="table" w:styleId="857" w:customStyle="1">
    <w:name w:val="Grid Table 1 Light - Accent 3"/>
    <w:basedOn w:val="820"/>
    <w:uiPriority w:val="99"/>
    <w:qFormat/>
    <w:pPr>
      <w:spacing w:after="0" w:line="240" w:lineRule="auto"/>
    </w:pPr>
    <w:tblPr/>
  </w:style>
  <w:style w:type="table" w:styleId="858" w:customStyle="1">
    <w:name w:val="Grid Table 1 Light - Accent 4"/>
    <w:basedOn w:val="820"/>
    <w:uiPriority w:val="99"/>
    <w:qFormat/>
    <w:pPr>
      <w:spacing w:after="0" w:line="240" w:lineRule="auto"/>
    </w:pPr>
    <w:tblPr/>
  </w:style>
  <w:style w:type="table" w:styleId="859" w:customStyle="1">
    <w:name w:val="Grid Table 1 Light - Accent 5"/>
    <w:basedOn w:val="820"/>
    <w:uiPriority w:val="99"/>
    <w:qFormat/>
    <w:pPr>
      <w:spacing w:after="0" w:line="240" w:lineRule="auto"/>
    </w:pPr>
    <w:tblPr/>
  </w:style>
  <w:style w:type="table" w:styleId="860" w:customStyle="1">
    <w:name w:val="Grid Table 1 Light - Accent 6"/>
    <w:basedOn w:val="820"/>
    <w:uiPriority w:val="99"/>
    <w:qFormat/>
    <w:pPr>
      <w:spacing w:after="0" w:line="240" w:lineRule="auto"/>
    </w:pPr>
    <w:tblPr/>
  </w:style>
  <w:style w:type="table" w:styleId="861" w:customStyle="1">
    <w:name w:val="Grid Table 2"/>
    <w:basedOn w:val="820"/>
    <w:uiPriority w:val="99"/>
    <w:qFormat/>
    <w:pPr>
      <w:spacing w:after="0" w:line="240" w:lineRule="auto"/>
    </w:pPr>
    <w:tblPr/>
  </w:style>
  <w:style w:type="table" w:styleId="862" w:customStyle="1">
    <w:name w:val="Grid Table 2 - Accent 1"/>
    <w:basedOn w:val="820"/>
    <w:uiPriority w:val="99"/>
    <w:qFormat/>
    <w:pPr>
      <w:spacing w:after="0" w:line="240" w:lineRule="auto"/>
    </w:pPr>
    <w:tblPr/>
  </w:style>
  <w:style w:type="table" w:styleId="863" w:customStyle="1">
    <w:name w:val="Grid Table 2 - Accent 2"/>
    <w:basedOn w:val="820"/>
    <w:uiPriority w:val="99"/>
    <w:qFormat/>
    <w:pPr>
      <w:spacing w:after="0" w:line="240" w:lineRule="auto"/>
    </w:pPr>
    <w:tblPr/>
  </w:style>
  <w:style w:type="table" w:styleId="864" w:customStyle="1">
    <w:name w:val="Grid Table 2 - Accent 3"/>
    <w:basedOn w:val="820"/>
    <w:uiPriority w:val="99"/>
    <w:qFormat/>
    <w:pPr>
      <w:spacing w:after="0" w:line="240" w:lineRule="auto"/>
    </w:pPr>
    <w:tblPr/>
  </w:style>
  <w:style w:type="table" w:styleId="865" w:customStyle="1">
    <w:name w:val="Grid Table 2 - Accent 4"/>
    <w:basedOn w:val="820"/>
    <w:uiPriority w:val="99"/>
    <w:qFormat/>
    <w:pPr>
      <w:spacing w:after="0" w:line="240" w:lineRule="auto"/>
    </w:pPr>
    <w:tblPr/>
  </w:style>
  <w:style w:type="table" w:styleId="866" w:customStyle="1">
    <w:name w:val="Grid Table 2 - Accent 5"/>
    <w:basedOn w:val="820"/>
    <w:uiPriority w:val="99"/>
    <w:qFormat/>
    <w:pPr>
      <w:spacing w:after="0" w:line="240" w:lineRule="auto"/>
    </w:pPr>
    <w:tblPr/>
  </w:style>
  <w:style w:type="table" w:styleId="867" w:customStyle="1">
    <w:name w:val="Grid Table 2 - Accent 6"/>
    <w:basedOn w:val="820"/>
    <w:uiPriority w:val="99"/>
    <w:qFormat/>
    <w:pPr>
      <w:spacing w:after="0" w:line="240" w:lineRule="auto"/>
    </w:pPr>
    <w:tblPr/>
  </w:style>
  <w:style w:type="table" w:styleId="868" w:customStyle="1">
    <w:name w:val="Grid Table 3"/>
    <w:basedOn w:val="820"/>
    <w:uiPriority w:val="99"/>
    <w:qFormat/>
    <w:pPr>
      <w:spacing w:after="0" w:line="240" w:lineRule="auto"/>
    </w:pPr>
    <w:tblPr/>
  </w:style>
  <w:style w:type="table" w:styleId="869" w:customStyle="1">
    <w:name w:val="Grid Table 3 - Accent 1"/>
    <w:basedOn w:val="820"/>
    <w:uiPriority w:val="99"/>
    <w:qFormat/>
    <w:pPr>
      <w:spacing w:after="0" w:line="240" w:lineRule="auto"/>
    </w:pPr>
    <w:tblPr/>
  </w:style>
  <w:style w:type="table" w:styleId="870" w:customStyle="1">
    <w:name w:val="Grid Table 3 - Accent 2"/>
    <w:basedOn w:val="820"/>
    <w:uiPriority w:val="99"/>
    <w:qFormat/>
    <w:pPr>
      <w:spacing w:after="0" w:line="240" w:lineRule="auto"/>
    </w:pPr>
    <w:tblPr/>
  </w:style>
  <w:style w:type="table" w:styleId="871" w:customStyle="1">
    <w:name w:val="Grid Table 3 - Accent 3"/>
    <w:basedOn w:val="820"/>
    <w:uiPriority w:val="99"/>
    <w:qFormat/>
    <w:pPr>
      <w:spacing w:after="0" w:line="240" w:lineRule="auto"/>
    </w:pPr>
    <w:tblPr/>
  </w:style>
  <w:style w:type="table" w:styleId="872" w:customStyle="1">
    <w:name w:val="Grid Table 3 - Accent 4"/>
    <w:basedOn w:val="820"/>
    <w:uiPriority w:val="99"/>
    <w:qFormat/>
    <w:pPr>
      <w:spacing w:after="0" w:line="240" w:lineRule="auto"/>
    </w:pPr>
    <w:tblPr/>
  </w:style>
  <w:style w:type="table" w:styleId="873" w:customStyle="1">
    <w:name w:val="Grid Table 3 - Accent 5"/>
    <w:basedOn w:val="820"/>
    <w:uiPriority w:val="99"/>
    <w:qFormat/>
    <w:pPr>
      <w:spacing w:after="0" w:line="240" w:lineRule="auto"/>
    </w:pPr>
    <w:tblPr/>
  </w:style>
  <w:style w:type="table" w:styleId="874" w:customStyle="1">
    <w:name w:val="Grid Table 3 - Accent 6"/>
    <w:basedOn w:val="820"/>
    <w:uiPriority w:val="99"/>
    <w:qFormat/>
    <w:pPr>
      <w:spacing w:after="0" w:line="240" w:lineRule="auto"/>
    </w:pPr>
    <w:tblPr/>
  </w:style>
  <w:style w:type="table" w:styleId="875" w:customStyle="1">
    <w:name w:val="Grid Table 4"/>
    <w:basedOn w:val="820"/>
    <w:uiPriority w:val="59"/>
    <w:qFormat/>
    <w:pPr>
      <w:spacing w:after="0" w:line="240" w:lineRule="auto"/>
    </w:pPr>
    <w:tblPr/>
  </w:style>
  <w:style w:type="table" w:styleId="876" w:customStyle="1">
    <w:name w:val="Grid Table 4 - Accent 1"/>
    <w:basedOn w:val="820"/>
    <w:uiPriority w:val="59"/>
    <w:qFormat/>
    <w:pPr>
      <w:spacing w:after="0" w:line="240" w:lineRule="auto"/>
    </w:pPr>
    <w:tblPr/>
  </w:style>
  <w:style w:type="table" w:styleId="877" w:customStyle="1">
    <w:name w:val="Grid Table 4 - Accent 2"/>
    <w:basedOn w:val="820"/>
    <w:uiPriority w:val="59"/>
    <w:qFormat/>
    <w:pPr>
      <w:spacing w:after="0" w:line="240" w:lineRule="auto"/>
    </w:pPr>
    <w:tblPr/>
  </w:style>
  <w:style w:type="table" w:styleId="878" w:customStyle="1">
    <w:name w:val="Grid Table 4 - Accent 3"/>
    <w:basedOn w:val="820"/>
    <w:uiPriority w:val="59"/>
    <w:qFormat/>
    <w:pPr>
      <w:spacing w:after="0" w:line="240" w:lineRule="auto"/>
    </w:pPr>
    <w:tblPr/>
  </w:style>
  <w:style w:type="table" w:styleId="879" w:customStyle="1">
    <w:name w:val="Grid Table 4 - Accent 4"/>
    <w:basedOn w:val="820"/>
    <w:uiPriority w:val="59"/>
    <w:qFormat/>
    <w:pPr>
      <w:spacing w:after="0" w:line="240" w:lineRule="auto"/>
    </w:pPr>
    <w:tblPr/>
  </w:style>
  <w:style w:type="table" w:styleId="880" w:customStyle="1">
    <w:name w:val="Grid Table 4 - Accent 5"/>
    <w:basedOn w:val="820"/>
    <w:uiPriority w:val="59"/>
    <w:qFormat/>
    <w:pPr>
      <w:spacing w:after="0" w:line="240" w:lineRule="auto"/>
    </w:pPr>
    <w:tblPr/>
  </w:style>
  <w:style w:type="table" w:styleId="881" w:customStyle="1">
    <w:name w:val="Grid Table 4 - Accent 6"/>
    <w:basedOn w:val="820"/>
    <w:uiPriority w:val="59"/>
    <w:qFormat/>
    <w:pPr>
      <w:spacing w:after="0" w:line="240" w:lineRule="auto"/>
    </w:pPr>
    <w:tblPr/>
  </w:style>
  <w:style w:type="table" w:styleId="882" w:customStyle="1">
    <w:name w:val="Grid Table 5 Dark"/>
    <w:basedOn w:val="820"/>
    <w:uiPriority w:val="99"/>
    <w:qFormat/>
    <w:pPr>
      <w:spacing w:after="0" w:line="240" w:lineRule="auto"/>
    </w:pPr>
    <w:tblPr/>
  </w:style>
  <w:style w:type="table" w:styleId="883" w:customStyle="1">
    <w:name w:val="Grid Table 5 Dark- Accent 1"/>
    <w:basedOn w:val="820"/>
    <w:uiPriority w:val="99"/>
    <w:qFormat/>
    <w:pPr>
      <w:spacing w:after="0" w:line="240" w:lineRule="auto"/>
    </w:pPr>
    <w:tblPr/>
  </w:style>
  <w:style w:type="table" w:styleId="884" w:customStyle="1">
    <w:name w:val="Grid Table 5 Dark - Accent 2"/>
    <w:basedOn w:val="820"/>
    <w:uiPriority w:val="99"/>
    <w:qFormat/>
    <w:pPr>
      <w:spacing w:after="0" w:line="240" w:lineRule="auto"/>
    </w:pPr>
    <w:tblPr/>
  </w:style>
  <w:style w:type="table" w:styleId="885" w:customStyle="1">
    <w:name w:val="Grid Table 5 Dark - Accent 3"/>
    <w:basedOn w:val="820"/>
    <w:uiPriority w:val="99"/>
    <w:qFormat/>
    <w:pPr>
      <w:spacing w:after="0" w:line="240" w:lineRule="auto"/>
    </w:pPr>
    <w:tblPr/>
  </w:style>
  <w:style w:type="table" w:styleId="886" w:customStyle="1">
    <w:name w:val="Grid Table 5 Dark- Accent 4"/>
    <w:basedOn w:val="820"/>
    <w:uiPriority w:val="99"/>
    <w:qFormat/>
    <w:pPr>
      <w:spacing w:after="0" w:line="240" w:lineRule="auto"/>
    </w:pPr>
    <w:tblPr/>
  </w:style>
  <w:style w:type="table" w:styleId="887" w:customStyle="1">
    <w:name w:val="Grid Table 5 Dark - Accent 5"/>
    <w:basedOn w:val="820"/>
    <w:uiPriority w:val="99"/>
    <w:qFormat/>
    <w:pPr>
      <w:spacing w:after="0" w:line="240" w:lineRule="auto"/>
    </w:pPr>
    <w:tblPr/>
  </w:style>
  <w:style w:type="table" w:styleId="888" w:customStyle="1">
    <w:name w:val="Grid Table 5 Dark - Accent 6"/>
    <w:basedOn w:val="820"/>
    <w:uiPriority w:val="99"/>
    <w:qFormat/>
    <w:pPr>
      <w:spacing w:after="0" w:line="240" w:lineRule="auto"/>
    </w:pPr>
    <w:tblPr/>
  </w:style>
  <w:style w:type="table" w:styleId="889" w:customStyle="1">
    <w:name w:val="Grid Table 6 Colorful"/>
    <w:basedOn w:val="820"/>
    <w:uiPriority w:val="99"/>
    <w:qFormat/>
    <w:pPr>
      <w:spacing w:after="0" w:line="240" w:lineRule="auto"/>
    </w:pPr>
    <w:tblPr/>
  </w:style>
  <w:style w:type="table" w:styleId="890" w:customStyle="1">
    <w:name w:val="Grid Table 6 Colorful - Accent 1"/>
    <w:basedOn w:val="820"/>
    <w:uiPriority w:val="99"/>
    <w:qFormat/>
    <w:pPr>
      <w:spacing w:after="0" w:line="240" w:lineRule="auto"/>
    </w:pPr>
    <w:tblPr/>
  </w:style>
  <w:style w:type="table" w:styleId="891" w:customStyle="1">
    <w:name w:val="Grid Table 6 Colorful - Accent 2"/>
    <w:basedOn w:val="820"/>
    <w:uiPriority w:val="99"/>
    <w:qFormat/>
    <w:pPr>
      <w:spacing w:after="0" w:line="240" w:lineRule="auto"/>
    </w:pPr>
    <w:tblPr/>
  </w:style>
  <w:style w:type="table" w:styleId="892" w:customStyle="1">
    <w:name w:val="Grid Table 6 Colorful - Accent 3"/>
    <w:basedOn w:val="820"/>
    <w:uiPriority w:val="99"/>
    <w:qFormat/>
    <w:pPr>
      <w:spacing w:after="0" w:line="240" w:lineRule="auto"/>
    </w:pPr>
    <w:tblPr/>
  </w:style>
  <w:style w:type="table" w:styleId="893" w:customStyle="1">
    <w:name w:val="Grid Table 6 Colorful - Accent 4"/>
    <w:basedOn w:val="820"/>
    <w:uiPriority w:val="99"/>
    <w:qFormat/>
    <w:pPr>
      <w:spacing w:after="0" w:line="240" w:lineRule="auto"/>
    </w:pPr>
    <w:tblPr/>
  </w:style>
  <w:style w:type="table" w:styleId="894" w:customStyle="1">
    <w:name w:val="Grid Table 6 Colorful - Accent 5"/>
    <w:basedOn w:val="820"/>
    <w:uiPriority w:val="99"/>
    <w:qFormat/>
    <w:pPr>
      <w:spacing w:after="0" w:line="240" w:lineRule="auto"/>
    </w:pPr>
    <w:tblPr/>
  </w:style>
  <w:style w:type="table" w:styleId="895" w:customStyle="1">
    <w:name w:val="Grid Table 6 Colorful - Accent 6"/>
    <w:basedOn w:val="820"/>
    <w:uiPriority w:val="99"/>
    <w:qFormat/>
    <w:pPr>
      <w:spacing w:after="0" w:line="240" w:lineRule="auto"/>
    </w:pPr>
    <w:tblPr/>
  </w:style>
  <w:style w:type="table" w:styleId="896" w:customStyle="1">
    <w:name w:val="Grid Table 7 Colorful"/>
    <w:basedOn w:val="820"/>
    <w:uiPriority w:val="99"/>
    <w:qFormat/>
    <w:pPr>
      <w:spacing w:after="0" w:line="240" w:lineRule="auto"/>
    </w:pPr>
    <w:tblPr/>
  </w:style>
  <w:style w:type="table" w:styleId="897" w:customStyle="1">
    <w:name w:val="Grid Table 7 Colorful - Accent 1"/>
    <w:basedOn w:val="820"/>
    <w:uiPriority w:val="99"/>
    <w:qFormat/>
    <w:pPr>
      <w:spacing w:after="0" w:line="240" w:lineRule="auto"/>
    </w:pPr>
    <w:tblPr/>
  </w:style>
  <w:style w:type="table" w:styleId="898" w:customStyle="1">
    <w:name w:val="Grid Table 7 Colorful - Accent 2"/>
    <w:basedOn w:val="820"/>
    <w:uiPriority w:val="99"/>
    <w:qFormat/>
    <w:pPr>
      <w:spacing w:after="0" w:line="240" w:lineRule="auto"/>
    </w:pPr>
    <w:tblPr/>
  </w:style>
  <w:style w:type="table" w:styleId="899" w:customStyle="1">
    <w:name w:val="Grid Table 7 Colorful - Accent 3"/>
    <w:basedOn w:val="820"/>
    <w:uiPriority w:val="99"/>
    <w:qFormat/>
    <w:pPr>
      <w:spacing w:after="0" w:line="240" w:lineRule="auto"/>
    </w:pPr>
    <w:tblPr/>
  </w:style>
  <w:style w:type="table" w:styleId="900" w:customStyle="1">
    <w:name w:val="Grid Table 7 Colorful - Accent 4"/>
    <w:basedOn w:val="820"/>
    <w:uiPriority w:val="99"/>
    <w:qFormat/>
    <w:pPr>
      <w:spacing w:after="0" w:line="240" w:lineRule="auto"/>
    </w:pPr>
    <w:tblPr/>
  </w:style>
  <w:style w:type="table" w:styleId="901" w:customStyle="1">
    <w:name w:val="Grid Table 7 Colorful - Accent 5"/>
    <w:basedOn w:val="820"/>
    <w:uiPriority w:val="99"/>
    <w:qFormat/>
    <w:pPr>
      <w:spacing w:after="0" w:line="240" w:lineRule="auto"/>
    </w:pPr>
    <w:tblPr/>
  </w:style>
  <w:style w:type="table" w:styleId="902" w:customStyle="1">
    <w:name w:val="Grid Table 7 Colorful - Accent 6"/>
    <w:basedOn w:val="820"/>
    <w:uiPriority w:val="99"/>
    <w:qFormat/>
    <w:pPr>
      <w:spacing w:after="0" w:line="240" w:lineRule="auto"/>
    </w:pPr>
    <w:tblPr/>
  </w:style>
  <w:style w:type="table" w:styleId="903" w:customStyle="1">
    <w:name w:val="List Table 1 Light"/>
    <w:basedOn w:val="820"/>
    <w:uiPriority w:val="99"/>
    <w:qFormat/>
    <w:pPr>
      <w:spacing w:after="0" w:line="240" w:lineRule="auto"/>
    </w:pPr>
    <w:tblPr/>
  </w:style>
  <w:style w:type="table" w:styleId="904" w:customStyle="1">
    <w:name w:val="List Table 1 Light - Accent 1"/>
    <w:basedOn w:val="820"/>
    <w:uiPriority w:val="99"/>
    <w:qFormat/>
    <w:pPr>
      <w:spacing w:after="0" w:line="240" w:lineRule="auto"/>
    </w:pPr>
    <w:tblPr/>
  </w:style>
  <w:style w:type="table" w:styleId="905" w:customStyle="1">
    <w:name w:val="List Table 1 Light - Accent 2"/>
    <w:basedOn w:val="820"/>
    <w:uiPriority w:val="99"/>
    <w:qFormat/>
    <w:pPr>
      <w:spacing w:after="0" w:line="240" w:lineRule="auto"/>
    </w:pPr>
    <w:tblPr/>
  </w:style>
  <w:style w:type="table" w:styleId="906" w:customStyle="1">
    <w:name w:val="List Table 1 Light - Accent 3"/>
    <w:basedOn w:val="820"/>
    <w:uiPriority w:val="99"/>
    <w:qFormat/>
    <w:pPr>
      <w:spacing w:after="0" w:line="240" w:lineRule="auto"/>
    </w:pPr>
    <w:tblPr/>
  </w:style>
  <w:style w:type="table" w:styleId="907" w:customStyle="1">
    <w:name w:val="List Table 1 Light - Accent 4"/>
    <w:basedOn w:val="820"/>
    <w:uiPriority w:val="99"/>
    <w:qFormat/>
    <w:pPr>
      <w:spacing w:after="0" w:line="240" w:lineRule="auto"/>
    </w:pPr>
    <w:tblPr/>
  </w:style>
  <w:style w:type="table" w:styleId="908" w:customStyle="1">
    <w:name w:val="List Table 1 Light - Accent 5"/>
    <w:basedOn w:val="820"/>
    <w:uiPriority w:val="99"/>
    <w:qFormat/>
    <w:pPr>
      <w:spacing w:after="0" w:line="240" w:lineRule="auto"/>
    </w:pPr>
    <w:tblPr/>
  </w:style>
  <w:style w:type="table" w:styleId="909" w:customStyle="1">
    <w:name w:val="List Table 1 Light - Accent 6"/>
    <w:basedOn w:val="820"/>
    <w:uiPriority w:val="99"/>
    <w:qFormat/>
    <w:pPr>
      <w:spacing w:after="0" w:line="240" w:lineRule="auto"/>
    </w:pPr>
    <w:tblPr/>
  </w:style>
  <w:style w:type="table" w:styleId="910" w:customStyle="1">
    <w:name w:val="List Table 2"/>
    <w:basedOn w:val="820"/>
    <w:uiPriority w:val="99"/>
    <w:qFormat/>
    <w:pPr>
      <w:spacing w:after="0" w:line="240" w:lineRule="auto"/>
    </w:pPr>
    <w:tblPr/>
  </w:style>
  <w:style w:type="table" w:styleId="911" w:customStyle="1">
    <w:name w:val="List Table 2 - Accent 1"/>
    <w:basedOn w:val="820"/>
    <w:uiPriority w:val="99"/>
    <w:qFormat/>
    <w:pPr>
      <w:spacing w:after="0" w:line="240" w:lineRule="auto"/>
    </w:pPr>
    <w:tblPr/>
  </w:style>
  <w:style w:type="table" w:styleId="912" w:customStyle="1">
    <w:name w:val="List Table 2 - Accent 2"/>
    <w:basedOn w:val="820"/>
    <w:uiPriority w:val="99"/>
    <w:qFormat/>
    <w:pPr>
      <w:spacing w:after="0" w:line="240" w:lineRule="auto"/>
    </w:pPr>
    <w:tblPr/>
  </w:style>
  <w:style w:type="table" w:styleId="913" w:customStyle="1">
    <w:name w:val="List Table 2 - Accent 3"/>
    <w:basedOn w:val="820"/>
    <w:uiPriority w:val="99"/>
    <w:qFormat/>
    <w:pPr>
      <w:spacing w:after="0" w:line="240" w:lineRule="auto"/>
    </w:pPr>
    <w:tblPr/>
  </w:style>
  <w:style w:type="table" w:styleId="914" w:customStyle="1">
    <w:name w:val="List Table 2 - Accent 4"/>
    <w:basedOn w:val="820"/>
    <w:uiPriority w:val="99"/>
    <w:qFormat/>
    <w:pPr>
      <w:spacing w:after="0" w:line="240" w:lineRule="auto"/>
    </w:pPr>
    <w:tblPr/>
  </w:style>
  <w:style w:type="table" w:styleId="915" w:customStyle="1">
    <w:name w:val="List Table 2 - Accent 5"/>
    <w:basedOn w:val="820"/>
    <w:uiPriority w:val="99"/>
    <w:qFormat/>
    <w:pPr>
      <w:spacing w:after="0" w:line="240" w:lineRule="auto"/>
    </w:pPr>
    <w:tblPr/>
  </w:style>
  <w:style w:type="table" w:styleId="916" w:customStyle="1">
    <w:name w:val="List Table 2 - Accent 6"/>
    <w:basedOn w:val="820"/>
    <w:uiPriority w:val="99"/>
    <w:qFormat/>
    <w:pPr>
      <w:spacing w:after="0" w:line="240" w:lineRule="auto"/>
    </w:pPr>
    <w:tblPr/>
  </w:style>
  <w:style w:type="table" w:styleId="917" w:customStyle="1">
    <w:name w:val="List Table 3"/>
    <w:basedOn w:val="820"/>
    <w:uiPriority w:val="99"/>
    <w:qFormat/>
    <w:pPr>
      <w:spacing w:after="0" w:line="240" w:lineRule="auto"/>
    </w:pPr>
    <w:tblPr/>
  </w:style>
  <w:style w:type="table" w:styleId="918" w:customStyle="1">
    <w:name w:val="List Table 3 - Accent 1"/>
    <w:basedOn w:val="820"/>
    <w:uiPriority w:val="99"/>
    <w:qFormat/>
    <w:pPr>
      <w:spacing w:after="0" w:line="240" w:lineRule="auto"/>
    </w:pPr>
    <w:tblPr/>
  </w:style>
  <w:style w:type="table" w:styleId="919" w:customStyle="1">
    <w:name w:val="List Table 3 - Accent 2"/>
    <w:basedOn w:val="820"/>
    <w:uiPriority w:val="99"/>
    <w:qFormat/>
    <w:pPr>
      <w:spacing w:after="0" w:line="240" w:lineRule="auto"/>
    </w:pPr>
    <w:tblPr/>
  </w:style>
  <w:style w:type="table" w:styleId="920" w:customStyle="1">
    <w:name w:val="List Table 3 - Accent 3"/>
    <w:basedOn w:val="820"/>
    <w:uiPriority w:val="99"/>
    <w:qFormat/>
    <w:pPr>
      <w:spacing w:after="0" w:line="240" w:lineRule="auto"/>
    </w:pPr>
    <w:tblPr/>
  </w:style>
  <w:style w:type="table" w:styleId="921" w:customStyle="1">
    <w:name w:val="List Table 3 - Accent 4"/>
    <w:basedOn w:val="820"/>
    <w:uiPriority w:val="99"/>
    <w:qFormat/>
    <w:pPr>
      <w:spacing w:after="0" w:line="240" w:lineRule="auto"/>
    </w:pPr>
    <w:tblPr/>
  </w:style>
  <w:style w:type="table" w:styleId="922" w:customStyle="1">
    <w:name w:val="List Table 3 - Accent 5"/>
    <w:basedOn w:val="820"/>
    <w:uiPriority w:val="99"/>
    <w:qFormat/>
    <w:pPr>
      <w:spacing w:after="0" w:line="240" w:lineRule="auto"/>
    </w:pPr>
    <w:tblPr/>
  </w:style>
  <w:style w:type="table" w:styleId="923" w:customStyle="1">
    <w:name w:val="List Table 3 - Accent 6"/>
    <w:basedOn w:val="820"/>
    <w:uiPriority w:val="99"/>
    <w:qFormat/>
    <w:pPr>
      <w:spacing w:after="0" w:line="240" w:lineRule="auto"/>
    </w:pPr>
    <w:tblPr/>
  </w:style>
  <w:style w:type="table" w:styleId="924" w:customStyle="1">
    <w:name w:val="List Table 4"/>
    <w:basedOn w:val="820"/>
    <w:uiPriority w:val="99"/>
    <w:qFormat/>
    <w:pPr>
      <w:spacing w:after="0" w:line="240" w:lineRule="auto"/>
    </w:pPr>
    <w:tblPr/>
  </w:style>
  <w:style w:type="table" w:styleId="925" w:customStyle="1">
    <w:name w:val="List Table 4 - Accent 1"/>
    <w:basedOn w:val="820"/>
    <w:uiPriority w:val="99"/>
    <w:qFormat/>
    <w:pPr>
      <w:spacing w:after="0" w:line="240" w:lineRule="auto"/>
    </w:pPr>
    <w:tblPr/>
  </w:style>
  <w:style w:type="table" w:styleId="926" w:customStyle="1">
    <w:name w:val="List Table 4 - Accent 2"/>
    <w:basedOn w:val="820"/>
    <w:uiPriority w:val="99"/>
    <w:qFormat/>
    <w:pPr>
      <w:spacing w:after="0" w:line="240" w:lineRule="auto"/>
    </w:pPr>
    <w:tblPr/>
  </w:style>
  <w:style w:type="table" w:styleId="927" w:customStyle="1">
    <w:name w:val="List Table 4 - Accent 3"/>
    <w:basedOn w:val="820"/>
    <w:uiPriority w:val="99"/>
    <w:qFormat/>
    <w:pPr>
      <w:spacing w:after="0" w:line="240" w:lineRule="auto"/>
    </w:pPr>
    <w:tblPr/>
  </w:style>
  <w:style w:type="table" w:styleId="928" w:customStyle="1">
    <w:name w:val="List Table 4 - Accent 4"/>
    <w:basedOn w:val="820"/>
    <w:uiPriority w:val="99"/>
    <w:qFormat/>
    <w:pPr>
      <w:spacing w:after="0" w:line="240" w:lineRule="auto"/>
    </w:pPr>
    <w:tblPr/>
  </w:style>
  <w:style w:type="table" w:styleId="929" w:customStyle="1">
    <w:name w:val="List Table 4 - Accent 5"/>
    <w:basedOn w:val="820"/>
    <w:uiPriority w:val="99"/>
    <w:qFormat/>
    <w:pPr>
      <w:spacing w:after="0" w:line="240" w:lineRule="auto"/>
    </w:pPr>
    <w:tblPr/>
  </w:style>
  <w:style w:type="table" w:styleId="930" w:customStyle="1">
    <w:name w:val="List Table 4 - Accent 6"/>
    <w:basedOn w:val="820"/>
    <w:uiPriority w:val="99"/>
    <w:qFormat/>
    <w:pPr>
      <w:spacing w:after="0" w:line="240" w:lineRule="auto"/>
    </w:pPr>
    <w:tblPr/>
  </w:style>
  <w:style w:type="table" w:styleId="931" w:customStyle="1">
    <w:name w:val="List Table 5 Dark"/>
    <w:basedOn w:val="820"/>
    <w:uiPriority w:val="99"/>
    <w:qFormat/>
    <w:pPr>
      <w:spacing w:after="0" w:line="240" w:lineRule="auto"/>
    </w:pPr>
    <w:tblPr/>
  </w:style>
  <w:style w:type="table" w:styleId="932" w:customStyle="1">
    <w:name w:val="List Table 5 Dark - Accent 1"/>
    <w:basedOn w:val="820"/>
    <w:uiPriority w:val="99"/>
    <w:qFormat/>
    <w:pPr>
      <w:spacing w:after="0" w:line="240" w:lineRule="auto"/>
    </w:pPr>
    <w:tblPr/>
  </w:style>
  <w:style w:type="table" w:styleId="933" w:customStyle="1">
    <w:name w:val="List Table 5 Dark - Accent 2"/>
    <w:basedOn w:val="820"/>
    <w:uiPriority w:val="99"/>
    <w:qFormat/>
    <w:pPr>
      <w:spacing w:after="0" w:line="240" w:lineRule="auto"/>
    </w:pPr>
    <w:tblPr/>
  </w:style>
  <w:style w:type="table" w:styleId="934" w:customStyle="1">
    <w:name w:val="List Table 5 Dark - Accent 3"/>
    <w:basedOn w:val="820"/>
    <w:uiPriority w:val="99"/>
    <w:qFormat/>
    <w:pPr>
      <w:spacing w:after="0" w:line="240" w:lineRule="auto"/>
    </w:pPr>
    <w:tblPr/>
  </w:style>
  <w:style w:type="table" w:styleId="935" w:customStyle="1">
    <w:name w:val="List Table 5 Dark - Accent 4"/>
    <w:basedOn w:val="820"/>
    <w:uiPriority w:val="99"/>
    <w:qFormat/>
    <w:pPr>
      <w:spacing w:after="0" w:line="240" w:lineRule="auto"/>
    </w:pPr>
    <w:tblPr/>
  </w:style>
  <w:style w:type="table" w:styleId="936" w:customStyle="1">
    <w:name w:val="List Table 5 Dark - Accent 5"/>
    <w:basedOn w:val="820"/>
    <w:uiPriority w:val="99"/>
    <w:qFormat/>
    <w:pPr>
      <w:spacing w:after="0" w:line="240" w:lineRule="auto"/>
    </w:pPr>
    <w:tblPr/>
  </w:style>
  <w:style w:type="table" w:styleId="937" w:customStyle="1">
    <w:name w:val="List Table 5 Dark - Accent 6"/>
    <w:basedOn w:val="820"/>
    <w:uiPriority w:val="99"/>
    <w:qFormat/>
    <w:pPr>
      <w:spacing w:after="0" w:line="240" w:lineRule="auto"/>
    </w:pPr>
    <w:tblPr/>
  </w:style>
  <w:style w:type="table" w:styleId="938" w:customStyle="1">
    <w:name w:val="List Table 6 Colorful"/>
    <w:basedOn w:val="820"/>
    <w:uiPriority w:val="99"/>
    <w:qFormat/>
    <w:pPr>
      <w:spacing w:after="0" w:line="240" w:lineRule="auto"/>
    </w:pPr>
    <w:tblPr/>
  </w:style>
  <w:style w:type="table" w:styleId="939" w:customStyle="1">
    <w:name w:val="List Table 6 Colorful - Accent 1"/>
    <w:basedOn w:val="820"/>
    <w:uiPriority w:val="99"/>
    <w:qFormat/>
    <w:pPr>
      <w:spacing w:after="0" w:line="240" w:lineRule="auto"/>
    </w:pPr>
    <w:tblPr/>
  </w:style>
  <w:style w:type="table" w:styleId="940" w:customStyle="1">
    <w:name w:val="List Table 6 Colorful - Accent 2"/>
    <w:basedOn w:val="820"/>
    <w:uiPriority w:val="99"/>
    <w:qFormat/>
    <w:pPr>
      <w:spacing w:after="0" w:line="240" w:lineRule="auto"/>
    </w:pPr>
    <w:tblPr/>
  </w:style>
  <w:style w:type="table" w:styleId="941" w:customStyle="1">
    <w:name w:val="List Table 6 Colorful - Accent 3"/>
    <w:basedOn w:val="820"/>
    <w:uiPriority w:val="99"/>
    <w:qFormat/>
    <w:pPr>
      <w:spacing w:after="0" w:line="240" w:lineRule="auto"/>
    </w:pPr>
    <w:tblPr/>
  </w:style>
  <w:style w:type="table" w:styleId="942" w:customStyle="1">
    <w:name w:val="List Table 6 Colorful - Accent 4"/>
    <w:basedOn w:val="820"/>
    <w:uiPriority w:val="99"/>
    <w:qFormat/>
    <w:pPr>
      <w:spacing w:after="0" w:line="240" w:lineRule="auto"/>
    </w:pPr>
    <w:tblPr/>
  </w:style>
  <w:style w:type="table" w:styleId="943" w:customStyle="1">
    <w:name w:val="List Table 6 Colorful - Accent 5"/>
    <w:basedOn w:val="820"/>
    <w:uiPriority w:val="99"/>
    <w:qFormat/>
    <w:pPr>
      <w:spacing w:after="0" w:line="240" w:lineRule="auto"/>
    </w:pPr>
    <w:tblPr/>
  </w:style>
  <w:style w:type="table" w:styleId="944" w:customStyle="1">
    <w:name w:val="List Table 6 Colorful - Accent 6"/>
    <w:basedOn w:val="820"/>
    <w:uiPriority w:val="99"/>
    <w:qFormat/>
    <w:pPr>
      <w:spacing w:after="0" w:line="240" w:lineRule="auto"/>
    </w:pPr>
    <w:tblPr/>
  </w:style>
  <w:style w:type="table" w:styleId="945" w:customStyle="1">
    <w:name w:val="List Table 7 Colorful"/>
    <w:basedOn w:val="820"/>
    <w:uiPriority w:val="99"/>
    <w:qFormat/>
    <w:pPr>
      <w:spacing w:after="0" w:line="240" w:lineRule="auto"/>
    </w:pPr>
    <w:tblPr/>
  </w:style>
  <w:style w:type="table" w:styleId="946" w:customStyle="1">
    <w:name w:val="List Table 7 Colorful - Accent 1"/>
    <w:basedOn w:val="820"/>
    <w:uiPriority w:val="99"/>
    <w:qFormat/>
    <w:pPr>
      <w:spacing w:after="0" w:line="240" w:lineRule="auto"/>
    </w:pPr>
    <w:tblPr/>
  </w:style>
  <w:style w:type="table" w:styleId="947" w:customStyle="1">
    <w:name w:val="List Table 7 Colorful - Accent 2"/>
    <w:basedOn w:val="820"/>
    <w:uiPriority w:val="99"/>
    <w:qFormat/>
    <w:pPr>
      <w:spacing w:after="0" w:line="240" w:lineRule="auto"/>
    </w:pPr>
    <w:tblPr/>
  </w:style>
  <w:style w:type="table" w:styleId="948" w:customStyle="1">
    <w:name w:val="List Table 7 Colorful - Accent 3"/>
    <w:basedOn w:val="820"/>
    <w:uiPriority w:val="99"/>
    <w:qFormat/>
    <w:pPr>
      <w:spacing w:after="0" w:line="240" w:lineRule="auto"/>
    </w:pPr>
    <w:tblPr/>
  </w:style>
  <w:style w:type="table" w:styleId="949" w:customStyle="1">
    <w:name w:val="List Table 7 Colorful - Accent 4"/>
    <w:basedOn w:val="820"/>
    <w:uiPriority w:val="99"/>
    <w:qFormat/>
    <w:pPr>
      <w:spacing w:after="0" w:line="240" w:lineRule="auto"/>
    </w:pPr>
    <w:tblPr/>
  </w:style>
  <w:style w:type="table" w:styleId="950" w:customStyle="1">
    <w:name w:val="List Table 7 Colorful - Accent 5"/>
    <w:basedOn w:val="820"/>
    <w:uiPriority w:val="99"/>
    <w:qFormat/>
    <w:pPr>
      <w:spacing w:after="0" w:line="240" w:lineRule="auto"/>
    </w:pPr>
    <w:tblPr/>
  </w:style>
  <w:style w:type="table" w:styleId="951" w:customStyle="1">
    <w:name w:val="List Table 7 Colorful - Accent 6"/>
    <w:basedOn w:val="820"/>
    <w:uiPriority w:val="99"/>
    <w:qFormat/>
    <w:pPr>
      <w:spacing w:after="0" w:line="240" w:lineRule="auto"/>
    </w:pPr>
    <w:tblPr/>
  </w:style>
  <w:style w:type="table" w:styleId="952" w:customStyle="1">
    <w:name w:val="Lined - Accent"/>
    <w:basedOn w:val="820"/>
    <w:uiPriority w:val="99"/>
    <w:qFormat/>
    <w:pPr>
      <w:spacing w:after="0" w:line="240" w:lineRule="auto"/>
    </w:pPr>
    <w:rPr>
      <w:color w:val="404040"/>
    </w:rPr>
    <w:tblPr/>
  </w:style>
  <w:style w:type="table" w:styleId="953" w:customStyle="1">
    <w:name w:val="Lined - Accent 1"/>
    <w:basedOn w:val="820"/>
    <w:uiPriority w:val="99"/>
    <w:qFormat/>
    <w:pPr>
      <w:spacing w:after="0" w:line="240" w:lineRule="auto"/>
    </w:pPr>
    <w:rPr>
      <w:color w:val="404040"/>
    </w:rPr>
    <w:tblPr/>
  </w:style>
  <w:style w:type="table" w:styleId="954" w:customStyle="1">
    <w:name w:val="Lined - Accent 2"/>
    <w:basedOn w:val="820"/>
    <w:uiPriority w:val="99"/>
    <w:qFormat/>
    <w:pPr>
      <w:spacing w:after="0" w:line="240" w:lineRule="auto"/>
    </w:pPr>
    <w:rPr>
      <w:color w:val="404040"/>
    </w:rPr>
    <w:tblPr/>
  </w:style>
  <w:style w:type="table" w:styleId="955" w:customStyle="1">
    <w:name w:val="Lined - Accent 3"/>
    <w:basedOn w:val="820"/>
    <w:uiPriority w:val="99"/>
    <w:qFormat/>
    <w:pPr>
      <w:spacing w:after="0" w:line="240" w:lineRule="auto"/>
    </w:pPr>
    <w:rPr>
      <w:color w:val="404040"/>
    </w:rPr>
    <w:tblPr/>
  </w:style>
  <w:style w:type="table" w:styleId="956" w:customStyle="1">
    <w:name w:val="Lined - Accent 4"/>
    <w:basedOn w:val="820"/>
    <w:uiPriority w:val="99"/>
    <w:qFormat/>
    <w:pPr>
      <w:spacing w:after="0" w:line="240" w:lineRule="auto"/>
    </w:pPr>
    <w:rPr>
      <w:color w:val="404040"/>
    </w:rPr>
    <w:tblPr/>
  </w:style>
  <w:style w:type="table" w:styleId="957" w:customStyle="1">
    <w:name w:val="Lined - Accent 5"/>
    <w:basedOn w:val="820"/>
    <w:uiPriority w:val="99"/>
    <w:qFormat/>
    <w:pPr>
      <w:spacing w:after="0" w:line="240" w:lineRule="auto"/>
    </w:pPr>
    <w:rPr>
      <w:color w:val="404040"/>
    </w:rPr>
    <w:tblPr/>
  </w:style>
  <w:style w:type="table" w:styleId="958" w:customStyle="1">
    <w:name w:val="Lined - Accent 6"/>
    <w:basedOn w:val="820"/>
    <w:uiPriority w:val="99"/>
    <w:qFormat/>
    <w:pPr>
      <w:spacing w:after="0" w:line="240" w:lineRule="auto"/>
    </w:pPr>
    <w:rPr>
      <w:color w:val="404040"/>
    </w:rPr>
    <w:tblPr/>
  </w:style>
  <w:style w:type="table" w:styleId="959" w:customStyle="1">
    <w:name w:val="Bordered &amp; Lined - Accent"/>
    <w:basedOn w:val="820"/>
    <w:uiPriority w:val="99"/>
    <w:qFormat/>
    <w:pPr>
      <w:spacing w:after="0" w:line="240" w:lineRule="auto"/>
    </w:pPr>
    <w:rPr>
      <w:color w:val="404040"/>
    </w:rPr>
    <w:tblPr/>
  </w:style>
  <w:style w:type="table" w:styleId="960" w:customStyle="1">
    <w:name w:val="Bordered &amp; Lined - Accent 1"/>
    <w:basedOn w:val="820"/>
    <w:uiPriority w:val="99"/>
    <w:qFormat/>
    <w:pPr>
      <w:spacing w:after="0" w:line="240" w:lineRule="auto"/>
    </w:pPr>
    <w:rPr>
      <w:color w:val="404040"/>
    </w:rPr>
    <w:tblPr/>
  </w:style>
  <w:style w:type="table" w:styleId="961" w:customStyle="1">
    <w:name w:val="Bordered &amp; Lined - Accent 2"/>
    <w:basedOn w:val="820"/>
    <w:uiPriority w:val="99"/>
    <w:qFormat/>
    <w:pPr>
      <w:spacing w:after="0" w:line="240" w:lineRule="auto"/>
    </w:pPr>
    <w:rPr>
      <w:color w:val="404040"/>
    </w:rPr>
    <w:tblPr/>
  </w:style>
  <w:style w:type="table" w:styleId="962" w:customStyle="1">
    <w:name w:val="Bordered &amp; Lined - Accent 3"/>
    <w:basedOn w:val="820"/>
    <w:uiPriority w:val="99"/>
    <w:qFormat/>
    <w:pPr>
      <w:spacing w:after="0" w:line="240" w:lineRule="auto"/>
    </w:pPr>
    <w:rPr>
      <w:color w:val="404040"/>
    </w:rPr>
    <w:tblPr/>
  </w:style>
  <w:style w:type="table" w:styleId="963" w:customStyle="1">
    <w:name w:val="Bordered &amp; Lined - Accent 4"/>
    <w:basedOn w:val="820"/>
    <w:uiPriority w:val="99"/>
    <w:qFormat/>
    <w:pPr>
      <w:spacing w:after="0" w:line="240" w:lineRule="auto"/>
    </w:pPr>
    <w:rPr>
      <w:color w:val="404040"/>
    </w:rPr>
    <w:tblPr/>
  </w:style>
  <w:style w:type="table" w:styleId="964" w:customStyle="1">
    <w:name w:val="Bordered &amp; Lined - Accent 5"/>
    <w:basedOn w:val="820"/>
    <w:uiPriority w:val="99"/>
    <w:qFormat/>
    <w:pPr>
      <w:spacing w:after="0" w:line="240" w:lineRule="auto"/>
    </w:pPr>
    <w:rPr>
      <w:color w:val="404040"/>
    </w:rPr>
    <w:tblPr/>
  </w:style>
  <w:style w:type="table" w:styleId="965" w:customStyle="1">
    <w:name w:val="Bordered &amp; Lined - Accent 6"/>
    <w:basedOn w:val="820"/>
    <w:uiPriority w:val="99"/>
    <w:qFormat/>
    <w:pPr>
      <w:spacing w:after="0" w:line="240" w:lineRule="auto"/>
    </w:pPr>
    <w:rPr>
      <w:color w:val="404040"/>
    </w:rPr>
    <w:tblPr/>
  </w:style>
  <w:style w:type="table" w:styleId="966" w:customStyle="1">
    <w:name w:val="Bordered"/>
    <w:basedOn w:val="820"/>
    <w:uiPriority w:val="99"/>
    <w:qFormat/>
    <w:pPr>
      <w:spacing w:after="0" w:line="240" w:lineRule="auto"/>
    </w:pPr>
    <w:tblPr/>
  </w:style>
  <w:style w:type="table" w:styleId="967" w:customStyle="1">
    <w:name w:val="Bordered - Accent 1"/>
    <w:basedOn w:val="820"/>
    <w:uiPriority w:val="99"/>
    <w:qFormat/>
    <w:pPr>
      <w:spacing w:after="0" w:line="240" w:lineRule="auto"/>
    </w:pPr>
    <w:tblPr/>
  </w:style>
  <w:style w:type="table" w:styleId="968" w:customStyle="1">
    <w:name w:val="Bordered - Accent 2"/>
    <w:basedOn w:val="820"/>
    <w:uiPriority w:val="99"/>
    <w:qFormat/>
    <w:pPr>
      <w:spacing w:after="0" w:line="240" w:lineRule="auto"/>
    </w:pPr>
    <w:tblPr/>
  </w:style>
  <w:style w:type="table" w:styleId="969" w:customStyle="1">
    <w:name w:val="Bordered - Accent 3"/>
    <w:basedOn w:val="820"/>
    <w:uiPriority w:val="99"/>
    <w:qFormat/>
    <w:pPr>
      <w:spacing w:after="0" w:line="240" w:lineRule="auto"/>
    </w:pPr>
    <w:tblPr/>
  </w:style>
  <w:style w:type="table" w:styleId="970" w:customStyle="1">
    <w:name w:val="Bordered - Accent 4"/>
    <w:basedOn w:val="820"/>
    <w:uiPriority w:val="99"/>
    <w:qFormat/>
    <w:pPr>
      <w:spacing w:after="0" w:line="240" w:lineRule="auto"/>
    </w:pPr>
    <w:tblPr/>
  </w:style>
  <w:style w:type="table" w:styleId="971" w:customStyle="1">
    <w:name w:val="Bordered - Accent 5"/>
    <w:basedOn w:val="820"/>
    <w:uiPriority w:val="99"/>
    <w:qFormat/>
    <w:pPr>
      <w:spacing w:after="0" w:line="240" w:lineRule="auto"/>
    </w:pPr>
    <w:tblPr/>
  </w:style>
  <w:style w:type="table" w:styleId="972" w:customStyle="1">
    <w:name w:val="Bordered - Accent 6"/>
    <w:basedOn w:val="820"/>
    <w:uiPriority w:val="99"/>
    <w:qFormat/>
    <w:pPr>
      <w:spacing w:after="0" w:line="240" w:lineRule="auto"/>
    </w:pPr>
    <w:tblPr/>
  </w:style>
  <w:style w:type="character" w:styleId="973" w:customStyle="1">
    <w:name w:val="Footnote Text Char"/>
    <w:link w:val="808"/>
    <w:uiPriority w:val="99"/>
    <w:qFormat/>
    <w:rPr>
      <w:sz w:val="18"/>
    </w:rPr>
  </w:style>
  <w:style w:type="character" w:styleId="974" w:customStyle="1">
    <w:name w:val="Endnote Text Char"/>
    <w:link w:val="800"/>
    <w:uiPriority w:val="99"/>
    <w:qFormat/>
    <w:rPr>
      <w:sz w:val="20"/>
    </w:rPr>
  </w:style>
  <w:style w:type="paragraph" w:styleId="975" w:customStyle="1">
    <w:name w:val="TOC Heading"/>
    <w:uiPriority w:val="39"/>
    <w:unhideWhenUsed/>
    <w:qFormat/>
    <w:rPr>
      <w:rFonts w:hint="default" w:ascii="Calibri" w:hAnsi="Calibri" w:eastAsia="宋体" w:cs="Calibri"/>
    </w:rPr>
  </w:style>
  <w:style w:type="paragraph" w:styleId="976" w:customStyle="1">
    <w:name w:val="Comment Text"/>
    <w:basedOn w:val="771"/>
    <w:link w:val="1045"/>
    <w:uiPriority w:val="0"/>
    <w:semiHidden/>
    <w:qFormat/>
    <w:pPr>
      <w:ind w:left="0" w:right="0"/>
      <w:jc w:val="left"/>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977" w:customStyle="1">
    <w:name w:val="Footer1"/>
    <w:basedOn w:val="771"/>
    <w:link w:val="1001"/>
    <w:uiPriority w:val="99"/>
    <w:qFormat/>
    <w:pPr>
      <w:jc w:val="left"/>
      <w:tabs>
        <w:tab w:val="center" w:pos="4153" w:leader="none"/>
        <w:tab w:val="right" w:pos="8306" w:leader="none"/>
      </w:tabs>
    </w:pPr>
    <w:rPr>
      <w:sz w:val="18"/>
      <w:szCs w:val="18"/>
    </w:rPr>
  </w:style>
  <w:style w:type="paragraph" w:styleId="978" w:customStyle="1">
    <w:name w:val="Header1"/>
    <w:basedOn w:val="771"/>
    <w:link w:val="1002"/>
    <w:uiPriority w:val="0"/>
    <w:qFormat/>
    <w:pPr>
      <w:jc w:val="center"/>
      <w:tabs>
        <w:tab w:val="center" w:pos="4153" w:leader="none"/>
        <w:tab w:val="right" w:pos="8306" w:leader="none"/>
      </w:tabs>
      <w:pBdr>
        <w:bottom w:val="single" w:color="000000" w:sz="6" w:space="1"/>
      </w:pBdr>
    </w:pPr>
    <w:rPr>
      <w:sz w:val="18"/>
      <w:szCs w:val="18"/>
    </w:rPr>
  </w:style>
  <w:style w:type="paragraph" w:styleId="979" w:customStyle="1">
    <w:name w:val="Comment Subject"/>
    <w:basedOn w:val="976"/>
    <w:next w:val="976"/>
    <w:link w:val="1005"/>
    <w:uiPriority w:val="0"/>
    <w:semiHidden/>
    <w:qFormat/>
    <w:rPr>
      <w:b/>
      <w:bCs/>
    </w:rPr>
  </w:style>
  <w:style w:type="character" w:styleId="980" w:customStyle="1">
    <w:name w:val="Comment Reference"/>
    <w:link w:val="771"/>
    <w:uiPriority w:val="0"/>
    <w:semiHidden/>
    <w:qFormat/>
    <w:rPr>
      <w:sz w:val="21"/>
      <w:szCs w:val="21"/>
    </w:rPr>
  </w:style>
  <w:style w:type="character" w:styleId="981" w:customStyle="1">
    <w:name w:val="标题 1 Char"/>
    <w:link w:val="772"/>
    <w:uiPriority w:val="0"/>
    <w:qFormat/>
    <w:rPr>
      <w:rFonts w:ascii="方正楷体_GB2312" w:hAnsi="Times New Roman" w:eastAsia="方正楷体_GB2312" w:cs="Times New Roman"/>
      <w:sz w:val="28"/>
      <w:szCs w:val="28"/>
    </w:rPr>
  </w:style>
  <w:style w:type="character" w:styleId="982" w:customStyle="1">
    <w:name w:val="标题 2 Char"/>
    <w:link w:val="773"/>
    <w:uiPriority w:val="0"/>
    <w:qFormat/>
    <w:rPr>
      <w:rFonts w:ascii="Arial" w:hAnsi="Arial" w:eastAsia="幼圆" w:cs="Arial"/>
      <w:b/>
      <w:bCs/>
      <w:sz w:val="44"/>
      <w:szCs w:val="44"/>
    </w:rPr>
  </w:style>
  <w:style w:type="character" w:styleId="983" w:customStyle="1">
    <w:name w:val="正文缩进 Char"/>
    <w:link w:val="783"/>
    <w:uiPriority w:val="0"/>
    <w:qFormat/>
    <w:rPr>
      <w:rFonts w:ascii="Times New Roman" w:hAnsi="Times New Roman" w:eastAsia="宋体" w:cs="Times New Roman"/>
      <w:szCs w:val="21"/>
    </w:rPr>
  </w:style>
  <w:style w:type="character" w:styleId="984" w:customStyle="1">
    <w:name w:val="标题 3 Char"/>
    <w:link w:val="774"/>
    <w:uiPriority w:val="0"/>
    <w:qFormat/>
    <w:rPr>
      <w:rFonts w:ascii="Times New Roman" w:hAnsi="Times New Roman" w:eastAsia="宋体" w:cs="Times New Roman"/>
      <w:b/>
      <w:bCs/>
      <w:sz w:val="32"/>
      <w:szCs w:val="32"/>
    </w:rPr>
  </w:style>
  <w:style w:type="character" w:styleId="985" w:customStyle="1">
    <w:name w:val="标题 4 Char"/>
    <w:link w:val="775"/>
    <w:uiPriority w:val="0"/>
    <w:qFormat/>
    <w:rPr>
      <w:rFonts w:ascii="Arial" w:hAnsi="Arial" w:eastAsia="黑体" w:cs="Arial"/>
      <w:b/>
      <w:bCs/>
      <w:sz w:val="28"/>
      <w:szCs w:val="28"/>
    </w:rPr>
  </w:style>
  <w:style w:type="character" w:styleId="986" w:customStyle="1">
    <w:name w:val="标题 5 Char"/>
    <w:link w:val="776"/>
    <w:uiPriority w:val="0"/>
    <w:qFormat/>
    <w:rPr>
      <w:rFonts w:ascii="宋体" w:hAnsi="Times New Roman" w:eastAsia="宋体" w:cs="Times New Roman"/>
      <w:color w:val="000000"/>
      <w:sz w:val="28"/>
      <w:szCs w:val="28"/>
    </w:rPr>
  </w:style>
  <w:style w:type="character" w:styleId="987" w:customStyle="1">
    <w:name w:val="标题 6 Char"/>
    <w:link w:val="777"/>
    <w:uiPriority w:val="0"/>
    <w:qFormat/>
    <w:rPr>
      <w:rFonts w:ascii="Arial" w:hAnsi="Arial" w:eastAsia="黑体" w:cs="Times New Roman"/>
      <w:b/>
      <w:bCs/>
      <w:sz w:val="24"/>
      <w:szCs w:val="24"/>
    </w:rPr>
  </w:style>
  <w:style w:type="character" w:styleId="988" w:customStyle="1">
    <w:name w:val="标题 7 Char"/>
    <w:link w:val="778"/>
    <w:uiPriority w:val="0"/>
    <w:qFormat/>
    <w:rPr>
      <w:rFonts w:ascii="Times New Roman" w:hAnsi="Times New Roman" w:eastAsia="宋体" w:cs="Times New Roman"/>
      <w:b/>
      <w:bCs/>
      <w:sz w:val="24"/>
      <w:szCs w:val="24"/>
    </w:rPr>
  </w:style>
  <w:style w:type="character" w:styleId="989" w:customStyle="1">
    <w:name w:val="标题 8 Char"/>
    <w:link w:val="779"/>
    <w:uiPriority w:val="0"/>
    <w:qFormat/>
    <w:rPr>
      <w:rFonts w:ascii="Arial" w:hAnsi="Arial" w:eastAsia="黑体" w:cs="Times New Roman"/>
      <w:sz w:val="24"/>
      <w:szCs w:val="24"/>
    </w:rPr>
  </w:style>
  <w:style w:type="character" w:styleId="990" w:customStyle="1">
    <w:name w:val="标题 9 Char"/>
    <w:link w:val="780"/>
    <w:uiPriority w:val="0"/>
    <w:qFormat/>
    <w:rPr>
      <w:rFonts w:ascii="Arial" w:hAnsi="Arial" w:eastAsia="黑体" w:cs="Times New Roman"/>
      <w:szCs w:val="21"/>
    </w:rPr>
  </w:style>
  <w:style w:type="character" w:styleId="991" w:customStyle="1">
    <w:name w:val="文档结构图 Char"/>
    <w:link w:val="787"/>
    <w:uiPriority w:val="0"/>
    <w:semiHidden/>
    <w:qFormat/>
    <w:rPr>
      <w:rFonts w:ascii="Times New Roman" w:hAnsi="Times New Roman" w:eastAsia="宋体" w:cs="Times New Roman"/>
      <w:szCs w:val="21"/>
      <w:shd w:val="clear" w:color="auto" w:fill="000080"/>
    </w:rPr>
  </w:style>
  <w:style w:type="character" w:styleId="992" w:customStyle="1">
    <w:name w:val="批注文字 Char"/>
    <w:link w:val="976"/>
    <w:uiPriority w:val="0"/>
    <w:semiHidden/>
    <w:qFormat/>
    <w:rPr>
      <w:rFonts w:ascii="Times New Roman" w:hAnsi="Times New Roman" w:eastAsia="宋体" w:cs="Times New Roman"/>
      <w:szCs w:val="21"/>
    </w:rPr>
  </w:style>
  <w:style w:type="character" w:styleId="993" w:customStyle="1">
    <w:name w:val="正文文本 3 Char"/>
    <w:link w:val="789"/>
    <w:uiPriority w:val="0"/>
    <w:qFormat/>
    <w:rPr>
      <w:rFonts w:ascii="方正仿宋_GB2312" w:hAnsi="Arial" w:eastAsia="方正仿宋_GB2312" w:cs="Times New Roman"/>
      <w:sz w:val="32"/>
      <w:szCs w:val="32"/>
    </w:rPr>
  </w:style>
  <w:style w:type="character" w:styleId="994" w:customStyle="1">
    <w:name w:val="正文文本 Char"/>
    <w:link w:val="790"/>
    <w:uiPriority w:val="0"/>
    <w:qFormat/>
    <w:rPr>
      <w:rFonts w:ascii="方正楷体_GB2312" w:hAnsi="Arial" w:eastAsia="方正楷体_GB2312" w:cs="Times New Roman"/>
      <w:sz w:val="28"/>
      <w:szCs w:val="28"/>
    </w:rPr>
  </w:style>
  <w:style w:type="character" w:styleId="995" w:customStyle="1">
    <w:name w:val="正文首行缩进 Char"/>
    <w:link w:val="791"/>
    <w:uiPriority w:val="0"/>
    <w:qFormat/>
    <w:rPr>
      <w:rFonts w:ascii="方正仿宋_GB2312" w:hAnsi="Times New Roman" w:eastAsia="方正仿宋_GB2312" w:cs="Times New Roman"/>
      <w:sz w:val="30"/>
      <w:szCs w:val="30"/>
    </w:rPr>
  </w:style>
  <w:style w:type="character" w:styleId="996" w:customStyle="1">
    <w:name w:val="正文文本缩进 Char"/>
    <w:link w:val="792"/>
    <w:uiPriority w:val="0"/>
    <w:qFormat/>
    <w:rPr>
      <w:rFonts w:ascii="方正楷体_GB2312" w:hAnsi="Times New Roman" w:eastAsia="方正楷体_GB2312" w:cs="Times New Roman"/>
      <w:sz w:val="32"/>
      <w:szCs w:val="32"/>
    </w:rPr>
  </w:style>
  <w:style w:type="character" w:styleId="997" w:customStyle="1">
    <w:name w:val="纯文本 Char"/>
    <w:link w:val="796"/>
    <w:uiPriority w:val="0"/>
    <w:qFormat/>
    <w:rPr>
      <w:rFonts w:ascii="宋体" w:hAnsi="Courier New" w:eastAsia="宋体" w:cs="Courier New"/>
      <w:szCs w:val="21"/>
    </w:rPr>
  </w:style>
  <w:style w:type="character" w:styleId="998" w:customStyle="1">
    <w:name w:val="日期 Char"/>
    <w:link w:val="798"/>
    <w:uiPriority w:val="0"/>
    <w:qFormat/>
    <w:rPr>
      <w:rFonts w:ascii="Times New Roman" w:hAnsi="Times New Roman" w:eastAsia="宋体" w:cs="Times New Roman"/>
      <w:sz w:val="24"/>
      <w:szCs w:val="24"/>
    </w:rPr>
  </w:style>
  <w:style w:type="character" w:styleId="999" w:customStyle="1">
    <w:name w:val="正文文本缩进 2 Char"/>
    <w:link w:val="799"/>
    <w:uiPriority w:val="0"/>
    <w:qFormat/>
    <w:rPr>
      <w:rFonts w:ascii="Arial" w:hAnsi="Arial" w:eastAsia="方正仿宋_GB2312" w:cs="Arial"/>
      <w:sz w:val="32"/>
      <w:szCs w:val="32"/>
    </w:rPr>
  </w:style>
  <w:style w:type="character" w:styleId="1000" w:customStyle="1">
    <w:name w:val="批注框文本 Char"/>
    <w:link w:val="801"/>
    <w:uiPriority w:val="0"/>
    <w:semiHidden/>
    <w:qFormat/>
    <w:rPr>
      <w:rFonts w:ascii="Times New Roman" w:hAnsi="Times New Roman" w:eastAsia="宋体" w:cs="Times New Roman"/>
      <w:sz w:val="18"/>
      <w:szCs w:val="18"/>
    </w:rPr>
  </w:style>
  <w:style w:type="character" w:styleId="1001" w:customStyle="1">
    <w:name w:val="页脚 Char"/>
    <w:link w:val="977"/>
    <w:uiPriority w:val="99"/>
    <w:qFormat/>
    <w:rPr>
      <w:rFonts w:ascii="Times New Roman" w:hAnsi="Times New Roman" w:eastAsia="宋体" w:cs="Times New Roman"/>
      <w:sz w:val="18"/>
      <w:szCs w:val="18"/>
    </w:rPr>
  </w:style>
  <w:style w:type="character" w:styleId="1002" w:customStyle="1">
    <w:name w:val="页眉 Char"/>
    <w:link w:val="978"/>
    <w:uiPriority w:val="0"/>
    <w:qFormat/>
    <w:rPr>
      <w:rFonts w:ascii="Times New Roman" w:hAnsi="Times New Roman" w:eastAsia="宋体" w:cs="Times New Roman"/>
      <w:sz w:val="18"/>
      <w:szCs w:val="18"/>
    </w:rPr>
  </w:style>
  <w:style w:type="character" w:styleId="1003" w:customStyle="1">
    <w:name w:val="正文文本缩进 3 Char"/>
    <w:link w:val="810"/>
    <w:uiPriority w:val="0"/>
    <w:qFormat/>
    <w:rPr>
      <w:rFonts w:ascii="Arial" w:hAnsi="Arial" w:eastAsia="方正仿宋_GB2312" w:cs="Arial"/>
      <w:color w:val="ffff00"/>
      <w:sz w:val="32"/>
      <w:szCs w:val="32"/>
    </w:rPr>
  </w:style>
  <w:style w:type="character" w:styleId="1004" w:customStyle="1">
    <w:name w:val="正文文本 2 Char"/>
    <w:link w:val="814"/>
    <w:uiPriority w:val="0"/>
    <w:qFormat/>
    <w:rPr>
      <w:rFonts w:ascii="方正楷体_GB2312" w:hAnsi="Times New Roman" w:eastAsia="方正楷体_GB2312" w:cs="Times New Roman"/>
      <w:sz w:val="28"/>
      <w:szCs w:val="28"/>
    </w:rPr>
  </w:style>
  <w:style w:type="character" w:styleId="1005" w:customStyle="1">
    <w:name w:val="批注主题 Char"/>
    <w:link w:val="979"/>
    <w:uiPriority w:val="0"/>
    <w:semiHidden/>
    <w:qFormat/>
    <w:rPr>
      <w:rFonts w:ascii="Times New Roman" w:hAnsi="Times New Roman" w:eastAsia="宋体" w:cs="Times New Roman"/>
      <w:b/>
      <w:bCs/>
      <w:szCs w:val="21"/>
    </w:rPr>
  </w:style>
  <w:style w:type="character" w:styleId="1006" w:customStyle="1">
    <w:name w:val="正文首行缩进 2 Char"/>
    <w:link w:val="818"/>
    <w:uiPriority w:val="0"/>
    <w:qFormat/>
    <w:rPr>
      <w:rFonts w:ascii="宋体" w:hAnsi="宋体" w:eastAsia="宋体" w:cs="Times New Roman"/>
      <w:sz w:val="32"/>
      <w:szCs w:val="20"/>
    </w:rPr>
  </w:style>
  <w:style w:type="character" w:styleId="1007" w:customStyle="1">
    <w:name w:val="font5 Char"/>
    <w:link w:val="771"/>
    <w:uiPriority w:val="0"/>
    <w:qFormat/>
    <w:rPr>
      <w:rFonts w:ascii="宋体" w:hAnsi="宋体" w:eastAsia="宋体"/>
      <w:sz w:val="28"/>
      <w:szCs w:val="28"/>
      <w:lang w:val="en-US" w:eastAsia="zh-CN" w:bidi="ar-SA"/>
    </w:rPr>
  </w:style>
  <w:style w:type="character" w:styleId="1008" w:customStyle="1">
    <w:name w:val="二级目录 Char"/>
    <w:link w:val="1009"/>
    <w:uiPriority w:val="0"/>
    <w:qFormat/>
    <w:rPr>
      <w:b/>
      <w:sz w:val="30"/>
      <w:szCs w:val="28"/>
    </w:rPr>
  </w:style>
  <w:style w:type="paragraph" w:styleId="1009" w:customStyle="1">
    <w:name w:val="二级目录"/>
    <w:next w:val="771"/>
    <w:link w:val="1008"/>
    <w:uiPriority w:val="0"/>
    <w:qFormat/>
    <w:pPr>
      <w:numPr>
        <w:ilvl w:val="0"/>
        <w:numId w:val="2"/>
      </w:numPr>
      <w:ind w:left="907" w:hanging="907"/>
      <w:tabs>
        <w:tab w:val="left" w:pos="1145" w:leader="none"/>
      </w:tabs>
      <w:outlineLvl w:val="1"/>
    </w:pPr>
    <w:rPr>
      <w:rFonts w:hint="default" w:ascii="Calibri" w:hAnsi="Calibri" w:eastAsia="宋体" w:cs="Times New Roman"/>
      <w:b/>
      <w:sz w:val="30"/>
      <w:szCs w:val="28"/>
      <w:lang w:eastAsia="zh-CN"/>
    </w:rPr>
  </w:style>
  <w:style w:type="character" w:styleId="1010" w:customStyle="1">
    <w:name w:val="列出段落 Char"/>
    <w:link w:val="1011"/>
    <w:uiPriority w:val="0"/>
    <w:qFormat/>
    <w:rPr>
      <w:rFonts w:ascii="Calibri" w:hAnsi="Calibri"/>
      <w:sz w:val="24"/>
      <w:szCs w:val="24"/>
      <w:lang w:eastAsia="en-US" w:bidi="en-US"/>
    </w:rPr>
  </w:style>
  <w:style w:type="paragraph" w:styleId="1011" w:customStyle="1">
    <w:name w:val="列出段落1"/>
    <w:basedOn w:val="771"/>
    <w:link w:val="1010"/>
    <w:uiPriority w:val="0"/>
    <w:qFormat/>
    <w:pPr>
      <w:contextualSpacing/>
      <w:ind w:left="720"/>
      <w:jc w:val="left"/>
      <w:widowControl/>
    </w:pPr>
    <w:rPr>
      <w:rFonts w:ascii="Calibri" w:hAnsi="Calibri" w:eastAsia="宋体" w:cs="Times New Roman"/>
      <w:sz w:val="24"/>
      <w:szCs w:val="24"/>
      <w:lang w:eastAsia="en-US" w:bidi="en-US"/>
    </w:rPr>
  </w:style>
  <w:style w:type="paragraph" w:styleId="1012" w:customStyle="1">
    <w:name w:val="Body Text(ch)"/>
    <w:basedOn w:val="771"/>
    <w:next w:val="790"/>
    <w:uiPriority w:val="0"/>
    <w:qFormat/>
    <w:pPr>
      <w:spacing w:after="120"/>
    </w:pPr>
    <w:rPr>
      <w:rFonts w:ascii="宋体" w:hAnsi="Arial"/>
      <w:bCs/>
      <w:iCs/>
      <w:szCs w:val="24"/>
    </w:rPr>
  </w:style>
  <w:style w:type="paragraph" w:styleId="1013" w:customStyle="1">
    <w:name w:val="xl27"/>
    <w:basedOn w:val="7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4" w:customStyle="1">
    <w:name w:val="xl26"/>
    <w:basedOn w:val="7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5" w:customStyle="1">
    <w:name w:val="Char"/>
    <w:basedOn w:val="771"/>
    <w:uiPriority w:val="0"/>
    <w:qFormat/>
    <w:pPr>
      <w:ind w:firstLine="200"/>
      <w:tabs>
        <w:tab w:val="left" w:pos="360" w:leader="none"/>
      </w:tabs>
    </w:pPr>
    <w:rPr>
      <w:sz w:val="28"/>
      <w:szCs w:val="30"/>
    </w:rPr>
  </w:style>
  <w:style w:type="paragraph" w:styleId="1016" w:customStyle="1">
    <w:name w:val=" Char"/>
    <w:basedOn w:val="787"/>
    <w:uiPriority w:val="0"/>
    <w:qFormat/>
    <w:rPr>
      <w:rFonts w:ascii="Tahoma" w:hAnsi="Tahoma"/>
      <w:sz w:val="24"/>
      <w:szCs w:val="24"/>
    </w:rPr>
  </w:style>
  <w:style w:type="paragraph" w:styleId="1017" w:customStyle="1">
    <w:name w:val="普通正文"/>
    <w:basedOn w:val="771"/>
    <w:uiPriority w:val="0"/>
    <w:qFormat/>
    <w:pPr>
      <w:ind w:firstLine="480"/>
      <w:jc w:val="left"/>
      <w:spacing w:before="120" w:after="120" w:line="360" w:lineRule="auto"/>
    </w:pPr>
    <w:rPr>
      <w:rFonts w:ascii="Arial" w:hAnsi="Arial"/>
      <w:sz w:val="24"/>
      <w:szCs w:val="24"/>
    </w:rPr>
  </w:style>
  <w:style w:type="paragraph" w:styleId="1018" w:customStyle="1">
    <w:name w:val="table_lines"/>
    <w:basedOn w:val="771"/>
    <w:uiPriority w:val="0"/>
    <w:qFormat/>
    <w:pPr>
      <w:jc w:val="left"/>
      <w:widowControl/>
    </w:pPr>
    <w:rPr>
      <w:sz w:val="20"/>
      <w:szCs w:val="20"/>
      <w:lang w:val="de-DE" w:eastAsia="de-DE"/>
    </w:rPr>
  </w:style>
  <w:style w:type="paragraph" w:styleId="1019" w:customStyle="1">
    <w:name w:val="附录1"/>
    <w:uiPriority w:val="0"/>
    <w:qFormat/>
    <w:pPr>
      <w:numPr>
        <w:ilvl w:val="0"/>
        <w:numId w:val="2"/>
      </w:numPr>
      <w:ind w:left="907" w:hanging="907"/>
      <w:spacing w:before="240" w:line="600" w:lineRule="atLeast"/>
    </w:pPr>
    <w:rPr>
      <w:rFonts w:hint="default" w:ascii="Times New Roman" w:hAnsi="Times New Roman" w:eastAsia="宋体" w:cs="Times New Roman"/>
      <w:b/>
      <w:i/>
      <w:sz w:val="28"/>
      <w:lang w:eastAsia="zh-CN"/>
    </w:rPr>
  </w:style>
  <w:style w:type="paragraph" w:styleId="1020" w:customStyle="1">
    <w:name w:val="font7"/>
    <w:basedOn w:val="771"/>
    <w:uiPriority w:val="0"/>
    <w:qFormat/>
    <w:pPr>
      <w:jc w:val="left"/>
      <w:spacing w:before="100" w:beforeAutospacing="1" w:after="100" w:afterAutospacing="1"/>
      <w:widowControl/>
    </w:pPr>
    <w:rPr>
      <w:rFonts w:hint="eastAsia" w:ascii="宋体" w:hAnsi="宋体"/>
      <w:sz w:val="18"/>
      <w:szCs w:val="18"/>
    </w:rPr>
  </w:style>
  <w:style w:type="paragraph" w:styleId="1021" w:customStyle="1">
    <w:name w:val=" Char Char Char Char"/>
    <w:basedOn w:val="787"/>
    <w:uiPriority w:val="0"/>
    <w:qFormat/>
    <w:pPr>
      <w:spacing w:line="360" w:lineRule="auto"/>
    </w:pPr>
    <w:rPr>
      <w:rFonts w:ascii="Tahoma" w:hAnsi="Tahoma"/>
      <w:sz w:val="24"/>
      <w:szCs w:val="24"/>
    </w:rPr>
  </w:style>
  <w:style w:type="paragraph" w:styleId="1022">
    <w:name w:val="List Paragraph"/>
    <w:basedOn w:val="771"/>
    <w:uiPriority w:val="0"/>
    <w:qFormat/>
    <w:pPr>
      <w:contextualSpacing/>
      <w:ind w:left="720"/>
      <w:jc w:val="left"/>
      <w:widowControl/>
    </w:pPr>
    <w:rPr>
      <w:rFonts w:ascii="Calibri" w:hAnsi="Calibri"/>
      <w:sz w:val="24"/>
      <w:szCs w:val="24"/>
      <w:lang w:eastAsia="en-US" w:bidi="en-US"/>
    </w:rPr>
  </w:style>
  <w:style w:type="paragraph" w:styleId="1023" w:customStyle="1">
    <w:name w:val="4"/>
    <w:basedOn w:val="771"/>
    <w:next w:val="810"/>
    <w:uiPriority w:val="0"/>
    <w:qFormat/>
    <w:pPr>
      <w:ind w:firstLine="420"/>
      <w:spacing w:line="360" w:lineRule="auto"/>
    </w:pPr>
    <w:rPr>
      <w:color w:val="ff0000"/>
      <w:sz w:val="24"/>
      <w:szCs w:val="24"/>
    </w:rPr>
  </w:style>
  <w:style w:type="paragraph" w:styleId="1024" w:customStyle="1">
    <w:name w:val="普通 (Web)"/>
    <w:basedOn w:val="771"/>
    <w:uiPriority w:val="0"/>
    <w:qFormat/>
    <w:pPr>
      <w:jc w:val="left"/>
      <w:spacing w:before="100" w:beforeAutospacing="1" w:after="100" w:afterAutospacing="1"/>
      <w:widowControl/>
    </w:pPr>
    <w:rPr>
      <w:rFonts w:ascii="宋体" w:hAnsi="宋体"/>
      <w:sz w:val="24"/>
      <w:szCs w:val="24"/>
    </w:rPr>
  </w:style>
  <w:style w:type="paragraph" w:styleId="1025" w:customStyle="1">
    <w:name w:val=" Char Char Char Char Char Char Char Char Char Char"/>
    <w:basedOn w:val="771"/>
    <w:uiPriority w:val="0"/>
    <w:qFormat/>
    <w:pPr>
      <w:spacing w:line="360" w:lineRule="auto"/>
    </w:pPr>
    <w:rPr>
      <w:sz w:val="24"/>
      <w:szCs w:val="20"/>
    </w:rPr>
  </w:style>
  <w:style w:type="paragraph" w:styleId="1026" w:customStyle="1">
    <w:name w:val="样式1"/>
    <w:basedOn w:val="771"/>
    <w:uiPriority w:val="0"/>
    <w:qFormat/>
    <w:pPr>
      <w:numPr>
        <w:ilvl w:val="0"/>
        <w:numId w:val="3"/>
      </w:numPr>
    </w:pPr>
    <w:rPr>
      <w:rFonts w:ascii="宋体" w:hAnsi="宋体"/>
    </w:rPr>
  </w:style>
  <w:style w:type="paragraph" w:styleId="1027" w:customStyle="1">
    <w:name w:val="font6"/>
    <w:basedOn w:val="771"/>
    <w:uiPriority w:val="0"/>
    <w:qFormat/>
    <w:pPr>
      <w:jc w:val="left"/>
      <w:spacing w:before="100" w:beforeAutospacing="1" w:after="100" w:afterAutospacing="1"/>
      <w:widowControl/>
    </w:pPr>
    <w:rPr>
      <w:rFonts w:hint="eastAsia" w:ascii="宋体" w:hAnsi="宋体"/>
      <w:sz w:val="28"/>
      <w:szCs w:val="28"/>
      <w:u w:val="single"/>
    </w:rPr>
  </w:style>
  <w:style w:type="paragraph" w:styleId="1028" w:customStyle="1">
    <w:name w:val="xl25"/>
    <w:basedOn w:val="77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9" w:customStyle="1">
    <w:name w:val="图标"/>
    <w:basedOn w:val="771"/>
    <w:next w:val="771"/>
    <w:uiPriority w:val="0"/>
    <w:qFormat/>
    <w:pPr>
      <w:ind w:left="840" w:hanging="420"/>
      <w:jc w:val="center"/>
      <w:spacing w:before="120" w:after="120" w:line="320" w:lineRule="atLeast"/>
      <w:tabs>
        <w:tab w:val="left" w:pos="567" w:leader="none"/>
        <w:tab w:val="left" w:pos="840" w:leader="none"/>
      </w:tabs>
    </w:pPr>
    <w:rPr>
      <w:rFonts w:eastAsia="方正仿宋_GB2312"/>
      <w:sz w:val="24"/>
      <w:szCs w:val="20"/>
    </w:rPr>
  </w:style>
  <w:style w:type="paragraph" w:styleId="1030" w:customStyle="1">
    <w:name w:val="标题3"/>
    <w:basedOn w:val="771"/>
    <w:next w:val="771"/>
    <w:uiPriority w:val="0"/>
    <w:qFormat/>
    <w:pPr>
      <w:ind w:firstLine="624"/>
      <w:spacing w:line="590" w:lineRule="atLeast"/>
    </w:pPr>
    <w:rPr>
      <w:rFonts w:ascii="方正黑体_GBK" w:eastAsia="方正黑体_GBK"/>
      <w:sz w:val="32"/>
      <w:szCs w:val="32"/>
    </w:rPr>
  </w:style>
  <w:style w:type="paragraph" w:styleId="1031" w:customStyle="1">
    <w:name w:val="xl24"/>
    <w:basedOn w:val="7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2" w:customStyle="1">
    <w:name w:val="xl29"/>
    <w:basedOn w:val="77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3" w:customStyle="1">
    <w:name w:val="Char Char Char Char Char Char Char Char"/>
    <w:basedOn w:val="771"/>
    <w:uiPriority w:val="0"/>
    <w:qFormat/>
    <w:pPr>
      <w:jc w:val="left"/>
      <w:spacing w:after="160" w:line="240" w:lineRule="exact"/>
      <w:widowControl/>
    </w:pPr>
    <w:rPr>
      <w:rFonts w:ascii="Verdana" w:hAnsi="Verdana"/>
      <w:sz w:val="20"/>
      <w:szCs w:val="20"/>
      <w:lang w:eastAsia="en-US"/>
    </w:rPr>
  </w:style>
  <w:style w:type="paragraph" w:styleId="1034" w:customStyle="1">
    <w:name w:val="xl28"/>
    <w:basedOn w:val="77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5" w:customStyle="1">
    <w:name w:val=" Char Char Char Char Char Char Char Char"/>
    <w:basedOn w:val="771"/>
    <w:uiPriority w:val="0"/>
    <w:qFormat/>
    <w:pPr>
      <w:jc w:val="left"/>
      <w:spacing w:after="160" w:line="240" w:lineRule="exact"/>
      <w:widowControl/>
    </w:pPr>
    <w:rPr>
      <w:rFonts w:ascii="Verdana" w:hAnsi="Verdana"/>
      <w:sz w:val="20"/>
      <w:szCs w:val="20"/>
      <w:lang w:eastAsia="en-US"/>
    </w:rPr>
  </w:style>
  <w:style w:type="paragraph" w:styleId="1036" w:customStyle="1">
    <w:name w:val="xl30"/>
    <w:basedOn w:val="771"/>
    <w:uiPriority w:val="0"/>
    <w:qFormat/>
    <w:pPr>
      <w:jc w:val="center"/>
      <w:spacing w:before="100" w:beforeAutospacing="1" w:after="100" w:afterAutospacing="1"/>
      <w:widowControl/>
    </w:pPr>
    <w:rPr>
      <w:rFonts w:ascii="宋体" w:hAnsi="宋体"/>
      <w:b/>
      <w:bCs/>
      <w:sz w:val="36"/>
      <w:szCs w:val="36"/>
    </w:rPr>
  </w:style>
  <w:style w:type="paragraph" w:styleId="1037" w:customStyle="1">
    <w:name w:val="Char Char Char Char"/>
    <w:basedOn w:val="787"/>
    <w:uiPriority w:val="0"/>
    <w:qFormat/>
    <w:pPr>
      <w:spacing w:line="360" w:lineRule="auto"/>
    </w:pPr>
    <w:rPr>
      <w:rFonts w:ascii="Tahoma" w:hAnsi="Tahoma"/>
      <w:sz w:val="24"/>
      <w:szCs w:val="24"/>
    </w:rPr>
  </w:style>
  <w:style w:type="paragraph" w:styleId="1038" w:customStyle="1">
    <w:name w:val="table_1stline"/>
    <w:basedOn w:val="771"/>
    <w:uiPriority w:val="0"/>
    <w:qFormat/>
    <w:pPr>
      <w:jc w:val="left"/>
      <w:spacing w:before="120"/>
      <w:widowControl/>
    </w:pPr>
    <w:rPr>
      <w:bCs/>
      <w:sz w:val="20"/>
      <w:szCs w:val="20"/>
      <w:lang w:val="de-DE" w:eastAsia="de-DE"/>
    </w:rPr>
  </w:style>
  <w:style w:type="paragraph" w:styleId="1039" w:customStyle="1">
    <w:name w:val="font5"/>
    <w:basedOn w:val="771"/>
    <w:uiPriority w:val="0"/>
    <w:qFormat/>
    <w:pPr>
      <w:jc w:val="left"/>
      <w:spacing w:before="100" w:beforeAutospacing="1" w:after="100" w:afterAutospacing="1"/>
      <w:widowControl/>
    </w:pPr>
    <w:rPr>
      <w:rFonts w:hint="eastAsia" w:ascii="宋体" w:hAnsi="宋体"/>
      <w:sz w:val="28"/>
      <w:szCs w:val="28"/>
    </w:rPr>
  </w:style>
  <w:style w:type="paragraph" w:styleId="1040" w:customStyle="1">
    <w:name w:val="标题1"/>
    <w:basedOn w:val="771"/>
    <w:next w:val="77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1" w:customStyle="1">
    <w:name w:val="_Style 111"/>
    <w:uiPriority w:val="99"/>
    <w:semiHidden/>
    <w:qFormat/>
    <w:rPr>
      <w:rFonts w:hint="default" w:ascii="Times New Roman" w:hAnsi="Times New Roman" w:eastAsia="宋体" w:cs="Times New Roman"/>
      <w:sz w:val="21"/>
      <w:szCs w:val="21"/>
      <w:lang w:eastAsia="zh-CN"/>
    </w:rPr>
  </w:style>
  <w:style w:type="paragraph" w:styleId="1042">
    <w:name w:val="No Spacing"/>
    <w:uiPriority w:val="99"/>
    <w:qFormat/>
    <w:pPr>
      <w:jc w:val="both"/>
      <w:widowControl w:val="off"/>
    </w:pPr>
    <w:rPr>
      <w:rFonts w:hint="default" w:ascii="Times New Roman" w:hAnsi="Times New Roman" w:eastAsia="宋体" w:cs="Times New Roman"/>
      <w:sz w:val="21"/>
      <w:szCs w:val="21"/>
      <w:lang w:eastAsia="zh-CN"/>
    </w:rPr>
  </w:style>
  <w:style w:type="paragraph" w:styleId="1043" w:customStyle="1">
    <w:name w:val="1级"/>
    <w:basedOn w:val="771"/>
    <w:uiPriority w:val="0"/>
    <w:qFormat/>
    <w:pPr>
      <w:jc w:val="left"/>
      <w:spacing w:line="240" w:lineRule="auto"/>
      <w:outlineLvl w:val="0"/>
    </w:pPr>
    <w:rPr>
      <w:rFonts w:eastAsia="黑体"/>
      <w:b/>
      <w:szCs w:val="28"/>
    </w:rPr>
  </w:style>
  <w:style w:type="character" w:styleId="1044" w:customStyle="1">
    <w:name w:val="纯文本 字符"/>
    <w:basedOn w:val="781"/>
    <w:link w:val="796"/>
    <w:uiPriority w:val="0"/>
    <w:qFormat/>
    <w:rPr>
      <w:rFonts w:hint="eastAsia" w:ascii="宋体" w:hAnsi="Courier New" w:eastAsia="宋体" w:cs="Courier New"/>
      <w:sz w:val="21"/>
      <w:szCs w:val="21"/>
    </w:rPr>
  </w:style>
  <w:style w:type="character" w:styleId="1045" w:customStyle="1">
    <w:name w:val="批注文字 字符"/>
    <w:basedOn w:val="781"/>
    <w:link w:val="976"/>
    <w:uiPriority w:val="0"/>
    <w:qFormat/>
    <w:rPr>
      <w:rFonts w:ascii="Times New Roman" w:hAnsi="Times New Roman" w:cs="Times New Roman"/>
      <w:sz w:val="21"/>
      <w:szCs w:val="21"/>
    </w:rPr>
  </w:style>
  <w:style w:type="paragraph" w:styleId="1046" w:customStyle="1">
    <w:name w:val="普通(网站)1"/>
    <w:basedOn w:val="771"/>
    <w:uiPriority w:val="99"/>
    <w:qFormat/>
    <w:pPr>
      <w:jc w:val="left"/>
      <w:spacing w:before="100" w:beforeAutospacing="1" w:after="100" w:afterAutospacing="1"/>
      <w:widowControl/>
    </w:pPr>
    <w:rPr>
      <w:rFonts w:ascii="宋体" w:hAnsi="宋体" w:cs="宋体"/>
      <w:sz w:val="24"/>
      <w:szCs w:val="24"/>
    </w:rPr>
  </w:style>
  <w:style w:type="numbering" w:styleId="10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王烨</cp:lastModifiedBy>
  <cp:revision>10</cp:revision>
  <dcterms:created xsi:type="dcterms:W3CDTF">2023-03-16T02:16:00Z</dcterms:created>
  <dcterms:modified xsi:type="dcterms:W3CDTF">2026-10-21T04:52:39Z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eyJoZGlkIjoiOGE0YTBjZjM1NDViZDljYmQwZmM4MjA3MzkyMDZiYTMiLCJ1c2VySWQiOiIzMzc1NjU4NjcifQ==</vt:lpwstr>
  </property>
  <property fmtid="{D5CDD505-2E9C-101B-9397-08002B2CF9AE}" pid="3" name="KSOProductBuildVer">
    <vt:lpwstr>2052-12.1.0.16929</vt:lpwstr>
  </property>
  <property fmtid="{D5CDD505-2E9C-101B-9397-08002B2CF9AE}" pid="4" name="ICV">
    <vt:lpwstr>420D47E3DFF54049B6108B22FED5479D_13</vt:lpwstr>
  </property>
</Properties>
</file>