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jc w:val="center"/>
        <w:rPr>
          <w:rFonts w:hint="eastAsia" w:ascii="宋体" w:hAnsi="宋体" w:cs="宋体"/>
          <w:b/>
          <w:bCs/>
          <w:sz w:val="60"/>
          <w:szCs w:val="60"/>
        </w:rPr>
      </w:pPr>
      <w:r>
        <w:rPr>
          <w:rFonts w:hint="eastAsia" w:ascii="宋体" w:hAnsi="宋体" w:cs="宋体"/>
          <w:b/>
          <w:bCs/>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ind w:firstLine="1200"/>
        <w:jc w:val="center"/>
        <w:rPr>
          <w:rFonts w:ascii="宋体" w:hAnsi="宋体" w:cs="宋体"/>
          <w:b/>
          <w:bCs/>
          <w:sz w:val="60"/>
          <w:szCs w:val="60"/>
        </w:rPr>
      </w:pPr>
      <w:r>
        <w:rPr>
          <w:rFonts w:ascii="宋体" w:hAnsi="宋体" w:cs="宋体"/>
          <w:b/>
          <w:bCs/>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723"/>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项目名称：</w:t>
      </w:r>
      <w:bookmarkStart w:id="0" w:name="OLE_LINK2"/>
      <w:r>
        <w:rPr>
          <w:rFonts w:hint="eastAsia" w:ascii="宋体" w:hAnsi="宋体" w:cs="宋体"/>
          <w:bCs/>
          <w:sz w:val="32"/>
          <w:szCs w:val="32"/>
          <w:highlight w:val="none"/>
          <w:lang w:eastAsia="zh-CN"/>
        </w:rPr>
        <w:t xml:space="preserve">常州市公安局2027-2029年度团体意外伤害（附加重大疾病）保险服务项目</w:t>
      </w:r>
      <w:bookmarkEnd w:id="0"/>
      <w:r/>
      <w:r/>
    </w:p>
    <w:p>
      <w:pPr>
        <w:ind w:firstLine="640"/>
        <w:jc w:val="left"/>
        <w:spacing w:line="360" w:lineRule="auto"/>
        <w:tabs>
          <w:tab w:val="left" w:pos="3240" w:leader="none"/>
          <w:tab w:val="left" w:pos="3420" w:leader="none"/>
        </w:tabs>
        <w:rPr>
          <w:rFonts w:ascii="宋体" w:hAnsi="宋体" w:cs="宋体"/>
          <w:bCs/>
          <w:sz w:val="32"/>
          <w:szCs w:val="32"/>
        </w:rPr>
      </w:pPr>
      <w:r>
        <w:rPr>
          <w:rFonts w:hint="eastAsia" w:ascii="宋体" w:hAnsi="宋体" w:cs="宋体"/>
          <w:bCs/>
          <w:sz w:val="32"/>
          <w:szCs w:val="32"/>
        </w:rPr>
        <w:t xml:space="preserve">项目编号：</w:t>
      </w:r>
      <w:r>
        <w:rPr>
          <w:rFonts w:hint="eastAsia" w:ascii="宋体" w:hAnsi="宋体"/>
          <w:bCs/>
          <w:color w:val="000000" w:themeColor="text1"/>
          <w:sz w:val="30"/>
          <w:szCs w:val="30"/>
          <w14:textFill>
            <w14:solidFill>
              <w14:schemeClr w14:val="tx1"/>
            </w14:solidFill>
          </w14:textFill>
        </w:rPr>
        <w:t xml:space="preserve">JSZC-320400-JSCW-G2026-0054</w:t>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采 购 人：</w:t>
      </w:r>
      <w:bookmarkStart w:id="1" w:name="OLE_LINK1"/>
      <w:r>
        <w:rPr>
          <w:rFonts w:hint="eastAsia" w:ascii="宋体" w:hAnsi="宋体" w:cs="宋体"/>
          <w:bCs/>
          <w:sz w:val="32"/>
          <w:szCs w:val="32"/>
          <w:highlight w:val="none"/>
          <w:lang w:eastAsia="zh-CN"/>
        </w:rPr>
        <w:t xml:space="preserve">常州市公安局</w:t>
      </w:r>
      <w:bookmarkEnd w:id="1"/>
      <w:r/>
      <w:r/>
    </w:p>
    <w:p>
      <w:pPr>
        <w:ind w:firstLine="6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2"/>
          <w:szCs w:val="32"/>
        </w:rPr>
        <w:t xml:space="preserve">采购代理机构：</w:t>
      </w:r>
      <w:r>
        <w:rPr>
          <w:rFonts w:hint="eastAsia" w:ascii="宋体" w:hAnsi="宋体" w:cs="宋体"/>
          <w:bCs/>
          <w:sz w:val="32"/>
          <w:szCs w:val="32"/>
          <w:lang w:eastAsia="zh-CN"/>
        </w:rPr>
        <w:t xml:space="preserve">江苏春为全过程工程咨询有限公司</w:t>
      </w:r>
      <w:r>
        <w:rPr>
          <w:rFonts w:hint="eastAsia" w:ascii="宋体" w:hAnsi="宋体" w:cs="宋体"/>
          <w:bCs/>
          <w:sz w:val="32"/>
          <w:szCs w:val="32"/>
        </w:rPr>
        <w:t xml:space="preserve"> </w:t>
      </w:r>
      <w:r/>
    </w:p>
    <w:p>
      <w:pPr>
        <w:ind w:firstLine="723"/>
        <w:jc w:val="center"/>
        <w:widowControl/>
        <w:rPr>
          <w:rFonts w:ascii="宋体" w:hAnsi="宋体" w:cs="宋体"/>
          <w:bCs/>
          <w:sz w:val="36"/>
          <w:szCs w:val="36"/>
        </w:rPr>
      </w:pPr>
      <w:r>
        <w:rPr>
          <w:rFonts w:ascii="宋体" w:hAnsi="宋体" w:cs="宋体"/>
          <w:bCs/>
          <w:sz w:val="36"/>
          <w:szCs w:val="36"/>
        </w:rPr>
      </w:r>
      <w:r/>
    </w:p>
    <w:p>
      <w:pPr>
        <w:jc w:val="center"/>
        <w:widowControl/>
        <w:rPr>
          <w:b/>
          <w:bCs/>
          <w:sz w:val="44"/>
        </w:rPr>
      </w:pPr>
      <w:r>
        <w:rPr>
          <w:b/>
          <w:bCs/>
          <w:sz w:val="44"/>
        </w:rPr>
        <w:br w:type="page" w:clear="all"/>
      </w:r>
      <w:r/>
    </w:p>
    <w:p>
      <w:pPr>
        <w:ind w:firstLine="723"/>
        <w:jc w:val="center"/>
        <w:spacing w:line="360" w:lineRule="auto"/>
        <w:rPr>
          <w:b/>
          <w:sz w:val="36"/>
          <w:szCs w:val="36"/>
        </w:rPr>
        <w:outlineLvl w:val="0"/>
      </w:pPr>
      <w:r/>
      <w:bookmarkStart w:id="2" w:name="_Toc99301418"/>
      <w:r>
        <w:rPr>
          <w:b/>
          <w:sz w:val="36"/>
          <w:szCs w:val="36"/>
        </w:rPr>
        <w:t xml:space="preserve">目      录</w:t>
      </w:r>
      <w:bookmarkEnd w:id="2"/>
      <w:r/>
      <w:r/>
    </w:p>
    <w:p>
      <w:pPr>
        <w:ind w:firstLine="482"/>
      </w:pPr>
      <w:r/>
      <w:r/>
    </w:p>
    <w:p>
      <w:pPr>
        <w:ind w:firstLine="482"/>
      </w:pPr>
      <w:r/>
      <w:r/>
    </w:p>
    <w:p>
      <w:pPr>
        <w:ind w:firstLine="482"/>
      </w:pPr>
      <w:r/>
      <w:r/>
    </w:p>
    <w:p>
      <w:pPr>
        <w:pStyle w:val="1102"/>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02"/>
        <w:ind w:firstLine="48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124"/>
          <w:rFonts w:ascii="Times New Roman" w:hAnsi="Times New Roman"/>
        </w:rPr>
        <w:t xml:space="preserve">第一章   </w:t>
      </w:r>
      <w:r>
        <w:rPr>
          <w:rStyle w:val="1124"/>
          <w:rFonts w:hint="eastAsia" w:ascii="Times New Roman" w:hAnsi="Times New Roman"/>
        </w:rPr>
        <w:t xml:space="preserve">招标</w:t>
      </w:r>
      <w:r>
        <w:rPr>
          <w:rStyle w:val="1124"/>
          <w:rFonts w:hint="eastAsia" w:ascii="Times New Roman" w:hAnsi="Times New Roman"/>
          <w:lang w:val="en-US" w:eastAsia="zh-CN"/>
        </w:rPr>
        <w:t xml:space="preserve">邀请</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1102"/>
        <w:ind w:firstLine="48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124"/>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1102"/>
        <w:ind w:firstLine="48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124"/>
          <w:rFonts w:ascii="Times New Roman" w:hAnsi="Times New Roman"/>
        </w:rPr>
        <w:t xml:space="preserve">第三章   资</w:t>
      </w:r>
      <w:bookmarkStart w:id="3" w:name="_Hlt100754117"/>
      <w:r>
        <w:rPr>
          <w:rStyle w:val="1124"/>
          <w:rFonts w:ascii="Times New Roman" w:hAnsi="Times New Roman"/>
        </w:rPr>
        <w:t xml:space="preserve">格</w:t>
      </w:r>
      <w:bookmarkEnd w:id="3"/>
      <w:r>
        <w:rPr>
          <w:rStyle w:val="1124"/>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p>
    <w:p>
      <w:pPr>
        <w:pStyle w:val="1102"/>
        <w:ind w:firstLine="48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124"/>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26</w:t>
      </w:r>
      <w:r>
        <w:rPr>
          <w:rFonts w:ascii="Times New Roman" w:hAnsi="Times New Roman"/>
        </w:rPr>
        <w:fldChar w:fldCharType="end"/>
      </w:r>
      <w:r>
        <w:rPr>
          <w:rFonts w:ascii="Times New Roman" w:hAnsi="Times New Roman"/>
        </w:rPr>
        <w:fldChar w:fldCharType="end"/>
      </w:r>
      <w:r/>
    </w:p>
    <w:p>
      <w:pPr>
        <w:pStyle w:val="1102"/>
        <w:ind w:firstLine="480"/>
        <w:spacing w:line="360" w:lineRule="auto"/>
        <w:rPr>
          <w:rFonts w:hint="eastAsia" w:ascii="Times New Roman" w:hAnsi="Times New Roman" w:eastAsia="宋体"/>
          <w:b w:val="0"/>
          <w:sz w:val="21"/>
          <w:szCs w:val="22"/>
          <w:lang w:eastAsia="zh-CN"/>
        </w:rPr>
      </w:pPr>
      <w:r>
        <w:fldChar w:fldCharType="begin"/>
      </w:r>
      <w:r>
        <w:instrText xml:space="preserve"> HYPERLINK \l "_Toc99301424" </w:instrText>
      </w:r>
      <w:r>
        <w:fldChar w:fldCharType="separate"/>
      </w:r>
      <w:r>
        <w:rPr>
          <w:rStyle w:val="1124"/>
          <w:rFonts w:ascii="Times New Roman" w:hAnsi="Times New Roman"/>
        </w:rPr>
        <w:t xml:space="preserve">第五章   采购</w:t>
      </w:r>
      <w:bookmarkStart w:id="4" w:name="_Hlt100754103"/>
      <w:r/>
      <w:bookmarkStart w:id="5" w:name="_Hlt100754102"/>
      <w:r>
        <w:rPr>
          <w:rStyle w:val="1124"/>
          <w:rFonts w:ascii="Times New Roman" w:hAnsi="Times New Roman"/>
        </w:rPr>
        <w:t xml:space="preserve">需</w:t>
      </w:r>
      <w:bookmarkEnd w:id="4"/>
      <w:r/>
      <w:bookmarkEnd w:id="5"/>
      <w:r>
        <w:rPr>
          <w:rStyle w:val="1124"/>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lang w:val="en-US" w:eastAsia="zh-CN"/>
        </w:rPr>
        <w:t xml:space="preserve">5</w:t>
      </w:r>
      <w:r/>
    </w:p>
    <w:p>
      <w:pPr>
        <w:pStyle w:val="1102"/>
        <w:ind w:firstLine="480"/>
        <w:spacing w:line="360" w:lineRule="auto"/>
        <w:rPr>
          <w:rFonts w:hint="eastAsia" w:ascii="Times New Roman" w:hAnsi="Times New Roman" w:eastAsia="宋体"/>
          <w:b w:val="0"/>
          <w:sz w:val="21"/>
          <w:szCs w:val="22"/>
          <w:lang w:val="en-US" w:eastAsia="zh-CN"/>
        </w:rPr>
      </w:pPr>
      <w:r>
        <w:fldChar w:fldCharType="begin"/>
      </w:r>
      <w:r>
        <w:instrText xml:space="preserve"> HYPERLINK \l "_Toc99301425" </w:instrText>
      </w:r>
      <w:r>
        <w:fldChar w:fldCharType="separate"/>
      </w:r>
      <w:r>
        <w:rPr>
          <w:rStyle w:val="1124"/>
          <w:rFonts w:ascii="Times New Roman" w:hAnsi="Times New Roman"/>
        </w:rPr>
        <w:t xml:space="preserve">第六章   拟签订的合同文本</w:t>
      </w:r>
      <w:r>
        <w:rPr>
          <w:rFonts w:ascii="Times New Roman" w:hAnsi="Times New Roman"/>
        </w:rPr>
        <w:tab/>
      </w:r>
      <w:r>
        <w:rPr>
          <w:rFonts w:hint="eastAsia" w:ascii="Times New Roman" w:hAnsi="Times New Roman"/>
          <w:lang w:val="en-US" w:eastAsia="zh-CN"/>
        </w:rPr>
        <w:t xml:space="preserve">5</w:t>
      </w:r>
      <w:r>
        <w:rPr>
          <w:rFonts w:ascii="Times New Roman" w:hAnsi="Times New Roman"/>
        </w:rPr>
        <w:fldChar w:fldCharType="end"/>
      </w:r>
      <w:r>
        <w:rPr>
          <w:rFonts w:hint="eastAsia" w:ascii="Times New Roman" w:hAnsi="Times New Roman"/>
          <w:lang w:val="en-US" w:eastAsia="zh-CN"/>
        </w:rPr>
        <w:t xml:space="preserve">2</w:t>
      </w:r>
      <w:r/>
    </w:p>
    <w:p>
      <w:pPr>
        <w:pStyle w:val="1102"/>
        <w:ind w:firstLine="480"/>
        <w:spacing w:line="360" w:lineRule="auto"/>
        <w:rPr>
          <w:rFonts w:hint="eastAsia" w:ascii="Times New Roman" w:hAnsi="Times New Roman" w:eastAsia="宋体"/>
          <w:b w:val="0"/>
          <w:sz w:val="21"/>
          <w:szCs w:val="22"/>
          <w:lang w:eastAsia="zh-CN"/>
        </w:rPr>
      </w:pPr>
      <w:r>
        <w:fldChar w:fldCharType="begin"/>
      </w:r>
      <w:r>
        <w:instrText xml:space="preserve"> HYPERLINK \l "_Toc99301426" </w:instrText>
      </w:r>
      <w:r>
        <w:fldChar w:fldCharType="separate"/>
      </w:r>
      <w:r>
        <w:rPr>
          <w:rStyle w:val="1124"/>
          <w:rFonts w:ascii="Times New Roman" w:hAnsi="Times New Roman"/>
        </w:rPr>
        <w:t xml:space="preserve">第七章   投标文件格式</w:t>
      </w:r>
      <w:r>
        <w:rPr>
          <w:rFonts w:ascii="Times New Roman" w:hAnsi="Times New Roman"/>
        </w:rPr>
        <w:tab/>
      </w:r>
      <w:r>
        <w:rPr>
          <w:rFonts w:hint="eastAsia" w:ascii="Times New Roman" w:hAnsi="Times New Roman"/>
          <w:lang w:val="en-US" w:eastAsia="zh-CN"/>
        </w:rPr>
        <w:t xml:space="preserve">5</w:t>
      </w:r>
      <w:r>
        <w:rPr>
          <w:rFonts w:hint="eastAsia" w:ascii="Times New Roman" w:hAnsi="Times New Roman"/>
        </w:rPr>
        <w:fldChar w:fldCharType="end"/>
      </w:r>
      <w:r>
        <w:rPr>
          <w:rFonts w:hint="eastAsia" w:ascii="Times New Roman" w:hAnsi="Times New Roman"/>
          <w:lang w:val="en-US" w:eastAsia="zh-CN"/>
        </w:rPr>
        <w:t xml:space="preserve">5</w:t>
      </w:r>
      <w:r/>
    </w:p>
    <w:p>
      <w:pPr>
        <w:pStyle w:val="1102"/>
        <w:ind w:firstLine="482"/>
        <w:spacing w:line="360" w:lineRule="auto"/>
        <w:rPr>
          <w:rFonts w:ascii="Times New Roman" w:hAnsi="Times New Roman"/>
          <w:b w:val="0"/>
        </w:rPr>
      </w:pPr>
      <w:r>
        <w:rPr>
          <w:rFonts w:ascii="Times New Roman" w:hAnsi="Times New Roman"/>
          <w:b w:val="0"/>
        </w:rPr>
        <w:fldChar w:fldCharType="end"/>
      </w:r>
      <w:r/>
    </w:p>
    <w:p>
      <w:pPr>
        <w:ind w:firstLine="482"/>
        <w:jc w:val="center"/>
        <w:spacing w:line="360" w:lineRule="auto"/>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bookmarkStart w:id="874" w:name="_GoBack"/>
      <w:r/>
      <w:bookmarkEnd w:id="874"/>
      <w:r/>
      <w:r/>
    </w:p>
    <w:p>
      <w:pPr>
        <w:ind w:firstLine="482"/>
        <w:rPr>
          <w:sz w:val="24"/>
        </w:rPr>
      </w:pPr>
      <w:r>
        <w:rPr>
          <w:sz w:val="24"/>
        </w:rPr>
      </w:r>
      <w:r/>
    </w:p>
    <w:p>
      <w:pPr>
        <w:ind w:firstLine="482"/>
        <w:rPr>
          <w:sz w:val="24"/>
        </w:rPr>
      </w:pPr>
      <w:r>
        <w:rPr>
          <w:sz w:val="24"/>
        </w:rPr>
      </w:r>
      <w:r/>
    </w:p>
    <w:p>
      <w:pPr>
        <w:jc w:val="center"/>
        <w:rPr>
          <w:rFonts w:hint="default" w:ascii="宋体" w:hAnsi="宋体" w:eastAsia="宋体" w:cs="宋体"/>
          <w:b/>
          <w:sz w:val="36"/>
          <w:szCs w:val="36"/>
          <w:lang w:val="en-US" w:eastAsia="zh-CN"/>
        </w:rPr>
        <w:outlineLvl w:val="0"/>
      </w:pPr>
      <w:r>
        <w:rPr>
          <w:sz w:val="24"/>
        </w:rPr>
        <w:br w:type="page" w:clear="all"/>
      </w:r>
      <w:r>
        <w:rPr>
          <w:rFonts w:hint="eastAsia"/>
          <w:b/>
          <w:sz w:val="36"/>
          <w:szCs w:val="36"/>
        </w:rPr>
        <w:t xml:space="preserve">第一章   </w:t>
      </w:r>
      <w:r>
        <w:rPr>
          <w:rFonts w:hint="eastAsia"/>
          <w:b/>
          <w:sz w:val="36"/>
          <w:szCs w:val="36"/>
          <w:lang w:val="en-US" w:eastAsia="zh-CN"/>
        </w:rPr>
        <w:t xml:space="preserve">投标邀请</w:t>
      </w:r>
      <w:r/>
    </w:p>
    <w:tbl>
      <w:tblPr>
        <w:tblStyle w:val="1081"/>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82"/>
              <w:jc w:val="left"/>
              <w:spacing w:line="360" w:lineRule="auto"/>
              <w:widowControl/>
              <w:rPr>
                <w:rFonts w:ascii="宋体" w:hAnsi="宋体" w:cs="宋体"/>
                <w:b/>
                <w:sz w:val="24"/>
                <w:highlight w:val="none"/>
              </w:rPr>
            </w:pPr>
            <w:r>
              <w:rPr>
                <w:rFonts w:hint="eastAsia" w:ascii="宋体" w:hAnsi="宋体" w:cs="宋体"/>
                <w:b/>
                <w:sz w:val="24"/>
                <w:highlight w:val="none"/>
              </w:rPr>
              <w:t xml:space="preserve">项目概况</w:t>
            </w:r>
            <w:r/>
          </w:p>
          <w:p>
            <w:pPr>
              <w:ind w:firstLine="482"/>
              <w:jc w:val="left"/>
              <w:spacing w:line="360" w:lineRule="auto"/>
              <w:widowControl/>
              <w:rPr>
                <w:rFonts w:ascii="宋体" w:hAnsi="宋体" w:cs="宋体"/>
                <w:sz w:val="24"/>
                <w:highlight w:val="none"/>
              </w:rPr>
            </w:pPr>
            <w:r>
              <w:rPr>
                <w:rFonts w:hint="eastAsia" w:ascii="宋体" w:hAnsi="宋体" w:cs="宋体"/>
                <w:b/>
                <w:bCs/>
                <w:sz w:val="24"/>
                <w:highlight w:val="none"/>
                <w:u w:val="single"/>
                <w:lang w:eastAsia="zh-CN"/>
              </w:rPr>
              <w:t xml:space="preserve">常州市公安局2027-2029年度团体意外伤害（附加重大疾病）保险服务项目</w:t>
            </w:r>
            <w:r>
              <w:rPr>
                <w:rFonts w:hint="eastAsia" w:ascii="宋体" w:hAnsi="宋体" w:cs="宋体"/>
                <w:b/>
                <w:bCs/>
                <w:sz w:val="24"/>
                <w:highlight w:val="none"/>
                <w:u w:val="single"/>
                <w:lang w:val="en-US" w:eastAsia="zh-CN"/>
              </w:rPr>
              <w:t xml:space="preserve"> </w:t>
            </w:r>
            <w:r>
              <w:rPr>
                <w:rFonts w:hint="eastAsia" w:ascii="宋体" w:hAnsi="宋体" w:eastAsia="宋体" w:cs="宋体"/>
                <w:b/>
                <w:bCs/>
                <w:i w:val="0"/>
                <w:iCs w:val="0"/>
                <w:caps w:val="0"/>
                <w:spacing w:val="0"/>
                <w:sz w:val="24"/>
                <w:szCs w:val="24"/>
                <w:highlight w:val="none"/>
                <w:u w:val="single"/>
                <w:shd w:val="clear" w:color="auto" w:fill="auto"/>
              </w:rPr>
              <w:t xml:space="preserve">JSZC-320400-JSCW-G2026-0054</w:t>
            </w:r>
            <w:r>
              <w:rPr>
                <w:rFonts w:hint="eastAsia" w:ascii="宋体" w:hAnsi="宋体" w:cs="宋体"/>
                <w:sz w:val="24"/>
                <w:highlight w:val="none"/>
              </w:rPr>
              <w:t xml:space="preserve">的潜在投标人应在</w:t>
            </w:r>
            <w:r>
              <w:rPr>
                <w:rFonts w:hint="eastAsia" w:ascii="宋体" w:hAnsi="宋体" w:cs="宋体"/>
                <w:b/>
                <w:bCs/>
                <w:sz w:val="24"/>
                <w:highlight w:val="none"/>
              </w:rPr>
              <w:t xml:space="preserve">“苏采云”政府采购一体化平台</w:t>
            </w:r>
            <w:r>
              <w:rPr>
                <w:rFonts w:hint="eastAsia" w:ascii="宋体" w:hAnsi="宋体" w:cs="宋体"/>
                <w:sz w:val="24"/>
                <w:highlight w:val="none"/>
              </w:rPr>
              <w:t xml:space="preserve">获取招标文件，并于</w:t>
            </w:r>
            <w:r>
              <w:rPr>
                <w:rFonts w:hint="eastAsia" w:ascii="宋体" w:hAnsi="宋体" w:cs="宋体"/>
                <w:b/>
                <w:sz w:val="24"/>
                <w:highlight w:val="none"/>
              </w:rPr>
              <w:t xml:space="preserve">202</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年</w:t>
            </w:r>
            <w:r>
              <w:rPr>
                <w:rFonts w:hint="eastAsia" w:ascii="宋体" w:hAnsi="宋体" w:cs="宋体"/>
                <w:b/>
                <w:sz w:val="24"/>
                <w:highlight w:val="none"/>
                <w:lang w:val="en-US" w:eastAsia="zh-CN"/>
              </w:rPr>
              <w:t xml:space="preserve">11</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18</w:t>
            </w:r>
            <w:r>
              <w:rPr>
                <w:rFonts w:hint="eastAsia" w:ascii="宋体" w:hAnsi="宋体" w:cs="宋体"/>
                <w:b/>
                <w:sz w:val="24"/>
                <w:highlight w:val="none"/>
              </w:rPr>
              <w:t xml:space="preserve">日</w:t>
            </w:r>
            <w:r>
              <w:rPr>
                <w:rFonts w:hint="eastAsia" w:ascii="宋体" w:hAnsi="宋体" w:cs="宋体"/>
                <w:b/>
                <w:sz w:val="24"/>
                <w:highlight w:val="none"/>
                <w:lang w:val="en-US" w:eastAsia="zh-CN"/>
              </w:rPr>
              <w:t xml:space="preserve">09:30</w:t>
            </w:r>
            <w:r>
              <w:rPr>
                <w:rFonts w:hint="eastAsia" w:ascii="宋体" w:hAnsi="宋体" w:cs="宋体"/>
                <w:sz w:val="24"/>
                <w:highlight w:val="none"/>
              </w:rPr>
              <w:t xml:space="preserve">（北京时间）前提交投标文件。</w:t>
            </w:r>
            <w:r/>
          </w:p>
        </w:tc>
      </w:tr>
    </w:tbl>
    <w:p>
      <w:pPr>
        <w:ind w:firstLine="482"/>
        <w:spacing w:line="360" w:lineRule="auto"/>
        <w:rPr>
          <w:rFonts w:ascii="宋体" w:hAnsi="宋体" w:cs="宋体"/>
          <w:b/>
          <w:bCs/>
          <w:sz w:val="24"/>
          <w:highlight w:val="none"/>
        </w:rPr>
        <w:outlineLvl w:val="1"/>
      </w:pPr>
      <w:r>
        <w:rPr>
          <w:rFonts w:hint="eastAsia" w:ascii="宋体" w:hAnsi="宋体" w:cs="宋体"/>
          <w:b/>
          <w:bCs/>
          <w:sz w:val="24"/>
          <w:highlight w:val="none"/>
        </w:rPr>
        <w:t xml:space="preserve">一、项目基本概况：</w:t>
      </w:r>
      <w:r/>
    </w:p>
    <w:p>
      <w:pPr>
        <w:ind w:firstLine="482"/>
        <w:spacing w:line="360" w:lineRule="auto"/>
        <w:rPr>
          <w:rFonts w:ascii="宋体" w:hAnsi="宋体" w:cs="宋体"/>
          <w:b/>
          <w:bCs/>
          <w:sz w:val="24"/>
          <w:highlight w:val="none"/>
        </w:rPr>
        <w:outlineLvl w:val="2"/>
      </w:pPr>
      <w:r>
        <w:rPr>
          <w:rFonts w:hint="eastAsia" w:ascii="宋体" w:hAnsi="宋体" w:cs="宋体"/>
          <w:b/>
          <w:bCs/>
          <w:sz w:val="24"/>
          <w:highlight w:val="none"/>
        </w:rPr>
        <w:t xml:space="preserve">项目名称：</w:t>
      </w:r>
      <w:r>
        <w:rPr>
          <w:rFonts w:hint="eastAsia" w:ascii="宋体" w:hAnsi="宋体" w:cs="宋体"/>
          <w:sz w:val="24"/>
          <w:highlight w:val="none"/>
          <w:lang w:eastAsia="zh-CN"/>
        </w:rPr>
        <w:t xml:space="preserve">常州市公安局2027-2029年度团体意外伤害（附加重大疾病）保险服务项目</w:t>
      </w:r>
      <w:r/>
    </w:p>
    <w:p>
      <w:pPr>
        <w:ind w:firstLine="482"/>
        <w:spacing w:line="360" w:lineRule="auto"/>
        <w:rPr>
          <w:rFonts w:hint="eastAsia" w:ascii="宋体" w:hAnsi="宋体" w:cs="宋体"/>
          <w:color w:val="auto"/>
          <w:sz w:val="24"/>
          <w:highlight w:val="none"/>
          <w:u w:val="none"/>
          <w:lang w:eastAsia="zh-CN"/>
        </w:rPr>
      </w:pPr>
      <w:r>
        <w:rPr>
          <w:rFonts w:hint="eastAsia" w:ascii="宋体" w:hAnsi="宋体" w:cs="宋体"/>
          <w:b/>
          <w:bCs/>
          <w:sz w:val="24"/>
          <w:highlight w:val="none"/>
        </w:rPr>
        <w:t xml:space="preserve">项目编号</w:t>
      </w:r>
      <w:r>
        <w:rPr>
          <w:rFonts w:hint="eastAsia" w:ascii="宋体" w:hAnsi="宋体" w:cs="宋体"/>
          <w:sz w:val="24"/>
          <w:highlight w:val="none"/>
          <w:lang w:eastAsia="zh-CN"/>
        </w:rPr>
        <w:t xml:space="preserve">：</w:t>
      </w:r>
      <w:r>
        <w:rPr>
          <w:rFonts w:hint="eastAsia" w:ascii="宋体" w:hAnsi="宋体" w:eastAsia="宋体" w:cs="宋体"/>
          <w:i w:val="0"/>
          <w:iCs w:val="0"/>
          <w:caps w:val="0"/>
          <w:spacing w:val="0"/>
          <w:sz w:val="24"/>
          <w:szCs w:val="24"/>
          <w:highlight w:val="none"/>
          <w:shd w:val="clear" w:color="auto" w:fill="auto"/>
        </w:rPr>
        <w:t xml:space="preserve">JSZC-320400-JSCW-G2026-0054</w:t>
      </w:r>
      <w:r/>
    </w:p>
    <w:p>
      <w:pPr>
        <w:ind w:firstLine="482"/>
        <w:spacing w:line="360" w:lineRule="auto"/>
        <w:rPr>
          <w:rFonts w:hint="eastAsia" w:ascii="宋体" w:hAnsi="宋体" w:eastAsia="宋体" w:cs="宋体"/>
          <w:color w:val="000000"/>
          <w:sz w:val="24"/>
          <w:highlight w:val="none"/>
          <w:lang w:val="en-US" w:eastAsia="zh-CN"/>
        </w:rPr>
      </w:pPr>
      <w:r>
        <w:rPr>
          <w:rFonts w:hint="eastAsia" w:ascii="宋体" w:hAnsi="宋体" w:cs="宋体"/>
          <w:b/>
          <w:bCs/>
          <w:sz w:val="24"/>
          <w:highlight w:val="none"/>
        </w:rPr>
        <w:t xml:space="preserve">预算金额：</w:t>
      </w:r>
      <w:r>
        <w:rPr>
          <w:rFonts w:hint="eastAsia" w:ascii="宋体" w:hAnsi="宋体" w:cs="宋体"/>
          <w:color w:val="000000"/>
          <w:sz w:val="24"/>
          <w:highlight w:val="none"/>
          <w:lang w:val="en-US" w:eastAsia="zh-CN"/>
        </w:rPr>
        <w:t xml:space="preserve">660</w:t>
      </w:r>
      <w:r>
        <w:rPr>
          <w:rFonts w:hint="eastAsia" w:ascii="宋体" w:hAnsi="宋体" w:eastAsia="宋体" w:cs="宋体"/>
          <w:color w:val="000000"/>
          <w:sz w:val="24"/>
          <w:highlight w:val="none"/>
          <w:lang w:val="en-US" w:eastAsia="zh-CN"/>
        </w:rPr>
        <w:t xml:space="preserve">万元</w:t>
      </w:r>
      <w:r/>
    </w:p>
    <w:p>
      <w:pPr>
        <w:ind w:firstLine="482"/>
        <w:spacing w:line="360" w:lineRule="auto"/>
        <w:rPr>
          <w:rFonts w:hint="default" w:ascii="宋体" w:hAnsi="宋体" w:cs="宋体"/>
          <w:sz w:val="24"/>
          <w:highlight w:val="none"/>
          <w:lang w:val="en-US"/>
        </w:rPr>
      </w:pPr>
      <w:r>
        <w:rPr>
          <w:rFonts w:hint="eastAsia" w:ascii="宋体" w:hAnsi="宋体" w:cs="宋体"/>
          <w:b/>
          <w:bCs/>
          <w:sz w:val="24"/>
          <w:highlight w:val="none"/>
        </w:rPr>
        <w:t xml:space="preserve">最高限价：</w:t>
      </w:r>
      <w:r>
        <w:rPr>
          <w:rFonts w:hint="eastAsia" w:ascii="宋体" w:hAnsi="宋体" w:cs="宋体"/>
          <w:color w:val="000000"/>
          <w:sz w:val="24"/>
          <w:highlight w:val="none"/>
          <w:lang w:val="en-US" w:eastAsia="zh-CN"/>
        </w:rPr>
        <w:t xml:space="preserve">595元/人/年</w:t>
      </w:r>
      <w:r/>
    </w:p>
    <w:p>
      <w:pPr>
        <w:ind w:firstLine="482"/>
        <w:spacing w:line="360" w:lineRule="auto"/>
        <w:rPr>
          <w:rFonts w:hint="eastAsia" w:ascii="宋体" w:hAnsi="宋体" w:cs="宋体"/>
          <w:sz w:val="24"/>
          <w:highlight w:val="none"/>
          <w:lang w:eastAsia="zh-CN"/>
        </w:rPr>
        <w:outlineLvl w:val="2"/>
      </w:pPr>
      <w:r>
        <w:rPr>
          <w:rFonts w:hint="eastAsia" w:ascii="宋体" w:hAnsi="宋体" w:cs="宋体"/>
          <w:b/>
          <w:bCs/>
          <w:sz w:val="24"/>
          <w:highlight w:val="none"/>
        </w:rPr>
        <w:t xml:space="preserve">采购需求：</w:t>
      </w:r>
      <w:r>
        <w:rPr>
          <w:rFonts w:hint="eastAsia" w:ascii="宋体" w:hAnsi="宋体" w:cs="宋体"/>
          <w:sz w:val="24"/>
          <w:highlight w:val="none"/>
          <w:lang w:val="en-US" w:eastAsia="zh-CN"/>
        </w:rPr>
        <w:t xml:space="preserve">常州市公安局对3627名在职人员现购买团体意外伤害（附加重大疾病）保险服务，</w:t>
      </w:r>
      <w:r>
        <w:rPr>
          <w:rFonts w:hint="eastAsia" w:ascii="宋体" w:hAnsi="宋体" w:cs="宋体"/>
          <w:sz w:val="24"/>
          <w:highlight w:val="none"/>
          <w:lang w:eastAsia="zh-CN"/>
        </w:rPr>
        <w:t xml:space="preserve">具体详见</w:t>
      </w:r>
      <w:r>
        <w:rPr>
          <w:rFonts w:hint="eastAsia" w:ascii="宋体" w:hAnsi="宋体" w:cs="宋体"/>
          <w:sz w:val="24"/>
          <w:highlight w:val="none"/>
          <w:lang w:val="en-US" w:eastAsia="zh-CN"/>
        </w:rPr>
        <w:t xml:space="preserve">招标文件《第五章 </w:t>
      </w:r>
      <w:r>
        <w:rPr>
          <w:rFonts w:hint="eastAsia" w:ascii="宋体" w:hAnsi="宋体" w:cs="宋体"/>
          <w:sz w:val="24"/>
          <w:highlight w:val="none"/>
          <w:lang w:eastAsia="zh-CN"/>
        </w:rPr>
        <w:t xml:space="preserve">采购需求</w:t>
      </w:r>
      <w:r>
        <w:rPr>
          <w:rFonts w:hint="eastAsia" w:ascii="宋体" w:hAnsi="宋体" w:cs="宋体"/>
          <w:sz w:val="24"/>
          <w:highlight w:val="none"/>
          <w:lang w:val="en-US" w:eastAsia="zh-CN"/>
        </w:rPr>
        <w:t xml:space="preserve">》</w:t>
      </w:r>
      <w:r>
        <w:rPr>
          <w:rFonts w:hint="eastAsia" w:ascii="宋体" w:hAnsi="宋体" w:cs="宋体"/>
          <w:sz w:val="24"/>
          <w:highlight w:val="none"/>
          <w:lang w:eastAsia="zh-CN"/>
        </w:rPr>
        <w:t xml:space="preserve">。</w:t>
      </w:r>
      <w:r/>
    </w:p>
    <w:p>
      <w:pPr>
        <w:ind w:firstLine="482"/>
        <w:spacing w:line="360" w:lineRule="auto"/>
        <w:rPr>
          <w:rFonts w:hint="eastAsia" w:ascii="宋体" w:hAnsi="宋体" w:cs="宋体"/>
          <w:sz w:val="24"/>
          <w:highlight w:val="none"/>
          <w:lang w:val="en-US" w:eastAsia="zh-CN"/>
        </w:rPr>
      </w:pPr>
      <w:r>
        <w:rPr>
          <w:rFonts w:hint="eastAsia" w:ascii="宋体" w:hAnsi="宋体" w:cs="宋体"/>
          <w:b/>
          <w:bCs/>
          <w:sz w:val="24"/>
          <w:highlight w:val="none"/>
        </w:rPr>
        <w:t xml:space="preserve">合同履行期限：</w:t>
      </w:r>
      <w:r>
        <w:rPr>
          <w:rFonts w:hint="eastAsia"/>
          <w:sz w:val="24"/>
          <w:lang w:eastAsia="zh-CN"/>
        </w:rPr>
        <w:t xml:space="preserve">三年</w:t>
      </w:r>
      <w:r>
        <w:rPr>
          <w:rFonts w:hint="eastAsia" w:ascii="宋体" w:hAnsi="宋体" w:cs="宋体"/>
          <w:sz w:val="24"/>
          <w:highlight w:val="none"/>
          <w:lang w:val="en-US" w:eastAsia="zh-CN"/>
        </w:rPr>
        <w:t xml:space="preserve">。</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 xml:space="preserve">本项目（是/否）接受联合体投标</w:t>
      </w:r>
      <w:r>
        <w:rPr>
          <w:rFonts w:hint="eastAsia"/>
          <w:color w:val="000000" w:themeColor="text1"/>
          <w:sz w:val="24"/>
          <w14:textFill>
            <w14:solidFill>
              <w14:schemeClr w14:val="tx1"/>
            </w14:solidFill>
          </w14:textFill>
        </w:rPr>
        <w:t xml:space="preserve">：否。</w:t>
      </w:r>
      <w:r/>
    </w:p>
    <w:p>
      <w:pPr>
        <w:ind w:firstLine="482"/>
        <w:spacing w:line="360" w:lineRule="auto"/>
        <w:rPr>
          <w:rFonts w:ascii="宋体" w:hAnsi="宋体" w:cs="宋体"/>
          <w:b/>
          <w:bCs/>
          <w:sz w:val="24"/>
        </w:rPr>
        <w:outlineLvl w:val="1"/>
      </w:pPr>
      <w:r>
        <w:rPr>
          <w:rFonts w:hint="eastAsia" w:ascii="宋体" w:hAnsi="宋体" w:cs="宋体"/>
          <w:b/>
          <w:bCs/>
          <w:sz w:val="24"/>
        </w:rPr>
        <w:t xml:space="preserve">二、申请人的资格要求：</w:t>
      </w:r>
      <w:r/>
    </w:p>
    <w:p>
      <w:pPr>
        <w:ind w:firstLine="482"/>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2"/>
        <w:spacing w:line="360" w:lineRule="auto"/>
        <w:rPr>
          <w:rFonts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.1未被“信用中国”网站（WWW.creditchina.gov.cn）列入失信被执行人、重大税收违法案件当事人名单、政府采购严重失信行为记录名单；</w:t>
      </w:r>
      <w:r/>
    </w:p>
    <w:p>
      <w:pPr>
        <w:ind w:firstLine="482"/>
        <w:spacing w:line="360" w:lineRule="auto"/>
        <w:rPr>
          <w:rFonts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2"/>
        <w:spacing w:line="360" w:lineRule="auto"/>
        <w:rPr>
          <w:rFonts w:ascii="宋体" w:hAnsi="宋体" w:cs="宋体"/>
          <w:sz w:val="24"/>
        </w:rPr>
        <w:outlineLvl w:val="2"/>
      </w:pPr>
      <w:r>
        <w:rPr>
          <w:rFonts w:hint="eastAsia" w:ascii="宋体" w:hAnsi="宋体" w:cs="宋体"/>
          <w:sz w:val="24"/>
        </w:rPr>
        <w:t xml:space="preserve">2.1中小企业政策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w:t>
      </w:r>
      <w:r>
        <w:rPr>
          <w:rFonts w:hint="eastAsia" w:ascii="宋体" w:hAnsi="宋体" w:cs="宋体"/>
          <w:sz w:val="24"/>
          <w:highlight w:val="none"/>
          <w:lang w:val="en-US" w:eastAsia="zh-CN"/>
        </w:rPr>
        <w:t xml:space="preserve">不</w:t>
      </w:r>
      <w:r>
        <w:rPr>
          <w:rFonts w:hint="eastAsia" w:ascii="宋体" w:hAnsi="宋体" w:cs="宋体"/>
          <w:sz w:val="24"/>
          <w:highlight w:val="none"/>
        </w:rPr>
        <w:t xml:space="preserve">专门面向中小企业采购。</w:t>
      </w:r>
      <w:r/>
    </w:p>
    <w:p>
      <w:pPr>
        <w:ind w:firstLine="480"/>
        <w:spacing w:line="360" w:lineRule="auto"/>
        <w:rPr>
          <w:i/>
          <w:iCs/>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3.本项目的特定资格要求：</w:t>
      </w:r>
      <w:r/>
    </w:p>
    <w:p>
      <w:pPr>
        <w:ind w:firstLine="482"/>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1</w:t>
      </w:r>
      <w:r>
        <w:rPr>
          <w:rFonts w:hint="eastAsia" w:ascii="宋体" w:hAnsi="宋体" w:cs="宋体"/>
          <w:sz w:val="24"/>
        </w:rPr>
        <w:t xml:space="preserve">本项目是否接受分支机构参与投标：是；</w:t>
      </w:r>
      <w:r/>
    </w:p>
    <w:p>
      <w:pPr>
        <w:ind w:firstLine="482"/>
        <w:spacing w:line="360" w:lineRule="auto"/>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2</w:t>
      </w:r>
      <w:r>
        <w:rPr>
          <w:rFonts w:hint="eastAsia" w:ascii="宋体" w:hAnsi="宋体" w:cs="宋体"/>
          <w:sz w:val="24"/>
          <w:highlight w:val="none"/>
        </w:rPr>
        <w:t xml:space="preserve">本项目是否属于政府购买服务</w:t>
      </w:r>
      <w:r>
        <w:rPr>
          <w:rFonts w:hint="eastAsia" w:ascii="宋体" w:hAnsi="宋体" w:cs="宋体"/>
          <w:sz w:val="24"/>
        </w:rPr>
        <w:t xml:space="preserve">：</w:t>
      </w:r>
      <w:r>
        <w:rPr>
          <w:rFonts w:hint="eastAsia" w:ascii="宋体" w:hAnsi="宋体" w:cs="宋体"/>
          <w:sz w:val="24"/>
          <w:highlight w:val="none"/>
          <w:lang w:val="en-US" w:eastAsia="zh-CN"/>
        </w:rPr>
        <w:t xml:space="preserve">是</w:t>
      </w:r>
      <w:r>
        <w:rPr>
          <w:rFonts w:hint="eastAsia" w:ascii="宋体" w:hAnsi="宋体" w:cs="宋体"/>
          <w:sz w:val="24"/>
          <w:highlight w:val="none"/>
          <w:lang w:eastAsia="zh-CN"/>
        </w:rPr>
        <w:t xml:space="preserve">，</w:t>
      </w:r>
      <w:r>
        <w:rPr>
          <w:rFonts w:hint="eastAsia" w:ascii="宋体" w:hAnsi="宋体" w:eastAsia="宋体" w:cs="宋体"/>
          <w:sz w:val="24"/>
          <w:highlight w:val="none"/>
          <w:lang w:val="en-US" w:eastAsia="zh-CN"/>
        </w:rPr>
        <w:t xml:space="preserve">公益一类事业单位、使用事业编制且由财政拨款保障的群团组织，不得作为承接主体</w:t>
      </w:r>
      <w:r>
        <w:rPr>
          <w:rFonts w:hint="eastAsia" w:ascii="宋体" w:hAnsi="宋体" w:eastAsia="宋体" w:cs="宋体"/>
          <w:sz w:val="24"/>
          <w:lang w:val="en-US" w:eastAsia="zh-CN"/>
        </w:rPr>
        <w:t xml:space="preserve">；</w:t>
      </w:r>
      <w:r/>
    </w:p>
    <w:p>
      <w:pPr>
        <w:ind w:firstLine="480"/>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t xml:space="preserve"> 其他特定资格条件：</w:t>
      </w:r>
      <w:r>
        <w:rPr>
          <w:rFonts w:hint="eastAsia" w:cs="Times New Roman"/>
          <w:sz w:val="24"/>
          <w:highlight w:val="none"/>
          <w:lang w:val="en-US" w:eastAsia="zh-CN"/>
        </w:rPr>
        <w:t xml:space="preserve">投标人</w:t>
      </w:r>
      <w:r>
        <w:rPr>
          <w:rFonts w:hint="eastAsia" w:ascii="Times New Roman" w:hAnsi="Times New Roman" w:eastAsia="宋体" w:cs="Times New Roman"/>
          <w:sz w:val="24"/>
          <w:highlight w:val="none"/>
          <w:lang w:val="en-US" w:eastAsia="zh-CN"/>
        </w:rPr>
        <w:t xml:space="preserve">须具有国家金融监督管理总局（含原中国银行保险监督管理委员会）颁发的有效保险业务经营许可证，</w:t>
      </w:r>
      <w:r>
        <w:rPr>
          <w:rFonts w:hint="eastAsia" w:cs="Times New Roman"/>
          <w:sz w:val="24"/>
          <w:highlight w:val="none"/>
          <w:lang w:val="en-US" w:eastAsia="zh-CN"/>
        </w:rPr>
        <w:t xml:space="preserve">证书可为</w:t>
      </w:r>
      <w:r>
        <w:rPr>
          <w:rFonts w:hint="eastAsia" w:ascii="Times New Roman" w:hAnsi="Times New Roman" w:eastAsia="宋体" w:cs="Times New Roman"/>
          <w:sz w:val="24"/>
          <w:highlight w:val="none"/>
          <w:lang w:val="en-US" w:eastAsia="zh-CN"/>
        </w:rPr>
        <w:t xml:space="preserve">《中华人民共和国金融许可证》</w:t>
      </w:r>
      <w:r>
        <w:rPr>
          <w:rFonts w:hint="eastAsia" w:cs="Times New Roman"/>
          <w:sz w:val="24"/>
          <w:highlight w:val="none"/>
          <w:lang w:val="en-US" w:eastAsia="zh-CN"/>
        </w:rPr>
        <w:t xml:space="preserve">或</w:t>
      </w:r>
      <w:r>
        <w:rPr>
          <w:rFonts w:hint="eastAsia" w:ascii="Times New Roman" w:hAnsi="Times New Roman" w:eastAsia="宋体" w:cs="Times New Roman"/>
          <w:sz w:val="24"/>
          <w:highlight w:val="none"/>
          <w:lang w:val="en-US" w:eastAsia="zh-CN"/>
        </w:rPr>
        <w:t xml:space="preserve">《保险许可证》</w:t>
      </w:r>
      <w:r>
        <w:rPr>
          <w:rFonts w:hint="eastAsia" w:cs="Times New Roman"/>
          <w:sz w:val="24"/>
          <w:highlight w:val="none"/>
          <w:lang w:val="en-US" w:eastAsia="zh-CN"/>
        </w:rPr>
        <w:t xml:space="preserve">或</w:t>
      </w:r>
      <w:r>
        <w:rPr>
          <w:rFonts w:hint="eastAsia" w:ascii="Times New Roman" w:hAnsi="Times New Roman" w:eastAsia="宋体" w:cs="Times New Roman"/>
          <w:sz w:val="24"/>
          <w:highlight w:val="none"/>
          <w:lang w:val="en-US" w:eastAsia="zh-CN"/>
        </w:rPr>
        <w:t xml:space="preserve">《经营保险业务许可证》；业务范围</w:t>
      </w:r>
      <w:r>
        <w:rPr>
          <w:rFonts w:hint="eastAsia" w:cs="Times New Roman"/>
          <w:sz w:val="24"/>
          <w:highlight w:val="none"/>
          <w:lang w:val="en-US" w:eastAsia="zh-CN"/>
        </w:rPr>
        <w:t xml:space="preserve">至少包含</w:t>
      </w:r>
      <w:r>
        <w:rPr>
          <w:rFonts w:hint="eastAsia" w:ascii="Times New Roman" w:hAnsi="Times New Roman" w:eastAsia="宋体" w:cs="Times New Roman"/>
          <w:sz w:val="24"/>
          <w:highlight w:val="none"/>
          <w:lang w:val="en-US" w:eastAsia="zh-CN"/>
        </w:rPr>
        <w:t xml:space="preserve">意外伤害保险；如为分支机构参加投标，中标后10个工作日内提供总公司</w:t>
      </w:r>
      <w:r>
        <w:rPr>
          <w:rFonts w:hint="eastAsia" w:cs="Times New Roman"/>
          <w:sz w:val="24"/>
          <w:highlight w:val="none"/>
          <w:lang w:val="en-US" w:eastAsia="zh-CN"/>
        </w:rPr>
        <w:t xml:space="preserve">项目</w:t>
      </w:r>
      <w:r>
        <w:rPr>
          <w:rFonts w:hint="eastAsia" w:ascii="Times New Roman" w:hAnsi="Times New Roman" w:eastAsia="宋体" w:cs="Times New Roman"/>
          <w:sz w:val="24"/>
          <w:highlight w:val="none"/>
          <w:lang w:val="en-US" w:eastAsia="zh-CN"/>
        </w:rPr>
        <w:t xml:space="preserve">授权</w:t>
      </w:r>
      <w:r>
        <w:rPr>
          <w:rFonts w:hint="eastAsia" w:cs="Times New Roman"/>
          <w:sz w:val="24"/>
          <w:highlight w:val="none"/>
          <w:lang w:val="en-US" w:eastAsia="zh-CN"/>
        </w:rPr>
        <w:t xml:space="preserve">书</w:t>
      </w:r>
      <w:r>
        <w:rPr>
          <w:rFonts w:hint="eastAsia" w:ascii="Times New Roman" w:hAnsi="Times New Roman" w:eastAsia="宋体" w:cs="Times New Roman"/>
          <w:sz w:val="24"/>
          <w:highlight w:val="none"/>
          <w:lang w:val="en-US" w:eastAsia="zh-CN"/>
        </w:rPr>
        <w:t xml:space="preserve">。同一家总公司只能有一家分支机构参与投标，且总公司不能与下属分支机构同时参与投标。</w:t>
      </w:r>
      <w:r/>
    </w:p>
    <w:p>
      <w:pPr>
        <w:ind w:firstLine="482"/>
        <w:spacing w:line="360" w:lineRule="auto"/>
        <w:rPr>
          <w:rFonts w:ascii="宋体" w:hAnsi="宋体" w:cs="宋体"/>
          <w:bCs/>
          <w:sz w:val="24"/>
        </w:rPr>
        <w:outlineLvl w:val="1"/>
      </w:pPr>
      <w:r/>
      <w:bookmarkStart w:id="6" w:name="_Toc35393623"/>
      <w:r/>
      <w:bookmarkStart w:id="7" w:name="_Toc35393792"/>
      <w:r>
        <w:rPr>
          <w:rFonts w:hint="eastAsia" w:ascii="宋体" w:hAnsi="宋体" w:cs="宋体"/>
          <w:bCs/>
          <w:sz w:val="24"/>
        </w:rPr>
        <w:t xml:space="preserve">三、获取</w:t>
      </w:r>
      <w:r>
        <w:rPr>
          <w:rFonts w:hint="eastAsia" w:ascii="宋体" w:hAnsi="宋体" w:cs="宋体"/>
          <w:bCs/>
          <w:sz w:val="24"/>
          <w:lang w:val="en-US" w:eastAsia="zh-CN"/>
        </w:rPr>
        <w:t xml:space="preserve">招标</w:t>
      </w:r>
      <w:r>
        <w:rPr>
          <w:rFonts w:hint="eastAsia" w:ascii="宋体" w:hAnsi="宋体" w:cs="宋体"/>
          <w:bCs/>
          <w:sz w:val="24"/>
        </w:rPr>
        <w:t xml:space="preserve">文件</w:t>
      </w:r>
      <w:bookmarkEnd w:id="6"/>
      <w:r/>
      <w:bookmarkEnd w:id="7"/>
      <w:r/>
      <w:r/>
    </w:p>
    <w:p>
      <w:pPr>
        <w:ind w:firstLine="482"/>
        <w:spacing w:line="360" w:lineRule="auto"/>
        <w:rPr>
          <w:rFonts w:ascii="宋体" w:hAnsi="宋体" w:cs="宋体"/>
          <w:sz w:val="24"/>
        </w:rPr>
      </w:pPr>
      <w:r>
        <w:rPr>
          <w:rFonts w:hint="eastAsia" w:ascii="宋体" w:hAnsi="宋体" w:cs="宋体"/>
          <w:sz w:val="24"/>
        </w:rPr>
        <w:t xml:space="preserve">1.时间：自招标文件公告发布之日起5个工作日 </w:t>
      </w:r>
      <w:r/>
    </w:p>
    <w:p>
      <w:pPr>
        <w:ind w:firstLine="482"/>
        <w:spacing w:line="360" w:lineRule="auto"/>
        <w:rPr>
          <w:rFonts w:ascii="宋体" w:hAnsi="宋体" w:cs="宋体"/>
          <w:sz w:val="24"/>
        </w:rPr>
        <w:outlineLvl w:val="2"/>
      </w:pPr>
      <w:r>
        <w:rPr>
          <w:rFonts w:hint="eastAsia" w:ascii="宋体" w:hAnsi="宋体" w:cs="宋体"/>
          <w:sz w:val="24"/>
        </w:rPr>
        <w:t xml:space="preserve">2.地点：“苏采云”政府采购一体化平台</w:t>
      </w:r>
      <w:r/>
    </w:p>
    <w:p>
      <w:pPr>
        <w:ind w:firstLine="482"/>
        <w:jc w:val="left"/>
        <w:spacing w:line="360" w:lineRule="auto"/>
        <w:widowControl/>
        <w:rPr>
          <w:rFonts w:ascii="宋体" w:hAnsi="宋体" w:cs="宋体"/>
          <w:sz w:val="24"/>
        </w:rPr>
      </w:pPr>
      <w:r>
        <w:rPr>
          <w:rFonts w:hint="eastAsia" w:ascii="宋体" w:hAnsi="宋体" w:cs="宋体"/>
          <w:sz w:val="24"/>
        </w:rPr>
        <w:t xml:space="preserve">3.方式：“苏采云”政府采购一体化平台自行免费下载</w:t>
      </w:r>
      <w:r/>
    </w:p>
    <w:p>
      <w:pPr>
        <w:ind w:firstLine="482"/>
        <w:jc w:val="left"/>
        <w:spacing w:line="360" w:lineRule="auto"/>
        <w:widowControl/>
        <w:rPr>
          <w:rFonts w:ascii="宋体" w:hAnsi="宋体" w:cs="宋体"/>
          <w:sz w:val="24"/>
        </w:rPr>
        <w:outlineLvl w:val="2"/>
      </w:pPr>
      <w:r>
        <w:rPr>
          <w:rFonts w:hint="eastAsia" w:ascii="宋体" w:hAnsi="宋体" w:cs="宋体"/>
          <w:sz w:val="24"/>
        </w:rPr>
        <w:t xml:space="preserve">4.售价：0元。</w:t>
      </w:r>
      <w:r/>
    </w:p>
    <w:p>
      <w:pPr>
        <w:ind w:firstLine="482"/>
        <w:spacing w:line="360" w:lineRule="auto"/>
        <w:rPr>
          <w:rFonts w:ascii="宋体" w:hAnsi="宋体" w:cs="宋体"/>
          <w:b/>
          <w:bCs/>
          <w:sz w:val="24"/>
        </w:rPr>
        <w:outlineLvl w:val="1"/>
      </w:pPr>
      <w:r/>
      <w:bookmarkStart w:id="8" w:name="_Toc35393793"/>
      <w:r>
        <w:rPr>
          <w:rFonts w:hint="eastAsia" w:ascii="宋体" w:hAnsi="宋体" w:cs="宋体"/>
          <w:b/>
          <w:bCs/>
          <w:sz w:val="24"/>
        </w:rPr>
        <w:t xml:space="preserve">四、提交投标文件截止时间、开标时间和地点</w:t>
      </w:r>
      <w:bookmarkEnd w:id="8"/>
      <w:r/>
      <w:r/>
    </w:p>
    <w:p>
      <w:pPr>
        <w:ind w:firstLine="1027"/>
        <w:spacing w:line="360" w:lineRule="auto"/>
        <w:rPr>
          <w:rFonts w:ascii="宋体" w:hAnsi="宋体" w:cs="宋体"/>
          <w:sz w:val="24"/>
        </w:rPr>
      </w:pPr>
      <w:r/>
      <w:bookmarkStart w:id="9" w:name="XMTBJSR_1"/>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cs="宋体"/>
          <w:sz w:val="24"/>
          <w:lang w:val="en-US" w:eastAsia="zh-CN"/>
        </w:rPr>
        <w:t xml:space="preserve">11</w:t>
      </w:r>
      <w:r>
        <w:rPr>
          <w:rFonts w:hint="eastAsia" w:ascii="宋体" w:hAnsi="宋体" w:cs="宋体"/>
          <w:sz w:val="24"/>
        </w:rPr>
        <w:t xml:space="preserve">-</w:t>
      </w:r>
      <w:r>
        <w:rPr>
          <w:rFonts w:hint="eastAsia" w:ascii="宋体" w:hAnsi="宋体" w:cs="宋体"/>
          <w:sz w:val="24"/>
          <w:lang w:val="en-US" w:eastAsia="zh-CN"/>
        </w:rPr>
        <w:t xml:space="preserve">18</w:t>
      </w:r>
      <w:r>
        <w:rPr>
          <w:rFonts w:hint="eastAsia" w:ascii="宋体" w:hAnsi="宋体" w:cs="宋体"/>
          <w:sz w:val="24"/>
        </w:rPr>
        <w:t xml:space="preserve"> </w:t>
      </w:r>
      <w:r>
        <w:rPr>
          <w:rFonts w:hint="eastAsia" w:ascii="宋体" w:hAnsi="宋体" w:cs="宋体"/>
          <w:sz w:val="24"/>
          <w:lang w:val="en-US" w:eastAsia="zh-CN"/>
        </w:rPr>
        <w:t xml:space="preserve">09</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 （北京时间）</w:t>
      </w:r>
      <w:r/>
    </w:p>
    <w:p>
      <w:pPr>
        <w:ind w:firstLine="1027"/>
        <w:spacing w:line="360" w:lineRule="auto"/>
        <w:rPr>
          <w:rFonts w:ascii="宋体" w:hAnsi="宋体" w:cs="宋体"/>
          <w:sz w:val="24"/>
        </w:rPr>
      </w:pPr>
      <w:r>
        <w:rPr>
          <w:rFonts w:hint="eastAsia" w:ascii="宋体" w:hAnsi="宋体" w:cs="宋体"/>
          <w:sz w:val="24"/>
        </w:rPr>
        <w:t xml:space="preserve">地点：“苏采云”政府采购一体化平台</w:t>
      </w:r>
      <w:bookmarkEnd w:id="9"/>
      <w:r/>
      <w:r/>
    </w:p>
    <w:p>
      <w:pPr>
        <w:pStyle w:val="1072"/>
        <w:ind w:firstLine="420"/>
        <w:jc w:val="left"/>
        <w:spacing w:before="0" w:line="360" w:lineRule="auto"/>
        <w:rPr>
          <w:rFonts w:ascii="宋体" w:hAnsi="宋体" w:eastAsia="宋体" w:cs="宋体"/>
          <w:bCs/>
          <w:sz w:val="24"/>
          <w:szCs w:val="24"/>
        </w:rPr>
      </w:pPr>
      <w:r/>
      <w:bookmarkStart w:id="10" w:name="_Toc35393625"/>
      <w:r/>
      <w:bookmarkStart w:id="11" w:name="_Toc35393794"/>
      <w:r/>
      <w:bookmarkStart w:id="12" w:name="_Toc28359084"/>
      <w:r/>
      <w:bookmarkStart w:id="13" w:name="_Toc28359007"/>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、公告期限</w:t>
      </w:r>
      <w:bookmarkEnd w:id="10"/>
      <w:r/>
      <w:bookmarkEnd w:id="11"/>
      <w:r/>
      <w:bookmarkEnd w:id="12"/>
      <w:r/>
      <w:bookmarkEnd w:id="13"/>
      <w:r/>
      <w:r/>
    </w:p>
    <w:p>
      <w:pPr>
        <w:ind w:firstLine="482"/>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90"/>
        <w:spacing w:line="360" w:lineRule="auto"/>
        <w:rPr>
          <w:rFonts w:ascii="宋体" w:hAnsi="宋体" w:cs="宋体"/>
          <w:sz w:val="24"/>
        </w:rPr>
        <w:outlineLvl w:val="1"/>
      </w:pPr>
      <w:r>
        <w:rPr>
          <w:rFonts w:hint="eastAsia" w:ascii="宋体" w:hAnsi="宋体" w:cs="宋体"/>
          <w:b/>
          <w:spacing w:val="2"/>
          <w:sz w:val="24"/>
          <w:lang w:val="en-US" w:eastAsia="zh-CN"/>
        </w:rPr>
        <w:t xml:space="preserve">六</w:t>
      </w:r>
      <w:r>
        <w:rPr>
          <w:rFonts w:hint="eastAsia" w:ascii="宋体" w:hAnsi="宋体" w:cs="宋体"/>
          <w:b/>
          <w:spacing w:val="2"/>
          <w:sz w:val="24"/>
        </w:rPr>
        <w:t xml:space="preserve">、其他补充事宜</w:t>
      </w:r>
      <w:r/>
    </w:p>
    <w:p>
      <w:pPr>
        <w:ind w:firstLine="482"/>
        <w:spacing w:line="360" w:lineRule="auto"/>
        <w:rPr>
          <w:rFonts w:ascii="宋体" w:hAnsi="宋体" w:cs="宋体"/>
          <w:sz w:val="24"/>
        </w:rPr>
      </w:pPr>
      <w:r>
        <w:rPr>
          <w:rFonts w:hint="eastAsia" w:ascii="宋体" w:hAnsi="宋体" w:cs="宋体"/>
          <w:sz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rPr>
      </w:pPr>
      <w:r>
        <w:rPr>
          <w:rFonts w:hint="eastAsia" w:ascii="宋体" w:hAnsi="宋体" w:cs="宋体"/>
          <w:sz w:val="24"/>
        </w:rPr>
        <w:t xml:space="preserve">技术支持服务热线:0519-85588210</w:t>
      </w:r>
      <w:r/>
    </w:p>
    <w:p>
      <w:pPr>
        <w:pStyle w:val="1274"/>
        <w:ind w:firstLine="480"/>
        <w:spacing w:line="360" w:lineRule="auto"/>
        <w:rPr>
          <w:rFonts w:hint="eastAsia" w:ascii="宋体" w:hAnsi="宋体" w:cs="宋体"/>
          <w:color w:val="auto"/>
        </w:rPr>
      </w:pPr>
      <w:r>
        <w:rPr>
          <w:rFonts w:hint="eastAsia" w:ascii="宋体" w:hAnsi="宋体" w:cs="宋体"/>
          <w:color w:val="auto"/>
        </w:rPr>
        <w:t xml:space="preserve">CA认证证书办理联系电话：0519-85588120</w:t>
      </w:r>
      <w:r/>
    </w:p>
    <w:p>
      <w:pPr>
        <w:pStyle w:val="1274"/>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注：供应商办理CA电子签章的名称应与“苏采云”政府采购一体化平台的供应商名称一致。</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pStyle w:val="1274"/>
        <w:ind w:firstLine="480"/>
        <w:spacing w:line="360" w:lineRule="auto"/>
        <w:rPr>
          <w:rFonts w:ascii="宋体" w:hAnsi="宋体" w:cs="宋体"/>
          <w:sz w:val="24"/>
        </w:rPr>
      </w:pPr>
      <w:r>
        <w:rPr>
          <w:rFonts w:hint="eastAsia" w:ascii="宋体" w:hAnsi="宋体" w:cs="宋体"/>
          <w:sz w:val="24"/>
        </w:rPr>
        <w:t xml:space="preserve">2.关于常州市中小企业政府采购信用融资：</w:t>
      </w:r>
      <w:r/>
    </w:p>
    <w:p>
      <w:pPr>
        <w:ind w:firstLine="482"/>
        <w:spacing w:line="360" w:lineRule="auto"/>
        <w:rPr>
          <w:rFonts w:hint="eastAsia" w:ascii="宋体" w:hAnsi="宋体" w:eastAsia="宋体" w:cs="宋体"/>
          <w:sz w:val="24"/>
          <w:lang w:eastAsia="zh-CN"/>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 w:val="24"/>
          <w:lang w:eastAsia="zh-CN"/>
        </w:rPr>
        <w:t xml:space="preserve">。</w:t>
      </w:r>
      <w:r/>
    </w:p>
    <w:p>
      <w:pPr>
        <w:ind w:firstLine="490"/>
        <w:spacing w:line="360" w:lineRule="auto"/>
        <w:rPr>
          <w:rFonts w:hint="eastAsia" w:ascii="宋体" w:hAnsi="宋体" w:eastAsia="宋体" w:cs="宋体"/>
          <w:b/>
          <w:spacing w:val="2"/>
          <w:sz w:val="24"/>
          <w:lang w:eastAsia="zh-CN"/>
        </w:rPr>
        <w:outlineLvl w:val="1"/>
      </w:pPr>
      <w:r>
        <w:rPr>
          <w:rFonts w:hint="eastAsia" w:ascii="宋体" w:hAnsi="宋体" w:cs="宋体"/>
          <w:b/>
          <w:spacing w:val="2"/>
          <w:sz w:val="24"/>
          <w:lang w:val="en-US" w:eastAsia="zh-CN"/>
        </w:rPr>
        <w:t xml:space="preserve">七</w:t>
      </w:r>
      <w:r>
        <w:rPr>
          <w:rFonts w:hint="eastAsia" w:ascii="宋体" w:hAnsi="宋体" w:cs="宋体"/>
          <w:b/>
          <w:spacing w:val="2"/>
          <w:sz w:val="24"/>
        </w:rPr>
        <w:t xml:space="preserve">、对本次采购提出询问，请按以下方式联系</w:t>
      </w:r>
      <w:r>
        <w:rPr>
          <w:rFonts w:hint="eastAsia" w:ascii="宋体" w:hAnsi="宋体" w:cs="宋体"/>
          <w:b/>
          <w:spacing w:val="2"/>
          <w:sz w:val="24"/>
          <w:lang w:eastAsia="zh-CN"/>
        </w:rPr>
        <w:t xml:space="preserve">。</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1.采购人信息</w:t>
      </w:r>
      <w:r/>
    </w:p>
    <w:p>
      <w:pPr>
        <w:pStyle w:val="1495"/>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highlight w:val="none"/>
          <w:lang w:val="en-US" w:eastAsia="zh-CN" w:bidi="ar-SA"/>
        </w:rPr>
        <w:pBdr>
          <w:left w:val="none" w:color="000000" w:sz="0" w:space="0"/>
        </w:pBdr>
        <w:suppressLineNumbers w:val="0"/>
      </w:pPr>
      <w:r/>
      <w:bookmarkStart w:id="14" w:name="_Toc28359086"/>
      <w:r/>
      <w:bookmarkStart w:id="15" w:name="_Toc28359009"/>
      <w:r>
        <w:rPr>
          <w:rFonts w:hint="eastAsia" w:ascii="宋体" w:hAnsi="宋体" w:eastAsia="宋体" w:cs="宋体"/>
          <w:sz w:val="24"/>
          <w:szCs w:val="24"/>
          <w:lang w:val="en-US" w:eastAsia="zh-CN" w:bidi="ar-SA"/>
        </w:rPr>
        <w:t xml:space="preserve">单位名称：</w:t>
      </w:r>
      <w:r>
        <w:rPr>
          <w:rFonts w:hint="eastAsia" w:ascii="宋体" w:hAnsi="宋体" w:eastAsia="宋体" w:cs="宋体"/>
          <w:sz w:val="24"/>
          <w:szCs w:val="24"/>
          <w:highlight w:val="none"/>
          <w:lang w:val="en-US" w:eastAsia="zh-CN" w:bidi="ar-SA"/>
        </w:rPr>
        <w:t xml:space="preserve">常州市公安局</w:t>
      </w:r>
      <w:r/>
    </w:p>
    <w:p>
      <w:pPr>
        <w:pStyle w:val="1495"/>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highlight w:val="none"/>
          <w:u w:val="none"/>
          <w:lang w:val="en-US" w:eastAsia="zh-CN" w:bidi="ar-SA"/>
        </w:rPr>
        <w:pBdr>
          <w:left w:val="none" w:color="000000" w:sz="0" w:space="0"/>
        </w:pBdr>
        <w:suppressLineNumbers w:val="0"/>
      </w:pPr>
      <w:r>
        <w:rPr>
          <w:rFonts w:hint="eastAsia" w:ascii="宋体" w:hAnsi="宋体" w:eastAsia="宋体" w:cs="宋体"/>
          <w:sz w:val="24"/>
          <w:szCs w:val="24"/>
          <w:highlight w:val="none"/>
          <w:u w:val="none"/>
          <w:lang w:val="en-US" w:eastAsia="zh-CN" w:bidi="ar-SA"/>
        </w:rPr>
        <w:t xml:space="preserve">单位地址：江苏省常州市新北区龙锦路1588号</w:t>
      </w:r>
      <w:r/>
    </w:p>
    <w:p>
      <w:pPr>
        <w:pStyle w:val="1495"/>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lang w:val="en-US" w:eastAsia="zh-CN" w:bidi="ar-SA"/>
        </w:rPr>
        <w:pBdr>
          <w:left w:val="none" w:color="000000" w:sz="0" w:space="0"/>
        </w:pBdr>
        <w:suppressLineNumbers w:val="0"/>
      </w:pPr>
      <w:r>
        <w:rPr>
          <w:rFonts w:hint="eastAsia" w:ascii="宋体" w:hAnsi="宋体" w:eastAsia="宋体" w:cs="宋体"/>
          <w:sz w:val="24"/>
          <w:szCs w:val="24"/>
          <w:lang w:val="en-US" w:eastAsia="zh-CN" w:bidi="ar-SA"/>
        </w:rPr>
        <w:t xml:space="preserve">联系人：邵先生</w:t>
      </w:r>
      <w:r/>
    </w:p>
    <w:p>
      <w:pPr>
        <w:pStyle w:val="1495"/>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lang w:val="en-US" w:eastAsia="zh-CN" w:bidi="ar-SA"/>
        </w:rPr>
        <w:pBdr>
          <w:left w:val="none" w:color="000000" w:sz="0" w:space="0"/>
        </w:pBdr>
        <w:suppressLineNumbers w:val="0"/>
      </w:pPr>
      <w:r>
        <w:rPr>
          <w:rFonts w:hint="eastAsia" w:ascii="宋体" w:hAnsi="宋体" w:eastAsia="宋体" w:cs="宋体"/>
          <w:sz w:val="24"/>
          <w:szCs w:val="24"/>
          <w:lang w:val="en-US" w:eastAsia="zh-CN" w:bidi="ar-SA"/>
        </w:rPr>
        <w:t xml:space="preserve">联系电话：0519-81993183 </w:t>
      </w:r>
      <w:bookmarkEnd w:id="14"/>
      <w:r/>
      <w:bookmarkEnd w:id="15"/>
      <w:r/>
      <w:r/>
    </w:p>
    <w:p>
      <w:pPr>
        <w:ind w:firstLine="482"/>
        <w:spacing w:line="360" w:lineRule="auto"/>
        <w:rPr>
          <w:rFonts w:hint="default" w:ascii="宋体" w:hAnsi="宋体" w:eastAsia="宋体" w:cs="宋体"/>
          <w:sz w:val="24"/>
          <w:lang w:val="en-US" w:eastAsia="zh-CN"/>
        </w:rPr>
        <w:outlineLvl w:val="2"/>
      </w:pPr>
      <w:r>
        <w:rPr>
          <w:rFonts w:hint="eastAsia" w:ascii="宋体" w:hAnsi="宋体" w:cs="宋体"/>
          <w:sz w:val="24"/>
        </w:rPr>
        <w:t xml:space="preserve">2.采购代理机构信息</w:t>
      </w:r>
      <w:r>
        <w:rPr>
          <w:rFonts w:hint="eastAsia" w:ascii="宋体" w:hAnsi="宋体" w:cs="宋体"/>
          <w:sz w:val="24"/>
          <w:lang w:eastAsia="zh-CN"/>
        </w:rPr>
        <w:t xml:space="preserve">（</w:t>
      </w:r>
      <w:r>
        <w:rPr>
          <w:rFonts w:hint="eastAsia" w:ascii="宋体" w:hAnsi="宋体" w:cs="宋体"/>
          <w:sz w:val="24"/>
          <w:lang w:val="en-US" w:eastAsia="zh-CN"/>
        </w:rPr>
        <w:t xml:space="preserve">如有）</w:t>
      </w:r>
      <w:r/>
    </w:p>
    <w:p>
      <w:pPr>
        <w:ind w:firstLine="482"/>
        <w:spacing w:line="360" w:lineRule="auto"/>
        <w:rPr>
          <w:rFonts w:ascii="宋体" w:hAnsi="宋体" w:cs="宋体"/>
          <w:sz w:val="24"/>
        </w:rPr>
      </w:pPr>
      <w:r>
        <w:rPr>
          <w:rFonts w:hint="eastAsia" w:ascii="宋体" w:hAnsi="宋体" w:cs="宋体"/>
          <w:sz w:val="24"/>
        </w:rPr>
        <w:t xml:space="preserve">单位名称：</w:t>
      </w:r>
      <w:r>
        <w:rPr>
          <w:rFonts w:hint="eastAsia" w:ascii="宋体" w:hAnsi="宋体" w:cs="宋体"/>
          <w:sz w:val="24"/>
          <w:lang w:eastAsia="zh-CN"/>
        </w:rPr>
        <w:t xml:space="preserve">江苏春为全过程工程咨询有限公司</w:t>
      </w:r>
      <w:r>
        <w:rPr>
          <w:rFonts w:hint="eastAsia" w:ascii="宋体" w:hAnsi="宋体" w:cs="宋体"/>
          <w:sz w:val="24"/>
        </w:rPr>
        <w:t xml:space="preserve"> </w:t>
      </w:r>
      <w:r/>
    </w:p>
    <w:p>
      <w:pPr>
        <w:ind w:firstLine="482"/>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sz w:val="24"/>
        </w:rPr>
        <w:t xml:space="preserve">单位地址：</w:t>
      </w:r>
      <w:r>
        <w:rPr>
          <w:rFonts w:hint="eastAsia" w:ascii="宋体" w:hAnsi="宋体"/>
          <w:color w:val="000000" w:themeColor="text1"/>
          <w:sz w:val="24"/>
          <w14:textFill>
            <w14:solidFill>
              <w14:schemeClr w14:val="tx1"/>
            </w14:solidFill>
          </w14:textFill>
        </w:rPr>
        <w:t xml:space="preserve">常州市武进区延政西大道6号蓝图大厦4楼</w:t>
      </w:r>
      <w:r/>
    </w:p>
    <w:p>
      <w:pPr>
        <w:ind w:firstLine="482"/>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联系人：陈</w:t>
      </w:r>
      <w:r>
        <w:rPr>
          <w:rFonts w:hint="eastAsia" w:ascii="宋体" w:hAnsi="宋体"/>
          <w:color w:val="000000" w:themeColor="text1"/>
          <w:sz w:val="24"/>
          <w14:textFill>
            <w14:solidFill>
              <w14:schemeClr w14:val="tx1"/>
            </w14:solidFill>
          </w14:textFill>
        </w:rPr>
        <w:t xml:space="preserve">女士</w:t>
      </w:r>
      <w:r/>
    </w:p>
    <w:p>
      <w:pPr>
        <w:ind w:firstLine="482"/>
        <w:spacing w:line="360" w:lineRule="auto"/>
      </w:pPr>
      <w:r>
        <w:rPr>
          <w:rFonts w:ascii="宋体" w:hAnsi="宋体"/>
          <w:color w:val="000000" w:themeColor="text1"/>
          <w:sz w:val="24"/>
          <w14:textFill>
            <w14:solidFill>
              <w14:schemeClr w14:val="tx1"/>
            </w14:solidFill>
          </w14:textFill>
        </w:rPr>
        <w:t xml:space="preserve">联系</w:t>
      </w:r>
      <w:r>
        <w:rPr>
          <w:rFonts w:hint="eastAsia" w:ascii="宋体" w:hAnsi="宋体"/>
          <w:color w:val="000000" w:themeColor="text1"/>
          <w:sz w:val="24"/>
          <w14:textFill>
            <w14:solidFill>
              <w14:schemeClr w14:val="tx1"/>
            </w14:solidFill>
          </w14:textFill>
        </w:rPr>
        <w:t xml:space="preserve">电话</w:t>
      </w:r>
      <w:r>
        <w:rPr>
          <w:rFonts w:ascii="宋体" w:hAnsi="宋体"/>
          <w:color w:val="000000" w:themeColor="text1"/>
          <w:sz w:val="24"/>
          <w14:textFill>
            <w14:solidFill>
              <w14:schemeClr w14:val="tx1"/>
            </w14:solidFill>
          </w14:textFill>
        </w:rPr>
        <w:t xml:space="preserve">：</w:t>
      </w:r>
      <w:r>
        <w:rPr>
          <w:rFonts w:ascii="宋体" w:hAnsi="宋体"/>
          <w:color w:val="000000" w:themeColor="text1"/>
          <w:spacing w:val="2"/>
          <w:sz w:val="24"/>
          <w14:textFill>
            <w14:solidFill>
              <w14:schemeClr w14:val="tx1"/>
            </w14:solidFill>
          </w14:textFill>
        </w:rPr>
        <w:t xml:space="preserve">0519-68852676</w:t>
      </w:r>
      <w:r/>
    </w:p>
    <w:p>
      <w:pPr>
        <w:ind w:firstLine="482"/>
        <w:spacing w:line="360" w:lineRule="auto"/>
        <w:rPr>
          <w:rFonts w:ascii="宋体" w:hAnsi="宋体" w:cs="宋体"/>
          <w:sz w:val="24"/>
        </w:rPr>
        <w:outlineLvl w:val="2"/>
      </w:pPr>
      <w:r>
        <w:rPr>
          <w:rFonts w:hint="eastAsia" w:ascii="宋体" w:hAnsi="宋体" w:cs="宋体"/>
          <w:sz w:val="24"/>
        </w:rPr>
        <w:t xml:space="preserve">3.项目联系方式</w:t>
      </w:r>
      <w:r/>
    </w:p>
    <w:p>
      <w:pPr>
        <w:ind w:firstLine="482"/>
        <w:spacing w:line="360" w:lineRule="auto"/>
        <w:rPr>
          <w:rFonts w:hint="default" w:ascii="宋体" w:hAnsi="宋体" w:eastAsia="宋体" w:cs="宋体"/>
          <w:sz w:val="24"/>
          <w:lang w:val="en-US" w:eastAsia="zh-CN"/>
        </w:rPr>
      </w:pPr>
      <w:r>
        <w:rPr>
          <w:rFonts w:hint="eastAsia" w:ascii="宋体" w:hAnsi="宋体" w:cs="宋体"/>
          <w:sz w:val="24"/>
        </w:rPr>
        <w:t xml:space="preserve">项目联系人：</w:t>
      </w:r>
      <w:r>
        <w:rPr>
          <w:rFonts w:hint="eastAsia" w:ascii="宋体" w:hAnsi="宋体" w:cs="宋体"/>
          <w:sz w:val="24"/>
          <w:lang w:val="en-US" w:eastAsia="zh-CN"/>
        </w:rPr>
        <w:t xml:space="preserve">陈女士</w:t>
      </w:r>
      <w:r/>
    </w:p>
    <w:p>
      <w:pPr>
        <w:ind w:firstLine="482"/>
        <w:spacing w:line="360" w:lineRule="auto"/>
        <w:rPr>
          <w:rFonts w:hint="eastAsia" w:ascii="宋体" w:hAnsi="宋体" w:eastAsia="宋体" w:cs="宋体"/>
          <w:szCs w:val="21"/>
          <w:lang w:eastAsia="zh-CN"/>
        </w:rPr>
      </w:pPr>
      <w:r>
        <w:rPr>
          <w:rFonts w:hint="eastAsia" w:ascii="宋体" w:hAnsi="宋体" w:cs="宋体"/>
          <w:sz w:val="24"/>
        </w:rPr>
        <w:t xml:space="preserve">电　话：0519-</w:t>
      </w:r>
      <w:r>
        <w:rPr>
          <w:rFonts w:hint="eastAsia" w:ascii="宋体" w:hAnsi="宋体" w:cs="宋体"/>
          <w:sz w:val="24"/>
          <w:lang w:eastAsia="zh-CN"/>
        </w:rPr>
        <w:t xml:space="preserve">68852676</w:t>
      </w:r>
      <w:r/>
    </w:p>
    <w:p>
      <w:pPr>
        <w:pStyle w:val="1116"/>
        <w:ind w:left="0" w:firstLine="0"/>
        <w:rPr>
          <w:szCs w:val="24"/>
        </w:rPr>
      </w:pPr>
      <w:r>
        <w:rPr>
          <w:szCs w:val="24"/>
        </w:rPr>
        <w:br w:type="page" w:clear="all"/>
      </w:r>
      <w:r/>
    </w:p>
    <w:p>
      <w:pPr>
        <w:ind w:firstLine="723"/>
        <w:jc w:val="center"/>
        <w:spacing w:line="360" w:lineRule="auto"/>
        <w:rPr>
          <w:b/>
          <w:sz w:val="32"/>
          <w:szCs w:val="32"/>
        </w:rPr>
        <w:outlineLvl w:val="0"/>
      </w:pPr>
      <w:r/>
      <w:bookmarkStart w:id="16" w:name="_Toc353825548"/>
      <w:r/>
      <w:bookmarkStart w:id="17" w:name="_Toc264969275"/>
      <w:r/>
      <w:bookmarkStart w:id="18" w:name="_Toc305158928"/>
      <w:r/>
      <w:bookmarkStart w:id="19" w:name="_Toc353873938"/>
      <w:r/>
      <w:bookmarkStart w:id="20" w:name="_Toc99301420"/>
      <w:r/>
      <w:bookmarkStart w:id="21" w:name="_Toc265228423"/>
      <w:r/>
      <w:bookmarkStart w:id="22" w:name="_Toc226965856"/>
      <w:r/>
      <w:bookmarkStart w:id="23" w:name="_Toc150774783"/>
      <w:r/>
      <w:bookmarkStart w:id="24" w:name="_Toc195842950"/>
      <w:r/>
      <w:bookmarkStart w:id="25" w:name="_Toc127161488"/>
      <w:r/>
      <w:bookmarkStart w:id="26" w:name="_Toc512937850"/>
      <w:r/>
      <w:bookmarkStart w:id="27" w:name="_Toc127151777"/>
      <w:r/>
      <w:bookmarkStart w:id="28" w:name="_Toc305158854"/>
      <w:r>
        <w:rPr>
          <w:b/>
          <w:sz w:val="36"/>
          <w:szCs w:val="36"/>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
    </w:p>
    <w:p>
      <w:pPr>
        <w:pStyle w:val="1072"/>
        <w:ind w:firstLine="560"/>
        <w:spacing w:before="0" w:line="360" w:lineRule="auto"/>
        <w:tabs>
          <w:tab w:val="center" w:pos="4592" w:leader="none"/>
          <w:tab w:val="left" w:pos="7860" w:leader="none"/>
        </w:tabs>
        <w:rPr>
          <w:rFonts w:ascii="Times New Roman" w:hAnsi="Times New Roman" w:eastAsia="宋体"/>
          <w:sz w:val="28"/>
        </w:rPr>
      </w:pPr>
      <w:r/>
      <w:bookmarkStart w:id="29" w:name="_Toc149720812"/>
      <w:r/>
      <w:bookmarkStart w:id="30" w:name="_Toc520356144"/>
      <w:r/>
      <w:bookmarkStart w:id="31" w:name="_Toc164229360"/>
      <w:r/>
      <w:bookmarkStart w:id="32" w:name="_Toc151193833"/>
      <w:r/>
      <w:bookmarkStart w:id="33" w:name="_Toc226965709"/>
      <w:r/>
      <w:bookmarkStart w:id="34" w:name="_Toc127161433"/>
      <w:r/>
      <w:bookmarkStart w:id="35" w:name="_Toc226337215"/>
      <w:r/>
      <w:bookmarkStart w:id="36" w:name="_Toc151193689"/>
      <w:r/>
      <w:bookmarkStart w:id="37" w:name="_Toc164608788"/>
      <w:r/>
      <w:bookmarkStart w:id="38" w:name="_Toc164351613"/>
      <w:r/>
      <w:bookmarkStart w:id="39" w:name="_Toc195842884"/>
      <w:r/>
      <w:bookmarkStart w:id="40" w:name="_Toc226965792"/>
      <w:r/>
      <w:bookmarkStart w:id="41" w:name="_Toc127151720"/>
      <w:r/>
      <w:bookmarkStart w:id="42" w:name="_Toc150509270"/>
      <w:r/>
      <w:bookmarkStart w:id="43" w:name="_Toc164608633"/>
      <w:r/>
      <w:bookmarkStart w:id="44" w:name="_Toc150480757"/>
      <w:r/>
      <w:bookmarkStart w:id="45" w:name="_Toc151193617"/>
      <w:r/>
      <w:bookmarkStart w:id="46" w:name="_Toc150774619"/>
      <w:r/>
      <w:bookmarkStart w:id="47" w:name="_Toc150774724"/>
      <w:r/>
      <w:bookmarkStart w:id="48" w:name="_Toc142311021"/>
      <w:r/>
      <w:bookmarkStart w:id="49" w:name="_Toc151193761"/>
      <w:r/>
      <w:bookmarkStart w:id="50" w:name="_Toc151193907"/>
      <w:r/>
      <w:bookmarkStart w:id="51" w:name="_Toc151190146"/>
      <w:r/>
      <w:bookmarkStart w:id="52" w:name="_Toc226309763"/>
      <w:r/>
      <w:bookmarkStart w:id="53" w:name="_Toc164229214"/>
      <w:r/>
      <w:bookmarkStart w:id="54" w:name="_Toc127151519"/>
      <w:r>
        <w:rPr>
          <w:rFonts w:ascii="Times New Roman" w:hAnsi="Times New Roman" w:eastAsia="宋体"/>
          <w:sz w:val="28"/>
        </w:rPr>
        <w:t xml:space="preserve">投标人须知资料表</w:t>
      </w:r>
      <w:r/>
    </w:p>
    <w:p>
      <w:pPr>
        <w:ind w:firstLine="482"/>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ind w:firstLine="482"/>
        <w:spacing w:line="360" w:lineRule="auto"/>
        <w:rPr>
          <w:rFonts w:ascii="宋体" w:hAnsi="宋体" w:cs="宋体"/>
          <w:sz w:val="24"/>
        </w:rPr>
      </w:pPr>
      <w:r>
        <w:rPr>
          <w:color w:val="000000" w:themeColor="text1"/>
          <w:sz w:val="24"/>
          <w14:textFill>
            <w14:solidFill>
              <w14:schemeClr w14:val="tx1"/>
            </w14:solidFill>
          </w14:textFill>
        </w:rPr>
        <w:t xml:space="preserve">标记“</w:t>
      </w: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”的选项意为适用于本项目，标记“</w:t>
      </w: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”的选项意为不适用于本项目。</w:t>
      </w:r>
      <w:r/>
    </w:p>
    <w:tbl>
      <w:tblPr>
        <w:tblStyle w:val="1081"/>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1738"/>
        <w:gridCol w:w="5953"/>
      </w:tblGrid>
      <w:tr>
        <w:trPr>
          <w:jc w:val="center"/>
          <w:trHeight w:val="594"/>
          <w:tblHeader/>
        </w:trPr>
        <w:tc>
          <w:tcPr>
            <w:tcW w:w="644" w:type="pct"/>
            <w:vAlign w:val="center"/>
            <w:textDirection w:val="lrTb"/>
            <w:noWrap w:val="false"/>
          </w:tcPr>
          <w:p>
            <w:pPr>
              <w:jc w:val="center"/>
              <w:spacing w:line="360" w:lineRule="exact"/>
              <w:rPr>
                <w:rFonts w:hint="eastAsia" w:ascii="宋体" w:hAnsi="宋体" w:eastAsia="宋体" w:cs="宋体"/>
                <w:b/>
                <w:bCs/>
                <w:sz w:val="24"/>
                <w:lang w:eastAsia="zh-CN"/>
              </w:rPr>
            </w:pPr>
            <w:r>
              <w:rPr>
                <w:rFonts w:hint="eastAsia" w:ascii="宋体" w:hAnsi="宋体" w:cs="宋体"/>
                <w:b/>
                <w:sz w:val="24"/>
                <w:lang w:val="en-US" w:eastAsia="zh-CN"/>
              </w:rPr>
              <w:t xml:space="preserve">序号</w:t>
            </w:r>
            <w:r/>
          </w:p>
        </w:tc>
        <w:tc>
          <w:tcPr>
            <w:tcW w:w="984"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371" w:type="pct"/>
            <w:vAlign w:val="center"/>
            <w:textDirection w:val="lrTb"/>
            <w:noWrap w:val="false"/>
          </w:tcPr>
          <w:p>
            <w:pPr>
              <w:ind w:firstLine="482"/>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644" w:type="pct"/>
            <w:vAlign w:val="center"/>
            <w:textDirection w:val="lrTb"/>
            <w:noWrap w:val="false"/>
          </w:tcPr>
          <w:p>
            <w:pPr>
              <w:pStyle w:val="1094"/>
              <w:jc w:val="center"/>
              <w:spacing w:line="360" w:lineRule="exact"/>
              <w:rPr>
                <w:rFonts w:hint="eastAsia" w:hAnsi="宋体" w:eastAsia="宋体" w:cs="宋体"/>
                <w:sz w:val="24"/>
                <w:szCs w:val="24"/>
                <w:lang w:eastAsia="zh-CN"/>
              </w:rPr>
            </w:pPr>
            <w:r>
              <w:rPr>
                <w:rFonts w:hint="eastAsia" w:hAnsi="宋体" w:cs="宋体"/>
                <w:sz w:val="24"/>
                <w:szCs w:val="24"/>
                <w:lang w:val="en-US" w:eastAsia="zh-CN"/>
              </w:rPr>
              <w:t xml:space="preserve">1</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服务</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货物</w:t>
            </w:r>
            <w:r/>
          </w:p>
          <w:p>
            <w:pPr>
              <w:jc w:val="left"/>
              <w:spacing w:line="360" w:lineRule="exact"/>
              <w:rPr>
                <w:rFonts w:hint="eastAsia" w:ascii="宋体" w:hAnsi="宋体" w:eastAsia="宋体" w:cs="宋体"/>
                <w:sz w:val="24"/>
                <w:u w:val="single"/>
                <w:lang w:eastAsia="zh-CN"/>
              </w:rPr>
            </w:pP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工程</w:t>
            </w:r>
            <w:r/>
          </w:p>
        </w:tc>
      </w:tr>
      <w:tr>
        <w:trPr>
          <w:jc w:val="center"/>
          <w:trHeight w:val="90"/>
        </w:trPr>
        <w:tc>
          <w:tcPr>
            <w:tcW w:w="644" w:type="pct"/>
            <w:vAlign w:val="center"/>
            <w:textDirection w:val="lrTb"/>
            <w:noWrap w:val="false"/>
          </w:tcPr>
          <w:p>
            <w:pPr>
              <w:pStyle w:val="109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2</w:t>
            </w:r>
            <w:r/>
          </w:p>
        </w:tc>
        <w:tc>
          <w:tcPr>
            <w:tcW w:w="984" w:type="pct"/>
            <w:vAlign w:val="center"/>
            <w:textDirection w:val="lrTb"/>
            <w:noWrap w:val="false"/>
          </w:tcPr>
          <w:p>
            <w:pPr>
              <w:jc w:val="center"/>
              <w:rPr>
                <w:sz w:val="24"/>
              </w:rPr>
            </w:pPr>
            <w:r>
              <w:rPr>
                <w:sz w:val="24"/>
              </w:rPr>
              <w:t xml:space="preserve">科研仪器设备</w:t>
            </w:r>
            <w:r/>
          </w:p>
        </w:tc>
        <w:tc>
          <w:tcPr>
            <w:tcW w:w="3371" w:type="pct"/>
            <w:vAlign w:val="center"/>
            <w:textDirection w:val="lrTb"/>
            <w:noWrap w:val="false"/>
          </w:tcPr>
          <w:p>
            <w:pPr>
              <w:jc w:val="left"/>
              <w:rPr>
                <w:sz w:val="24"/>
              </w:rPr>
            </w:pPr>
            <w:r>
              <w:rPr>
                <w:sz w:val="24"/>
              </w:rPr>
              <w:t xml:space="preserve">是否属于科研仪器设备采购项目：</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是</w:t>
            </w:r>
            <w:r/>
          </w:p>
          <w:p>
            <w:pPr>
              <w:jc w:val="left"/>
              <w:rPr>
                <w:sz w:val="24"/>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否</w:t>
            </w:r>
            <w:r/>
          </w:p>
        </w:tc>
      </w:tr>
      <w:tr>
        <w:trPr>
          <w:jc w:val="center"/>
          <w:trHeight w:val="1076"/>
        </w:trPr>
        <w:tc>
          <w:tcPr>
            <w:tcW w:w="644" w:type="pct"/>
            <w:vAlign w:val="center"/>
            <w:textDirection w:val="lrTb"/>
            <w:noWrap w:val="false"/>
          </w:tcPr>
          <w:p>
            <w:pPr>
              <w:pStyle w:val="109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3</w:t>
            </w:r>
            <w:r/>
          </w:p>
        </w:tc>
        <w:tc>
          <w:tcPr>
            <w:tcW w:w="984" w:type="pct"/>
            <w:vAlign w:val="center"/>
            <w:textDirection w:val="lrTb"/>
            <w:noWrap w:val="false"/>
          </w:tcPr>
          <w:p>
            <w:pPr>
              <w:jc w:val="center"/>
              <w:rPr>
                <w:b/>
                <w:bCs/>
                <w:sz w:val="24"/>
              </w:rPr>
            </w:pPr>
            <w:r>
              <w:rPr>
                <w:b w:val="0"/>
                <w:bCs w:val="0"/>
                <w:sz w:val="24"/>
              </w:rPr>
              <w:t xml:space="preserve">核心产品</w:t>
            </w:r>
            <w:r/>
          </w:p>
        </w:tc>
        <w:tc>
          <w:tcPr>
            <w:tcW w:w="3371" w:type="pct"/>
            <w:vAlign w:val="center"/>
            <w:textDirection w:val="lrTb"/>
            <w:noWrap w:val="false"/>
          </w:tcPr>
          <w:p>
            <w:pPr>
              <w:pStyle w:val="1498"/>
              <w:rPr>
                <w:rFonts w:hAnsi="宋体" w:cs="宋体"/>
                <w:sz w:val="24"/>
                <w:szCs w:val="24"/>
              </w:rPr>
            </w:pPr>
            <w:r>
              <w:rPr>
                <w:rFonts w:hAnsi="宋体" w:cs="宋体"/>
                <w:sz w:val="24"/>
                <w:szCs w:val="24"/>
              </w:rPr>
              <w:t xml:space="preserve">■关于核心产品本项目不适用。</w:t>
            </w:r>
            <w:r/>
          </w:p>
          <w:p>
            <w:pPr>
              <w:pStyle w:val="1498"/>
              <w:rPr>
                <w:rFonts w:hAnsi="宋体" w:cs="宋体"/>
                <w:sz w:val="24"/>
                <w:szCs w:val="24"/>
              </w:rPr>
            </w:pPr>
            <w:r>
              <w:rPr>
                <w:rFonts w:hAnsi="宋体" w:cs="宋体"/>
                <w:sz w:val="24"/>
                <w:szCs w:val="24"/>
              </w:rPr>
              <w:t xml:space="preserve">□本项目__包为单一产品采购项目。</w:t>
            </w:r>
            <w:r/>
          </w:p>
          <w:p>
            <w:pPr>
              <w:jc w:val="left"/>
              <w:rPr>
                <w:b/>
                <w:bCs/>
                <w:sz w:val="24"/>
              </w:rPr>
            </w:pPr>
            <w:r>
              <w:rPr>
                <w:rFonts w:hint="eastAsia" w:ascii="宋体" w:hAnsi="宋体" w:cs="宋体"/>
                <w:sz w:val="24"/>
                <w:szCs w:val="24"/>
              </w:rPr>
              <w:t xml:space="preserve">□本项目__包为非单一产品采购项目，核心产品为：</w:t>
            </w:r>
            <w:r>
              <w:rPr>
                <w:rFonts w:hint="eastAsia" w:ascii="宋体" w:hAnsi="宋体" w:cs="宋体"/>
                <w:sz w:val="24"/>
                <w:szCs w:val="24"/>
                <w:u w:val="single"/>
              </w:rPr>
              <w:t xml:space="preserve">/</w:t>
            </w:r>
            <w:r>
              <w:rPr>
                <w:rFonts w:hint="eastAsia" w:ascii="宋体" w:hAnsi="宋体" w:cs="宋体"/>
                <w:sz w:val="24"/>
                <w:szCs w:val="24"/>
              </w:rPr>
              <w:t xml:space="preserve">。</w:t>
            </w:r>
            <w:r/>
          </w:p>
        </w:tc>
      </w:tr>
      <w:tr>
        <w:trPr>
          <w:jc w:val="center"/>
          <w:trHeight w:val="20"/>
        </w:trPr>
        <w:tc>
          <w:tcPr>
            <w:tcW w:w="644" w:type="pct"/>
            <w:vAlign w:val="center"/>
            <w:vMerge w:val="restart"/>
            <w:textDirection w:val="lrTb"/>
            <w:noWrap w:val="false"/>
          </w:tcPr>
          <w:p>
            <w:pPr>
              <w:pStyle w:val="1094"/>
              <w:jc w:val="center"/>
              <w:spacing w:line="360" w:lineRule="exact"/>
              <w:rPr>
                <w:rFonts w:hint="eastAsia" w:hAnsi="宋体" w:eastAsia="宋体" w:cs="宋体"/>
                <w:sz w:val="24"/>
                <w:szCs w:val="24"/>
                <w:lang w:eastAsia="zh-CN"/>
              </w:rPr>
            </w:pPr>
            <w:r>
              <w:rPr>
                <w:rFonts w:hint="eastAsia" w:hAnsi="宋体" w:cs="宋体"/>
                <w:sz w:val="24"/>
                <w:szCs w:val="24"/>
                <w:lang w:val="en-US" w:eastAsia="zh-CN"/>
              </w:rPr>
              <w:t xml:space="preserve">4</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1094"/>
              <w:spacing w:line="360" w:lineRule="exact"/>
              <w:rPr>
                <w:rFonts w:hint="default" w:hAnsi="宋体" w:cs="宋体"/>
                <w:sz w:val="24"/>
                <w:szCs w:val="24"/>
              </w:rPr>
            </w:pPr>
            <w:r>
              <w:rPr>
                <w:rFonts w:hAnsi="宋体" w:cs="宋体"/>
                <w:sz w:val="24"/>
              </w:rPr>
              <w:t xml:space="preserve">考察地点：____________。</w:t>
            </w:r>
            <w:r/>
          </w:p>
        </w:tc>
      </w:tr>
      <w:tr>
        <w:trPr>
          <w:jc w:val="center"/>
          <w:trHeight w:val="1042"/>
        </w:trPr>
        <w:tc>
          <w:tcPr>
            <w:tcW w:w="644" w:type="pct"/>
            <w:vAlign w:val="center"/>
            <w:vMerge w:val="continue"/>
            <w:textDirection w:val="lrTb"/>
            <w:noWrap w:val="false"/>
          </w:tcPr>
          <w:p>
            <w:pPr>
              <w:pStyle w:val="1094"/>
              <w:ind w:firstLine="482"/>
              <w:jc w:val="center"/>
              <w:spacing w:line="360" w:lineRule="exact"/>
              <w:rPr>
                <w:rFonts w:hint="default" w:hAnsi="宋体" w:cs="宋体"/>
                <w:sz w:val="24"/>
                <w:szCs w:val="24"/>
              </w:rPr>
            </w:pPr>
            <w:r>
              <w:rPr>
                <w:rFonts w:hint="default" w:hAnsi="宋体" w:cs="宋体"/>
                <w:sz w:val="24"/>
                <w:szCs w:val="24"/>
              </w:rPr>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sz w:val="24"/>
              </w:rPr>
              <w:t xml:space="preserve">不召开</w:t>
            </w:r>
            <w:r/>
          </w:p>
          <w:p>
            <w:pPr>
              <w:jc w:val="left"/>
              <w:spacing w:line="360" w:lineRule="exact"/>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jc w:val="left"/>
              <w:spacing w:line="360" w:lineRule="exact"/>
              <w:rPr>
                <w:rFonts w:ascii="宋体" w:hAnsi="宋体" w:cs="宋体"/>
                <w:sz w:val="24"/>
              </w:rPr>
            </w:pPr>
            <w:r>
              <w:rPr>
                <w:rFonts w:hint="eastAsia" w:ascii="宋体" w:hAnsi="宋体" w:cs="宋体"/>
                <w:sz w:val="24"/>
              </w:rPr>
              <w:t xml:space="preserve">召开地点：____________。</w:t>
            </w:r>
            <w:r/>
          </w:p>
        </w:tc>
      </w:tr>
      <w:tr>
        <w:trPr>
          <w:jc w:val="center"/>
          <w:trHeight w:val="524"/>
        </w:trPr>
        <w:tc>
          <w:tcPr>
            <w:tcW w:w="644" w:type="pct"/>
            <w:vAlign w:val="center"/>
            <w:textDirection w:val="lrTb"/>
            <w:noWrap w:val="false"/>
          </w:tcPr>
          <w:p>
            <w:pPr>
              <w:pStyle w:val="1094"/>
              <w:jc w:val="center"/>
              <w:spacing w:line="360" w:lineRule="exact"/>
              <w:rPr>
                <w:rFonts w:hint="default" w:hAnsi="宋体" w:eastAsia="宋体" w:cs="宋体"/>
                <w:sz w:val="24"/>
                <w:szCs w:val="24"/>
                <w:lang w:val="en-US" w:eastAsia="zh-CN"/>
              </w:rPr>
            </w:pPr>
            <w:r>
              <w:rPr>
                <w:rFonts w:hint="eastAsia" w:hAnsi="宋体" w:cs="宋体"/>
                <w:sz w:val="24"/>
                <w:szCs w:val="24"/>
                <w:lang w:val="en-US" w:eastAsia="zh-CN"/>
              </w:rPr>
              <w:t xml:space="preserve">5</w:t>
            </w:r>
            <w:r/>
          </w:p>
        </w:tc>
        <w:tc>
          <w:tcPr>
            <w:tcW w:w="984" w:type="pct"/>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cs="宋体"/>
                <w:sz w:val="24"/>
                <w:szCs w:val="24"/>
              </w:rPr>
              <w:t xml:space="preserve">样品</w:t>
            </w:r>
            <w:r/>
          </w:p>
        </w:tc>
        <w:tc>
          <w:tcPr>
            <w:tcW w:w="3371"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投标样品递交：</w:t>
            </w:r>
            <w:r/>
          </w:p>
          <w:p>
            <w:pPr>
              <w:jc w:val="left"/>
              <w:rPr>
                <w:rFonts w:hint="eastAsia" w:ascii="宋体" w:hAnsi="宋体" w:cs="宋体"/>
                <w:sz w:val="24"/>
                <w:szCs w:val="24"/>
              </w:rPr>
            </w:pPr>
            <w:r>
              <w:rPr>
                <w:rFonts w:hint="eastAsia" w:ascii="宋体" w:hAnsi="宋体" w:cs="宋体"/>
                <w:sz w:val="24"/>
                <w:szCs w:val="24"/>
              </w:rPr>
              <w:t xml:space="preserve">■不需要</w:t>
            </w:r>
            <w:r/>
          </w:p>
          <w:p>
            <w:pPr>
              <w:jc w:val="left"/>
              <w:rPr>
                <w:rFonts w:hint="eastAsia" w:ascii="宋体" w:hAnsi="宋体" w:cs="宋体"/>
                <w:sz w:val="24"/>
                <w:szCs w:val="24"/>
              </w:rPr>
            </w:pPr>
            <w:r>
              <w:rPr>
                <w:rFonts w:hint="eastAsia" w:ascii="宋体" w:hAnsi="宋体" w:cs="宋体"/>
                <w:sz w:val="24"/>
                <w:szCs w:val="24"/>
              </w:rPr>
              <w:t xml:space="preserve">□需要，具体要求如下：</w:t>
            </w:r>
            <w:r/>
          </w:p>
          <w:p>
            <w:pPr>
              <w:jc w:val="left"/>
              <w:rPr>
                <w:rFonts w:hint="eastAsia" w:ascii="宋体" w:hAnsi="宋体" w:cs="宋体"/>
                <w:sz w:val="24"/>
                <w:szCs w:val="24"/>
                <w:u w:val="single"/>
              </w:rPr>
            </w:pPr>
            <w:r>
              <w:rPr>
                <w:rFonts w:hint="eastAsia" w:ascii="宋体" w:hAnsi="宋体" w:cs="宋体"/>
                <w:sz w:val="24"/>
                <w:szCs w:val="24"/>
              </w:rPr>
              <w:t xml:space="preserve">（1）样品制作的标准和要求：_________；</w:t>
            </w:r>
            <w:r/>
          </w:p>
          <w:p>
            <w:pPr>
              <w:jc w:val="left"/>
              <w:rPr>
                <w:rFonts w:hint="eastAsia" w:ascii="宋体" w:hAnsi="宋体" w:cs="宋体"/>
                <w:sz w:val="24"/>
                <w:szCs w:val="24"/>
              </w:rPr>
            </w:pPr>
            <w:r>
              <w:rPr>
                <w:rFonts w:hint="eastAsia" w:ascii="宋体" w:hAnsi="宋体" w:cs="宋体"/>
                <w:sz w:val="24"/>
                <w:szCs w:val="24"/>
              </w:rPr>
              <w:t xml:space="preserve">（2）是否需要随样品提交相关检测报告：</w:t>
            </w:r>
            <w:r/>
          </w:p>
          <w:p>
            <w:pPr>
              <w:ind w:firstLine="525"/>
              <w:jc w:val="left"/>
              <w:rPr>
                <w:rFonts w:hint="eastAsia" w:ascii="宋体" w:hAnsi="宋体" w:cs="宋体"/>
                <w:sz w:val="24"/>
                <w:szCs w:val="24"/>
              </w:rPr>
            </w:pPr>
            <w:r>
              <w:rPr>
                <w:rFonts w:hint="eastAsia" w:ascii="宋体" w:hAnsi="宋体" w:cs="宋体"/>
                <w:sz w:val="24"/>
                <w:szCs w:val="24"/>
              </w:rPr>
              <w:t xml:space="preserve">□不需要</w:t>
            </w:r>
            <w:r/>
          </w:p>
          <w:p>
            <w:pPr>
              <w:ind w:firstLine="525"/>
              <w:jc w:val="left"/>
              <w:rPr>
                <w:rFonts w:hint="eastAsia" w:ascii="宋体" w:hAnsi="宋体" w:cs="宋体"/>
                <w:sz w:val="24"/>
                <w:szCs w:val="24"/>
              </w:rPr>
            </w:pPr>
            <w:r>
              <w:rPr>
                <w:rFonts w:hint="eastAsia" w:ascii="宋体" w:hAnsi="宋体" w:cs="宋体"/>
                <w:sz w:val="24"/>
                <w:szCs w:val="24"/>
              </w:rPr>
              <w:t xml:space="preserve">□需要</w:t>
            </w:r>
            <w:r/>
          </w:p>
          <w:p>
            <w:pPr>
              <w:jc w:val="left"/>
              <w:rPr>
                <w:rFonts w:hint="eastAsia" w:ascii="宋体" w:hAnsi="宋体" w:cs="宋体"/>
                <w:sz w:val="24"/>
                <w:szCs w:val="24"/>
              </w:rPr>
            </w:pPr>
            <w:r>
              <w:rPr>
                <w:rFonts w:hint="eastAsia" w:ascii="宋体" w:hAnsi="宋体" w:cs="宋体"/>
                <w:sz w:val="24"/>
                <w:szCs w:val="24"/>
              </w:rPr>
              <w:t xml:space="preserve">（3）样品递交要求：_________；</w:t>
            </w:r>
            <w:r/>
          </w:p>
          <w:p>
            <w:pPr>
              <w:jc w:val="left"/>
              <w:rPr>
                <w:rFonts w:hint="eastAsia" w:ascii="宋体" w:hAnsi="宋体" w:cs="宋体"/>
                <w:sz w:val="24"/>
                <w:szCs w:val="24"/>
              </w:rPr>
            </w:pPr>
            <w:r>
              <w:rPr>
                <w:rFonts w:hint="eastAsia" w:ascii="宋体" w:hAnsi="宋体" w:cs="宋体"/>
                <w:sz w:val="24"/>
                <w:szCs w:val="24"/>
              </w:rPr>
              <w:t xml:space="preserve">（4）未中标人样品退还：_________；</w:t>
            </w:r>
            <w:r/>
          </w:p>
          <w:p>
            <w:pPr>
              <w:jc w:val="left"/>
              <w:rPr>
                <w:rFonts w:hint="eastAsia" w:ascii="宋体" w:hAnsi="宋体" w:cs="宋体"/>
                <w:sz w:val="24"/>
                <w:szCs w:val="24"/>
                <w:u w:val="single"/>
              </w:rPr>
            </w:pPr>
            <w:r>
              <w:rPr>
                <w:rFonts w:hint="eastAsia" w:ascii="宋体" w:hAnsi="宋体" w:cs="宋体"/>
                <w:sz w:val="24"/>
                <w:szCs w:val="24"/>
              </w:rPr>
              <w:t xml:space="preserve">（5）中标人样品保管、封存及退还：_________；</w:t>
            </w:r>
            <w:r/>
          </w:p>
          <w:p>
            <w:pPr>
              <w:jc w:val="left"/>
              <w:rPr>
                <w:rFonts w:hint="eastAsia" w:ascii="宋体" w:hAnsi="宋体" w:eastAsia="宋体" w:cs="宋体"/>
                <w:sz w:val="24"/>
                <w:szCs w:val="24"/>
                <w:lang w:val="en-US" w:eastAsia="zh-CN" w:bidi="ar-SA"/>
              </w:rPr>
            </w:pPr>
            <w:r>
              <w:rPr>
                <w:rFonts w:hint="eastAsia" w:ascii="宋体" w:hAnsi="宋体" w:cs="宋体"/>
                <w:sz w:val="24"/>
                <w:szCs w:val="24"/>
              </w:rPr>
              <w:t xml:space="preserve">（6）其他要求（如有）：_________。</w:t>
            </w:r>
            <w:r/>
          </w:p>
        </w:tc>
      </w:tr>
      <w:tr>
        <w:trPr>
          <w:jc w:val="center"/>
          <w:trHeight w:val="524"/>
        </w:trPr>
        <w:tc>
          <w:tcPr>
            <w:tcW w:w="644" w:type="pct"/>
            <w:vAlign w:val="center"/>
            <w:textDirection w:val="lrTb"/>
            <w:noWrap w:val="false"/>
          </w:tcPr>
          <w:p>
            <w:pPr>
              <w:pStyle w:val="1094"/>
              <w:jc w:val="center"/>
              <w:spacing w:line="360" w:lineRule="exact"/>
              <w:rPr>
                <w:rFonts w:hint="eastAsia" w:ascii="宋体" w:hAnsi="宋体" w:eastAsia="宋体" w:cs="宋体"/>
                <w:sz w:val="24"/>
                <w:szCs w:val="24"/>
                <w:lang w:val="en-US" w:eastAsia="zh-CN" w:bidi="ar-SA"/>
              </w:rPr>
            </w:pPr>
            <w:r>
              <w:rPr>
                <w:rFonts w:hint="eastAsia" w:hAnsi="宋体" w:cs="宋体"/>
                <w:sz w:val="24"/>
                <w:szCs w:val="24"/>
                <w:lang w:val="en-US" w:eastAsia="zh-CN"/>
              </w:rPr>
              <w:t xml:space="preserve">6</w:t>
            </w:r>
            <w:r/>
          </w:p>
        </w:tc>
        <w:tc>
          <w:tcPr>
            <w:tcW w:w="984" w:type="pct"/>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cs="宋体"/>
                <w:sz w:val="24"/>
              </w:rPr>
              <w:t xml:space="preserve">标的所属行业</w:t>
            </w:r>
            <w:r/>
          </w:p>
        </w:tc>
        <w:tc>
          <w:tcPr>
            <w:tcW w:w="3371" w:type="pct"/>
            <w:vAlign w:val="center"/>
            <w:textDirection w:val="lrTb"/>
            <w:noWrap w:val="false"/>
          </w:tcPr>
          <w:p>
            <w:pPr>
              <w:jc w:val="left"/>
              <w:spacing w:line="360" w:lineRule="exact"/>
              <w:rPr>
                <w:rFonts w:hint="default" w:ascii="宋体" w:hAnsi="宋体" w:eastAsia="宋体" w:cs="宋体"/>
                <w:sz w:val="24"/>
                <w:szCs w:val="24"/>
                <w:lang w:val="en-US" w:eastAsia="zh-CN" w:bidi="ar-SA"/>
              </w:rPr>
            </w:pPr>
            <w:r>
              <w:rPr>
                <w:color w:val="000000" w:themeColor="text1"/>
                <w:sz w:val="24"/>
                <w14:textFill>
                  <w14:solidFill>
                    <w14:schemeClr w14:val="tx1"/>
                  </w14:solidFill>
                </w14:textFill>
              </w:rPr>
              <w:t xml:space="preserve">本项目采购标的对应的中小企业划分标准所属行业：</w:t>
            </w:r>
            <w:r>
              <w:rPr>
                <w:rFonts w:hint="eastAsia"/>
                <w:b/>
                <w:bCs/>
                <w:color w:val="000000" w:themeColor="text1"/>
                <w:sz w:val="24"/>
                <w:highlight w:val="none"/>
                <w:u w:val="single"/>
                <w14:textFill>
                  <w14:solidFill>
                    <w14:schemeClr w14:val="tx1"/>
                  </w14:solidFill>
                </w14:textFill>
              </w:rPr>
              <w:t xml:space="preserve">其他未列明行业</w:t>
            </w:r>
            <w:r>
              <w:rPr>
                <w:rFonts w:hint="eastAsia"/>
                <w:color w:val="000000" w:themeColor="text1"/>
                <w:sz w:val="24"/>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24"/>
        </w:trPr>
        <w:tc>
          <w:tcPr>
            <w:tcW w:w="644" w:type="pct"/>
            <w:vAlign w:val="center"/>
            <w:textDirection w:val="lrTb"/>
            <w:noWrap w:val="false"/>
          </w:tcPr>
          <w:p>
            <w:pPr>
              <w:pStyle w:val="1094"/>
              <w:jc w:val="center"/>
              <w:spacing w:line="360" w:lineRule="exact"/>
              <w:rPr>
                <w:rFonts w:hint="eastAsia" w:hAnsi="宋体" w:eastAsia="宋体" w:cs="宋体"/>
                <w:sz w:val="24"/>
                <w:szCs w:val="24"/>
                <w:lang w:eastAsia="zh-CN"/>
              </w:rPr>
            </w:pPr>
            <w:r>
              <w:rPr>
                <w:rFonts w:hint="eastAsia" w:hAnsi="宋体" w:cs="宋体"/>
                <w:sz w:val="24"/>
                <w:szCs w:val="24"/>
                <w:lang w:val="en-US" w:eastAsia="zh-CN"/>
              </w:rPr>
              <w:t xml:space="preserve">7</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sz w:val="24"/>
              </w:rPr>
              <w:t xml:space="preserve">无</w:t>
            </w:r>
            <w:r/>
          </w:p>
          <w:p>
            <w:pPr>
              <w:jc w:val="left"/>
              <w:spacing w:line="360" w:lineRule="exact"/>
              <w:rPr>
                <w:rFonts w:ascii="宋体" w:hAnsi="宋体" w:cs="宋体"/>
                <w:sz w:val="24"/>
              </w:rPr>
            </w:pPr>
            <w:r>
              <w:rPr>
                <w:rFonts w:hint="eastAsia" w:ascii="宋体" w:hAnsi="宋体" w:cs="宋体"/>
                <w:sz w:val="24"/>
              </w:rPr>
              <w:t xml:space="preserve">□有，具体情形：_____。</w:t>
            </w:r>
            <w:r/>
          </w:p>
        </w:tc>
      </w:tr>
      <w:tr>
        <w:trPr>
          <w:jc w:val="center"/>
          <w:trHeight w:val="699"/>
        </w:trPr>
        <w:tc>
          <w:tcPr>
            <w:tcW w:w="644" w:type="pct"/>
            <w:vAlign w:val="center"/>
            <w:textDirection w:val="lrTb"/>
            <w:noWrap w:val="false"/>
          </w:tcPr>
          <w:p>
            <w:pPr>
              <w:pStyle w:val="1094"/>
              <w:jc w:val="center"/>
              <w:spacing w:line="360" w:lineRule="exact"/>
              <w:rPr>
                <w:rFonts w:hint="eastAsia" w:hAnsi="宋体" w:eastAsia="宋体" w:cs="宋体"/>
                <w:sz w:val="24"/>
                <w:szCs w:val="24"/>
                <w:lang w:eastAsia="zh-CN"/>
              </w:rPr>
            </w:pPr>
            <w:r>
              <w:rPr>
                <w:rFonts w:hint="eastAsia" w:hAnsi="宋体" w:cs="宋体"/>
                <w:sz w:val="24"/>
                <w:szCs w:val="24"/>
                <w:lang w:val="en-US" w:eastAsia="zh-CN"/>
              </w:rPr>
              <w:t xml:space="preserve">8</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699"/>
        </w:trPr>
        <w:tc>
          <w:tcPr>
            <w:tcW w:w="644" w:type="pct"/>
            <w:vAlign w:val="center"/>
            <w:textDirection w:val="lrTb"/>
            <w:noWrap w:val="false"/>
          </w:tcPr>
          <w:p>
            <w:pPr>
              <w:pStyle w:val="1094"/>
              <w:jc w:val="center"/>
              <w:spacing w:line="360" w:lineRule="exact"/>
              <w:rPr>
                <w:rFonts w:hint="eastAsia" w:hAnsi="宋体" w:eastAsia="宋体" w:cs="宋体"/>
                <w:sz w:val="24"/>
                <w:szCs w:val="24"/>
                <w:lang w:eastAsia="zh-CN"/>
              </w:rPr>
            </w:pPr>
            <w:r>
              <w:rPr>
                <w:rFonts w:hint="eastAsia" w:hAnsi="宋体" w:cs="宋体"/>
                <w:sz w:val="24"/>
                <w:szCs w:val="24"/>
                <w:lang w:val="en-US" w:eastAsia="zh-CN"/>
              </w:rPr>
              <w:t xml:space="preserve">9</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1573"/>
        </w:trPr>
        <w:tc>
          <w:tcPr>
            <w:tcW w:w="644" w:type="pct"/>
            <w:vAlign w:val="center"/>
            <w:textDirection w:val="lrTb"/>
            <w:noWrap w:val="false"/>
          </w:tcPr>
          <w:p>
            <w:pPr>
              <w:pStyle w:val="1094"/>
              <w:jc w:val="center"/>
              <w:spacing w:line="360" w:lineRule="exact"/>
              <w:rPr>
                <w:rFonts w:hint="default" w:hAnsi="宋体" w:cs="宋体"/>
                <w:sz w:val="24"/>
                <w:szCs w:val="24"/>
                <w:lang w:val="en-US" w:eastAsia="zh-CN"/>
              </w:rPr>
            </w:pPr>
            <w:r>
              <w:rPr>
                <w:rFonts w:hint="eastAsia" w:hAnsi="宋体" w:cs="宋体"/>
                <w:sz w:val="24"/>
                <w:szCs w:val="24"/>
                <w:lang w:val="en-US" w:eastAsia="zh-CN"/>
              </w:rPr>
              <w:t xml:space="preserve">10</w:t>
            </w:r>
            <w:r/>
          </w:p>
        </w:tc>
        <w:tc>
          <w:tcPr>
            <w:tcW w:w="984" w:type="pct"/>
            <w:vAlign w:val="center"/>
            <w:textDirection w:val="lrTb"/>
            <w:noWrap w:val="false"/>
          </w:tcPr>
          <w:p>
            <w:pPr>
              <w:jc w:val="center"/>
              <w:spacing w:line="360" w:lineRule="exact"/>
              <w:rPr>
                <w:rFonts w:hint="eastAsia" w:ascii="Times New Roman" w:hAnsi="Times New Roman" w:eastAsia="宋体" w:cs="Times New Roman"/>
                <w:color w:val="000000" w:themeColor="text1"/>
                <w:sz w:val="24"/>
                <w:szCs w:val="24"/>
                <w:lang w:val="en-US" w:eastAsia="zh-CN" w:bidi="ar-SA"/>
                <w14:textFill>
                  <w14:solidFill>
                    <w14:schemeClr w14:val="tx1"/>
                  </w14:solidFill>
                </w14:textFill>
              </w:rPr>
            </w:pPr>
            <w:r>
              <w:rPr>
                <w:color w:val="000000" w:themeColor="text1"/>
                <w:sz w:val="24"/>
                <w14:textFill>
                  <w14:solidFill>
                    <w14:schemeClr w14:val="tx1"/>
                  </w14:solidFill>
                </w14:textFill>
              </w:rPr>
              <w:t xml:space="preserve">纸质</w:t>
            </w:r>
            <w:r>
              <w:rPr>
                <w:rFonts w:hint="eastAsia"/>
                <w:color w:val="000000" w:themeColor="text1"/>
                <w:sz w:val="24"/>
                <w:lang w:val="en-US" w:eastAsia="zh-CN"/>
                <w14:textFill>
                  <w14:solidFill>
                    <w14:schemeClr w14:val="tx1"/>
                  </w14:solidFill>
                </w14:textFill>
              </w:rPr>
              <w:t xml:space="preserve">投标</w:t>
            </w:r>
            <w:r>
              <w:rPr>
                <w:color w:val="000000" w:themeColor="text1"/>
                <w:sz w:val="24"/>
                <w14:textFill>
                  <w14:solidFill>
                    <w14:schemeClr w14:val="tx1"/>
                  </w14:solidFill>
                </w14:textFill>
              </w:rPr>
              <w:t xml:space="preserve">文件</w:t>
            </w:r>
            <w:r/>
          </w:p>
        </w:tc>
        <w:tc>
          <w:tcPr>
            <w:tcW w:w="3371" w:type="pct"/>
            <w:vAlign w:val="center"/>
            <w:textDirection w:val="lrTb"/>
            <w:noWrap w:val="false"/>
          </w:tcPr>
          <w:p>
            <w:pPr>
              <w:jc w:val="left"/>
              <w:spacing w:line="360" w:lineRule="exact"/>
              <w:rPr>
                <w:rFonts w:hint="eastAsia" w:ascii="Times New Roman" w:hAnsi="Times New Roman" w:eastAsia="宋体" w:cs="Times New Roman"/>
                <w:color w:val="000000" w:themeColor="text1"/>
                <w:sz w:val="24"/>
                <w:szCs w:val="24"/>
                <w:lang w:val="en-US" w:eastAsia="zh-CN" w:bidi="ar-SA"/>
                <w14:textFill>
                  <w14:solidFill>
                    <w14:schemeClr w14:val="tx1"/>
                  </w14:solidFill>
                </w14:textFill>
              </w:rPr>
            </w:pPr>
            <w:r>
              <w:rPr>
                <w:rFonts w:hint="eastAsia"/>
                <w:color w:val="000000" w:themeColor="text1"/>
                <w:sz w:val="24"/>
                <w:lang w:val="en-US" w:eastAsia="zh-CN"/>
                <w14:textFill>
                  <w14:solidFill>
                    <w14:schemeClr w14:val="tx1"/>
                  </w14:solidFill>
                </w14:textFill>
              </w:rPr>
              <w:t xml:space="preserve">中标</w:t>
            </w:r>
            <w:r>
              <w:rPr>
                <w:rFonts w:hint="eastAsia"/>
                <w:color w:val="000000" w:themeColor="text1"/>
                <w:sz w:val="24"/>
                <w14:textFill>
                  <w14:solidFill>
                    <w14:schemeClr w14:val="tx1"/>
                  </w14:solidFill>
                </w14:textFill>
              </w:rPr>
              <w:t xml:space="preserve">单位在签订合同前需递交与电子</w:t>
            </w:r>
            <w:r>
              <w:rPr>
                <w:rFonts w:hint="eastAsia"/>
                <w:color w:val="000000" w:themeColor="text1"/>
                <w:sz w:val="24"/>
                <w:lang w:val="en-US" w:eastAsia="zh-CN"/>
                <w14:textFill>
                  <w14:solidFill>
                    <w14:schemeClr w14:val="tx1"/>
                  </w14:solidFill>
                </w14:textFill>
              </w:rPr>
              <w:t xml:space="preserve">投标</w:t>
            </w:r>
            <w:r>
              <w:rPr>
                <w:rFonts w:hint="eastAsia"/>
                <w:color w:val="000000" w:themeColor="text1"/>
                <w:sz w:val="24"/>
                <w14:textFill>
                  <w14:solidFill>
                    <w14:schemeClr w14:val="tx1"/>
                  </w14:solidFill>
                </w14:textFill>
              </w:rPr>
              <w:t xml:space="preserve">文件内容一致的纸质</w:t>
            </w:r>
            <w:r>
              <w:rPr>
                <w:rFonts w:hint="eastAsia"/>
                <w:color w:val="000000" w:themeColor="text1"/>
                <w:sz w:val="24"/>
                <w:lang w:val="en-US" w:eastAsia="zh-CN"/>
                <w14:textFill>
                  <w14:solidFill>
                    <w14:schemeClr w14:val="tx1"/>
                  </w14:solidFill>
                </w14:textFill>
              </w:rPr>
              <w:t xml:space="preserve">投标</w:t>
            </w:r>
            <w:r>
              <w:rPr>
                <w:rFonts w:hint="eastAsia"/>
                <w:color w:val="000000" w:themeColor="text1"/>
                <w:sz w:val="24"/>
                <w14:textFill>
                  <w14:solidFill>
                    <w14:schemeClr w14:val="tx1"/>
                  </w14:solidFill>
                </w14:textFill>
              </w:rPr>
              <w:t xml:space="preserve">文件</w:t>
            </w:r>
            <w:r>
              <w:rPr>
                <w:rFonts w:hint="eastAsia"/>
                <w:color w:val="000000" w:themeColor="text1"/>
                <w:sz w:val="24"/>
                <w:lang w:val="en-US" w:eastAsia="zh-CN"/>
                <w14:textFill>
                  <w14:solidFill>
                    <w14:schemeClr w14:val="tx1"/>
                  </w14:solidFill>
                </w14:textFill>
              </w:rPr>
              <w:t xml:space="preserve">贰</w:t>
            </w:r>
            <w:r>
              <w:rPr>
                <w:rFonts w:hint="eastAsia"/>
                <w:color w:val="000000" w:themeColor="text1"/>
                <w:sz w:val="24"/>
                <w14:textFill>
                  <w14:solidFill>
                    <w14:schemeClr w14:val="tx1"/>
                  </w14:solidFill>
                </w14:textFill>
              </w:rPr>
              <w:t xml:space="preserve">份，作为项目归档使用。（递交方式可采用邮寄或现场送达,联系方式见《第一章</w:t>
            </w:r>
            <w:r>
              <w:rPr>
                <w:rFonts w:hint="eastAsia"/>
                <w:color w:val="000000" w:themeColor="text1"/>
                <w:sz w:val="24"/>
                <w:lang w:val="en-US" w:eastAsia="zh-CN"/>
                <w14:textFill>
                  <w14:solidFill>
                    <w14:schemeClr w14:val="tx1"/>
                  </w14:solidFill>
                </w14:textFill>
              </w:rPr>
              <w:t xml:space="preserve">投标</w:t>
            </w:r>
            <w:r>
              <w:rPr>
                <w:rFonts w:hint="eastAsia"/>
                <w:color w:val="000000" w:themeColor="text1"/>
                <w:sz w:val="24"/>
                <w14:textFill>
                  <w14:solidFill>
                    <w14:schemeClr w14:val="tx1"/>
                  </w14:solidFill>
                </w14:textFill>
              </w:rPr>
              <w:t xml:space="preserve">邀请》）</w:t>
            </w:r>
            <w:r/>
          </w:p>
        </w:tc>
      </w:tr>
      <w:tr>
        <w:trPr>
          <w:jc w:val="center"/>
          <w:trHeight w:val="2163"/>
        </w:trPr>
        <w:tc>
          <w:tcPr>
            <w:tcW w:w="644" w:type="pct"/>
            <w:vAlign w:val="center"/>
            <w:textDirection w:val="lrTb"/>
            <w:noWrap w:val="false"/>
          </w:tcPr>
          <w:p>
            <w:pPr>
              <w:pStyle w:val="1094"/>
              <w:jc w:val="center"/>
              <w:spacing w:line="360" w:lineRule="exact"/>
              <w:rPr>
                <w:rFonts w:hint="default" w:hAnsi="宋体" w:eastAsia="宋体" w:cs="宋体"/>
                <w:sz w:val="24"/>
                <w:szCs w:val="24"/>
                <w:lang w:val="en-US" w:eastAsia="zh-CN"/>
              </w:rPr>
            </w:pPr>
            <w:r>
              <w:rPr>
                <w:rFonts w:hint="eastAsia" w:hAnsi="宋体" w:cs="宋体"/>
                <w:sz w:val="24"/>
                <w:szCs w:val="24"/>
                <w:lang w:val="en-US" w:eastAsia="zh-CN"/>
              </w:rPr>
              <w:t xml:space="preserve">11</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本项目的非主体、非关键性工作是否允许分包： </w:t>
            </w:r>
            <w:r/>
          </w:p>
          <w:p>
            <w:pPr>
              <w:jc w:val="left"/>
              <w:spacing w:line="360" w:lineRule="exact"/>
              <w:rPr>
                <w:rFonts w:ascii="宋体" w:hAnsi="宋体" w:cs="宋体"/>
                <w:sz w:val="24"/>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sz w:val="24"/>
              </w:rPr>
              <w:t xml:space="preserve">不允许</w:t>
            </w:r>
            <w:r/>
          </w:p>
          <w:p>
            <w:pPr>
              <w:jc w:val="left"/>
              <w:spacing w:line="360" w:lineRule="exact"/>
              <w:rPr>
                <w:rFonts w:ascii="宋体" w:hAnsi="宋体" w:cs="宋体"/>
                <w:sz w:val="24"/>
              </w:rPr>
            </w:pPr>
            <w:r>
              <w:rPr>
                <w:rFonts w:hint="eastAsia" w:ascii="宋体" w:hAnsi="宋体" w:cs="宋体"/>
                <w:sz w:val="24"/>
              </w:rPr>
              <w:t xml:space="preserve">□允许，具体要求：</w:t>
            </w:r>
            <w:r/>
          </w:p>
          <w:p>
            <w:pPr>
              <w:jc w:val="left"/>
              <w:spacing w:line="360" w:lineRule="exact"/>
              <w:rPr>
                <w:rFonts w:ascii="宋体" w:hAnsi="宋体" w:cs="宋体"/>
                <w:sz w:val="24"/>
              </w:rPr>
            </w:pPr>
            <w:r>
              <w:rPr>
                <w:rFonts w:hint="eastAsia" w:ascii="宋体" w:hAnsi="宋体" w:cs="宋体"/>
                <w:sz w:val="24"/>
              </w:rPr>
              <w:t xml:space="preserve">（1）可以分包履行的具体内容：_____；</w:t>
            </w:r>
            <w:r/>
          </w:p>
          <w:p>
            <w:pPr>
              <w:jc w:val="left"/>
              <w:spacing w:line="360" w:lineRule="exact"/>
              <w:rPr>
                <w:rFonts w:ascii="宋体" w:hAnsi="宋体" w:cs="宋体"/>
                <w:sz w:val="24"/>
              </w:rPr>
            </w:pPr>
            <w:r>
              <w:rPr>
                <w:rFonts w:hint="eastAsia" w:ascii="宋体" w:hAnsi="宋体" w:cs="宋体"/>
                <w:sz w:val="24"/>
              </w:rPr>
              <w:t xml:space="preserve">（2）允许分包的金额或者比例：_____；</w:t>
            </w:r>
            <w:r/>
          </w:p>
          <w:p>
            <w:pPr>
              <w:jc w:val="left"/>
              <w:spacing w:line="360" w:lineRule="exact"/>
              <w:rPr>
                <w:rFonts w:ascii="宋体" w:hAnsi="宋体" w:cs="宋体"/>
                <w:sz w:val="24"/>
                <w:u w:val="single"/>
              </w:rPr>
            </w:pPr>
            <w:r>
              <w:rPr>
                <w:rFonts w:hint="eastAsia" w:ascii="宋体" w:hAnsi="宋体" w:cs="宋体"/>
                <w:sz w:val="24"/>
              </w:rPr>
              <w:t xml:space="preserve">（3）其他要求：_____。</w:t>
            </w:r>
            <w:r/>
          </w:p>
        </w:tc>
      </w:tr>
      <w:tr>
        <w:trPr>
          <w:jc w:val="center"/>
          <w:trHeight w:val="524"/>
        </w:trPr>
        <w:tc>
          <w:tcPr>
            <w:tcW w:w="644" w:type="pct"/>
            <w:vAlign w:val="center"/>
            <w:textDirection w:val="lrTb"/>
            <w:noWrap w:val="false"/>
          </w:tcPr>
          <w:p>
            <w:pPr>
              <w:pStyle w:val="1094"/>
              <w:jc w:val="center"/>
              <w:spacing w:line="360" w:lineRule="exact"/>
              <w:rPr>
                <w:rFonts w:hint="default" w:hAnsi="宋体" w:eastAsia="宋体" w:cs="宋体"/>
                <w:sz w:val="24"/>
                <w:szCs w:val="24"/>
                <w:lang w:val="en-US" w:eastAsia="zh-CN"/>
              </w:rPr>
            </w:pPr>
            <w:r>
              <w:rPr>
                <w:rFonts w:hint="eastAsia" w:hAnsi="宋体" w:cs="宋体"/>
                <w:sz w:val="24"/>
                <w:szCs w:val="24"/>
                <w:lang w:val="en-US" w:eastAsia="zh-CN"/>
              </w:rPr>
              <w:t xml:space="preserve">12</w:t>
            </w:r>
            <w:r/>
          </w:p>
        </w:tc>
        <w:tc>
          <w:tcPr>
            <w:tcW w:w="984" w:type="pct"/>
            <w:vAlign w:val="center"/>
            <w:textDirection w:val="lrTb"/>
            <w:noWrap w:val="false"/>
          </w:tcPr>
          <w:p>
            <w:pPr>
              <w:ind w:firstLine="482"/>
              <w:spacing w:line="360" w:lineRule="exact"/>
              <w:rPr>
                <w:rFonts w:ascii="宋体" w:hAnsi="宋体" w:cs="宋体"/>
                <w:sz w:val="24"/>
              </w:rPr>
            </w:pPr>
            <w:r>
              <w:rPr>
                <w:rFonts w:hint="eastAsia" w:ascii="宋体" w:hAnsi="宋体" w:cs="宋体"/>
                <w:sz w:val="24"/>
              </w:rPr>
              <w:t xml:space="preserve">询问</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color w:val="000000" w:themeColor="text1"/>
                <w:sz w:val="24"/>
                <w14:textFill>
                  <w14:solidFill>
                    <w14:schemeClr w14:val="tx1"/>
                  </w14:solidFill>
                </w14:textFill>
              </w:rPr>
              <w:t xml:space="preserve">对</w:t>
            </w:r>
            <w:r>
              <w:rPr>
                <w:rFonts w:hint="eastAsia"/>
                <w:color w:val="000000" w:themeColor="text1"/>
                <w:sz w:val="24"/>
                <w:lang w:val="en-US" w:eastAsia="zh-CN"/>
                <w14:textFill>
                  <w14:solidFill>
                    <w14:schemeClr w14:val="tx1"/>
                  </w14:solidFill>
                </w14:textFill>
              </w:rPr>
              <w:t xml:space="preserve">招标</w:t>
            </w:r>
            <w:r>
              <w:rPr>
                <w:color w:val="000000" w:themeColor="text1"/>
                <w:sz w:val="24"/>
                <w14:textFill>
                  <w14:solidFill>
                    <w14:schemeClr w14:val="tx1"/>
                  </w14:solidFill>
                </w14:textFill>
              </w:rPr>
              <w:t xml:space="preserve">文件需要进行澄清或有疑问的</w:t>
            </w:r>
            <w:r>
              <w:rPr>
                <w:rFonts w:hint="eastAsia"/>
                <w:color w:val="000000" w:themeColor="text1"/>
                <w:sz w:val="24"/>
                <w:lang w:val="en-US" w:eastAsia="zh-CN"/>
                <w14:textFill>
                  <w14:solidFill>
                    <w14:schemeClr w14:val="tx1"/>
                  </w14:solidFill>
                </w14:textFill>
              </w:rPr>
              <w:t xml:space="preserve">投标人，</w:t>
            </w:r>
            <w:r>
              <w:rPr>
                <w:rFonts w:hint="eastAsia" w:ascii="宋体" w:hAnsi="宋体" w:eastAsia="宋体" w:cs="宋体"/>
                <w:sz w:val="24"/>
              </w:rPr>
              <w:t xml:space="preserve">请将疑问于202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cs="宋体"/>
                <w:sz w:val="24"/>
                <w:lang w:val="en-US" w:eastAsia="zh-CN"/>
              </w:rPr>
              <w:t xml:space="preserve">11</w:t>
            </w:r>
            <w:r>
              <w:rPr>
                <w:rFonts w:hint="eastAsia" w:ascii="宋体" w:hAnsi="宋体" w:eastAsia="宋体" w:cs="宋体"/>
                <w:sz w:val="24"/>
              </w:rPr>
              <w:t xml:space="preserve">月</w:t>
            </w:r>
            <w:r>
              <w:rPr>
                <w:rFonts w:hint="eastAsia" w:ascii="宋体" w:hAnsi="宋体" w:cs="宋体"/>
                <w:sz w:val="24"/>
                <w:lang w:val="en-US" w:eastAsia="zh-CN"/>
              </w:rPr>
              <w:t xml:space="preserve">5</w:t>
            </w:r>
            <w:r>
              <w:rPr>
                <w:rFonts w:hint="eastAsia" w:ascii="宋体" w:hAnsi="宋体" w:eastAsia="宋体" w:cs="宋体"/>
                <w:sz w:val="24"/>
              </w:rPr>
              <w:t xml:space="preserve">日</w:t>
            </w:r>
            <w:r>
              <w:rPr>
                <w:rFonts w:hint="eastAsia" w:ascii="宋体" w:hAnsi="宋体" w:eastAsia="宋体" w:cs="宋体"/>
                <w:sz w:val="24"/>
                <w:lang w:val="en-US" w:eastAsia="zh-CN"/>
              </w:rPr>
              <w:t xml:space="preserve">11</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00</w:t>
            </w:r>
            <w:r>
              <w:rPr>
                <w:rFonts w:hint="eastAsia" w:ascii="宋体" w:hAnsi="宋体" w:eastAsia="宋体" w:cs="宋体"/>
                <w:sz w:val="24"/>
              </w:rPr>
              <w:t xml:space="preserve">前以邮件形式发送至邮箱</w:t>
            </w:r>
            <w:r>
              <w:rPr>
                <w:rFonts w:hint="eastAsia" w:ascii="宋体" w:hAnsi="宋体" w:eastAsia="宋体" w:cs="宋体"/>
                <w:sz w:val="24"/>
                <w:lang w:val="en-US" w:eastAsia="zh-CN"/>
              </w:rPr>
              <w:t xml:space="preserve">334891748</w:t>
            </w:r>
            <w:r>
              <w:rPr>
                <w:rFonts w:hint="eastAsia" w:ascii="宋体" w:hAnsi="宋体" w:eastAsia="宋体" w:cs="宋体"/>
                <w:sz w:val="24"/>
              </w:rPr>
              <w:t xml:space="preserve">@</w:t>
            </w:r>
            <w:r>
              <w:rPr>
                <w:rFonts w:hint="eastAsia" w:ascii="宋体" w:hAnsi="宋体" w:eastAsia="宋体" w:cs="宋体"/>
                <w:sz w:val="24"/>
                <w:lang w:val="en-US" w:eastAsia="zh-CN"/>
              </w:rPr>
              <w:t xml:space="preserve">qq</w:t>
            </w:r>
            <w:r>
              <w:rPr>
                <w:rFonts w:hint="eastAsia" w:ascii="宋体" w:hAnsi="宋体" w:eastAsia="宋体" w:cs="宋体"/>
                <w:sz w:val="24"/>
              </w:rPr>
              <w:t xml:space="preserve">.com。如口头可解释的问题亦可电话咨询采购人。未提出疑问将被视为完全认同</w:t>
            </w:r>
            <w:r>
              <w:rPr>
                <w:rFonts w:hint="eastAsia" w:ascii="宋体" w:hAnsi="宋体" w:eastAsia="宋体" w:cs="宋体"/>
                <w:sz w:val="24"/>
                <w:lang w:val="en-US" w:eastAsia="zh-CN"/>
              </w:rPr>
              <w:t xml:space="preserve">招标文件所有内容</w:t>
            </w:r>
            <w:r>
              <w:rPr>
                <w:rFonts w:hint="eastAsia" w:ascii="宋体" w:hAnsi="宋体" w:eastAsia="宋体" w:cs="宋体"/>
                <w:sz w:val="24"/>
              </w:rPr>
              <w:t xml:space="preserve">，逾期将不接受其对于</w:t>
            </w:r>
            <w:r>
              <w:rPr>
                <w:rFonts w:hint="eastAsia" w:ascii="宋体" w:hAnsi="宋体" w:eastAsia="宋体" w:cs="宋体"/>
                <w:sz w:val="24"/>
                <w:lang w:val="en-US" w:eastAsia="zh-CN"/>
              </w:rPr>
              <w:t xml:space="preserve">招标文件</w:t>
            </w:r>
            <w:r>
              <w:rPr>
                <w:rFonts w:hint="eastAsia" w:ascii="宋体" w:hAnsi="宋体" w:eastAsia="宋体" w:cs="宋体"/>
                <w:sz w:val="24"/>
              </w:rPr>
              <w:t xml:space="preserve">的相关异议。如有变更，更正公告将会在</w:t>
            </w:r>
            <w:r>
              <w:rPr>
                <w:rFonts w:hint="eastAsia" w:ascii="宋体" w:hAnsi="宋体" w:eastAsia="宋体" w:cs="宋体"/>
                <w:sz w:val="24"/>
                <w:lang w:val="en-US" w:eastAsia="zh-CN"/>
              </w:rPr>
              <w:t xml:space="preserve">原公告网站</w:t>
            </w:r>
            <w:r>
              <w:rPr>
                <w:rFonts w:hint="eastAsia" w:ascii="宋体" w:hAnsi="宋体" w:eastAsia="宋体" w:cs="宋体"/>
                <w:sz w:val="24"/>
              </w:rPr>
              <w:t xml:space="preserve">公布。</w:t>
            </w:r>
            <w:r/>
          </w:p>
        </w:tc>
      </w:tr>
      <w:tr>
        <w:trPr>
          <w:jc w:val="center"/>
          <w:trHeight w:val="1610"/>
        </w:trPr>
        <w:tc>
          <w:tcPr>
            <w:tcW w:w="644" w:type="pct"/>
            <w:vAlign w:val="center"/>
            <w:textDirection w:val="lrTb"/>
            <w:noWrap w:val="false"/>
          </w:tcPr>
          <w:p>
            <w:pPr>
              <w:ind w:firstLine="482"/>
              <w:rPr>
                <w:rFonts w:hint="default" w:hAnsi="宋体" w:eastAsia="宋体" w:cs="宋体"/>
                <w:sz w:val="24"/>
                <w:szCs w:val="24"/>
                <w:lang w:val="en-US" w:eastAsia="zh-CN"/>
              </w:rPr>
            </w:pPr>
            <w:r>
              <w:rPr>
                <w:rFonts w:hint="eastAsia" w:ascii="宋体" w:hAnsi="宋体" w:cs="宋体"/>
              </w:rPr>
              <w:br w:type="page" w:clear="all"/>
            </w:r>
            <w:r>
              <w:rPr>
                <w:rFonts w:hint="eastAsia" w:hAnsi="宋体" w:cs="宋体"/>
                <w:sz w:val="24"/>
                <w:szCs w:val="24"/>
                <w:lang w:val="en-US" w:eastAsia="zh-CN"/>
              </w:rPr>
              <w:t xml:space="preserve">13</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3371" w:type="pct"/>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接收询问和质疑的联系方式</w:t>
            </w:r>
            <w:r/>
          </w:p>
          <w:p>
            <w:pPr>
              <w:jc w:val="left"/>
              <w:rPr>
                <w:rFonts w:hint="eastAsia" w:ascii="宋体" w:hAnsi="宋体"/>
                <w:sz w:val="24"/>
                <w:lang w:eastAsia="zh-CN"/>
              </w:rPr>
            </w:pPr>
            <w:r>
              <w:rPr>
                <w:color w:val="000000" w:themeColor="text1"/>
                <w:sz w:val="24"/>
                <w14:textFill>
                  <w14:solidFill>
                    <w14:schemeClr w14:val="tx1"/>
                  </w14:solidFill>
                </w14:textFill>
              </w:rPr>
              <w:t xml:space="preserve">联系部门：</w:t>
            </w:r>
            <w:r>
              <w:rPr>
                <w:rFonts w:ascii="宋体" w:hAnsi="宋体"/>
                <w:sz w:val="24"/>
              </w:rPr>
              <w:t xml:space="preserve">江苏春为全过程工程咨询有限公司</w:t>
            </w:r>
            <w:r>
              <w:rPr>
                <w:rFonts w:hint="eastAsia" w:ascii="宋体" w:hAnsi="宋体"/>
                <w:sz w:val="24"/>
                <w:lang w:eastAsia="zh-CN"/>
              </w:rPr>
              <w:t xml:space="preserve">；</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联系电话：</w:t>
            </w:r>
            <w:r>
              <w:rPr>
                <w:color w:val="000000" w:themeColor="text1"/>
                <w:sz w:val="24"/>
                <w:u w:val="single"/>
                <w14:textFill>
                  <w14:solidFill>
                    <w14:schemeClr w14:val="tx1"/>
                  </w14:solidFill>
                </w14:textFill>
              </w:rPr>
              <w:t xml:space="preserve">0519-68852676</w:t>
            </w:r>
            <w:r>
              <w:rPr>
                <w:color w:val="000000" w:themeColor="text1"/>
                <w:sz w:val="24"/>
                <w14:textFill>
                  <w14:solidFill>
                    <w14:schemeClr w14:val="tx1"/>
                  </w14:solidFill>
                </w14:textFill>
              </w:rPr>
              <w:t xml:space="preserve">；</w:t>
            </w:r>
            <w:r/>
          </w:p>
          <w:p>
            <w:pPr>
              <w:jc w:val="left"/>
              <w:rPr>
                <w:rFonts w:hint="eastAsia" w:ascii="宋体" w:hAnsi="宋体" w:eastAsia="宋体" w:cs="宋体"/>
                <w:sz w:val="24"/>
                <w:lang w:eastAsia="zh-CN"/>
              </w:rPr>
            </w:pPr>
            <w:r>
              <w:rPr>
                <w:color w:val="000000" w:themeColor="text1"/>
                <w:sz w:val="24"/>
                <w14:textFill>
                  <w14:solidFill>
                    <w14:schemeClr w14:val="tx1"/>
                  </w14:solidFill>
                </w14:textFill>
              </w:rPr>
              <w:t xml:space="preserve">通讯地址：</w:t>
            </w:r>
            <w:r>
              <w:rPr>
                <w:rFonts w:hint="eastAsia"/>
                <w:color w:val="000000" w:themeColor="text1"/>
                <w:sz w:val="24"/>
                <w:u w:val="single"/>
                <w14:textFill>
                  <w14:solidFill>
                    <w14:schemeClr w14:val="tx1"/>
                  </w14:solidFill>
                </w14:textFill>
              </w:rPr>
              <w:t xml:space="preserve">常州市武进区延政西大道6号蓝图大厦4楼</w:t>
            </w:r>
            <w:r>
              <w:rPr>
                <w:color w:val="000000" w:themeColor="text1"/>
                <w:sz w:val="24"/>
                <w14:textFill>
                  <w14:solidFill>
                    <w14:schemeClr w14:val="tx1"/>
                  </w14:solidFill>
                </w14:textFill>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pStyle w:val="1094"/>
              <w:jc w:val="center"/>
              <w:spacing w:line="360" w:lineRule="exact"/>
              <w:rPr>
                <w:rFonts w:hint="default" w:hAnsi="宋体" w:eastAsia="宋体" w:cs="宋体"/>
                <w:sz w:val="24"/>
                <w:szCs w:val="24"/>
                <w:lang w:val="en-US" w:eastAsia="zh-CN"/>
              </w:rPr>
            </w:pPr>
            <w:r>
              <w:rPr>
                <w:rFonts w:hint="eastAsia" w:hAnsi="宋体" w:cs="宋体"/>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（1）服务费按照下列标准收取并由中标人承担，中标人应在领取中标通知书时将代理服务费付至采购代理机构</w:t>
            </w:r>
            <w:r>
              <w:rPr>
                <w:rFonts w:hint="eastAsia" w:ascii="宋体" w:hAnsi="宋体" w:cs="宋体"/>
                <w:sz w:val="24"/>
                <w:lang w:val="en-US" w:eastAsia="zh-CN"/>
              </w:rPr>
              <w:t xml:space="preserve">收款</w:t>
            </w:r>
            <w:r>
              <w:rPr>
                <w:rFonts w:hint="eastAsia" w:ascii="宋体" w:hAnsi="宋体" w:cs="宋体"/>
                <w:sz w:val="24"/>
              </w:rPr>
              <w:t xml:space="preserve">账户。</w:t>
            </w:r>
            <w:r/>
          </w:p>
          <w:p>
            <w:pPr>
              <w:jc w:val="left"/>
              <w:spacing w:line="360" w:lineRule="exact"/>
              <w:rPr>
                <w:rFonts w:ascii="宋体" w:hAnsi="宋体" w:cs="宋体"/>
                <w:sz w:val="24"/>
              </w:rPr>
            </w:pPr>
            <w:r>
              <w:rPr>
                <w:rFonts w:hint="eastAsia" w:ascii="宋体" w:hAnsi="宋体" w:cs="宋体"/>
                <w:sz w:val="24"/>
              </w:rPr>
              <w:t xml:space="preserve">（2）代理服务收费标准</w:t>
            </w:r>
            <w:r/>
          </w:p>
          <w:tbl>
            <w:tblPr>
              <w:tblStyle w:val="1081"/>
              <w:tblW w:w="0" w:type="auto"/>
              <w:tblInd w:w="7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80"/>
              <w:gridCol w:w="1870"/>
            </w:tblGrid>
            <w:tr>
              <w:trPr>
                <w:trHeight w:val="1625"/>
              </w:trPr>
              <w:tc>
                <w:tcPr>
                  <w:tcW w:w="2880" w:type="dxa"/>
                  <w:vAlign w:val="top"/>
                  <w:textDirection w:val="lrTb"/>
                  <w:noWrap w:val="false"/>
                </w:tcPr>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21435" cy="1043305"/>
                            <wp:effectExtent l="3175" t="3810" r="8890" b="19685"/>
                            <wp:wrapNone/>
                            <wp:docPr id="5"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xy;visibility:visible;" from="27.0pt,-0.4pt" to="131.1pt,81.7pt" filled="f" strokecolor="#000000" strokeweight="0.75pt"/>
                        </w:pict>
                      </mc:Fallback>
                    </mc:AlternateContent>
                  </w: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6"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szCs w:val="21"/>
                    </w:rPr>
                    <w:t xml:space="preserve">项目类型</w:t>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firstLine="630"/>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725295" cy="635635"/>
                            <wp:effectExtent l="1905" t="4445" r="6350" b="7620"/>
                            <wp:wrapNone/>
                            <wp:docPr id="7"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flip:xy;visibility:visible;" from="-4.8pt,4.5pt" to="131.0pt,54.5pt" filled="f" strokecolor="#000000" strokeweight="0.75pt"/>
                        </w:pict>
                      </mc:Fallback>
                    </mc:AlternateContent>
                  </w:r>
                  <w:r>
                    <w:rPr>
                      <w:rFonts w:hint="eastAsia" w:ascii="宋体" w:hAnsi="宋体" w:cs="宋体"/>
                      <w:bCs/>
                      <w:szCs w:val="21"/>
                    </w:rPr>
                    <w:t xml:space="preserve">费率</w:t>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lang w:val="en-US" w:eastAsia="zh-CN"/>
                    </w:rPr>
                    <w:t xml:space="preserve">中标价</w:t>
                  </w:r>
                  <w:r>
                    <w:rPr>
                      <w:rFonts w:hint="eastAsia" w:ascii="宋体" w:hAnsi="宋体" w:cs="宋体"/>
                      <w:bCs/>
                      <w:szCs w:val="21"/>
                    </w:rPr>
                    <w:t xml:space="preserve">（万元）</w:t>
                  </w:r>
                  <w:r/>
                </w:p>
              </w:tc>
              <w:tc>
                <w:tcPr>
                  <w:tcW w:w="18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服务类</w:t>
                  </w:r>
                  <w:r/>
                </w:p>
              </w:tc>
            </w:tr>
            <w:tr>
              <w:trPr/>
              <w:tc>
                <w:tcPr>
                  <w:tcW w:w="2880"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100（含，下同）以下</w:t>
                  </w:r>
                  <w:r/>
                </w:p>
              </w:tc>
              <w:tc>
                <w:tcPr>
                  <w:tcW w:w="1870"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1.5%</w:t>
                  </w:r>
                  <w:r/>
                </w:p>
              </w:tc>
            </w:tr>
            <w:tr>
              <w:trPr/>
              <w:tc>
                <w:tcPr>
                  <w:tcW w:w="2880"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100-500</w:t>
                  </w:r>
                  <w:r/>
                </w:p>
              </w:tc>
              <w:tc>
                <w:tcPr>
                  <w:tcW w:w="1870"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0.8%</w:t>
                  </w:r>
                  <w:r/>
                </w:p>
              </w:tc>
            </w:tr>
            <w:tr>
              <w:trPr/>
              <w:tc>
                <w:tcPr>
                  <w:tcW w:w="2880"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Times New Roman"/>
                      <w:szCs w:val="21"/>
                    </w:rPr>
                    <w:t xml:space="preserve">500—1000</w:t>
                  </w:r>
                  <w:r/>
                </w:p>
              </w:tc>
              <w:tc>
                <w:tcPr>
                  <w:tcW w:w="1870"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Times New Roman"/>
                      <w:szCs w:val="21"/>
                    </w:rPr>
                    <w:t xml:space="preserve">0.45</w:t>
                  </w:r>
                  <w:r>
                    <w:rPr>
                      <w:rFonts w:hint="eastAsia" w:ascii="宋体" w:hAnsi="宋体" w:cs="宋体"/>
                      <w:szCs w:val="21"/>
                    </w:rPr>
                    <w:t xml:space="preserve">%</w:t>
                  </w:r>
                  <w:r/>
                </w:p>
              </w:tc>
            </w:tr>
            <w:tr>
              <w:trPr/>
              <w:tc>
                <w:tcPr>
                  <w:tcW w:w="288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Cs w:val="21"/>
                    </w:rPr>
                    <w:suppressLineNumbers w:val="0"/>
                  </w:pPr>
                  <w:r>
                    <w:rPr>
                      <w:rFonts w:hint="eastAsia" w:ascii="宋体" w:hAnsi="宋体" w:cs="Times New Roman"/>
                      <w:szCs w:val="21"/>
                    </w:rPr>
                    <w:t xml:space="preserve">1000-5000</w:t>
                  </w:r>
                  <w:r/>
                </w:p>
              </w:tc>
              <w:tc>
                <w:tcPr>
                  <w:tcW w:w="187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Cs w:val="21"/>
                    </w:rPr>
                    <w:suppressLineNumbers w:val="0"/>
                  </w:pPr>
                  <w:r>
                    <w:rPr>
                      <w:rFonts w:hint="eastAsia" w:ascii="宋体" w:hAnsi="宋体" w:cs="Times New Roman"/>
                      <w:szCs w:val="21"/>
                    </w:rPr>
                    <w:t xml:space="preserve">0.25%</w:t>
                  </w:r>
                  <w:r/>
                </w:p>
              </w:tc>
            </w:tr>
            <w:tr>
              <w:trPr/>
              <w:tc>
                <w:tcPr>
                  <w:tcW w:w="2880" w:type="dxa"/>
                  <w:vAlign w:val="top"/>
                  <w:textDirection w:val="lrTb"/>
                  <w:noWrap w:val="false"/>
                </w:tcPr>
                <w:p>
                  <w:pPr>
                    <w:ind w:left="0" w:right="0"/>
                    <w:jc w:val="center"/>
                    <w:keepLines w:val="0"/>
                    <w:keepNext w:val="0"/>
                    <w:spacing w:before="0" w:beforeAutospacing="0" w:after="0" w:afterAutospacing="0" w:line="440" w:lineRule="exact"/>
                    <w:rPr>
                      <w:rFonts w:ascii="宋体" w:hAnsi="宋体" w:cs="宋体"/>
                      <w:szCs w:val="21"/>
                    </w:rPr>
                    <w:suppressLineNumbers w:val="0"/>
                  </w:pPr>
                  <w:r>
                    <w:rPr>
                      <w:rFonts w:hint="eastAsia" w:ascii="宋体" w:hAnsi="宋体" w:cs="宋体"/>
                      <w:szCs w:val="21"/>
                    </w:rPr>
                    <w:t xml:space="preserve">……</w:t>
                  </w:r>
                  <w:r/>
                </w:p>
              </w:tc>
              <w:tc>
                <w:tcPr>
                  <w:tcW w:w="1870" w:type="dxa"/>
                  <w:vAlign w:val="top"/>
                  <w:textDirection w:val="lrTb"/>
                  <w:noWrap w:val="false"/>
                </w:tcPr>
                <w:p>
                  <w:pPr>
                    <w:ind w:left="0" w:right="0"/>
                    <w:jc w:val="center"/>
                    <w:keepLines w:val="0"/>
                    <w:keepNext w:val="0"/>
                    <w:spacing w:before="0" w:beforeAutospacing="0" w:after="0" w:afterAutospacing="0" w:line="440" w:lineRule="exact"/>
                    <w:rPr>
                      <w:rFonts w:ascii="宋体" w:hAnsi="宋体" w:cs="宋体"/>
                      <w:szCs w:val="21"/>
                    </w:rPr>
                    <w:suppressLineNumbers w:val="0"/>
                  </w:pPr>
                  <w:r>
                    <w:rPr>
                      <w:rFonts w:hint="eastAsia" w:ascii="宋体" w:hAnsi="宋体" w:cs="宋体"/>
                      <w:szCs w:val="21"/>
                    </w:rPr>
                    <w:t xml:space="preserve">……</w:t>
                  </w:r>
                  <w:r/>
                </w:p>
              </w:tc>
            </w:tr>
          </w:tbl>
          <w:p>
            <w:pPr>
              <w:jc w:val="left"/>
              <w:spacing w:line="360" w:lineRule="exact"/>
              <w:rPr>
                <w:rFonts w:ascii="宋体" w:hAnsi="宋体" w:cs="宋体"/>
                <w:sz w:val="24"/>
                <w:highlight w:val="none"/>
              </w:rPr>
            </w:pPr>
            <w:r>
              <w:rPr>
                <w:rFonts w:hint="eastAsia" w:ascii="宋体" w:hAnsi="宋体" w:cs="宋体"/>
                <w:sz w:val="24"/>
              </w:rPr>
              <w:t xml:space="preserve">（3）代理服务收费</w:t>
            </w:r>
            <w:r>
              <w:rPr>
                <w:rFonts w:hint="eastAsia" w:ascii="宋体" w:hAnsi="宋体" w:cs="宋体"/>
                <w:sz w:val="24"/>
                <w:highlight w:val="none"/>
                <w:lang w:val="en-US" w:eastAsia="zh-CN"/>
              </w:rPr>
              <w:t xml:space="preserve">以一年中标价为计算基础，</w:t>
            </w:r>
            <w:r>
              <w:rPr>
                <w:rFonts w:hint="eastAsia" w:ascii="宋体" w:hAnsi="宋体" w:cs="宋体"/>
                <w:sz w:val="24"/>
                <w:highlight w:val="none"/>
              </w:rPr>
              <w:t xml:space="preserve">按差额定率累进法计算。  </w:t>
            </w:r>
            <w:r/>
          </w:p>
          <w:p>
            <w:pPr>
              <w:jc w:val="left"/>
              <w:spacing w:line="360" w:lineRule="exact"/>
              <w:rPr>
                <w:rFonts w:ascii="宋体" w:hAnsi="宋体" w:cs="宋体"/>
                <w:sz w:val="24"/>
              </w:rPr>
            </w:pPr>
            <w:r>
              <w:rPr>
                <w:rFonts w:hint="eastAsia" w:ascii="宋体" w:hAnsi="宋体" w:cs="宋体"/>
                <w:sz w:val="24"/>
                <w:highlight w:val="none"/>
              </w:rPr>
              <w:t xml:space="preserve">（4）服务收费按上述</w:t>
            </w:r>
            <w:r>
              <w:rPr>
                <w:rFonts w:hint="eastAsia" w:ascii="宋体" w:hAnsi="宋体" w:cs="宋体"/>
                <w:sz w:val="24"/>
                <w:highlight w:val="none"/>
                <w:lang w:val="en-US" w:eastAsia="zh-CN"/>
              </w:rPr>
              <w:t xml:space="preserve">标准*80%计取，</w:t>
            </w:r>
            <w:r>
              <w:rPr>
                <w:rFonts w:hint="eastAsia" w:ascii="宋体" w:hAnsi="宋体" w:cs="宋体"/>
                <w:sz w:val="24"/>
                <w:highlight w:val="none"/>
              </w:rPr>
              <w:t xml:space="preserve">不足</w:t>
            </w:r>
            <w:r>
              <w:rPr>
                <w:rFonts w:hint="eastAsia" w:ascii="宋体" w:hAnsi="宋体" w:cs="宋体"/>
                <w:sz w:val="24"/>
              </w:rPr>
              <w:t xml:space="preserve">人民币3000元的，按人民币3000元收取。</w:t>
            </w:r>
            <w:r/>
          </w:p>
          <w:p>
            <w:pPr>
              <w:jc w:val="left"/>
              <w:spacing w:line="360" w:lineRule="exact"/>
              <w:rPr>
                <w:rFonts w:ascii="宋体" w:hAnsi="宋体" w:cs="宋体"/>
                <w:sz w:val="24"/>
              </w:rPr>
            </w:pPr>
            <w:r>
              <w:rPr>
                <w:rFonts w:hint="eastAsia" w:ascii="宋体" w:hAnsi="宋体" w:cs="宋体"/>
                <w:sz w:val="24"/>
              </w:rPr>
              <w:t xml:space="preserve">代理服务费缴纳账户信息：</w:t>
            </w:r>
            <w:r/>
          </w:p>
          <w:p>
            <w:pPr>
              <w:jc w:val="left"/>
              <w:rPr>
                <w:rFonts w:ascii="宋体" w:hAnsi="宋体"/>
                <w:sz w:val="24"/>
              </w:rPr>
            </w:pPr>
            <w:r>
              <w:rPr>
                <w:rFonts w:hint="eastAsia" w:ascii="宋体" w:hAnsi="宋体"/>
                <w:sz w:val="24"/>
              </w:rPr>
              <w:t xml:space="preserve">账户：江苏春为全过程工程咨询有限公司</w:t>
            </w:r>
            <w:r>
              <w:rPr>
                <w:rFonts w:ascii="宋体" w:hAnsi="宋体"/>
                <w:sz w:val="24"/>
              </w:rPr>
              <w:br/>
            </w:r>
            <w:r>
              <w:rPr>
                <w:rFonts w:hint="eastAsia" w:ascii="宋体" w:hAnsi="宋体"/>
                <w:sz w:val="24"/>
              </w:rPr>
              <w:t xml:space="preserve">开户银行：江南农村商业银行武进支行</w:t>
            </w:r>
            <w:r>
              <w:rPr>
                <w:rFonts w:ascii="宋体" w:hAnsi="宋体"/>
                <w:sz w:val="24"/>
              </w:rPr>
              <w:t xml:space="preserve">   </w:t>
            </w:r>
            <w:r/>
          </w:p>
          <w:p>
            <w:pPr>
              <w:jc w:val="left"/>
            </w:pPr>
            <w:r>
              <w:rPr>
                <w:rFonts w:hint="eastAsia" w:ascii="宋体" w:hAnsi="宋体"/>
                <w:sz w:val="24"/>
              </w:rPr>
              <w:t xml:space="preserve">账号：</w:t>
            </w:r>
            <w:r>
              <w:rPr>
                <w:rFonts w:ascii="宋体" w:hAnsi="宋体"/>
                <w:sz w:val="24"/>
              </w:rPr>
              <w:t xml:space="preserve">86001011012010000000995</w:t>
            </w:r>
            <w:r/>
          </w:p>
        </w:tc>
      </w:tr>
    </w:tbl>
    <w:p>
      <w:pPr>
        <w:ind w:firstLine="482"/>
        <w:jc w:val="both"/>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587" w:header="851" w:footer="851" w:gutter="0"/>
          <w:pgNumType w:start="0"/>
          <w:cols w:num="1" w:sep="0" w:space="720" w:equalWidth="1"/>
          <w:docGrid w:linePitch="360"/>
          <w:titlePg/>
        </w:sectPr>
      </w:pPr>
      <w:r>
        <w:rPr>
          <w:sz w:val="24"/>
        </w:rPr>
      </w:r>
      <w:r/>
    </w:p>
    <w:p>
      <w:pPr>
        <w:ind w:firstLine="562"/>
        <w:jc w:val="center"/>
        <w:spacing w:before="240" w:after="240"/>
        <w:rPr>
          <w:b/>
          <w:sz w:val="28"/>
          <w:szCs w:val="28"/>
        </w:rPr>
      </w:pPr>
      <w:r/>
      <w:bookmarkStart w:id="55" w:name="_Toc353873662"/>
      <w:r/>
      <w:bookmarkStart w:id="56" w:name="_Toc195842882"/>
      <w:r/>
      <w:bookmarkStart w:id="57" w:name="_Toc353873932"/>
      <w:r/>
      <w:bookmarkStart w:id="58" w:name="_Toc353825542"/>
      <w:r/>
      <w:bookmarkStart w:id="59" w:name="_Toc150774722"/>
      <w:r/>
      <w:bookmarkStart w:id="60" w:name="_Toc150480755"/>
      <w:r/>
      <w:bookmarkStart w:id="61" w:name="_Toc264969207"/>
      <w:r/>
      <w:bookmarkStart w:id="62" w:name="_Toc226337213"/>
      <w:r/>
      <w:bookmarkStart w:id="63" w:name="_Toc142311019"/>
      <w:r/>
      <w:bookmarkStart w:id="64" w:name="_Toc127151517"/>
      <w:r/>
      <w:bookmarkStart w:id="65" w:name="_Toc265228355"/>
      <w:r/>
      <w:bookmarkStart w:id="66" w:name="_Toc305158785"/>
      <w:r/>
      <w:bookmarkStart w:id="67" w:name="_Toc226965790"/>
      <w:r/>
      <w:bookmarkStart w:id="68" w:name="_Toc305158859"/>
      <w:r>
        <w:rPr>
          <w:b/>
          <w:sz w:val="28"/>
          <w:szCs w:val="28"/>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
    </w:p>
    <w:p>
      <w:pPr>
        <w:pStyle w:val="1072"/>
        <w:ind w:firstLine="560"/>
        <w:jc w:val="left"/>
        <w:spacing w:before="0" w:line="360" w:lineRule="auto"/>
        <w:tabs>
          <w:tab w:val="center" w:pos="4592" w:leader="none"/>
          <w:tab w:val="left" w:pos="7860" w:leader="none"/>
        </w:tabs>
        <w:rPr>
          <w:rFonts w:ascii="Times New Roman" w:hAnsi="Times New Roman" w:eastAsia="宋体"/>
          <w:sz w:val="28"/>
        </w:rPr>
      </w:pPr>
      <w:r/>
      <w:bookmarkStart w:id="69" w:name="_Toc520356143"/>
      <w:r/>
      <w:bookmarkStart w:id="70" w:name="_Toc127151518"/>
      <w:r>
        <w:rPr>
          <w:rFonts w:ascii="Times New Roman" w:hAnsi="Times New Roman" w:eastAsia="宋体"/>
          <w:sz w:val="28"/>
        </w:rPr>
        <w:tab/>
      </w:r>
      <w:bookmarkStart w:id="71" w:name="_Toc151193832"/>
      <w:r/>
      <w:bookmarkStart w:id="72" w:name="_Toc150480756"/>
      <w:r/>
      <w:bookmarkStart w:id="73" w:name="_Toc142311020"/>
      <w:r/>
      <w:bookmarkStart w:id="74" w:name="_Toc226965708"/>
      <w:r/>
      <w:bookmarkStart w:id="75" w:name="_Toc150774723"/>
      <w:r/>
      <w:bookmarkStart w:id="76" w:name="_Toc150774618"/>
      <w:r/>
      <w:bookmarkStart w:id="77" w:name="_Toc151193760"/>
      <w:r/>
      <w:bookmarkStart w:id="78" w:name="_Toc151190145"/>
      <w:r/>
      <w:bookmarkStart w:id="79" w:name="_Toc305158786"/>
      <w:r/>
      <w:bookmarkStart w:id="80" w:name="_Toc264969208"/>
      <w:r/>
      <w:bookmarkStart w:id="81" w:name="_Toc226309762"/>
      <w:r/>
      <w:bookmarkStart w:id="82" w:name="_Toc195842883"/>
      <w:r/>
      <w:bookmarkStart w:id="83" w:name="_Toc150509269"/>
      <w:r/>
      <w:bookmarkStart w:id="84" w:name="_Toc265228356"/>
      <w:r/>
      <w:bookmarkStart w:id="85" w:name="_Toc151193688"/>
      <w:r/>
      <w:bookmarkStart w:id="86" w:name="_Toc226965791"/>
      <w:r/>
      <w:bookmarkStart w:id="87" w:name="_Toc151193616"/>
      <w:r/>
      <w:bookmarkStart w:id="88" w:name="_Toc226337214"/>
      <w:r/>
      <w:bookmarkStart w:id="89" w:name="_Toc305158860"/>
      <w:r/>
      <w:bookmarkStart w:id="90" w:name="_Toc151193906"/>
      <w:r>
        <w:rPr>
          <w:rFonts w:ascii="Times New Roman" w:hAnsi="Times New Roman" w:eastAsia="宋体"/>
          <w:sz w:val="28"/>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rPr>
        <w:tab/>
      </w:r>
      <w:r/>
    </w:p>
    <w:p>
      <w:pPr>
        <w:numPr>
          <w:ilvl w:val="0"/>
          <w:numId w:val="8"/>
        </w:numPr>
        <w:ind w:left="357" w:firstLine="482"/>
        <w:spacing w:line="360" w:lineRule="auto"/>
        <w:tabs>
          <w:tab w:val="left" w:pos="360" w:leader="none"/>
          <w:tab w:val="clear" w:pos="900" w:leader="none"/>
        </w:tabs>
        <w:rPr>
          <w:sz w:val="24"/>
        </w:rPr>
        <w:outlineLvl w:val="1"/>
      </w:pPr>
      <w:r/>
      <w:bookmarkStart w:id="91" w:name="_Toc264969209"/>
      <w:r/>
      <w:bookmarkStart w:id="92" w:name="_Toc305158861"/>
      <w:r/>
      <w:bookmarkStart w:id="93" w:name="_Toc305158787"/>
      <w:r/>
      <w:bookmarkStart w:id="94" w:name="_Toc265228357"/>
      <w:r>
        <w:rPr>
          <w:sz w:val="24"/>
        </w:rPr>
        <w:t xml:space="preserve">采购人、采购代理机构、投标人</w:t>
      </w:r>
      <w:bookmarkEnd w:id="91"/>
      <w:r/>
      <w:bookmarkEnd w:id="92"/>
      <w:r/>
      <w:bookmarkEnd w:id="93"/>
      <w:r/>
      <w:bookmarkEnd w:id="94"/>
      <w:r>
        <w:rPr>
          <w:rFonts w:hint="eastAsia"/>
          <w:sz w:val="24"/>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rPr>
        <w:outlineLvl w:val="1"/>
      </w:pPr>
      <w:r/>
      <w:bookmarkStart w:id="95" w:name="_Toc150774620"/>
      <w:r/>
      <w:bookmarkStart w:id="96" w:name="_Toc151190147"/>
      <w:r/>
      <w:bookmarkStart w:id="97" w:name="_Toc151193618"/>
      <w:r/>
      <w:bookmarkStart w:id="98" w:name="_Toc127161434"/>
      <w:r/>
      <w:bookmarkStart w:id="99" w:name="_Toc226965710"/>
      <w:r/>
      <w:bookmarkStart w:id="100" w:name="_Toc150509271"/>
      <w:r/>
      <w:bookmarkStart w:id="101" w:name="_Toc195842885"/>
      <w:r/>
      <w:bookmarkStart w:id="102" w:name="_Toc149720813"/>
      <w:r/>
      <w:bookmarkStart w:id="103" w:name="_Toc164229215"/>
      <w:r/>
      <w:bookmarkStart w:id="104" w:name="_Toc151193762"/>
      <w:r/>
      <w:bookmarkStart w:id="105" w:name="_Toc127151721"/>
      <w:r/>
      <w:bookmarkStart w:id="106" w:name="_Toc150774725"/>
      <w:r/>
      <w:bookmarkStart w:id="107" w:name="_Toc151193834"/>
      <w:r/>
      <w:bookmarkStart w:id="108" w:name="_Toc164608634"/>
      <w:r/>
      <w:bookmarkStart w:id="109" w:name="_Toc164229361"/>
      <w:r/>
      <w:bookmarkStart w:id="110" w:name="_Toc226965793"/>
      <w:r/>
      <w:bookmarkStart w:id="111" w:name="_Toc164608789"/>
      <w:r/>
      <w:bookmarkStart w:id="112" w:name="_Toc305158862"/>
      <w:r/>
      <w:bookmarkStart w:id="113" w:name="_Toc151193690"/>
      <w:r/>
      <w:bookmarkStart w:id="114" w:name="_Toc226337216"/>
      <w:r/>
      <w:bookmarkStart w:id="115" w:name="_Toc264969210"/>
      <w:r/>
      <w:bookmarkStart w:id="116" w:name="_Toc305158788"/>
      <w:r/>
      <w:bookmarkStart w:id="117" w:name="_Toc265228358"/>
      <w:r/>
      <w:bookmarkStart w:id="118" w:name="_Toc127151520"/>
      <w:r/>
      <w:bookmarkStart w:id="119" w:name="_Toc142311022"/>
      <w:r/>
      <w:bookmarkStart w:id="120" w:name="_Toc164351614"/>
      <w:r/>
      <w:bookmarkStart w:id="121" w:name="_Toc226309764"/>
      <w:r/>
      <w:bookmarkStart w:id="122" w:name="_Toc150480758"/>
      <w:r/>
      <w:bookmarkStart w:id="123" w:name="_Toc151193908"/>
      <w:r>
        <w:rPr>
          <w:sz w:val="24"/>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firstLine="482"/>
        <w:spacing w:line="360" w:lineRule="auto"/>
        <w:tabs>
          <w:tab w:val="left" w:pos="360" w:leader="none"/>
        </w:tabs>
        <w:rPr>
          <w:sz w:val="24"/>
        </w:rPr>
        <w:outlineLvl w:val="1"/>
      </w:pPr>
      <w:r>
        <w:rPr>
          <w:sz w:val="24"/>
        </w:rPr>
        <w:t xml:space="preserve">现场考察、开标前答疑会</w:t>
      </w:r>
      <w:r/>
    </w:p>
    <w:p>
      <w:pPr>
        <w:numPr>
          <w:ilvl w:val="1"/>
          <w:numId w:val="8"/>
        </w:numPr>
        <w:ind w:left="1080" w:firstLine="482"/>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4" w:name="_Toc226965795"/>
      <w:r/>
      <w:bookmarkStart w:id="125" w:name="_Toc150480760"/>
      <w:r/>
      <w:bookmarkStart w:id="126" w:name="_Toc151193620"/>
      <w:r/>
      <w:bookmarkStart w:id="127" w:name="_Toc151190149"/>
      <w:r/>
      <w:bookmarkStart w:id="128" w:name="_Toc226965712"/>
      <w:r/>
      <w:bookmarkStart w:id="129" w:name="_Toc265228360"/>
      <w:r/>
      <w:bookmarkStart w:id="130" w:name="_Toc151193836"/>
      <w:r/>
      <w:bookmarkStart w:id="131" w:name="_Toc305158864"/>
      <w:r/>
      <w:bookmarkStart w:id="132" w:name="_Toc264969212"/>
      <w:r/>
      <w:bookmarkStart w:id="133" w:name="_Toc150509273"/>
      <w:r/>
      <w:bookmarkStart w:id="134" w:name="_Toc150774727"/>
      <w:r/>
      <w:bookmarkStart w:id="135" w:name="_Toc226309766"/>
      <w:r/>
      <w:bookmarkStart w:id="136" w:name="_Toc151193764"/>
      <w:r/>
      <w:bookmarkStart w:id="137" w:name="_Toc195842887"/>
      <w:r/>
      <w:bookmarkStart w:id="138" w:name="_Toc151193692"/>
      <w:r/>
      <w:bookmarkStart w:id="139" w:name="_Toc305158790"/>
      <w:r/>
      <w:bookmarkStart w:id="140" w:name="_Toc150774622"/>
      <w:r/>
      <w:bookmarkStart w:id="141" w:name="_Toc151193910"/>
      <w:r/>
      <w:bookmarkStart w:id="142" w:name="_Toc127151522"/>
      <w:r/>
      <w:bookmarkStart w:id="143" w:name="_Toc520356146"/>
      <w:r/>
      <w:bookmarkStart w:id="144" w:name="_Toc142311024"/>
      <w:r/>
      <w:bookmarkStart w:id="145" w:name="_Toc226337218"/>
      <w:r/>
      <w:r/>
    </w:p>
    <w:p>
      <w:pPr>
        <w:numPr>
          <w:ilvl w:val="1"/>
          <w:numId w:val="8"/>
        </w:numPr>
        <w:ind w:left="1080" w:firstLine="482"/>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rPr>
        <w:outlineLvl w:val="1"/>
      </w:pPr>
      <w:r>
        <w:rPr>
          <w:sz w:val="24"/>
        </w:rPr>
        <w:t xml:space="preserve">样品</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进口产品</w:t>
      </w:r>
      <w:r/>
    </w:p>
    <w:p>
      <w:pPr>
        <w:numPr>
          <w:ilvl w:val="2"/>
          <w:numId w:val="8"/>
        </w:numPr>
        <w:ind w:firstLine="482"/>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rPr>
        <w:outlineLvl w:val="2"/>
      </w:pPr>
      <w:r>
        <w:rPr>
          <w:sz w:val="24"/>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rPr>
        <w:outlineLvl w:val="3"/>
      </w:pPr>
      <w:r>
        <w:rPr>
          <w:sz w:val="24"/>
        </w:rPr>
        <w:t xml:space="preserve">中小企业定义：</w:t>
      </w:r>
      <w:r/>
    </w:p>
    <w:p>
      <w:pPr>
        <w:pStyle w:val="1317"/>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firstLine="482"/>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rPr>
      </w:pPr>
      <w:r>
        <w:rPr>
          <w:sz w:val="24"/>
        </w:rPr>
        <w:t xml:space="preserve">残疾人福利单位定义：享受政府采购支持政策的残疾人福利性单位应当同时满足以下条件：</w:t>
      </w:r>
      <w:r/>
    </w:p>
    <w:p>
      <w:pPr>
        <w:pStyle w:val="1317"/>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rPr>
      </w:pPr>
      <w:r>
        <w:rPr>
          <w:sz w:val="24"/>
        </w:rPr>
        <w:t xml:space="preserve">本项目是否专门面向中小企业预留采购份额见第一章《投标邀请》。</w:t>
      </w:r>
      <w:r/>
    </w:p>
    <w:p>
      <w:pPr>
        <w:numPr>
          <w:ilvl w:val="2"/>
          <w:numId w:val="8"/>
        </w:numPr>
        <w:ind w:firstLine="482"/>
        <w:spacing w:line="360" w:lineRule="auto"/>
        <w:rPr>
          <w:sz w:val="24"/>
        </w:rPr>
      </w:pPr>
      <w:r>
        <w:rPr>
          <w:sz w:val="24"/>
        </w:rPr>
        <w:t xml:space="preserve">采购标的对应的中小企业划分标准所属行业见《投标人须知资料表》。</w:t>
      </w:r>
      <w:r/>
    </w:p>
    <w:p>
      <w:pPr>
        <w:numPr>
          <w:ilvl w:val="2"/>
          <w:numId w:val="8"/>
        </w:numPr>
        <w:ind w:firstLine="482"/>
        <w:spacing w:line="360" w:lineRule="auto"/>
        <w:rPr>
          <w:sz w:val="24"/>
        </w:rPr>
      </w:pPr>
      <w:r>
        <w:rPr>
          <w:sz w:val="24"/>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政府采购节能产品、环境标志产品</w:t>
      </w:r>
      <w:r/>
    </w:p>
    <w:p>
      <w:pPr>
        <w:numPr>
          <w:ilvl w:val="2"/>
          <w:numId w:val="8"/>
        </w:numPr>
        <w:ind w:firstLine="482"/>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8"/>
        </w:numPr>
        <w:ind w:firstLine="482"/>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支持乡村产业振兴管理</w:t>
      </w:r>
      <w:r/>
    </w:p>
    <w:p>
      <w:pPr>
        <w:numPr>
          <w:ilvl w:val="2"/>
          <w:numId w:val="8"/>
        </w:numPr>
        <w:ind w:firstLine="482"/>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正版软件</w:t>
      </w:r>
      <w:r/>
    </w:p>
    <w:p>
      <w:pPr>
        <w:numPr>
          <w:ilvl w:val="2"/>
          <w:numId w:val="8"/>
        </w:numPr>
        <w:ind w:firstLine="482"/>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rPr>
        <w:outlineLvl w:val="2"/>
      </w:pPr>
      <w:r>
        <w:rPr>
          <w:rFonts w:hint="eastAsia"/>
          <w:sz w:val="24"/>
        </w:rPr>
        <w:t xml:space="preserve">政府采购创新产品政策</w:t>
      </w:r>
      <w:r/>
    </w:p>
    <w:p>
      <w:pPr>
        <w:numPr>
          <w:ilvl w:val="2"/>
          <w:numId w:val="8"/>
        </w:numPr>
        <w:ind w:firstLine="482"/>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rPr>
      </w:pPr>
      <w:r>
        <w:rPr>
          <w:rFonts w:hint="eastAsia" w:ascii="宋体" w:hAnsi="宋体"/>
          <w:sz w:val="24"/>
        </w:rPr>
        <w:t xml:space="preserve">5.7   绿色采购政策</w:t>
      </w:r>
      <w:r/>
    </w:p>
    <w:p>
      <w:pPr>
        <w:ind w:left="900" w:firstLine="482"/>
        <w:spacing w:line="480" w:lineRule="exact"/>
        <w:rPr>
          <w:rFonts w:ascii="宋体" w:hAnsi="宋体"/>
          <w:b/>
          <w:sz w:val="24"/>
        </w:rPr>
        <w:outlineLvl w:val="3"/>
      </w:pPr>
      <w:r>
        <w:rPr>
          <w:rFonts w:hint="eastAsia"/>
          <w:sz w:val="24"/>
        </w:rPr>
        <w:t xml:space="preserve">5.7.1  </w:t>
      </w:r>
      <w:r>
        <w:rPr>
          <w:rFonts w:hint="eastAsia" w:ascii="宋体" w:hAnsi="宋体"/>
          <w:b/>
          <w:sz w:val="24"/>
        </w:rPr>
        <w:t xml:space="preserve">绿色数据中心政策 </w:t>
      </w:r>
      <w:r/>
    </w:p>
    <w:p>
      <w:pPr>
        <w:ind w:left="900" w:firstLine="482"/>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rPr>
        <w:outlineLvl w:val="3"/>
      </w:pPr>
      <w:r>
        <w:rPr>
          <w:rFonts w:hint="eastAsia" w:ascii="宋体" w:hAnsi="宋体"/>
          <w:sz w:val="24"/>
        </w:rPr>
        <w:t xml:space="preserve">5.7.2 推广应用绿色建材</w:t>
      </w:r>
      <w:r/>
    </w:p>
    <w:p>
      <w:pPr>
        <w:ind w:left="900" w:firstLine="482"/>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rPr>
        <w:outlineLvl w:val="3"/>
      </w:pPr>
      <w:r>
        <w:rPr>
          <w:rFonts w:hint="eastAsia" w:ascii="宋体" w:hAnsi="宋体"/>
          <w:sz w:val="24"/>
        </w:rPr>
        <w:t xml:space="preserve">5.7.3 优先使用低挥发性有机化合物产品</w:t>
      </w:r>
      <w:r/>
    </w:p>
    <w:p>
      <w:pPr>
        <w:ind w:left="900" w:firstLine="482"/>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274"/>
        <w:jc w:val="both"/>
      </w:pPr>
      <w:r/>
      <w:r/>
    </w:p>
    <w:p>
      <w:pPr>
        <w:numPr>
          <w:ilvl w:val="0"/>
          <w:numId w:val="8"/>
        </w:numPr>
        <w:ind w:left="357" w:firstLine="482"/>
        <w:spacing w:line="360" w:lineRule="auto"/>
        <w:tabs>
          <w:tab w:val="left" w:pos="360" w:leader="none"/>
        </w:tabs>
        <w:rPr>
          <w:sz w:val="24"/>
        </w:rPr>
        <w:outlineLvl w:val="1"/>
      </w:pPr>
      <w:r>
        <w:rPr>
          <w:sz w:val="24"/>
        </w:rPr>
        <w:t xml:space="preserve">投标费用</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rPr>
      </w:pPr>
      <w:r/>
      <w:bookmarkStart w:id="146" w:name="_1.8_计量单位"/>
      <w:r/>
      <w:bookmarkEnd w:id="146"/>
      <w:r/>
      <w:r/>
    </w:p>
    <w:p>
      <w:pPr>
        <w:pStyle w:val="1072"/>
        <w:ind w:firstLine="56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numPr>
          <w:ilvl w:val="0"/>
          <w:numId w:val="8"/>
        </w:numPr>
        <w:ind w:left="357" w:firstLine="482"/>
        <w:spacing w:line="360" w:lineRule="auto"/>
        <w:tabs>
          <w:tab w:val="left" w:pos="360" w:leader="none"/>
        </w:tabs>
        <w:rPr>
          <w:sz w:val="24"/>
        </w:rPr>
        <w:outlineLvl w:val="1"/>
      </w:pPr>
      <w:r/>
      <w:bookmarkStart w:id="147" w:name="_Toc127161437"/>
      <w:r/>
      <w:bookmarkStart w:id="148" w:name="_Toc164229218"/>
      <w:r/>
      <w:bookmarkStart w:id="149" w:name="_Toc151193911"/>
      <w:r/>
      <w:bookmarkStart w:id="150" w:name="_Toc226965796"/>
      <w:r/>
      <w:bookmarkStart w:id="151" w:name="_Toc142311025"/>
      <w:r/>
      <w:bookmarkStart w:id="152" w:name="_Toc164608637"/>
      <w:r/>
      <w:bookmarkStart w:id="153" w:name="_Toc149720816"/>
      <w:r/>
      <w:bookmarkStart w:id="154" w:name="_Toc226309767"/>
      <w:r/>
      <w:bookmarkStart w:id="155" w:name="_Toc151190150"/>
      <w:r/>
      <w:bookmarkStart w:id="156" w:name="_Toc520356147"/>
      <w:r/>
      <w:bookmarkStart w:id="157" w:name="_Toc127151724"/>
      <w:r/>
      <w:bookmarkStart w:id="158" w:name="_Toc226337219"/>
      <w:r/>
      <w:bookmarkStart w:id="159" w:name="_Toc305158791"/>
      <w:r/>
      <w:bookmarkStart w:id="160" w:name="_Toc151193621"/>
      <w:r/>
      <w:bookmarkStart w:id="161" w:name="_Toc226965713"/>
      <w:r/>
      <w:bookmarkStart w:id="162" w:name="_Toc150774728"/>
      <w:r/>
      <w:bookmarkStart w:id="163" w:name="_Toc305158865"/>
      <w:r/>
      <w:bookmarkStart w:id="164" w:name="_Toc164229364"/>
      <w:r/>
      <w:bookmarkStart w:id="165" w:name="_Toc127151523"/>
      <w:r/>
      <w:bookmarkStart w:id="166" w:name="_Toc195842888"/>
      <w:r/>
      <w:bookmarkStart w:id="167" w:name="_Toc265228361"/>
      <w:r/>
      <w:bookmarkStart w:id="168" w:name="_Toc150509274"/>
      <w:r/>
      <w:bookmarkStart w:id="169" w:name="_Toc150774623"/>
      <w:r/>
      <w:bookmarkStart w:id="170" w:name="_Toc164608792"/>
      <w:r/>
      <w:bookmarkStart w:id="171" w:name="_Toc151193837"/>
      <w:r/>
      <w:bookmarkStart w:id="172" w:name="_Toc150480761"/>
      <w:r/>
      <w:bookmarkStart w:id="173" w:name="_Toc151193693"/>
      <w:r/>
      <w:bookmarkStart w:id="174" w:name="_Toc164351617"/>
      <w:r/>
      <w:bookmarkStart w:id="175" w:name="_Toc264969213"/>
      <w:r/>
      <w:bookmarkStart w:id="176" w:name="_Toc151193765"/>
      <w:r>
        <w:rPr>
          <w:sz w:val="24"/>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rPr>
        <w:t xml:space="preserve">成</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招标文件包括以下部分：</w:t>
      </w:r>
      <w:r/>
    </w:p>
    <w:p>
      <w:pPr>
        <w:ind w:left="1922"/>
        <w:spacing w:line="360" w:lineRule="auto"/>
        <w:tabs>
          <w:tab w:val="left" w:pos="1980" w:leader="none"/>
          <w:tab w:val="left" w:pos="2520" w:leader="none"/>
        </w:tabs>
        <w:rPr>
          <w:rFonts w:hint="eastAsia" w:eastAsia="宋体"/>
          <w:sz w:val="24"/>
          <w:lang w:eastAsia="zh-CN"/>
        </w:rPr>
      </w:pPr>
      <w:r>
        <w:rPr>
          <w:rFonts w:hint="eastAsia"/>
          <w:sz w:val="24"/>
        </w:rPr>
        <w:t xml:space="preserve">第一章 </w:t>
      </w:r>
      <w:r>
        <w:rPr>
          <w:rFonts w:hint="eastAsia"/>
          <w:sz w:val="24"/>
          <w:lang w:eastAsia="zh-CN"/>
        </w:rPr>
        <w:t xml:space="preserve">投标邀请</w:t>
      </w:r>
      <w:r/>
    </w:p>
    <w:p>
      <w:pPr>
        <w:ind w:left="1922"/>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p>
    <w:p>
      <w:pPr>
        <w:ind w:left="1922"/>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p>
    <w:p>
      <w:pPr>
        <w:ind w:left="1922"/>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p>
    <w:p>
      <w:pPr>
        <w:ind w:left="1922"/>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p>
    <w:p>
      <w:pPr>
        <w:ind w:left="1922"/>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p>
    <w:p>
      <w:pPr>
        <w:ind w:left="1922"/>
        <w:spacing w:line="360" w:lineRule="auto"/>
        <w:tabs>
          <w:tab w:val="left" w:pos="1980" w:leader="none"/>
          <w:tab w:val="left" w:pos="2520" w:leader="none"/>
        </w:tabs>
        <w:rPr>
          <w:sz w:val="24"/>
        </w:rPr>
      </w:pPr>
      <w:r>
        <w:rPr>
          <w:rFonts w:hint="eastAsia"/>
          <w:sz w:val="24"/>
        </w:rPr>
        <w:t xml:space="preserve">第七章 </w:t>
      </w:r>
      <w:r>
        <w:rPr>
          <w:sz w:val="24"/>
        </w:rPr>
        <w:t xml:space="preserve">投标文件格式</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firstLine="482"/>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rPr>
      </w:pPr>
      <w:r/>
      <w:bookmarkStart w:id="177" w:name="_Toc516367020"/>
      <w:r/>
      <w:bookmarkStart w:id="178" w:name="_Toc265228364"/>
      <w:r/>
      <w:bookmarkStart w:id="179" w:name="_Toc195842891"/>
      <w:r/>
      <w:bookmarkStart w:id="180" w:name="_Toc127151526"/>
      <w:r/>
      <w:bookmarkStart w:id="181" w:name="_Toc226337222"/>
      <w:r/>
      <w:bookmarkStart w:id="182" w:name="_Toc151193840"/>
      <w:r/>
      <w:bookmarkStart w:id="183" w:name="_Toc151190153"/>
      <w:r/>
      <w:bookmarkStart w:id="184" w:name="_Toc150774626"/>
      <w:r/>
      <w:bookmarkStart w:id="185" w:name="_Toc150509277"/>
      <w:r/>
      <w:bookmarkStart w:id="186" w:name="_Toc151193914"/>
      <w:r/>
      <w:bookmarkStart w:id="187" w:name="_Toc226309770"/>
      <w:r/>
      <w:bookmarkStart w:id="188" w:name="_Toc305158868"/>
      <w:r/>
      <w:bookmarkStart w:id="189" w:name="_Toc151193624"/>
      <w:r/>
      <w:bookmarkStart w:id="190" w:name="_Toc150774731"/>
      <w:r/>
      <w:bookmarkStart w:id="191" w:name="_Toc226965716"/>
      <w:r/>
      <w:bookmarkStart w:id="192" w:name="_Toc151193768"/>
      <w:r/>
      <w:bookmarkStart w:id="193" w:name="_Toc150480764"/>
      <w:r/>
      <w:bookmarkStart w:id="194" w:name="_Toc142311028"/>
      <w:r/>
      <w:bookmarkStart w:id="195" w:name="_Toc305158794"/>
      <w:r/>
      <w:bookmarkStart w:id="196" w:name="_Toc151193696"/>
      <w:r/>
      <w:bookmarkStart w:id="197" w:name="_Toc520356150"/>
      <w:r/>
      <w:bookmarkStart w:id="198" w:name="_Toc264969216"/>
      <w:r/>
      <w:bookmarkStart w:id="199" w:name="_Toc226965799"/>
      <w:r/>
      <w:r/>
    </w:p>
    <w:p>
      <w:pPr>
        <w:pStyle w:val="1072"/>
        <w:ind w:firstLine="56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7"/>
      <w:r>
        <w:rPr>
          <w:rFonts w:ascii="Times New Roman" w:hAnsi="Times New Roman" w:eastAsia="宋体"/>
          <w:sz w:val="28"/>
        </w:rPr>
        <w:t xml:space="preserve">的编制</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numPr>
          <w:ilvl w:val="0"/>
          <w:numId w:val="8"/>
        </w:numPr>
        <w:ind w:left="357" w:firstLine="482"/>
        <w:spacing w:line="360" w:lineRule="auto"/>
        <w:tabs>
          <w:tab w:val="left" w:pos="360" w:leader="none"/>
        </w:tabs>
        <w:rPr>
          <w:sz w:val="24"/>
        </w:rPr>
        <w:outlineLvl w:val="1"/>
      </w:pPr>
      <w:r/>
      <w:bookmarkStart w:id="200" w:name="_Toc150774627"/>
      <w:r/>
      <w:bookmarkStart w:id="201" w:name="_Toc226309771"/>
      <w:r/>
      <w:bookmarkStart w:id="202" w:name="_Toc151190154"/>
      <w:r/>
      <w:bookmarkStart w:id="203" w:name="_Toc164351621"/>
      <w:r/>
      <w:bookmarkStart w:id="204" w:name="_Toc142311029"/>
      <w:r/>
      <w:bookmarkStart w:id="205" w:name="_Toc151193915"/>
      <w:r/>
      <w:bookmarkStart w:id="206" w:name="_Toc127151527"/>
      <w:r/>
      <w:bookmarkStart w:id="207" w:name="_Toc520356151"/>
      <w:r/>
      <w:bookmarkStart w:id="208" w:name="_Toc195842892"/>
      <w:r/>
      <w:bookmarkStart w:id="209" w:name="_Toc151193697"/>
      <w:r/>
      <w:bookmarkStart w:id="210" w:name="_Toc226965717"/>
      <w:r/>
      <w:bookmarkStart w:id="211" w:name="_Toc127151728"/>
      <w:r/>
      <w:bookmarkStart w:id="212" w:name="_Toc265228365"/>
      <w:r/>
      <w:bookmarkStart w:id="213" w:name="_Toc151193841"/>
      <w:r/>
      <w:bookmarkStart w:id="214" w:name="_Toc151193769"/>
      <w:r/>
      <w:bookmarkStart w:id="215" w:name="_Toc264969217"/>
      <w:r/>
      <w:bookmarkStart w:id="216" w:name="_Toc150509278"/>
      <w:r/>
      <w:bookmarkStart w:id="217" w:name="_Toc226965800"/>
      <w:r/>
      <w:bookmarkStart w:id="218" w:name="_Toc164229222"/>
      <w:r/>
      <w:bookmarkStart w:id="219" w:name="_Toc151193625"/>
      <w:r/>
      <w:bookmarkStart w:id="220" w:name="_Toc127161441"/>
      <w:r/>
      <w:bookmarkStart w:id="221" w:name="_Toc150774732"/>
      <w:r/>
      <w:bookmarkStart w:id="222" w:name="_Toc164229368"/>
      <w:r/>
      <w:bookmarkStart w:id="223" w:name="_Toc516367021"/>
      <w:r/>
      <w:bookmarkStart w:id="224" w:name="_Toc164608796"/>
      <w:r/>
      <w:bookmarkStart w:id="225" w:name="_Toc305158795"/>
      <w:r/>
      <w:bookmarkStart w:id="226" w:name="_Toc305158869"/>
      <w:r/>
      <w:bookmarkStart w:id="227" w:name="_Toc164608641"/>
      <w:r/>
      <w:bookmarkStart w:id="228" w:name="_Toc150480765"/>
      <w:r/>
      <w:bookmarkStart w:id="229" w:name="_Toc226337223"/>
      <w:r/>
      <w:bookmarkStart w:id="230" w:name="_Toc149720820"/>
      <w:r>
        <w:rPr>
          <w:sz w:val="24"/>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rPr>
        <w:t xml:space="preserve">及投标语言</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rPr>
        <w:outlineLvl w:val="1"/>
      </w:pPr>
      <w:r/>
      <w:bookmarkStart w:id="231" w:name="_Toc516367022"/>
      <w:r/>
      <w:bookmarkStart w:id="232" w:name="_Ref467306676"/>
      <w:r/>
      <w:bookmarkStart w:id="233" w:name="_Ref467306195"/>
      <w:r/>
      <w:bookmarkStart w:id="234" w:name="_Toc226965718"/>
      <w:r/>
      <w:bookmarkStart w:id="235" w:name="_Toc151193842"/>
      <w:r/>
      <w:bookmarkStart w:id="236" w:name="_Toc305158796"/>
      <w:r/>
      <w:bookmarkStart w:id="237" w:name="_Toc127151528"/>
      <w:r/>
      <w:bookmarkStart w:id="238" w:name="_Toc151193626"/>
      <w:r/>
      <w:bookmarkStart w:id="239" w:name="_Toc149720821"/>
      <w:r/>
      <w:bookmarkStart w:id="240" w:name="_Toc195842893"/>
      <w:r/>
      <w:bookmarkStart w:id="241" w:name="_Toc151193698"/>
      <w:r/>
      <w:bookmarkStart w:id="242" w:name="_Toc150774628"/>
      <w:r/>
      <w:bookmarkStart w:id="243" w:name="_Toc150509279"/>
      <w:r/>
      <w:bookmarkStart w:id="244" w:name="_Toc164229369"/>
      <w:r/>
      <w:bookmarkStart w:id="245" w:name="_Toc150774733"/>
      <w:r/>
      <w:bookmarkStart w:id="246" w:name="_Toc226309772"/>
      <w:r/>
      <w:bookmarkStart w:id="247" w:name="_Toc226337224"/>
      <w:r/>
      <w:bookmarkStart w:id="248" w:name="_Toc305158870"/>
      <w:r/>
      <w:bookmarkStart w:id="249" w:name="_Toc164351622"/>
      <w:r/>
      <w:bookmarkStart w:id="250" w:name="_Toc127151729"/>
      <w:r/>
      <w:bookmarkStart w:id="251" w:name="_Toc151193770"/>
      <w:r/>
      <w:bookmarkStart w:id="252" w:name="_Toc151190155"/>
      <w:r/>
      <w:bookmarkStart w:id="253" w:name="_Toc226965801"/>
      <w:r/>
      <w:bookmarkStart w:id="254" w:name="_Toc164229223"/>
      <w:r/>
      <w:bookmarkStart w:id="255" w:name="_Toc520356152"/>
      <w:r/>
      <w:bookmarkStart w:id="256" w:name="_Toc151193916"/>
      <w:r/>
      <w:bookmarkStart w:id="257" w:name="_Toc164608797"/>
      <w:r/>
      <w:bookmarkStart w:id="258" w:name="_Toc142311030"/>
      <w:r/>
      <w:bookmarkStart w:id="259" w:name="_Toc164608642"/>
      <w:r/>
      <w:bookmarkStart w:id="260" w:name="_Toc150480766"/>
      <w:r/>
      <w:bookmarkStart w:id="261" w:name="_Toc127161442"/>
      <w:r/>
      <w:bookmarkStart w:id="262" w:name="_Toc264969218"/>
      <w:r/>
      <w:bookmarkStart w:id="263" w:name="_Toc265228366"/>
      <w:r>
        <w:rPr>
          <w:sz w:val="24"/>
        </w:rPr>
        <w:t xml:space="preserve">投标文件</w:t>
      </w:r>
      <w:bookmarkEnd w:id="231"/>
      <w:r/>
      <w:bookmarkEnd w:id="232"/>
      <w:r/>
      <w:bookmarkEnd w:id="233"/>
      <w:r>
        <w:rPr>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
    </w:p>
    <w:p>
      <w:pPr>
        <w:numPr>
          <w:ilvl w:val="1"/>
          <w:numId w:val="8"/>
        </w:numPr>
        <w:ind w:left="1077" w:firstLine="482"/>
        <w:spacing w:line="360" w:lineRule="auto"/>
        <w:tabs>
          <w:tab w:val="left" w:pos="1080" w:leader="none"/>
          <w:tab w:val="left" w:pos="2014" w:leader="none"/>
        </w:tabs>
        <w:rPr>
          <w:sz w:val="24"/>
        </w:rPr>
      </w:pPr>
      <w:r/>
      <w:bookmarkStart w:id="264"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投标人认为应附的其他材料。</w:t>
      </w:r>
      <w:bookmarkEnd w:id="264"/>
      <w:r/>
      <w:r/>
    </w:p>
    <w:p>
      <w:pPr>
        <w:numPr>
          <w:ilvl w:val="0"/>
          <w:numId w:val="8"/>
        </w:numPr>
        <w:ind w:left="357" w:firstLine="482"/>
        <w:spacing w:line="360" w:lineRule="auto"/>
        <w:tabs>
          <w:tab w:val="left" w:pos="360" w:leader="none"/>
        </w:tabs>
        <w:rPr>
          <w:sz w:val="24"/>
        </w:rPr>
        <w:outlineLvl w:val="1"/>
      </w:pPr>
      <w:r/>
      <w:bookmarkStart w:id="265" w:name="_Toc150774630"/>
      <w:r/>
      <w:bookmarkStart w:id="266" w:name="_Toc151193628"/>
      <w:r/>
      <w:bookmarkStart w:id="267" w:name="_Toc151193772"/>
      <w:r/>
      <w:bookmarkStart w:id="268" w:name="_Toc151190157"/>
      <w:r/>
      <w:bookmarkStart w:id="269" w:name="_Toc127151530"/>
      <w:r/>
      <w:bookmarkStart w:id="270" w:name="_Toc127151731"/>
      <w:r/>
      <w:bookmarkStart w:id="271" w:name="_Toc164608799"/>
      <w:r/>
      <w:bookmarkStart w:id="272" w:name="_Toc142311032"/>
      <w:r/>
      <w:bookmarkStart w:id="273" w:name="_Toc520356155"/>
      <w:r/>
      <w:bookmarkStart w:id="274" w:name="_Toc195842895"/>
      <w:r/>
      <w:bookmarkStart w:id="275" w:name="_Toc164229225"/>
      <w:r/>
      <w:bookmarkStart w:id="276" w:name="_Toc127161444"/>
      <w:r/>
      <w:bookmarkStart w:id="277" w:name="_Toc151193844"/>
      <w:r/>
      <w:bookmarkStart w:id="278" w:name="_Toc149720823"/>
      <w:r/>
      <w:bookmarkStart w:id="279" w:name="_Toc151193918"/>
      <w:r/>
      <w:bookmarkStart w:id="280" w:name="_Toc164351624"/>
      <w:r/>
      <w:bookmarkStart w:id="281" w:name="_Toc150509281"/>
      <w:r/>
      <w:bookmarkStart w:id="282" w:name="_Toc164229371"/>
      <w:r/>
      <w:bookmarkStart w:id="283" w:name="_Toc151193700"/>
      <w:r/>
      <w:bookmarkStart w:id="284" w:name="_Toc150774735"/>
      <w:r/>
      <w:bookmarkStart w:id="285" w:name="_Toc150480768"/>
      <w:r/>
      <w:bookmarkStart w:id="286" w:name="_Toc164608644"/>
      <w:r>
        <w:rPr>
          <w:sz w:val="24"/>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所有投标均以人民币报价。</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ind w:firstLine="482"/>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rPr>
        <w:outlineLvl w:val="3"/>
      </w:pPr>
      <w:r>
        <w:rPr>
          <w:sz w:val="24"/>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ind w:left="1071" w:firstLine="482"/>
        <w:spacing w:line="360" w:lineRule="auto"/>
        <w:tabs>
          <w:tab w:val="left" w:pos="1080" w:leader="none"/>
          <w:tab w:val="left" w:pos="2014" w:leader="none"/>
        </w:tabs>
        <w:rPr>
          <w:rFonts w:ascii="宋体" w:hAnsi="宋体" w:cs="宋体"/>
          <w:b w:val="0"/>
          <w:bCs w:val="0"/>
          <w:sz w:val="24"/>
          <w:highlight w:val="none"/>
        </w:rPr>
      </w:pPr>
      <w:r/>
      <w:bookmarkStart w:id="287" w:name="_Toc164229226"/>
      <w:r/>
      <w:bookmarkStart w:id="288" w:name="_Toc149720824"/>
      <w:r/>
      <w:bookmarkStart w:id="289" w:name="_Toc264969221"/>
      <w:r/>
      <w:bookmarkStart w:id="290" w:name="_Toc305158799"/>
      <w:r/>
      <w:bookmarkStart w:id="291" w:name="_Toc164608800"/>
      <w:r/>
      <w:bookmarkStart w:id="292" w:name="_Toc226309775"/>
      <w:r/>
      <w:bookmarkStart w:id="293" w:name="_Toc265228369"/>
      <w:r/>
      <w:bookmarkStart w:id="294" w:name="_Toc164608645"/>
      <w:r/>
      <w:bookmarkStart w:id="295" w:name="_Toc151193919"/>
      <w:r/>
      <w:bookmarkStart w:id="296" w:name="_Toc164351625"/>
      <w:r/>
      <w:bookmarkStart w:id="297" w:name="_Ref467306513"/>
      <w:r/>
      <w:bookmarkStart w:id="298" w:name="_Toc226337227"/>
      <w:r/>
      <w:bookmarkStart w:id="299" w:name="_Toc150509282"/>
      <w:r/>
      <w:bookmarkStart w:id="300" w:name="_Toc150774736"/>
      <w:r/>
      <w:bookmarkStart w:id="301" w:name="_Toc142311033"/>
      <w:r/>
      <w:bookmarkStart w:id="302" w:name="_Toc151190158"/>
      <w:r/>
      <w:bookmarkStart w:id="303" w:name="_Toc151193629"/>
      <w:r/>
      <w:bookmarkStart w:id="304" w:name="_Toc151193845"/>
      <w:r/>
      <w:bookmarkStart w:id="305" w:name="_Toc195842896"/>
      <w:r/>
      <w:bookmarkStart w:id="306" w:name="_Toc226965804"/>
      <w:r/>
      <w:bookmarkStart w:id="307" w:name="_Toc127161445"/>
      <w:r/>
      <w:bookmarkStart w:id="308" w:name="_Toc127151531"/>
      <w:r/>
      <w:bookmarkStart w:id="309" w:name="_Toc151193773"/>
      <w:r/>
      <w:bookmarkStart w:id="310" w:name="_Toc151193701"/>
      <w:r/>
      <w:bookmarkStart w:id="311" w:name="_Toc164229372"/>
      <w:r/>
      <w:bookmarkStart w:id="312" w:name="_Toc150480769"/>
      <w:r/>
      <w:bookmarkStart w:id="313" w:name="_Toc305158873"/>
      <w:r/>
      <w:bookmarkStart w:id="314" w:name="_Toc520356156"/>
      <w:r/>
      <w:bookmarkStart w:id="315" w:name="_Toc226965721"/>
      <w:r/>
      <w:bookmarkStart w:id="316" w:name="_Toc150774631"/>
      <w:r/>
      <w:bookmarkStart w:id="317" w:name="_Toc127151732"/>
      <w:r>
        <w:rPr>
          <w:rFonts w:hint="eastAsia" w:ascii="宋体" w:hAnsi="宋体" w:cs="宋体"/>
          <w:b w:val="0"/>
          <w:bCs w:val="0"/>
          <w:sz w:val="24"/>
          <w:highlight w:val="none"/>
          <w:lang w:val="en-US" w:eastAsia="zh-CN"/>
        </w:rPr>
        <w:t xml:space="preserve">11.5   </w:t>
      </w:r>
      <w:r>
        <w:rPr>
          <w:rFonts w:ascii="宋体" w:hAnsi="宋体" w:cs="宋体"/>
          <w:b w:val="0"/>
          <w:bCs w:val="0"/>
          <w:sz w:val="24"/>
          <w:highlight w:val="none"/>
        </w:rPr>
        <w:t xml:space="preserve">评审过程中出现下列情形之一的，</w:t>
      </w:r>
      <w:r>
        <w:rPr>
          <w:rFonts w:hint="eastAsia" w:ascii="宋体" w:hAnsi="宋体" w:eastAsia="宋体" w:cs="宋体"/>
          <w:b w:val="0"/>
          <w:bCs w:val="0"/>
          <w:sz w:val="24"/>
          <w:highlight w:val="none"/>
          <w:lang w:val="en-US" w:eastAsia="zh-CN"/>
        </w:rPr>
        <w:t xml:space="preserve">评审委员会</w:t>
      </w:r>
      <w:r>
        <w:rPr>
          <w:rFonts w:ascii="宋体" w:hAnsi="宋体" w:cs="宋体"/>
          <w:b w:val="0"/>
          <w:bCs w:val="0"/>
          <w:sz w:val="24"/>
          <w:highlight w:val="none"/>
        </w:rPr>
        <w:t xml:space="preserve">应当动异常低价响应审查程序： </w:t>
      </w:r>
      <w:r/>
    </w:p>
    <w:p>
      <w:pPr>
        <w:ind w:left="1071" w:firstLine="482"/>
        <w:spacing w:line="360" w:lineRule="auto"/>
        <w:tabs>
          <w:tab w:val="left" w:pos="1080" w:leader="none"/>
          <w:tab w:val="left" w:pos="2014" w:leader="none"/>
        </w:tabs>
        <w:rPr>
          <w:rFonts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11.5.1投标报价低于全部通过符合性审查投标人投标报价平均值50%的，即投标报价&lt;全部通过符合性审查投标人投标报价平均值×50%；</w:t>
      </w:r>
      <w:r/>
    </w:p>
    <w:p>
      <w:pPr>
        <w:ind w:left="1071" w:firstLine="482"/>
        <w:spacing w:line="360" w:lineRule="auto"/>
        <w:tabs>
          <w:tab w:val="left" w:pos="1080" w:leader="none"/>
          <w:tab w:val="left" w:pos="2014" w:leader="none"/>
        </w:tabs>
        <w:rPr>
          <w:rFonts w:hint="default"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11.5.2投标报价低于通过符合性审查的次低报价投标人投标报价50%的，即投标报价&lt;通过符合性审查的次低报价投标人投标报价×50%；</w:t>
      </w:r>
      <w:r/>
    </w:p>
    <w:p>
      <w:pPr>
        <w:ind w:left="1071" w:firstLine="482"/>
        <w:spacing w:line="360" w:lineRule="auto"/>
        <w:tabs>
          <w:tab w:val="left" w:pos="1080" w:leader="none"/>
          <w:tab w:val="left" w:pos="2014" w:leader="none"/>
        </w:tabs>
        <w:rPr>
          <w:rFonts w:hint="default"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11.5.3投标报价低于采购项目最高限价45%的，即投标报价&lt;采购项目最高限价×45%；</w:t>
      </w:r>
      <w:r/>
    </w:p>
    <w:p>
      <w:pPr>
        <w:ind w:left="1071" w:firstLine="482"/>
        <w:spacing w:line="360" w:lineRule="auto"/>
        <w:tabs>
          <w:tab w:val="left" w:pos="1080" w:leader="none"/>
          <w:tab w:val="left" w:pos="2014" w:leader="none"/>
        </w:tabs>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11.5.4评审委员会基于专业判断，认为投标人报价过低，有可能影响产品质量或者不能诚信履约的其他情形。</w:t>
      </w:r>
      <w:r/>
    </w:p>
    <w:p>
      <w:pPr>
        <w:ind w:left="1071" w:firstLine="482"/>
        <w:spacing w:line="360" w:lineRule="auto"/>
        <w:tabs>
          <w:tab w:val="left" w:pos="1080" w:leader="none"/>
          <w:tab w:val="left" w:pos="2014" w:leader="none"/>
        </w:tabs>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r/>
    </w:p>
    <w:p>
      <w:pPr>
        <w:ind w:left="1071" w:firstLine="482"/>
        <w:spacing w:line="360" w:lineRule="auto"/>
        <w:tabs>
          <w:tab w:val="left" w:pos="1080" w:leader="none"/>
          <w:tab w:val="left" w:pos="2014" w:leader="none"/>
        </w:tabs>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1071" w:firstLine="482"/>
        <w:spacing w:line="360" w:lineRule="auto"/>
        <w:tabs>
          <w:tab w:val="left" w:pos="1080" w:leader="none"/>
          <w:tab w:val="left" w:pos="2014" w:leader="none"/>
        </w:tabs>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具体详见《关于推动解决政府采购异常低价问题的通知》财库〔2026〕2号</w:t>
      </w:r>
      <w:r>
        <w:rPr>
          <w:rFonts w:hint="eastAsia" w:ascii="宋体" w:hAnsi="宋体" w:cs="宋体"/>
          <w:b w:val="0"/>
          <w:bCs w:val="0"/>
          <w:sz w:val="24"/>
          <w:highlight w:val="none"/>
          <w:lang w:val="en-US" w:eastAsia="zh-CN"/>
        </w:rPr>
        <w:t xml:space="preserve">。</w:t>
      </w:r>
      <w:r/>
    </w:p>
    <w:p>
      <w:pPr>
        <w:numPr>
          <w:ilvl w:val="0"/>
          <w:numId w:val="8"/>
        </w:numPr>
        <w:ind w:left="357" w:firstLine="482"/>
        <w:spacing w:line="360" w:lineRule="auto"/>
        <w:tabs>
          <w:tab w:val="left" w:pos="360" w:leader="none"/>
        </w:tabs>
        <w:rPr>
          <w:sz w:val="24"/>
        </w:rPr>
        <w:outlineLvl w:val="1"/>
      </w:pPr>
      <w:r>
        <w:rPr>
          <w:sz w:val="24"/>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
    </w:p>
    <w:p>
      <w:pPr>
        <w:ind w:left="357" w:firstLine="482"/>
        <w:spacing w:line="360" w:lineRule="auto"/>
        <w:tabs>
          <w:tab w:val="left" w:pos="360" w:leader="none"/>
        </w:tabs>
        <w:rPr>
          <w:sz w:val="24"/>
        </w:rPr>
        <w:outlineLvl w:val="2"/>
      </w:pPr>
      <w:r>
        <w:rPr>
          <w:rFonts w:hint="eastAsia"/>
          <w:sz w:val="24"/>
        </w:rPr>
        <w:t xml:space="preserve">根据江苏省和常州市的相关文件规定，免收投标保证金。</w:t>
      </w:r>
      <w:r/>
    </w:p>
    <w:p>
      <w:pPr>
        <w:numPr>
          <w:ilvl w:val="0"/>
          <w:numId w:val="8"/>
        </w:numPr>
        <w:ind w:left="357" w:firstLine="482"/>
        <w:spacing w:line="360" w:lineRule="auto"/>
        <w:tabs>
          <w:tab w:val="left" w:pos="360" w:leader="none"/>
        </w:tabs>
        <w:rPr>
          <w:sz w:val="24"/>
        </w:rPr>
        <w:outlineLvl w:val="1"/>
      </w:pPr>
      <w:r/>
      <w:bookmarkStart w:id="318" w:name="_Toc151190159"/>
      <w:r/>
      <w:bookmarkStart w:id="319" w:name="_Toc164229373"/>
      <w:r/>
      <w:bookmarkStart w:id="320" w:name="_Toc164608646"/>
      <w:r/>
      <w:bookmarkStart w:id="321" w:name="_Toc164351626"/>
      <w:r/>
      <w:bookmarkStart w:id="322" w:name="_Toc520356157"/>
      <w:r/>
      <w:bookmarkStart w:id="323" w:name="_Toc264969222"/>
      <w:r/>
      <w:bookmarkStart w:id="324" w:name="_Toc150480770"/>
      <w:r/>
      <w:bookmarkStart w:id="325" w:name="_Toc151193774"/>
      <w:r/>
      <w:bookmarkStart w:id="326" w:name="_Toc150774737"/>
      <w:r/>
      <w:bookmarkStart w:id="327" w:name="_Toc127151733"/>
      <w:r/>
      <w:bookmarkStart w:id="328" w:name="_Toc151193846"/>
      <w:r/>
      <w:bookmarkStart w:id="329" w:name="_Toc149720825"/>
      <w:r/>
      <w:bookmarkStart w:id="330" w:name="_Toc305158874"/>
      <w:r/>
      <w:bookmarkStart w:id="331" w:name="_Toc151193630"/>
      <w:r/>
      <w:bookmarkStart w:id="332" w:name="_Toc151193920"/>
      <w:r/>
      <w:bookmarkStart w:id="333" w:name="_Toc150774632"/>
      <w:r/>
      <w:bookmarkStart w:id="334" w:name="_Toc265228370"/>
      <w:r/>
      <w:bookmarkStart w:id="335" w:name="_Toc226309776"/>
      <w:r/>
      <w:bookmarkStart w:id="336" w:name="_Toc305158800"/>
      <w:r/>
      <w:bookmarkStart w:id="337" w:name="_Toc226965805"/>
      <w:r/>
      <w:bookmarkStart w:id="338" w:name="_Toc195842897"/>
      <w:r/>
      <w:bookmarkStart w:id="339" w:name="_Toc226965722"/>
      <w:r/>
      <w:bookmarkStart w:id="340" w:name="_Toc164608801"/>
      <w:r/>
      <w:bookmarkStart w:id="341" w:name="_Toc127161446"/>
      <w:r/>
      <w:bookmarkStart w:id="342" w:name="_Toc150509283"/>
      <w:r/>
      <w:bookmarkStart w:id="343" w:name="_Toc127151532"/>
      <w:r/>
      <w:bookmarkStart w:id="344" w:name="_Toc151193702"/>
      <w:r/>
      <w:bookmarkStart w:id="345" w:name="_Toc142311034"/>
      <w:r/>
      <w:bookmarkStart w:id="346" w:name="_Toc226337228"/>
      <w:r/>
      <w:bookmarkStart w:id="347" w:name="_Toc164229227"/>
      <w:r>
        <w:rPr>
          <w:sz w:val="24"/>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numPr>
          <w:ilvl w:val="1"/>
          <w:numId w:val="8"/>
        </w:numPr>
        <w:ind w:left="1077" w:firstLine="482"/>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firstLine="482"/>
        <w:spacing w:line="360" w:lineRule="auto"/>
        <w:tabs>
          <w:tab w:val="left" w:pos="360" w:leader="none"/>
        </w:tabs>
        <w:rPr>
          <w:sz w:val="24"/>
        </w:rPr>
        <w:outlineLvl w:val="1"/>
      </w:pPr>
      <w:r/>
      <w:bookmarkStart w:id="348" w:name="_Toc226965806"/>
      <w:r/>
      <w:bookmarkStart w:id="349" w:name="_Toc520356158"/>
      <w:r/>
      <w:bookmarkStart w:id="350" w:name="_Toc149720826"/>
      <w:r/>
      <w:bookmarkStart w:id="351" w:name="_Toc127151734"/>
      <w:r/>
      <w:bookmarkStart w:id="352" w:name="_Toc305158801"/>
      <w:r/>
      <w:bookmarkStart w:id="353" w:name="_Toc164608802"/>
      <w:r/>
      <w:bookmarkStart w:id="354" w:name="_Toc226309777"/>
      <w:r/>
      <w:bookmarkStart w:id="355" w:name="_Toc195842898"/>
      <w:r/>
      <w:bookmarkStart w:id="356" w:name="_Toc226337229"/>
      <w:r/>
      <w:bookmarkStart w:id="357" w:name="_Toc151193631"/>
      <w:r/>
      <w:bookmarkStart w:id="358" w:name="_Toc150774738"/>
      <w:r/>
      <w:bookmarkStart w:id="359" w:name="_Toc164229374"/>
      <w:r/>
      <w:bookmarkStart w:id="360" w:name="_Toc164608647"/>
      <w:r/>
      <w:bookmarkStart w:id="361" w:name="_Toc151193921"/>
      <w:r/>
      <w:bookmarkStart w:id="362" w:name="_Toc151190160"/>
      <w:r/>
      <w:bookmarkStart w:id="363" w:name="_Toc226965723"/>
      <w:r/>
      <w:bookmarkStart w:id="364" w:name="_Toc150774633"/>
      <w:r/>
      <w:bookmarkStart w:id="365" w:name="_Toc151193775"/>
      <w:r/>
      <w:bookmarkStart w:id="366" w:name="_Toc151193847"/>
      <w:r/>
      <w:bookmarkStart w:id="367" w:name="_Toc265228371"/>
      <w:r/>
      <w:bookmarkStart w:id="368" w:name="_Toc150509284"/>
      <w:r/>
      <w:bookmarkStart w:id="369" w:name="_Toc127151533"/>
      <w:r/>
      <w:bookmarkStart w:id="370" w:name="_Toc305158875"/>
      <w:r/>
      <w:bookmarkStart w:id="371" w:name="_Toc151193703"/>
      <w:r/>
      <w:bookmarkStart w:id="372" w:name="_Toc150480771"/>
      <w:r/>
      <w:bookmarkStart w:id="373" w:name="_Toc127161447"/>
      <w:r/>
      <w:bookmarkStart w:id="374" w:name="_Toc142311035"/>
      <w:r/>
      <w:bookmarkStart w:id="375" w:name="_Toc164351627"/>
      <w:r/>
      <w:bookmarkStart w:id="376" w:name="_Toc264969223"/>
      <w:r/>
      <w:bookmarkStart w:id="377" w:name="_Toc164229228"/>
      <w:r>
        <w:rPr>
          <w:sz w:val="24"/>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rPr>
        <w:t xml:space="preserve">、加盖公章</w:t>
      </w:r>
      <w:r/>
    </w:p>
    <w:p>
      <w:pPr>
        <w:numPr>
          <w:ilvl w:val="1"/>
          <w:numId w:val="8"/>
        </w:numPr>
        <w:ind w:left="1077" w:firstLine="482"/>
        <w:spacing w:line="360" w:lineRule="auto"/>
        <w:tabs>
          <w:tab w:val="left" w:pos="1080" w:leader="none"/>
          <w:tab w:val="left" w:pos="2014" w:leader="none"/>
        </w:tabs>
        <w:rPr>
          <w:sz w:val="24"/>
        </w:rPr>
      </w:pPr>
      <w:r/>
      <w:bookmarkStart w:id="378" w:name="_Toc127151534"/>
      <w:r/>
      <w:bookmarkStart w:id="379" w:name="_Toc151193922"/>
      <w:r/>
      <w:bookmarkStart w:id="380" w:name="_Toc151193704"/>
      <w:r/>
      <w:bookmarkStart w:id="381" w:name="_Toc151193632"/>
      <w:r/>
      <w:bookmarkStart w:id="382" w:name="_Toc150480772"/>
      <w:r/>
      <w:bookmarkStart w:id="383" w:name="_Toc226309778"/>
      <w:r/>
      <w:bookmarkStart w:id="384" w:name="_Toc151193776"/>
      <w:r/>
      <w:bookmarkStart w:id="385" w:name="_Toc226965807"/>
      <w:r/>
      <w:bookmarkStart w:id="386" w:name="_Toc264969224"/>
      <w:r/>
      <w:bookmarkStart w:id="387" w:name="_Toc195842899"/>
      <w:r/>
      <w:bookmarkStart w:id="388" w:name="_Toc150509285"/>
      <w:r/>
      <w:bookmarkStart w:id="389" w:name="_Toc265228372"/>
      <w:r/>
      <w:bookmarkStart w:id="390" w:name="_Toc226337230"/>
      <w:r/>
      <w:bookmarkStart w:id="391" w:name="_Toc150774739"/>
      <w:r/>
      <w:bookmarkStart w:id="392" w:name="_Toc305158802"/>
      <w:r/>
      <w:bookmarkStart w:id="393" w:name="_Toc305158876"/>
      <w:r/>
      <w:bookmarkStart w:id="394" w:name="_Toc226965724"/>
      <w:r/>
      <w:bookmarkStart w:id="395" w:name="_Toc520356159"/>
      <w:r/>
      <w:bookmarkStart w:id="396" w:name="_Toc151193848"/>
      <w:r/>
      <w:bookmarkStart w:id="397" w:name="_Toc142311036"/>
      <w:r/>
      <w:bookmarkStart w:id="398" w:name="_Toc150774634"/>
      <w:r/>
      <w:bookmarkStart w:id="399" w:name="_Toc151190161"/>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firstLine="482"/>
        <w:spacing w:line="360" w:lineRule="auto"/>
        <w:tabs>
          <w:tab w:val="left" w:pos="900" w:leader="none"/>
          <w:tab w:val="left" w:pos="1080" w:leader="none"/>
        </w:tabs>
      </w:pPr>
      <w:r/>
      <w:r/>
    </w:p>
    <w:p>
      <w:pPr>
        <w:pStyle w:val="1072"/>
        <w:ind w:firstLine="56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numPr>
          <w:ilvl w:val="0"/>
          <w:numId w:val="8"/>
        </w:numPr>
        <w:ind w:left="357" w:firstLine="482"/>
        <w:spacing w:line="360" w:lineRule="auto"/>
        <w:tabs>
          <w:tab w:val="left" w:pos="360" w:leader="none"/>
        </w:tabs>
        <w:rPr>
          <w:sz w:val="24"/>
        </w:rPr>
        <w:outlineLvl w:val="1"/>
      </w:pPr>
      <w:r/>
      <w:bookmarkStart w:id="400" w:name="_Toc164229230"/>
      <w:r/>
      <w:bookmarkStart w:id="401" w:name="_Toc151193777"/>
      <w:r/>
      <w:bookmarkStart w:id="402" w:name="_Toc142311037"/>
      <w:r/>
      <w:bookmarkStart w:id="403" w:name="_Toc150509286"/>
      <w:r/>
      <w:bookmarkStart w:id="404" w:name="_Toc127161449"/>
      <w:r/>
      <w:bookmarkStart w:id="405" w:name="_Toc150480773"/>
      <w:r/>
      <w:bookmarkStart w:id="406" w:name="_Toc151193633"/>
      <w:r/>
      <w:bookmarkStart w:id="407" w:name="_Toc265228373"/>
      <w:r/>
      <w:bookmarkStart w:id="408" w:name="_Toc226965808"/>
      <w:r/>
      <w:bookmarkStart w:id="409" w:name="_Toc164608649"/>
      <w:r/>
      <w:bookmarkStart w:id="410" w:name="_Toc305158803"/>
      <w:r/>
      <w:bookmarkStart w:id="411" w:name="_Toc226337231"/>
      <w:r/>
      <w:bookmarkStart w:id="412" w:name="_Toc264969225"/>
      <w:r/>
      <w:bookmarkStart w:id="413" w:name="_Toc520356160"/>
      <w:r/>
      <w:bookmarkStart w:id="414" w:name="_Toc164229376"/>
      <w:r/>
      <w:bookmarkStart w:id="415" w:name="_Toc164608804"/>
      <w:r/>
      <w:bookmarkStart w:id="416" w:name="_Toc226965725"/>
      <w:r/>
      <w:bookmarkStart w:id="417" w:name="_Toc226309779"/>
      <w:r/>
      <w:bookmarkStart w:id="418" w:name="_Toc164351629"/>
      <w:r/>
      <w:bookmarkStart w:id="419" w:name="_Toc151190162"/>
      <w:r/>
      <w:bookmarkStart w:id="420" w:name="_Toc305158877"/>
      <w:r/>
      <w:bookmarkStart w:id="421" w:name="_Toc150774635"/>
      <w:r/>
      <w:bookmarkStart w:id="422" w:name="_Toc151193705"/>
      <w:r/>
      <w:bookmarkStart w:id="423" w:name="_Toc127151535"/>
      <w:r/>
      <w:bookmarkStart w:id="424" w:name="_Toc149720828"/>
      <w:r/>
      <w:bookmarkStart w:id="425" w:name="_Toc151193849"/>
      <w:r/>
      <w:bookmarkStart w:id="426" w:name="_Toc195842900"/>
      <w:r/>
      <w:bookmarkStart w:id="427" w:name="_Toc151193923"/>
      <w:r/>
      <w:bookmarkStart w:id="428" w:name="_Toc127151736"/>
      <w:r/>
      <w:bookmarkStart w:id="429" w:name="_Toc150774740"/>
      <w:r>
        <w:rPr>
          <w:sz w:val="24"/>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sz w:val="24"/>
        </w:rPr>
        <w:t xml:space="preserve">提交</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firstLine="482"/>
        <w:spacing w:line="360" w:lineRule="auto"/>
        <w:tabs>
          <w:tab w:val="left" w:pos="360" w:leader="none"/>
        </w:tabs>
        <w:rPr>
          <w:sz w:val="24"/>
        </w:rPr>
        <w:outlineLvl w:val="1"/>
      </w:pPr>
      <w:r/>
      <w:bookmarkStart w:id="430" w:name="_Toc164608805"/>
      <w:r/>
      <w:bookmarkStart w:id="431" w:name="_Toc264969226"/>
      <w:r/>
      <w:bookmarkStart w:id="432" w:name="_Toc151190163"/>
      <w:r/>
      <w:bookmarkStart w:id="433" w:name="_Toc164608650"/>
      <w:r/>
      <w:bookmarkStart w:id="434" w:name="_Toc151193778"/>
      <w:r/>
      <w:bookmarkStart w:id="435" w:name="_Toc164229231"/>
      <w:r/>
      <w:bookmarkStart w:id="436" w:name="_Toc195842901"/>
      <w:r/>
      <w:bookmarkStart w:id="437" w:name="_Toc226965809"/>
      <w:r/>
      <w:bookmarkStart w:id="438" w:name="_Toc151193634"/>
      <w:r/>
      <w:bookmarkStart w:id="439" w:name="_Toc150509287"/>
      <w:r/>
      <w:bookmarkStart w:id="440" w:name="_Toc150480774"/>
      <w:r/>
      <w:bookmarkStart w:id="441" w:name="_Toc150774741"/>
      <w:r/>
      <w:bookmarkStart w:id="442" w:name="_Toc226965726"/>
      <w:r/>
      <w:bookmarkStart w:id="443" w:name="_Toc265228374"/>
      <w:r/>
      <w:bookmarkStart w:id="444" w:name="_Toc305158878"/>
      <w:r/>
      <w:bookmarkStart w:id="445" w:name="_Toc151193924"/>
      <w:r/>
      <w:bookmarkStart w:id="446" w:name="_Toc127151737"/>
      <w:r/>
      <w:bookmarkStart w:id="447" w:name="_Toc149720829"/>
      <w:r/>
      <w:bookmarkStart w:id="448" w:name="_Toc164351630"/>
      <w:r/>
      <w:bookmarkStart w:id="449" w:name="_Toc226309780"/>
      <w:r/>
      <w:bookmarkStart w:id="450" w:name="_Toc150774636"/>
      <w:r/>
      <w:bookmarkStart w:id="451" w:name="_Toc520356161"/>
      <w:r/>
      <w:bookmarkStart w:id="452" w:name="_Toc151193850"/>
      <w:r/>
      <w:bookmarkStart w:id="453" w:name="_Toc151193706"/>
      <w:r/>
      <w:bookmarkStart w:id="454" w:name="_Toc164229377"/>
      <w:r/>
      <w:bookmarkStart w:id="455" w:name="_Toc226337232"/>
      <w:r/>
      <w:bookmarkStart w:id="456" w:name="_Toc127161450"/>
      <w:r/>
      <w:bookmarkStart w:id="457" w:name="_Toc142311038"/>
      <w:r/>
      <w:bookmarkStart w:id="458" w:name="_Toc305158804"/>
      <w:r/>
      <w:bookmarkStart w:id="459" w:name="_Toc127151536"/>
      <w:r>
        <w:rPr>
          <w:sz w:val="24"/>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sz w:val="24"/>
        </w:rPr>
        <w:t xml:space="preserve">时间</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firstLine="482"/>
        <w:spacing w:line="360" w:lineRule="auto"/>
        <w:tabs>
          <w:tab w:val="left" w:pos="360" w:leader="none"/>
        </w:tabs>
        <w:rPr>
          <w:sz w:val="24"/>
        </w:rPr>
        <w:outlineLvl w:val="1"/>
      </w:pPr>
      <w:r/>
      <w:bookmarkStart w:id="460" w:name="_Toc264969227"/>
      <w:r/>
      <w:bookmarkStart w:id="461" w:name="_Toc151193779"/>
      <w:r/>
      <w:bookmarkStart w:id="462" w:name="_Toc127151537"/>
      <w:r/>
      <w:bookmarkStart w:id="463" w:name="_Toc151193925"/>
      <w:r/>
      <w:bookmarkStart w:id="464" w:name="_Toc305158805"/>
      <w:r/>
      <w:bookmarkStart w:id="465" w:name="_Toc226965727"/>
      <w:r/>
      <w:bookmarkStart w:id="466" w:name="_Toc151190164"/>
      <w:r/>
      <w:bookmarkStart w:id="467" w:name="_Toc520356162"/>
      <w:r/>
      <w:bookmarkStart w:id="468" w:name="_Toc226337233"/>
      <w:r/>
      <w:bookmarkStart w:id="469" w:name="_Toc150774637"/>
      <w:r/>
      <w:bookmarkStart w:id="470" w:name="_Toc164608806"/>
      <w:r/>
      <w:bookmarkStart w:id="471" w:name="_Toc149720830"/>
      <w:r/>
      <w:bookmarkStart w:id="472" w:name="_Toc150480775"/>
      <w:r/>
      <w:bookmarkStart w:id="473" w:name="_Toc127151738"/>
      <w:r/>
      <w:bookmarkStart w:id="474" w:name="_Toc142311039"/>
      <w:r/>
      <w:bookmarkStart w:id="475" w:name="_Toc151193635"/>
      <w:r/>
      <w:bookmarkStart w:id="476" w:name="_Toc127161451"/>
      <w:r/>
      <w:bookmarkStart w:id="477" w:name="_Toc195842902"/>
      <w:r/>
      <w:bookmarkStart w:id="478" w:name="_Toc164608651"/>
      <w:r/>
      <w:bookmarkStart w:id="479" w:name="_Toc151193707"/>
      <w:r/>
      <w:bookmarkStart w:id="480" w:name="_Toc164229378"/>
      <w:r/>
      <w:bookmarkStart w:id="481" w:name="_Toc226965810"/>
      <w:r/>
      <w:bookmarkStart w:id="482" w:name="_Toc226309781"/>
      <w:r/>
      <w:bookmarkStart w:id="483" w:name="_Toc150509288"/>
      <w:r/>
      <w:bookmarkStart w:id="484" w:name="_Toc164229232"/>
      <w:r/>
      <w:bookmarkStart w:id="485" w:name="_Toc151193851"/>
      <w:r/>
      <w:bookmarkStart w:id="486" w:name="_Toc305158879"/>
      <w:r/>
      <w:bookmarkStart w:id="487" w:name="_Toc265228375"/>
      <w:r/>
      <w:bookmarkStart w:id="488" w:name="_Toc164351631"/>
      <w:r/>
      <w:bookmarkStart w:id="489" w:name="_Toc150774742"/>
      <w:r>
        <w:rPr>
          <w:sz w:val="24"/>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numPr>
          <w:ilvl w:val="1"/>
          <w:numId w:val="8"/>
        </w:numPr>
        <w:ind w:left="1077" w:firstLine="482"/>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pStyle w:val="1274"/>
        <w:ind w:firstLine="96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注：投标人办理CA电子签章的名称应与“苏采云”政府采购一体化平台的投标人名称一致，</w:t>
      </w:r>
      <w:r>
        <w:rPr>
          <w:rFonts w:hint="eastAsia" w:ascii="宋体" w:hAnsi="宋体" w:eastAsia="宋体" w:cs="宋体"/>
          <w:color w:val="000000"/>
          <w:sz w:val="24"/>
          <w:szCs w:val="24"/>
        </w:rPr>
        <w:t xml:space="preserve">否则投标人应自行承担相应责任。</w:t>
      </w:r>
      <w:r>
        <w:rPr>
          <w:rFonts w:hint="eastAsia" w:ascii="宋体" w:hAnsi="宋体" w:eastAsia="宋体" w:cs="宋体"/>
          <w:color w:val="000000"/>
          <w:sz w:val="24"/>
          <w:szCs w:val="24"/>
          <w:lang w:val="en-US" w:eastAsia="zh-CN"/>
        </w:rPr>
        <w:t xml:space="preserve">请</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ind w:firstLine="482"/>
        <w:spacing w:line="360" w:lineRule="auto"/>
        <w:rPr>
          <w:sz w:val="24"/>
        </w:rPr>
      </w:pPr>
      <w:r>
        <w:rPr>
          <w:sz w:val="24"/>
        </w:rPr>
      </w:r>
      <w:r/>
    </w:p>
    <w:p>
      <w:pPr>
        <w:pStyle w:val="1072"/>
        <w:ind w:firstLine="560"/>
        <w:spacing w:before="0" w:line="360" w:lineRule="auto"/>
        <w:rPr>
          <w:rFonts w:ascii="Times New Roman" w:hAnsi="Times New Roman" w:eastAsia="宋体"/>
          <w:sz w:val="28"/>
        </w:rPr>
      </w:pPr>
      <w:r/>
      <w:bookmarkStart w:id="490" w:name="_Toc520356163"/>
      <w:r/>
      <w:bookmarkStart w:id="491" w:name="_Toc226965728"/>
      <w:r/>
      <w:bookmarkStart w:id="492" w:name="_Toc150774743"/>
      <w:r/>
      <w:bookmarkStart w:id="493" w:name="_Toc151193708"/>
      <w:r/>
      <w:bookmarkStart w:id="494" w:name="_Toc265228376"/>
      <w:r/>
      <w:bookmarkStart w:id="495" w:name="_Toc305158806"/>
      <w:r/>
      <w:bookmarkStart w:id="496" w:name="_Toc195842903"/>
      <w:r/>
      <w:bookmarkStart w:id="497" w:name="_Toc226337234"/>
      <w:r/>
      <w:bookmarkStart w:id="498" w:name="_Toc305158880"/>
      <w:r/>
      <w:bookmarkStart w:id="499" w:name="_Toc226309782"/>
      <w:r/>
      <w:bookmarkStart w:id="500" w:name="_Toc142311040"/>
      <w:r/>
      <w:bookmarkStart w:id="501" w:name="_Toc127151538"/>
      <w:r/>
      <w:bookmarkStart w:id="502" w:name="_Toc150509289"/>
      <w:r/>
      <w:bookmarkStart w:id="503" w:name="_Toc150774638"/>
      <w:r/>
      <w:bookmarkStart w:id="504" w:name="_Toc226965811"/>
      <w:r/>
      <w:bookmarkStart w:id="505" w:name="_Toc151193926"/>
      <w:r/>
      <w:bookmarkStart w:id="506" w:name="_Toc151193780"/>
      <w:r/>
      <w:bookmarkStart w:id="507" w:name="_Toc151193636"/>
      <w:r/>
      <w:bookmarkStart w:id="508" w:name="_Toc151193852"/>
      <w:r/>
      <w:bookmarkStart w:id="509" w:name="_Toc150480776"/>
      <w:r/>
      <w:bookmarkStart w:id="510" w:name="_Toc264969228"/>
      <w:r/>
      <w:bookmarkStart w:id="511" w:name="_Toc151190165"/>
      <w:r>
        <w:rPr>
          <w:rFonts w:ascii="Times New Roman" w:hAnsi="Times New Roman" w:eastAsia="宋体"/>
          <w:sz w:val="28"/>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0"/>
          <w:numId w:val="8"/>
        </w:numPr>
        <w:ind w:left="357" w:firstLine="482"/>
        <w:spacing w:line="360" w:lineRule="auto"/>
        <w:tabs>
          <w:tab w:val="left" w:pos="360" w:leader="none"/>
        </w:tabs>
        <w:rPr>
          <w:sz w:val="24"/>
        </w:rPr>
        <w:outlineLvl w:val="1"/>
      </w:pPr>
      <w:r/>
      <w:bookmarkStart w:id="512" w:name="_Toc305158881"/>
      <w:r/>
      <w:bookmarkStart w:id="513" w:name="_Toc226965729"/>
      <w:r/>
      <w:bookmarkStart w:id="514" w:name="_Toc151193709"/>
      <w:r/>
      <w:bookmarkStart w:id="515" w:name="_Toc127151740"/>
      <w:r/>
      <w:bookmarkStart w:id="516" w:name="_Toc305158807"/>
      <w:r/>
      <w:bookmarkStart w:id="517" w:name="_Toc520356164"/>
      <w:r/>
      <w:bookmarkStart w:id="518" w:name="_Toc164351633"/>
      <w:r/>
      <w:bookmarkStart w:id="519" w:name="_Toc151193637"/>
      <w:r/>
      <w:bookmarkStart w:id="520" w:name="_Toc150509290"/>
      <w:r/>
      <w:bookmarkStart w:id="521" w:name="_Toc226309783"/>
      <w:r/>
      <w:bookmarkStart w:id="522" w:name="_Toc142311041"/>
      <w:r/>
      <w:bookmarkStart w:id="523" w:name="_Toc150774639"/>
      <w:r/>
      <w:bookmarkStart w:id="524" w:name="_Toc164229234"/>
      <w:r/>
      <w:bookmarkStart w:id="525" w:name="_Toc226965812"/>
      <w:r/>
      <w:bookmarkStart w:id="526" w:name="_Toc164608653"/>
      <w:r/>
      <w:bookmarkStart w:id="527" w:name="_Toc149720832"/>
      <w:r/>
      <w:bookmarkStart w:id="528" w:name="_Toc151193781"/>
      <w:r/>
      <w:bookmarkStart w:id="529" w:name="_Toc265228377"/>
      <w:r/>
      <w:bookmarkStart w:id="530" w:name="_Toc151190166"/>
      <w:r/>
      <w:bookmarkStart w:id="531" w:name="_Toc151193853"/>
      <w:r/>
      <w:bookmarkStart w:id="532" w:name="_Toc195842904"/>
      <w:r/>
      <w:bookmarkStart w:id="533" w:name="_Toc226337235"/>
      <w:r/>
      <w:bookmarkStart w:id="534" w:name="_Toc127161453"/>
      <w:r/>
      <w:bookmarkStart w:id="535" w:name="_Toc151193927"/>
      <w:r/>
      <w:bookmarkStart w:id="536" w:name="_Toc150480777"/>
      <w:r/>
      <w:bookmarkStart w:id="537" w:name="_Toc164229380"/>
      <w:r/>
      <w:bookmarkStart w:id="538" w:name="_Toc150774744"/>
      <w:r/>
      <w:bookmarkStart w:id="539" w:name="_Toc264969229"/>
      <w:r/>
      <w:bookmarkStart w:id="540" w:name="_Toc164608808"/>
      <w:r/>
      <w:bookmarkStart w:id="541" w:name="_Toc127151539"/>
      <w:r>
        <w:rPr>
          <w:sz w:val="24"/>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2"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投标人不足3家的，不予开标。</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firstLine="1200"/>
        <w:spacing w:line="360" w:lineRule="auto"/>
        <w:tabs>
          <w:tab w:val="left" w:pos="1080" w:leader="none"/>
          <w:tab w:val="left" w:pos="2014" w:leader="none"/>
        </w:tabs>
        <w:rPr>
          <w:sz w:val="24"/>
        </w:rPr>
      </w:pPr>
      <w:r>
        <w:rPr>
          <w:rFonts w:hint="eastAsia"/>
          <w:sz w:val="24"/>
        </w:rPr>
        <w:t xml:space="preserve">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firstLine="482"/>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firstLine="482"/>
        <w:spacing w:line="360" w:lineRule="auto"/>
        <w:tabs>
          <w:tab w:val="left" w:pos="360" w:leader="none"/>
        </w:tabs>
        <w:rPr>
          <w:sz w:val="24"/>
        </w:rPr>
        <w:outlineLvl w:val="1"/>
      </w:pPr>
      <w:r>
        <w:rPr>
          <w:sz w:val="24"/>
        </w:rPr>
        <w:t xml:space="preserve">资格审查</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见第三章《资格审查》。</w:t>
      </w:r>
      <w:bookmarkEnd w:id="542"/>
      <w:r/>
      <w:r/>
    </w:p>
    <w:p>
      <w:pPr>
        <w:numPr>
          <w:ilvl w:val="0"/>
          <w:numId w:val="8"/>
        </w:numPr>
        <w:ind w:left="357" w:firstLine="482"/>
        <w:spacing w:line="360" w:lineRule="auto"/>
        <w:tabs>
          <w:tab w:val="left" w:pos="360" w:leader="none"/>
        </w:tabs>
        <w:rPr>
          <w:sz w:val="24"/>
        </w:rPr>
        <w:outlineLvl w:val="1"/>
      </w:pPr>
      <w:r/>
      <w:bookmarkStart w:id="543" w:name="_Toc226965730"/>
      <w:r/>
      <w:bookmarkStart w:id="544" w:name="_Toc127151540"/>
      <w:r/>
      <w:bookmarkStart w:id="545" w:name="_Toc151193638"/>
      <w:r/>
      <w:bookmarkStart w:id="546" w:name="_Toc150509291"/>
      <w:r/>
      <w:bookmarkStart w:id="547" w:name="_Toc142311042"/>
      <w:r/>
      <w:bookmarkStart w:id="548" w:name="_Toc150774745"/>
      <w:r/>
      <w:bookmarkStart w:id="549" w:name="_Toc164351634"/>
      <w:r/>
      <w:bookmarkStart w:id="550" w:name="_Toc151193854"/>
      <w:r/>
      <w:bookmarkStart w:id="551" w:name="_Toc151193710"/>
      <w:r/>
      <w:bookmarkStart w:id="552" w:name="_Toc151193928"/>
      <w:r/>
      <w:bookmarkStart w:id="553" w:name="_Toc226965813"/>
      <w:r/>
      <w:bookmarkStart w:id="554" w:name="_Toc150480778"/>
      <w:r/>
      <w:bookmarkStart w:id="555" w:name="_Toc127151741"/>
      <w:r/>
      <w:bookmarkStart w:id="556" w:name="_Toc164608654"/>
      <w:r/>
      <w:bookmarkStart w:id="557" w:name="_Toc164229235"/>
      <w:r/>
      <w:bookmarkStart w:id="558" w:name="_Toc195842905"/>
      <w:r/>
      <w:bookmarkStart w:id="559" w:name="_Toc226309784"/>
      <w:r/>
      <w:bookmarkStart w:id="560" w:name="_Toc127161454"/>
      <w:r/>
      <w:bookmarkStart w:id="561" w:name="_Toc305158808"/>
      <w:r/>
      <w:bookmarkStart w:id="562" w:name="_Toc164608809"/>
      <w:r/>
      <w:bookmarkStart w:id="563" w:name="_Toc264969230"/>
      <w:r/>
      <w:bookmarkStart w:id="564" w:name="_Toc265228378"/>
      <w:r/>
      <w:bookmarkStart w:id="565" w:name="_Toc151193782"/>
      <w:r/>
      <w:bookmarkStart w:id="566" w:name="_Toc164229381"/>
      <w:r/>
      <w:bookmarkStart w:id="567" w:name="_Toc150774640"/>
      <w:r/>
      <w:bookmarkStart w:id="568" w:name="_Toc305158882"/>
      <w:r/>
      <w:bookmarkStart w:id="569" w:name="_Toc149720833"/>
      <w:r/>
      <w:bookmarkStart w:id="570" w:name="_Toc226337236"/>
      <w:r/>
      <w:bookmarkStart w:id="571" w:name="_Toc151190167"/>
      <w:r>
        <w:rPr>
          <w:sz w:val="24"/>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numPr>
          <w:ilvl w:val="1"/>
          <w:numId w:val="8"/>
        </w:numPr>
        <w:ind w:left="1077" w:firstLine="482"/>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2" w:name="_Toc520356166"/>
      <w:r/>
      <w:r/>
    </w:p>
    <w:p>
      <w:pPr>
        <w:numPr>
          <w:ilvl w:val="1"/>
          <w:numId w:val="8"/>
        </w:numPr>
        <w:ind w:left="1077" w:firstLine="482"/>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
    </w:p>
    <w:p>
      <w:pPr>
        <w:numPr>
          <w:ilvl w:val="0"/>
          <w:numId w:val="8"/>
        </w:numPr>
        <w:ind w:left="357" w:firstLine="482"/>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见第四章《评标程序、评标方法和评标标准》。</w:t>
      </w:r>
      <w:r/>
    </w:p>
    <w:p>
      <w:pPr>
        <w:ind w:left="1080" w:firstLine="482"/>
        <w:spacing w:line="360" w:lineRule="auto"/>
        <w:tabs>
          <w:tab w:val="left" w:pos="360" w:leader="none"/>
          <w:tab w:val="left" w:pos="1080" w:leader="none"/>
        </w:tabs>
        <w:rPr>
          <w:sz w:val="24"/>
        </w:rPr>
      </w:pPr>
      <w:r>
        <w:rPr>
          <w:sz w:val="24"/>
        </w:rPr>
      </w:r>
      <w:r/>
    </w:p>
    <w:p>
      <w:pPr>
        <w:pStyle w:val="1072"/>
        <w:ind w:firstLine="560"/>
        <w:spacing w:before="0" w:line="360" w:lineRule="auto"/>
        <w:rPr>
          <w:rFonts w:ascii="Times New Roman" w:hAnsi="Times New Roman" w:eastAsia="宋体"/>
          <w:sz w:val="28"/>
        </w:rPr>
      </w:pPr>
      <w:r/>
      <w:bookmarkStart w:id="574" w:name="_Toc150509296"/>
      <w:r/>
      <w:bookmarkStart w:id="575" w:name="_Toc226965735"/>
      <w:r/>
      <w:bookmarkStart w:id="576" w:name="_Toc151193787"/>
      <w:r/>
      <w:bookmarkStart w:id="577" w:name="_Toc151193715"/>
      <w:r/>
      <w:bookmarkStart w:id="578" w:name="_Toc226337241"/>
      <w:r/>
      <w:bookmarkStart w:id="579" w:name="_Toc265228383"/>
      <w:r/>
      <w:bookmarkStart w:id="580" w:name="_Toc150480783"/>
      <w:r/>
      <w:bookmarkStart w:id="581" w:name="_Toc151190172"/>
      <w:r/>
      <w:bookmarkStart w:id="582" w:name="_Toc150774750"/>
      <w:r/>
      <w:bookmarkStart w:id="583" w:name="_Toc150774645"/>
      <w:r/>
      <w:bookmarkStart w:id="584" w:name="_Toc127151545"/>
      <w:r/>
      <w:bookmarkStart w:id="585" w:name="_Toc264969235"/>
      <w:r/>
      <w:bookmarkStart w:id="586" w:name="_Toc305158813"/>
      <w:r/>
      <w:bookmarkStart w:id="587" w:name="_Toc195842910"/>
      <w:r/>
      <w:bookmarkStart w:id="588" w:name="_Toc226965818"/>
      <w:r/>
      <w:bookmarkStart w:id="589" w:name="_Toc151193643"/>
      <w:r/>
      <w:bookmarkStart w:id="590" w:name="_Toc151193933"/>
      <w:r/>
      <w:bookmarkStart w:id="591" w:name="_Toc142311047"/>
      <w:r/>
      <w:bookmarkStart w:id="592" w:name="_Toc305158887"/>
      <w:r/>
      <w:bookmarkStart w:id="593" w:name="_Toc226309789"/>
      <w:r/>
      <w:bookmarkStart w:id="594" w:name="_Toc151193859"/>
      <w:r>
        <w:rPr>
          <w:rFonts w:ascii="Times New Roman" w:hAnsi="Times New Roman" w:eastAsia="宋体"/>
          <w:sz w:val="28"/>
        </w:rPr>
        <w:t xml:space="preserve">六   </w:t>
      </w:r>
      <w:bookmarkEnd w:id="573"/>
      <w:r>
        <w:rPr>
          <w:rFonts w:ascii="Times New Roman" w:hAnsi="Times New Roman" w:eastAsia="宋体"/>
          <w:sz w:val="28"/>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64608661"/>
      <w:r/>
      <w:bookmarkStart w:id="596" w:name="_Toc305158889"/>
      <w:r/>
      <w:bookmarkStart w:id="597" w:name="_Toc305158815"/>
      <w:r/>
      <w:bookmarkStart w:id="598" w:name="_Toc150480785"/>
      <w:r/>
      <w:bookmarkStart w:id="599" w:name="_Toc151193861"/>
      <w:r/>
      <w:bookmarkStart w:id="600" w:name="_Toc150774752"/>
      <w:r/>
      <w:bookmarkStart w:id="601" w:name="_Toc127151748"/>
      <w:r/>
      <w:bookmarkStart w:id="602" w:name="_Toc150774647"/>
      <w:r/>
      <w:bookmarkStart w:id="603" w:name="_Toc150509298"/>
      <w:r/>
      <w:bookmarkStart w:id="604" w:name="_Toc164229388"/>
      <w:r/>
      <w:bookmarkStart w:id="605" w:name="_Toc151193789"/>
      <w:r/>
      <w:bookmarkStart w:id="606" w:name="_Toc127151547"/>
      <w:r/>
      <w:bookmarkStart w:id="607" w:name="_Toc151193935"/>
      <w:r/>
      <w:bookmarkStart w:id="608" w:name="_Toc142311049"/>
      <w:r/>
      <w:bookmarkStart w:id="609" w:name="_Toc226337243"/>
      <w:r/>
      <w:bookmarkStart w:id="610" w:name="_Toc265228385"/>
      <w:r/>
      <w:bookmarkStart w:id="611" w:name="_Toc226965820"/>
      <w:r/>
      <w:bookmarkStart w:id="612" w:name="_Toc164351641"/>
      <w:r/>
      <w:bookmarkStart w:id="613" w:name="_Toc226309791"/>
      <w:r/>
      <w:bookmarkStart w:id="614" w:name="_Toc127161461"/>
      <w:r/>
      <w:bookmarkStart w:id="615" w:name="_Toc149720840"/>
      <w:r/>
      <w:bookmarkStart w:id="616" w:name="_Toc264969237"/>
      <w:r/>
      <w:bookmarkStart w:id="617" w:name="_Toc151193717"/>
      <w:r/>
      <w:bookmarkStart w:id="618" w:name="_Toc164229242"/>
      <w:r/>
      <w:bookmarkStart w:id="619" w:name="_Toc195842912"/>
      <w:r/>
      <w:bookmarkStart w:id="620" w:name="_Toc151193645"/>
      <w:r/>
      <w:bookmarkStart w:id="621" w:name="_Toc226965737"/>
      <w:r/>
      <w:bookmarkStart w:id="622" w:name="_Toc164608816"/>
      <w:r/>
      <w:bookmarkStart w:id="623" w:name="_Toc151190174"/>
      <w:r/>
      <w:r/>
    </w:p>
    <w:p>
      <w:pPr>
        <w:numPr>
          <w:ilvl w:val="0"/>
          <w:numId w:val="8"/>
        </w:numPr>
        <w:ind w:left="357" w:firstLine="482"/>
        <w:spacing w:line="360" w:lineRule="auto"/>
        <w:tabs>
          <w:tab w:val="left" w:pos="360" w:leader="none"/>
        </w:tabs>
        <w:rPr>
          <w:sz w:val="24"/>
        </w:rPr>
        <w:outlineLvl w:val="1"/>
      </w:pPr>
      <w:r>
        <w:rPr>
          <w:sz w:val="24"/>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
    </w:p>
    <w:p>
      <w:pPr>
        <w:numPr>
          <w:ilvl w:val="1"/>
          <w:numId w:val="8"/>
        </w:numPr>
        <w:ind w:left="1077" w:firstLine="482"/>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bookmarkStart w:id="624" w:name="_Toc305158891"/>
      <w:r/>
      <w:bookmarkStart w:id="625" w:name="_Toc305158817"/>
      <w:r/>
      <w:bookmarkStart w:id="626" w:name="_Toc226965822"/>
      <w:r/>
      <w:bookmarkStart w:id="627" w:name="_Toc127151750"/>
      <w:r/>
      <w:bookmarkStart w:id="628" w:name="_Toc195842914"/>
      <w:r/>
      <w:bookmarkStart w:id="629" w:name="_Toc226965739"/>
      <w:r/>
      <w:bookmarkStart w:id="630" w:name="_Toc164608663"/>
      <w:r/>
      <w:bookmarkStart w:id="631" w:name="_Toc226309793"/>
      <w:r/>
      <w:bookmarkStart w:id="632" w:name="_Toc151193791"/>
      <w:r/>
      <w:bookmarkStart w:id="633" w:name="_Toc164229390"/>
      <w:r/>
      <w:bookmarkStart w:id="634" w:name="_Toc127161463"/>
      <w:r/>
      <w:bookmarkStart w:id="635" w:name="_Toc264969239"/>
      <w:r/>
      <w:bookmarkStart w:id="636" w:name="_Toc150774649"/>
      <w:r/>
      <w:bookmarkStart w:id="637" w:name="_Toc226337245"/>
      <w:r/>
      <w:bookmarkStart w:id="638" w:name="_Toc164229244"/>
      <w:r/>
      <w:bookmarkStart w:id="639" w:name="_Toc151193863"/>
      <w:r/>
      <w:bookmarkStart w:id="640" w:name="_Toc164351643"/>
      <w:r/>
      <w:bookmarkStart w:id="641" w:name="_Toc149720842"/>
      <w:r/>
      <w:bookmarkStart w:id="642" w:name="_Toc151193937"/>
      <w:r/>
      <w:bookmarkStart w:id="643" w:name="_Toc150774754"/>
      <w:r/>
      <w:bookmarkStart w:id="644" w:name="_Toc151193719"/>
      <w:r/>
      <w:bookmarkStart w:id="645" w:name="_Toc151190176"/>
      <w:r/>
      <w:bookmarkStart w:id="646" w:name="_Toc151193647"/>
      <w:r/>
      <w:bookmarkStart w:id="647" w:name="_Toc150509300"/>
      <w:r/>
      <w:bookmarkStart w:id="648" w:name="_Toc142311051"/>
      <w:r/>
      <w:bookmarkStart w:id="649" w:name="_Toc150480787"/>
      <w:r/>
      <w:bookmarkStart w:id="650" w:name="_Toc164608818"/>
      <w:r/>
      <w:bookmarkStart w:id="651" w:name="_Toc127151549"/>
      <w:r/>
      <w:bookmarkStart w:id="652" w:name="_Toc265228387"/>
      <w:r/>
      <w:bookmarkStart w:id="653" w:name="_Toc520356176"/>
      <w:r/>
      <w:bookmarkStart w:id="654" w:name="_Ref467307090"/>
      <w:r/>
      <w:bookmarkStart w:id="655" w:name="_Ref467306425"/>
      <w:r>
        <w:rPr>
          <w:sz w:val="24"/>
        </w:rPr>
        <w:t xml:space="preserve">中标公告与中标通知书</w:t>
      </w:r>
      <w:bookmarkEnd w:id="624"/>
      <w:r/>
      <w:bookmarkEnd w:id="625"/>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firstLine="482"/>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rPr>
        <w:outlineLvl w:val="1"/>
      </w:pPr>
      <w:r>
        <w:rPr>
          <w:sz w:val="24"/>
        </w:rPr>
        <w:t xml:space="preserve">废标</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在招标采购中，出现下列情形之一的，应予废标：</w:t>
      </w:r>
      <w:r/>
    </w:p>
    <w:p>
      <w:pPr>
        <w:numPr>
          <w:ilvl w:val="2"/>
          <w:numId w:val="8"/>
        </w:numPr>
        <w:ind w:firstLine="482"/>
        <w:spacing w:line="360" w:lineRule="auto"/>
        <w:rPr>
          <w:sz w:val="24"/>
        </w:rPr>
      </w:pPr>
      <w:r>
        <w:rPr>
          <w:sz w:val="24"/>
        </w:rPr>
        <w:t xml:space="preserve">符合专业条件的供应商或者对招标文件作实质响应的供应商不足三家的；</w:t>
      </w:r>
      <w:r/>
    </w:p>
    <w:p>
      <w:pPr>
        <w:numPr>
          <w:ilvl w:val="2"/>
          <w:numId w:val="8"/>
        </w:numPr>
        <w:ind w:firstLine="482"/>
        <w:spacing w:line="360" w:lineRule="auto"/>
        <w:rPr>
          <w:sz w:val="24"/>
        </w:rPr>
      </w:pPr>
      <w:r>
        <w:rPr>
          <w:sz w:val="24"/>
        </w:rPr>
        <w:t xml:space="preserve">出现影响采购公正的违法、违规行为的；</w:t>
      </w:r>
      <w:r/>
    </w:p>
    <w:p>
      <w:pPr>
        <w:numPr>
          <w:ilvl w:val="2"/>
          <w:numId w:val="8"/>
        </w:numPr>
        <w:ind w:firstLine="482"/>
        <w:spacing w:line="360" w:lineRule="auto"/>
        <w:rPr>
          <w:sz w:val="24"/>
        </w:rPr>
      </w:pPr>
      <w:r>
        <w:rPr>
          <w:sz w:val="24"/>
        </w:rPr>
        <w:t xml:space="preserve">投标人的报价均超过了采购预算，采购人不能支付的；</w:t>
      </w:r>
      <w:r/>
    </w:p>
    <w:p>
      <w:pPr>
        <w:numPr>
          <w:ilvl w:val="2"/>
          <w:numId w:val="8"/>
        </w:numPr>
        <w:ind w:firstLine="482"/>
        <w:spacing w:line="360" w:lineRule="auto"/>
        <w:rPr>
          <w:sz w:val="24"/>
        </w:rPr>
      </w:pPr>
      <w:r>
        <w:rPr>
          <w:sz w:val="24"/>
        </w:rPr>
        <w:t xml:space="preserve">因重大变故，采购任务取消的。</w:t>
      </w:r>
      <w:r/>
    </w:p>
    <w:p>
      <w:pPr>
        <w:numPr>
          <w:ilvl w:val="2"/>
          <w:numId w:val="8"/>
        </w:numPr>
        <w:ind w:firstLine="490"/>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废标后，采购人将废标理由通知所有投标人。</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
    </w:p>
    <w:p>
      <w:pPr>
        <w:numPr>
          <w:ilvl w:val="0"/>
          <w:numId w:val="8"/>
        </w:numPr>
        <w:ind w:left="357" w:firstLine="482"/>
        <w:spacing w:line="360" w:lineRule="auto"/>
        <w:tabs>
          <w:tab w:val="left" w:pos="360" w:leader="none"/>
        </w:tabs>
        <w:rPr>
          <w:sz w:val="24"/>
        </w:rPr>
        <w:outlineLvl w:val="1"/>
      </w:pPr>
      <w:r/>
      <w:bookmarkStart w:id="656" w:name="_Toc151193938"/>
      <w:r/>
      <w:bookmarkStart w:id="657" w:name="_Ref467307062"/>
      <w:r/>
      <w:bookmarkStart w:id="658" w:name="_Toc151193648"/>
      <w:r/>
      <w:bookmarkStart w:id="659" w:name="_Toc520356175"/>
      <w:r/>
      <w:bookmarkStart w:id="660" w:name="_Toc127161464"/>
      <w:r/>
      <w:bookmarkStart w:id="661" w:name="_Toc142311052"/>
      <w:r/>
      <w:bookmarkStart w:id="662" w:name="_Ref467306377"/>
      <w:r/>
      <w:bookmarkStart w:id="663" w:name="_Toc226309794"/>
      <w:r/>
      <w:bookmarkStart w:id="664" w:name="_Toc151193864"/>
      <w:r/>
      <w:bookmarkStart w:id="665" w:name="_Toc150509301"/>
      <w:r/>
      <w:bookmarkStart w:id="666" w:name="_Toc127151550"/>
      <w:r/>
      <w:bookmarkStart w:id="667" w:name="_Toc150480788"/>
      <w:r/>
      <w:bookmarkStart w:id="668" w:name="_Toc150774755"/>
      <w:r/>
      <w:bookmarkStart w:id="669" w:name="_Toc195842915"/>
      <w:r/>
      <w:bookmarkStart w:id="670" w:name="_Toc151193792"/>
      <w:r/>
      <w:bookmarkStart w:id="671" w:name="_Toc151193720"/>
      <w:r/>
      <w:bookmarkStart w:id="672" w:name="_Toc305158818"/>
      <w:r/>
      <w:bookmarkStart w:id="673" w:name="_Ref467307204"/>
      <w:r/>
      <w:bookmarkStart w:id="674" w:name="_Toc151190177"/>
      <w:r/>
      <w:bookmarkStart w:id="675" w:name="_Toc164229391"/>
      <w:r/>
      <w:bookmarkStart w:id="676" w:name="_Toc226965740"/>
      <w:r/>
      <w:bookmarkStart w:id="677" w:name="_Toc164608664"/>
      <w:r/>
      <w:bookmarkStart w:id="678" w:name="_Toc150774650"/>
      <w:r/>
      <w:bookmarkStart w:id="679" w:name="_Toc127151751"/>
      <w:r/>
      <w:bookmarkStart w:id="680" w:name="_Toc305158892"/>
      <w:r/>
      <w:bookmarkStart w:id="681" w:name="_Ref467306978"/>
      <w:r/>
      <w:bookmarkStart w:id="682" w:name="_Toc265228388"/>
      <w:r/>
      <w:bookmarkStart w:id="683" w:name="_Toc164229245"/>
      <w:r/>
      <w:bookmarkStart w:id="684" w:name="_Toc164351644"/>
      <w:r/>
      <w:bookmarkStart w:id="685" w:name="_Toc149720843"/>
      <w:r/>
      <w:bookmarkStart w:id="686" w:name="_Toc164608819"/>
      <w:r/>
      <w:bookmarkStart w:id="687" w:name="_Toc264969240"/>
      <w:r/>
      <w:bookmarkStart w:id="688" w:name="_Toc226337246"/>
      <w:r/>
      <w:bookmarkStart w:id="689" w:name="_Toc226965823"/>
      <w:r>
        <w:rPr>
          <w:sz w:val="24"/>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
    </w:p>
    <w:p>
      <w:pPr>
        <w:numPr>
          <w:ilvl w:val="1"/>
          <w:numId w:val="8"/>
        </w:numPr>
        <w:ind w:left="1077" w:firstLine="482"/>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firstLine="482"/>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政府采购合同不能转包。</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53"/>
      <w:r/>
      <w:bookmarkEnd w:id="654"/>
      <w:r/>
      <w:bookmarkEnd w:id="655"/>
      <w:r/>
      <w:r/>
    </w:p>
    <w:p>
      <w:pPr>
        <w:numPr>
          <w:ilvl w:val="0"/>
          <w:numId w:val="8"/>
        </w:numPr>
        <w:ind w:left="357" w:firstLine="482"/>
        <w:spacing w:line="360" w:lineRule="auto"/>
        <w:tabs>
          <w:tab w:val="left" w:pos="360" w:leader="none"/>
        </w:tabs>
        <w:rPr>
          <w:sz w:val="24"/>
        </w:rPr>
        <w:outlineLvl w:val="1"/>
      </w:pPr>
      <w:r>
        <w:rPr>
          <w:sz w:val="24"/>
        </w:rPr>
        <w:t xml:space="preserve">询问与质疑</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询问</w:t>
      </w:r>
      <w:r/>
    </w:p>
    <w:p>
      <w:pPr>
        <w:numPr>
          <w:ilvl w:val="2"/>
          <w:numId w:val="8"/>
        </w:numPr>
        <w:ind w:firstLine="482"/>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质疑</w:t>
      </w:r>
      <w:r/>
    </w:p>
    <w:p>
      <w:pPr>
        <w:numPr>
          <w:ilvl w:val="2"/>
          <w:numId w:val="8"/>
        </w:numPr>
        <w:ind w:firstLine="482"/>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24"/>
        </w:rPr>
        <w:t xml:space="preserve">http://gk</w:t>
      </w:r>
      <w:bookmarkStart w:id="690" w:name="_Hlt100654014"/>
      <w:r>
        <w:rPr>
          <w:rStyle w:val="1124"/>
        </w:rPr>
        <w:t xml:space="preserve">s</w:t>
      </w:r>
      <w:bookmarkEnd w:id="690"/>
      <w:r>
        <w:rPr>
          <w:rStyle w:val="1124"/>
        </w:rPr>
        <w:t xml:space="preserve">.m</w:t>
      </w:r>
      <w:bookmarkStart w:id="691" w:name="_Hlt100653993"/>
      <w:r/>
      <w:bookmarkStart w:id="692" w:name="_Hlt100653994"/>
      <w:r>
        <w:rPr>
          <w:rStyle w:val="1124"/>
        </w:rPr>
        <w:t xml:space="preserve">o</w:t>
      </w:r>
      <w:bookmarkEnd w:id="691"/>
      <w:r/>
      <w:bookmarkEnd w:id="692"/>
      <w:r>
        <w:rPr>
          <w:rStyle w:val="1124"/>
        </w:rPr>
        <w:t xml:space="preserve">f.gov.cn/ztztz/zhengfucaigouguanli/201802/t20180201_2804589.htm</w:t>
      </w:r>
      <w:r>
        <w:rPr>
          <w:rStyle w:val="1124"/>
        </w:rPr>
        <w:fldChar w:fldCharType="end"/>
      </w:r>
      <w:r>
        <w:rPr>
          <w:rFonts w:hint="eastAsia"/>
        </w:rPr>
        <w:t xml:space="preserve">）</w:t>
      </w:r>
      <w:r/>
    </w:p>
    <w:p>
      <w:pPr>
        <w:numPr>
          <w:ilvl w:val="2"/>
          <w:numId w:val="8"/>
        </w:numPr>
        <w:ind w:firstLine="482"/>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rPr>
          <w:sz w:val="24"/>
        </w:rPr>
        <w:t xml:space="preserve">代理费</w:t>
      </w:r>
      <w:r/>
    </w:p>
    <w:p>
      <w:pPr>
        <w:numPr>
          <w:ilvl w:val="1"/>
          <w:numId w:val="8"/>
        </w:numPr>
        <w:ind w:left="1077" w:firstLine="482"/>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rPr>
        <w:outlineLvl w:val="0"/>
      </w:pPr>
      <w:r/>
      <w:bookmarkStart w:id="693" w:name="_Toc127151554"/>
      <w:r/>
      <w:bookmarkStart w:id="694" w:name="_Toc226965827"/>
      <w:r/>
      <w:bookmarkStart w:id="695" w:name="_Toc226337250"/>
      <w:r/>
      <w:bookmarkStart w:id="696" w:name="_Toc305158822"/>
      <w:r/>
      <w:bookmarkStart w:id="697" w:name="_Toc353873664"/>
      <w:r/>
      <w:bookmarkStart w:id="698" w:name="_Toc264969244"/>
      <w:r/>
      <w:bookmarkStart w:id="699" w:name="_Toc142311056"/>
      <w:r/>
      <w:bookmarkStart w:id="700" w:name="_Toc150774759"/>
      <w:r/>
      <w:bookmarkStart w:id="701" w:name="_Toc353873934"/>
      <w:r/>
      <w:bookmarkStart w:id="702" w:name="_Toc265228392"/>
      <w:r/>
      <w:bookmarkStart w:id="703" w:name="_Toc305158896"/>
      <w:r/>
      <w:bookmarkStart w:id="704" w:name="_Toc353825544"/>
      <w:r/>
      <w:bookmarkStart w:id="705" w:name="_Toc150480792"/>
      <w:r>
        <w:rPr>
          <w:rFonts w:hint="eastAsia"/>
          <w:sz w:val="24"/>
        </w:rPr>
        <w:t xml:space="preserve">28 电子履约保函</w:t>
      </w:r>
      <w:r/>
    </w:p>
    <w:p>
      <w:pPr>
        <w:ind w:firstLine="480"/>
        <w:jc w:val="left"/>
        <w:spacing w:line="360" w:lineRule="auto"/>
        <w:rPr>
          <w:sz w:val="24"/>
        </w:rPr>
        <w:outlineLvl w:val="0"/>
      </w:pPr>
      <w:r>
        <w:rPr>
          <w:rFonts w:hint="eastAsia"/>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clear="all"/>
      </w:r>
      <w:bookmarkStart w:id="706" w:name="_Toc99301421"/>
      <w:r/>
      <w:r/>
    </w:p>
    <w:p>
      <w:pPr>
        <w:ind w:firstLine="482"/>
        <w:jc w:val="left"/>
        <w:spacing w:line="360" w:lineRule="auto"/>
        <w:rPr>
          <w:sz w:val="24"/>
        </w:rPr>
        <w:outlineLvl w:val="0"/>
      </w:pPr>
      <w:r>
        <w:rPr>
          <w:sz w:val="24"/>
        </w:rPr>
      </w:r>
      <w:r/>
    </w:p>
    <w:p>
      <w:pPr>
        <w:ind w:firstLine="723"/>
        <w:jc w:val="center"/>
        <w:spacing w:line="360" w:lineRule="auto"/>
        <w:rPr>
          <w:b/>
          <w:sz w:val="36"/>
          <w:szCs w:val="36"/>
        </w:rPr>
        <w:outlineLvl w:val="0"/>
      </w:pPr>
      <w:r>
        <w:rPr>
          <w:b/>
          <w:sz w:val="36"/>
          <w:szCs w:val="36"/>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sz w:val="36"/>
          <w:szCs w:val="36"/>
        </w:rPr>
        <w:t xml:space="preserve">资格审查</w:t>
      </w:r>
      <w:bookmarkEnd w:id="706"/>
      <w:r/>
      <w:bookmarkStart w:id="707" w:name="_Toc487900382"/>
      <w:r/>
      <w:r/>
    </w:p>
    <w:p>
      <w:pPr>
        <w:ind w:firstLine="482"/>
        <w:jc w:val="center"/>
        <w:spacing w:line="360" w:lineRule="auto"/>
        <w:tabs>
          <w:tab w:val="left" w:pos="360" w:leader="none"/>
          <w:tab w:val="left" w:pos="900" w:leader="none"/>
        </w:tabs>
        <w:rPr>
          <w:b/>
          <w:sz w:val="24"/>
        </w:rPr>
        <w:outlineLvl w:val="1"/>
      </w:pPr>
      <w:r/>
      <w:bookmarkStart w:id="708" w:name="_Toc99301422"/>
      <w:r>
        <w:rPr>
          <w:b/>
          <w:sz w:val="24"/>
        </w:rPr>
        <w:t xml:space="preserve">一、资格审查程序</w:t>
      </w:r>
      <w:bookmarkEnd w:id="708"/>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0"/>
        </w:numPr>
        <w:ind w:left="426" w:firstLine="482"/>
        <w:spacing w:line="360" w:lineRule="auto"/>
        <w:tabs>
          <w:tab w:val="left" w:pos="426" w:leader="none"/>
          <w:tab w:val="left" w:pos="851" w:leader="none"/>
          <w:tab w:val="clear" w:pos="900" w:leader="none"/>
        </w:tabs>
        <w:rPr>
          <w:sz w:val="24"/>
        </w:rPr>
        <w:outlineLvl w:val="2"/>
      </w:pPr>
      <w:r>
        <w:rPr>
          <w:sz w:val="24"/>
        </w:rPr>
        <w:t xml:space="preserve">资格审查合格的投标人不足3家的，不进行评标。</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707"/>
      <w:r/>
      <w:r/>
    </w:p>
    <w:p>
      <w:pPr>
        <w:ind w:firstLine="482"/>
        <w:jc w:val="left"/>
        <w:widowControl/>
        <w:rPr>
          <w:sz w:val="24"/>
        </w:rPr>
      </w:pPr>
      <w:r>
        <w:rPr>
          <w:sz w:val="24"/>
        </w:rPr>
      </w:r>
      <w:r/>
    </w:p>
    <w:p>
      <w:pPr>
        <w:pStyle w:val="1072"/>
        <w:ind w:firstLine="560"/>
        <w:spacing w:line="360" w:lineRule="auto"/>
        <w:tabs>
          <w:tab w:val="center" w:pos="4592" w:leader="none"/>
          <w:tab w:val="left" w:pos="7860" w:leader="none"/>
        </w:tabs>
        <w:rPr>
          <w:rFonts w:ascii="宋体" w:hAnsi="宋体" w:eastAsia="宋体" w:cs="宋体"/>
          <w:sz w:val="28"/>
        </w:rPr>
      </w:pPr>
      <w:r/>
      <w:bookmarkStart w:id="709" w:name="_Hlt487972895"/>
      <w:r/>
      <w:bookmarkEnd w:id="709"/>
      <w:r/>
      <w:bookmarkStart w:id="710" w:name="_Toc127151779"/>
      <w:r/>
      <w:bookmarkStart w:id="711" w:name="_Toc353825550"/>
      <w:r/>
      <w:bookmarkStart w:id="712" w:name="_Toc226965858"/>
      <w:r/>
      <w:bookmarkStart w:id="713" w:name="_Toc353873940"/>
      <w:r/>
      <w:bookmarkStart w:id="714" w:name="_Toc127161490"/>
      <w:r>
        <w:rPr>
          <w:rFonts w:hint="eastAsia" w:ascii="宋体" w:hAnsi="宋体" w:eastAsia="宋体" w:cs="宋体"/>
          <w:sz w:val="28"/>
        </w:rPr>
        <w:t xml:space="preserve">二、资格审查要求</w:t>
      </w:r>
      <w:r/>
    </w:p>
    <w:tbl>
      <w:tblPr>
        <w:tblStyle w:val="1081"/>
        <w:tblW w:w="5182"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35"/>
        <w:gridCol w:w="4464"/>
        <w:gridCol w:w="1517"/>
      </w:tblGrid>
      <w:tr>
        <w:trPr>
          <w:cantSplit/>
          <w:trHeight w:val="468"/>
          <w:tblHeader/>
        </w:trPr>
        <w:tc>
          <w:tcPr>
            <w:tcW w:w="454"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596" w:type="pct"/>
            <w:vAlign w:val="center"/>
            <w:textDirection w:val="lrTb"/>
            <w:noWrap w:val="false"/>
          </w:tcPr>
          <w:p>
            <w:pPr>
              <w:pStyle w:val="1274"/>
              <w:spacing w:line="360" w:lineRule="auto"/>
              <w:rPr>
                <w:rFonts w:ascii="宋体" w:hAnsi="宋体" w:cs="宋体"/>
              </w:rPr>
            </w:pPr>
            <w:r>
              <w:rPr>
                <w:rFonts w:hint="eastAsia" w:ascii="宋体" w:hAnsi="宋体" w:cs="宋体"/>
              </w:rPr>
              <w:t xml:space="preserve">具体规定见第一章《</w:t>
            </w:r>
            <w:r>
              <w:rPr>
                <w:rFonts w:hint="eastAsia" w:ascii="宋体" w:hAnsi="宋体" w:cs="宋体"/>
                <w:lang w:eastAsia="zh-CN"/>
              </w:rPr>
              <w:t xml:space="preserve">投标邀请</w:t>
            </w:r>
            <w:r>
              <w:rPr>
                <w:rFonts w:hint="eastAsia" w:ascii="宋体" w:hAnsi="宋体" w:cs="宋体"/>
              </w:rPr>
              <w:t xml:space="preserve">》</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1-2</w:t>
            </w:r>
            <w:r/>
          </w:p>
        </w:tc>
        <w:tc>
          <w:tcPr>
            <w:tcW w:w="1066" w:type="pct"/>
            <w:vAlign w:val="center"/>
            <w:textDirection w:val="lrTb"/>
            <w:noWrap w:val="false"/>
          </w:tcPr>
          <w:p>
            <w:pPr>
              <w:tabs>
                <w:tab w:val="left" w:pos="1080" w:leader="none"/>
              </w:tabs>
              <w:rPr>
                <w:rFonts w:hint="eastAsia" w:ascii="宋体" w:hAnsi="宋体" w:eastAsia="宋体" w:cs="Times New Roman"/>
                <w:color w:val="000000"/>
                <w:sz w:val="24"/>
                <w:szCs w:val="24"/>
                <w:lang w:val="en-US" w:eastAsia="zh-CN" w:bidi="ar-SA"/>
              </w:rPr>
            </w:pPr>
            <w:r>
              <w:rPr>
                <w:rFonts w:hint="eastAsia" w:ascii="宋体" w:hAnsi="宋体"/>
                <w:color w:val="000000"/>
                <w:sz w:val="24"/>
              </w:rPr>
              <w:t xml:space="preserve"> </w:t>
            </w:r>
            <w:r>
              <w:rPr>
                <w:rFonts w:hint="eastAsia" w:ascii="宋体" w:hAnsi="宋体"/>
                <w:bCs/>
                <w:color w:val="000000"/>
                <w:sz w:val="24"/>
              </w:rPr>
              <w:t xml:space="preserve">营业执照副本（事业单位法人证书）</w:t>
            </w:r>
            <w:r/>
          </w:p>
        </w:tc>
        <w:tc>
          <w:tcPr>
            <w:tcW w:w="2596" w:type="pct"/>
            <w:vAlign w:val="center"/>
            <w:textDirection w:val="lrTb"/>
            <w:noWrap w:val="false"/>
          </w:tcPr>
          <w:p>
            <w:pPr>
              <w:tabs>
                <w:tab w:val="left" w:pos="1080" w:leader="none"/>
              </w:tabs>
              <w:rPr>
                <w:rFonts w:hint="eastAsia" w:ascii="宋体" w:hAnsi="宋体" w:eastAsia="宋体" w:cs="Times New Roman"/>
                <w:color w:val="000000"/>
                <w:sz w:val="24"/>
                <w:szCs w:val="24"/>
                <w:lang w:val="en-US" w:eastAsia="zh-CN" w:bidi="ar-SA"/>
              </w:rPr>
            </w:pPr>
            <w:r>
              <w:rPr>
                <w:rFonts w:hint="eastAsia" w:ascii="宋体" w:hAnsi="宋体"/>
                <w:bCs/>
                <w:color w:val="000000"/>
                <w:sz w:val="24"/>
              </w:rPr>
              <w:t xml:space="preserve">营业执照副本和税务登记证副本(或“三证合一”的营业执照副本）或事业单位法人证书</w:t>
            </w:r>
            <w:r/>
          </w:p>
        </w:tc>
        <w:tc>
          <w:tcPr>
            <w:tcW w:w="882" w:type="pct"/>
            <w:vAlign w:val="center"/>
            <w:textDirection w:val="lrTb"/>
            <w:noWrap w:val="false"/>
          </w:tcPr>
          <w:p>
            <w:pPr>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提供电子照</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sz w:val="24"/>
                <w:lang w:eastAsia="zh-CN"/>
              </w:rPr>
            </w:pPr>
            <w:r>
              <w:rPr>
                <w:rFonts w:hint="eastAsia" w:ascii="宋体" w:hAnsi="宋体" w:cs="宋体"/>
                <w:sz w:val="24"/>
              </w:rPr>
              <w:t xml:space="preserve">1-</w:t>
            </w:r>
            <w:r>
              <w:rPr>
                <w:rFonts w:hint="eastAsia" w:ascii="宋体" w:hAnsi="宋体" w:cs="宋体"/>
                <w:sz w:val="24"/>
                <w:lang w:val="en-US" w:eastAsia="zh-CN"/>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查询渠道：信用中国网站（www.creditchina.gov.cn）；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无须投标人提供，由采购人或采购代理机构查询。</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具体要求见第一章《</w:t>
            </w:r>
            <w:r>
              <w:rPr>
                <w:rFonts w:hint="eastAsia" w:ascii="宋体" w:hAnsi="宋体" w:cs="宋体"/>
                <w:sz w:val="24"/>
                <w:lang w:eastAsia="zh-CN"/>
              </w:rPr>
              <w:t xml:space="preserve">投标邀请</w:t>
            </w:r>
            <w:r>
              <w:rPr>
                <w:rFonts w:hint="eastAsia" w:ascii="宋体" w:hAnsi="宋体" w:cs="宋体"/>
                <w:sz w:val="24"/>
              </w:rPr>
              <w:t xml:space="preserve">》</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tabs>
                <w:tab w:val="left" w:pos="1080" w:leader="none"/>
              </w:tabs>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中小企业声明函</w:t>
            </w:r>
            <w:r/>
          </w:p>
        </w:tc>
        <w:tc>
          <w:tcPr>
            <w:tcW w:w="2596" w:type="pct"/>
            <w:vAlign w:val="center"/>
            <w:textDirection w:val="lrTb"/>
            <w:noWrap w:val="false"/>
          </w:tcPr>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如采购公告中明确专门面向中小/小微企业采购，须按下述要求提供材料；未专门面向中小/小微企业采购，此项不作为资审条件。</w:t>
            </w:r>
            <w:r/>
          </w:p>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投标人</w:t>
            </w:r>
            <w:r>
              <w:rPr>
                <w:rFonts w:hint="eastAsia" w:ascii="宋体" w:hAnsi="宋体" w:cs="宋体"/>
                <w:bCs/>
                <w:color w:val="000000" w:themeColor="text1"/>
                <w:sz w:val="24"/>
                <w14:textFill>
                  <w14:solidFill>
                    <w14:schemeClr w14:val="tx1"/>
                  </w14:solidFill>
                </w14:textFill>
              </w:rPr>
              <w:t xml:space="preserve">单独参与</w:t>
            </w:r>
            <w:r>
              <w:rPr>
                <w:rFonts w:hint="eastAsia" w:ascii="宋体" w:hAnsi="宋体" w:cs="宋体"/>
                <w:bCs/>
                <w:color w:val="000000" w:themeColor="text1"/>
                <w:sz w:val="24"/>
                <w:lang w:val="en-US" w:eastAsia="zh-CN"/>
                <w14:textFill>
                  <w14:solidFill>
                    <w14:schemeClr w14:val="tx1"/>
                  </w14:solidFill>
                </w14:textFill>
              </w:rPr>
              <w:t xml:space="preserve">投标</w:t>
            </w:r>
            <w:r>
              <w:rPr>
                <w:rFonts w:hint="eastAsia" w:ascii="宋体" w:hAnsi="宋体" w:cs="宋体"/>
                <w:bCs/>
                <w:color w:val="000000" w:themeColor="text1"/>
                <w:sz w:val="24"/>
                <w14:textFill>
                  <w14:solidFill>
                    <w14:schemeClr w14:val="tx1"/>
                  </w14:solidFill>
                </w14:textFill>
              </w:rPr>
              <w:t xml:space="preserve">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rFonts w:hint="default" w:ascii="宋体" w:hAnsi="宋体" w:eastAsia="宋体" w:cs="宋体"/>
                <w:b/>
                <w:color w:val="000000" w:themeColor="text1"/>
                <w:sz w:val="24"/>
                <w:szCs w:val="24"/>
                <w:lang w:val="en-US" w:eastAsia="zh-CN" w:bidi="ar-SA"/>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注2：残疾人福利性单位须按</w:t>
            </w:r>
            <w:r>
              <w:rPr>
                <w:rFonts w:hint="eastAsia" w:ascii="宋体" w:hAnsi="宋体" w:cs="宋体"/>
                <w:bCs/>
                <w:color w:val="000000" w:themeColor="text1"/>
                <w:sz w:val="24"/>
                <w:lang w:val="en-US" w:eastAsia="zh-CN"/>
                <w14:textFill>
                  <w14:solidFill>
                    <w14:schemeClr w14:val="tx1"/>
                  </w14:solidFill>
                </w14:textFill>
              </w:rPr>
              <w:t xml:space="preserve">招标</w:t>
            </w:r>
            <w:r>
              <w:rPr>
                <w:rFonts w:hint="eastAsia" w:ascii="宋体" w:hAnsi="宋体" w:cs="宋体"/>
                <w:bCs/>
                <w:color w:val="000000" w:themeColor="text1"/>
                <w:sz w:val="24"/>
                <w14:textFill>
                  <w14:solidFill>
                    <w14:schemeClr w14:val="tx1"/>
                  </w14:solidFill>
                </w14:textFill>
              </w:rPr>
              <w:t xml:space="preserve">文件要求提供《残疾人福利性单位声明函》。</w:t>
            </w:r>
            <w:r/>
          </w:p>
        </w:tc>
        <w:tc>
          <w:tcPr>
            <w:tcW w:w="882" w:type="pct"/>
            <w:vAlign w:val="center"/>
            <w:textDirection w:val="lrTb"/>
            <w:noWrap w:val="false"/>
          </w:tcPr>
          <w:p>
            <w:pPr>
              <w:tabs>
                <w:tab w:val="left" w:pos="1080" w:leader="none"/>
              </w:tabs>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格式见《</w:t>
            </w:r>
            <w:r>
              <w:rPr>
                <w:rFonts w:hint="eastAsia" w:ascii="宋体" w:hAnsi="宋体" w:cs="宋体"/>
                <w:color w:val="000000" w:themeColor="text1"/>
                <w:sz w:val="24"/>
                <w:lang w:val="en-US" w:eastAsia="zh-CN"/>
                <w14:textFill>
                  <w14:solidFill>
                    <w14:schemeClr w14:val="tx1"/>
                  </w14:solidFill>
                </w14:textFill>
              </w:rPr>
              <w:t xml:space="preserve">投标</w:t>
            </w:r>
            <w:r>
              <w:rPr>
                <w:rFonts w:hint="eastAsia" w:ascii="宋体" w:hAnsi="宋体" w:cs="宋体"/>
                <w:color w:val="000000" w:themeColor="text1"/>
                <w:sz w:val="24"/>
                <w14:textFill>
                  <w14:solidFill>
                    <w14:schemeClr w14:val="tx1"/>
                  </w14:solidFill>
                </w14:textFill>
              </w:rPr>
              <w:t xml:space="preserve">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w:t>
            </w:r>
            <w:r>
              <w:rPr>
                <w:rFonts w:hint="eastAsia" w:ascii="宋体" w:hAnsi="宋体" w:cs="宋体"/>
                <w:sz w:val="24"/>
                <w:lang w:eastAsia="zh-CN"/>
              </w:rPr>
              <w:t xml:space="preserve">投标邀请</w:t>
            </w:r>
            <w:r>
              <w:rPr>
                <w:rFonts w:hint="eastAsia" w:ascii="宋体" w:hAnsi="宋体" w:cs="宋体"/>
                <w:sz w:val="24"/>
              </w:rPr>
              <w:t xml:space="preserve">》</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693"/>
        </w:trPr>
        <w:tc>
          <w:tcPr>
            <w:tcW w:w="454" w:type="pct"/>
            <w:vAlign w:val="center"/>
            <w:textDirection w:val="lrTb"/>
            <w:noWrap w:val="false"/>
          </w:tcPr>
          <w:p>
            <w:pPr>
              <w:jc w:val="center"/>
              <w:tabs>
                <w:tab w:val="left" w:pos="1080" w:leader="none"/>
              </w:tabs>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w:t>
            </w:r>
            <w:r>
              <w:rPr>
                <w:rFonts w:hint="eastAsia" w:ascii="宋体" w:hAnsi="宋体" w:cs="宋体"/>
                <w:sz w:val="24"/>
                <w:lang w:eastAsia="zh-CN"/>
              </w:rPr>
              <w:t xml:space="preserve">投标邀请</w:t>
            </w:r>
            <w:r>
              <w:rPr>
                <w:rFonts w:hint="eastAsia" w:ascii="宋体" w:hAnsi="宋体" w:cs="宋体"/>
                <w:sz w:val="24"/>
              </w:rPr>
              <w:t xml:space="preserve">》</w:t>
            </w:r>
            <w:r/>
          </w:p>
        </w:tc>
        <w:tc>
          <w:tcPr>
            <w:tcW w:w="882" w:type="pct"/>
            <w:vAlign w:val="center"/>
            <w:textDirection w:val="lrTb"/>
            <w:noWrap w:val="false"/>
          </w:tcPr>
          <w:p>
            <w:pPr>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提供电子件</w:t>
            </w:r>
            <w:r/>
          </w:p>
        </w:tc>
      </w:tr>
    </w:tbl>
    <w:p>
      <w:pPr>
        <w:ind w:firstLine="482"/>
        <w:jc w:val="left"/>
        <w:widowControl/>
        <w:rPr>
          <w:sz w:val="24"/>
        </w:rPr>
      </w:pPr>
      <w:r>
        <w:rPr>
          <w:sz w:val="24"/>
        </w:rPr>
        <w:br w:type="page" w:clear="all"/>
      </w:r>
      <w:r/>
    </w:p>
    <w:p>
      <w:pPr>
        <w:ind w:firstLine="723"/>
        <w:jc w:val="center"/>
        <w:spacing w:line="360" w:lineRule="auto"/>
        <w:rPr>
          <w:b/>
          <w:sz w:val="36"/>
          <w:szCs w:val="36"/>
        </w:rPr>
        <w:outlineLvl w:val="0"/>
      </w:pPr>
      <w:r/>
      <w:bookmarkStart w:id="715" w:name="_Toc99301423"/>
      <w:r>
        <w:rPr>
          <w:b/>
          <w:sz w:val="36"/>
          <w:szCs w:val="36"/>
        </w:rPr>
        <w:t xml:space="preserve">第四章   </w:t>
      </w:r>
      <w:bookmarkEnd w:id="710"/>
      <w:r/>
      <w:bookmarkEnd w:id="711"/>
      <w:r/>
      <w:bookmarkEnd w:id="712"/>
      <w:r/>
      <w:bookmarkEnd w:id="713"/>
      <w:r/>
      <w:bookmarkEnd w:id="714"/>
      <w:r/>
      <w:bookmarkStart w:id="716" w:name="_Hlt164229061"/>
      <w:r/>
      <w:bookmarkEnd w:id="716"/>
      <w:r>
        <w:rPr>
          <w:b/>
          <w:sz w:val="36"/>
          <w:szCs w:val="36"/>
        </w:rPr>
        <w:t xml:space="preserve">评标程序、评标方法和评标标准</w:t>
      </w:r>
      <w:bookmarkEnd w:id="715"/>
      <w:r/>
      <w:r/>
    </w:p>
    <w:p>
      <w:pPr>
        <w:ind w:firstLine="48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spacing w:line="360" w:lineRule="auto"/>
        <w:tabs>
          <w:tab w:val="left" w:pos="360" w:leader="none"/>
        </w:tabs>
        <w:rPr>
          <w:sz w:val="24"/>
        </w:rPr>
        <w:outlineLvl w:val="2"/>
      </w:pPr>
      <w:r/>
      <w:bookmarkStart w:id="717" w:name="_Toc164229236"/>
      <w:r/>
      <w:bookmarkStart w:id="718" w:name="_Toc127161455"/>
      <w:r/>
      <w:bookmarkStart w:id="719" w:name="_Toc151193639"/>
      <w:r/>
      <w:bookmarkStart w:id="720" w:name="_Toc305158809"/>
      <w:r/>
      <w:bookmarkStart w:id="721" w:name="_Toc164608810"/>
      <w:r/>
      <w:bookmarkStart w:id="722" w:name="_Toc265228379"/>
      <w:r/>
      <w:bookmarkStart w:id="723" w:name="_Toc264969231"/>
      <w:r/>
      <w:bookmarkStart w:id="724" w:name="_Toc151193855"/>
      <w:r/>
      <w:bookmarkStart w:id="725" w:name="_Toc142311043"/>
      <w:r/>
      <w:bookmarkStart w:id="726" w:name="_Toc226337237"/>
      <w:r/>
      <w:bookmarkStart w:id="727" w:name="_Toc164608655"/>
      <w:r/>
      <w:bookmarkStart w:id="728" w:name="_Toc226965814"/>
      <w:r/>
      <w:bookmarkStart w:id="729" w:name="_Toc127151541"/>
      <w:r/>
      <w:bookmarkStart w:id="730" w:name="_Toc127151742"/>
      <w:r/>
      <w:bookmarkStart w:id="731" w:name="_Toc305158883"/>
      <w:r/>
      <w:bookmarkStart w:id="732" w:name="_Toc149720834"/>
      <w:r/>
      <w:bookmarkStart w:id="733" w:name="_Toc151193929"/>
      <w:r/>
      <w:bookmarkStart w:id="734" w:name="_Toc151193711"/>
      <w:r/>
      <w:bookmarkStart w:id="735" w:name="_Toc150774641"/>
      <w:r/>
      <w:bookmarkStart w:id="736" w:name="_Toc164229382"/>
      <w:r/>
      <w:bookmarkStart w:id="737" w:name="_Toc151193783"/>
      <w:r/>
      <w:bookmarkStart w:id="738" w:name="_Toc226309785"/>
      <w:r/>
      <w:bookmarkStart w:id="739" w:name="_Toc150480779"/>
      <w:r/>
      <w:bookmarkStart w:id="740" w:name="_Toc226965731"/>
      <w:r/>
      <w:bookmarkStart w:id="741" w:name="_Toc150774746"/>
      <w:r/>
      <w:bookmarkStart w:id="742" w:name="_Toc151190168"/>
      <w:r/>
      <w:bookmarkStart w:id="743" w:name="_Toc195842906"/>
      <w:r/>
      <w:bookmarkStart w:id="744" w:name="_Toc164351635"/>
      <w:r/>
      <w:bookmarkStart w:id="745" w:name="_Toc150509292"/>
      <w:r/>
      <w:bookmarkStart w:id="746" w:name="_Toc353873941"/>
      <w:r/>
      <w:bookmarkStart w:id="747" w:name="_Toc353825551"/>
      <w:r>
        <w:rPr>
          <w:rFonts w:hint="eastAsia"/>
          <w:sz w:val="24"/>
        </w:rPr>
        <w:t xml:space="preserve">1</w:t>
      </w:r>
      <w:r>
        <w:rPr>
          <w:sz w:val="24"/>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48"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48"/>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ind w:firstLine="482"/>
        <w:spacing w:line="360" w:lineRule="auto"/>
        <w:tabs>
          <w:tab w:val="left" w:pos="1080" w:leader="none"/>
          <w:tab w:val="left" w:pos="1589" w:leader="none"/>
        </w:tabs>
        <w:rPr>
          <w:sz w:val="24"/>
        </w:rPr>
      </w:pPr>
      <w:r>
        <w:rPr>
          <w:sz w:val="24"/>
        </w:rPr>
      </w:r>
      <w:r/>
    </w:p>
    <w:tbl>
      <w:tblPr>
        <w:tblStyle w:val="1081"/>
        <w:tblW w:w="48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831"/>
        <w:gridCol w:w="5406"/>
      </w:tblGrid>
      <w:tr>
        <w:trPr>
          <w:jc w:val="center"/>
          <w:trHeight w:val="300"/>
        </w:trPr>
        <w:tc>
          <w:tcPr>
            <w:tcW w:w="508" w:type="pct"/>
            <w:vAlign w:val="center"/>
            <w:textDirection w:val="lrTb"/>
            <w:noWrap w:val="false"/>
          </w:tcPr>
          <w:p>
            <w:pPr>
              <w:jc w:val="center"/>
              <w:widowControl/>
              <w:rPr>
                <w:b/>
                <w:color w:val="000000"/>
                <w:sz w:val="24"/>
              </w:rPr>
            </w:pPr>
            <w:r>
              <w:rPr>
                <w:b/>
                <w:color w:val="000000"/>
                <w:sz w:val="24"/>
              </w:rPr>
              <w:t xml:space="preserve">序号</w:t>
            </w:r>
            <w:r/>
          </w:p>
        </w:tc>
        <w:tc>
          <w:tcPr>
            <w:tcW w:w="1136" w:type="pct"/>
            <w:vAlign w:val="center"/>
            <w:textDirection w:val="lrTb"/>
            <w:noWrap w:val="false"/>
          </w:tcPr>
          <w:p>
            <w:pPr>
              <w:jc w:val="center"/>
              <w:widowControl/>
              <w:rPr>
                <w:b/>
                <w:color w:val="000000"/>
                <w:sz w:val="24"/>
              </w:rPr>
            </w:pPr>
            <w:r>
              <w:rPr>
                <w:b/>
                <w:color w:val="000000"/>
                <w:sz w:val="24"/>
              </w:rPr>
              <w:t xml:space="preserve">审查因素</w:t>
            </w:r>
            <w:r/>
          </w:p>
        </w:tc>
        <w:tc>
          <w:tcPr>
            <w:tcW w:w="3355" w:type="pct"/>
            <w:vAlign w:val="center"/>
            <w:textDirection w:val="lrTb"/>
            <w:noWrap w:val="false"/>
          </w:tcPr>
          <w:p>
            <w:pPr>
              <w:ind w:firstLine="482"/>
              <w:jc w:val="center"/>
              <w:widowControl/>
              <w:rPr>
                <w:b/>
                <w:color w:val="000000"/>
                <w:sz w:val="24"/>
              </w:rPr>
            </w:pPr>
            <w:r>
              <w:rPr>
                <w:b/>
                <w:color w:val="000000"/>
                <w:sz w:val="24"/>
              </w:rPr>
              <w:t xml:space="preserve">审查内容</w:t>
            </w:r>
            <w:r/>
          </w:p>
        </w:tc>
      </w:tr>
      <w:tr>
        <w:trPr>
          <w:jc w:val="center"/>
          <w:trHeight w:val="685"/>
        </w:trPr>
        <w:tc>
          <w:tcPr>
            <w:tcW w:w="508" w:type="pct"/>
            <w:vAlign w:val="center"/>
            <w:textDirection w:val="lrTb"/>
            <w:noWrap w:val="false"/>
          </w:tcPr>
          <w:p>
            <w:pPr>
              <w:jc w:val="center"/>
              <w:widowControl/>
              <w:rPr>
                <w:color w:val="000000"/>
                <w:sz w:val="24"/>
              </w:rPr>
            </w:pPr>
            <w:r>
              <w:rPr>
                <w:color w:val="000000"/>
                <w:sz w:val="24"/>
              </w:rPr>
              <w:t xml:space="preserve">1</w:t>
            </w:r>
            <w:r/>
          </w:p>
        </w:tc>
        <w:tc>
          <w:tcPr>
            <w:tcW w:w="1136" w:type="pct"/>
            <w:vAlign w:val="center"/>
            <w:textDirection w:val="lrTb"/>
            <w:noWrap w:val="false"/>
          </w:tcPr>
          <w:p>
            <w:pPr>
              <w:jc w:val="center"/>
              <w:widowControl/>
              <w:rPr>
                <w:color w:val="000000"/>
                <w:sz w:val="24"/>
              </w:rPr>
            </w:pPr>
            <w:r>
              <w:rPr>
                <w:rFonts w:hint="eastAsia"/>
                <w:color w:val="000000"/>
                <w:sz w:val="24"/>
              </w:rPr>
              <w:t xml:space="preserve">投标函、法定代表人资格证明书</w:t>
            </w:r>
            <w:r>
              <w:rPr>
                <w:rFonts w:hint="eastAsia"/>
                <w:color w:val="000000"/>
                <w:sz w:val="24"/>
                <w:lang w:eastAsia="zh-CN"/>
              </w:rPr>
              <w:t xml:space="preserve">、</w:t>
            </w:r>
            <w:r>
              <w:rPr>
                <w:rFonts w:hint="eastAsia" w:ascii="宋体" w:hAnsi="宋体" w:cs="宋体"/>
                <w:color w:val="000000" w:themeColor="text1"/>
                <w:sz w:val="24"/>
                <w14:textFill>
                  <w14:solidFill>
                    <w14:schemeClr w14:val="tx1"/>
                  </w14:solidFill>
                </w14:textFill>
              </w:rPr>
              <w:t xml:space="preserve">授权委托书（</w:t>
            </w:r>
            <w:r>
              <w:rPr>
                <w:rFonts w:hint="eastAsia" w:ascii="宋体" w:hAnsi="宋体" w:cs="宋体"/>
                <w:color w:val="000000" w:themeColor="text1"/>
                <w:sz w:val="24"/>
                <w:lang w:val="en-US" w:eastAsia="zh-CN"/>
                <w14:textFill>
                  <w14:solidFill>
                    <w14:schemeClr w14:val="tx1"/>
                  </w14:solidFill>
                </w14:textFill>
              </w:rPr>
              <w:t xml:space="preserve">如有授权</w:t>
            </w:r>
            <w:r>
              <w:rPr>
                <w:rFonts w:hint="eastAsia" w:ascii="宋体" w:hAnsi="宋体" w:cs="宋体"/>
                <w:color w:val="000000" w:themeColor="text1"/>
                <w:sz w:val="24"/>
                <w14:textFill>
                  <w14:solidFill>
                    <w14:schemeClr w14:val="tx1"/>
                  </w14:solidFill>
                </w14:textFill>
              </w:rPr>
              <w:t xml:space="preserve">）</w:t>
            </w:r>
            <w:r>
              <w:rPr>
                <w:rFonts w:hint="eastAsia"/>
                <w:color w:val="000000"/>
                <w:sz w:val="24"/>
              </w:rPr>
              <w:t xml:space="preserve">和政府采购供应商信用承诺书</w:t>
            </w:r>
            <w:r/>
          </w:p>
        </w:tc>
        <w:tc>
          <w:tcPr>
            <w:tcW w:w="3355"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投标函、法定代表人资格证明书</w:t>
            </w:r>
            <w:r>
              <w:rPr>
                <w:rFonts w:hint="eastAsia"/>
                <w:color w:val="000000"/>
                <w:sz w:val="24"/>
                <w:lang w:eastAsia="zh-CN"/>
              </w:rPr>
              <w:t xml:space="preserve">、</w:t>
            </w:r>
            <w:r>
              <w:rPr>
                <w:rFonts w:hint="eastAsia" w:ascii="宋体" w:hAnsi="宋体" w:cs="宋体"/>
                <w:color w:val="000000" w:themeColor="text1"/>
                <w:sz w:val="24"/>
                <w14:textFill>
                  <w14:solidFill>
                    <w14:schemeClr w14:val="tx1"/>
                  </w14:solidFill>
                </w14:textFill>
              </w:rPr>
              <w:t xml:space="preserve">授权委托书（</w:t>
            </w:r>
            <w:r>
              <w:rPr>
                <w:rFonts w:hint="eastAsia" w:ascii="宋体" w:hAnsi="宋体" w:cs="宋体"/>
                <w:color w:val="000000" w:themeColor="text1"/>
                <w:sz w:val="24"/>
                <w:lang w:val="en-US" w:eastAsia="zh-CN"/>
                <w14:textFill>
                  <w14:solidFill>
                    <w14:schemeClr w14:val="tx1"/>
                  </w14:solidFill>
                </w14:textFill>
              </w:rPr>
              <w:t xml:space="preserve">如有授权</w:t>
            </w:r>
            <w:r>
              <w:rPr>
                <w:rFonts w:hint="eastAsia" w:ascii="宋体" w:hAnsi="宋体" w:cs="宋体"/>
                <w:color w:val="000000" w:themeColor="text1"/>
                <w:sz w:val="24"/>
                <w14:textFill>
                  <w14:solidFill>
                    <w14:schemeClr w14:val="tx1"/>
                  </w14:solidFill>
                </w14:textFill>
              </w:rPr>
              <w:t xml:space="preserve">）</w:t>
            </w:r>
            <w:r>
              <w:rPr>
                <w:rFonts w:hint="eastAsia"/>
                <w:color w:val="000000"/>
                <w:sz w:val="24"/>
              </w:rPr>
              <w:t xml:space="preserve">和政府采购供应商信用承诺书</w:t>
            </w:r>
            <w:r>
              <w:rPr>
                <w:color w:val="000000"/>
                <w:sz w:val="24"/>
              </w:rPr>
              <w:t xml:space="preserve">；</w:t>
            </w:r>
            <w:r/>
          </w:p>
        </w:tc>
      </w:tr>
      <w:tr>
        <w:trPr>
          <w:jc w:val="center"/>
          <w:trHeight w:val="690"/>
        </w:trPr>
        <w:tc>
          <w:tcPr>
            <w:tcW w:w="508" w:type="pct"/>
            <w:vAlign w:val="center"/>
            <w:textDirection w:val="lrTb"/>
            <w:noWrap w:val="false"/>
          </w:tcPr>
          <w:p>
            <w:pPr>
              <w:jc w:val="center"/>
              <w:widowControl/>
              <w:rPr>
                <w:color w:val="000000"/>
                <w:sz w:val="24"/>
              </w:rPr>
            </w:pPr>
            <w:r>
              <w:rPr>
                <w:color w:val="000000"/>
                <w:sz w:val="24"/>
              </w:rPr>
              <w:t xml:space="preserve">2</w:t>
            </w:r>
            <w:r/>
          </w:p>
        </w:tc>
        <w:tc>
          <w:tcPr>
            <w:tcW w:w="1136" w:type="pct"/>
            <w:vAlign w:val="center"/>
            <w:textDirection w:val="lrTb"/>
            <w:noWrap w:val="false"/>
          </w:tcPr>
          <w:p>
            <w:pPr>
              <w:jc w:val="center"/>
              <w:widowControl/>
              <w:rPr>
                <w:color w:val="000000"/>
                <w:sz w:val="24"/>
              </w:rPr>
            </w:pPr>
            <w:r>
              <w:rPr>
                <w:color w:val="000000"/>
                <w:sz w:val="24"/>
              </w:rPr>
              <w:t xml:space="preserve">投标完整性</w:t>
            </w:r>
            <w:r/>
          </w:p>
        </w:tc>
        <w:tc>
          <w:tcPr>
            <w:tcW w:w="3355"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p>
        </w:tc>
      </w:tr>
      <w:tr>
        <w:trPr>
          <w:jc w:val="center"/>
          <w:trHeight w:val="685"/>
        </w:trPr>
        <w:tc>
          <w:tcPr>
            <w:tcW w:w="508" w:type="pct"/>
            <w:vAlign w:val="center"/>
            <w:textDirection w:val="lrTb"/>
            <w:noWrap w:val="false"/>
          </w:tcPr>
          <w:p>
            <w:pPr>
              <w:jc w:val="center"/>
              <w:widowControl/>
              <w:rPr>
                <w:color w:val="000000"/>
                <w:sz w:val="24"/>
              </w:rPr>
            </w:pPr>
            <w:r>
              <w:rPr>
                <w:color w:val="000000"/>
                <w:sz w:val="24"/>
              </w:rPr>
              <w:t xml:space="preserve">3</w:t>
            </w:r>
            <w:r/>
          </w:p>
        </w:tc>
        <w:tc>
          <w:tcPr>
            <w:tcW w:w="1136" w:type="pct"/>
            <w:vAlign w:val="center"/>
            <w:textDirection w:val="lrTb"/>
            <w:noWrap w:val="false"/>
          </w:tcPr>
          <w:p>
            <w:pPr>
              <w:jc w:val="center"/>
              <w:widowControl/>
              <w:rPr>
                <w:color w:val="000000"/>
                <w:sz w:val="24"/>
              </w:rPr>
            </w:pPr>
            <w:r>
              <w:rPr>
                <w:color w:val="000000"/>
                <w:sz w:val="24"/>
              </w:rPr>
              <w:t xml:space="preserve">投标报价</w:t>
            </w:r>
            <w:r/>
          </w:p>
        </w:tc>
        <w:tc>
          <w:tcPr>
            <w:tcW w:w="3355"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超过招标文件中规定的项目预算金额或者项目最高限价或</w:t>
            </w:r>
            <w:r>
              <w:rPr>
                <w:rFonts w:hint="eastAsia"/>
                <w:color w:val="000000"/>
                <w:sz w:val="24"/>
                <w:lang w:val="en-US" w:eastAsia="zh-CN"/>
              </w:rPr>
              <w:t xml:space="preserve">者项目单价最高限价</w:t>
            </w:r>
            <w:r>
              <w:rPr>
                <w:color w:val="000000"/>
                <w:sz w:val="24"/>
              </w:rPr>
              <w:t xml:space="preserve">；</w:t>
            </w:r>
            <w:r/>
          </w:p>
        </w:tc>
      </w:tr>
      <w:tr>
        <w:trPr>
          <w:jc w:val="center"/>
          <w:trHeight w:val="685"/>
        </w:trPr>
        <w:tc>
          <w:tcPr>
            <w:tcW w:w="508" w:type="pct"/>
            <w:vAlign w:val="center"/>
            <w:textDirection w:val="lrTb"/>
            <w:noWrap w:val="false"/>
          </w:tcPr>
          <w:p>
            <w:pPr>
              <w:jc w:val="center"/>
              <w:widowControl/>
              <w:rPr>
                <w:color w:val="000000"/>
                <w:sz w:val="24"/>
              </w:rPr>
            </w:pPr>
            <w:r>
              <w:rPr>
                <w:color w:val="000000"/>
                <w:sz w:val="24"/>
              </w:rPr>
              <w:t xml:space="preserve">4</w:t>
            </w:r>
            <w:r/>
          </w:p>
        </w:tc>
        <w:tc>
          <w:tcPr>
            <w:tcW w:w="1136" w:type="pct"/>
            <w:vAlign w:val="center"/>
            <w:textDirection w:val="lrTb"/>
            <w:noWrap w:val="false"/>
          </w:tcPr>
          <w:p>
            <w:pPr>
              <w:jc w:val="center"/>
              <w:widowControl/>
              <w:rPr>
                <w:color w:val="000000"/>
                <w:sz w:val="24"/>
              </w:rPr>
            </w:pPr>
            <w:r>
              <w:rPr>
                <w:color w:val="000000"/>
                <w:sz w:val="24"/>
              </w:rPr>
              <w:t xml:space="preserve">报价唯一性</w:t>
            </w:r>
            <w:r/>
          </w:p>
        </w:tc>
        <w:tc>
          <w:tcPr>
            <w:tcW w:w="3355"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p>
        </w:tc>
      </w:tr>
      <w:tr>
        <w:trPr>
          <w:jc w:val="center"/>
          <w:trHeight w:val="685"/>
        </w:trPr>
        <w:tc>
          <w:tcPr>
            <w:tcW w:w="508" w:type="pct"/>
            <w:vAlign w:val="center"/>
            <w:textDirection w:val="lrTb"/>
            <w:noWrap w:val="false"/>
          </w:tcPr>
          <w:p>
            <w:pPr>
              <w:jc w:val="center"/>
              <w:widowControl/>
              <w:rPr>
                <w:color w:val="000000"/>
                <w:sz w:val="24"/>
              </w:rPr>
            </w:pPr>
            <w:r>
              <w:rPr>
                <w:color w:val="000000"/>
                <w:sz w:val="24"/>
              </w:rPr>
              <w:t xml:space="preserve">5</w:t>
            </w:r>
            <w:r/>
          </w:p>
        </w:tc>
        <w:tc>
          <w:tcPr>
            <w:tcW w:w="1136" w:type="pct"/>
            <w:vAlign w:val="center"/>
            <w:textDirection w:val="lrTb"/>
            <w:noWrap w:val="false"/>
          </w:tcPr>
          <w:p>
            <w:pPr>
              <w:jc w:val="center"/>
              <w:widowControl/>
              <w:rPr>
                <w:color w:val="000000"/>
                <w:sz w:val="24"/>
              </w:rPr>
            </w:pPr>
            <w:r>
              <w:rPr>
                <w:color w:val="000000"/>
                <w:sz w:val="24"/>
              </w:rPr>
              <w:t xml:space="preserve">投标有效期</w:t>
            </w:r>
            <w:r/>
          </w:p>
        </w:tc>
        <w:tc>
          <w:tcPr>
            <w:tcW w:w="3355"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r>
      <w:tr>
        <w:trPr>
          <w:jc w:val="center"/>
          <w:trHeight w:val="685"/>
        </w:trPr>
        <w:tc>
          <w:tcPr>
            <w:tcW w:w="508" w:type="pct"/>
            <w:vAlign w:val="center"/>
            <w:textDirection w:val="lrTb"/>
            <w:noWrap w:val="false"/>
          </w:tcPr>
          <w:p>
            <w:pPr>
              <w:jc w:val="center"/>
              <w:widowControl/>
              <w:rPr>
                <w:color w:val="000000"/>
                <w:sz w:val="24"/>
              </w:rPr>
            </w:pPr>
            <w:r>
              <w:rPr>
                <w:color w:val="000000"/>
                <w:sz w:val="24"/>
              </w:rPr>
              <w:t xml:space="preserve">6</w:t>
            </w:r>
            <w:r/>
          </w:p>
        </w:tc>
        <w:tc>
          <w:tcPr>
            <w:tcW w:w="1136" w:type="pct"/>
            <w:vAlign w:val="center"/>
            <w:textDirection w:val="lrTb"/>
            <w:noWrap w:val="false"/>
          </w:tcPr>
          <w:p>
            <w:pPr>
              <w:jc w:val="center"/>
              <w:widowControl/>
              <w:rPr>
                <w:color w:val="000000"/>
                <w:sz w:val="24"/>
              </w:rPr>
            </w:pPr>
            <w:r>
              <w:rPr>
                <w:color w:val="000000"/>
                <w:sz w:val="24"/>
              </w:rPr>
              <w:t xml:space="preserve">签署、加盖公章</w:t>
            </w:r>
            <w:r/>
          </w:p>
        </w:tc>
        <w:tc>
          <w:tcPr>
            <w:tcW w:w="3355" w:type="pct"/>
            <w:vAlign w:val="center"/>
            <w:textDirection w:val="lrTb"/>
            <w:noWrap w:val="false"/>
          </w:tcPr>
          <w:p>
            <w:pPr>
              <w:jc w:val="left"/>
              <w:widowControl/>
              <w:rPr>
                <w:color w:val="000000"/>
                <w:sz w:val="24"/>
              </w:rPr>
            </w:pPr>
            <w:r>
              <w:rPr>
                <w:color w:val="000000"/>
                <w:sz w:val="24"/>
              </w:rPr>
              <w:t xml:space="preserve">按照招标文件要求签署、加盖公章的；</w:t>
            </w:r>
            <w:r/>
          </w:p>
        </w:tc>
      </w:tr>
      <w:tr>
        <w:trPr>
          <w:jc w:val="center"/>
          <w:trHeight w:val="672"/>
        </w:trPr>
        <w:tc>
          <w:tcPr>
            <w:tcW w:w="508" w:type="pct"/>
            <w:vAlign w:val="center"/>
            <w:textDirection w:val="lrTb"/>
            <w:noWrap w:val="false"/>
          </w:tcPr>
          <w:p>
            <w:pPr>
              <w:jc w:val="center"/>
              <w:widowControl/>
              <w:rPr>
                <w:color w:val="000000"/>
                <w:sz w:val="24"/>
              </w:rPr>
            </w:pPr>
            <w:r>
              <w:rPr>
                <w:rFonts w:hint="eastAsia"/>
                <w:color w:val="000000"/>
                <w:sz w:val="24"/>
              </w:rPr>
              <w:t xml:space="preserve">7</w:t>
            </w:r>
            <w:r/>
          </w:p>
        </w:tc>
        <w:tc>
          <w:tcPr>
            <w:tcW w:w="1136" w:type="pct"/>
            <w:vAlign w:val="center"/>
            <w:textDirection w:val="lrTb"/>
            <w:noWrap w:val="false"/>
          </w:tcPr>
          <w:p>
            <w:pPr>
              <w:jc w:val="center"/>
              <w:widowControl/>
              <w:rPr>
                <w:color w:val="000000"/>
                <w:sz w:val="24"/>
              </w:rPr>
            </w:pPr>
            <w:r>
              <w:rPr>
                <w:rFonts w:hint="eastAsia"/>
                <w:color w:val="000000"/>
                <w:sz w:val="24"/>
              </w:rPr>
              <w:t xml:space="preserve">实质性格式</w:t>
            </w:r>
            <w:r/>
          </w:p>
        </w:tc>
        <w:tc>
          <w:tcPr>
            <w:tcW w:w="3355"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508" w:type="pct"/>
            <w:vAlign w:val="center"/>
            <w:textDirection w:val="lrTb"/>
            <w:noWrap w:val="false"/>
          </w:tcPr>
          <w:p>
            <w:pPr>
              <w:jc w:val="center"/>
              <w:widowControl/>
              <w:rPr>
                <w:color w:val="000000"/>
                <w:sz w:val="24"/>
              </w:rPr>
            </w:pPr>
            <w:r>
              <w:rPr>
                <w:color w:val="000000"/>
                <w:sz w:val="24"/>
              </w:rPr>
              <w:t xml:space="preserve">8</w:t>
            </w:r>
            <w:r/>
          </w:p>
        </w:tc>
        <w:tc>
          <w:tcPr>
            <w:tcW w:w="1136" w:type="pct"/>
            <w:vAlign w:val="center"/>
            <w:textDirection w:val="lrTb"/>
            <w:noWrap w:val="false"/>
          </w:tcPr>
          <w:p>
            <w:pPr>
              <w:jc w:val="center"/>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355"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r>
      <w:tr>
        <w:trPr>
          <w:jc w:val="center"/>
          <w:trHeight w:val="685"/>
        </w:trPr>
        <w:tc>
          <w:tcPr>
            <w:tcW w:w="508" w:type="pct"/>
            <w:vAlign w:val="center"/>
            <w:textDirection w:val="lrTb"/>
            <w:noWrap w:val="false"/>
          </w:tcPr>
          <w:p>
            <w:pPr>
              <w:jc w:val="center"/>
              <w:widowControl/>
              <w:rPr>
                <w:rFonts w:hint="eastAsia" w:eastAsia="宋体"/>
                <w:color w:val="000000"/>
                <w:sz w:val="24"/>
                <w:lang w:eastAsia="zh-CN"/>
              </w:rPr>
            </w:pPr>
            <w:r>
              <w:rPr>
                <w:rFonts w:hint="eastAsia"/>
                <w:color w:val="000000"/>
                <w:sz w:val="24"/>
                <w:lang w:val="en-US" w:eastAsia="zh-CN"/>
              </w:rPr>
              <w:t xml:space="preserve">9</w:t>
            </w:r>
            <w:r/>
          </w:p>
        </w:tc>
        <w:tc>
          <w:tcPr>
            <w:tcW w:w="1136" w:type="pct"/>
            <w:vAlign w:val="center"/>
            <w:textDirection w:val="lrTb"/>
            <w:noWrap w:val="false"/>
          </w:tcPr>
          <w:p>
            <w:pPr>
              <w:jc w:val="center"/>
              <w:widowControl/>
              <w:rPr>
                <w:color w:val="000000"/>
                <w:sz w:val="24"/>
              </w:rPr>
            </w:pPr>
            <w:r>
              <w:rPr>
                <w:color w:val="000000"/>
                <w:sz w:val="24"/>
              </w:rPr>
              <w:t xml:space="preserve">报价的修正（如有）</w:t>
            </w:r>
            <w:r/>
          </w:p>
        </w:tc>
        <w:tc>
          <w:tcPr>
            <w:tcW w:w="3355"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r>
      <w:tr>
        <w:trPr>
          <w:jc w:val="center"/>
          <w:trHeight w:val="685"/>
        </w:trPr>
        <w:tc>
          <w:tcPr>
            <w:tcW w:w="508" w:type="pct"/>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p>
        </w:tc>
        <w:tc>
          <w:tcPr>
            <w:tcW w:w="1136" w:type="pct"/>
            <w:vAlign w:val="center"/>
            <w:textDirection w:val="lrTb"/>
            <w:noWrap w:val="false"/>
          </w:tcPr>
          <w:p>
            <w:pPr>
              <w:jc w:val="center"/>
              <w:widowControl/>
              <w:rPr>
                <w:color w:val="000000"/>
                <w:sz w:val="24"/>
              </w:rPr>
            </w:pPr>
            <w:r>
              <w:rPr>
                <w:color w:val="000000"/>
                <w:sz w:val="24"/>
              </w:rPr>
              <w:t xml:space="preserve">报价</w:t>
            </w:r>
            <w:r>
              <w:rPr>
                <w:rFonts w:hint="eastAsia"/>
                <w:color w:val="000000"/>
                <w:sz w:val="24"/>
                <w:lang w:val="en-US" w:eastAsia="zh-CN"/>
              </w:rPr>
              <w:t xml:space="preserve">符合</w:t>
            </w:r>
            <w:r>
              <w:rPr>
                <w:color w:val="000000"/>
                <w:sz w:val="24"/>
              </w:rPr>
              <w:t xml:space="preserve">性</w:t>
            </w:r>
            <w:r/>
          </w:p>
        </w:tc>
        <w:tc>
          <w:tcPr>
            <w:tcW w:w="3355"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根据财政部《关于推动解决政府采购异常低价问题的通知》财库〔2026〕2号文件之规定：当评审过程中出现下列情形之一的，评审委员会应当启 动异常低价投标（响应）审查程序： </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3.投标（响应）报价低于采购项目最高限价45%的，即投标（响应）报价&lt;采购项目最高限价×45%；</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000000"/>
                <w:sz w:val="24"/>
              </w:rPr>
            </w:pPr>
            <w:r>
              <w:rPr>
                <w:rFonts w:hint="eastAsia"/>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508" w:type="pct"/>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p>
        </w:tc>
        <w:tc>
          <w:tcPr>
            <w:tcW w:w="1136" w:type="pct"/>
            <w:vAlign w:val="center"/>
            <w:textDirection w:val="lrTb"/>
            <w:noWrap w:val="false"/>
          </w:tcPr>
          <w:p>
            <w:pPr>
              <w:jc w:val="center"/>
              <w:widowControl/>
              <w:rPr>
                <w:color w:val="000000"/>
                <w:sz w:val="24"/>
              </w:rPr>
            </w:pPr>
            <w:r>
              <w:rPr>
                <w:color w:val="000000"/>
                <w:sz w:val="24"/>
              </w:rPr>
              <w:t xml:space="preserve">公平竞争</w:t>
            </w:r>
            <w:r/>
          </w:p>
        </w:tc>
        <w:tc>
          <w:tcPr>
            <w:tcW w:w="3355"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508" w:type="pct"/>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p>
        </w:tc>
        <w:tc>
          <w:tcPr>
            <w:tcW w:w="1136" w:type="pct"/>
            <w:vAlign w:val="center"/>
            <w:textDirection w:val="lrTb"/>
            <w:noWrap w:val="false"/>
          </w:tcPr>
          <w:p>
            <w:pPr>
              <w:jc w:val="center"/>
              <w:widowControl/>
              <w:rPr>
                <w:color w:val="000000"/>
                <w:sz w:val="24"/>
              </w:rPr>
            </w:pPr>
            <w:r>
              <w:rPr>
                <w:color w:val="000000"/>
                <w:sz w:val="24"/>
              </w:rPr>
              <w:t xml:space="preserve">串通投标</w:t>
            </w:r>
            <w:r/>
          </w:p>
        </w:tc>
        <w:tc>
          <w:tcPr>
            <w:tcW w:w="3355"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p>
        </w:tc>
      </w:tr>
      <w:tr>
        <w:trPr>
          <w:jc w:val="center"/>
          <w:trHeight w:val="735"/>
        </w:trPr>
        <w:tc>
          <w:tcPr>
            <w:tcW w:w="508" w:type="pct"/>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p>
        </w:tc>
        <w:tc>
          <w:tcPr>
            <w:tcW w:w="1136" w:type="pct"/>
            <w:vAlign w:val="center"/>
            <w:textDirection w:val="lrTb"/>
            <w:noWrap w:val="false"/>
          </w:tcPr>
          <w:p>
            <w:pPr>
              <w:jc w:val="center"/>
              <w:widowControl/>
              <w:rPr>
                <w:color w:val="000000"/>
                <w:sz w:val="24"/>
              </w:rPr>
            </w:pPr>
            <w:r>
              <w:rPr>
                <w:color w:val="000000"/>
                <w:sz w:val="24"/>
              </w:rPr>
              <w:t xml:space="preserve">附加条件</w:t>
            </w:r>
            <w:r/>
          </w:p>
        </w:tc>
        <w:tc>
          <w:tcPr>
            <w:tcW w:w="3355"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508" w:type="pct"/>
            <w:vAlign w:val="center"/>
            <w:textDirection w:val="lrTb"/>
            <w:noWrap w:val="false"/>
          </w:tcPr>
          <w:p>
            <w:pPr>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4</w:t>
            </w:r>
            <w:r/>
          </w:p>
        </w:tc>
        <w:tc>
          <w:tcPr>
            <w:tcW w:w="1136" w:type="pct"/>
            <w:vAlign w:val="center"/>
            <w:textDirection w:val="lrTb"/>
            <w:noWrap w:val="false"/>
          </w:tcPr>
          <w:p>
            <w:pPr>
              <w:jc w:val="center"/>
              <w:widowControl/>
              <w:rPr>
                <w:color w:val="000000"/>
                <w:sz w:val="24"/>
              </w:rPr>
            </w:pPr>
            <w:r>
              <w:rPr>
                <w:color w:val="000000"/>
                <w:sz w:val="24"/>
              </w:rPr>
              <w:t xml:space="preserve">其他无效情形</w:t>
            </w:r>
            <w:r/>
          </w:p>
        </w:tc>
        <w:tc>
          <w:tcPr>
            <w:tcW w:w="3355"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r>
    </w:tbl>
    <w:p>
      <w:pPr>
        <w:spacing w:line="360" w:lineRule="auto"/>
        <w:tabs>
          <w:tab w:val="left" w:pos="360" w:leader="none"/>
        </w:tabs>
        <w:rPr>
          <w:sz w:val="24"/>
        </w:rPr>
        <w:outlineLvl w:val="2"/>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sz w:val="24"/>
        </w:rPr>
        <w:t xml:space="preserve">2.2评标委员会认为投标人的报价明显低于其他通过符合性审查投标人的报价，有可能影响产品质量或者不能诚信履约的，有权要求该投标人在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2.3投标报价须包含招标文件全部内容，如分项报价表有缺漏视为已含在其他各项报价中，将不对投标总价进行调整。评标委员会有权要求投标人在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outlineLvl w:val="3"/>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outlineLvl w:val="4"/>
      </w:pPr>
      <w:r>
        <w:rPr>
          <w:rFonts w:hint="eastAsia"/>
          <w:sz w:val="24"/>
        </w:rPr>
        <w:t xml:space="preserve">2.4.1</w:t>
      </w:r>
      <w:r>
        <w:rPr>
          <w:sz w:val="24"/>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outlineLvl w:val="4"/>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w:t>
      </w:r>
      <w:r>
        <w:rPr>
          <w:sz w:val="24"/>
          <w:highlight w:val="none"/>
        </w:rPr>
        <w:t xml:space="preserve">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spacing w:line="360" w:lineRule="auto"/>
        <w:tabs>
          <w:tab w:val="left" w:pos="360" w:leader="none"/>
        </w:tabs>
        <w:rPr>
          <w:sz w:val="24"/>
        </w:rPr>
        <w:outlineLvl w:val="2"/>
      </w:pPr>
      <w:r>
        <w:rPr>
          <w:rFonts w:hint="eastAsia"/>
          <w:sz w:val="24"/>
        </w:rPr>
        <w:t xml:space="preserve">3</w:t>
      </w:r>
      <w:r>
        <w:rPr>
          <w:sz w:val="24"/>
        </w:rPr>
        <w:t xml:space="preserve">投标文件的比较和评价</w:t>
      </w:r>
      <w:bookmarkEnd w:id="746"/>
      <w:r/>
      <w:bookmarkEnd w:id="747"/>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outlineLvl w:val="3"/>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outlineLvl w:val="4"/>
      </w:pPr>
      <w:r>
        <w:rPr>
          <w:rFonts w:hint="eastAsia"/>
          <w:sz w:val="24"/>
        </w:rPr>
        <w:t xml:space="preserve">3.2.1</w:t>
      </w:r>
      <w:r>
        <w:rPr>
          <w:sz w:val="24"/>
        </w:rPr>
        <w:t xml:space="preserve">本项目采用的评标方法为：</w:t>
      </w:r>
      <w:r/>
    </w:p>
    <w:p>
      <w:pPr>
        <w:ind w:left="1985" w:firstLine="482"/>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firstLine="482"/>
        <w:spacing w:line="360" w:lineRule="auto"/>
        <w:tabs>
          <w:tab w:val="left" w:pos="1080" w:leader="none"/>
          <w:tab w:val="left" w:pos="1589" w:leader="none"/>
          <w:tab w:val="left" w:pos="2035" w:leader="none"/>
        </w:tabs>
        <w:rPr>
          <w:sz w:val="24"/>
        </w:rPr>
      </w:pPr>
      <w:r>
        <w:rPr>
          <w:sz w:val="24"/>
        </w:rPr>
        <w:t xml:space="preserve">□随机抽取</w:t>
      </w:r>
      <w:r/>
    </w:p>
    <w:p>
      <w:pPr>
        <w:ind w:left="2035" w:firstLine="482"/>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spacing w:line="360" w:lineRule="auto"/>
        <w:tabs>
          <w:tab w:val="left" w:pos="360" w:leader="none"/>
        </w:tabs>
        <w:rPr>
          <w:sz w:val="24"/>
        </w:rPr>
        <w:outlineLvl w:val="2"/>
      </w:pPr>
      <w:r>
        <w:rPr>
          <w:rFonts w:hint="eastAsia"/>
          <w:sz w:val="24"/>
        </w:rPr>
        <w:t xml:space="preserve">4</w:t>
      </w:r>
      <w:r>
        <w:rPr>
          <w:sz w:val="24"/>
        </w:rPr>
        <w:t xml:space="preserve">确定</w:t>
      </w:r>
      <w:bookmarkStart w:id="749" w:name="_Toc151193788"/>
      <w:r/>
      <w:bookmarkStart w:id="750" w:name="_Toc151193644"/>
      <w:r/>
      <w:bookmarkStart w:id="751" w:name="_Toc226309790"/>
      <w:r/>
      <w:bookmarkStart w:id="752" w:name="_Toc226337242"/>
      <w:r/>
      <w:bookmarkStart w:id="753" w:name="_Toc127151546"/>
      <w:r/>
      <w:bookmarkStart w:id="754" w:name="_Ref467307010"/>
      <w:r/>
      <w:bookmarkStart w:id="755" w:name="_Toc164608815"/>
      <w:r/>
      <w:bookmarkStart w:id="756" w:name="_Toc164351640"/>
      <w:r/>
      <w:bookmarkStart w:id="757" w:name="_Toc142311048"/>
      <w:r/>
      <w:bookmarkStart w:id="758" w:name="_Toc151190173"/>
      <w:r/>
      <w:bookmarkStart w:id="759" w:name="_Toc226965819"/>
      <w:r/>
      <w:bookmarkStart w:id="760" w:name="_Toc305158888"/>
      <w:r/>
      <w:bookmarkStart w:id="761" w:name="_Toc164608660"/>
      <w:r/>
      <w:bookmarkStart w:id="762" w:name="_Toc195842911"/>
      <w:r/>
      <w:bookmarkStart w:id="763" w:name="_Toc150480784"/>
      <w:r/>
      <w:bookmarkStart w:id="764" w:name="_Toc164229241"/>
      <w:r/>
      <w:bookmarkStart w:id="765" w:name="_Toc150509297"/>
      <w:r/>
      <w:bookmarkStart w:id="766" w:name="_Toc226965736"/>
      <w:r/>
      <w:bookmarkStart w:id="767" w:name="_Toc151193934"/>
      <w:r/>
      <w:bookmarkStart w:id="768" w:name="_Toc149720839"/>
      <w:r/>
      <w:bookmarkStart w:id="769" w:name="_Toc264969236"/>
      <w:r/>
      <w:bookmarkStart w:id="770" w:name="_Toc151193716"/>
      <w:r/>
      <w:bookmarkStart w:id="771" w:name="_Toc265228384"/>
      <w:r/>
      <w:bookmarkStart w:id="772" w:name="_Toc150774751"/>
      <w:r/>
      <w:bookmarkStart w:id="773" w:name="_Toc127161460"/>
      <w:r/>
      <w:bookmarkStart w:id="774" w:name="_Toc305158814"/>
      <w:r/>
      <w:bookmarkStart w:id="775" w:name="_Toc150774646"/>
      <w:r/>
      <w:bookmarkStart w:id="776" w:name="_Toc127151747"/>
      <w:r/>
      <w:bookmarkStart w:id="777" w:name="_Toc164229387"/>
      <w:r/>
      <w:bookmarkStart w:id="778" w:name="_Toc151193860"/>
      <w:r/>
      <w:bookmarkStart w:id="779" w:name="_Toc520356170"/>
      <w:r>
        <w:rPr>
          <w:sz w:val="24"/>
        </w:rPr>
        <w:t xml:space="preserve">中标候选人名单</w:t>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
    </w:p>
    <w:p>
      <w:pPr>
        <w:numPr>
          <w:ilvl w:val="1"/>
          <w:numId w:val="0"/>
        </w:numPr>
        <w:ind w:left="1077" w:hanging="720"/>
        <w:spacing w:line="360" w:lineRule="auto"/>
        <w:tabs>
          <w:tab w:val="left" w:pos="1080" w:leader="none"/>
        </w:tabs>
        <w:rPr>
          <w:sz w:val="24"/>
          <w:highlight w:val="green"/>
        </w:rPr>
      </w:pPr>
      <w:r>
        <w:rPr>
          <w:sz w:val="24"/>
        </w:rPr>
        <w:t xml:space="preserve">4.1</w:t>
      </w: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94"/>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1094"/>
        <w:ind w:left="993" w:firstLine="136"/>
        <w:spacing w:line="360" w:lineRule="auto"/>
        <w:tabs>
          <w:tab w:val="left" w:pos="900" w:leader="none"/>
          <w:tab w:val="left" w:pos="2127" w:leader="none"/>
        </w:tabs>
        <w:rPr>
          <w:rFonts w:hint="default" w:ascii="Times New Roman" w:hAnsi="Times New Roman"/>
          <w:sz w:val="24"/>
          <w:szCs w:val="24"/>
        </w:rPr>
        <w:outlineLvl w:val="3"/>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spacing w:line="360" w:lineRule="auto"/>
        <w:tabs>
          <w:tab w:val="left" w:pos="360" w:leader="none"/>
        </w:tabs>
        <w:rPr>
          <w:sz w:val="24"/>
        </w:rPr>
        <w:outlineLvl w:val="2"/>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ind w:firstLine="482"/>
        <w:jc w:val="left"/>
        <w:widowControl/>
      </w:pPr>
      <w:r>
        <w:rPr>
          <w:b/>
          <w:sz w:val="24"/>
        </w:rPr>
        <w:br w:type="page" w:clear="all"/>
      </w:r>
      <w:r>
        <w:rPr>
          <w:rFonts w:ascii="宋体" w:hAnsi="宋体" w:eastAsia="宋体" w:cs="宋体"/>
          <w:b/>
          <w:color w:val="000000"/>
          <w:sz w:val="24"/>
        </w:rPr>
        <w:t xml:space="preserve">二、评标标准</w:t>
      </w:r>
      <w:r/>
    </w:p>
    <w:tbl>
      <w:tblPr>
        <w:tblStyle w:val="1117"/>
        <w:tblW w:w="890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183"/>
        <w:gridCol w:w="724"/>
        <w:gridCol w:w="4193"/>
        <w:gridCol w:w="21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说明</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满足招标文件要求且投标价格最低的投标报价为评标基准价，其价格分为满分。其他投标人的价格分统一按照下列公式计算：</w:t>
            </w:r>
            <w:r/>
          </w:p>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投标报价得分＝（评标基准价/投标报价）×分值。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此处投标报价指经过报价修正</w:t>
            </w:r>
            <w:r>
              <w:rPr>
                <w:rFonts w:hint="eastAsia" w:ascii="宋体" w:hAnsi="宋体" w:cs="宋体"/>
                <w:color w:val="000000"/>
                <w:sz w:val="24"/>
                <w:szCs w:val="24"/>
                <w:lang w:val="en-US" w:eastAsia="zh-CN"/>
              </w:rPr>
              <w:t xml:space="preserve">及落实政府采购政策</w:t>
            </w:r>
            <w:r>
              <w:rPr>
                <w:rFonts w:hint="eastAsia" w:ascii="宋体" w:hAnsi="宋体" w:eastAsia="宋体" w:cs="宋体"/>
                <w:color w:val="000000"/>
                <w:sz w:val="24"/>
                <w:szCs w:val="24"/>
              </w:rPr>
              <w:t xml:space="preserve">后的价格</w:t>
            </w:r>
            <w:r>
              <w:rPr>
                <w:rFonts w:hint="eastAsia" w:ascii="宋体" w:hAnsi="宋体" w:cs="宋体"/>
                <w:color w:val="000000"/>
                <w:sz w:val="24"/>
                <w:szCs w:val="24"/>
                <w:lang w:eastAsia="zh-CN"/>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28"/>
              <w:jc w:val="center"/>
              <w:spacing w:before="0" w:after="0" w:line="400"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ind w:left="0" w:right="0" w:firstLine="42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3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理赔服务方案</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widowControl/>
              <w:rPr>
                <w:rFonts w:hint="eastAsia" w:ascii="宋体" w:hAnsi="宋体" w:eastAsia="宋体" w:cs="宋体"/>
                <w:b/>
                <w:bCs/>
                <w:strike/>
                <w:sz w:val="24"/>
                <w:szCs w:val="24"/>
                <w:lang w:val="en-US" w:eastAsia="zh-CN" w:bidi="ar-SA"/>
              </w:rPr>
            </w:pPr>
            <w:r>
              <w:rPr>
                <w:rFonts w:hint="eastAsia" w:ascii="宋体" w:hAnsi="宋体" w:cs="宋体"/>
                <w:b/>
                <w:bCs/>
                <w:sz w:val="24"/>
                <w:szCs w:val="24"/>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理赔服务方案制定，内容包含不限于：1.理赔服务流程；2.限时支付承诺；3.持续完善的措施等内容。</w:t>
            </w:r>
            <w:r/>
          </w:p>
          <w:p>
            <w:pPr>
              <w:jc w:val="left"/>
              <w:spacing w:line="360" w:lineRule="exact"/>
              <w:rPr>
                <w:rFonts w:hint="eastAsia" w:ascii="宋体" w:hAnsi="宋体" w:cs="宋体"/>
                <w:sz w:val="24"/>
                <w:szCs w:val="24"/>
              </w:rPr>
            </w:pPr>
            <w:r>
              <w:rPr>
                <w:rFonts w:hint="eastAsia" w:ascii="宋体" w:hAnsi="宋体" w:cs="宋体"/>
                <w:sz w:val="24"/>
                <w:szCs w:val="24"/>
              </w:rPr>
              <w:t xml:space="preserve">方案设计合理、可操作性强的，得10分；方案设计较合理、有一定可操作性的，得7分；</w:t>
            </w:r>
            <w:r/>
          </w:p>
          <w:p>
            <w:pPr>
              <w:jc w:val="left"/>
              <w:spacing w:line="360" w:lineRule="exact"/>
              <w:rPr>
                <w:rFonts w:hint="eastAsia" w:ascii="宋体" w:hAnsi="宋体" w:cs="宋体"/>
                <w:sz w:val="24"/>
                <w:szCs w:val="24"/>
              </w:rPr>
            </w:pPr>
            <w:r>
              <w:rPr>
                <w:rFonts w:hint="eastAsia" w:ascii="宋体" w:hAnsi="宋体" w:cs="宋体"/>
                <w:sz w:val="24"/>
                <w:szCs w:val="24"/>
              </w:rPr>
              <w:t xml:space="preserve">方案设计不尽合理、可操作性一般的，得4分；</w:t>
            </w:r>
            <w:r/>
          </w:p>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方案设计不合理、无操作性的不得分。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34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服务保障方案</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widowControl/>
              <w:rPr>
                <w:rFonts w:hint="eastAsia" w:ascii="宋体" w:hAnsi="宋体" w:eastAsia="宋体" w:cs="宋体"/>
                <w:b/>
                <w:bCs/>
                <w:sz w:val="24"/>
                <w:szCs w:val="24"/>
                <w:lang w:val="en-US" w:eastAsia="zh-CN" w:bidi="ar-SA"/>
              </w:rPr>
            </w:pPr>
            <w:r>
              <w:rPr>
                <w:rFonts w:hint="eastAsia" w:ascii="宋体" w:hAnsi="宋体" w:cs="宋体"/>
                <w:b/>
                <w:bCs/>
                <w:sz w:val="24"/>
                <w:szCs w:val="24"/>
              </w:rPr>
              <w:t xml:space="preserve">10</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服务保障内容，根据本项目服务范围广、人员多等特点，具体阐述以下内容：1.投诉制度；2.回访制度；3.培训服务；4.项目宣传服务；5.专属服务能力、专属服务经验等。</w:t>
            </w:r>
            <w:r/>
          </w:p>
          <w:p>
            <w:pPr>
              <w:jc w:val="left"/>
              <w:spacing w:line="360" w:lineRule="exact"/>
              <w:rPr>
                <w:rFonts w:hint="eastAsia" w:ascii="宋体" w:hAnsi="宋体" w:cs="宋体"/>
                <w:sz w:val="24"/>
                <w:szCs w:val="24"/>
              </w:rPr>
            </w:pPr>
            <w:r>
              <w:rPr>
                <w:rFonts w:hint="eastAsia" w:ascii="宋体" w:hAnsi="宋体" w:cs="宋体"/>
                <w:sz w:val="24"/>
                <w:szCs w:val="24"/>
              </w:rPr>
              <w:t xml:space="preserve">方案设计合理、可操作性强的，得10分；方案设计较合理、有一定可操作性的，得7分；</w:t>
            </w:r>
            <w:r/>
          </w:p>
          <w:p>
            <w:pPr>
              <w:jc w:val="left"/>
              <w:spacing w:line="360" w:lineRule="exact"/>
              <w:rPr>
                <w:rFonts w:hint="eastAsia" w:ascii="宋体" w:hAnsi="宋体" w:cs="宋体"/>
                <w:sz w:val="24"/>
                <w:szCs w:val="24"/>
              </w:rPr>
            </w:pPr>
            <w:r>
              <w:rPr>
                <w:rFonts w:hint="eastAsia" w:ascii="宋体" w:hAnsi="宋体" w:cs="宋体"/>
                <w:sz w:val="24"/>
                <w:szCs w:val="24"/>
              </w:rPr>
              <w:t xml:space="preserve">方案设计不尽合理、可操作性一般的，得4分；</w:t>
            </w:r>
            <w:r/>
          </w:p>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方案设计不合理、无操作性的不得分。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024"/>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2.3</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bCs/>
                <w:sz w:val="24"/>
                <w:szCs w:val="24"/>
                <w:lang w:val="en-US" w:eastAsia="zh-CN" w:bidi="ar-SA"/>
              </w:rPr>
            </w:pPr>
            <w:r>
              <w:rPr>
                <w:rFonts w:hint="eastAsia" w:ascii="宋体" w:hAnsi="宋体" w:cs="宋体"/>
                <w:b w:val="0"/>
                <w:bCs w:val="0"/>
                <w:sz w:val="24"/>
                <w:szCs w:val="24"/>
              </w:rPr>
              <w:t xml:space="preserve">组建服务团队方案</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widowControl/>
              <w:rPr>
                <w:rFonts w:hint="eastAsia" w:ascii="宋体" w:hAnsi="宋体" w:eastAsia="宋体" w:cs="宋体"/>
                <w:b/>
                <w:bCs/>
                <w:sz w:val="24"/>
                <w:szCs w:val="24"/>
                <w:lang w:val="en-US" w:eastAsia="zh-CN" w:bidi="ar-SA"/>
              </w:rPr>
            </w:pPr>
            <w:r>
              <w:rPr>
                <w:rFonts w:hint="eastAsia" w:ascii="宋体" w:hAnsi="宋体" w:cs="宋体"/>
                <w:b/>
                <w:bCs/>
                <w:sz w:val="24"/>
                <w:szCs w:val="24"/>
              </w:rPr>
              <w:t xml:space="preserve">8</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投标人结合本项目，组建日常服务团队，包括承保环节负责人及理赔环节负责人；成员项目经验，服务团队职责明晰；提供投诉监督方式；利用经营网点配合团队提供服务等内容。</w:t>
            </w:r>
            <w:r/>
          </w:p>
          <w:p>
            <w:pPr>
              <w:jc w:val="left"/>
              <w:spacing w:line="360" w:lineRule="exact"/>
              <w:rPr>
                <w:rFonts w:hint="eastAsia" w:ascii="宋体" w:hAnsi="宋体" w:cs="宋体"/>
                <w:sz w:val="24"/>
                <w:szCs w:val="24"/>
              </w:rPr>
            </w:pPr>
            <w:r>
              <w:rPr>
                <w:rFonts w:hint="eastAsia" w:ascii="宋体" w:hAnsi="宋体" w:cs="宋体"/>
                <w:sz w:val="24"/>
                <w:szCs w:val="24"/>
              </w:rPr>
              <w:t xml:space="preserve">阐述全面、团队建设较合理，得8分； </w:t>
            </w:r>
            <w:r/>
          </w:p>
          <w:p>
            <w:pPr>
              <w:jc w:val="left"/>
              <w:spacing w:line="360" w:lineRule="exact"/>
              <w:rPr>
                <w:rFonts w:hint="eastAsia" w:ascii="宋体" w:hAnsi="宋体" w:cs="宋体"/>
                <w:sz w:val="24"/>
                <w:szCs w:val="24"/>
              </w:rPr>
            </w:pPr>
            <w:r>
              <w:rPr>
                <w:rFonts w:hint="eastAsia" w:ascii="宋体" w:hAnsi="宋体" w:cs="宋体"/>
                <w:sz w:val="24"/>
                <w:szCs w:val="24"/>
              </w:rPr>
              <w:t xml:space="preserve">阐述一般、团队建设一般，得6分；</w:t>
            </w:r>
            <w:r/>
          </w:p>
          <w:p>
            <w:pPr>
              <w:jc w:val="left"/>
              <w:spacing w:line="360" w:lineRule="exact"/>
              <w:rPr>
                <w:rFonts w:hint="eastAsia" w:ascii="宋体" w:hAnsi="宋体" w:cs="宋体"/>
                <w:sz w:val="24"/>
                <w:szCs w:val="24"/>
              </w:rPr>
            </w:pPr>
            <w:r>
              <w:rPr>
                <w:rFonts w:hint="eastAsia" w:ascii="宋体" w:hAnsi="宋体" w:cs="宋体"/>
                <w:sz w:val="24"/>
                <w:szCs w:val="24"/>
              </w:rPr>
              <w:t xml:space="preserve">阐述不完整、团队建设不详尽，得4分；</w:t>
            </w:r>
            <w:r/>
          </w:p>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未提供不得分。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both"/>
              <w:spacing w:before="0" w:after="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客观分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28"/>
              <w:jc w:val="center"/>
              <w:spacing w:before="0" w:after="0" w:line="400"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52</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ind w:left="0" w:right="0" w:firstLine="42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1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eastAsia" w:ascii="宋体" w:hAnsi="宋体" w:cs="宋体"/>
                <w:b w:val="0"/>
                <w:bCs w:val="0"/>
                <w:sz w:val="24"/>
                <w:szCs w:val="24"/>
              </w:rPr>
            </w:pPr>
            <w:r>
              <w:rPr>
                <w:rFonts w:hint="eastAsia" w:ascii="宋体" w:hAnsi="宋体" w:cs="宋体"/>
                <w:b w:val="0"/>
                <w:bCs w:val="0"/>
                <w:sz w:val="24"/>
                <w:szCs w:val="24"/>
              </w:rPr>
              <w:t xml:space="preserve">综合偿付</w:t>
            </w:r>
            <w:r/>
          </w:p>
          <w:p>
            <w:pPr>
              <w:jc w:val="center"/>
              <w:spacing w:line="360" w:lineRule="exact"/>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能力</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综合偿付能力充足率≥</w:t>
            </w:r>
            <w:r>
              <w:rPr>
                <w:rFonts w:hint="eastAsia" w:ascii="宋体" w:hAnsi="宋体" w:cs="宋体"/>
                <w:sz w:val="24"/>
                <w:szCs w:val="24"/>
                <w:highlight w:val="none"/>
                <w:lang w:val="en-US" w:eastAsia="zh-CN"/>
              </w:rPr>
              <w:t xml:space="preserve">180</w:t>
            </w:r>
            <w:r>
              <w:rPr>
                <w:rFonts w:hint="eastAsia" w:ascii="宋体" w:hAnsi="宋体" w:cs="宋体"/>
                <w:sz w:val="24"/>
                <w:szCs w:val="24"/>
                <w:highlight w:val="none"/>
              </w:rPr>
              <w:t xml:space="preserve">，得8分；</w:t>
            </w:r>
            <w:r>
              <w:rPr>
                <w:rFonts w:hint="eastAsia" w:ascii="宋体" w:hAnsi="宋体" w:cs="宋体"/>
                <w:sz w:val="24"/>
                <w:szCs w:val="24"/>
                <w:highlight w:val="none"/>
                <w:lang w:val="en-US" w:eastAsia="zh-CN"/>
              </w:rPr>
              <w:t xml:space="preserve">170</w:t>
            </w:r>
            <w:r>
              <w:rPr>
                <w:rFonts w:hint="eastAsia" w:ascii="宋体" w:hAnsi="宋体" w:cs="宋体"/>
                <w:sz w:val="24"/>
                <w:szCs w:val="24"/>
                <w:highlight w:val="none"/>
              </w:rPr>
              <w:t xml:space="preserve">%≤综合偿付能力充足率﹤</w:t>
            </w:r>
            <w:r>
              <w:rPr>
                <w:rFonts w:hint="eastAsia" w:ascii="宋体" w:hAnsi="宋体" w:cs="宋体"/>
                <w:sz w:val="24"/>
                <w:szCs w:val="24"/>
                <w:highlight w:val="none"/>
                <w:lang w:val="en-US" w:eastAsia="zh-CN"/>
              </w:rPr>
              <w:t xml:space="preserve">180</w:t>
            </w:r>
            <w:r>
              <w:rPr>
                <w:rFonts w:hint="eastAsia" w:ascii="宋体" w:hAnsi="宋体" w:cs="宋体"/>
                <w:sz w:val="24"/>
                <w:szCs w:val="24"/>
                <w:highlight w:val="none"/>
              </w:rPr>
              <w:t xml:space="preserve">%，得4分；1</w:t>
            </w:r>
            <w:r>
              <w:rPr>
                <w:rFonts w:hint="eastAsia" w:ascii="宋体" w:hAnsi="宋体" w:cs="宋体"/>
                <w:sz w:val="24"/>
                <w:szCs w:val="24"/>
                <w:highlight w:val="none"/>
                <w:lang w:val="en-US" w:eastAsia="zh-CN"/>
              </w:rPr>
              <w:t xml:space="preserve">50</w:t>
            </w:r>
            <w:r>
              <w:rPr>
                <w:rFonts w:hint="eastAsia" w:ascii="宋体" w:hAnsi="宋体" w:cs="宋体"/>
                <w:sz w:val="24"/>
                <w:szCs w:val="24"/>
                <w:highlight w:val="none"/>
              </w:rPr>
              <w:t xml:space="preserve">%≤综合偿付能力充足率﹤</w:t>
            </w: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0%，得1分；综合偿付能力低于1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0%的不得分。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left"/>
              <w:spacing w:line="36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提供投标人总公司202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lang w:eastAsia="zh-CN"/>
              </w:rPr>
              <w:t xml:space="preserve">二</w:t>
            </w:r>
            <w:r>
              <w:rPr>
                <w:rFonts w:hint="eastAsia" w:ascii="宋体" w:hAnsi="宋体" w:cs="宋体"/>
                <w:sz w:val="24"/>
                <w:szCs w:val="24"/>
                <w:highlight w:val="none"/>
              </w:rPr>
              <w:t xml:space="preserve">季度偿付能力报告数据。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eastAsia" w:ascii="宋体" w:hAnsi="宋体" w:cs="宋体"/>
                <w:b w:val="0"/>
                <w:bCs w:val="0"/>
                <w:sz w:val="24"/>
                <w:szCs w:val="24"/>
              </w:rPr>
            </w:pPr>
            <w:r>
              <w:rPr>
                <w:rFonts w:hint="eastAsia" w:ascii="宋体" w:hAnsi="宋体" w:cs="宋体"/>
                <w:b w:val="0"/>
                <w:bCs w:val="0"/>
                <w:sz w:val="24"/>
                <w:szCs w:val="24"/>
              </w:rPr>
              <w:t xml:space="preserve">核心偿付</w:t>
            </w:r>
            <w:r/>
          </w:p>
          <w:p>
            <w:pPr>
              <w:jc w:val="center"/>
              <w:spacing w:line="360" w:lineRule="exact"/>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能力</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核心偿付能力充足率≥</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0%，得8分；1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0%≤核心偿付能力充足率﹤</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0%，得4分；</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0%≤核心偿付能力充足率﹤1</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%，得1分；核心偿付能力低于</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0%的不得分。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left"/>
              <w:spacing w:line="36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提供投标人总公司202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lang w:eastAsia="zh-CN"/>
              </w:rPr>
              <w:t xml:space="preserve">二</w:t>
            </w:r>
            <w:r>
              <w:rPr>
                <w:rFonts w:hint="eastAsia" w:ascii="宋体" w:hAnsi="宋体" w:cs="宋体"/>
                <w:sz w:val="24"/>
                <w:szCs w:val="24"/>
                <w:highlight w:val="none"/>
              </w:rPr>
              <w:t xml:space="preserve">季度偿付能力报告数据。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业绩</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投标人或其所属分支机构2023-2026年度参与政府采购的民生类保险项目，取得独家或首席承保人地位的，每有一项得2分；共保体成员每有一项得1分；本项最高得12分。</w:t>
            </w:r>
            <w:r/>
          </w:p>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（民生类保险指：由政府出资或倡导，在对社会公共事务的一系列管理活动或过程中，以改善和保障人民物质和文化生活为依归，由社会公众受益的保险。）</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①若为独家承保</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提供合同或</w:t>
            </w:r>
            <w:r>
              <w:rPr>
                <w:rFonts w:hint="eastAsia" w:ascii="宋体" w:hAnsi="宋体" w:cs="宋体"/>
                <w:sz w:val="24"/>
                <w:szCs w:val="24"/>
                <w:highlight w:val="none"/>
                <w:lang w:val="en-US" w:eastAsia="zh-CN"/>
              </w:rPr>
              <w:t xml:space="preserve">保单或</w:t>
            </w:r>
            <w:r>
              <w:rPr>
                <w:rFonts w:hint="eastAsia" w:ascii="宋体" w:hAnsi="宋体" w:cs="宋体"/>
                <w:sz w:val="24"/>
                <w:szCs w:val="24"/>
                <w:highlight w:val="none"/>
              </w:rPr>
              <w:t xml:space="preserve">中标（成交）通知书。</w:t>
            </w:r>
            <w:r/>
          </w:p>
          <w:p>
            <w:pPr>
              <w:jc w:val="left"/>
              <w:spacing w:line="360" w:lineRule="exact"/>
              <w:rPr>
                <w:rFonts w:hint="eastAsia" w:ascii="宋体" w:hAnsi="宋体" w:eastAsia="宋体" w:cs="宋体"/>
                <w:sz w:val="24"/>
                <w:szCs w:val="24"/>
                <w:highlight w:val="yellow"/>
                <w:lang w:val="en-US" w:eastAsia="zh-CN" w:bidi="ar-SA"/>
              </w:rPr>
            </w:pPr>
            <w:r>
              <w:rPr>
                <w:rFonts w:hint="eastAsia" w:ascii="宋体" w:hAnsi="宋体" w:cs="宋体"/>
                <w:sz w:val="24"/>
                <w:szCs w:val="24"/>
                <w:highlight w:val="none"/>
              </w:rPr>
              <w:t xml:space="preserve">②若为共保体成员</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提供合同或</w:t>
            </w:r>
            <w:r>
              <w:rPr>
                <w:rFonts w:hint="eastAsia" w:ascii="宋体" w:hAnsi="宋体" w:cs="宋体"/>
                <w:sz w:val="24"/>
                <w:szCs w:val="24"/>
                <w:highlight w:val="none"/>
                <w:lang w:val="en-US" w:eastAsia="zh-CN"/>
              </w:rPr>
              <w:t xml:space="preserve">保单或</w:t>
            </w:r>
            <w:r>
              <w:rPr>
                <w:rFonts w:hint="eastAsia" w:ascii="宋体" w:hAnsi="宋体" w:cs="宋体"/>
                <w:sz w:val="24"/>
                <w:szCs w:val="24"/>
                <w:highlight w:val="none"/>
              </w:rPr>
              <w:t xml:space="preserve">中标（成交）通知书、共保体协议。 </w:t>
            </w:r>
            <w:r/>
          </w:p>
        </w:tc>
      </w:tr>
      <w:tr>
        <w:trPr>
          <w:trHeight w:val="1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方案优化1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top"/>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疾病门诊医院：在招标文件约定的基础上，能够扩展到二级医疗机构的得2分，能够扩展到一级医疗机构的得4分，最高得4分。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提供承诺函。</w:t>
            </w:r>
            <w:r/>
          </w:p>
        </w:tc>
      </w:tr>
      <w:tr>
        <w:trPr>
          <w:trHeight w:val="2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方案优化2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top"/>
            <w:textDirection w:val="lrTb"/>
            <w:noWrap w:val="false"/>
          </w:tcPr>
          <w:p>
            <w:pPr>
              <w:pStyle w:val="1088"/>
              <w:rPr>
                <w:rFonts w:hint="eastAsia" w:cs="宋体"/>
                <w:sz w:val="24"/>
                <w:szCs w:val="24"/>
                <w:lang w:val="en-US" w:eastAsia="zh-CN"/>
              </w:rPr>
            </w:pPr>
            <w:r>
              <w:rPr>
                <w:rFonts w:hint="eastAsia" w:cs="宋体"/>
                <w:sz w:val="24"/>
                <w:szCs w:val="24"/>
                <w:lang w:val="en-US" w:eastAsia="zh-CN"/>
              </w:rPr>
              <w:t xml:space="preserve">增加的有利于被保险人的特别约定或优惠条件。</w:t>
            </w:r>
            <w:r/>
          </w:p>
          <w:p>
            <w:pPr>
              <w:jc w:val="left"/>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“重疾门诊责任”增加药店购药等以上责任，得2分；</w:t>
            </w:r>
            <w:r/>
          </w:p>
          <w:p>
            <w:pPr>
              <w:jc w:val="left"/>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“普通医疗费用责任”增加因公异地门诊治疗责任，得2分；</w:t>
            </w:r>
            <w:r/>
          </w:p>
          <w:p>
            <w:pPr>
              <w:jc w:val="left"/>
              <w:spacing w:line="360" w:lineRule="exact"/>
              <w:rPr>
                <w:rFonts w:hint="eastAsia" w:ascii="宋体" w:hAnsi="宋体" w:eastAsia="宋体" w:cs="宋体"/>
                <w:color w:val="ff0000"/>
                <w:sz w:val="24"/>
                <w:szCs w:val="24"/>
                <w:lang w:val="en-US" w:eastAsia="zh-CN" w:bidi="ar-SA"/>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投标人可自行扩展增值服务内容，每有一条被评审小组认可，得1分，最高得2分。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提供承诺函。</w:t>
            </w:r>
            <w:r/>
          </w:p>
        </w:tc>
      </w:tr>
      <w:tr>
        <w:trPr>
          <w:trHeight w:val="1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3.6</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团队成员</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widowControl/>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为本项目配备的专职经办、管理人员的人数在10人及以上，得5分；8-9人，得2分；6-7人，得1分，5人及以下不得分。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left"/>
              <w:spacing w:line="360" w:lineRule="exact"/>
              <w:rPr>
                <w:rFonts w:hint="eastAsia" w:ascii="宋体" w:hAnsi="宋体" w:eastAsia="宋体" w:cs="宋体"/>
                <w:b/>
                <w:bCs/>
                <w:sz w:val="24"/>
                <w:szCs w:val="24"/>
                <w:lang w:val="en-US" w:eastAsia="zh-CN" w:bidi="ar-SA"/>
              </w:rPr>
            </w:pPr>
            <w:r>
              <w:rPr>
                <w:rFonts w:hint="eastAsia" w:ascii="宋体" w:hAnsi="宋体" w:cs="宋体"/>
                <w:sz w:val="24"/>
                <w:szCs w:val="24"/>
              </w:rPr>
              <w:t xml:space="preserve">提供</w:t>
            </w:r>
            <w:r>
              <w:rPr>
                <w:rFonts w:hint="eastAsia" w:ascii="宋体" w:hAnsi="宋体" w:cs="宋体"/>
                <w:sz w:val="24"/>
                <w:szCs w:val="24"/>
                <w:highlight w:val="none"/>
              </w:rPr>
              <w:t xml:space="preserve">具体</w:t>
            </w:r>
            <w:r>
              <w:rPr>
                <w:rFonts w:hint="eastAsia" w:ascii="宋体" w:hAnsi="宋体" w:cs="宋体"/>
                <w:sz w:val="24"/>
                <w:szCs w:val="24"/>
                <w:highlight w:val="none"/>
                <w:lang w:val="en-US" w:eastAsia="zh-CN"/>
              </w:rPr>
              <w:t xml:space="preserve">岗位配置</w:t>
            </w:r>
            <w:r>
              <w:rPr>
                <w:rFonts w:hint="eastAsia" w:ascii="宋体" w:hAnsi="宋体" w:cs="宋体"/>
                <w:sz w:val="24"/>
                <w:szCs w:val="24"/>
              </w:rPr>
              <w:t xml:space="preserve">和专人7*24小时服务联系方式。</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3.7</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服务承诺1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widowControl/>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建立理赔时效规定，承诺在一周内办结保险理赔业务的得2分。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提供承诺函</w:t>
            </w:r>
            <w:r/>
          </w:p>
        </w:tc>
      </w:tr>
      <w:tr>
        <w:trPr>
          <w:trHeight w:val="11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服务承诺2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widowControl/>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治疗未结束时，经被保险人申请，承诺可预付已发生医疗费用全额的得2分。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提供承诺函</w:t>
            </w:r>
            <w:r/>
          </w:p>
        </w:tc>
      </w:tr>
      <w:tr>
        <w:trPr>
          <w:trHeight w:val="1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3.9</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服务承诺3</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widowControl/>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投标人能够每月提供一次理赔数据分析报告得5分，每三个月提供一次得3分，半年提供一次得1分，不提供不得分。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提供承诺函</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9" w:type="dxa"/>
            <w:vAlign w:val="center"/>
            <w:textDirection w:val="lrTb"/>
            <w:noWrap w:val="false"/>
          </w:tcPr>
          <w:p>
            <w:pPr>
              <w:spacing w:before="0" w:after="0" w:line="57" w:lineRule="atLeast"/>
              <w:rPr>
                <w:rFonts w:hint="eastAsia" w:ascii="宋体" w:hAnsi="宋体" w:eastAsia="宋体" w:cs="宋体"/>
                <w:sz w:val="24"/>
                <w:szCs w:val="24"/>
              </w:rPr>
            </w:pPr>
            <w:r>
              <w:rPr>
                <w:rFonts w:hint="eastAsia" w:ascii="宋体" w:hAnsi="宋体" w:eastAsia="宋体" w:cs="宋体"/>
                <w:sz w:val="24"/>
                <w:szCs w:val="24"/>
              </w:rPr>
            </w:r>
            <w:r/>
          </w:p>
        </w:tc>
      </w:tr>
    </w:tbl>
    <w:p>
      <w:pPr>
        <w:pStyle w:val="1274"/>
      </w:pPr>
      <w:r/>
      <w:r/>
    </w:p>
    <w:p>
      <w:pPr>
        <w:ind w:firstLine="42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备注：评</w:t>
      </w:r>
      <w:r>
        <w:rPr>
          <w:rFonts w:hint="eastAsia" w:ascii="宋体" w:hAnsi="宋体"/>
          <w:b/>
          <w:bCs/>
          <w:color w:val="000000" w:themeColor="text1"/>
          <w:sz w:val="24"/>
          <w:szCs w:val="24"/>
          <w:lang w:val="en-US" w:eastAsia="zh-CN"/>
          <w14:textFill>
            <w14:solidFill>
              <w14:schemeClr w14:val="tx1"/>
            </w14:solidFill>
          </w14:textFill>
        </w:rPr>
        <w:t xml:space="preserve">标</w:t>
      </w:r>
      <w:r>
        <w:rPr>
          <w:rFonts w:hint="eastAsia" w:ascii="宋体" w:hAnsi="宋体"/>
          <w:b/>
          <w:bCs/>
          <w:color w:val="000000" w:themeColor="text1"/>
          <w:sz w:val="24"/>
          <w:szCs w:val="24"/>
          <w14:textFill>
            <w14:solidFill>
              <w14:schemeClr w14:val="tx1"/>
            </w14:solidFill>
          </w14:textFill>
        </w:rPr>
        <w:t xml:space="preserve">标准中要求提供的证明文件及资料通过“苏采云系统”按对应评分</w:t>
      </w:r>
      <w:r>
        <w:rPr>
          <w:rFonts w:hint="eastAsia" w:ascii="宋体" w:hAnsi="宋体"/>
          <w:b/>
          <w:bCs/>
          <w:color w:val="000000" w:themeColor="text1"/>
          <w:sz w:val="24"/>
          <w:szCs w:val="24"/>
          <w:lang w:val="en-US" w:eastAsia="zh-CN"/>
          <w14:textFill>
            <w14:solidFill>
              <w14:schemeClr w14:val="tx1"/>
            </w14:solidFill>
          </w14:textFill>
        </w:rPr>
        <w:t xml:space="preserve">因素</w:t>
      </w:r>
      <w:r>
        <w:rPr>
          <w:rFonts w:hint="eastAsia" w:ascii="宋体" w:hAnsi="宋体"/>
          <w:b/>
          <w:bCs/>
          <w:color w:val="000000" w:themeColor="text1"/>
          <w:sz w:val="24"/>
          <w:szCs w:val="24"/>
          <w14:textFill>
            <w14:solidFill>
              <w14:schemeClr w14:val="tx1"/>
            </w14:solidFill>
          </w14:textFill>
        </w:rPr>
        <w:t xml:space="preserve">（或数字编号）分别制作上传，保证内容具体、印章完整、清晰可辨。未按要求</w:t>
      </w:r>
      <w:r>
        <w:rPr>
          <w:rFonts w:hint="eastAsia" w:ascii="宋体" w:hAnsi="宋体"/>
          <w:b/>
          <w:bCs/>
          <w:color w:val="000000" w:themeColor="text1"/>
          <w:sz w:val="24"/>
          <w:szCs w:val="24"/>
          <w:lang w:val="en-US" w:eastAsia="zh-CN"/>
          <w14:textFill>
            <w14:solidFill>
              <w14:schemeClr w14:val="tx1"/>
            </w14:solidFill>
          </w14:textFill>
        </w:rPr>
        <w:t xml:space="preserve">提供材料的，对应项</w:t>
      </w:r>
      <w:r>
        <w:rPr>
          <w:rFonts w:hint="eastAsia" w:ascii="宋体" w:hAnsi="宋体"/>
          <w:b/>
          <w:bCs/>
          <w:color w:val="000000" w:themeColor="text1"/>
          <w:sz w:val="24"/>
          <w:szCs w:val="24"/>
          <w14:textFill>
            <w14:solidFill>
              <w14:schemeClr w14:val="tx1"/>
            </w14:solidFill>
          </w14:textFill>
        </w:rPr>
        <w:t xml:space="preserve">不得分。</w:t>
      </w:r>
      <w:r/>
    </w:p>
    <w:p>
      <w:pPr>
        <w:jc w:val="left"/>
        <w:spacing w:line="360" w:lineRule="auto"/>
        <w:rPr>
          <w:rFonts w:ascii="宋体" w:hAnsi="宋体"/>
          <w:color w:val="000000" w:themeColor="text1"/>
          <w:sz w:val="24"/>
          <w:szCs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themeColor="text1"/>
          <w:sz w:val="24"/>
          <w:szCs w:val="24"/>
          <w14:textFill>
            <w14:solidFill>
              <w14:schemeClr w14:val="tx1"/>
            </w14:solidFill>
          </w14:textFill>
        </w:rPr>
      </w:r>
      <w:r/>
    </w:p>
    <w:p>
      <w:pPr>
        <w:contextualSpacing/>
        <w:ind w:firstLine="723"/>
        <w:jc w:val="center"/>
        <w:spacing w:before="156" w:line="360" w:lineRule="auto"/>
        <w:rPr>
          <w:rFonts w:hint="eastAsia"/>
          <w:b/>
          <w:bCs/>
          <w:sz w:val="36"/>
          <w:szCs w:val="36"/>
          <w:highlight w:val="none"/>
        </w:rPr>
        <w:outlineLvl w:val="0"/>
      </w:pPr>
      <w:r>
        <w:rPr>
          <w:rFonts w:hint="eastAsia"/>
          <w:b/>
          <w:sz w:val="36"/>
          <w:szCs w:val="36"/>
        </w:rPr>
        <w:t xml:space="preserve">第五章</w:t>
      </w:r>
      <w:r>
        <w:rPr>
          <w:rFonts w:hint="eastAsia"/>
          <w:b/>
          <w:sz w:val="36"/>
          <w:szCs w:val="36"/>
          <w:lang w:val="en-US" w:eastAsia="zh-CN"/>
        </w:rPr>
        <w:t xml:space="preserve">  </w:t>
      </w:r>
      <w:r>
        <w:rPr>
          <w:rFonts w:hint="eastAsia"/>
          <w:b/>
          <w:sz w:val="36"/>
          <w:szCs w:val="36"/>
        </w:rPr>
        <w:t xml:space="preserve">采购需求</w:t>
      </w:r>
      <w:r/>
    </w:p>
    <w:p>
      <w:pPr>
        <w:ind w:firstLine="422"/>
        <w:jc w:val="left"/>
        <w:spacing w:line="360" w:lineRule="auto"/>
        <w:rPr>
          <w:rFonts w:hint="eastAsia" w:ascii="宋体" w:hAnsi="宋体" w:cs="宋体"/>
          <w:b/>
          <w:bCs/>
          <w:szCs w:val="21"/>
        </w:rPr>
      </w:pPr>
      <w:r/>
      <w:bookmarkStart w:id="780" w:name="_Toc99301425"/>
      <w:r>
        <w:rPr>
          <w:rFonts w:hint="eastAsia" w:ascii="宋体" w:hAnsi="宋体" w:cs="宋体"/>
          <w:b/>
          <w:bCs/>
          <w:szCs w:val="21"/>
        </w:rPr>
        <w:t xml:space="preserve">一、采购内容及要求</w:t>
      </w:r>
      <w:r/>
    </w:p>
    <w:p>
      <w:pPr>
        <w:ind w:firstLine="422"/>
        <w:spacing w:line="360" w:lineRule="auto"/>
        <w:rPr>
          <w:rFonts w:hint="eastAsia" w:ascii="宋体" w:hAnsi="宋体" w:cs="宋体"/>
          <w:b/>
          <w:bCs/>
          <w:szCs w:val="21"/>
        </w:rPr>
      </w:pPr>
      <w:r>
        <w:rPr>
          <w:rFonts w:hint="eastAsia" w:ascii="宋体" w:hAnsi="宋体" w:cs="宋体"/>
          <w:b/>
          <w:bCs/>
          <w:szCs w:val="21"/>
        </w:rPr>
        <w:t xml:space="preserve">（一）项目情况</w:t>
      </w:r>
      <w:r/>
    </w:p>
    <w:p>
      <w:pPr>
        <w:ind w:firstLine="420"/>
        <w:spacing w:line="360" w:lineRule="auto"/>
        <w:rPr>
          <w:rFonts w:hint="eastAsia" w:ascii="宋体" w:hAnsi="宋体" w:cs="宋体"/>
          <w:szCs w:val="21"/>
        </w:rPr>
      </w:pPr>
      <w:r>
        <w:rPr>
          <w:rFonts w:hint="eastAsia" w:ascii="宋体" w:hAnsi="宋体" w:cs="宋体"/>
          <w:szCs w:val="21"/>
        </w:rPr>
        <w:t xml:space="preserve">常州市公安局对3627名在职人员现购买团体意外伤害（附加重大疾病）保险服务。</w:t>
      </w:r>
      <w:r>
        <w:rPr>
          <w:rFonts w:hint="eastAsia" w:ascii="宋体" w:hAnsi="宋体" w:cs="宋体"/>
          <w:szCs w:val="21"/>
          <w:highlight w:val="none"/>
        </w:rPr>
        <w:t xml:space="preserve">其中3078名男性、549名女性。年龄分布为40周岁以下1869名，41-50周岁902名，51周岁以上856名。</w:t>
      </w:r>
      <w:r/>
    </w:p>
    <w:p>
      <w:pPr>
        <w:pStyle w:val="1086"/>
        <w:ind w:firstLine="420"/>
        <w:spacing w:line="360" w:lineRule="auto"/>
      </w:pPr>
      <w:r>
        <w:rPr>
          <w:rFonts w:hint="eastAsia" w:ascii="宋体" w:hAnsi="宋体" w:cs="宋体"/>
          <w:szCs w:val="21"/>
        </w:rPr>
        <w:t xml:space="preserve">保险期限：</w:t>
      </w:r>
      <w:r>
        <w:rPr>
          <w:rFonts w:hint="eastAsia" w:ascii="宋体" w:hAnsi="宋体" w:cs="宋体"/>
          <w:bCs/>
          <w:szCs w:val="21"/>
          <w:lang w:val="en-US" w:eastAsia="zh-CN"/>
        </w:rPr>
        <w:t xml:space="preserve">3年，合同</w:t>
      </w:r>
      <w:r>
        <w:rPr>
          <w:rFonts w:hint="eastAsia" w:ascii="宋体" w:hAnsi="宋体" w:cs="宋体"/>
          <w:bCs/>
          <w:szCs w:val="21"/>
          <w:highlight w:val="none"/>
          <w:lang w:val="en-US" w:eastAsia="zh-CN"/>
        </w:rPr>
        <w:t xml:space="preserve">一年一签。</w:t>
      </w:r>
      <w:r>
        <w:rPr>
          <w:rFonts w:hint="eastAsia"/>
          <w:highlight w:val="none"/>
        </w:rPr>
        <w:t xml:space="preserve">第一年：202</w:t>
      </w:r>
      <w:r>
        <w:rPr>
          <w:rFonts w:hint="eastAsia"/>
          <w:highlight w:val="none"/>
          <w:lang w:val="en-US" w:eastAsia="zh-CN"/>
        </w:rPr>
        <w:t xml:space="preserve">7</w:t>
      </w:r>
      <w:r>
        <w:rPr>
          <w:rFonts w:hint="eastAsia"/>
          <w:highlight w:val="none"/>
        </w:rPr>
        <w:t xml:space="preserve">年1月1日零时-202</w:t>
      </w:r>
      <w:r>
        <w:rPr>
          <w:rFonts w:hint="eastAsia"/>
          <w:highlight w:val="none"/>
          <w:lang w:val="en-US" w:eastAsia="zh-CN"/>
        </w:rPr>
        <w:t xml:space="preserve">7</w:t>
      </w:r>
      <w:r>
        <w:rPr>
          <w:rFonts w:hint="eastAsia"/>
          <w:highlight w:val="none"/>
        </w:rPr>
        <w:t xml:space="preserve">年12月31日二十四时止。第二年：202</w:t>
      </w:r>
      <w:r>
        <w:rPr>
          <w:rFonts w:hint="eastAsia"/>
          <w:highlight w:val="none"/>
          <w:lang w:val="en-US" w:eastAsia="zh-CN"/>
        </w:rPr>
        <w:t xml:space="preserve">8</w:t>
      </w:r>
      <w:r>
        <w:rPr>
          <w:rFonts w:hint="eastAsia"/>
          <w:highlight w:val="none"/>
        </w:rPr>
        <w:t xml:space="preserve">年1月1日零时-202</w:t>
      </w:r>
      <w:r>
        <w:rPr>
          <w:rFonts w:hint="eastAsia"/>
          <w:highlight w:val="none"/>
          <w:lang w:val="en-US" w:eastAsia="zh-CN"/>
        </w:rPr>
        <w:t xml:space="preserve">8</w:t>
      </w:r>
      <w:r>
        <w:rPr>
          <w:rFonts w:hint="eastAsia"/>
          <w:highlight w:val="none"/>
        </w:rPr>
        <w:t xml:space="preserve">年12月31日二十四时止。第</w:t>
      </w:r>
      <w:r>
        <w:rPr>
          <w:rFonts w:hint="eastAsia"/>
          <w:highlight w:val="none"/>
          <w:lang w:eastAsia="zh-CN"/>
        </w:rPr>
        <w:t xml:space="preserve">三</w:t>
      </w:r>
      <w:r>
        <w:rPr>
          <w:rFonts w:hint="eastAsia"/>
          <w:highlight w:val="none"/>
        </w:rPr>
        <w:t xml:space="preserve">年：202</w:t>
      </w:r>
      <w:r>
        <w:rPr>
          <w:rFonts w:hint="eastAsia"/>
          <w:highlight w:val="none"/>
          <w:lang w:val="en-US" w:eastAsia="zh-CN"/>
        </w:rPr>
        <w:t xml:space="preserve">9</w:t>
      </w:r>
      <w:r>
        <w:rPr>
          <w:rFonts w:hint="eastAsia"/>
          <w:highlight w:val="none"/>
        </w:rPr>
        <w:t xml:space="preserve">年1月1日零时-20</w:t>
      </w:r>
      <w:r>
        <w:rPr>
          <w:rFonts w:hint="eastAsia"/>
          <w:highlight w:val="none"/>
          <w:lang w:val="en-US" w:eastAsia="zh-CN"/>
        </w:rPr>
        <w:t xml:space="preserve">29</w:t>
      </w:r>
      <w:r>
        <w:rPr>
          <w:rFonts w:hint="eastAsia"/>
          <w:highlight w:val="none"/>
        </w:rPr>
        <w:t xml:space="preserve">年12月31日二十四时止</w:t>
      </w:r>
      <w:r>
        <w:rPr>
          <w:rFonts w:hint="eastAsia"/>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最高限价：595元/人/年。</w:t>
      </w:r>
      <w:r/>
    </w:p>
    <w:p>
      <w:pPr>
        <w:ind w:firstLine="422"/>
        <w:spacing w:line="360" w:lineRule="auto"/>
        <w:rPr>
          <w:rFonts w:hint="eastAsia" w:ascii="宋体" w:hAnsi="宋体" w:cs="宋体"/>
          <w:b/>
          <w:bCs/>
          <w:szCs w:val="21"/>
        </w:rPr>
      </w:pPr>
      <w:r>
        <w:rPr>
          <w:rFonts w:hint="eastAsia" w:ascii="宋体" w:hAnsi="宋体" w:cs="宋体"/>
          <w:b/>
          <w:bCs/>
          <w:szCs w:val="21"/>
        </w:rPr>
        <w:t xml:space="preserve">（二）保险方案及保险金额</w:t>
      </w:r>
      <w:r/>
    </w:p>
    <w:tbl>
      <w:tblPr>
        <w:tblStyle w:val="1081"/>
        <w:tblpPr w:horzAnchor="page" w:tblpX="1027" w:vertAnchor="text" w:tblpY="202" w:leftFromText="180" w:topFromText="0" w:rightFromText="180" w:bottomFromText="0"/>
        <w:tblW w:w="9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6"/>
        <w:gridCol w:w="2579"/>
        <w:gridCol w:w="4925"/>
      </w:tblGrid>
      <w:tr>
        <w:trPr>
          <w:trHeight w:val="653"/>
        </w:trPr>
        <w:tc>
          <w:tcPr>
            <w:tcW w:w="1616"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保障内容</w:t>
            </w:r>
            <w:r/>
          </w:p>
        </w:tc>
        <w:tc>
          <w:tcPr>
            <w:tcW w:w="257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方案</w:t>
            </w:r>
            <w:r/>
          </w:p>
        </w:tc>
        <w:tc>
          <w:tcPr>
            <w:tcW w:w="492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赔偿比例</w:t>
            </w:r>
            <w:r/>
          </w:p>
        </w:tc>
      </w:tr>
      <w:tr>
        <w:trPr/>
        <w:tc>
          <w:tcPr>
            <w:tcW w:w="1616" w:type="dxa"/>
            <w:vAlign w:val="center"/>
            <w:textDirection w:val="lrTb"/>
            <w:noWrap w:val="false"/>
          </w:tcPr>
          <w:p>
            <w:pPr>
              <w:jc w:val="center"/>
              <w:keepLines w:val="0"/>
              <w:keepNext w:val="0"/>
              <w:pageBreakBefore w:val="0"/>
              <w:spacing w:line="240" w:lineRule="auto"/>
              <w:widowControl w:val="off"/>
              <w:rPr>
                <w:rFonts w:hint="eastAsia" w:ascii="宋体" w:hAnsi="宋体" w:cs="宋体"/>
                <w:bCs/>
                <w:szCs w:val="21"/>
              </w:rPr>
            </w:pPr>
            <w:r>
              <w:rPr>
                <w:rFonts w:hint="eastAsia" w:ascii="宋体" w:hAnsi="宋体" w:cs="宋体"/>
                <w:bCs/>
                <w:szCs w:val="21"/>
              </w:rPr>
              <w:t xml:space="preserve">意外身故或伤残</w:t>
            </w:r>
            <w:r/>
          </w:p>
        </w:tc>
        <w:tc>
          <w:tcPr>
            <w:tcW w:w="257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25万元/人</w:t>
            </w:r>
            <w:r/>
          </w:p>
        </w:tc>
        <w:tc>
          <w:tcPr>
            <w:tcW w:w="492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w:t>
            </w:r>
            <w:r/>
          </w:p>
        </w:tc>
      </w:tr>
      <w:tr>
        <w:trPr>
          <w:trHeight w:val="632"/>
        </w:trPr>
        <w:tc>
          <w:tcPr>
            <w:tcW w:w="1616" w:type="dxa"/>
            <w:vAlign w:val="center"/>
            <w:textDirection w:val="lrTb"/>
            <w:noWrap w:val="false"/>
          </w:tcPr>
          <w:p>
            <w:pPr>
              <w:jc w:val="center"/>
              <w:keepLines w:val="0"/>
              <w:keepNext w:val="0"/>
              <w:pageBreakBefore w:val="0"/>
              <w:spacing w:line="240" w:lineRule="auto"/>
              <w:widowControl w:val="off"/>
              <w:rPr>
                <w:rFonts w:hint="eastAsia" w:ascii="宋体" w:hAnsi="宋体" w:cs="宋体"/>
                <w:bCs/>
                <w:szCs w:val="21"/>
              </w:rPr>
            </w:pPr>
            <w:r>
              <w:rPr>
                <w:rFonts w:hint="eastAsia" w:ascii="宋体" w:hAnsi="宋体" w:cs="宋体"/>
                <w:bCs/>
                <w:szCs w:val="21"/>
              </w:rPr>
              <w:t xml:space="preserve">疾病身故或全残</w:t>
            </w:r>
            <w:r/>
          </w:p>
        </w:tc>
        <w:tc>
          <w:tcPr>
            <w:tcW w:w="257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25万元/人</w:t>
            </w:r>
            <w:r/>
          </w:p>
        </w:tc>
        <w:tc>
          <w:tcPr>
            <w:tcW w:w="492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w:t>
            </w:r>
            <w:r/>
          </w:p>
        </w:tc>
      </w:tr>
      <w:tr>
        <w:trPr/>
        <w:tc>
          <w:tcPr>
            <w:tcW w:w="1616"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普通疾病住院</w:t>
            </w:r>
            <w:r/>
          </w:p>
        </w:tc>
        <w:tc>
          <w:tcPr>
            <w:tcW w:w="257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30000元/人（含普通疾病住院医疗费用、意外门诊医疗费用、意外住院医疗费用）</w:t>
            </w:r>
            <w:r/>
          </w:p>
        </w:tc>
        <w:tc>
          <w:tcPr>
            <w:tcW w:w="492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个人现金支付部分赔付80%（超上限床位费、伙食费、陪床费、不可销的部分B类药品、C类药品及其他非治疗相关费用除外）</w:t>
            </w:r>
            <w:r/>
          </w:p>
        </w:tc>
      </w:tr>
      <w:tr>
        <w:trPr/>
        <w:tc>
          <w:tcPr>
            <w:tcW w:w="1616"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重大疾病患者门诊</w:t>
            </w:r>
            <w:r/>
          </w:p>
        </w:tc>
        <w:tc>
          <w:tcPr>
            <w:tcW w:w="257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15000元/人</w:t>
            </w:r>
            <w:r/>
          </w:p>
        </w:tc>
        <w:tc>
          <w:tcPr>
            <w:tcW w:w="4925"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全年个人现金支付部分超过200元部分赔付80%（超上限床位费、伙食费、陪床费、不可销的部分B类药品、C类药品及其他非治疗相关费用除外） </w:t>
            </w:r>
            <w:r/>
          </w:p>
        </w:tc>
      </w:tr>
      <w:tr>
        <w:trPr/>
        <w:tc>
          <w:tcPr>
            <w:tcW w:w="1616"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重大疾病患者住院保险</w:t>
            </w:r>
            <w:r/>
          </w:p>
        </w:tc>
        <w:tc>
          <w:tcPr>
            <w:tcW w:w="257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50000元/人</w:t>
            </w:r>
            <w:r/>
          </w:p>
        </w:tc>
        <w:tc>
          <w:tcPr>
            <w:tcW w:w="4925"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个人现金支付部分赔付100%（超上限床位费、伙食费、陪床费、不可销的部分B类药品、C类药品及其他非治疗相关费用除外）</w:t>
            </w:r>
            <w:r/>
          </w:p>
        </w:tc>
      </w:tr>
      <w:tr>
        <w:trPr/>
        <w:tc>
          <w:tcPr>
            <w:tcW w:w="1616" w:type="dxa"/>
            <w:vAlign w:val="center"/>
            <w:textDirection w:val="lrTb"/>
            <w:noWrap w:val="false"/>
          </w:tcPr>
          <w:p>
            <w:pPr>
              <w:jc w:val="left"/>
              <w:spacing w:line="360" w:lineRule="auto"/>
              <w:widowControl/>
              <w:rPr>
                <w:rFonts w:hint="eastAsia" w:ascii="宋体" w:hAnsi="宋体" w:cs="宋体"/>
                <w:bCs/>
                <w:spacing w:val="2"/>
                <w:szCs w:val="21"/>
              </w:rPr>
            </w:pPr>
            <w:r>
              <w:rPr>
                <w:rFonts w:hint="eastAsia" w:ascii="宋体" w:hAnsi="宋体" w:cs="宋体"/>
                <w:bCs/>
                <w:spacing w:val="2"/>
                <w:szCs w:val="21"/>
              </w:rPr>
              <w:t xml:space="preserve">重大疾病首次确诊给付</w:t>
            </w:r>
            <w:r/>
          </w:p>
        </w:tc>
        <w:tc>
          <w:tcPr>
            <w:tcW w:w="2579" w:type="dxa"/>
            <w:vAlign w:val="center"/>
            <w:textDirection w:val="lrTb"/>
            <w:noWrap w:val="false"/>
          </w:tcPr>
          <w:p>
            <w:pPr>
              <w:jc w:val="center"/>
              <w:spacing w:line="360" w:lineRule="auto"/>
              <w:widowControl/>
              <w:rPr>
                <w:rFonts w:hint="eastAsia" w:ascii="宋体" w:hAnsi="宋体" w:cs="宋体"/>
                <w:bCs/>
                <w:spacing w:val="2"/>
                <w:szCs w:val="21"/>
              </w:rPr>
            </w:pPr>
            <w:r>
              <w:rPr>
                <w:rFonts w:hint="eastAsia" w:ascii="宋体" w:hAnsi="宋体" w:cs="宋体"/>
                <w:bCs/>
                <w:spacing w:val="2"/>
                <w:szCs w:val="21"/>
              </w:rPr>
              <w:t xml:space="preserve">10万</w:t>
            </w:r>
            <w:r/>
          </w:p>
        </w:tc>
        <w:tc>
          <w:tcPr>
            <w:tcW w:w="4925" w:type="dxa"/>
            <w:vAlign w:val="center"/>
            <w:textDirection w:val="lrTb"/>
            <w:noWrap w:val="false"/>
          </w:tcPr>
          <w:p>
            <w:pPr>
              <w:jc w:val="center"/>
              <w:spacing w:line="360" w:lineRule="auto"/>
              <w:widowControl/>
              <w:rPr>
                <w:rFonts w:hint="eastAsia" w:ascii="宋体" w:hAnsi="宋体" w:cs="宋体"/>
                <w:bCs/>
                <w:spacing w:val="2"/>
                <w:szCs w:val="21"/>
              </w:rPr>
            </w:pPr>
            <w:r>
              <w:rPr>
                <w:rFonts w:hint="eastAsia" w:ascii="宋体" w:hAnsi="宋体" w:cs="宋体"/>
                <w:bCs/>
                <w:spacing w:val="2"/>
                <w:szCs w:val="21"/>
              </w:rPr>
              <w:t xml:space="preserve">/</w:t>
            </w:r>
            <w:r/>
          </w:p>
        </w:tc>
      </w:tr>
      <w:tr>
        <w:trPr/>
        <w:tc>
          <w:tcPr>
            <w:tcW w:w="1616" w:type="dxa"/>
            <w:vAlign w:val="center"/>
            <w:textDirection w:val="lrTb"/>
            <w:noWrap w:val="false"/>
          </w:tcPr>
          <w:p>
            <w:pPr>
              <w:jc w:val="left"/>
              <w:spacing w:line="360" w:lineRule="auto"/>
              <w:widowControl/>
              <w:rPr>
                <w:rFonts w:hint="eastAsia" w:ascii="宋体" w:hAnsi="宋体" w:cs="宋体"/>
                <w:bCs/>
                <w:spacing w:val="2"/>
                <w:szCs w:val="21"/>
              </w:rPr>
            </w:pPr>
            <w:r>
              <w:rPr>
                <w:rFonts w:hint="eastAsia" w:ascii="宋体" w:hAnsi="宋体" w:cs="宋体"/>
                <w:bCs/>
                <w:spacing w:val="2"/>
                <w:szCs w:val="21"/>
              </w:rPr>
              <w:t xml:space="preserve">轻度疾病首次确诊给付</w:t>
            </w:r>
            <w:r/>
          </w:p>
        </w:tc>
        <w:tc>
          <w:tcPr>
            <w:tcW w:w="2579" w:type="dxa"/>
            <w:vAlign w:val="center"/>
            <w:textDirection w:val="lrTb"/>
            <w:noWrap w:val="false"/>
          </w:tcPr>
          <w:p>
            <w:pPr>
              <w:jc w:val="center"/>
              <w:spacing w:line="360" w:lineRule="auto"/>
              <w:widowControl/>
              <w:rPr>
                <w:rFonts w:hint="eastAsia" w:ascii="宋体" w:hAnsi="宋体" w:cs="宋体"/>
                <w:bCs/>
                <w:spacing w:val="2"/>
                <w:szCs w:val="21"/>
              </w:rPr>
            </w:pPr>
            <w:r>
              <w:rPr>
                <w:rFonts w:hint="eastAsia" w:ascii="宋体" w:hAnsi="宋体" w:cs="宋体"/>
                <w:bCs/>
                <w:spacing w:val="2"/>
                <w:szCs w:val="21"/>
              </w:rPr>
              <w:t xml:space="preserve">3万（包含甲状腺癌）</w:t>
            </w:r>
            <w:r/>
          </w:p>
        </w:tc>
        <w:tc>
          <w:tcPr>
            <w:tcW w:w="4925" w:type="dxa"/>
            <w:vAlign w:val="center"/>
            <w:textDirection w:val="lrTb"/>
            <w:noWrap w:val="false"/>
          </w:tcPr>
          <w:p>
            <w:pPr>
              <w:jc w:val="center"/>
              <w:spacing w:line="360" w:lineRule="auto"/>
              <w:widowControl/>
              <w:rPr>
                <w:rFonts w:hint="eastAsia" w:ascii="宋体" w:hAnsi="宋体" w:cs="宋体"/>
                <w:bCs/>
                <w:spacing w:val="2"/>
                <w:szCs w:val="21"/>
              </w:rPr>
            </w:pPr>
            <w:r>
              <w:rPr>
                <w:rFonts w:hint="eastAsia" w:ascii="宋体" w:hAnsi="宋体" w:cs="宋体"/>
                <w:bCs/>
                <w:spacing w:val="2"/>
                <w:szCs w:val="21"/>
              </w:rPr>
              <w:t xml:space="preserve">/</w:t>
            </w:r>
            <w:r/>
          </w:p>
        </w:tc>
      </w:tr>
      <w:tr>
        <w:trPr/>
        <w:tc>
          <w:tcPr>
            <w:tcW w:w="1616" w:type="dxa"/>
            <w:vAlign w:val="center"/>
            <w:textDirection w:val="lrTb"/>
            <w:noWrap w:val="false"/>
          </w:tcPr>
          <w:p>
            <w:pPr>
              <w:jc w:val="left"/>
              <w:widowControl/>
              <w:rPr>
                <w:rFonts w:hint="eastAsia" w:ascii="宋体" w:hAnsi="宋体" w:cs="宋体"/>
                <w:bCs/>
                <w:spacing w:val="2"/>
                <w:szCs w:val="21"/>
              </w:rPr>
            </w:pPr>
            <w:r>
              <w:rPr>
                <w:rFonts w:eastAsia="微软雅黑"/>
                <w:bCs/>
                <w:spacing w:val="2"/>
                <w:sz w:val="18"/>
                <w:szCs w:val="18"/>
              </w:rPr>
              <w:t xml:space="preserve">院外购药（限重大疾病患者门诊）</w:t>
            </w:r>
            <w:r/>
          </w:p>
        </w:tc>
        <w:tc>
          <w:tcPr>
            <w:tcW w:w="2579" w:type="dxa"/>
            <w:vAlign w:val="center"/>
            <w:textDirection w:val="lrTb"/>
            <w:noWrap w:val="false"/>
          </w:tcPr>
          <w:p>
            <w:pPr>
              <w:jc w:val="center"/>
              <w:widowControl/>
              <w:rPr>
                <w:rFonts w:hint="eastAsia" w:ascii="宋体" w:hAnsi="宋体" w:cs="宋体"/>
                <w:bCs/>
                <w:spacing w:val="2"/>
                <w:szCs w:val="21"/>
              </w:rPr>
            </w:pPr>
            <w:r>
              <w:rPr>
                <w:rFonts w:eastAsia="微软雅黑"/>
                <w:bCs/>
                <w:spacing w:val="2"/>
                <w:sz w:val="18"/>
                <w:szCs w:val="18"/>
              </w:rPr>
              <w:t xml:space="preserve">计入重疾门急诊限额</w:t>
            </w:r>
            <w:r/>
          </w:p>
        </w:tc>
        <w:tc>
          <w:tcPr>
            <w:tcW w:w="4925" w:type="dxa"/>
            <w:vAlign w:val="center"/>
            <w:textDirection w:val="lrTb"/>
            <w:noWrap w:val="false"/>
          </w:tcPr>
          <w:p>
            <w:pPr>
              <w:jc w:val="center"/>
              <w:widowControl/>
              <w:rPr>
                <w:rFonts w:hint="eastAsia" w:ascii="宋体" w:hAnsi="宋体" w:cs="宋体"/>
                <w:bCs/>
                <w:spacing w:val="2"/>
                <w:szCs w:val="21"/>
              </w:rPr>
            </w:pPr>
            <w:r>
              <w:rPr>
                <w:rFonts w:eastAsia="微软雅黑"/>
                <w:bCs/>
                <w:sz w:val="18"/>
                <w:szCs w:val="18"/>
              </w:rPr>
              <w:t xml:space="preserve">个人现金支付部分赔付</w:t>
            </w:r>
            <w:r>
              <w:rPr>
                <w:rFonts w:eastAsia="微软雅黑"/>
                <w:bCs/>
                <w:spacing w:val="2"/>
                <w:sz w:val="18"/>
                <w:szCs w:val="18"/>
              </w:rPr>
              <w:t xml:space="preserve">80%</w:t>
            </w:r>
            <w:r/>
          </w:p>
        </w:tc>
      </w:tr>
      <w:tr>
        <w:trPr/>
        <w:tc>
          <w:tcPr>
            <w:tcW w:w="1616" w:type="dxa"/>
            <w:vAlign w:val="center"/>
            <w:textDirection w:val="lrTb"/>
            <w:noWrap w:val="false"/>
          </w:tcPr>
          <w:p>
            <w:pPr>
              <w:jc w:val="left"/>
              <w:widowControl/>
              <w:rPr>
                <w:rFonts w:hint="eastAsia" w:ascii="宋体" w:hAnsi="宋体" w:cs="宋体"/>
                <w:bCs/>
                <w:spacing w:val="2"/>
                <w:szCs w:val="21"/>
              </w:rPr>
            </w:pPr>
            <w:r>
              <w:rPr>
                <w:rFonts w:eastAsia="微软雅黑"/>
                <w:bCs/>
                <w:spacing w:val="2"/>
                <w:sz w:val="18"/>
                <w:szCs w:val="18"/>
              </w:rPr>
              <w:t xml:space="preserve">因公异地重疾门诊就医（限重大疾病患者门诊）</w:t>
            </w:r>
            <w:r/>
          </w:p>
        </w:tc>
        <w:tc>
          <w:tcPr>
            <w:tcW w:w="2579" w:type="dxa"/>
            <w:vAlign w:val="center"/>
            <w:textDirection w:val="lrTb"/>
            <w:noWrap w:val="false"/>
          </w:tcPr>
          <w:p>
            <w:pPr>
              <w:jc w:val="center"/>
              <w:widowControl/>
              <w:rPr>
                <w:rFonts w:hint="eastAsia" w:ascii="宋体" w:hAnsi="宋体" w:cs="宋体"/>
                <w:bCs/>
                <w:spacing w:val="2"/>
                <w:szCs w:val="21"/>
              </w:rPr>
            </w:pPr>
            <w:r>
              <w:rPr>
                <w:rFonts w:eastAsia="微软雅黑"/>
                <w:bCs/>
                <w:spacing w:val="2"/>
                <w:sz w:val="18"/>
                <w:szCs w:val="18"/>
              </w:rPr>
              <w:t xml:space="preserve">计入重疾门急诊限额</w:t>
            </w:r>
            <w:r/>
          </w:p>
        </w:tc>
        <w:tc>
          <w:tcPr>
            <w:tcW w:w="4925" w:type="dxa"/>
            <w:vAlign w:val="center"/>
            <w:textDirection w:val="lrTb"/>
            <w:noWrap w:val="false"/>
          </w:tcPr>
          <w:p>
            <w:pPr>
              <w:jc w:val="center"/>
              <w:widowControl/>
              <w:rPr>
                <w:rFonts w:hint="eastAsia" w:ascii="宋体" w:hAnsi="宋体" w:cs="宋体"/>
                <w:bCs/>
                <w:spacing w:val="2"/>
                <w:szCs w:val="21"/>
              </w:rPr>
            </w:pPr>
            <w:r>
              <w:rPr>
                <w:rFonts w:eastAsia="微软雅黑"/>
                <w:bCs/>
                <w:sz w:val="18"/>
                <w:szCs w:val="18"/>
              </w:rPr>
              <w:t xml:space="preserve">个人现金支付部分赔付</w:t>
            </w:r>
            <w:r>
              <w:rPr>
                <w:rFonts w:eastAsia="微软雅黑"/>
                <w:bCs/>
                <w:spacing w:val="2"/>
                <w:sz w:val="18"/>
                <w:szCs w:val="18"/>
              </w:rPr>
              <w:t xml:space="preserve">80%</w:t>
            </w:r>
            <w:r/>
          </w:p>
        </w:tc>
      </w:tr>
      <w:tr>
        <w:trPr/>
        <w:tc>
          <w:tcPr>
            <w:tcW w:w="1616" w:type="dxa"/>
            <w:vAlign w:val="center"/>
            <w:textDirection w:val="lrTb"/>
            <w:noWrap w:val="false"/>
          </w:tcPr>
          <w:p>
            <w:pPr>
              <w:jc w:val="left"/>
              <w:widowControl/>
              <w:rPr>
                <w:rFonts w:hint="eastAsia" w:ascii="宋体" w:hAnsi="宋体" w:cs="宋体"/>
                <w:bCs/>
                <w:spacing w:val="2"/>
                <w:szCs w:val="21"/>
              </w:rPr>
            </w:pPr>
            <w:r>
              <w:rPr>
                <w:rFonts w:eastAsia="微软雅黑"/>
                <w:bCs/>
                <w:spacing w:val="2"/>
                <w:sz w:val="18"/>
                <w:szCs w:val="18"/>
              </w:rPr>
              <w:t xml:space="preserve">因公异地普通疾病门急诊（由公安局政治部出具相关证明）</w:t>
            </w:r>
            <w:r/>
          </w:p>
        </w:tc>
        <w:tc>
          <w:tcPr>
            <w:tcW w:w="2579" w:type="dxa"/>
            <w:vAlign w:val="center"/>
            <w:textDirection w:val="lrTb"/>
            <w:noWrap w:val="false"/>
          </w:tcPr>
          <w:p>
            <w:pPr>
              <w:jc w:val="center"/>
              <w:widowControl/>
              <w:rPr>
                <w:rFonts w:hint="eastAsia" w:ascii="宋体" w:hAnsi="宋体" w:cs="宋体"/>
                <w:bCs/>
                <w:spacing w:val="2"/>
                <w:szCs w:val="21"/>
              </w:rPr>
            </w:pPr>
            <w:r>
              <w:rPr>
                <w:rFonts w:eastAsia="微软雅黑"/>
                <w:bCs/>
                <w:spacing w:val="2"/>
                <w:sz w:val="18"/>
                <w:szCs w:val="18"/>
              </w:rPr>
              <w:t xml:space="preserve">计入普通医疗费限额</w:t>
            </w:r>
            <w:r/>
          </w:p>
        </w:tc>
        <w:tc>
          <w:tcPr>
            <w:tcW w:w="4925" w:type="dxa"/>
            <w:vAlign w:val="center"/>
            <w:textDirection w:val="lrTb"/>
            <w:noWrap w:val="false"/>
          </w:tcPr>
          <w:p>
            <w:pPr>
              <w:jc w:val="center"/>
              <w:widowControl/>
              <w:rPr>
                <w:rFonts w:hint="eastAsia" w:ascii="宋体" w:hAnsi="宋体" w:cs="宋体"/>
                <w:bCs/>
                <w:spacing w:val="2"/>
                <w:szCs w:val="21"/>
              </w:rPr>
            </w:pPr>
            <w:r>
              <w:rPr>
                <w:rFonts w:eastAsia="微软雅黑"/>
                <w:bCs/>
                <w:sz w:val="18"/>
                <w:szCs w:val="18"/>
              </w:rPr>
              <w:t xml:space="preserve">个人现金支付部分赔付</w:t>
            </w:r>
            <w:r>
              <w:rPr>
                <w:rFonts w:eastAsia="微软雅黑"/>
                <w:bCs/>
                <w:spacing w:val="2"/>
                <w:sz w:val="18"/>
                <w:szCs w:val="18"/>
              </w:rPr>
              <w:t xml:space="preserve">80%</w:t>
            </w:r>
            <w:r/>
          </w:p>
        </w:tc>
      </w:tr>
    </w:tbl>
    <w:p>
      <w:pPr>
        <w:pStyle w:val="1111"/>
        <w:shd w:val="clear" w:color="auto" w:fill="ffffff"/>
        <w:rPr>
          <w:rFonts w:ascii="inherit" w:hAnsi="inherit"/>
          <w:color w:val="000000"/>
          <w:sz w:val="21"/>
          <w:szCs w:val="21"/>
        </w:rPr>
      </w:pPr>
      <w:r>
        <w:rPr>
          <w:rFonts w:hint="eastAsia"/>
          <w:b/>
          <w:bCs/>
          <w:szCs w:val="21"/>
        </w:rPr>
        <w:t xml:space="preserve">备注：</w:t>
      </w:r>
      <w:r>
        <w:rPr>
          <w:rFonts w:ascii="inherit" w:hAnsi="inherit"/>
          <w:color w:val="000000"/>
          <w:sz w:val="21"/>
          <w:szCs w:val="21"/>
        </w:rPr>
        <w:t xml:space="preserve">所有保险责任均需承担既往病症及其并发症。</w:t>
      </w:r>
      <w:r/>
    </w:p>
    <w:p>
      <w:pPr>
        <w:ind w:firstLine="422"/>
        <w:spacing w:line="360" w:lineRule="auto"/>
        <w:rPr>
          <w:rFonts w:hint="eastAsia" w:ascii="宋体" w:hAnsi="宋体" w:cs="宋体"/>
          <w:b/>
          <w:bCs/>
          <w:szCs w:val="21"/>
        </w:rPr>
      </w:pPr>
      <w:r>
        <w:rPr>
          <w:rFonts w:hint="eastAsia" w:ascii="宋体" w:hAnsi="宋体" w:cs="宋体"/>
          <w:b/>
          <w:bCs/>
          <w:szCs w:val="21"/>
        </w:rPr>
        <w:t xml:space="preserve">（三）保险责任</w:t>
      </w:r>
      <w:r/>
    </w:p>
    <w:p>
      <w:pPr>
        <w:ind w:firstLine="420"/>
        <w:spacing w:line="360" w:lineRule="auto"/>
        <w:rPr>
          <w:rFonts w:hint="eastAsia" w:ascii="宋体" w:hAnsi="宋体" w:cs="宋体"/>
          <w:szCs w:val="21"/>
        </w:rPr>
      </w:pPr>
      <w:r>
        <w:rPr>
          <w:rFonts w:hint="eastAsia" w:ascii="宋体" w:hAnsi="宋体" w:cs="宋体"/>
          <w:szCs w:val="21"/>
        </w:rPr>
        <w:t xml:space="preserve">1.被保险人自意外伤害发生之日起180日（6个月）内因意外伤害导致死亡的，按25万元（最高限额标准）给付死亡保险金；</w:t>
      </w:r>
      <w:r/>
    </w:p>
    <w:p>
      <w:pPr>
        <w:ind w:firstLine="420"/>
        <w:spacing w:line="360" w:lineRule="auto"/>
        <w:rPr>
          <w:rFonts w:hint="eastAsia" w:ascii="宋体" w:hAnsi="宋体" w:cs="宋体"/>
          <w:szCs w:val="21"/>
        </w:rPr>
      </w:pPr>
      <w:r>
        <w:rPr>
          <w:rFonts w:hint="eastAsia" w:ascii="宋体" w:hAnsi="宋体" w:cs="宋体"/>
          <w:szCs w:val="21"/>
        </w:rPr>
        <w:t xml:space="preserve">2. 被保险人自意外伤害发生之日起180日（6个月）内因意外伤害导致身体残疾的，按残疾程度给付残疾保险金，全年最高给付25万元（最高限额标准）；</w:t>
      </w:r>
      <w:r/>
    </w:p>
    <w:p>
      <w:pPr>
        <w:ind w:firstLine="420"/>
        <w:spacing w:line="360" w:lineRule="auto"/>
        <w:rPr>
          <w:rFonts w:hint="eastAsia" w:ascii="宋体" w:hAnsi="宋体" w:cs="宋体"/>
          <w:szCs w:val="21"/>
        </w:rPr>
      </w:pPr>
      <w:r>
        <w:rPr>
          <w:rFonts w:hint="eastAsia" w:ascii="宋体" w:hAnsi="宋体" w:cs="宋体"/>
          <w:szCs w:val="21"/>
        </w:rPr>
        <w:t xml:space="preserve">3.被保险人因重大疾病在本协议的定点医院门（急）诊，对其发生的合理且必须的医疗费用，应由个人自负的医疗费用（仅含个人现金支付部分，不包含医保账户医保账户支付部分），年度累计超200元以上部分80%赔付，最高赔付限额15000元。</w:t>
      </w:r>
      <w:r/>
    </w:p>
    <w:p>
      <w:pPr>
        <w:ind w:firstLine="420"/>
        <w:spacing w:line="360" w:lineRule="auto"/>
        <w:rPr>
          <w:rFonts w:hint="eastAsia" w:ascii="宋体" w:hAnsi="宋体" w:cs="宋体"/>
          <w:szCs w:val="21"/>
        </w:rPr>
      </w:pPr>
      <w:r>
        <w:rPr>
          <w:rFonts w:hint="eastAsia" w:ascii="宋体" w:hAnsi="宋体" w:cs="宋体"/>
          <w:szCs w:val="21"/>
        </w:rPr>
        <w:t xml:space="preserve">4.被保险人因疾病住院或者意外事故需门诊、住院治疗的，对其发生的合理且必须的医疗费用，应由个人现金承担的部分（不包含医保账户支付部分），保险人按80%赔付，合计最高赔付限额30000元。</w:t>
      </w:r>
      <w:r/>
    </w:p>
    <w:p>
      <w:pPr>
        <w:ind w:firstLine="420"/>
        <w:spacing w:line="360" w:lineRule="auto"/>
        <w:rPr>
          <w:rFonts w:hint="eastAsia" w:ascii="宋体" w:hAnsi="宋体" w:cs="宋体"/>
          <w:szCs w:val="21"/>
        </w:rPr>
      </w:pPr>
      <w:r>
        <w:rPr>
          <w:rFonts w:hint="eastAsia" w:ascii="宋体" w:hAnsi="宋体" w:cs="宋体"/>
          <w:szCs w:val="21"/>
        </w:rPr>
        <w:t xml:space="preserve">5.被保险人因患重大疾病需住院治疗的，对其发生的合理且必须的医疗费用，应由个人现金承担的部分（不包含医保账户支付部分），保险人按100%赔付，最高赔付限额50000元。</w:t>
      </w:r>
      <w:r/>
    </w:p>
    <w:p>
      <w:pPr>
        <w:ind w:firstLine="420"/>
        <w:spacing w:line="360" w:lineRule="auto"/>
        <w:rPr>
          <w:rFonts w:hint="eastAsia" w:ascii="宋体" w:hAnsi="宋体" w:cs="宋体"/>
          <w:szCs w:val="21"/>
        </w:rPr>
      </w:pPr>
      <w:r>
        <w:rPr>
          <w:rFonts w:hint="eastAsia" w:ascii="宋体" w:hAnsi="宋体" w:cs="宋体"/>
          <w:szCs w:val="21"/>
        </w:rPr>
        <w:t xml:space="preserve">6.若被保险人因疾病导致身故或全残，保险公司按25万元（最高限额标准）给付身故保险金或全残保险金。</w:t>
      </w:r>
      <w:r/>
    </w:p>
    <w:p>
      <w:pPr>
        <w:ind w:firstLine="420"/>
        <w:spacing w:line="360" w:lineRule="auto"/>
        <w:rPr>
          <w:rFonts w:hint="eastAsia" w:ascii="宋体" w:hAnsi="宋体" w:cs="宋体"/>
          <w:szCs w:val="21"/>
        </w:rPr>
      </w:pPr>
      <w:r>
        <w:rPr>
          <w:rFonts w:hint="eastAsia" w:ascii="宋体" w:hAnsi="宋体" w:cs="宋体"/>
          <w:szCs w:val="21"/>
        </w:rPr>
        <w:t xml:space="preserve">7.若被保险人因意外导致身故或残疾，保险公司按25万元（最高限额标准）给付身故保险金或残疾保险金。</w:t>
      </w:r>
      <w:r/>
    </w:p>
    <w:p>
      <w:pPr>
        <w:ind w:firstLine="420"/>
        <w:spacing w:line="360" w:lineRule="auto"/>
        <w:rPr>
          <w:rFonts w:hint="eastAsia" w:ascii="宋体" w:hAnsi="宋体" w:cs="宋体"/>
          <w:szCs w:val="21"/>
        </w:rPr>
      </w:pPr>
      <w:r>
        <w:rPr>
          <w:rFonts w:hint="eastAsia" w:ascii="宋体" w:hAnsi="宋体" w:cs="宋体"/>
          <w:szCs w:val="21"/>
        </w:rPr>
        <w:t xml:space="preserve">8.重大疾病理赔无等待期，初次发生并经专科医生明确诊断患本招标文件中列明的包含癌症等重大疾病，一旦确诊，每人按保险金额10万赔付。</w:t>
      </w:r>
      <w:r/>
    </w:p>
    <w:p>
      <w:pPr>
        <w:ind w:firstLine="420"/>
        <w:spacing w:line="360" w:lineRule="auto"/>
        <w:rPr>
          <w:rFonts w:hint="eastAsia" w:ascii="宋体" w:hAnsi="宋体" w:cs="宋体"/>
          <w:szCs w:val="21"/>
        </w:rPr>
      </w:pPr>
      <w:r>
        <w:rPr>
          <w:rFonts w:hint="eastAsia" w:ascii="宋体" w:hAnsi="宋体" w:cs="宋体"/>
          <w:szCs w:val="21"/>
        </w:rPr>
        <w:t xml:space="preserve">9.轻度疾病理赔无等待期，初次发生并经专科医生明确诊断患本招标文件中列明的三类轻症疾病中的一项或者多项，一旦确诊，每人按保险金额3万赔付。</w:t>
      </w:r>
      <w:r/>
    </w:p>
    <w:p>
      <w:pPr>
        <w:ind w:firstLine="422"/>
        <w:spacing w:line="360" w:lineRule="auto"/>
        <w:rPr>
          <w:rFonts w:hint="eastAsia" w:ascii="宋体" w:hAnsi="宋体" w:cs="宋体"/>
          <w:b/>
          <w:bCs/>
          <w:szCs w:val="21"/>
        </w:rPr>
      </w:pPr>
      <w:r>
        <w:rPr>
          <w:rFonts w:hint="eastAsia" w:ascii="宋体" w:hAnsi="宋体" w:cs="宋体"/>
          <w:b/>
          <w:bCs/>
          <w:szCs w:val="21"/>
        </w:rPr>
        <w:t xml:space="preserve">（四）保险责任基本要求</w:t>
      </w:r>
      <w:r/>
    </w:p>
    <w:p>
      <w:pPr>
        <w:ind w:firstLine="420"/>
        <w:spacing w:line="360" w:lineRule="auto"/>
        <w:rPr>
          <w:rFonts w:hint="eastAsia" w:ascii="宋体" w:hAnsi="宋体" w:cs="宋体"/>
          <w:szCs w:val="21"/>
        </w:rPr>
      </w:pPr>
      <w:r>
        <w:rPr>
          <w:rFonts w:hint="eastAsia" w:ascii="宋体" w:hAnsi="宋体" w:cs="宋体"/>
          <w:szCs w:val="21"/>
        </w:rPr>
        <w:t xml:space="preserve">1.意外身故或者伤残保险</w:t>
      </w:r>
      <w:r/>
    </w:p>
    <w:p>
      <w:pPr>
        <w:ind w:firstLine="420"/>
        <w:spacing w:line="360" w:lineRule="auto"/>
        <w:rPr>
          <w:rFonts w:hint="eastAsia" w:ascii="宋体" w:hAnsi="宋体" w:cs="宋体"/>
          <w:szCs w:val="21"/>
        </w:rPr>
      </w:pPr>
      <w:r>
        <w:rPr>
          <w:rFonts w:hint="eastAsia" w:ascii="宋体" w:hAnsi="宋体" w:cs="宋体"/>
          <w:szCs w:val="21"/>
        </w:rPr>
        <w:t xml:space="preserve">责任范围：若被保险人遭受意外伤害事故，并因本次意外伤害直接导致被保险人在该意外伤害事故发生之日起180日内身故，保险公司按该被保险人对应的保险金额给付意外身故保险金。若被保险人遭受意外伤害事故，并因该意外伤害直接导致被保险人残疾的。</w:t>
      </w:r>
      <w:r/>
    </w:p>
    <w:p>
      <w:pPr>
        <w:ind w:firstLine="420"/>
        <w:spacing w:line="360" w:lineRule="auto"/>
        <w:rPr>
          <w:rFonts w:hint="eastAsia" w:ascii="宋体" w:hAnsi="宋体" w:cs="宋体"/>
          <w:szCs w:val="21"/>
        </w:rPr>
      </w:pPr>
      <w:r>
        <w:rPr>
          <w:rFonts w:hint="eastAsia" w:ascii="宋体" w:hAnsi="宋体" w:cs="宋体"/>
          <w:szCs w:val="21"/>
        </w:rPr>
        <w:t xml:space="preserve">责任免除：</w:t>
      </w:r>
      <w:r/>
    </w:p>
    <w:p>
      <w:pPr>
        <w:ind w:firstLine="420"/>
        <w:spacing w:line="360" w:lineRule="auto"/>
        <w:rPr>
          <w:rFonts w:hint="eastAsia" w:ascii="宋体" w:hAnsi="宋体" w:cs="宋体"/>
          <w:szCs w:val="21"/>
        </w:rPr>
      </w:pPr>
      <w:r>
        <w:rPr>
          <w:rFonts w:hint="eastAsia" w:ascii="宋体" w:hAnsi="宋体" w:cs="宋体"/>
          <w:szCs w:val="21"/>
        </w:rPr>
        <w:t xml:space="preserve">因下列情形之一导致被保险人身故的，保险公司不承担给付保险金的责任：</w:t>
      </w:r>
      <w:r/>
    </w:p>
    <w:p>
      <w:pPr>
        <w:ind w:firstLine="420"/>
        <w:spacing w:line="360" w:lineRule="auto"/>
        <w:rPr>
          <w:rFonts w:hint="eastAsia" w:ascii="宋体" w:hAnsi="宋体" w:cs="宋体"/>
          <w:szCs w:val="21"/>
        </w:rPr>
      </w:pPr>
      <w:r>
        <w:rPr>
          <w:rFonts w:hint="eastAsia" w:ascii="宋体" w:hAnsi="宋体" w:cs="宋体"/>
          <w:szCs w:val="21"/>
        </w:rPr>
        <w:t xml:space="preserve">（1）投保人对被保险人的故意杀害、故意伤害；</w:t>
      </w:r>
      <w:r/>
    </w:p>
    <w:p>
      <w:pPr>
        <w:ind w:firstLine="420"/>
        <w:spacing w:line="360" w:lineRule="auto"/>
        <w:rPr>
          <w:rFonts w:hint="eastAsia" w:ascii="宋体" w:hAnsi="宋体" w:cs="宋体"/>
          <w:szCs w:val="21"/>
        </w:rPr>
      </w:pPr>
      <w:r>
        <w:rPr>
          <w:rFonts w:hint="eastAsia" w:ascii="宋体" w:hAnsi="宋体" w:cs="宋体"/>
          <w:szCs w:val="21"/>
        </w:rPr>
        <w:t xml:space="preserve">（2）被保险人故意犯罪或者抗拒依法采取的刑事强制措施；</w:t>
      </w:r>
      <w:r/>
    </w:p>
    <w:p>
      <w:pPr>
        <w:ind w:firstLine="420"/>
        <w:spacing w:line="360" w:lineRule="auto"/>
        <w:rPr>
          <w:rFonts w:hint="eastAsia" w:ascii="宋体" w:hAnsi="宋体" w:cs="宋体"/>
          <w:szCs w:val="21"/>
        </w:rPr>
      </w:pPr>
      <w:r>
        <w:rPr>
          <w:rFonts w:hint="eastAsia" w:ascii="宋体" w:hAnsi="宋体" w:cs="宋体"/>
          <w:szCs w:val="21"/>
        </w:rPr>
        <w:t xml:space="preserve">（3）被保险人自杀，但被保险人自杀时为无民事行为能力人的除外；</w:t>
      </w:r>
      <w:r/>
    </w:p>
    <w:p>
      <w:pPr>
        <w:ind w:firstLine="420"/>
        <w:spacing w:line="360" w:lineRule="auto"/>
        <w:rPr>
          <w:rFonts w:hint="eastAsia" w:ascii="宋体" w:hAnsi="宋体" w:cs="宋体"/>
          <w:szCs w:val="21"/>
        </w:rPr>
      </w:pPr>
      <w:r>
        <w:rPr>
          <w:rFonts w:hint="eastAsia" w:ascii="宋体" w:hAnsi="宋体" w:cs="宋体"/>
          <w:szCs w:val="21"/>
        </w:rPr>
        <w:t xml:space="preserve">（4）被保险人醉酒，斗殴，主动吸食或注射毒品；</w:t>
      </w:r>
      <w:r/>
    </w:p>
    <w:p>
      <w:pPr>
        <w:ind w:firstLine="420"/>
        <w:spacing w:line="360" w:lineRule="auto"/>
        <w:rPr>
          <w:rFonts w:hint="eastAsia" w:ascii="宋体" w:hAnsi="宋体" w:cs="宋体"/>
          <w:szCs w:val="21"/>
        </w:rPr>
      </w:pPr>
      <w:r>
        <w:rPr>
          <w:rFonts w:hint="eastAsia" w:ascii="宋体" w:hAnsi="宋体" w:cs="宋体"/>
          <w:szCs w:val="21"/>
        </w:rPr>
        <w:t xml:space="preserve">（5）被保险人酒后驾驶，无合法有效驾驶证驾驶，或驾驶无有效行驶证的机动车；</w:t>
      </w:r>
      <w:r/>
    </w:p>
    <w:p>
      <w:pPr>
        <w:ind w:firstLine="420"/>
        <w:spacing w:line="360" w:lineRule="auto"/>
        <w:rPr>
          <w:rFonts w:hint="eastAsia" w:ascii="宋体" w:hAnsi="宋体" w:cs="宋体"/>
          <w:szCs w:val="21"/>
        </w:rPr>
      </w:pPr>
      <w:r>
        <w:rPr>
          <w:rFonts w:hint="eastAsia" w:ascii="宋体" w:hAnsi="宋体" w:cs="宋体"/>
          <w:szCs w:val="21"/>
        </w:rPr>
        <w:t xml:space="preserve">（6）被保险人因妊娠（含宫外孕）、流产、分娩（含剖宫产）导致的伤害；</w:t>
      </w:r>
      <w:r/>
    </w:p>
    <w:p>
      <w:pPr>
        <w:ind w:firstLine="420"/>
        <w:spacing w:line="360" w:lineRule="auto"/>
        <w:rPr>
          <w:rFonts w:hint="eastAsia" w:ascii="宋体" w:hAnsi="宋体" w:cs="宋体"/>
          <w:szCs w:val="21"/>
        </w:rPr>
      </w:pPr>
      <w:r>
        <w:rPr>
          <w:rFonts w:hint="eastAsia" w:ascii="宋体" w:hAnsi="宋体" w:cs="宋体"/>
          <w:szCs w:val="21"/>
        </w:rPr>
        <w:t xml:space="preserve">（7）被保险人因医疗事故、药物过敏导致的伤害；</w:t>
      </w:r>
      <w:r/>
    </w:p>
    <w:p>
      <w:pPr>
        <w:ind w:firstLine="420"/>
        <w:spacing w:line="360" w:lineRule="auto"/>
        <w:rPr>
          <w:rFonts w:hint="eastAsia" w:ascii="宋体" w:hAnsi="宋体" w:cs="宋体"/>
          <w:szCs w:val="21"/>
        </w:rPr>
      </w:pPr>
      <w:r>
        <w:rPr>
          <w:rFonts w:hint="eastAsia" w:ascii="宋体" w:hAnsi="宋体" w:cs="宋体"/>
          <w:szCs w:val="21"/>
        </w:rPr>
        <w:t xml:space="preserve">（8）被保险人因精神疾病导致的意外；</w:t>
      </w:r>
      <w:r/>
    </w:p>
    <w:p>
      <w:pPr>
        <w:ind w:firstLine="420"/>
        <w:spacing w:line="360" w:lineRule="auto"/>
        <w:rPr>
          <w:rFonts w:hint="eastAsia" w:ascii="宋体" w:hAnsi="宋体" w:cs="宋体"/>
          <w:szCs w:val="21"/>
        </w:rPr>
      </w:pPr>
      <w:r>
        <w:rPr>
          <w:rFonts w:hint="eastAsia" w:ascii="宋体" w:hAnsi="宋体" w:cs="宋体"/>
          <w:szCs w:val="21"/>
        </w:rPr>
        <w:t xml:space="preserve">（9）被保险人未遵医嘱，私自使用药物，但按使用说明的规定使用非处方药除外；</w:t>
      </w:r>
      <w:r/>
    </w:p>
    <w:p>
      <w:pPr>
        <w:ind w:firstLine="420"/>
        <w:spacing w:line="360" w:lineRule="auto"/>
        <w:rPr>
          <w:rFonts w:hint="eastAsia" w:ascii="宋体" w:hAnsi="宋体" w:cs="宋体"/>
          <w:szCs w:val="21"/>
        </w:rPr>
      </w:pPr>
      <w:r>
        <w:rPr>
          <w:rFonts w:hint="eastAsia" w:ascii="宋体" w:hAnsi="宋体" w:cs="宋体"/>
          <w:szCs w:val="21"/>
        </w:rPr>
        <w:t xml:space="preserve">（10）被保险人参加潜水、跳伞、攀岩、驾驶滑翔机或滑翔伞、探险、摔跤、武术比赛、特技表演、赛马、赛车等高风险活动；</w:t>
      </w:r>
      <w:r/>
    </w:p>
    <w:p>
      <w:pPr>
        <w:ind w:firstLine="420"/>
        <w:spacing w:line="360" w:lineRule="auto"/>
        <w:rPr>
          <w:rFonts w:hint="eastAsia" w:ascii="宋体" w:hAnsi="宋体" w:cs="宋体"/>
          <w:szCs w:val="21"/>
        </w:rPr>
      </w:pPr>
      <w:r>
        <w:rPr>
          <w:rFonts w:hint="eastAsia" w:ascii="宋体" w:hAnsi="宋体" w:cs="宋体"/>
          <w:szCs w:val="21"/>
        </w:rPr>
        <w:t xml:space="preserve">（11）战争、军事冲突、暴乱或武装叛乱；</w:t>
      </w:r>
      <w:r/>
    </w:p>
    <w:p>
      <w:pPr>
        <w:ind w:firstLine="420"/>
        <w:spacing w:line="360" w:lineRule="auto"/>
        <w:rPr>
          <w:rFonts w:hint="eastAsia" w:ascii="宋体" w:hAnsi="宋体" w:cs="宋体"/>
          <w:szCs w:val="21"/>
        </w:rPr>
      </w:pPr>
      <w:r>
        <w:rPr>
          <w:rFonts w:hint="eastAsia" w:ascii="宋体" w:hAnsi="宋体" w:cs="宋体"/>
          <w:szCs w:val="21"/>
        </w:rPr>
        <w:t xml:space="preserve">（12）核爆炸、核辐射或核污染。</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特别约定：因工作原因导致的意外伤害除外。（因工作原因与上述除外责任冲突的，不受该除外责任约束）</w:t>
      </w:r>
      <w:r/>
    </w:p>
    <w:p>
      <w:pPr>
        <w:ind w:firstLine="420"/>
        <w:spacing w:line="360" w:lineRule="auto"/>
        <w:rPr>
          <w:rFonts w:hint="eastAsia" w:ascii="宋体" w:hAnsi="宋体" w:cs="宋体"/>
          <w:szCs w:val="21"/>
        </w:rPr>
      </w:pPr>
      <w:r>
        <w:rPr>
          <w:rFonts w:hint="eastAsia" w:ascii="宋体" w:hAnsi="宋体" w:cs="宋体"/>
          <w:szCs w:val="21"/>
        </w:rPr>
        <w:t xml:space="preserve">2.疾病身故或全残保险</w:t>
      </w:r>
      <w:r/>
    </w:p>
    <w:p>
      <w:pPr>
        <w:ind w:firstLine="420"/>
        <w:spacing w:line="360" w:lineRule="auto"/>
        <w:rPr>
          <w:rFonts w:hint="eastAsia" w:ascii="宋体" w:hAnsi="宋体" w:cs="宋体"/>
          <w:szCs w:val="21"/>
        </w:rPr>
      </w:pPr>
      <w:r>
        <w:rPr>
          <w:rFonts w:hint="eastAsia" w:ascii="宋体" w:hAnsi="宋体" w:cs="宋体"/>
          <w:szCs w:val="21"/>
        </w:rPr>
        <w:t xml:space="preserve">责任范围：在保险期间内，被保险人因疾病原因导致身故或者全残的，保险人按本合同约定给付疾病身故保险金。</w:t>
      </w:r>
      <w:r/>
    </w:p>
    <w:p>
      <w:pPr>
        <w:ind w:firstLine="420"/>
        <w:spacing w:line="360" w:lineRule="auto"/>
        <w:rPr>
          <w:rFonts w:hint="eastAsia" w:ascii="宋体" w:hAnsi="宋体" w:cs="宋体"/>
          <w:szCs w:val="21"/>
        </w:rPr>
      </w:pPr>
      <w:r>
        <w:rPr>
          <w:rFonts w:hint="eastAsia" w:ascii="宋体" w:hAnsi="宋体" w:cs="宋体"/>
          <w:szCs w:val="21"/>
        </w:rPr>
        <w:t xml:space="preserve">责任免除</w:t>
      </w:r>
      <w:r/>
    </w:p>
    <w:p>
      <w:pPr>
        <w:ind w:firstLine="420"/>
        <w:spacing w:line="360" w:lineRule="auto"/>
        <w:rPr>
          <w:rFonts w:hint="eastAsia" w:ascii="宋体" w:hAnsi="宋体" w:cs="宋体"/>
          <w:szCs w:val="21"/>
        </w:rPr>
      </w:pPr>
      <w:r>
        <w:rPr>
          <w:rFonts w:hint="eastAsia" w:ascii="宋体" w:hAnsi="宋体" w:cs="宋体"/>
          <w:szCs w:val="21"/>
        </w:rPr>
        <w:t xml:space="preserve">因下列情形之一导致被保险人身故的，保险公司不承担给付保险金的责任：</w:t>
      </w:r>
      <w:r/>
    </w:p>
    <w:p>
      <w:pPr>
        <w:ind w:firstLine="420"/>
        <w:spacing w:line="360" w:lineRule="auto"/>
        <w:rPr>
          <w:rFonts w:hint="eastAsia" w:ascii="宋体" w:hAnsi="宋体" w:cs="宋体"/>
          <w:szCs w:val="21"/>
        </w:rPr>
      </w:pPr>
      <w:r>
        <w:rPr>
          <w:rFonts w:hint="eastAsia" w:ascii="宋体" w:hAnsi="宋体" w:cs="宋体"/>
          <w:szCs w:val="21"/>
        </w:rPr>
        <w:t xml:space="preserve">（1）投保人对被保险人的故意杀害、故意伤害；</w:t>
      </w:r>
      <w:r/>
    </w:p>
    <w:p>
      <w:pPr>
        <w:ind w:firstLine="420"/>
        <w:spacing w:line="360" w:lineRule="auto"/>
        <w:rPr>
          <w:rFonts w:hint="eastAsia" w:ascii="宋体" w:hAnsi="宋体" w:cs="宋体"/>
          <w:szCs w:val="21"/>
        </w:rPr>
      </w:pPr>
      <w:r>
        <w:rPr>
          <w:rFonts w:hint="eastAsia" w:ascii="宋体" w:hAnsi="宋体" w:cs="宋体"/>
          <w:szCs w:val="21"/>
        </w:rPr>
        <w:t xml:space="preserve">（2）被保险人故意犯罪或者抗拒依法采取的刑事强制措施；</w:t>
      </w:r>
      <w:r/>
    </w:p>
    <w:p>
      <w:pPr>
        <w:ind w:firstLine="420"/>
        <w:spacing w:line="360" w:lineRule="auto"/>
        <w:rPr>
          <w:rFonts w:hint="eastAsia" w:ascii="宋体" w:hAnsi="宋体" w:cs="宋体"/>
          <w:szCs w:val="21"/>
        </w:rPr>
      </w:pPr>
      <w:r>
        <w:rPr>
          <w:rFonts w:hint="eastAsia" w:ascii="宋体" w:hAnsi="宋体" w:cs="宋体"/>
          <w:szCs w:val="21"/>
        </w:rPr>
        <w:t xml:space="preserve">（3）被保险人自杀，但被保险人自杀时为无民事行为能力人的除外；</w:t>
      </w:r>
      <w:r/>
    </w:p>
    <w:p>
      <w:pPr>
        <w:ind w:firstLine="420"/>
        <w:spacing w:line="360" w:lineRule="auto"/>
        <w:rPr>
          <w:rFonts w:hint="eastAsia" w:ascii="宋体" w:hAnsi="宋体" w:cs="宋体"/>
          <w:szCs w:val="21"/>
        </w:rPr>
      </w:pPr>
      <w:r>
        <w:rPr>
          <w:rFonts w:hint="eastAsia" w:ascii="宋体" w:hAnsi="宋体" w:cs="宋体"/>
          <w:szCs w:val="21"/>
        </w:rPr>
        <w:t xml:space="preserve">（4）被保险人主动吸食或注射毒品；</w:t>
      </w:r>
      <w:r/>
    </w:p>
    <w:p>
      <w:pPr>
        <w:ind w:firstLine="420"/>
        <w:spacing w:line="360" w:lineRule="auto"/>
        <w:rPr>
          <w:rFonts w:hint="eastAsia" w:ascii="宋体" w:hAnsi="宋体" w:cs="宋体"/>
          <w:szCs w:val="21"/>
        </w:rPr>
      </w:pPr>
      <w:r>
        <w:rPr>
          <w:rFonts w:hint="eastAsia" w:ascii="宋体" w:hAnsi="宋体" w:cs="宋体"/>
          <w:szCs w:val="21"/>
        </w:rPr>
        <w:t xml:space="preserve">（5）被保险人酒后驾驶，无合法有效驾驶证驾驶，或驾驶无有效行驶证的机动车；</w:t>
      </w:r>
      <w:r/>
    </w:p>
    <w:p>
      <w:pPr>
        <w:ind w:firstLine="420"/>
        <w:spacing w:line="360" w:lineRule="auto"/>
        <w:rPr>
          <w:rFonts w:hint="eastAsia" w:ascii="宋体" w:hAnsi="宋体" w:cs="宋体"/>
          <w:szCs w:val="21"/>
        </w:rPr>
      </w:pPr>
      <w:r>
        <w:rPr>
          <w:rFonts w:hint="eastAsia" w:ascii="宋体" w:hAnsi="宋体" w:cs="宋体"/>
          <w:szCs w:val="21"/>
        </w:rPr>
        <w:t xml:space="preserve">（6）战争、军事冲突、暴乱或武装叛乱；</w:t>
      </w:r>
      <w:r/>
    </w:p>
    <w:p>
      <w:pPr>
        <w:ind w:firstLine="420"/>
        <w:spacing w:line="360" w:lineRule="auto"/>
        <w:rPr>
          <w:rFonts w:hint="eastAsia" w:ascii="宋体" w:hAnsi="宋体" w:cs="宋体"/>
          <w:szCs w:val="21"/>
        </w:rPr>
      </w:pPr>
      <w:r>
        <w:rPr>
          <w:rFonts w:hint="eastAsia" w:ascii="宋体" w:hAnsi="宋体" w:cs="宋体"/>
          <w:szCs w:val="21"/>
        </w:rPr>
        <w:t xml:space="preserve">（7）核爆炸、核辐射或核污染；</w:t>
      </w:r>
      <w:r/>
    </w:p>
    <w:p>
      <w:pPr>
        <w:ind w:firstLine="420"/>
        <w:spacing w:line="360" w:lineRule="auto"/>
        <w:rPr>
          <w:rFonts w:hint="eastAsia" w:ascii="宋体" w:hAnsi="宋体" w:cs="宋体"/>
          <w:szCs w:val="21"/>
        </w:rPr>
      </w:pPr>
      <w:r>
        <w:rPr>
          <w:rFonts w:hint="eastAsia" w:ascii="宋体" w:hAnsi="宋体" w:cs="宋体"/>
          <w:szCs w:val="21"/>
        </w:rPr>
        <w:t xml:space="preserve">（8）被保险人在保险责任开始前已患的疾病或其并发症、已遭受的伤害，或已有的生理缺陷或残疾，但保险公司在合同订立时已知晓并同意承保的除外。</w:t>
      </w:r>
      <w:r/>
    </w:p>
    <w:p>
      <w:pPr>
        <w:ind w:firstLine="420"/>
        <w:spacing w:line="360" w:lineRule="auto"/>
        <w:rPr>
          <w:rFonts w:hint="eastAsia" w:ascii="宋体" w:hAnsi="宋体" w:cs="宋体"/>
          <w:szCs w:val="21"/>
        </w:rPr>
      </w:pPr>
      <w:r>
        <w:rPr>
          <w:rFonts w:hint="eastAsia" w:ascii="宋体" w:hAnsi="宋体" w:cs="宋体"/>
          <w:szCs w:val="21"/>
        </w:rPr>
        <w:t xml:space="preserve">期间除外：</w:t>
      </w:r>
      <w:r/>
    </w:p>
    <w:p>
      <w:pPr>
        <w:ind w:firstLine="420"/>
        <w:spacing w:line="360" w:lineRule="auto"/>
        <w:rPr>
          <w:rFonts w:hint="eastAsia" w:ascii="宋体" w:hAnsi="宋体" w:cs="宋体"/>
          <w:szCs w:val="21"/>
        </w:rPr>
      </w:pPr>
      <w:r>
        <w:rPr>
          <w:rFonts w:hint="eastAsia" w:ascii="宋体" w:hAnsi="宋体" w:cs="宋体"/>
          <w:szCs w:val="21"/>
        </w:rPr>
        <w:t xml:space="preserve">被保险人在下列期间罹患疾病身故的，保险人不承担给付保险金责任：</w:t>
      </w:r>
      <w:r/>
    </w:p>
    <w:p>
      <w:pPr>
        <w:ind w:firstLine="420"/>
        <w:spacing w:line="360" w:lineRule="auto"/>
        <w:rPr>
          <w:rFonts w:hint="eastAsia" w:ascii="宋体" w:hAnsi="宋体" w:cs="宋体"/>
          <w:szCs w:val="21"/>
        </w:rPr>
      </w:pPr>
      <w:r>
        <w:rPr>
          <w:rFonts w:hint="eastAsia" w:ascii="宋体" w:hAnsi="宋体" w:cs="宋体"/>
          <w:szCs w:val="21"/>
        </w:rPr>
        <w:t xml:space="preserve">（1）战争、军事行动、武装叛乱或暴乱期间；</w:t>
      </w:r>
      <w:r/>
    </w:p>
    <w:p>
      <w:pPr>
        <w:ind w:firstLine="420"/>
        <w:spacing w:line="360" w:lineRule="auto"/>
        <w:rPr>
          <w:rFonts w:hint="eastAsia" w:ascii="宋体" w:hAnsi="宋体" w:cs="宋体"/>
          <w:szCs w:val="21"/>
        </w:rPr>
      </w:pPr>
      <w:r>
        <w:rPr>
          <w:rFonts w:hint="eastAsia" w:ascii="宋体" w:hAnsi="宋体" w:cs="宋体"/>
          <w:szCs w:val="21"/>
        </w:rPr>
        <w:t xml:space="preserve">（2）被保险人从事违法、犯罪活动期间或被依法拘留、服刑、在逃期间；</w:t>
      </w:r>
      <w:r/>
    </w:p>
    <w:p>
      <w:pPr>
        <w:ind w:firstLine="420"/>
        <w:spacing w:line="360" w:lineRule="auto"/>
        <w:rPr>
          <w:rFonts w:hint="eastAsia" w:ascii="宋体" w:hAnsi="宋体" w:cs="宋体"/>
          <w:szCs w:val="21"/>
        </w:rPr>
      </w:pPr>
      <w:r>
        <w:rPr>
          <w:rFonts w:hint="eastAsia" w:ascii="宋体" w:hAnsi="宋体" w:cs="宋体"/>
          <w:szCs w:val="21"/>
        </w:rPr>
        <w:t xml:space="preserve">（3）被保险人存在精神和行为障碍期间；</w:t>
      </w:r>
      <w:r/>
    </w:p>
    <w:p>
      <w:pPr>
        <w:ind w:firstLine="420"/>
        <w:spacing w:line="360" w:lineRule="auto"/>
        <w:rPr>
          <w:rFonts w:hint="eastAsia" w:ascii="宋体" w:hAnsi="宋体" w:cs="宋体"/>
          <w:szCs w:val="21"/>
        </w:rPr>
      </w:pPr>
      <w:r>
        <w:rPr>
          <w:rFonts w:hint="eastAsia" w:ascii="宋体" w:hAnsi="宋体" w:cs="宋体"/>
          <w:szCs w:val="21"/>
        </w:rPr>
        <w:t xml:space="preserve">（4）被保险人感染艾滋病病毒（HIV呈阳性）或患艾滋病（AIDS）期间。</w:t>
      </w:r>
      <w:r/>
    </w:p>
    <w:p>
      <w:pPr>
        <w:ind w:firstLine="420"/>
        <w:spacing w:line="360" w:lineRule="auto"/>
        <w:rPr>
          <w:rFonts w:hint="eastAsia" w:ascii="宋体" w:hAnsi="宋体" w:cs="宋体"/>
          <w:szCs w:val="21"/>
        </w:rPr>
      </w:pPr>
      <w:r>
        <w:rPr>
          <w:rFonts w:hint="eastAsia" w:ascii="宋体" w:hAnsi="宋体" w:cs="宋体"/>
          <w:szCs w:val="21"/>
        </w:rPr>
        <w:t xml:space="preserve">3.住院保险</w:t>
      </w:r>
      <w:r/>
    </w:p>
    <w:p>
      <w:pPr>
        <w:ind w:firstLine="420"/>
        <w:spacing w:line="360" w:lineRule="auto"/>
        <w:rPr>
          <w:rFonts w:hint="eastAsia" w:ascii="宋体" w:hAnsi="宋体" w:cs="宋体"/>
          <w:szCs w:val="21"/>
        </w:rPr>
      </w:pPr>
      <w:r>
        <w:rPr>
          <w:rFonts w:hint="eastAsia" w:ascii="宋体" w:hAnsi="宋体" w:cs="宋体"/>
          <w:szCs w:val="21"/>
        </w:rPr>
        <w:t xml:space="preserve">责任范围：被保险人自本合同生效之日起因患疾病或者意外，进行住院治疗，保险公司在被保险人从公费医疗或基本医疗保险中取得医疗费用补偿后，对剩余医疗费用中合理且必要的住院医疗费用，个人现金支付部分按投保时约定的给付比例给付保险金。</w:t>
      </w:r>
      <w:r/>
    </w:p>
    <w:p>
      <w:pPr>
        <w:ind w:firstLine="420"/>
        <w:spacing w:line="360" w:lineRule="auto"/>
        <w:rPr>
          <w:rFonts w:hint="eastAsia" w:ascii="宋体" w:hAnsi="宋体" w:cs="宋体"/>
          <w:szCs w:val="21"/>
        </w:rPr>
      </w:pPr>
      <w:r>
        <w:rPr>
          <w:rFonts w:hint="eastAsia" w:ascii="宋体" w:hAnsi="宋体" w:cs="宋体"/>
          <w:szCs w:val="21"/>
        </w:rPr>
        <w:t xml:space="preserve">责任免除：</w:t>
      </w:r>
      <w:r/>
    </w:p>
    <w:p>
      <w:pPr>
        <w:ind w:firstLine="420"/>
        <w:spacing w:line="360" w:lineRule="auto"/>
        <w:rPr>
          <w:rFonts w:hint="eastAsia" w:ascii="宋体" w:hAnsi="宋体" w:cs="宋体"/>
          <w:szCs w:val="21"/>
        </w:rPr>
      </w:pPr>
      <w:r>
        <w:rPr>
          <w:rFonts w:hint="eastAsia" w:ascii="宋体" w:hAnsi="宋体" w:cs="宋体"/>
          <w:szCs w:val="21"/>
        </w:rPr>
        <w:t xml:space="preserve">对下列费用，或因下列情形之一导致被保险人住院治疗的，本公司不负给付保险金责任：</w:t>
      </w:r>
      <w:r/>
    </w:p>
    <w:p>
      <w:pPr>
        <w:ind w:firstLine="420"/>
        <w:spacing w:line="360" w:lineRule="auto"/>
        <w:rPr>
          <w:rFonts w:hint="eastAsia" w:ascii="宋体" w:hAnsi="宋体" w:cs="宋体"/>
          <w:szCs w:val="21"/>
        </w:rPr>
      </w:pPr>
      <w:r>
        <w:rPr>
          <w:rFonts w:hint="eastAsia" w:ascii="宋体" w:hAnsi="宋体" w:cs="宋体"/>
          <w:szCs w:val="21"/>
        </w:rPr>
        <w:t xml:space="preserve">（1）主险合同列明的“责任免除”事项；</w:t>
      </w:r>
      <w:r/>
    </w:p>
    <w:p>
      <w:pPr>
        <w:ind w:firstLine="420"/>
        <w:spacing w:line="360" w:lineRule="auto"/>
        <w:rPr>
          <w:rFonts w:hint="eastAsia" w:ascii="宋体" w:hAnsi="宋体" w:cs="宋体"/>
          <w:szCs w:val="21"/>
        </w:rPr>
      </w:pPr>
      <w:r>
        <w:rPr>
          <w:rFonts w:hint="eastAsia" w:ascii="宋体" w:hAnsi="宋体" w:cs="宋体"/>
          <w:szCs w:val="21"/>
        </w:rPr>
        <w:t xml:space="preserve">（2）被保险人醉酒，斗殴；</w:t>
      </w:r>
      <w:r/>
    </w:p>
    <w:p>
      <w:pPr>
        <w:ind w:firstLine="420"/>
        <w:spacing w:line="360" w:lineRule="auto"/>
        <w:rPr>
          <w:rFonts w:hint="eastAsia" w:ascii="宋体" w:hAnsi="宋体" w:cs="宋体"/>
          <w:szCs w:val="21"/>
        </w:rPr>
      </w:pPr>
      <w:r>
        <w:rPr>
          <w:rFonts w:hint="eastAsia" w:ascii="宋体" w:hAnsi="宋体" w:cs="宋体"/>
          <w:szCs w:val="21"/>
        </w:rPr>
        <w:t xml:space="preserve">（3）被保险人因医疗事故、药物过敏导致的伤害；</w:t>
      </w:r>
      <w:r/>
    </w:p>
    <w:p>
      <w:pPr>
        <w:ind w:firstLine="420"/>
        <w:spacing w:line="360" w:lineRule="auto"/>
        <w:rPr>
          <w:rFonts w:hint="eastAsia" w:ascii="宋体" w:hAnsi="宋体" w:cs="宋体"/>
          <w:szCs w:val="21"/>
        </w:rPr>
      </w:pPr>
      <w:r>
        <w:rPr>
          <w:rFonts w:hint="eastAsia" w:ascii="宋体" w:hAnsi="宋体" w:cs="宋体"/>
          <w:szCs w:val="21"/>
        </w:rPr>
        <w:t xml:space="preserve">（4）被保险人未遵医嘱，私自使用药物，但按使用说明的规定使用非处方药的除外；</w:t>
      </w:r>
      <w:r/>
    </w:p>
    <w:p>
      <w:pPr>
        <w:ind w:firstLine="420"/>
        <w:spacing w:line="360" w:lineRule="auto"/>
        <w:rPr>
          <w:rFonts w:hint="eastAsia" w:ascii="宋体" w:hAnsi="宋体" w:cs="宋体"/>
          <w:szCs w:val="21"/>
        </w:rPr>
      </w:pPr>
      <w:r>
        <w:rPr>
          <w:rFonts w:hint="eastAsia" w:ascii="宋体" w:hAnsi="宋体" w:cs="宋体"/>
          <w:szCs w:val="21"/>
        </w:rPr>
        <w:t xml:space="preserve">（5）被保险人参加潜水、跳伞、攀岩、驾驶滑翔机或滑翔伞、探险、摔跤、武术比赛、特技表演、赛马、赛车等高风险活动；</w:t>
      </w:r>
      <w:r/>
    </w:p>
    <w:p>
      <w:pPr>
        <w:ind w:firstLine="420"/>
        <w:spacing w:line="360" w:lineRule="auto"/>
        <w:rPr>
          <w:rFonts w:hint="eastAsia" w:ascii="宋体" w:hAnsi="宋体" w:cs="宋体"/>
          <w:szCs w:val="21"/>
        </w:rPr>
      </w:pPr>
      <w:r>
        <w:rPr>
          <w:rFonts w:hint="eastAsia" w:ascii="宋体" w:hAnsi="宋体" w:cs="宋体"/>
          <w:szCs w:val="21"/>
        </w:rPr>
        <w:t xml:space="preserve">（6）被保险人在本附加险合同生效前所患或出现的疾病（或其并发症）、症状、体征、生理缺陷、残疾，但本公司在承保时已知晓并做出书面认可的除外；</w:t>
      </w:r>
      <w:r/>
    </w:p>
    <w:p>
      <w:pPr>
        <w:ind w:firstLine="420"/>
        <w:spacing w:line="360" w:lineRule="auto"/>
        <w:rPr>
          <w:rFonts w:hint="eastAsia" w:ascii="宋体" w:hAnsi="宋体" w:cs="宋体"/>
          <w:szCs w:val="21"/>
        </w:rPr>
      </w:pPr>
      <w:r>
        <w:rPr>
          <w:rFonts w:hint="eastAsia" w:ascii="宋体" w:hAnsi="宋体" w:cs="宋体"/>
          <w:szCs w:val="21"/>
        </w:rPr>
        <w:t xml:space="preserve">（7）被保险人感染艾滋病病毒或患艾滋病；</w:t>
      </w:r>
      <w:r/>
    </w:p>
    <w:p>
      <w:pPr>
        <w:ind w:firstLine="420"/>
        <w:spacing w:line="360" w:lineRule="auto"/>
        <w:rPr>
          <w:rFonts w:hint="eastAsia" w:ascii="宋体" w:hAnsi="宋体" w:cs="宋体"/>
          <w:szCs w:val="21"/>
        </w:rPr>
      </w:pPr>
      <w:r>
        <w:rPr>
          <w:rFonts w:hint="eastAsia" w:ascii="宋体" w:hAnsi="宋体" w:cs="宋体"/>
          <w:szCs w:val="21"/>
        </w:rPr>
        <w:t xml:space="preserve">（8）被保险人因先天性疾病、先天性畸形而住院治疗的；</w:t>
      </w:r>
      <w:r/>
    </w:p>
    <w:p>
      <w:pPr>
        <w:ind w:firstLine="420"/>
        <w:spacing w:line="360" w:lineRule="auto"/>
        <w:rPr>
          <w:rFonts w:hint="eastAsia" w:ascii="宋体" w:hAnsi="宋体" w:cs="宋体"/>
          <w:szCs w:val="21"/>
        </w:rPr>
      </w:pPr>
      <w:r>
        <w:rPr>
          <w:rFonts w:hint="eastAsia" w:ascii="宋体" w:hAnsi="宋体" w:cs="宋体"/>
          <w:szCs w:val="21"/>
        </w:rPr>
        <w:t xml:space="preserve">（9）被保险人患精神病、职业病、特定传染病、地方病或进行美容整形手术、矫形、变性手术治疗；</w:t>
      </w:r>
      <w:r/>
    </w:p>
    <w:p>
      <w:pPr>
        <w:ind w:firstLine="420"/>
        <w:spacing w:line="360" w:lineRule="auto"/>
        <w:rPr>
          <w:rFonts w:hint="eastAsia" w:ascii="宋体" w:hAnsi="宋体" w:cs="宋体"/>
          <w:szCs w:val="21"/>
        </w:rPr>
      </w:pPr>
      <w:r>
        <w:rPr>
          <w:rFonts w:hint="eastAsia" w:ascii="宋体" w:hAnsi="宋体" w:cs="宋体"/>
          <w:szCs w:val="21"/>
        </w:rPr>
        <w:t xml:space="preserve">（10）被保险人怀孕、流产、分娩（含剖腹产）、避孕、绝育手术、治疗不孕症、人工受孕，或由前述情形导致的并发症，但宫外孕、意外伤害所致的流产或分娩除外；</w:t>
      </w:r>
      <w:r/>
    </w:p>
    <w:p>
      <w:pPr>
        <w:ind w:firstLine="420"/>
        <w:spacing w:line="360" w:lineRule="auto"/>
        <w:rPr>
          <w:rFonts w:hint="eastAsia" w:ascii="宋体" w:hAnsi="宋体" w:cs="宋体"/>
          <w:szCs w:val="21"/>
        </w:rPr>
      </w:pPr>
      <w:r>
        <w:rPr>
          <w:rFonts w:hint="eastAsia" w:ascii="宋体" w:hAnsi="宋体" w:cs="宋体"/>
          <w:szCs w:val="21"/>
        </w:rPr>
        <w:t xml:space="preserve">（11）被保险人的一般健康检查、疗养、康复，或以捐献身体器官为目的的医疗行为；</w:t>
      </w:r>
      <w:r/>
    </w:p>
    <w:p>
      <w:pPr>
        <w:ind w:firstLine="420"/>
        <w:spacing w:line="360" w:lineRule="auto"/>
        <w:rPr>
          <w:rFonts w:hint="eastAsia" w:ascii="宋体" w:hAnsi="宋体" w:cs="宋体"/>
          <w:szCs w:val="21"/>
        </w:rPr>
      </w:pPr>
      <w:r>
        <w:rPr>
          <w:rFonts w:hint="eastAsia" w:ascii="宋体" w:hAnsi="宋体" w:cs="宋体"/>
          <w:szCs w:val="21"/>
        </w:rPr>
        <w:t xml:space="preserve">（12）心理咨询、器官移植，或修复、安装、购买残疾用具（如轮椅、假肢、助听器、假眼、配镜等）；</w:t>
      </w:r>
      <w:r/>
    </w:p>
    <w:p>
      <w:pPr>
        <w:ind w:firstLine="422"/>
        <w:spacing w:line="360" w:lineRule="auto"/>
        <w:rPr>
          <w:rFonts w:hint="eastAsia" w:ascii="宋体" w:hAnsi="宋体" w:cs="宋体"/>
          <w:b/>
          <w:bCs/>
          <w:szCs w:val="21"/>
        </w:rPr>
      </w:pPr>
      <w:r>
        <w:rPr>
          <w:rFonts w:hint="eastAsia" w:ascii="宋体" w:hAnsi="宋体" w:cs="宋体"/>
          <w:b/>
          <w:bCs/>
          <w:szCs w:val="21"/>
        </w:rPr>
        <w:t xml:space="preserve">（五）重大疾病释义</w:t>
      </w:r>
      <w:r/>
    </w:p>
    <w:p>
      <w:pPr>
        <w:ind w:firstLine="420"/>
        <w:spacing w:line="360" w:lineRule="auto"/>
        <w:rPr>
          <w:rFonts w:hint="eastAsia" w:ascii="宋体" w:hAnsi="宋体" w:cs="宋体"/>
          <w:szCs w:val="21"/>
        </w:rPr>
      </w:pPr>
      <w:r>
        <w:rPr>
          <w:rFonts w:hint="eastAsia" w:ascii="宋体" w:hAnsi="宋体" w:cs="宋体"/>
          <w:szCs w:val="21"/>
        </w:rPr>
        <w:t xml:space="preserve">按照保险业对重疾的最新定义，新增后的42项重大疾病：是指符合下列定义的疾病或被保险人首次接受符合下列定义的手术：</w:t>
      </w:r>
      <w:r/>
    </w:p>
    <w:p>
      <w:pPr>
        <w:pStyle w:val="1073"/>
        <w:ind w:firstLine="454"/>
        <w:spacing w:before="0" w:after="0" w:line="360" w:lineRule="auto"/>
        <w:tabs>
          <w:tab w:val="left" w:pos="945" w:leader="none"/>
        </w:tabs>
        <w:rPr>
          <w:rFonts w:hint="eastAsia" w:hAnsi="宋体" w:cs="宋体"/>
          <w:sz w:val="21"/>
          <w:szCs w:val="21"/>
        </w:rPr>
      </w:pPr>
      <w:r>
        <w:rPr>
          <w:rFonts w:hint="eastAsia" w:hAnsi="宋体" w:cs="宋体"/>
          <w:spacing w:val="8"/>
          <w:sz w:val="21"/>
          <w:szCs w:val="21"/>
        </w:rPr>
        <w:t xml:space="preserve">1.</w:t>
      </w:r>
      <w:r>
        <w:rPr>
          <w:rFonts w:hint="eastAsia" w:hAnsi="宋体" w:cs="宋体"/>
          <w:sz w:val="21"/>
          <w:szCs w:val="21"/>
        </w:rPr>
        <w:t xml:space="preserve">恶性肿瘤——重度</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指恶性细胞不受控制的进行性增长和扩散，浸润和破坏周围正常组织，可以经血管、淋巴管和体腔扩散转移到身体其他部位，病灶经组织病理学检查（涵盖骨髓病理学检查）</w:t>
      </w:r>
      <w:r>
        <w:rPr>
          <w:rStyle w:val="1127"/>
          <w:rFonts w:hint="eastAsia" w:ascii="宋体" w:hAnsi="宋体" w:cs="宋体"/>
          <w:b/>
          <w:spacing w:val="8"/>
          <w:szCs w:val="21"/>
        </w:rPr>
        <w:footnoteReference w:id="2"/>
      </w:r>
      <w:r>
        <w:rPr>
          <w:rFonts w:hint="eastAsia" w:ascii="宋体" w:hAnsi="宋体" w:cs="宋体"/>
          <w:spacing w:val="8"/>
          <w:szCs w:val="21"/>
        </w:rPr>
        <w:t xml:space="preserve">结果明确诊断，临床诊断属于世界卫生组织（WHO，World Health Organization）《疾病和有关健康问题的国际统计分类》第十次修订版（ICD-10）的恶性肿瘤类别及《国际疾病分类肿瘤学专辑》第三版（ICD-O-3）</w:t>
      </w:r>
      <w:r>
        <w:rPr>
          <w:rStyle w:val="1127"/>
          <w:rFonts w:hint="eastAsia" w:ascii="宋体" w:hAnsi="宋体" w:cs="宋体"/>
          <w:b/>
          <w:spacing w:val="8"/>
          <w:szCs w:val="21"/>
        </w:rPr>
        <w:footnoteReference w:id="3"/>
      </w:r>
      <w:r>
        <w:rPr>
          <w:rFonts w:hint="eastAsia" w:ascii="宋体" w:hAnsi="宋体" w:cs="宋体"/>
          <w:spacing w:val="8"/>
          <w:szCs w:val="21"/>
        </w:rPr>
        <w:t xml:space="preserve">的肿瘤形态学编码属于3、6、9（恶性肿瘤）范畴的疾病。</w:t>
      </w:r>
      <w:r/>
    </w:p>
    <w:p>
      <w:pPr>
        <w:ind w:firstLine="452"/>
        <w:spacing w:line="360" w:lineRule="auto"/>
        <w:rPr>
          <w:rFonts w:hint="eastAsia" w:ascii="宋体" w:hAnsi="宋体" w:cs="宋体"/>
          <w:bCs/>
          <w:spacing w:val="8"/>
          <w:szCs w:val="21"/>
        </w:rPr>
      </w:pPr>
      <w:r>
        <w:rPr>
          <w:rFonts w:hint="eastAsia" w:ascii="宋体" w:hAnsi="宋体" w:cs="宋体"/>
          <w:bCs/>
          <w:spacing w:val="8"/>
          <w:szCs w:val="21"/>
        </w:rPr>
        <w:t xml:space="preserve">下列疾病不属于“恶性肿瘤——重度”，不在保障范围内：</w:t>
      </w:r>
      <w:r/>
    </w:p>
    <w:p>
      <w:pPr>
        <w:pStyle w:val="1317"/>
        <w:numPr>
          <w:ilvl w:val="0"/>
          <w:numId w:val="11"/>
        </w:numPr>
        <w:ind w:left="0" w:firstLine="454"/>
        <w:keepLines w:val="0"/>
        <w:keepNext w:val="0"/>
        <w:pageBreakBefore w:val="0"/>
        <w:spacing w:line="400" w:lineRule="exact"/>
        <w:widowControl w:val="off"/>
        <w:tabs>
          <w:tab w:val="left" w:pos="840" w:leader="none"/>
          <w:tab w:val="left" w:pos="1060" w:leader="none"/>
        </w:tabs>
        <w:rPr>
          <w:rFonts w:hint="eastAsia" w:ascii="宋体" w:hAnsi="宋体" w:cs="宋体"/>
          <w:bCs/>
          <w:spacing w:val="8"/>
          <w:szCs w:val="21"/>
        </w:rPr>
      </w:pPr>
      <w:r>
        <w:rPr>
          <w:rFonts w:hint="eastAsia" w:ascii="宋体" w:hAnsi="宋体" w:cs="宋体"/>
          <w:bCs/>
          <w:spacing w:val="8"/>
          <w:szCs w:val="21"/>
        </w:rPr>
        <w:t xml:space="preserve">ICD-O-3肿瘤形态学编码属于0（良性肿瘤）、1（动态未定性肿瘤）、2（原位癌和非侵袭性癌）范畴的疾病，如：</w:t>
      </w:r>
      <w:r/>
    </w:p>
    <w:p>
      <w:pPr>
        <w:pStyle w:val="1317"/>
        <w:numPr>
          <w:ilvl w:val="1"/>
          <w:numId w:val="12"/>
        </w:numPr>
        <w:ind w:left="0" w:firstLine="454"/>
        <w:keepLines w:val="0"/>
        <w:keepNext w:val="0"/>
        <w:pageBreakBefore w:val="0"/>
        <w:spacing w:line="400" w:lineRule="exact"/>
        <w:widowControl w:val="off"/>
        <w:tabs>
          <w:tab w:val="left" w:pos="840" w:leader="none"/>
          <w:tab w:val="left" w:pos="1060" w:leader="none"/>
          <w:tab w:val="left" w:pos="1260" w:leader="none"/>
        </w:tabs>
        <w:rPr>
          <w:rFonts w:hint="eastAsia" w:ascii="宋体" w:hAnsi="宋体" w:cs="宋体"/>
          <w:bCs/>
          <w:spacing w:val="8"/>
          <w:szCs w:val="21"/>
        </w:rPr>
      </w:pPr>
      <w:r>
        <w:rPr>
          <w:rFonts w:hint="eastAsia" w:ascii="宋体" w:hAnsi="宋体" w:cs="宋体"/>
          <w:bCs/>
          <w:spacing w:val="8"/>
          <w:szCs w:val="21"/>
        </w:rPr>
        <w:t xml:space="preserve">原位癌，癌前病变，非浸润性癌，非侵袭性癌，肿瘤细胞未侵犯基底层，上皮内瘤变，细胞不典型性增生等；</w:t>
      </w:r>
      <w:r/>
    </w:p>
    <w:p>
      <w:pPr>
        <w:pStyle w:val="1317"/>
        <w:numPr>
          <w:ilvl w:val="1"/>
          <w:numId w:val="12"/>
        </w:numPr>
        <w:ind w:left="0" w:firstLine="454"/>
        <w:keepLines w:val="0"/>
        <w:keepNext w:val="0"/>
        <w:pageBreakBefore w:val="0"/>
        <w:spacing w:line="400" w:lineRule="exact"/>
        <w:widowControl w:val="off"/>
        <w:tabs>
          <w:tab w:val="left" w:pos="840" w:leader="none"/>
          <w:tab w:val="left" w:pos="1060" w:leader="none"/>
          <w:tab w:val="left" w:pos="1260" w:leader="none"/>
        </w:tabs>
        <w:rPr>
          <w:rFonts w:hint="eastAsia" w:ascii="宋体" w:hAnsi="宋体" w:cs="宋体"/>
          <w:bCs/>
          <w:spacing w:val="8"/>
          <w:szCs w:val="21"/>
        </w:rPr>
      </w:pPr>
      <w:r>
        <w:rPr>
          <w:rFonts w:hint="eastAsia" w:ascii="宋体" w:hAnsi="宋体" w:cs="宋体"/>
          <w:bCs/>
          <w:spacing w:val="8"/>
          <w:szCs w:val="21"/>
        </w:rPr>
        <w:t xml:space="preserve">交界性肿瘤，交界恶性肿瘤，肿瘤低度恶性潜能，潜在低度恶性肿瘤等；</w:t>
      </w:r>
      <w:r/>
    </w:p>
    <w:p>
      <w:pPr>
        <w:pStyle w:val="1317"/>
        <w:numPr>
          <w:ilvl w:val="0"/>
          <w:numId w:val="11"/>
        </w:numPr>
        <w:ind w:left="0" w:firstLine="454"/>
        <w:keepLines w:val="0"/>
        <w:keepNext w:val="0"/>
        <w:pageBreakBefore w:val="0"/>
        <w:spacing w:line="400" w:lineRule="exact"/>
        <w:widowControl w:val="off"/>
        <w:tabs>
          <w:tab w:val="left" w:pos="840" w:leader="none"/>
          <w:tab w:val="left" w:pos="1060" w:leader="none"/>
        </w:tabs>
        <w:rPr>
          <w:rFonts w:hint="eastAsia" w:ascii="宋体" w:hAnsi="宋体" w:cs="宋体"/>
          <w:bCs/>
          <w:spacing w:val="8"/>
          <w:szCs w:val="21"/>
        </w:rPr>
      </w:pPr>
      <w:r>
        <w:rPr>
          <w:rFonts w:hint="eastAsia" w:ascii="宋体" w:hAnsi="宋体" w:cs="宋体"/>
          <w:bCs/>
          <w:spacing w:val="8"/>
          <w:szCs w:val="21"/>
        </w:rPr>
        <w:t xml:space="preserve">TNM分期为Ⅰ期或更轻分期的甲状腺癌</w:t>
      </w:r>
      <w:r>
        <w:rPr>
          <w:rStyle w:val="1127"/>
          <w:rFonts w:hint="eastAsia" w:ascii="宋体" w:hAnsi="宋体" w:cs="宋体"/>
          <w:bCs/>
          <w:spacing w:val="8"/>
          <w:szCs w:val="21"/>
        </w:rPr>
        <w:footnoteReference w:id="4"/>
      </w:r>
      <w:r>
        <w:rPr>
          <w:rFonts w:hint="eastAsia" w:ascii="宋体" w:hAnsi="宋体" w:cs="宋体"/>
          <w:bCs/>
          <w:spacing w:val="8"/>
          <w:szCs w:val="21"/>
        </w:rPr>
        <w:t xml:space="preserve">；</w:t>
      </w:r>
      <w:r/>
    </w:p>
    <w:p>
      <w:pPr>
        <w:pStyle w:val="1317"/>
        <w:numPr>
          <w:ilvl w:val="0"/>
          <w:numId w:val="11"/>
        </w:numPr>
        <w:ind w:left="0" w:firstLine="454"/>
        <w:keepLines w:val="0"/>
        <w:keepNext w:val="0"/>
        <w:pageBreakBefore w:val="0"/>
        <w:spacing w:line="400" w:lineRule="exact"/>
        <w:widowControl w:val="off"/>
        <w:tabs>
          <w:tab w:val="left" w:pos="1060" w:leader="none"/>
        </w:tabs>
        <w:rPr>
          <w:rFonts w:hint="eastAsia" w:ascii="宋体" w:hAnsi="宋体" w:cs="宋体"/>
          <w:bCs/>
          <w:spacing w:val="8"/>
          <w:szCs w:val="21"/>
        </w:rPr>
      </w:pPr>
      <w:r>
        <w:rPr>
          <w:rFonts w:hint="eastAsia" w:ascii="宋体" w:hAnsi="宋体" w:cs="宋体"/>
          <w:bCs/>
          <w:spacing w:val="8"/>
          <w:szCs w:val="21"/>
        </w:rPr>
        <w:t xml:space="preserve">TNM分期为T</w:t>
      </w:r>
      <w:r>
        <w:rPr>
          <w:rFonts w:hint="eastAsia" w:ascii="宋体" w:hAnsi="宋体" w:cs="宋体"/>
          <w:bCs/>
          <w:spacing w:val="8"/>
          <w:szCs w:val="21"/>
          <w:vertAlign w:val="subscript"/>
        </w:rPr>
        <w:t xml:space="preserve">1</w:t>
      </w:r>
      <w:r>
        <w:rPr>
          <w:rFonts w:hint="eastAsia" w:ascii="宋体" w:hAnsi="宋体" w:cs="宋体"/>
          <w:bCs/>
          <w:spacing w:val="8"/>
          <w:szCs w:val="21"/>
        </w:rPr>
        <w:t xml:space="preserve">N</w:t>
      </w:r>
      <w:r>
        <w:rPr>
          <w:rFonts w:hint="eastAsia" w:ascii="宋体" w:hAnsi="宋体" w:cs="宋体"/>
          <w:bCs/>
          <w:spacing w:val="8"/>
          <w:szCs w:val="21"/>
          <w:vertAlign w:val="subscript"/>
        </w:rPr>
        <w:t xml:space="preserve">0</w:t>
      </w:r>
      <w:r>
        <w:rPr>
          <w:rFonts w:hint="eastAsia" w:ascii="宋体" w:hAnsi="宋体" w:cs="宋体"/>
          <w:bCs/>
          <w:spacing w:val="8"/>
          <w:szCs w:val="21"/>
        </w:rPr>
        <w:t xml:space="preserve">M</w:t>
      </w:r>
      <w:r>
        <w:rPr>
          <w:rFonts w:hint="eastAsia" w:ascii="宋体" w:hAnsi="宋体" w:cs="宋体"/>
          <w:bCs/>
          <w:spacing w:val="8"/>
          <w:szCs w:val="21"/>
          <w:vertAlign w:val="subscript"/>
        </w:rPr>
        <w:t xml:space="preserve">0</w:t>
      </w:r>
      <w:r>
        <w:rPr>
          <w:rFonts w:hint="eastAsia" w:ascii="宋体" w:hAnsi="宋体" w:cs="宋体"/>
          <w:bCs/>
          <w:spacing w:val="8"/>
          <w:szCs w:val="21"/>
        </w:rPr>
        <w:t xml:space="preserve">期或更轻分期的前列腺癌；</w:t>
      </w:r>
      <w:r/>
    </w:p>
    <w:p>
      <w:pPr>
        <w:pStyle w:val="1317"/>
        <w:numPr>
          <w:ilvl w:val="0"/>
          <w:numId w:val="11"/>
        </w:numPr>
        <w:ind w:left="0" w:firstLine="454"/>
        <w:keepLines w:val="0"/>
        <w:keepNext w:val="0"/>
        <w:pageBreakBefore w:val="0"/>
        <w:spacing w:line="400" w:lineRule="exact"/>
        <w:widowControl w:val="off"/>
        <w:tabs>
          <w:tab w:val="left" w:pos="1060" w:leader="none"/>
        </w:tabs>
        <w:rPr>
          <w:rFonts w:hint="eastAsia" w:ascii="宋体" w:hAnsi="宋体" w:cs="宋体"/>
          <w:bCs/>
          <w:spacing w:val="8"/>
          <w:szCs w:val="21"/>
        </w:rPr>
      </w:pPr>
      <w:r>
        <w:rPr>
          <w:rFonts w:hint="eastAsia" w:ascii="宋体" w:hAnsi="宋体" w:cs="宋体"/>
          <w:bCs/>
          <w:spacing w:val="8"/>
          <w:szCs w:val="21"/>
        </w:rPr>
        <w:t xml:space="preserve">黑色素瘤以外的未发生淋巴结和远处转移的皮肤恶性肿瘤；</w:t>
      </w:r>
      <w:r/>
    </w:p>
    <w:p>
      <w:pPr>
        <w:pStyle w:val="1317"/>
        <w:numPr>
          <w:ilvl w:val="0"/>
          <w:numId w:val="11"/>
        </w:numPr>
        <w:ind w:left="0" w:firstLine="454"/>
        <w:keepLines w:val="0"/>
        <w:keepNext w:val="0"/>
        <w:pageBreakBefore w:val="0"/>
        <w:spacing w:line="400" w:lineRule="exact"/>
        <w:widowControl w:val="off"/>
        <w:tabs>
          <w:tab w:val="left" w:pos="1060" w:leader="none"/>
        </w:tabs>
        <w:rPr>
          <w:rFonts w:hint="eastAsia" w:ascii="宋体" w:hAnsi="宋体" w:cs="宋体"/>
          <w:bCs/>
          <w:spacing w:val="8"/>
          <w:szCs w:val="21"/>
        </w:rPr>
      </w:pPr>
      <w:r>
        <w:rPr>
          <w:rFonts w:hint="eastAsia" w:ascii="宋体" w:hAnsi="宋体" w:cs="宋体"/>
          <w:bCs/>
          <w:spacing w:val="8"/>
          <w:szCs w:val="21"/>
        </w:rPr>
        <w:t xml:space="preserve">相当于Binet分期方案A期程度的慢性淋巴细胞白血病；</w:t>
      </w:r>
      <w:r/>
    </w:p>
    <w:p>
      <w:pPr>
        <w:pStyle w:val="1317"/>
        <w:numPr>
          <w:ilvl w:val="0"/>
          <w:numId w:val="11"/>
        </w:numPr>
        <w:ind w:left="0" w:firstLine="454"/>
        <w:keepLines w:val="0"/>
        <w:keepNext w:val="0"/>
        <w:pageBreakBefore w:val="0"/>
        <w:spacing w:line="400" w:lineRule="exact"/>
        <w:widowControl w:val="off"/>
        <w:tabs>
          <w:tab w:val="left" w:pos="1060" w:leader="none"/>
        </w:tabs>
        <w:rPr>
          <w:rFonts w:hint="eastAsia" w:ascii="宋体" w:hAnsi="宋体" w:cs="宋体"/>
          <w:bCs/>
          <w:spacing w:val="8"/>
          <w:szCs w:val="21"/>
        </w:rPr>
      </w:pPr>
      <w:r>
        <w:rPr>
          <w:rFonts w:hint="eastAsia" w:ascii="宋体" w:hAnsi="宋体" w:cs="宋体"/>
          <w:bCs/>
          <w:spacing w:val="8"/>
          <w:szCs w:val="21"/>
        </w:rPr>
        <w:t xml:space="preserve">相当于Ann Arbor分期方案Ⅰ期程度的何杰金氏病；</w:t>
      </w:r>
      <w:r/>
    </w:p>
    <w:p>
      <w:pPr>
        <w:pStyle w:val="1317"/>
        <w:numPr>
          <w:ilvl w:val="0"/>
          <w:numId w:val="11"/>
        </w:numPr>
        <w:ind w:left="0" w:firstLine="454"/>
        <w:keepLines w:val="0"/>
        <w:keepNext w:val="0"/>
        <w:pageBreakBefore w:val="0"/>
        <w:spacing w:line="400" w:lineRule="exact"/>
        <w:widowControl w:val="off"/>
        <w:tabs>
          <w:tab w:val="left" w:pos="1060" w:leader="none"/>
        </w:tabs>
        <w:rPr>
          <w:rFonts w:hint="eastAsia" w:ascii="宋体" w:hAnsi="宋体" w:cs="宋体"/>
          <w:bCs/>
          <w:spacing w:val="8"/>
          <w:szCs w:val="21"/>
        </w:rPr>
      </w:pPr>
      <w:r>
        <w:rPr>
          <w:rFonts w:hint="eastAsia" w:ascii="宋体" w:hAnsi="宋体" w:cs="宋体"/>
          <w:bCs/>
          <w:spacing w:val="8"/>
          <w:szCs w:val="21"/>
        </w:rPr>
        <w:t xml:space="preserve">未发生淋巴结和远处转移且WHO分级为G1级别（核分裂像&lt;10/50HPF和ki-67≤2%）或更轻分级的神经内分泌肿瘤。</w:t>
      </w:r>
      <w:r/>
    </w:p>
    <w:p>
      <w:pPr>
        <w:pStyle w:val="1073"/>
        <w:ind w:firstLine="454"/>
        <w:pageBreakBefore w:val="0"/>
        <w:spacing w:before="0" w:after="0" w:line="400" w:lineRule="exact"/>
        <w:widowControl w:val="off"/>
        <w:tabs>
          <w:tab w:val="left" w:pos="945" w:leader="none"/>
        </w:tabs>
        <w:rPr>
          <w:rFonts w:hint="eastAsia" w:hAnsi="宋体" w:cs="宋体"/>
          <w:spacing w:val="8"/>
          <w:sz w:val="21"/>
          <w:szCs w:val="21"/>
        </w:rPr>
      </w:pPr>
      <w:r>
        <w:rPr>
          <w:rFonts w:hint="eastAsia" w:hAnsi="宋体" w:cs="宋体"/>
          <w:spacing w:val="8"/>
          <w:sz w:val="21"/>
          <w:szCs w:val="21"/>
        </w:rPr>
        <w:t xml:space="preserve">2.较重急性心肌梗死</w:t>
      </w:r>
      <w:r/>
    </w:p>
    <w:p>
      <w:pPr>
        <w:ind w:firstLine="454"/>
        <w:pageBreakBefore w:val="0"/>
        <w:spacing w:line="400" w:lineRule="exact"/>
        <w:widowControl w:val="off"/>
        <w:rPr>
          <w:rFonts w:hint="eastAsia" w:ascii="宋体" w:hAnsi="宋体" w:cs="宋体"/>
          <w:spacing w:val="8"/>
          <w:szCs w:val="21"/>
        </w:rPr>
      </w:pPr>
      <w:r>
        <w:rPr>
          <w:rFonts w:hint="eastAsia" w:ascii="宋体" w:hAnsi="宋体" w:cs="宋体"/>
          <w:b/>
          <w:spacing w:val="8"/>
          <w:szCs w:val="21"/>
        </w:rPr>
        <w:t xml:space="preserve">急性心肌梗死</w:t>
      </w:r>
      <w:r>
        <w:rPr>
          <w:rFonts w:hint="eastAsia" w:ascii="宋体" w:hAnsi="宋体" w:cs="宋体"/>
          <w:spacing w:val="8"/>
          <w:szCs w:val="21"/>
        </w:rPr>
        <w:t xml:space="preserve">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ind w:firstLine="454"/>
        <w:spacing w:line="360" w:lineRule="auto"/>
        <w:rPr>
          <w:rFonts w:hint="eastAsia" w:ascii="宋体" w:hAnsi="宋体" w:cs="宋体"/>
          <w:spacing w:val="8"/>
          <w:szCs w:val="21"/>
        </w:rPr>
      </w:pPr>
      <w:r>
        <w:rPr>
          <w:rFonts w:hint="eastAsia" w:ascii="宋体" w:hAnsi="宋体" w:cs="宋体"/>
          <w:b/>
          <w:spacing w:val="8"/>
          <w:szCs w:val="21"/>
        </w:rPr>
        <w:t xml:space="preserve">较重急性心肌梗死</w:t>
      </w:r>
      <w:r>
        <w:rPr>
          <w:rFonts w:hint="eastAsia" w:ascii="宋体" w:hAnsi="宋体" w:cs="宋体"/>
          <w:spacing w:val="8"/>
          <w:szCs w:val="21"/>
        </w:rPr>
        <w:t xml:space="preserve">指依照上述标准被明确诊断为急性心肌梗死，并且必须同时满足下列至少一项条件：</w:t>
      </w:r>
      <w:r/>
    </w:p>
    <w:p>
      <w:pPr>
        <w:pStyle w:val="1317"/>
        <w:numPr>
          <w:ilvl w:val="0"/>
          <w:numId w:val="13"/>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心肌损伤标志物肌钙蛋白（cTn）升高，至少一次检测结果达到该检验正常参考值上限的15倍（含）以上；</w:t>
      </w:r>
      <w:r/>
    </w:p>
    <w:p>
      <w:pPr>
        <w:pStyle w:val="1317"/>
        <w:numPr>
          <w:ilvl w:val="0"/>
          <w:numId w:val="13"/>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肌酸激酶同工酶（CK-MB）升高，至少一次检测结果达到该检验正常参考值上限的2倍（含）以上；</w:t>
      </w:r>
      <w:r/>
    </w:p>
    <w:p>
      <w:pPr>
        <w:pStyle w:val="1317"/>
        <w:numPr>
          <w:ilvl w:val="0"/>
          <w:numId w:val="13"/>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出现左心室收缩功能下降，在确诊6周以后，检测左室射血分数（LVEF）低于50%（不含）；</w:t>
      </w:r>
      <w:r/>
    </w:p>
    <w:p>
      <w:pPr>
        <w:pStyle w:val="1317"/>
        <w:numPr>
          <w:ilvl w:val="0"/>
          <w:numId w:val="13"/>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影像学检查证实存在新发的乳头肌功能失调或断裂引起的中度（含）以上的二尖瓣反流；</w:t>
      </w:r>
      <w:r/>
    </w:p>
    <w:p>
      <w:pPr>
        <w:pStyle w:val="1317"/>
        <w:numPr>
          <w:ilvl w:val="0"/>
          <w:numId w:val="13"/>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影像学检查证实存在新出现的室壁瘤；</w:t>
      </w:r>
      <w:r/>
    </w:p>
    <w:p>
      <w:pPr>
        <w:pStyle w:val="1317"/>
        <w:numPr>
          <w:ilvl w:val="0"/>
          <w:numId w:val="13"/>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出现室性心动过速、心室颤动或心源性休克。</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其他非冠状动脉阻塞性疾病所引起的肌钙蛋白（cTn）升高不在保障范围内。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3.严重脑中风后遗症</w:t>
      </w:r>
      <w:r>
        <w:rPr>
          <w:rFonts w:hint="eastAsia" w:hAnsi="宋体" w:cs="宋体"/>
          <w:spacing w:val="8"/>
          <w:sz w:val="21"/>
          <w:szCs w:val="21"/>
        </w:rPr>
        <w:tab/>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r/>
    </w:p>
    <w:p>
      <w:pPr>
        <w:pStyle w:val="1317"/>
        <w:numPr>
          <w:ilvl w:val="0"/>
          <w:numId w:val="14"/>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一肢（含）以上肢体</w:t>
      </w:r>
      <w:r>
        <w:rPr>
          <w:rStyle w:val="1127"/>
          <w:rFonts w:hint="eastAsia" w:ascii="宋体" w:hAnsi="宋体" w:cs="宋体"/>
          <w:b/>
          <w:spacing w:val="8"/>
          <w:szCs w:val="21"/>
        </w:rPr>
        <w:footnoteReference w:id="5"/>
      </w:r>
      <w:r>
        <w:rPr>
          <w:rFonts w:hint="eastAsia" w:ascii="宋体" w:hAnsi="宋体" w:cs="宋体"/>
          <w:spacing w:val="8"/>
          <w:szCs w:val="21"/>
        </w:rPr>
        <w:t xml:space="preserve">肌力</w:t>
      </w:r>
      <w:r>
        <w:rPr>
          <w:rStyle w:val="1127"/>
          <w:rFonts w:hint="eastAsia" w:ascii="宋体" w:hAnsi="宋体" w:cs="宋体"/>
          <w:b/>
          <w:spacing w:val="8"/>
          <w:szCs w:val="21"/>
        </w:rPr>
        <w:footnoteReference w:id="6"/>
      </w:r>
      <w:r>
        <w:rPr>
          <w:rFonts w:hint="eastAsia" w:ascii="宋体" w:hAnsi="宋体" w:cs="宋体"/>
          <w:spacing w:val="8"/>
          <w:szCs w:val="21"/>
        </w:rPr>
        <w:t xml:space="preserve">2级（含）以下；</w:t>
      </w:r>
      <w:r/>
    </w:p>
    <w:p>
      <w:pPr>
        <w:pStyle w:val="1317"/>
        <w:numPr>
          <w:ilvl w:val="0"/>
          <w:numId w:val="14"/>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语言能力完全丧失</w:t>
      </w:r>
      <w:r>
        <w:rPr>
          <w:rFonts w:hint="eastAsia" w:ascii="宋体" w:hAnsi="宋体" w:cs="宋体"/>
          <w:spacing w:val="8"/>
          <w:szCs w:val="21"/>
        </w:rPr>
        <w:footnoteReference w:id="7"/>
      </w:r>
      <w:r>
        <w:rPr>
          <w:rFonts w:hint="eastAsia" w:ascii="宋体" w:hAnsi="宋体" w:cs="宋体"/>
          <w:spacing w:val="8"/>
          <w:szCs w:val="21"/>
        </w:rPr>
        <w:t xml:space="preserve">，或严重咀嚼吞咽功能障碍</w:t>
      </w:r>
      <w:r>
        <w:rPr>
          <w:rFonts w:hint="eastAsia" w:ascii="宋体" w:hAnsi="宋体" w:cs="宋体"/>
          <w:spacing w:val="8"/>
          <w:szCs w:val="21"/>
        </w:rPr>
        <w:footnoteReference w:id="8"/>
      </w:r>
      <w:r>
        <w:rPr>
          <w:rFonts w:hint="eastAsia" w:ascii="宋体" w:hAnsi="宋体" w:cs="宋体"/>
          <w:spacing w:val="8"/>
          <w:szCs w:val="21"/>
        </w:rPr>
        <w:t xml:space="preserve">；</w:t>
      </w:r>
      <w:r/>
    </w:p>
    <w:p>
      <w:pPr>
        <w:pStyle w:val="1317"/>
        <w:numPr>
          <w:ilvl w:val="0"/>
          <w:numId w:val="14"/>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自主生活能力完全丧失，无法独立完成六项基本日常生活活动</w:t>
      </w:r>
      <w:r>
        <w:rPr>
          <w:rFonts w:hint="eastAsia" w:ascii="宋体" w:hAnsi="宋体" w:cs="宋体"/>
          <w:spacing w:val="8"/>
          <w:szCs w:val="21"/>
        </w:rPr>
        <w:footnoteReference w:id="9"/>
      </w:r>
      <w:r>
        <w:rPr>
          <w:rFonts w:hint="eastAsia" w:ascii="宋体" w:hAnsi="宋体" w:cs="宋体"/>
          <w:spacing w:val="8"/>
          <w:szCs w:val="21"/>
        </w:rPr>
        <w:t xml:space="preserve">中的三项或三项以上。</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4.重大器官移植术或造血干细胞移植术</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重大器官移植术，指因相应器官功能衰竭，已经实施了肾脏、肝脏、心脏、肺脏或小肠的异体移植手术。</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造血干细胞移植术，指因造血功能损害或造血系统恶性肿瘤，已经实施了造血干细胞（包括骨髓造血干细胞、外周血造血干细胞和脐血造血干细胞）的移植手术。</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5.冠状动脉搭桥术（或称冠状动脉旁路移植术）</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指为治疗严重的冠心病，已经实施了切开心包进行的冠状动脉血管旁路移植的手术。</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所有未切开心包的冠状动脉介入治疗不在保障范围内。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6.严重慢性肾衰竭</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 </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7.多个肢体缺失</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指因疾病或意外伤害导致两个或两个以上肢体自腕关节或踝关节近端（靠近躯干端）以上完全性断离。</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8.急性重症肝炎或亚急性重症肝炎</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指因肝炎病毒感染引起肝脏组织弥漫性坏死，导致急性肝功能衰竭，且经血清学或病毒学检查证实，并须满足下列全部条件：</w:t>
      </w:r>
      <w:r/>
    </w:p>
    <w:p>
      <w:pPr>
        <w:pStyle w:val="1317"/>
        <w:numPr>
          <w:ilvl w:val="0"/>
          <w:numId w:val="15"/>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重度黄疸或黄疸迅速加重；</w:t>
      </w:r>
      <w:r/>
    </w:p>
    <w:p>
      <w:pPr>
        <w:pStyle w:val="1317"/>
        <w:numPr>
          <w:ilvl w:val="0"/>
          <w:numId w:val="15"/>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肝性脑病；</w:t>
      </w:r>
      <w:r/>
    </w:p>
    <w:p>
      <w:pPr>
        <w:pStyle w:val="1317"/>
        <w:numPr>
          <w:ilvl w:val="0"/>
          <w:numId w:val="15"/>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B超或其他影像学检查显示肝脏体积急速萎缩；</w:t>
      </w:r>
      <w:r/>
    </w:p>
    <w:p>
      <w:pPr>
        <w:pStyle w:val="1317"/>
        <w:numPr>
          <w:ilvl w:val="0"/>
          <w:numId w:val="15"/>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肝功能指标进行性恶化。</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9.严重非恶性颅内肿瘤</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p>
    <w:p>
      <w:pPr>
        <w:pStyle w:val="1317"/>
        <w:numPr>
          <w:ilvl w:val="0"/>
          <w:numId w:val="16"/>
        </w:numPr>
        <w:ind w:left="0" w:firstLine="452"/>
        <w:spacing w:line="360" w:lineRule="auto"/>
        <w:tabs>
          <w:tab w:val="left" w:pos="840" w:leader="none"/>
          <w:tab w:val="left" w:pos="1060" w:leader="none"/>
        </w:tabs>
        <w:rPr>
          <w:rFonts w:hint="eastAsia" w:ascii="宋体" w:hAnsi="宋体" w:cs="宋体"/>
          <w:spacing w:val="8"/>
          <w:szCs w:val="21"/>
        </w:rPr>
      </w:pPr>
      <w:r>
        <w:rPr>
          <w:rFonts w:hint="eastAsia" w:ascii="宋体" w:hAnsi="宋体" w:cs="宋体"/>
          <w:spacing w:val="8"/>
          <w:szCs w:val="21"/>
        </w:rPr>
        <w:t xml:space="preserve">已经实施了开颅进行的颅内肿瘤完全或部分切除手术；</w:t>
      </w:r>
      <w:r/>
    </w:p>
    <w:p>
      <w:pPr>
        <w:pStyle w:val="1317"/>
        <w:numPr>
          <w:ilvl w:val="0"/>
          <w:numId w:val="16"/>
        </w:numPr>
        <w:ind w:left="0" w:firstLine="452"/>
        <w:spacing w:line="360" w:lineRule="auto"/>
        <w:tabs>
          <w:tab w:val="left" w:pos="840" w:leader="none"/>
          <w:tab w:val="left" w:pos="1060" w:leader="none"/>
        </w:tabs>
        <w:rPr>
          <w:rFonts w:hint="eastAsia" w:ascii="宋体" w:hAnsi="宋体" w:cs="宋体"/>
          <w:spacing w:val="8"/>
          <w:szCs w:val="21"/>
        </w:rPr>
      </w:pPr>
      <w:r>
        <w:rPr>
          <w:rFonts w:hint="eastAsia" w:ascii="宋体" w:hAnsi="宋体" w:cs="宋体"/>
          <w:spacing w:val="8"/>
          <w:szCs w:val="21"/>
        </w:rPr>
        <w:t xml:space="preserve">已经实施了针对颅内肿瘤的放射治疗，如γ刀、质子重离子治疗等。</w:t>
      </w:r>
      <w:r/>
    </w:p>
    <w:p>
      <w:pPr>
        <w:ind w:firstLine="452"/>
        <w:spacing w:line="360" w:lineRule="auto"/>
        <w:tabs>
          <w:tab w:val="left" w:pos="840" w:leader="none"/>
          <w:tab w:val="left" w:pos="1060" w:leader="none"/>
        </w:tabs>
        <w:rPr>
          <w:rFonts w:hint="eastAsia" w:ascii="宋体" w:hAnsi="宋体" w:cs="宋体"/>
          <w:spacing w:val="8"/>
          <w:szCs w:val="21"/>
        </w:rPr>
      </w:pPr>
      <w:r>
        <w:rPr>
          <w:rFonts w:hint="eastAsia" w:ascii="宋体" w:hAnsi="宋体" w:cs="宋体"/>
          <w:spacing w:val="8"/>
          <w:szCs w:val="21"/>
        </w:rPr>
        <w:t xml:space="preserve">下列疾病不在保障范围内：</w:t>
      </w:r>
      <w:r/>
    </w:p>
    <w:p>
      <w:pPr>
        <w:pStyle w:val="1317"/>
        <w:numPr>
          <w:ilvl w:val="0"/>
          <w:numId w:val="17"/>
        </w:numPr>
        <w:ind w:left="0" w:firstLine="452"/>
        <w:spacing w:line="360" w:lineRule="auto"/>
        <w:tabs>
          <w:tab w:val="left" w:pos="840" w:leader="none"/>
          <w:tab w:val="left" w:pos="1060" w:leader="none"/>
        </w:tabs>
        <w:rPr>
          <w:rFonts w:hint="eastAsia" w:ascii="宋体" w:hAnsi="宋体" w:cs="宋体"/>
          <w:spacing w:val="8"/>
          <w:szCs w:val="21"/>
        </w:rPr>
      </w:pPr>
      <w:r>
        <w:rPr>
          <w:rFonts w:hint="eastAsia" w:ascii="宋体" w:hAnsi="宋体" w:cs="宋体"/>
          <w:spacing w:val="8"/>
          <w:szCs w:val="21"/>
        </w:rPr>
        <w:t xml:space="preserve">脑垂体瘤；</w:t>
      </w:r>
      <w:r/>
    </w:p>
    <w:p>
      <w:pPr>
        <w:pStyle w:val="1317"/>
        <w:numPr>
          <w:ilvl w:val="0"/>
          <w:numId w:val="17"/>
        </w:numPr>
        <w:ind w:left="0" w:firstLine="452"/>
        <w:spacing w:line="360" w:lineRule="auto"/>
        <w:tabs>
          <w:tab w:val="left" w:pos="840" w:leader="none"/>
          <w:tab w:val="left" w:pos="1060" w:leader="none"/>
        </w:tabs>
        <w:rPr>
          <w:rFonts w:hint="eastAsia" w:ascii="宋体" w:hAnsi="宋体" w:cs="宋体"/>
          <w:spacing w:val="8"/>
          <w:szCs w:val="21"/>
        </w:rPr>
      </w:pPr>
      <w:r>
        <w:rPr>
          <w:rFonts w:hint="eastAsia" w:ascii="宋体" w:hAnsi="宋体" w:cs="宋体"/>
          <w:spacing w:val="8"/>
          <w:szCs w:val="21"/>
        </w:rPr>
        <w:t xml:space="preserve">脑囊肿；</w:t>
      </w:r>
      <w:r/>
    </w:p>
    <w:p>
      <w:pPr>
        <w:pStyle w:val="1317"/>
        <w:numPr>
          <w:ilvl w:val="0"/>
          <w:numId w:val="17"/>
        </w:numPr>
        <w:ind w:left="0" w:firstLine="452"/>
        <w:spacing w:line="360" w:lineRule="auto"/>
        <w:tabs>
          <w:tab w:val="left" w:pos="840" w:leader="none"/>
          <w:tab w:val="left" w:pos="1060" w:leader="none"/>
        </w:tabs>
        <w:rPr>
          <w:rFonts w:hint="eastAsia" w:ascii="宋体" w:hAnsi="宋体" w:cs="宋体"/>
          <w:spacing w:val="8"/>
          <w:szCs w:val="21"/>
        </w:rPr>
      </w:pPr>
      <w:r>
        <w:rPr>
          <w:rFonts w:hint="eastAsia" w:ascii="宋体" w:hAnsi="宋体" w:cs="宋体"/>
          <w:spacing w:val="8"/>
          <w:szCs w:val="21"/>
        </w:rPr>
        <w:t xml:space="preserve">颅内血管性疾病（如脑动脉瘤、脑动静脉畸形、海绵状血管瘤、毛细血管扩张症等）。</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10.严重慢性肝衰竭</w:t>
      </w:r>
      <w:r/>
    </w:p>
    <w:p>
      <w:pPr>
        <w:ind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指因慢性肝脏疾病导致的肝衰竭，且须满足下列全部条件：</w:t>
      </w:r>
      <w:r/>
    </w:p>
    <w:p>
      <w:pPr>
        <w:pStyle w:val="1317"/>
        <w:numPr>
          <w:ilvl w:val="0"/>
          <w:numId w:val="18"/>
        </w:numPr>
        <w:ind w:left="0" w:firstLine="452"/>
        <w:spacing w:line="360" w:lineRule="auto"/>
        <w:tabs>
          <w:tab w:val="left" w:pos="1060" w:leader="none"/>
          <w:tab w:val="left" w:pos="1480" w:leader="none"/>
        </w:tabs>
        <w:rPr>
          <w:rFonts w:hint="eastAsia" w:ascii="宋体" w:hAnsi="宋体" w:cs="宋体"/>
          <w:spacing w:val="8"/>
          <w:szCs w:val="21"/>
        </w:rPr>
      </w:pPr>
      <w:r>
        <w:rPr>
          <w:rFonts w:hint="eastAsia" w:ascii="宋体" w:hAnsi="宋体" w:cs="宋体"/>
          <w:spacing w:val="8"/>
          <w:szCs w:val="21"/>
        </w:rPr>
        <w:t xml:space="preserve">持续性黄疸；</w:t>
      </w:r>
      <w:r/>
    </w:p>
    <w:p>
      <w:pPr>
        <w:pStyle w:val="1317"/>
        <w:numPr>
          <w:ilvl w:val="0"/>
          <w:numId w:val="18"/>
        </w:numPr>
        <w:ind w:left="0" w:firstLine="452"/>
        <w:spacing w:line="360" w:lineRule="auto"/>
        <w:tabs>
          <w:tab w:val="left" w:pos="1060" w:leader="none"/>
          <w:tab w:val="left" w:pos="1480" w:leader="none"/>
        </w:tabs>
        <w:rPr>
          <w:rFonts w:hint="eastAsia" w:ascii="宋体" w:hAnsi="宋体" w:cs="宋体"/>
          <w:spacing w:val="8"/>
          <w:szCs w:val="21"/>
        </w:rPr>
      </w:pPr>
      <w:r>
        <w:rPr>
          <w:rFonts w:hint="eastAsia" w:ascii="宋体" w:hAnsi="宋体" w:cs="宋体"/>
          <w:spacing w:val="8"/>
          <w:szCs w:val="21"/>
        </w:rPr>
        <w:t xml:space="preserve">腹水；</w:t>
      </w:r>
      <w:r/>
    </w:p>
    <w:p>
      <w:pPr>
        <w:pStyle w:val="1317"/>
        <w:numPr>
          <w:ilvl w:val="0"/>
          <w:numId w:val="18"/>
        </w:numPr>
        <w:ind w:left="0" w:firstLine="452"/>
        <w:spacing w:line="360" w:lineRule="auto"/>
        <w:tabs>
          <w:tab w:val="left" w:pos="1060" w:leader="none"/>
          <w:tab w:val="left" w:pos="1480" w:leader="none"/>
        </w:tabs>
        <w:rPr>
          <w:rFonts w:hint="eastAsia" w:ascii="宋体" w:hAnsi="宋体" w:cs="宋体"/>
          <w:spacing w:val="8"/>
          <w:szCs w:val="21"/>
        </w:rPr>
      </w:pPr>
      <w:r>
        <w:rPr>
          <w:rFonts w:hint="eastAsia" w:ascii="宋体" w:hAnsi="宋体" w:cs="宋体"/>
          <w:spacing w:val="8"/>
          <w:szCs w:val="21"/>
        </w:rPr>
        <w:t xml:space="preserve">肝性脑病；</w:t>
      </w:r>
      <w:r/>
    </w:p>
    <w:p>
      <w:pPr>
        <w:pStyle w:val="1317"/>
        <w:numPr>
          <w:ilvl w:val="0"/>
          <w:numId w:val="18"/>
        </w:numPr>
        <w:ind w:left="0" w:firstLine="452"/>
        <w:spacing w:line="360" w:lineRule="auto"/>
        <w:tabs>
          <w:tab w:val="left" w:pos="1060" w:leader="none"/>
          <w:tab w:val="left" w:pos="1480" w:leader="none"/>
        </w:tabs>
        <w:rPr>
          <w:rFonts w:hint="eastAsia" w:ascii="宋体" w:hAnsi="宋体" w:cs="宋体"/>
          <w:spacing w:val="8"/>
          <w:szCs w:val="21"/>
        </w:rPr>
      </w:pPr>
      <w:r>
        <w:rPr>
          <w:rFonts w:hint="eastAsia" w:ascii="宋体" w:hAnsi="宋体" w:cs="宋体"/>
          <w:spacing w:val="8"/>
          <w:szCs w:val="21"/>
        </w:rPr>
        <w:t xml:space="preserve">充血性脾肿大伴脾功能亢进或食管胃底静脉曲张。</w:t>
      </w:r>
      <w:r/>
    </w:p>
    <w:p>
      <w:pPr>
        <w:ind w:firstLine="454"/>
        <w:spacing w:line="360" w:lineRule="auto"/>
        <w:tabs>
          <w:tab w:val="left" w:pos="1060" w:leader="none"/>
        </w:tabs>
        <w:rPr>
          <w:rFonts w:hint="eastAsia" w:ascii="宋体" w:hAnsi="宋体" w:cs="宋体"/>
          <w:b/>
          <w:spacing w:val="8"/>
          <w:szCs w:val="21"/>
        </w:rPr>
      </w:pPr>
      <w:r>
        <w:rPr>
          <w:rFonts w:hint="eastAsia" w:ascii="宋体" w:hAnsi="宋体" w:cs="宋体"/>
          <w:b/>
          <w:spacing w:val="8"/>
          <w:szCs w:val="21"/>
        </w:rPr>
        <w:t xml:space="preserve">因酗酒或药物滥用导致的肝衰竭不在保障范围内。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11.严重脑炎后遗症或严重脑膜炎后遗症</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指因患脑炎或脑膜炎导致的神经系统永久性的功能障碍。神经系统永久性的功能障碍，指经相关专科医生确诊疾病180天后，仍遗留下列至少一种障碍：</w:t>
      </w:r>
      <w:r/>
    </w:p>
    <w:p>
      <w:pPr>
        <w:pStyle w:val="1317"/>
        <w:numPr>
          <w:ilvl w:val="0"/>
          <w:numId w:val="19"/>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一肢（含）以上肢体肌力2级（含）以下；</w:t>
      </w:r>
      <w:r/>
    </w:p>
    <w:p>
      <w:pPr>
        <w:pStyle w:val="1317"/>
        <w:numPr>
          <w:ilvl w:val="0"/>
          <w:numId w:val="19"/>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语言能力完全丧失，或严重咀嚼吞咽功能障碍；</w:t>
      </w:r>
      <w:r/>
    </w:p>
    <w:p>
      <w:pPr>
        <w:pStyle w:val="1317"/>
        <w:numPr>
          <w:ilvl w:val="0"/>
          <w:numId w:val="19"/>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由具有评估资格的专科医生根据临床痴呆评定量表（CDR，Clinical Dementia Rating）评估结果为3分；</w:t>
      </w:r>
      <w:r/>
    </w:p>
    <w:p>
      <w:pPr>
        <w:pStyle w:val="1317"/>
        <w:numPr>
          <w:ilvl w:val="0"/>
          <w:numId w:val="19"/>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自主生活能力完全丧失，无法独立完成六项基本日常生活活动中的三项或三项以上。</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12.深度昏迷</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指因疾病或意外伤害导致意识丧失，对外界刺激和体内需求均无反应，昏迷程度按照格拉斯哥昏迷分级（GCS，Glasgow Coma Scale）结果为5分或5分以下，且已经持续使用呼吸机及其他生命维持系统96小时以上。</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因酗酒或药物滥用导致的深度昏迷不在保障范围内。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13.双耳失聪</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指因疾病或意外伤害导致双耳听力永久不可逆</w:t>
      </w:r>
      <w:r>
        <w:rPr>
          <w:rStyle w:val="1127"/>
          <w:rFonts w:hint="eastAsia" w:ascii="宋体" w:hAnsi="宋体" w:cs="宋体"/>
          <w:b/>
          <w:spacing w:val="8"/>
          <w:szCs w:val="21"/>
        </w:rPr>
        <w:footnoteReference w:id="10"/>
      </w:r>
      <w:r>
        <w:rPr>
          <w:rFonts w:hint="eastAsia" w:ascii="宋体" w:hAnsi="宋体" w:cs="宋体"/>
          <w:spacing w:val="8"/>
          <w:szCs w:val="21"/>
        </w:rPr>
        <w:t xml:space="preserve">性丧失，在500赫兹、1000赫兹和2000赫兹语音频率下，平均听阈大于等于91分贝，且经纯音听力测试、声导抗检测或听觉诱发电位检测等证实。</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14.双目失明</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指因疾病或意外伤害导致双眼视力永久不可逆性丧失，双眼中较好眼须满足下列至少一项条件：</w:t>
      </w:r>
      <w:r/>
    </w:p>
    <w:p>
      <w:pPr>
        <w:pStyle w:val="1317"/>
        <w:numPr>
          <w:ilvl w:val="0"/>
          <w:numId w:val="20"/>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眼球缺失或摘除；</w:t>
      </w:r>
      <w:r/>
    </w:p>
    <w:p>
      <w:pPr>
        <w:pStyle w:val="1317"/>
        <w:numPr>
          <w:ilvl w:val="0"/>
          <w:numId w:val="20"/>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矫正视力低于0.02（采用国际标准视力表，如果使用其他视力表应进行换算）；</w:t>
      </w:r>
      <w:r/>
    </w:p>
    <w:p>
      <w:pPr>
        <w:pStyle w:val="1317"/>
        <w:numPr>
          <w:ilvl w:val="0"/>
          <w:numId w:val="20"/>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视野半径小于5度。</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15.瘫痪</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16.心脏瓣膜手术</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指为治疗心脏瓣膜疾病，已经实施了切开心脏进行的心脏瓣膜置换或修复的手术。</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所有未切开心脏的心脏瓣膜介入手术不在保障范围内。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17.严重阿尔茨海默病</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p>
    <w:p>
      <w:pPr>
        <w:pStyle w:val="1317"/>
        <w:numPr>
          <w:ilvl w:val="0"/>
          <w:numId w:val="21"/>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由具有评估资格的专科医生根据临床痴呆评定量表（CDR，Clinical Dementia Rating）评估结果为3分；</w:t>
      </w:r>
      <w:r/>
    </w:p>
    <w:p>
      <w:pPr>
        <w:pStyle w:val="1317"/>
        <w:numPr>
          <w:ilvl w:val="0"/>
          <w:numId w:val="21"/>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自主生活能力完全丧失，无法独立完成六项基本日常生活活动中的三项或三项以上。</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阿尔茨海默病之外的其他类型痴呆不在保障范围内。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18.严重脑损伤</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r/>
    </w:p>
    <w:p>
      <w:pPr>
        <w:pStyle w:val="1317"/>
        <w:numPr>
          <w:ilvl w:val="0"/>
          <w:numId w:val="22"/>
        </w:numPr>
        <w:ind w:left="0" w:firstLine="452"/>
        <w:spacing w:line="360" w:lineRule="auto"/>
        <w:tabs>
          <w:tab w:val="left" w:pos="840" w:leader="none"/>
          <w:tab w:val="left" w:pos="1050" w:leader="none"/>
        </w:tabs>
        <w:rPr>
          <w:rFonts w:hint="eastAsia" w:ascii="宋体" w:hAnsi="宋体" w:cs="宋体"/>
          <w:spacing w:val="8"/>
          <w:szCs w:val="21"/>
        </w:rPr>
      </w:pPr>
      <w:r>
        <w:rPr>
          <w:rFonts w:hint="eastAsia" w:ascii="宋体" w:hAnsi="宋体" w:cs="宋体"/>
          <w:spacing w:val="8"/>
          <w:szCs w:val="21"/>
        </w:rPr>
        <w:t xml:space="preserve">一肢（含）以上肢体肌力2级（含）以下；</w:t>
      </w:r>
      <w:r/>
    </w:p>
    <w:p>
      <w:pPr>
        <w:pStyle w:val="1317"/>
        <w:numPr>
          <w:ilvl w:val="0"/>
          <w:numId w:val="22"/>
        </w:numPr>
        <w:ind w:left="0" w:firstLine="452"/>
        <w:spacing w:line="360" w:lineRule="auto"/>
        <w:tabs>
          <w:tab w:val="left" w:pos="840" w:leader="none"/>
          <w:tab w:val="left" w:pos="1050" w:leader="none"/>
        </w:tabs>
        <w:rPr>
          <w:rFonts w:hint="eastAsia" w:ascii="宋体" w:hAnsi="宋体" w:cs="宋体"/>
          <w:spacing w:val="8"/>
          <w:szCs w:val="21"/>
        </w:rPr>
      </w:pPr>
      <w:r>
        <w:rPr>
          <w:rFonts w:hint="eastAsia" w:ascii="宋体" w:hAnsi="宋体" w:cs="宋体"/>
          <w:spacing w:val="8"/>
          <w:szCs w:val="21"/>
        </w:rPr>
        <w:t xml:space="preserve">语言能力完全丧失，或严重咀嚼吞咽功能障碍；</w:t>
      </w:r>
      <w:r/>
    </w:p>
    <w:p>
      <w:pPr>
        <w:pStyle w:val="1317"/>
        <w:numPr>
          <w:ilvl w:val="0"/>
          <w:numId w:val="22"/>
        </w:numPr>
        <w:ind w:left="0" w:firstLine="452"/>
        <w:spacing w:line="360" w:lineRule="auto"/>
        <w:tabs>
          <w:tab w:val="left" w:pos="840" w:leader="none"/>
          <w:tab w:val="left" w:pos="1050" w:leader="none"/>
        </w:tabs>
        <w:rPr>
          <w:rFonts w:hint="eastAsia" w:ascii="宋体" w:hAnsi="宋体" w:cs="宋体"/>
          <w:spacing w:val="8"/>
          <w:szCs w:val="21"/>
        </w:rPr>
      </w:pPr>
      <w:r>
        <w:rPr>
          <w:rFonts w:hint="eastAsia" w:ascii="宋体" w:hAnsi="宋体" w:cs="宋体"/>
          <w:spacing w:val="8"/>
          <w:szCs w:val="21"/>
        </w:rPr>
        <w:t xml:space="preserve">自主生活能力完全丧失，无法独立完成六项基本日常生活活动中的三项或三项以上。</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19.严重原发性帕金森病</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是一种中枢神经系统的退行性疾病，临床表现为运动迟缓、静止性震颤或肌强直等，经相关专科医生确诊，且须满足自主生活能力完全丧失，无法独立完成六项基本日常生活活动中的三项或三项以上。</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继发性帕金森综合征、帕金森叠加综合征不在保障范围内。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20.严重Ⅲ度烧伤</w:t>
      </w:r>
      <w:r/>
    </w:p>
    <w:p>
      <w:pPr>
        <w:pStyle w:val="1073"/>
        <w:ind w:firstLine="452"/>
        <w:spacing w:before="0" w:after="0" w:line="360" w:lineRule="auto"/>
        <w:tabs>
          <w:tab w:val="left" w:pos="945" w:leader="none"/>
        </w:tabs>
        <w:rPr>
          <w:rFonts w:hint="eastAsia" w:hAnsi="宋体" w:cs="宋体"/>
          <w:b w:val="0"/>
          <w:spacing w:val="8"/>
          <w:sz w:val="21"/>
          <w:szCs w:val="21"/>
        </w:rPr>
      </w:pPr>
      <w:r>
        <w:rPr>
          <w:rFonts w:hint="eastAsia" w:hAnsi="宋体" w:cs="宋体"/>
          <w:b w:val="0"/>
          <w:spacing w:val="8"/>
          <w:sz w:val="21"/>
          <w:szCs w:val="21"/>
        </w:rPr>
        <w:t xml:space="preserve">指烧伤程度为Ⅲ度，且Ⅲ度烧伤的面积达到全身体表面积的20％或20％以上。体表面积根据《中国新九分法》计算。</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21.严重特发性肺动脉高压</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指不明原因的肺动脉压力持续性增高，进行性发展而导致的慢性疾病，已经造成永久不可逆性的体力活动能力受限，达到美国纽约心脏病学会（New York Heart Association，NYHA）心功能状态分级</w:t>
      </w:r>
      <w:r>
        <w:rPr>
          <w:rStyle w:val="1127"/>
          <w:rFonts w:hint="eastAsia" w:ascii="宋体" w:hAnsi="宋体" w:cs="宋体"/>
          <w:b/>
          <w:spacing w:val="8"/>
          <w:szCs w:val="21"/>
        </w:rPr>
        <w:footnoteReference w:id="11"/>
      </w:r>
      <w:r>
        <w:rPr>
          <w:rFonts w:hint="eastAsia" w:ascii="宋体" w:hAnsi="宋体" w:cs="宋体"/>
          <w:spacing w:val="8"/>
          <w:szCs w:val="21"/>
        </w:rPr>
        <w:t xml:space="preserve">IV级，且静息状态下肺动脉平均压在36mmHg（含）以上。</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22.严重运动神经元病</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是一组中枢神经系统运动神经元的进行性变性疾病，包括进行性脊肌萎缩症、进行性延髓麻痹症、原发性侧索硬化症、肌萎缩性侧索硬化症，经相关专科医生确诊，且须满足下列至少一项条件：</w:t>
      </w:r>
      <w:r/>
    </w:p>
    <w:p>
      <w:pPr>
        <w:pStyle w:val="1317"/>
        <w:numPr>
          <w:ilvl w:val="0"/>
          <w:numId w:val="23"/>
        </w:numPr>
        <w:ind w:left="0" w:firstLine="452"/>
        <w:spacing w:line="360" w:lineRule="auto"/>
        <w:tabs>
          <w:tab w:val="left" w:pos="640" w:leader="none"/>
          <w:tab w:val="left" w:pos="1050" w:leader="none"/>
        </w:tabs>
        <w:rPr>
          <w:rFonts w:hint="eastAsia" w:ascii="宋体" w:hAnsi="宋体" w:cs="宋体"/>
          <w:spacing w:val="8"/>
          <w:szCs w:val="21"/>
        </w:rPr>
      </w:pPr>
      <w:r>
        <w:rPr>
          <w:rFonts w:hint="eastAsia" w:ascii="宋体" w:hAnsi="宋体" w:cs="宋体"/>
          <w:spacing w:val="8"/>
          <w:szCs w:val="21"/>
        </w:rPr>
        <w:t xml:space="preserve">严重咀嚼吞咽功能障碍；</w:t>
      </w:r>
      <w:r/>
    </w:p>
    <w:p>
      <w:pPr>
        <w:pStyle w:val="1317"/>
        <w:numPr>
          <w:ilvl w:val="0"/>
          <w:numId w:val="23"/>
        </w:numPr>
        <w:ind w:left="0" w:firstLine="452"/>
        <w:spacing w:line="360" w:lineRule="auto"/>
        <w:tabs>
          <w:tab w:val="left" w:pos="640" w:leader="none"/>
          <w:tab w:val="left" w:pos="1050" w:leader="none"/>
        </w:tabs>
        <w:rPr>
          <w:rFonts w:hint="eastAsia" w:ascii="宋体" w:hAnsi="宋体" w:cs="宋体"/>
          <w:spacing w:val="8"/>
          <w:szCs w:val="21"/>
        </w:rPr>
      </w:pPr>
      <w:r>
        <w:rPr>
          <w:rFonts w:hint="eastAsia" w:ascii="宋体" w:hAnsi="宋体" w:cs="宋体"/>
          <w:spacing w:val="8"/>
          <w:szCs w:val="21"/>
        </w:rPr>
        <w:t xml:space="preserve">呼吸肌麻痹导致严重呼吸困难，且已经持续使用呼吸机7天（含）以上；</w:t>
      </w:r>
      <w:r/>
    </w:p>
    <w:p>
      <w:pPr>
        <w:pStyle w:val="1317"/>
        <w:numPr>
          <w:ilvl w:val="0"/>
          <w:numId w:val="23"/>
        </w:numPr>
        <w:ind w:left="0" w:firstLine="452"/>
        <w:spacing w:line="360" w:lineRule="auto"/>
        <w:tabs>
          <w:tab w:val="left" w:pos="640" w:leader="none"/>
          <w:tab w:val="left" w:pos="1050" w:leader="none"/>
        </w:tabs>
        <w:rPr>
          <w:rFonts w:hint="eastAsia" w:ascii="宋体" w:hAnsi="宋体" w:cs="宋体"/>
          <w:spacing w:val="8"/>
          <w:szCs w:val="21"/>
        </w:rPr>
      </w:pPr>
      <w:r>
        <w:rPr>
          <w:rFonts w:hint="eastAsia" w:ascii="宋体" w:hAnsi="宋体" w:cs="宋体"/>
          <w:spacing w:val="8"/>
          <w:szCs w:val="21"/>
        </w:rPr>
        <w:t xml:space="preserve">自主生活能力完全丧失，无法独立完成六项基本日常生活活动中的三项或三项以上。</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23.语言能力丧失</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指因疾病或意外伤害导致语言能力完全丧失，经过积极治疗至少12个月（声带完全切除不受此时间限制），仍无法通过现有医疗手段恢复。</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精神心理因素所致的语言能力丧失不在保障范围内。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24.重型再生障碍性贫血</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指因骨髓造血功能慢性持续性衰竭导致的贫血、中性粒细胞减少及血小板减少，且须满足下列全部条件：</w:t>
      </w:r>
      <w:r/>
    </w:p>
    <w:p>
      <w:pPr>
        <w:pStyle w:val="1317"/>
        <w:numPr>
          <w:ilvl w:val="0"/>
          <w:numId w:val="24"/>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骨髓穿刺检查或骨髓活检结果支持诊断：骨髓细胞增生程度&lt;正常的25%；如≥正常的25%但&lt;50%，则残存的造血细胞应&lt;30%；</w:t>
      </w:r>
      <w:r/>
    </w:p>
    <w:p>
      <w:pPr>
        <w:pStyle w:val="1317"/>
        <w:numPr>
          <w:ilvl w:val="0"/>
          <w:numId w:val="24"/>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外周血象须具备以下三项条件中的两项：</w:t>
      </w:r>
      <w:r/>
    </w:p>
    <w:p>
      <w:pPr>
        <w:pStyle w:val="1317"/>
        <w:numPr>
          <w:ilvl w:val="0"/>
          <w:numId w:val="25"/>
        </w:numPr>
        <w:ind w:left="0" w:firstLine="452"/>
        <w:spacing w:line="360" w:lineRule="auto"/>
        <w:rPr>
          <w:rFonts w:hint="eastAsia" w:ascii="宋体" w:hAnsi="宋体" w:cs="宋体"/>
          <w:spacing w:val="8"/>
          <w:szCs w:val="21"/>
        </w:rPr>
      </w:pPr>
      <w:r>
        <w:rPr>
          <w:rFonts w:hint="eastAsia" w:ascii="宋体" w:hAnsi="宋体" w:cs="宋体"/>
          <w:spacing w:val="8"/>
          <w:szCs w:val="21"/>
        </w:rPr>
        <w:t xml:space="preserve">中性粒细胞绝对值&lt;0.5×10</w:t>
      </w:r>
      <w:r>
        <w:rPr>
          <w:rFonts w:hint="eastAsia" w:ascii="宋体" w:hAnsi="宋体" w:cs="宋体"/>
          <w:spacing w:val="8"/>
          <w:szCs w:val="21"/>
          <w:vertAlign w:val="superscript"/>
        </w:rPr>
        <w:t xml:space="preserve">9</w:t>
      </w:r>
      <w:r>
        <w:rPr>
          <w:rFonts w:hint="eastAsia" w:ascii="宋体" w:hAnsi="宋体" w:cs="宋体"/>
          <w:spacing w:val="8"/>
          <w:szCs w:val="21"/>
        </w:rPr>
        <w:t xml:space="preserve">/L；</w:t>
      </w:r>
      <w:r/>
    </w:p>
    <w:p>
      <w:pPr>
        <w:pStyle w:val="1317"/>
        <w:numPr>
          <w:ilvl w:val="0"/>
          <w:numId w:val="25"/>
        </w:numPr>
        <w:ind w:left="0" w:firstLine="452"/>
        <w:spacing w:line="360" w:lineRule="auto"/>
        <w:rPr>
          <w:rFonts w:hint="eastAsia" w:ascii="宋体" w:hAnsi="宋体" w:cs="宋体"/>
          <w:spacing w:val="8"/>
          <w:szCs w:val="21"/>
        </w:rPr>
      </w:pPr>
      <w:r>
        <w:rPr>
          <w:rFonts w:hint="eastAsia" w:ascii="宋体" w:hAnsi="宋体" w:cs="宋体"/>
          <w:spacing w:val="8"/>
          <w:szCs w:val="21"/>
        </w:rPr>
        <w:t xml:space="preserve">网织红细胞计数&lt;20×10</w:t>
      </w:r>
      <w:r>
        <w:rPr>
          <w:rFonts w:hint="eastAsia" w:ascii="宋体" w:hAnsi="宋体" w:cs="宋体"/>
          <w:spacing w:val="8"/>
          <w:szCs w:val="21"/>
          <w:vertAlign w:val="superscript"/>
        </w:rPr>
        <w:t xml:space="preserve">9</w:t>
      </w:r>
      <w:r>
        <w:rPr>
          <w:rFonts w:hint="eastAsia" w:ascii="宋体" w:hAnsi="宋体" w:cs="宋体"/>
          <w:spacing w:val="8"/>
          <w:szCs w:val="21"/>
        </w:rPr>
        <w:t xml:space="preserve">/L；</w:t>
      </w:r>
      <w:r/>
    </w:p>
    <w:p>
      <w:pPr>
        <w:pStyle w:val="1317"/>
        <w:numPr>
          <w:ilvl w:val="0"/>
          <w:numId w:val="25"/>
        </w:numPr>
        <w:ind w:left="0" w:firstLine="452"/>
        <w:spacing w:line="360" w:lineRule="auto"/>
        <w:rPr>
          <w:rFonts w:hint="eastAsia" w:ascii="宋体" w:hAnsi="宋体" w:cs="宋体"/>
          <w:spacing w:val="8"/>
          <w:szCs w:val="21"/>
        </w:rPr>
      </w:pPr>
      <w:r>
        <w:rPr>
          <w:rFonts w:hint="eastAsia" w:ascii="宋体" w:hAnsi="宋体" w:cs="宋体"/>
          <w:spacing w:val="8"/>
          <w:szCs w:val="21"/>
        </w:rPr>
        <w:t xml:space="preserve">血小板绝对值&lt;20×10</w:t>
      </w:r>
      <w:r>
        <w:rPr>
          <w:rFonts w:hint="eastAsia" w:ascii="宋体" w:hAnsi="宋体" w:cs="宋体"/>
          <w:spacing w:val="8"/>
          <w:szCs w:val="21"/>
          <w:vertAlign w:val="superscript"/>
        </w:rPr>
        <w:t xml:space="preserve">9</w:t>
      </w:r>
      <w:r>
        <w:rPr>
          <w:rFonts w:hint="eastAsia" w:ascii="宋体" w:hAnsi="宋体" w:cs="宋体"/>
          <w:spacing w:val="8"/>
          <w:szCs w:val="21"/>
        </w:rPr>
        <w:t xml:space="preserve">/L。</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25.主动脉手术</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所有未实施开胸或开腹的动脉内介入治疗不在保障范围内。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26.严重慢性呼吸衰竭</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指因慢性呼吸系统疾病导致永久不可逆性的呼吸衰竭，经过积极治疗180天后满足以下所有条件：</w:t>
      </w:r>
      <w:r/>
    </w:p>
    <w:p>
      <w:pPr>
        <w:pStyle w:val="1317"/>
        <w:numPr>
          <w:ilvl w:val="0"/>
          <w:numId w:val="26"/>
        </w:numPr>
        <w:ind w:left="0" w:firstLine="452"/>
        <w:spacing w:line="360" w:lineRule="auto"/>
        <w:tabs>
          <w:tab w:val="left" w:pos="630" w:leader="none"/>
          <w:tab w:val="left" w:pos="840" w:leader="none"/>
          <w:tab w:val="left" w:pos="1050" w:leader="none"/>
        </w:tabs>
        <w:rPr>
          <w:rFonts w:hint="eastAsia" w:ascii="宋体" w:hAnsi="宋体" w:cs="宋体"/>
          <w:spacing w:val="8"/>
          <w:szCs w:val="21"/>
        </w:rPr>
      </w:pPr>
      <w:r>
        <w:rPr>
          <w:rFonts w:hint="eastAsia" w:ascii="宋体" w:hAnsi="宋体" w:cs="宋体"/>
          <w:spacing w:val="8"/>
          <w:szCs w:val="21"/>
        </w:rPr>
        <w:t xml:space="preserve">静息时出现呼吸困难；</w:t>
      </w:r>
      <w:r/>
    </w:p>
    <w:p>
      <w:pPr>
        <w:pStyle w:val="1317"/>
        <w:numPr>
          <w:ilvl w:val="0"/>
          <w:numId w:val="26"/>
        </w:numPr>
        <w:ind w:left="0" w:firstLine="452"/>
        <w:spacing w:line="360" w:lineRule="auto"/>
        <w:tabs>
          <w:tab w:val="left" w:pos="630" w:leader="none"/>
          <w:tab w:val="left" w:pos="840" w:leader="none"/>
          <w:tab w:val="left" w:pos="1050" w:leader="none"/>
        </w:tabs>
        <w:rPr>
          <w:rFonts w:hint="eastAsia" w:ascii="宋体" w:hAnsi="宋体" w:cs="宋体"/>
          <w:spacing w:val="8"/>
          <w:szCs w:val="21"/>
        </w:rPr>
      </w:pPr>
      <w:r>
        <w:rPr>
          <w:rFonts w:hint="eastAsia" w:ascii="宋体" w:hAnsi="宋体" w:cs="宋体"/>
          <w:spacing w:val="8"/>
          <w:szCs w:val="21"/>
        </w:rPr>
        <w:t xml:space="preserve">肺功能第一秒用力呼气容积（FEV</w:t>
      </w:r>
      <w:r>
        <w:rPr>
          <w:rFonts w:hint="eastAsia" w:ascii="宋体" w:hAnsi="宋体" w:cs="宋体"/>
          <w:spacing w:val="8"/>
          <w:szCs w:val="21"/>
          <w:vertAlign w:val="subscript"/>
        </w:rPr>
        <w:t xml:space="preserve">1</w:t>
      </w:r>
      <w:r>
        <w:rPr>
          <w:rFonts w:hint="eastAsia" w:ascii="宋体" w:hAnsi="宋体" w:cs="宋体"/>
          <w:spacing w:val="8"/>
          <w:szCs w:val="21"/>
        </w:rPr>
        <w:t xml:space="preserve">）占预计值的百分比＜30%；</w:t>
      </w:r>
      <w:r/>
    </w:p>
    <w:p>
      <w:pPr>
        <w:pStyle w:val="1317"/>
        <w:numPr>
          <w:ilvl w:val="0"/>
          <w:numId w:val="26"/>
        </w:numPr>
        <w:ind w:left="0" w:firstLine="452"/>
        <w:spacing w:line="360" w:lineRule="auto"/>
        <w:tabs>
          <w:tab w:val="left" w:pos="630" w:leader="none"/>
          <w:tab w:val="left" w:pos="840" w:leader="none"/>
          <w:tab w:val="left" w:pos="1050" w:leader="none"/>
        </w:tabs>
        <w:rPr>
          <w:rFonts w:hint="eastAsia" w:ascii="宋体" w:hAnsi="宋体" w:cs="宋体"/>
          <w:spacing w:val="8"/>
          <w:szCs w:val="21"/>
        </w:rPr>
      </w:pPr>
      <w:r>
        <w:rPr>
          <w:rFonts w:hint="eastAsia" w:ascii="宋体" w:hAnsi="宋体" w:cs="宋体"/>
          <w:spacing w:val="8"/>
          <w:szCs w:val="21"/>
        </w:rPr>
        <w:t xml:space="preserve">在静息状态、呼吸空气条件下，动脉血氧分压（PaO</w:t>
      </w:r>
      <w:r>
        <w:rPr>
          <w:rFonts w:hint="eastAsia" w:ascii="宋体" w:hAnsi="宋体" w:cs="宋体"/>
          <w:spacing w:val="8"/>
          <w:szCs w:val="21"/>
          <w:vertAlign w:val="subscript"/>
        </w:rPr>
        <w:t xml:space="preserve">2</w:t>
      </w:r>
      <w:r>
        <w:rPr>
          <w:rFonts w:hint="eastAsia" w:ascii="宋体" w:hAnsi="宋体" w:cs="宋体"/>
          <w:spacing w:val="8"/>
          <w:szCs w:val="21"/>
        </w:rPr>
        <w:t xml:space="preserve">）＜50mmHg。</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27.严重克罗恩病 </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指一种慢性肉芽肿性肠炎，具有特征性的克罗恩病（Crohn病）病理组织学变化，须根据组织病理学特点诊断，且已经造成瘘管形成并伴有肠梗阻或肠穿孔。 </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28.严重溃疡性结肠炎 </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指伴有致命性电解质紊乱的急性暴发性溃疡性结肠炎，病变已经累及全结肠，表现为严重的血便和系统性症状体征，须根据组织病理学特点诊断，且已经实施了结肠切除或回肠造瘘术。</w:t>
      </w:r>
      <w:r/>
    </w:p>
    <w:p>
      <w:pPr>
        <w:ind w:firstLine="422"/>
        <w:spacing w:line="360" w:lineRule="auto"/>
        <w:rPr>
          <w:rFonts w:hint="eastAsia" w:ascii="宋体" w:hAnsi="宋体" w:cs="宋体"/>
          <w:b/>
          <w:szCs w:val="21"/>
        </w:rPr>
      </w:pPr>
      <w:r>
        <w:rPr>
          <w:rFonts w:hint="eastAsia" w:ascii="宋体" w:hAnsi="宋体" w:cs="宋体"/>
          <w:b/>
          <w:szCs w:val="21"/>
        </w:rPr>
        <w:t xml:space="preserve">上述9.3.1-9.3.28定义依照中国保险行业协会与中国医师协会联合发布的《重大疾病保险的疾病定义使用规范（2020年修订版）》制定。</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29.严重多发性硬化</w:t>
      </w:r>
      <w:r/>
    </w:p>
    <w:p>
      <w:pPr>
        <w:ind w:firstLine="420"/>
        <w:spacing w:line="360" w:lineRule="auto"/>
        <w:rPr>
          <w:rFonts w:hint="eastAsia" w:ascii="宋体" w:hAnsi="宋体" w:cs="宋体"/>
          <w:spacing w:val="8"/>
          <w:szCs w:val="21"/>
        </w:rPr>
      </w:pPr>
      <w:r>
        <w:rPr>
          <w:rFonts w:hint="eastAsia" w:ascii="宋体" w:hAnsi="宋体" w:cs="宋体"/>
          <w:szCs w:val="21"/>
        </w:rPr>
        <w:t xml:space="preserve">多发性硬化为中枢神经系统白质多灶性脱髓鞘病变，病变有时累及灰质。多发性硬化必须明确诊断并由核磁共振（MRI）等影像学检验证实，并且已经造成永久不可逆的神经系统功能损害。</w:t>
      </w:r>
      <w:r>
        <w:rPr>
          <w:rFonts w:hint="eastAsia" w:ascii="宋体" w:hAnsi="宋体" w:cs="宋体"/>
          <w:spacing w:val="8"/>
          <w:szCs w:val="21"/>
        </w:rPr>
        <w:t xml:space="preserve">永久不可逆的神经系统损害指被保险人持续180天无法独立完成下列基本日常生活活动之一：</w:t>
      </w:r>
      <w:r/>
    </w:p>
    <w:p>
      <w:pPr>
        <w:pStyle w:val="1317"/>
        <w:numPr>
          <w:ilvl w:val="0"/>
          <w:numId w:val="27"/>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移动：自己从一个房间到另一个房间；</w:t>
      </w:r>
      <w:r/>
    </w:p>
    <w:p>
      <w:pPr>
        <w:pStyle w:val="1317"/>
        <w:numPr>
          <w:ilvl w:val="0"/>
          <w:numId w:val="27"/>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进食：自己从已准备好的碗或碟中取食物放入口中</w:t>
      </w:r>
      <w:r>
        <w:rPr>
          <w:rFonts w:hint="eastAsia" w:ascii="宋体" w:hAnsi="宋体" w:cs="宋体"/>
          <w:szCs w:val="21"/>
        </w:rPr>
        <w:t xml:space="preserve">。</w:t>
      </w:r>
      <w:r/>
    </w:p>
    <w:p>
      <w:pPr>
        <w:ind w:firstLine="422"/>
        <w:spacing w:line="360" w:lineRule="auto"/>
        <w:rPr>
          <w:rFonts w:hint="eastAsia" w:ascii="宋体" w:hAnsi="宋体" w:cs="宋体"/>
          <w:b/>
          <w:szCs w:val="21"/>
        </w:rPr>
      </w:pPr>
      <w:r>
        <w:rPr>
          <w:rFonts w:hint="eastAsia" w:ascii="宋体" w:hAnsi="宋体" w:cs="宋体"/>
          <w:b/>
          <w:szCs w:val="21"/>
        </w:rPr>
        <w:t xml:space="preserve">注：严重多发性硬化不受本保险条款“2.2责任免除”中“2.2.1”、“（9）遗传性疾病，先天性畸形、变形或染色体异常”的限制。</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30.脊髓灰质炎后遗症</w:t>
      </w:r>
      <w:r/>
    </w:p>
    <w:p>
      <w:pPr>
        <w:ind w:firstLine="420"/>
        <w:spacing w:line="360" w:lineRule="auto"/>
        <w:rPr>
          <w:rFonts w:hint="eastAsia" w:ascii="宋体" w:hAnsi="宋体" w:cs="宋体"/>
          <w:szCs w:val="21"/>
        </w:rPr>
      </w:pPr>
      <w:r>
        <w:rPr>
          <w:rFonts w:hint="eastAsia" w:ascii="宋体" w:hAnsi="宋体" w:cs="宋体"/>
          <w:szCs w:val="21"/>
        </w:rPr>
        <w:t xml:space="preserve">脊髓灰质炎是由于脊髓灰质炎病毒感染所致的瘫痪性疾病，临床表现为运动功能损害或呼吸无力。脊髓灰质炎必须明确诊断。</w:t>
      </w:r>
      <w:r/>
    </w:p>
    <w:p>
      <w:pPr>
        <w:ind w:firstLine="422"/>
        <w:spacing w:line="360" w:lineRule="auto"/>
        <w:rPr>
          <w:rFonts w:hint="eastAsia" w:ascii="宋体" w:hAnsi="宋体" w:cs="宋体"/>
          <w:b/>
          <w:szCs w:val="21"/>
        </w:rPr>
      </w:pPr>
      <w:r>
        <w:rPr>
          <w:rFonts w:hint="eastAsia" w:ascii="宋体" w:hAnsi="宋体" w:cs="宋体"/>
          <w:b/>
          <w:szCs w:val="21"/>
        </w:rPr>
        <w:t xml:space="preserve">仅对脊髓灰质炎造成的神经系统功能损害导致被保险人一肢或一肢以上肢体机能永久完全丧失的情况予以理赔。</w:t>
      </w:r>
      <w:r/>
    </w:p>
    <w:p>
      <w:pPr>
        <w:ind w:firstLine="422"/>
        <w:spacing w:line="360" w:lineRule="auto"/>
        <w:rPr>
          <w:rFonts w:hint="eastAsia" w:ascii="宋体" w:hAnsi="宋体" w:cs="宋体"/>
          <w:b/>
          <w:szCs w:val="21"/>
        </w:rPr>
      </w:pPr>
      <w:r>
        <w:rPr>
          <w:rFonts w:hint="eastAsia" w:ascii="宋体" w:hAnsi="宋体" w:cs="宋体"/>
          <w:b/>
          <w:szCs w:val="21"/>
        </w:rPr>
        <w:t xml:space="preserve">注：此处肢体机能永久完全丧失，指疾病确诊180天后，每肢三大关节中的两大关节仍然完全僵硬，或不能随意识活动。</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31.重症肌无力</w:t>
      </w:r>
      <w:r/>
    </w:p>
    <w:p>
      <w:pPr>
        <w:ind w:firstLine="420"/>
        <w:spacing w:line="360" w:lineRule="auto"/>
        <w:rPr>
          <w:rFonts w:hint="eastAsia" w:ascii="宋体" w:hAnsi="宋体" w:cs="宋体"/>
          <w:szCs w:val="21"/>
        </w:rPr>
      </w:pPr>
      <w:r>
        <w:rPr>
          <w:rFonts w:hint="eastAsia" w:ascii="宋体" w:hAnsi="宋体" w:cs="宋体"/>
          <w:szCs w:val="21"/>
        </w:rPr>
        <w:t xml:space="preserve">重症肌无力是一种神经肌肉接头传递障碍所致的疾病，表现为局部或全身骨骼肌（特别是眼外肌）极易疲劳。疾病可以累及呼吸肌、上肢或下肢的近端肌群或全身肌肉，须经保险人认可的神经科专科医师确诊，且满足下列全部条件：</w:t>
      </w:r>
      <w:r/>
    </w:p>
    <w:p>
      <w:pPr>
        <w:pStyle w:val="1503"/>
        <w:numPr>
          <w:ilvl w:val="0"/>
          <w:numId w:val="28"/>
        </w:numPr>
        <w:ind w:left="0"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经药物治疗和胸腺切除治疗一年以上仍无法控制病情；</w:t>
      </w:r>
      <w:r/>
    </w:p>
    <w:p>
      <w:pPr>
        <w:pStyle w:val="1503"/>
        <w:numPr>
          <w:ilvl w:val="0"/>
          <w:numId w:val="28"/>
        </w:numPr>
        <w:ind w:left="0"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自主生活能力完全丧失，无法独立完成六项基本日常生活活动中的三项或三项以上。</w:t>
      </w:r>
      <w:r/>
    </w:p>
    <w:p>
      <w:pPr>
        <w:ind w:firstLine="422"/>
        <w:spacing w:line="360" w:lineRule="auto"/>
        <w:rPr>
          <w:rFonts w:hint="eastAsia" w:ascii="宋体" w:hAnsi="宋体" w:cs="宋体"/>
          <w:b/>
          <w:szCs w:val="21"/>
        </w:rPr>
      </w:pPr>
      <w:r>
        <w:rPr>
          <w:rFonts w:hint="eastAsia" w:ascii="宋体" w:hAnsi="宋体" w:cs="宋体"/>
          <w:b/>
          <w:szCs w:val="21"/>
        </w:rPr>
        <w:t xml:space="preserve">注：重症肌无力不受本保险条款“2.2责任免除”中“2.2.1”、“（9）遗传性疾病，先天性畸形、变形或染色体异常”的限制。</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32.严重冠心病</w:t>
      </w:r>
      <w:r/>
    </w:p>
    <w:p>
      <w:pPr>
        <w:pStyle w:val="1503"/>
        <w:ind w:left="0"/>
        <w:spacing w:line="360" w:lineRule="auto"/>
        <w:rPr>
          <w:rFonts w:hint="eastAsia" w:ascii="宋体" w:hAnsi="宋体" w:cs="宋体"/>
          <w:szCs w:val="21"/>
        </w:rPr>
      </w:pPr>
      <w:r>
        <w:rPr>
          <w:rFonts w:hint="eastAsia" w:ascii="宋体" w:hAnsi="宋体" w:cs="宋体"/>
          <w:szCs w:val="21"/>
        </w:rPr>
        <w:t xml:space="preserve">指经根据冠状动脉造影检查结果明确诊断为主要血管（指左冠状动脉主干及前降支、左旋支，右冠状动脉）严重狭窄性病变（指至少一支血管管腔直径减少75％以上和其他两支血管管腔直径减少60％以上）。</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前降支、左旋支及右冠状动脉的分支血管的狭窄不作为本保障的衡量指标。</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33.严重心肌病</w:t>
      </w:r>
      <w:r/>
    </w:p>
    <w:p>
      <w:pPr>
        <w:pStyle w:val="1503"/>
        <w:ind w:left="0"/>
        <w:spacing w:line="360" w:lineRule="auto"/>
        <w:rPr>
          <w:rFonts w:hint="eastAsia" w:ascii="宋体" w:hAnsi="宋体" w:cs="宋体"/>
          <w:szCs w:val="21"/>
        </w:rPr>
      </w:pPr>
      <w:r>
        <w:rPr>
          <w:rFonts w:hint="eastAsia" w:ascii="宋体" w:hAnsi="宋体" w:cs="宋体"/>
          <w:szCs w:val="21"/>
        </w:rPr>
        <w:t xml:space="preserve">指不明原因引起的一类心肌病变，包括原发性扩张型心肌病、原发性肥厚型心肌病及原发性限制型心肌病三种，病变必须已造成事实上心室功能障碍而出现明显的心功能衰竭，达到</w:t>
      </w:r>
      <w:r>
        <w:rPr>
          <w:rFonts w:hint="eastAsia" w:ascii="宋体" w:hAnsi="宋体" w:cs="宋体"/>
          <w:spacing w:val="8"/>
          <w:szCs w:val="21"/>
        </w:rPr>
        <w:t xml:space="preserve">美国纽约心脏病学会（New York Heart Association，NYHA）</w:t>
      </w:r>
      <w:r>
        <w:rPr>
          <w:rFonts w:hint="eastAsia" w:ascii="宋体" w:hAnsi="宋体" w:cs="宋体"/>
          <w:szCs w:val="21"/>
        </w:rPr>
        <w:t xml:space="preserve">心功能状态分级Ⅳ级，且有相关住院医疗记录及检查显示四级心功能衰竭状态持续至少180天。</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继发于全身性疾病或其它器官系统疾病以及由于酒精和药物滥用造成的心肌病变不在保障范围内。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34.系统性红斑狼疮－Ⅲ型或以上狼疮性肾炎</w:t>
      </w:r>
      <w:r/>
    </w:p>
    <w:p>
      <w:pPr>
        <w:pStyle w:val="1503"/>
        <w:ind w:left="0"/>
        <w:spacing w:line="360" w:lineRule="auto"/>
        <w:rPr>
          <w:rFonts w:hint="eastAsia" w:ascii="宋体" w:hAnsi="宋体" w:cs="宋体"/>
          <w:szCs w:val="21"/>
        </w:rPr>
      </w:pPr>
      <w:r>
        <w:rPr>
          <w:rFonts w:hint="eastAsia" w:ascii="宋体" w:hAnsi="宋体" w:cs="宋体"/>
          <w:szCs w:val="21"/>
        </w:rPr>
        <w:t xml:space="preserve">是指由于病理性自身抗体和免疫复合物的沉积破坏了血管和细胞而导致的多系统损害的一种自体免疫性疾病。本文所指的系统性红斑狼疮仅限于累及肾脏（经肾脏病理检查或临床确诊，并符合下列世界卫生组织(WHO)诊断标准定义Ⅲ型至Ⅴ型狼疮性肾炎）的系统性红斑狼疮。</w:t>
      </w:r>
      <w:r>
        <w:rPr>
          <w:rFonts w:hint="eastAsia" w:ascii="宋体" w:hAnsi="宋体" w:cs="宋体"/>
          <w:b/>
          <w:szCs w:val="21"/>
        </w:rPr>
        <w:t xml:space="preserve">其他类型的红斑性狼疮，如盘状狼疮，仅累及血液及关节等其他系统的系统性红斑狼疮不包含在内。</w:t>
      </w:r>
      <w:r/>
    </w:p>
    <w:p>
      <w:pPr>
        <w:pStyle w:val="1503"/>
        <w:ind w:left="0"/>
        <w:spacing w:line="360" w:lineRule="auto"/>
        <w:rPr>
          <w:rFonts w:hint="eastAsia" w:ascii="宋体" w:hAnsi="宋体" w:cs="宋体"/>
          <w:szCs w:val="21"/>
        </w:rPr>
      </w:pPr>
      <w:r>
        <w:rPr>
          <w:rFonts w:hint="eastAsia" w:ascii="宋体" w:hAnsi="宋体" w:cs="宋体"/>
          <w:szCs w:val="21"/>
        </w:rPr>
        <w:t xml:space="preserve">世界卫生组织(WHO)狼疮性肾炎分型：</w:t>
      </w:r>
      <w:r/>
    </w:p>
    <w:p>
      <w:pPr>
        <w:pStyle w:val="1503"/>
        <w:ind w:left="0"/>
        <w:spacing w:line="360" w:lineRule="auto"/>
        <w:rPr>
          <w:rFonts w:hint="eastAsia" w:ascii="宋体" w:hAnsi="宋体" w:cs="宋体"/>
          <w:szCs w:val="21"/>
        </w:rPr>
      </w:pPr>
      <w:r>
        <w:rPr>
          <w:rFonts w:hint="eastAsia" w:ascii="宋体" w:hAnsi="宋体" w:cs="宋体"/>
          <w:szCs w:val="21"/>
        </w:rPr>
        <w:t xml:space="preserve">Ⅰ型  (微小病变型)镜下阴性，尿液正常</w:t>
      </w:r>
      <w:r/>
    </w:p>
    <w:p>
      <w:pPr>
        <w:pStyle w:val="1503"/>
        <w:ind w:left="0"/>
        <w:spacing w:line="360" w:lineRule="auto"/>
        <w:rPr>
          <w:rFonts w:hint="eastAsia" w:ascii="宋体" w:hAnsi="宋体" w:cs="宋体"/>
          <w:szCs w:val="21"/>
        </w:rPr>
      </w:pPr>
      <w:r>
        <w:rPr>
          <w:rFonts w:hint="eastAsia" w:ascii="宋体" w:hAnsi="宋体" w:cs="宋体"/>
          <w:szCs w:val="21"/>
        </w:rPr>
        <w:t xml:space="preserve">Ⅱ型  (系膜病变型)中度蛋白尿，偶有尿沉渣改变</w:t>
      </w:r>
      <w:r/>
    </w:p>
    <w:p>
      <w:pPr>
        <w:pStyle w:val="1503"/>
        <w:ind w:left="0"/>
        <w:spacing w:line="360" w:lineRule="auto"/>
        <w:rPr>
          <w:rFonts w:hint="eastAsia" w:ascii="宋体" w:hAnsi="宋体" w:cs="宋体"/>
          <w:szCs w:val="21"/>
        </w:rPr>
      </w:pPr>
      <w:r>
        <w:rPr>
          <w:rFonts w:hint="eastAsia" w:ascii="宋体" w:hAnsi="宋体" w:cs="宋体"/>
          <w:szCs w:val="21"/>
        </w:rPr>
        <w:t xml:space="preserve">Ⅲ型  (局灶及节段增生型)蛋白尿，尿沉渣改变</w:t>
      </w:r>
      <w:r/>
    </w:p>
    <w:p>
      <w:pPr>
        <w:pStyle w:val="1503"/>
        <w:ind w:left="0"/>
        <w:spacing w:line="360" w:lineRule="auto"/>
        <w:rPr>
          <w:rFonts w:hint="eastAsia" w:ascii="宋体" w:hAnsi="宋体" w:cs="宋体"/>
          <w:szCs w:val="21"/>
        </w:rPr>
      </w:pPr>
      <w:r>
        <w:rPr>
          <w:rFonts w:hint="eastAsia" w:ascii="宋体" w:hAnsi="宋体" w:cs="宋体"/>
          <w:szCs w:val="21"/>
        </w:rPr>
        <w:t xml:space="preserve">Ⅳ型  (弥漫增生型)急性肾炎伴有尿沉渣改变及/或肾病综合征</w:t>
      </w:r>
      <w:r/>
    </w:p>
    <w:p>
      <w:pPr>
        <w:pStyle w:val="1503"/>
        <w:ind w:left="0"/>
        <w:spacing w:line="360" w:lineRule="auto"/>
        <w:rPr>
          <w:rFonts w:hint="eastAsia" w:ascii="宋体" w:hAnsi="宋体" w:cs="宋体"/>
          <w:szCs w:val="21"/>
        </w:rPr>
      </w:pPr>
      <w:r>
        <w:rPr>
          <w:rFonts w:hint="eastAsia" w:ascii="宋体" w:hAnsi="宋体" w:cs="宋体"/>
          <w:szCs w:val="21"/>
        </w:rPr>
        <w:t xml:space="preserve">Ⅴ型  (膜型)肾病综合征或重度蛋白尿</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35.因职业关系导致的艾滋病病毒（HIV）感染</w:t>
      </w:r>
      <w:r/>
    </w:p>
    <w:p>
      <w:pPr>
        <w:pStyle w:val="1503"/>
        <w:ind w:left="0"/>
        <w:spacing w:line="360" w:lineRule="auto"/>
        <w:rPr>
          <w:rFonts w:hint="eastAsia" w:ascii="宋体" w:hAnsi="宋体" w:cs="宋体"/>
          <w:szCs w:val="21"/>
        </w:rPr>
      </w:pPr>
      <w:r>
        <w:rPr>
          <w:rFonts w:hint="eastAsia" w:ascii="宋体" w:hAnsi="宋体" w:cs="宋体"/>
          <w:szCs w:val="21"/>
        </w:rPr>
        <w:t xml:space="preserve">被保险人的职业归属于下列职业列表内的职业，在其常规职业工作过程中遭遇外伤，或者职业需要处理血液或者其他体液时感染上艾滋病病毒（HIV）。必须满足下列全部条件：</w:t>
      </w:r>
      <w:r/>
    </w:p>
    <w:p>
      <w:pPr>
        <w:pStyle w:val="1503"/>
        <w:numPr>
          <w:ilvl w:val="0"/>
          <w:numId w:val="29"/>
        </w:numPr>
        <w:ind w:left="0"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感染必须是在被保险人正在从事其职业工作中发生；</w:t>
      </w:r>
      <w:r/>
    </w:p>
    <w:p>
      <w:pPr>
        <w:pStyle w:val="1503"/>
        <w:numPr>
          <w:ilvl w:val="0"/>
          <w:numId w:val="29"/>
        </w:numPr>
        <w:ind w:left="0"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血清转化必须出现在事故发生后的6个月以内；</w:t>
      </w:r>
      <w:r/>
    </w:p>
    <w:p>
      <w:pPr>
        <w:pStyle w:val="1503"/>
        <w:numPr>
          <w:ilvl w:val="0"/>
          <w:numId w:val="29"/>
        </w:numPr>
        <w:ind w:left="0"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必须提供被保险人在所报事故发生后的5天以内进行的检查报告，该报告必须显示被保险人血液艾滋病病毒（HIV）阴性和/或HIV抗体阴性；</w:t>
      </w:r>
      <w:r/>
    </w:p>
    <w:p>
      <w:pPr>
        <w:pStyle w:val="1503"/>
        <w:numPr>
          <w:ilvl w:val="0"/>
          <w:numId w:val="29"/>
        </w:numPr>
        <w:ind w:left="0"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必须在事故发生后的12个月内证实被保险人体内存在艾滋病病毒（HIV）或者HIV抗体。</w:t>
      </w:r>
      <w:r/>
    </w:p>
    <w:p>
      <w:pPr>
        <w:pStyle w:val="1503"/>
        <w:ind w:left="0"/>
        <w:spacing w:line="360" w:lineRule="auto"/>
        <w:rPr>
          <w:rFonts w:hint="eastAsia" w:ascii="宋体" w:hAnsi="宋体" w:cs="宋体"/>
          <w:szCs w:val="21"/>
        </w:rPr>
      </w:pPr>
      <w:r>
        <w:rPr>
          <w:rFonts w:hint="eastAsia" w:ascii="宋体" w:hAnsi="宋体" w:cs="宋体"/>
          <w:szCs w:val="21"/>
        </w:rPr>
        <w:t xml:space="preserve">职业列表： </w:t>
      </w:r>
      <w:r/>
    </w:p>
    <w:tbl>
      <w:tblPr>
        <w:tblStyle w:val="10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04"/>
        <w:gridCol w:w="2573"/>
      </w:tblGrid>
      <w:tr>
        <w:trPr>
          <w:jc w:val="center"/>
        </w:trPr>
        <w:tc>
          <w:tcPr>
            <w:tcW w:w="3004"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医生（包括牙医）</w:t>
            </w:r>
            <w:r/>
          </w:p>
        </w:tc>
        <w:tc>
          <w:tcPr>
            <w:tcW w:w="2573"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护士</w:t>
            </w:r>
            <w:r/>
          </w:p>
        </w:tc>
      </w:tr>
      <w:tr>
        <w:trPr>
          <w:jc w:val="center"/>
        </w:trPr>
        <w:tc>
          <w:tcPr>
            <w:tcW w:w="3004"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医院化验室工作人员</w:t>
            </w:r>
            <w:r/>
          </w:p>
        </w:tc>
        <w:tc>
          <w:tcPr>
            <w:tcW w:w="2573"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医院护工</w:t>
            </w:r>
            <w:r/>
          </w:p>
        </w:tc>
      </w:tr>
      <w:tr>
        <w:trPr>
          <w:jc w:val="center"/>
        </w:trPr>
        <w:tc>
          <w:tcPr>
            <w:tcW w:w="3004"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救护车工作人员</w:t>
            </w:r>
            <w:r/>
          </w:p>
        </w:tc>
        <w:tc>
          <w:tcPr>
            <w:tcW w:w="2573"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助产士</w:t>
            </w:r>
            <w:r/>
          </w:p>
        </w:tc>
      </w:tr>
      <w:tr>
        <w:trPr>
          <w:jc w:val="center"/>
        </w:trPr>
        <w:tc>
          <w:tcPr>
            <w:tcW w:w="3004"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警察（包括狱警）</w:t>
            </w:r>
            <w:r/>
          </w:p>
        </w:tc>
        <w:tc>
          <w:tcPr>
            <w:tcW w:w="2573"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消防人员</w:t>
            </w:r>
            <w:r/>
          </w:p>
        </w:tc>
      </w:tr>
    </w:tbl>
    <w:p>
      <w:pPr>
        <w:pStyle w:val="1503"/>
        <w:ind w:left="0" w:firstLine="422"/>
        <w:spacing w:line="360" w:lineRule="auto"/>
        <w:rPr>
          <w:rFonts w:hint="eastAsia" w:ascii="宋体" w:hAnsi="宋体" w:cs="宋体"/>
          <w:b/>
          <w:szCs w:val="21"/>
        </w:rPr>
      </w:pPr>
      <w:r>
        <w:rPr>
          <w:rFonts w:hint="eastAsia" w:ascii="宋体" w:hAnsi="宋体" w:cs="宋体"/>
          <w:b/>
          <w:szCs w:val="21"/>
        </w:rPr>
        <w:t xml:space="preserve">注：因职业关系导致的艾滋病病毒（HIV）感染不受本保险条款“2.2责任 免除”中“2.2.1”、“</w:t>
      </w:r>
      <w:r>
        <w:rPr>
          <w:rFonts w:hint="eastAsia" w:ascii="宋体" w:hAnsi="宋体" w:cs="宋体"/>
          <w:b/>
          <w:szCs w:val="21"/>
        </w:rPr>
        <w:fldChar w:fldCharType="begin"/>
      </w:r>
      <w:r>
        <w:rPr>
          <w:rFonts w:hint="eastAsia" w:ascii="宋体" w:hAnsi="宋体" w:cs="宋体"/>
          <w:b/>
          <w:szCs w:val="21"/>
        </w:rPr>
        <w:instrText xml:space="preserve"> HYPERLINK \l "_2.2.1_因下列情形造成被保险人住院治疗的，保险人不承担给付保险金的" </w:instrText>
      </w:r>
      <w:r>
        <w:rPr>
          <w:rFonts w:hint="eastAsia" w:ascii="宋体" w:hAnsi="宋体" w:cs="宋体"/>
          <w:b/>
          <w:szCs w:val="21"/>
        </w:rPr>
        <w:fldChar w:fldCharType="separate"/>
      </w:r>
      <w:r>
        <w:rPr>
          <w:rFonts w:hint="eastAsia" w:ascii="宋体" w:hAnsi="宋体" w:cs="宋体"/>
          <w:b/>
          <w:szCs w:val="21"/>
        </w:rPr>
        <w:t xml:space="preserve">（5）被保险人感染艾滋病病毒或患艾滋病</w:t>
      </w:r>
      <w:r>
        <w:rPr>
          <w:rFonts w:hint="eastAsia" w:ascii="宋体" w:hAnsi="宋体" w:cs="宋体"/>
          <w:b/>
          <w:szCs w:val="21"/>
        </w:rPr>
        <w:fldChar w:fldCharType="end"/>
      </w:r>
      <w:r>
        <w:rPr>
          <w:rFonts w:hint="eastAsia" w:ascii="宋体" w:hAnsi="宋体" w:cs="宋体"/>
          <w:b/>
          <w:szCs w:val="21"/>
        </w:rPr>
        <w:t xml:space="preserve">”的限制；</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保险人拥有获得使用被保险人的所有血液样本的权利和能够对这些样本进行独立检验的权利。</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36.经输血感染艾滋病病毒（HIV）</w:t>
      </w:r>
      <w:r/>
    </w:p>
    <w:p>
      <w:pPr>
        <w:pStyle w:val="1503"/>
        <w:ind w:left="0"/>
        <w:spacing w:line="360" w:lineRule="auto"/>
        <w:rPr>
          <w:rFonts w:hint="eastAsia" w:ascii="宋体" w:hAnsi="宋体" w:cs="宋体"/>
          <w:szCs w:val="21"/>
        </w:rPr>
      </w:pPr>
      <w:r>
        <w:rPr>
          <w:rFonts w:hint="eastAsia" w:ascii="宋体" w:hAnsi="宋体" w:cs="宋体"/>
          <w:szCs w:val="21"/>
        </w:rPr>
        <w:t xml:space="preserve">是指被保险人感染上艾滋病病毒（HIV）并且符合下列所有条件：</w:t>
      </w:r>
      <w:r/>
    </w:p>
    <w:p>
      <w:pPr>
        <w:pStyle w:val="1503"/>
        <w:numPr>
          <w:ilvl w:val="0"/>
          <w:numId w:val="30"/>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在保障起始日之后，被保险人因治疗必需而接受输血，并且因输血而感染艾滋病病毒；</w:t>
      </w:r>
      <w:r/>
    </w:p>
    <w:p>
      <w:pPr>
        <w:pStyle w:val="1503"/>
        <w:numPr>
          <w:ilvl w:val="0"/>
          <w:numId w:val="30"/>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提供输血治疗的输血中心或医疗机构出具该项输血感染属医疗责任事故的报告，或法院终审裁定为医疗责任并且不准上诉；</w:t>
      </w:r>
      <w:r/>
    </w:p>
    <w:p>
      <w:pPr>
        <w:pStyle w:val="1503"/>
        <w:numPr>
          <w:ilvl w:val="0"/>
          <w:numId w:val="30"/>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提供输血治疗的输血中心或医疗机构必须拥有合法经营执照；受感染的被保险人不是血友病罹患者。</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注：经输血导致的艾滋病病毒（HIV）感染不受本保险条款“2.2责任免除”中“2.2.1”、“</w:t>
      </w:r>
      <w:r>
        <w:rPr>
          <w:rFonts w:hint="eastAsia" w:ascii="宋体" w:hAnsi="宋体" w:cs="宋体"/>
          <w:b/>
          <w:szCs w:val="21"/>
        </w:rPr>
        <w:fldChar w:fldCharType="begin"/>
      </w:r>
      <w:r>
        <w:rPr>
          <w:rFonts w:hint="eastAsia" w:ascii="宋体" w:hAnsi="宋体" w:cs="宋体"/>
          <w:b/>
          <w:szCs w:val="21"/>
        </w:rPr>
        <w:instrText xml:space="preserve"> HYPERLINK \l "_2.2.1_因下列情形造成被保险人住院治疗的，保险人不承担给付保险金的" </w:instrText>
      </w:r>
      <w:r>
        <w:rPr>
          <w:rFonts w:hint="eastAsia" w:ascii="宋体" w:hAnsi="宋体" w:cs="宋体"/>
          <w:b/>
          <w:szCs w:val="21"/>
        </w:rPr>
        <w:fldChar w:fldCharType="separate"/>
      </w:r>
      <w:r>
        <w:rPr>
          <w:rFonts w:hint="eastAsia" w:ascii="宋体" w:hAnsi="宋体" w:cs="宋体"/>
          <w:b/>
          <w:szCs w:val="21"/>
        </w:rPr>
        <w:t xml:space="preserve">（5）被保险人感染艾滋病病毒或患艾滋病</w:t>
      </w:r>
      <w:r>
        <w:rPr>
          <w:rFonts w:hint="eastAsia" w:ascii="宋体" w:hAnsi="宋体" w:cs="宋体"/>
          <w:b/>
          <w:szCs w:val="21"/>
        </w:rPr>
        <w:fldChar w:fldCharType="end"/>
      </w:r>
      <w:r>
        <w:rPr>
          <w:rFonts w:hint="eastAsia" w:ascii="宋体" w:hAnsi="宋体" w:cs="宋体"/>
          <w:b/>
          <w:szCs w:val="21"/>
        </w:rPr>
        <w:t xml:space="preserve">”的限制；</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保险人拥有获得使用被保险人的所有血液样本的权利和能够对这些样本进行独立检验的权利。</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37.器官移植导致的HIV感染</w:t>
      </w:r>
      <w:r/>
    </w:p>
    <w:p>
      <w:pPr>
        <w:pStyle w:val="1503"/>
        <w:ind w:left="0"/>
        <w:spacing w:line="360" w:lineRule="auto"/>
        <w:rPr>
          <w:rFonts w:hint="eastAsia" w:ascii="宋体" w:hAnsi="宋体" w:cs="宋体"/>
          <w:szCs w:val="21"/>
        </w:rPr>
      </w:pPr>
      <w:r>
        <w:rPr>
          <w:rFonts w:hint="eastAsia" w:ascii="宋体" w:hAnsi="宋体" w:cs="宋体"/>
          <w:szCs w:val="21"/>
        </w:rPr>
        <w:t xml:space="preserve">指因进行器官移植而感染上人类免疫缺陷病毒（HIV），且须满足下列全部条件：</w:t>
      </w:r>
      <w:r/>
    </w:p>
    <w:p>
      <w:pPr>
        <w:pStyle w:val="1503"/>
        <w:numPr>
          <w:ilvl w:val="0"/>
          <w:numId w:val="31"/>
        </w:numPr>
        <w:ind w:left="-2" w:firstLine="422"/>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在保障起始日或复效日之后，被保险人因治疗必需而实施器官移植，并且因器官移植而感染人类免疫缺陷病毒；</w:t>
      </w:r>
      <w:r/>
    </w:p>
    <w:p>
      <w:pPr>
        <w:pStyle w:val="1503"/>
        <w:numPr>
          <w:ilvl w:val="0"/>
          <w:numId w:val="31"/>
        </w:numPr>
        <w:ind w:left="-2" w:firstLine="422"/>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提供器官移植治疗的器官移植中心或医院出具该项器官移植感染，属于医疗责任事故的报告，或者法院终审裁定为医疗责任并且不准上诉；</w:t>
      </w:r>
      <w:r/>
    </w:p>
    <w:p>
      <w:pPr>
        <w:pStyle w:val="1503"/>
        <w:numPr>
          <w:ilvl w:val="0"/>
          <w:numId w:val="31"/>
        </w:numPr>
        <w:ind w:left="-2" w:firstLine="422"/>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提供器官移植治疗的器官移植中心或医院必须拥有合法经营执照。</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注：器官移植导致的艾滋病病毒（HIV）感染不受本保险条款“2.2责任免除”中“2.2.1”、“</w:t>
      </w:r>
      <w:r>
        <w:rPr>
          <w:rFonts w:hint="eastAsia" w:ascii="宋体" w:hAnsi="宋体" w:cs="宋体"/>
          <w:b/>
          <w:szCs w:val="21"/>
        </w:rPr>
        <w:fldChar w:fldCharType="begin"/>
      </w:r>
      <w:r>
        <w:rPr>
          <w:rFonts w:hint="eastAsia" w:ascii="宋体" w:hAnsi="宋体" w:cs="宋体"/>
          <w:b/>
          <w:szCs w:val="21"/>
        </w:rPr>
        <w:instrText xml:space="preserve"> HYPERLINK \l "_2.2.1_因下列情形造成被保险人住院治疗的，保险人不承担给付保险金的" </w:instrText>
      </w:r>
      <w:r>
        <w:rPr>
          <w:rFonts w:hint="eastAsia" w:ascii="宋体" w:hAnsi="宋体" w:cs="宋体"/>
          <w:b/>
          <w:szCs w:val="21"/>
        </w:rPr>
        <w:fldChar w:fldCharType="separate"/>
      </w:r>
      <w:r>
        <w:rPr>
          <w:rFonts w:hint="eastAsia" w:ascii="宋体" w:hAnsi="宋体" w:cs="宋体"/>
          <w:b/>
          <w:szCs w:val="21"/>
        </w:rPr>
        <w:t xml:space="preserve">（5）被保险人感染艾滋病病毒或患艾滋病</w:t>
      </w:r>
      <w:r>
        <w:rPr>
          <w:rFonts w:hint="eastAsia" w:ascii="宋体" w:hAnsi="宋体" w:cs="宋体"/>
          <w:b/>
          <w:szCs w:val="21"/>
        </w:rPr>
        <w:fldChar w:fldCharType="end"/>
      </w:r>
      <w:r>
        <w:rPr>
          <w:rFonts w:hint="eastAsia" w:ascii="宋体" w:hAnsi="宋体" w:cs="宋体"/>
          <w:b/>
          <w:szCs w:val="21"/>
        </w:rPr>
        <w:t xml:space="preserve">”的限制；</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保险人拥有获得使用被保险人的所有血液样本的权利和能够对这些样本进行独立检验的权利。</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38.胰岛素依赖型糖尿病（Ⅰ型糖尿病）</w:t>
      </w:r>
      <w:r/>
    </w:p>
    <w:p>
      <w:pPr>
        <w:pStyle w:val="1503"/>
        <w:ind w:left="0"/>
        <w:spacing w:line="360" w:lineRule="auto"/>
        <w:rPr>
          <w:rFonts w:hint="eastAsia" w:ascii="宋体" w:hAnsi="宋体" w:cs="宋体"/>
          <w:szCs w:val="21"/>
        </w:rPr>
      </w:pPr>
      <w:r>
        <w:rPr>
          <w:rFonts w:hint="eastAsia" w:ascii="宋体" w:hAnsi="宋体" w:cs="宋体"/>
          <w:szCs w:val="21"/>
        </w:rPr>
        <w:t xml:space="preserve">胰岛素依赖型糖尿病是由于胰岛素分泌不足引起的慢性血糖升高，并需持续性地依赖外源性胰岛素维持180天以上，须由内分泌专科医生确诊并在本保险合同保险责任有效期内，满足下述至少一个条件：</w:t>
      </w:r>
      <w:r/>
    </w:p>
    <w:p>
      <w:pPr>
        <w:pStyle w:val="1503"/>
        <w:numPr>
          <w:ilvl w:val="0"/>
          <w:numId w:val="32"/>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内分泌专科医生确认已出现增殖性视网膜病变；</w:t>
      </w:r>
      <w:r/>
    </w:p>
    <w:p>
      <w:pPr>
        <w:pStyle w:val="1503"/>
        <w:numPr>
          <w:ilvl w:val="0"/>
          <w:numId w:val="32"/>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须植入心脏起搏器治疗心脏病；</w:t>
      </w:r>
      <w:r/>
    </w:p>
    <w:p>
      <w:pPr>
        <w:pStyle w:val="1503"/>
        <w:numPr>
          <w:ilvl w:val="0"/>
          <w:numId w:val="32"/>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因坏疽需切除一只或以上脚趾。</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39.肺源性心脏病</w:t>
      </w:r>
      <w:r/>
    </w:p>
    <w:p>
      <w:pPr>
        <w:pStyle w:val="1503"/>
        <w:ind w:left="0"/>
        <w:spacing w:line="360" w:lineRule="auto"/>
        <w:rPr>
          <w:rFonts w:hint="eastAsia" w:ascii="宋体" w:hAnsi="宋体" w:cs="宋体"/>
          <w:szCs w:val="21"/>
        </w:rPr>
      </w:pPr>
      <w:r>
        <w:rPr>
          <w:rFonts w:hint="eastAsia" w:ascii="宋体" w:hAnsi="宋体" w:cs="宋体"/>
          <w:szCs w:val="21"/>
        </w:rPr>
        <w:t xml:space="preserve">指被保险人因慢性肺部疾病导致慢性心功能损害造成永久不可逆性的心功能衰竭。心功能衰竭程度达到纽约心脏病学会的心功能分级标准之心功能Ⅳ级。被保险人永久不可逆性的体力活动能力受限，不能从事任何体力活动。</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40.植物人状态</w:t>
      </w:r>
      <w:r/>
    </w:p>
    <w:p>
      <w:pPr>
        <w:pStyle w:val="1503"/>
        <w:ind w:left="0"/>
        <w:spacing w:line="360" w:lineRule="auto"/>
        <w:rPr>
          <w:rFonts w:hint="eastAsia" w:ascii="宋体" w:hAnsi="宋体" w:cs="宋体"/>
          <w:szCs w:val="21"/>
        </w:rPr>
      </w:pPr>
      <w:r>
        <w:rPr>
          <w:rFonts w:hint="eastAsia" w:ascii="宋体" w:hAnsi="宋体" w:cs="宋体"/>
          <w:szCs w:val="21"/>
        </w:rPr>
        <w:t xml:space="preserve">指脑皮质广泛性坏死而导致对自身及周边的认知能力完全丧失，但脑干功能依然存在，必须经神经科专科医生明确诊断，并有头颅断层扫描（CT），核磁共振检查（MRI）或正电子发射断层扫描（PET）等影像学检查证实。</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上述情况必须有至少一个月的病历记录加以证实。</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由于酗酒或滥用药物所致的植物人状态不在保障范围内。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41.严重类风湿性关节炎</w:t>
      </w:r>
      <w:r/>
    </w:p>
    <w:p>
      <w:pPr>
        <w:pStyle w:val="1503"/>
        <w:ind w:left="0"/>
        <w:spacing w:line="360" w:lineRule="auto"/>
        <w:rPr>
          <w:rFonts w:hint="eastAsia" w:ascii="宋体" w:hAnsi="宋体" w:cs="宋体"/>
          <w:szCs w:val="21"/>
        </w:rPr>
      </w:pPr>
      <w:r>
        <w:rPr>
          <w:rFonts w:hint="eastAsia" w:ascii="宋体" w:hAnsi="宋体" w:cs="宋体"/>
          <w:szCs w:val="21"/>
        </w:rPr>
        <w:t xml:space="preserve">指广泛分布的慢性进行性多关节病变，表现为关节严重变形，侵犯至少三个主要关节（腕关节、肘关节、肩关节、踝关节、膝关节、髋关节）或关节组（如手的多个指间、掌指关节，足的多个足趾、跖趾关节等），并已达到类风湿性关节炎功能分类Ⅳ级的永久不可逆性关节功能障碍，且须满足下列全部条件：</w:t>
      </w:r>
      <w:r/>
    </w:p>
    <w:p>
      <w:pPr>
        <w:pStyle w:val="1503"/>
        <w:numPr>
          <w:ilvl w:val="0"/>
          <w:numId w:val="33"/>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晨僵；</w:t>
      </w:r>
      <w:r/>
    </w:p>
    <w:p>
      <w:pPr>
        <w:pStyle w:val="1503"/>
        <w:numPr>
          <w:ilvl w:val="0"/>
          <w:numId w:val="33"/>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对称性关节炎；</w:t>
      </w:r>
      <w:r/>
    </w:p>
    <w:p>
      <w:pPr>
        <w:pStyle w:val="1503"/>
        <w:numPr>
          <w:ilvl w:val="0"/>
          <w:numId w:val="33"/>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类风湿性皮下结节；</w:t>
      </w:r>
      <w:r/>
    </w:p>
    <w:p>
      <w:pPr>
        <w:pStyle w:val="1503"/>
        <w:numPr>
          <w:ilvl w:val="0"/>
          <w:numId w:val="33"/>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类风湿因子滴度升高；</w:t>
      </w:r>
      <w:r/>
    </w:p>
    <w:p>
      <w:pPr>
        <w:pStyle w:val="1503"/>
        <w:numPr>
          <w:ilvl w:val="0"/>
          <w:numId w:val="33"/>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X线显示严重的关节（软骨和骨）破坏和关节畸形。</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42.非阿尔茨海默病所致严重痴呆</w:t>
      </w:r>
      <w:r/>
    </w:p>
    <w:p>
      <w:pPr>
        <w:pStyle w:val="1503"/>
        <w:ind w:left="0"/>
        <w:spacing w:line="360" w:lineRule="auto"/>
        <w:rPr>
          <w:rFonts w:hint="eastAsia" w:ascii="宋体" w:hAnsi="宋体" w:cs="宋体"/>
          <w:szCs w:val="21"/>
        </w:rPr>
      </w:pPr>
      <w:r>
        <w:rPr>
          <w:rFonts w:hint="eastAsia" w:ascii="宋体" w:hAnsi="宋体" w:cs="宋体"/>
          <w:szCs w:val="21"/>
        </w:rPr>
        <w:t xml:space="preserve">指因阿尔茨海默病以外的脑的器质性疾病造成脑功能衰竭导致永久不可逆性的严重痴呆，临床表现为明显的认知能力障碍、行为异常和社交能力减退。被保险人自主生活能力完全丧失，无法独立完成六项基本日常生活活动中的三项或三项以上，日常生活必须持续受到他人监护。导致痴呆的疾病必须明确诊断，并且由完整的临床、实验室和影像学检查结果证实。</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神经官能症和精神疾病不在本保障范围内。</w:t>
      </w:r>
      <w:r/>
    </w:p>
    <w:p>
      <w:pPr>
        <w:pStyle w:val="1503"/>
        <w:numPr>
          <w:ilvl w:val="0"/>
          <w:numId w:val="34"/>
        </w:numPr>
        <w:ind w:left="0" w:firstLine="422"/>
        <w:spacing w:line="360" w:lineRule="auto"/>
        <w:rPr>
          <w:rFonts w:hint="eastAsia" w:ascii="宋体" w:hAnsi="宋体" w:cs="宋体"/>
          <w:b/>
          <w:szCs w:val="21"/>
        </w:rPr>
      </w:pPr>
      <w:r>
        <w:rPr>
          <w:rFonts w:hint="eastAsia" w:ascii="宋体" w:hAnsi="宋体" w:cs="宋体"/>
          <w:b/>
          <w:szCs w:val="21"/>
        </w:rPr>
        <w:t xml:space="preserve">轻度疾病释义</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 恶性肿瘤——轻度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指恶性细胞不受控制的进行性增长和扩散，浸润和破坏周围 正常组织，可以经血管、淋巴管和体腔扩散转移到身体其他部位， 病灶经组织病理学检查（涵盖骨髓病理学检查）结果明确诊断， 临床诊断属于世界卫生组织（WHO，World Health Organization） 《疾病和有关健康问题的国际统计分类》第十次修订版（ICD-10） 的恶性肿瘤类别及《国际疾病分类肿瘤学专辑》第三版（ICD-O-3） 的肿瘤形态学编码属于 3、6、9（恶性肿瘤）范畴，但不在“恶 性肿瘤——重度”保障范围的疾病。且特指下列六项之一：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（1）TNM 分期为Ⅰ期的甲状腺癌；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（2）TNM 分期为 T1N0M0期的前列腺癌；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（3）黑色素瘤以外的未发生淋巴结和远处转移的皮肤恶性 肿瘤；</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（4）相当于 Binet 分期方案 A 期程度的慢性淋巴细胞白血病；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（5）相当于 Ann Arbor 分期方案Ⅰ期程度的何杰金氏病；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（6）未发生淋巴结和远处转移且 WHO 分级为 G1 级别（核分裂像&lt;10/50 HPF 和 ki-67≤2%）的神经内分泌肿瘤。 </w:t>
      </w:r>
      <w:r/>
    </w:p>
    <w:p>
      <w:pPr>
        <w:jc w:val="left"/>
        <w:spacing w:line="360" w:lineRule="auto"/>
        <w:widowControl/>
        <w:rPr>
          <w:rFonts w:hint="eastAsia" w:ascii="宋体" w:hAnsi="宋体" w:cs="宋体"/>
          <w:szCs w:val="21"/>
        </w:rPr>
      </w:pPr>
      <w:r>
        <w:rPr>
          <w:rFonts w:hint="eastAsia" w:ascii="宋体" w:hAnsi="宋体" w:cs="宋体"/>
          <w:b/>
          <w:bCs/>
          <w:color w:val="000000"/>
          <w:szCs w:val="21"/>
          <w:lang w:bidi="ar"/>
        </w:rPr>
        <w:t xml:space="preserve">下列疾病不属于“恶性肿瘤——轻度”，不在保障范围内： ICD-O-3 肿瘤形态学编码属于 0（良性肿瘤）、1（动态未定 性肿瘤）、2（原位癌和非侵袭性癌）范畴的疾病，如： </w:t>
      </w:r>
      <w:r/>
    </w:p>
    <w:p>
      <w:pPr>
        <w:jc w:val="left"/>
        <w:spacing w:line="360" w:lineRule="auto"/>
        <w:widowControl/>
        <w:rPr>
          <w:rFonts w:hint="eastAsia" w:ascii="宋体" w:hAnsi="宋体" w:cs="宋体"/>
          <w:szCs w:val="21"/>
        </w:rPr>
      </w:pPr>
      <w:r>
        <w:rPr>
          <w:rFonts w:hint="eastAsia" w:ascii="宋体" w:hAnsi="宋体" w:cs="宋体"/>
          <w:b/>
          <w:bCs/>
          <w:color w:val="000000"/>
          <w:szCs w:val="21"/>
          <w:lang w:bidi="ar"/>
        </w:rPr>
        <w:t xml:space="preserve">a.原位癌，癌前病变，非浸润性癌，非侵袭性癌，肿瘤细胞 未侵犯基底层，上皮内瘤变，细胞不典型性增生等； </w:t>
      </w:r>
      <w:r/>
    </w:p>
    <w:p>
      <w:pPr>
        <w:jc w:val="left"/>
        <w:spacing w:line="360" w:lineRule="auto"/>
        <w:widowControl/>
        <w:rPr>
          <w:rFonts w:hint="eastAsia" w:ascii="宋体" w:hAnsi="宋体" w:cs="宋体"/>
          <w:szCs w:val="21"/>
        </w:rPr>
      </w:pPr>
      <w:r>
        <w:rPr>
          <w:rFonts w:hint="eastAsia" w:ascii="宋体" w:hAnsi="宋体" w:cs="宋体"/>
          <w:b/>
          <w:bCs/>
          <w:color w:val="000000"/>
          <w:szCs w:val="21"/>
          <w:lang w:bidi="ar"/>
        </w:rPr>
        <w:t xml:space="preserve">b.交界性肿瘤，交界恶性肿瘤，肿瘤低度恶性潜能，潜在低度恶性肿瘤等。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2 较轻急性心肌梗死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 Q 波、影像学证据显示有新出现的心肌活性丧失或新出现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局部室壁运动异常、冠脉造影证实存在冠状动脉血栓。 较轻急性心肌梗死指依照上述标准被明确诊断为急性心肌16梗死，但未达到“较重急性心肌梗死”的给付标准。 </w:t>
      </w:r>
      <w:r/>
    </w:p>
    <w:p>
      <w:pPr>
        <w:jc w:val="left"/>
        <w:spacing w:line="360" w:lineRule="auto"/>
        <w:widowControl/>
        <w:rPr>
          <w:rFonts w:hint="eastAsia" w:ascii="宋体" w:hAnsi="宋体" w:cs="宋体"/>
          <w:szCs w:val="21"/>
        </w:rPr>
      </w:pPr>
      <w:r>
        <w:rPr>
          <w:rFonts w:hint="eastAsia" w:ascii="宋体" w:hAnsi="宋体" w:cs="宋体"/>
          <w:b/>
          <w:bCs/>
          <w:color w:val="000000"/>
          <w:szCs w:val="21"/>
          <w:lang w:bidi="ar"/>
        </w:rPr>
        <w:t xml:space="preserve">其他非冠状动脉阻塞性疾病引起的肌钙蛋白（cTn）升高不 </w:t>
      </w:r>
      <w:r/>
    </w:p>
    <w:p>
      <w:pPr>
        <w:jc w:val="left"/>
        <w:spacing w:line="360" w:lineRule="auto"/>
        <w:widowControl/>
        <w:rPr>
          <w:rFonts w:hint="eastAsia" w:ascii="宋体" w:hAnsi="宋体" w:cs="宋体"/>
          <w:szCs w:val="21"/>
        </w:rPr>
      </w:pPr>
      <w:r>
        <w:rPr>
          <w:rFonts w:hint="eastAsia" w:ascii="宋体" w:hAnsi="宋体" w:cs="宋体"/>
          <w:b/>
          <w:bCs/>
          <w:color w:val="000000"/>
          <w:szCs w:val="21"/>
          <w:lang w:bidi="ar"/>
        </w:rPr>
        <w:t xml:space="preserve">在保障范围内。 </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 轻度脑中风后遗症</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指因脑血管的突发病变引起脑血管出血、栓塞或梗塞，须由头颅断层扫描（CT）、核磁共振检查（MRI）等影像学检查证实， 并导致神经系统永久性的功能障碍，但未达到“严重脑中风后遗 症”的给付标准，在疾病确诊 180 天后，仍遗留下列至少一种障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碍：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（1）一肢（含）以上肢体肌力为 3 级； </w:t>
      </w:r>
      <w:r/>
    </w:p>
    <w:p>
      <w:pPr>
        <w:jc w:val="left"/>
        <w:spacing w:line="360" w:lineRule="auto"/>
        <w:widowControl/>
        <w:rPr>
          <w:rFonts w:hint="eastAsia" w:ascii="宋体" w:hAnsi="宋体" w:cs="宋体"/>
          <w:b/>
          <w:szCs w:val="21"/>
        </w:rPr>
      </w:pPr>
      <w:r>
        <w:rPr>
          <w:rFonts w:hint="eastAsia" w:ascii="宋体" w:hAnsi="宋体" w:cs="宋体"/>
          <w:color w:val="000000"/>
          <w:szCs w:val="21"/>
          <w:lang w:bidi="ar"/>
        </w:rPr>
        <w:t xml:space="preserve">（2）自主生活能力部分丧失，无法独立完成六项基本日常生活活动中的两项。 </w:t>
      </w:r>
      <w:r/>
    </w:p>
    <w:p>
      <w:pPr>
        <w:ind w:firstLine="422"/>
        <w:spacing w:line="360" w:lineRule="auto"/>
        <w:rPr>
          <w:rFonts w:hint="eastAsia" w:ascii="宋体" w:hAnsi="宋体" w:cs="宋体"/>
          <w:b/>
          <w:bCs/>
          <w:szCs w:val="21"/>
        </w:rPr>
      </w:pPr>
      <w:r>
        <w:rPr>
          <w:rFonts w:hint="eastAsia" w:ascii="宋体" w:hAnsi="宋体" w:cs="宋体"/>
          <w:b/>
          <w:bCs/>
          <w:szCs w:val="21"/>
        </w:rPr>
        <w:t xml:space="preserve">（七）理赔点服务</w:t>
      </w:r>
      <w:r/>
    </w:p>
    <w:p>
      <w:pPr>
        <w:ind w:firstLine="420"/>
        <w:spacing w:line="360" w:lineRule="auto"/>
        <w:rPr>
          <w:rFonts w:hint="eastAsia" w:ascii="宋体" w:hAnsi="宋体" w:cs="宋体"/>
          <w:strike/>
          <w:color w:val="ff0000"/>
          <w:szCs w:val="21"/>
        </w:rPr>
      </w:pPr>
      <w:r>
        <w:rPr>
          <w:rFonts w:hint="eastAsia" w:ascii="宋体" w:hAnsi="宋体" w:cs="宋体"/>
          <w:szCs w:val="21"/>
        </w:rPr>
        <w:t xml:space="preserve">1、为方便民警就近办理保险理赔手续，中标单位在其单位设置的理赔点外，在我局设立其他保险理赔服务点，派专人定期上门</w:t>
      </w:r>
      <w:r>
        <w:rPr>
          <w:rFonts w:hint="eastAsia" w:ascii="宋体" w:hAnsi="宋体" w:cs="宋体"/>
          <w:color w:val="000000"/>
          <w:szCs w:val="21"/>
        </w:rPr>
        <w:t xml:space="preserve">服务。详见下表：</w:t>
      </w:r>
      <w:r/>
    </w:p>
    <w:tbl>
      <w:tblPr>
        <w:tblStyle w:val="1081"/>
        <w:tblW w:w="50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790"/>
        <w:gridCol w:w="4817"/>
        <w:gridCol w:w="1156"/>
      </w:tblGrid>
      <w:tr>
        <w:trPr>
          <w:jc w:val="center"/>
          <w:trHeight w:val="578"/>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序号</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服务点</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地点</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理赔时间</w:t>
            </w:r>
            <w:r/>
          </w:p>
        </w:tc>
      </w:tr>
      <w:tr>
        <w:trPr>
          <w:jc w:val="center"/>
          <w:trHeight w:val="346"/>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1</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警保部</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龙锦路1588号</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每月一天</w:t>
            </w:r>
            <w:r/>
          </w:p>
        </w:tc>
      </w:tr>
      <w:tr>
        <w:trPr>
          <w:jc w:val="center"/>
          <w:trHeight w:val="346"/>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2</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天宁分局</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龙锦路699号</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每月一天</w:t>
            </w:r>
            <w:r/>
          </w:p>
        </w:tc>
      </w:tr>
      <w:tr>
        <w:trPr>
          <w:jc w:val="center"/>
          <w:trHeight w:val="444"/>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3</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钟楼分局</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银杏路85号</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每月一天</w:t>
            </w:r>
            <w:r/>
          </w:p>
        </w:tc>
      </w:tr>
      <w:tr>
        <w:trPr>
          <w:jc w:val="center"/>
          <w:trHeight w:val="346"/>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4</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看守所</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邹博路10号</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每月一天</w:t>
            </w:r>
            <w:r/>
          </w:p>
        </w:tc>
      </w:tr>
      <w:tr>
        <w:trPr>
          <w:jc w:val="center"/>
          <w:trHeight w:val="346"/>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5</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高新区分局</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河海中路87号</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每月一天</w:t>
            </w:r>
            <w:r/>
          </w:p>
        </w:tc>
      </w:tr>
      <w:tr>
        <w:trPr>
          <w:jc w:val="center"/>
          <w:trHeight w:val="346"/>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6</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交管支队</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银桦路66号</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每月一天</w:t>
            </w:r>
            <w:r/>
          </w:p>
        </w:tc>
      </w:tr>
      <w:tr>
        <w:trPr>
          <w:jc w:val="center"/>
          <w:trHeight w:val="358"/>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7</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公交内保局</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中吴大道1259号地铁大厦</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每月一天</w:t>
            </w:r>
            <w:r/>
          </w:p>
        </w:tc>
      </w:tr>
    </w:tbl>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2、中标单位收到完整理赔材料后一个月内完成赔付。超过1万元理赔的案例在给付前通知采购单位。每月保险受理情况（含姓名、病情、支付情况等信息）、赔付情况，须在下月5号前通知采购单位。</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（八）定点医院 （三级医院及常州市公安局卫生所）</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本协议定点医院为：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常州市第一人民医院（常州市局前街185号）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常州市第二人民医院(城中院区)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常州市第二人民医院阳湖院区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常州市第三人民医院（常州市兰陵路50号）</w:t>
      </w:r>
      <w:r/>
    </w:p>
    <w:p>
      <w:pPr>
        <w:ind w:firstLine="420"/>
        <w:spacing w:line="360" w:lineRule="auto"/>
        <w:rPr>
          <w:rFonts w:hint="eastAsia" w:ascii="宋体" w:hAnsi="宋体" w:cs="宋体"/>
          <w:szCs w:val="21"/>
        </w:rPr>
      </w:pPr>
      <w:r>
        <w:rPr>
          <w:rFonts w:hint="eastAsia" w:ascii="宋体" w:hAnsi="宋体" w:cs="宋体"/>
          <w:color w:val="000000"/>
          <w:szCs w:val="21"/>
        </w:rPr>
        <w:t xml:space="preserve">常州市肿瘤（第四人民）医院</w:t>
      </w:r>
      <w:r/>
    </w:p>
    <w:p>
      <w:pPr>
        <w:ind w:firstLine="420"/>
        <w:spacing w:line="360" w:lineRule="auto"/>
        <w:rPr>
          <w:rFonts w:hint="eastAsia" w:ascii="宋体" w:hAnsi="宋体" w:cs="宋体"/>
          <w:szCs w:val="21"/>
        </w:rPr>
      </w:pPr>
      <w:r>
        <w:rPr>
          <w:rFonts w:hint="eastAsia" w:ascii="宋体" w:hAnsi="宋体" w:cs="宋体"/>
          <w:szCs w:val="21"/>
        </w:rPr>
        <w:t xml:space="preserve">常州市妇幼保健医院（常州市丁香路16号）</w:t>
      </w:r>
      <w:r/>
    </w:p>
    <w:p>
      <w:pPr>
        <w:ind w:firstLine="420"/>
        <w:spacing w:line="360" w:lineRule="auto"/>
        <w:rPr>
          <w:rFonts w:hint="eastAsia" w:ascii="宋体" w:hAnsi="宋体" w:cs="宋体"/>
          <w:szCs w:val="21"/>
        </w:rPr>
      </w:pPr>
      <w:r>
        <w:rPr>
          <w:rFonts w:hint="eastAsia" w:ascii="宋体" w:hAnsi="宋体" w:cs="宋体"/>
          <w:szCs w:val="21"/>
        </w:rPr>
        <w:t xml:space="preserve">常州市第六人民医院（常州市儿童医院）</w:t>
      </w:r>
      <w:r/>
    </w:p>
    <w:p>
      <w:pPr>
        <w:ind w:firstLine="420"/>
        <w:spacing w:line="360" w:lineRule="auto"/>
        <w:rPr>
          <w:rFonts w:hint="eastAsia" w:ascii="宋体" w:hAnsi="宋体" w:cs="宋体"/>
          <w:szCs w:val="21"/>
        </w:rPr>
      </w:pPr>
      <w:r>
        <w:rPr>
          <w:rFonts w:hint="eastAsia" w:ascii="宋体" w:hAnsi="宋体" w:cs="宋体"/>
          <w:szCs w:val="21"/>
        </w:rPr>
        <w:t xml:space="preserve">常州市第七人民医院（常州市延陵东路288号）</w:t>
      </w:r>
      <w:r/>
    </w:p>
    <w:p>
      <w:pPr>
        <w:ind w:firstLine="420"/>
        <w:spacing w:line="360" w:lineRule="auto"/>
        <w:rPr>
          <w:rFonts w:hint="eastAsia" w:ascii="宋体" w:hAnsi="宋体" w:cs="宋体"/>
          <w:szCs w:val="21"/>
        </w:rPr>
      </w:pPr>
      <w:r>
        <w:rPr>
          <w:rFonts w:hint="eastAsia" w:ascii="宋体" w:hAnsi="宋体" w:cs="宋体"/>
          <w:szCs w:val="21"/>
        </w:rPr>
        <w:t xml:space="preserve">常州市中医医院（总院）</w:t>
      </w:r>
      <w:r/>
    </w:p>
    <w:p>
      <w:pPr>
        <w:ind w:firstLine="420"/>
        <w:spacing w:line="360" w:lineRule="auto"/>
        <w:rPr>
          <w:rFonts w:hint="eastAsia" w:ascii="宋体" w:hAnsi="宋体" w:cs="宋体"/>
          <w:szCs w:val="21"/>
        </w:rPr>
      </w:pPr>
      <w:r>
        <w:rPr>
          <w:rFonts w:hint="eastAsia" w:ascii="宋体" w:hAnsi="宋体" w:cs="宋体"/>
          <w:szCs w:val="21"/>
        </w:rPr>
        <w:t xml:space="preserve">常州市中医医院（南院）</w:t>
      </w:r>
      <w:r/>
    </w:p>
    <w:p>
      <w:pPr>
        <w:ind w:firstLine="420"/>
        <w:spacing w:line="360" w:lineRule="auto"/>
        <w:rPr>
          <w:rFonts w:hint="eastAsia" w:ascii="宋体" w:hAnsi="宋体" w:cs="宋体"/>
          <w:szCs w:val="21"/>
        </w:rPr>
      </w:pPr>
      <w:r>
        <w:rPr>
          <w:rFonts w:hint="eastAsia" w:ascii="宋体" w:hAnsi="宋体" w:cs="宋体"/>
          <w:szCs w:val="21"/>
        </w:rPr>
        <w:t xml:space="preserve">常州市中医医院（钟楼院区）（常州市口腔医院）</w:t>
      </w:r>
      <w:r/>
    </w:p>
    <w:p>
      <w:pPr>
        <w:ind w:firstLine="420"/>
        <w:spacing w:line="360" w:lineRule="auto"/>
        <w:rPr>
          <w:rFonts w:hint="eastAsia" w:ascii="宋体" w:hAnsi="宋体" w:cs="宋体"/>
          <w:szCs w:val="21"/>
        </w:rPr>
      </w:pPr>
      <w:r>
        <w:rPr>
          <w:rFonts w:hint="eastAsia" w:ascii="宋体" w:hAnsi="宋体" w:cs="宋体"/>
          <w:szCs w:val="21"/>
        </w:rPr>
        <w:t xml:space="preserve">常州市武进人民医院（常州市水宁北路２号）</w:t>
      </w:r>
      <w:r/>
    </w:p>
    <w:p>
      <w:pPr>
        <w:ind w:firstLine="420"/>
        <w:spacing w:line="360" w:lineRule="auto"/>
        <w:rPr>
          <w:rFonts w:hint="eastAsia" w:ascii="宋体" w:hAnsi="宋体" w:cs="宋体"/>
          <w:szCs w:val="21"/>
        </w:rPr>
      </w:pPr>
      <w:r>
        <w:rPr>
          <w:rFonts w:hint="eastAsia" w:ascii="宋体" w:hAnsi="宋体" w:cs="宋体"/>
          <w:szCs w:val="21"/>
        </w:rPr>
        <w:t xml:space="preserve">常州市武进中医医院（武进区湖塘镇人民中路699号）</w:t>
      </w:r>
      <w:r/>
    </w:p>
    <w:p>
      <w:pPr>
        <w:ind w:firstLine="420"/>
        <w:spacing w:line="360" w:lineRule="auto"/>
        <w:rPr>
          <w:rFonts w:hint="eastAsia" w:ascii="宋体" w:hAnsi="宋体" w:cs="宋体"/>
          <w:szCs w:val="21"/>
        </w:rPr>
      </w:pPr>
      <w:r>
        <w:rPr>
          <w:rFonts w:hint="eastAsia" w:ascii="宋体" w:hAnsi="宋体" w:cs="宋体"/>
          <w:szCs w:val="21"/>
        </w:rPr>
        <w:t xml:space="preserve">常州市九〇四医院（原常州市第一〇二医院）</w:t>
      </w:r>
      <w:r/>
    </w:p>
    <w:p>
      <w:pPr>
        <w:ind w:firstLine="420"/>
        <w:spacing w:line="360" w:lineRule="auto"/>
        <w:rPr>
          <w:rFonts w:hint="eastAsia" w:ascii="宋体" w:hAnsi="宋体" w:cs="宋体"/>
          <w:szCs w:val="21"/>
        </w:rPr>
      </w:pPr>
      <w:r>
        <w:rPr>
          <w:rFonts w:hint="eastAsia" w:ascii="宋体" w:hAnsi="宋体" w:cs="宋体"/>
          <w:szCs w:val="21"/>
        </w:rPr>
        <w:t xml:space="preserve">常州市德安医院</w:t>
      </w:r>
      <w:r/>
    </w:p>
    <w:p>
      <w:pPr>
        <w:ind w:firstLine="420"/>
        <w:spacing w:line="360" w:lineRule="auto"/>
        <w:rPr>
          <w:rFonts w:hint="eastAsia" w:ascii="宋体" w:hAnsi="宋体" w:cs="宋体"/>
          <w:szCs w:val="21"/>
        </w:rPr>
      </w:pPr>
      <w:r>
        <w:rPr>
          <w:rFonts w:hint="eastAsia" w:ascii="宋体" w:hAnsi="宋体" w:cs="宋体"/>
          <w:szCs w:val="21"/>
        </w:rPr>
        <w:t xml:space="preserve">常州市公安局卫生所</w:t>
      </w:r>
      <w:r/>
    </w:p>
    <w:p>
      <w:pPr>
        <w:ind w:firstLine="422"/>
        <w:jc w:val="left"/>
        <w:spacing w:line="360" w:lineRule="auto"/>
        <w:rPr>
          <w:rFonts w:hint="eastAsia" w:ascii="宋体" w:hAnsi="宋体" w:cs="宋体"/>
          <w:b/>
          <w:szCs w:val="21"/>
        </w:rPr>
      </w:pPr>
      <w:r>
        <w:rPr>
          <w:rFonts w:hint="eastAsia" w:ascii="宋体" w:hAnsi="宋体" w:cs="宋体"/>
          <w:b/>
          <w:szCs w:val="21"/>
        </w:rPr>
        <w:t xml:space="preserve">（九）历史赔付数据（2024-2026年度）</w:t>
      </w:r>
      <w:r/>
    </w:p>
    <w:tbl>
      <w:tblPr>
        <w:tblStyle w:val="1081"/>
        <w:tblW w:w="5881" w:type="pct"/>
        <w:tblInd w:w="-645" w:type="dxa"/>
        <w:tblLayout w:type="fixed"/>
        <w:tblCellMar>
          <w:left w:w="108" w:type="dxa"/>
          <w:top w:w="0" w:type="dxa"/>
          <w:right w:w="108" w:type="dxa"/>
          <w:bottom w:w="0" w:type="dxa"/>
        </w:tblCellMar>
        <w:tblLook w:val="04A0" w:firstRow="1" w:lastRow="0" w:firstColumn="1" w:lastColumn="0" w:noHBand="0" w:noVBand="1"/>
      </w:tblPr>
      <w:tblGrid>
        <w:gridCol w:w="1277"/>
        <w:gridCol w:w="1232"/>
        <w:gridCol w:w="1353"/>
        <w:gridCol w:w="1277"/>
        <w:gridCol w:w="1199"/>
        <w:gridCol w:w="1091"/>
        <w:gridCol w:w="1056"/>
        <w:gridCol w:w="1344"/>
      </w:tblGrid>
      <w:tr>
        <w:trPr>
          <w:trHeight w:val="270"/>
        </w:trPr>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在职民警普通门诊</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在职民警普通住院</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在职民警重疾门诊</w:t>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在职民警重疾住院</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在职民警重大疾病首次给付</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在职民警疾病或意外身故</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合计金额</w:t>
            </w:r>
            <w:r/>
          </w:p>
        </w:tc>
      </w:tr>
      <w:tr>
        <w:trPr>
          <w:trHeight w:val="270"/>
        </w:trPr>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2024年度</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433435.08 </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291459.23 </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368053.94 </w:t>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126973.92 </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590000</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198000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2007922.17 </w:t>
            </w:r>
            <w:r/>
          </w:p>
        </w:tc>
      </w:tr>
      <w:tr>
        <w:trPr>
          <w:trHeight w:val="540"/>
        </w:trPr>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2025年度</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22663.53 </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359922.18</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277081.92</w:t>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17569.21</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1590000</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750000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3017236.84</w:t>
            </w:r>
            <w:r/>
          </w:p>
        </w:tc>
      </w:tr>
      <w:tr>
        <w:trPr>
          <w:trHeight w:val="540"/>
        </w:trPr>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24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2026年度</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righ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1252.21</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righ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69727.65</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righ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68142.85</w:t>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righ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2903.55</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righ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530000</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righ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righ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672026.26</w:t>
            </w:r>
            <w:r/>
          </w:p>
        </w:tc>
      </w:tr>
    </w:tbl>
    <w:p>
      <w:pPr>
        <w:ind w:firstLine="422"/>
        <w:jc w:val="left"/>
        <w:spacing w:line="360" w:lineRule="auto"/>
        <w:rPr>
          <w:rFonts w:hint="eastAsia" w:ascii="宋体" w:hAnsi="宋体" w:cs="宋体"/>
          <w:b/>
          <w:szCs w:val="21"/>
        </w:rPr>
      </w:pPr>
      <w:r>
        <w:rPr>
          <w:rFonts w:hint="eastAsia" w:ascii="宋体" w:hAnsi="宋体" w:cs="宋体"/>
          <w:b/>
          <w:szCs w:val="21"/>
        </w:rPr>
        <w:t xml:space="preserve">二、报价方式</w:t>
      </w:r>
      <w:r/>
    </w:p>
    <w:p>
      <w:pPr>
        <w:ind w:firstLine="420"/>
        <w:spacing w:line="360" w:lineRule="auto"/>
        <w:tabs>
          <w:tab w:val="left" w:pos="284" w:leader="none"/>
        </w:tabs>
        <w:rPr>
          <w:rFonts w:hint="eastAsia" w:ascii="宋体" w:hAnsi="宋体" w:cs="宋体"/>
          <w:color w:val="000000"/>
          <w:szCs w:val="21"/>
          <w:highlight w:val="none"/>
        </w:rPr>
      </w:pPr>
      <w:r>
        <w:rPr>
          <w:rFonts w:hint="eastAsia" w:ascii="宋体" w:hAnsi="宋体" w:cs="宋体"/>
          <w:color w:val="000000"/>
          <w:szCs w:val="21"/>
        </w:rPr>
        <w:t xml:space="preserve">本项目投标报价为</w:t>
      </w:r>
      <w:r>
        <w:rPr>
          <w:rFonts w:hint="eastAsia" w:ascii="宋体" w:hAnsi="宋体" w:cs="宋体"/>
          <w:b/>
          <w:bCs/>
          <w:szCs w:val="21"/>
          <w:u w:val="single"/>
        </w:rPr>
        <w:t xml:space="preserve">固定单价</w:t>
      </w:r>
      <w:r>
        <w:rPr>
          <w:rFonts w:hint="eastAsia" w:ascii="宋体" w:hAnsi="宋体" w:cs="宋体"/>
          <w:szCs w:val="21"/>
        </w:rPr>
        <w:t xml:space="preserve">，投</w:t>
      </w:r>
      <w:r>
        <w:rPr>
          <w:rFonts w:hint="eastAsia" w:ascii="宋体" w:hAnsi="宋体" w:cs="宋体"/>
          <w:color w:val="000000"/>
          <w:szCs w:val="21"/>
        </w:rPr>
        <w:t xml:space="preserve">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086"/>
        <w:ind w:firstLine="422"/>
        <w:spacing w:line="360" w:lineRule="auto"/>
        <w:rPr>
          <w:rFonts w:hint="eastAsia" w:ascii="宋体" w:hAnsi="宋体" w:cs="宋体"/>
          <w:bCs/>
          <w:szCs w:val="21"/>
          <w:highlight w:val="none"/>
        </w:rPr>
      </w:pPr>
      <w:r>
        <w:rPr>
          <w:rFonts w:hint="eastAsia" w:ascii="宋体" w:hAnsi="宋体" w:cs="宋体"/>
          <w:b/>
          <w:szCs w:val="21"/>
          <w:highlight w:val="none"/>
          <w:lang w:val="en-US" w:eastAsia="zh-CN"/>
        </w:rPr>
        <w:t xml:space="preserve">三、</w:t>
      </w:r>
      <w:r>
        <w:rPr>
          <w:rFonts w:hint="eastAsia" w:ascii="宋体" w:hAnsi="宋体" w:cs="宋体"/>
          <w:b/>
          <w:szCs w:val="21"/>
          <w:highlight w:val="none"/>
        </w:rPr>
        <w:t xml:space="preserve">服务期限：</w:t>
      </w:r>
      <w:r>
        <w:rPr>
          <w:rFonts w:hint="eastAsia" w:ascii="宋体" w:hAnsi="宋体" w:cs="宋体"/>
          <w:bCs/>
          <w:szCs w:val="21"/>
          <w:highlight w:val="none"/>
          <w:lang w:val="en-US" w:eastAsia="zh-CN"/>
        </w:rPr>
        <w:t xml:space="preserve">3年，合同一年一签。</w:t>
      </w:r>
      <w:r>
        <w:rPr>
          <w:rFonts w:hint="eastAsia"/>
          <w:highlight w:val="none"/>
        </w:rPr>
        <w:t xml:space="preserve">第一年：202</w:t>
      </w:r>
      <w:r>
        <w:rPr>
          <w:rFonts w:hint="eastAsia"/>
          <w:highlight w:val="none"/>
          <w:lang w:val="en-US" w:eastAsia="zh-CN"/>
        </w:rPr>
        <w:t xml:space="preserve">7</w:t>
      </w:r>
      <w:r>
        <w:rPr>
          <w:rFonts w:hint="eastAsia"/>
          <w:highlight w:val="none"/>
        </w:rPr>
        <w:t xml:space="preserve">年1月1日零时-202</w:t>
      </w:r>
      <w:r>
        <w:rPr>
          <w:rFonts w:hint="eastAsia"/>
          <w:highlight w:val="none"/>
          <w:lang w:val="en-US" w:eastAsia="zh-CN"/>
        </w:rPr>
        <w:t xml:space="preserve">7</w:t>
      </w:r>
      <w:r>
        <w:rPr>
          <w:rFonts w:hint="eastAsia"/>
          <w:highlight w:val="none"/>
        </w:rPr>
        <w:t xml:space="preserve">年12月31日二十四时止。第二年：202</w:t>
      </w:r>
      <w:r>
        <w:rPr>
          <w:rFonts w:hint="eastAsia"/>
          <w:highlight w:val="none"/>
          <w:lang w:val="en-US" w:eastAsia="zh-CN"/>
        </w:rPr>
        <w:t xml:space="preserve">8</w:t>
      </w:r>
      <w:r>
        <w:rPr>
          <w:rFonts w:hint="eastAsia"/>
          <w:highlight w:val="none"/>
        </w:rPr>
        <w:t xml:space="preserve">年1月1日零时-202</w:t>
      </w:r>
      <w:r>
        <w:rPr>
          <w:rFonts w:hint="eastAsia"/>
          <w:highlight w:val="none"/>
          <w:lang w:val="en-US" w:eastAsia="zh-CN"/>
        </w:rPr>
        <w:t xml:space="preserve">8</w:t>
      </w:r>
      <w:r>
        <w:rPr>
          <w:rFonts w:hint="eastAsia"/>
          <w:highlight w:val="none"/>
        </w:rPr>
        <w:t xml:space="preserve">年12月31日二十四时止。第</w:t>
      </w:r>
      <w:r>
        <w:rPr>
          <w:rFonts w:hint="eastAsia"/>
          <w:highlight w:val="none"/>
          <w:lang w:eastAsia="zh-CN"/>
        </w:rPr>
        <w:t xml:space="preserve">三</w:t>
      </w:r>
      <w:r>
        <w:rPr>
          <w:rFonts w:hint="eastAsia"/>
          <w:highlight w:val="none"/>
        </w:rPr>
        <w:t xml:space="preserve">年：202</w:t>
      </w:r>
      <w:r>
        <w:rPr>
          <w:rFonts w:hint="eastAsia"/>
          <w:highlight w:val="none"/>
          <w:lang w:val="en-US" w:eastAsia="zh-CN"/>
        </w:rPr>
        <w:t xml:space="preserve">9</w:t>
      </w:r>
      <w:r>
        <w:rPr>
          <w:rFonts w:hint="eastAsia"/>
          <w:highlight w:val="none"/>
        </w:rPr>
        <w:t xml:space="preserve">年1月1日零时-20</w:t>
      </w:r>
      <w:r>
        <w:rPr>
          <w:rFonts w:hint="eastAsia"/>
          <w:highlight w:val="none"/>
          <w:lang w:val="en-US" w:eastAsia="zh-CN"/>
        </w:rPr>
        <w:t xml:space="preserve">29</w:t>
      </w:r>
      <w:r>
        <w:rPr>
          <w:rFonts w:hint="eastAsia"/>
          <w:highlight w:val="none"/>
        </w:rPr>
        <w:t xml:space="preserve">年12月31日二十四时止。</w:t>
      </w:r>
      <w:r/>
      <w:r>
        <w:rPr>
          <w:rFonts w:hint="eastAsia" w:ascii="宋体" w:hAnsi="宋体" w:cs="宋体"/>
          <w:b/>
          <w:szCs w:val="21"/>
        </w:rPr>
      </w:r>
      <w:r>
        <w:rPr>
          <w:rFonts w:hint="eastAsia" w:ascii="宋体" w:hAnsi="宋体" w:cs="宋体"/>
          <w:b/>
          <w:szCs w:val="21"/>
        </w:rPr>
      </w:r>
      <w:r/>
      <w:r>
        <w:rPr>
          <w:rFonts w:hint="eastAsia" w:ascii="宋体" w:hAnsi="宋体" w:cs="宋体"/>
          <w:bCs/>
          <w:szCs w:val="21"/>
          <w:highlight w:val="none"/>
        </w:rPr>
      </w:r>
    </w:p>
    <w:p>
      <w:pPr>
        <w:ind w:firstLine="422"/>
        <w:jc w:val="left"/>
        <w:spacing w:line="360" w:lineRule="auto"/>
        <w:rPr>
          <w:rFonts w:hint="eastAsia" w:ascii="宋体" w:hAnsi="宋体" w:cs="宋体"/>
          <w:b/>
          <w:szCs w:val="21"/>
        </w:rPr>
      </w:pPr>
      <w:r>
        <w:rPr>
          <w:rFonts w:hint="eastAsia" w:ascii="宋体" w:hAnsi="宋体" w:cs="宋体"/>
          <w:b/>
          <w:szCs w:val="21"/>
        </w:rPr>
        <w:t xml:space="preserve">四、付款方式：</w:t>
      </w:r>
      <w:r>
        <w:rPr>
          <w:rFonts w:hint="eastAsia" w:ascii="宋体" w:hAnsi="宋体" w:cs="宋体"/>
          <w:bCs/>
          <w:szCs w:val="21"/>
        </w:rPr>
        <w:t xml:space="preserve">合同签订后，采购人根据中标单价和第一年度实际投保人员数量，支付中标人第一年全额保费；第二年投保起始时间前根据中标单价和需投保人员实际数量支付当年全额保费。</w:t>
      </w:r>
      <w:r/>
    </w:p>
    <w:p>
      <w:pPr>
        <w:rPr>
          <w:rFonts w:hint="eastAsia" w:ascii="宋体" w:hAnsi="宋体" w:cs="宋体"/>
          <w:bCs/>
          <w:szCs w:val="21"/>
        </w:rPr>
      </w:pPr>
      <w:r>
        <w:rPr>
          <w:rFonts w:hint="eastAsia" w:ascii="宋体" w:hAnsi="宋体" w:cs="宋体"/>
          <w:bCs/>
          <w:szCs w:val="21"/>
        </w:rPr>
        <w:br w:type="page" w:clear="all"/>
      </w:r>
      <w:r/>
    </w:p>
    <w:p>
      <w:pPr>
        <w:numPr>
          <w:ilvl w:val="0"/>
          <w:numId w:val="35"/>
        </w:num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拟签订的合同文本</w:t>
      </w:r>
      <w:bookmarkEnd w:id="780"/>
      <w:r/>
      <w:r/>
    </w:p>
    <w:p>
      <w:pPr>
        <w:ind w:firstLine="482"/>
        <w:rPr>
          <w:rFonts w:hint="eastAsia" w:ascii="宋体" w:hAnsi="宋体" w:eastAsia="宋体" w:cs="宋体"/>
          <w:b/>
          <w:sz w:val="24"/>
          <w:szCs w:val="24"/>
          <w:u w:val="single"/>
        </w:rPr>
      </w:pPr>
      <w:r>
        <w:rPr>
          <w:rFonts w:hint="eastAsia" w:ascii="宋体" w:hAnsi="宋体" w:eastAsia="宋体" w:cs="宋体"/>
          <w:b/>
          <w:sz w:val="24"/>
          <w:szCs w:val="24"/>
        </w:rPr>
        <w:t xml:space="preserve">甲方：</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eastAsia="宋体" w:cs="宋体"/>
          <w:bCs/>
          <w:sz w:val="24"/>
          <w:szCs w:val="24"/>
        </w:rPr>
        <w:t xml:space="preserve">签订时间：</w:t>
      </w:r>
      <w:r>
        <w:rPr>
          <w:rFonts w:hint="eastAsia" w:ascii="宋体" w:hAnsi="宋体" w:eastAsia="宋体" w:cs="宋体"/>
          <w:b/>
          <w:sz w:val="24"/>
          <w:szCs w:val="24"/>
          <w:u w:val="single"/>
        </w:rPr>
        <w:t xml:space="preserve">    年    月    日</w:t>
      </w:r>
      <w:r/>
    </w:p>
    <w:p>
      <w:pPr>
        <w:ind w:firstLine="482"/>
        <w:jc w:val="left"/>
        <w:spacing w:line="40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乙方：</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cs="宋体"/>
          <w:sz w:val="24"/>
          <w:szCs w:val="24"/>
          <w:lang w:val="en-US" w:eastAsia="zh-CN"/>
        </w:rPr>
        <w:t xml:space="preserve">签订地点</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依据《中华人民共和国民法典》、《中华人民共和国政府采购法》以及有关法律、法规的规定，本着平等互利的原则，甲方、乙方经协商一致，签订本合同。</w:t>
      </w:r>
      <w:r/>
    </w:p>
    <w:p>
      <w:pPr>
        <w:jc w:val="left"/>
        <w:spacing w:line="360" w:lineRule="auto"/>
        <w:rPr>
          <w:rFonts w:ascii="宋体" w:hAnsi="宋体"/>
          <w:b/>
          <w:sz w:val="24"/>
        </w:rPr>
      </w:pPr>
      <w:r>
        <w:rPr>
          <w:rFonts w:hint="eastAsia" w:ascii="宋体" w:hAnsi="宋体"/>
          <w:b/>
          <w:sz w:val="24"/>
        </w:rPr>
        <w:t xml:space="preserve">一、总则</w:t>
      </w:r>
      <w:r/>
    </w:p>
    <w:p>
      <w:pPr>
        <w:ind w:firstLine="480"/>
        <w:spacing w:line="360" w:lineRule="auto"/>
        <w:rPr>
          <w:rFonts w:ascii="宋体" w:hAnsi="宋体"/>
          <w:sz w:val="24"/>
          <w:u w:val="single"/>
          <w:lang w:val="en"/>
        </w:rPr>
      </w:pPr>
      <w:r>
        <w:rPr>
          <w:rFonts w:hint="eastAsia" w:ascii="宋体" w:hAnsi="宋体"/>
          <w:sz w:val="24"/>
        </w:rPr>
        <w:t xml:space="preserve">1</w:t>
      </w:r>
      <w:r>
        <w:rPr>
          <w:rFonts w:ascii="宋体" w:hAnsi="宋体"/>
          <w:sz w:val="24"/>
        </w:rPr>
        <w:t xml:space="preserve">.合同内容：</w:t>
      </w:r>
      <w:r>
        <w:rPr>
          <w:rFonts w:hint="eastAsia" w:ascii="宋体" w:hAnsi="宋体"/>
          <w:sz w:val="24"/>
        </w:rPr>
        <w:t xml:space="preserve">乙方按甲方要求，</w:t>
      </w:r>
      <w:r>
        <w:rPr>
          <w:rFonts w:hint="eastAsia" w:ascii="宋体" w:hAnsi="宋体"/>
          <w:sz w:val="24"/>
          <w:lang w:val="en-US" w:eastAsia="zh-CN"/>
        </w:rPr>
        <w:t xml:space="preserve">对常州市公安局在职人员提供团体意外伤害（附加重大疾病）保险服务</w:t>
      </w:r>
      <w:r>
        <w:rPr>
          <w:rFonts w:hint="eastAsia" w:ascii="宋体" w:hAnsi="宋体"/>
          <w:sz w:val="24"/>
        </w:rPr>
        <w:t xml:space="preserve">。</w:t>
      </w:r>
      <w:r/>
    </w:p>
    <w:p>
      <w:pPr>
        <w:ind w:firstLine="480"/>
        <w:spacing w:line="360" w:lineRule="auto"/>
        <w:rPr>
          <w:rFonts w:hint="default" w:ascii="宋体" w:hAnsi="宋体" w:eastAsia="宋体"/>
          <w:sz w:val="24"/>
          <w:u w:val="single"/>
          <w:lang w:val="en-US" w:eastAsia="zh-CN"/>
        </w:rPr>
      </w:pPr>
      <w:r>
        <w:rPr>
          <w:rFonts w:hint="eastAsia" w:ascii="宋体" w:hAnsi="宋体"/>
          <w:sz w:val="24"/>
        </w:rPr>
        <w:t xml:space="preserve">2</w:t>
      </w:r>
      <w:r>
        <w:rPr>
          <w:rFonts w:ascii="宋体" w:hAnsi="宋体"/>
          <w:sz w:val="24"/>
        </w:rPr>
        <w:t xml:space="preserve">.本合同价格形式：</w:t>
      </w:r>
      <w:r>
        <w:rPr>
          <w:rFonts w:ascii="宋体" w:hAnsi="宋体"/>
          <w:b/>
          <w:bCs/>
          <w:sz w:val="24"/>
          <w:u w:val="single"/>
        </w:rPr>
        <w:t xml:space="preserve">固定</w:t>
      </w:r>
      <w:r>
        <w:rPr>
          <w:rFonts w:hint="eastAsia" w:ascii="宋体" w:hAnsi="宋体"/>
          <w:b/>
          <w:bCs/>
          <w:sz w:val="24"/>
          <w:u w:val="single"/>
          <w:lang w:val="en-US" w:eastAsia="zh-CN"/>
        </w:rPr>
        <w:t xml:space="preserve">单</w:t>
      </w:r>
      <w:r>
        <w:rPr>
          <w:rFonts w:ascii="宋体" w:hAnsi="宋体"/>
          <w:b/>
          <w:bCs/>
          <w:sz w:val="24"/>
          <w:u w:val="single"/>
        </w:rPr>
        <w:t xml:space="preserve">价</w:t>
      </w:r>
      <w:r>
        <w:rPr>
          <w:rFonts w:hint="eastAsia" w:ascii="宋体" w:hAnsi="宋体"/>
          <w:sz w:val="24"/>
          <w:u w:val="none"/>
          <w:lang w:val="en-US" w:eastAsia="zh-CN"/>
        </w:rPr>
        <w:t xml:space="preserve">。</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合同</w:t>
      </w:r>
      <w:r>
        <w:rPr>
          <w:rFonts w:hint="eastAsia" w:ascii="宋体" w:hAnsi="宋体"/>
          <w:sz w:val="24"/>
          <w:lang w:val="en-US" w:eastAsia="zh-CN"/>
        </w:rPr>
        <w:t xml:space="preserve">价款</w:t>
      </w:r>
      <w:r>
        <w:rPr>
          <w:rFonts w:hint="eastAsia" w:ascii="宋体" w:hAnsi="宋体"/>
          <w:sz w:val="24"/>
        </w:rPr>
        <w:t xml:space="preserve">：</w:t>
      </w:r>
      <w:r>
        <w:rPr>
          <w:rFonts w:hint="eastAsia" w:ascii="宋体" w:hAnsi="宋体"/>
          <w:sz w:val="24"/>
          <w:u w:val="single"/>
          <w:lang w:val="en-US" w:eastAsia="zh-CN"/>
        </w:rPr>
        <w:t xml:space="preserve">            </w:t>
      </w:r>
      <w:r>
        <w:rPr>
          <w:rFonts w:hint="eastAsia" w:ascii="宋体" w:hAnsi="宋体"/>
          <w:sz w:val="24"/>
        </w:rPr>
        <w:t xml:space="preserve">。</w:t>
      </w:r>
      <w:r/>
    </w:p>
    <w:p>
      <w:pPr>
        <w:jc w:val="left"/>
        <w:spacing w:line="360" w:lineRule="auto"/>
        <w:rPr>
          <w:rFonts w:ascii="宋体" w:hAnsi="宋体"/>
          <w:b/>
          <w:sz w:val="24"/>
        </w:rPr>
      </w:pPr>
      <w:r>
        <w:rPr>
          <w:rFonts w:hint="eastAsia" w:ascii="宋体" w:hAnsi="宋体"/>
          <w:b/>
          <w:sz w:val="24"/>
        </w:rPr>
        <w:t xml:space="preserve">二、合同文件</w:t>
      </w:r>
      <w:r/>
    </w:p>
    <w:p>
      <w:pPr>
        <w:ind w:firstLine="480"/>
        <w:jc w:val="left"/>
        <w:spacing w:line="360" w:lineRule="auto"/>
        <w:rPr>
          <w:rFonts w:ascii="宋体" w:hAnsi="宋体"/>
          <w:bCs/>
          <w:sz w:val="24"/>
        </w:rPr>
      </w:pPr>
      <w:r>
        <w:rPr>
          <w:rFonts w:hint="eastAsia" w:ascii="宋体" w:hAnsi="宋体"/>
          <w:sz w:val="24"/>
        </w:rPr>
        <w:t xml:space="preserve">下列文件是构成合同不可分割的部分，并与本合同具有同等法律效力，</w:t>
      </w:r>
      <w:r>
        <w:rPr>
          <w:rFonts w:hint="eastAsia" w:ascii="宋体" w:hAnsi="宋体"/>
          <w:bCs/>
          <w:sz w:val="24"/>
        </w:rPr>
        <w:t xml:space="preserve">这些文件包括但不限于：</w:t>
      </w:r>
      <w:r/>
    </w:p>
    <w:p>
      <w:pPr>
        <w:pStyle w:val="1094"/>
        <w:ind w:firstLine="484"/>
        <w:spacing w:line="360" w:lineRule="auto"/>
        <w:rPr>
          <w:rFonts w:hAnsi="宋体"/>
          <w:sz w:val="24"/>
          <w:szCs w:val="24"/>
        </w:rPr>
      </w:pPr>
      <w:r>
        <w:rPr>
          <w:rFonts w:hAnsi="宋体"/>
          <w:sz w:val="24"/>
          <w:szCs w:val="24"/>
        </w:rPr>
        <w:t xml:space="preserve">（1）</w:t>
      </w:r>
      <w:r>
        <w:rPr>
          <w:rFonts w:hint="eastAsia" w:hAnsi="宋体"/>
          <w:sz w:val="24"/>
          <w:szCs w:val="24"/>
          <w:lang w:val="en-US" w:eastAsia="zh-CN"/>
        </w:rPr>
        <w:t xml:space="preserve">招标</w:t>
      </w:r>
      <w:r>
        <w:rPr>
          <w:rFonts w:hAnsi="宋体"/>
          <w:sz w:val="24"/>
          <w:szCs w:val="24"/>
        </w:rPr>
        <w:t xml:space="preserve">文件             （2）乙方提供的</w:t>
      </w:r>
      <w:r>
        <w:rPr>
          <w:rFonts w:hint="eastAsia" w:hAnsi="宋体"/>
          <w:sz w:val="24"/>
          <w:szCs w:val="24"/>
          <w:lang w:val="en-US" w:eastAsia="zh-CN"/>
        </w:rPr>
        <w:t xml:space="preserve">投标</w:t>
      </w:r>
      <w:r>
        <w:rPr>
          <w:rFonts w:hAnsi="宋体"/>
          <w:sz w:val="24"/>
          <w:szCs w:val="24"/>
        </w:rPr>
        <w:t xml:space="preserve">文件； </w:t>
      </w:r>
      <w:r/>
    </w:p>
    <w:p>
      <w:pPr>
        <w:pStyle w:val="1094"/>
        <w:ind w:firstLine="484"/>
        <w:spacing w:line="360" w:lineRule="auto"/>
        <w:rPr>
          <w:rFonts w:hAnsi="宋体"/>
          <w:sz w:val="24"/>
          <w:szCs w:val="24"/>
        </w:rPr>
      </w:pPr>
      <w:r>
        <w:rPr>
          <w:rFonts w:hAnsi="宋体"/>
          <w:sz w:val="24"/>
          <w:szCs w:val="24"/>
        </w:rPr>
        <w:t xml:space="preserve">（3）中标通知书；       </w:t>
      </w:r>
      <w:r>
        <w:rPr>
          <w:rFonts w:hint="eastAsia" w:hAnsi="宋体"/>
          <w:sz w:val="24"/>
          <w:szCs w:val="24"/>
          <w:lang w:val="en-US" w:eastAsia="zh-CN"/>
        </w:rPr>
        <w:t xml:space="preserve"> </w:t>
      </w:r>
      <w:r>
        <w:rPr>
          <w:rFonts w:hAnsi="宋体"/>
          <w:sz w:val="24"/>
          <w:szCs w:val="24"/>
        </w:rPr>
        <w:t xml:space="preserve"> （4）甲乙双方商定的其他文件等。</w:t>
      </w:r>
      <w:r/>
    </w:p>
    <w:p>
      <w:pPr>
        <w:jc w:val="left"/>
        <w:spacing w:line="360" w:lineRule="auto"/>
        <w:rPr>
          <w:rFonts w:ascii="宋体" w:hAnsi="宋体"/>
          <w:b/>
          <w:sz w:val="24"/>
        </w:rPr>
      </w:pPr>
      <w:r>
        <w:rPr>
          <w:rFonts w:hint="eastAsia" w:ascii="宋体" w:hAnsi="宋体"/>
          <w:b/>
          <w:sz w:val="24"/>
        </w:rPr>
        <w:t xml:space="preserve">三、质量与验收</w:t>
      </w:r>
      <w:r/>
    </w:p>
    <w:p>
      <w:pPr>
        <w:ind w:firstLine="480"/>
        <w:jc w:val="left"/>
        <w:spacing w:line="360" w:lineRule="auto"/>
        <w:rPr>
          <w:rFonts w:ascii="宋体" w:hAnsi="宋体"/>
          <w:sz w:val="24"/>
        </w:rPr>
      </w:pPr>
      <w:r>
        <w:rPr>
          <w:rFonts w:hint="eastAsia" w:ascii="宋体" w:hAnsi="宋体"/>
          <w:sz w:val="24"/>
        </w:rPr>
        <w:t xml:space="preserve">1、乙方应向甲方提供符合</w:t>
      </w:r>
      <w:r>
        <w:rPr>
          <w:rFonts w:hint="eastAsia" w:ascii="宋体" w:hAnsi="宋体"/>
          <w:sz w:val="24"/>
          <w:lang w:val="en-US" w:eastAsia="zh-CN"/>
        </w:rPr>
        <w:t xml:space="preserve">采购文件要求及投标文件承诺</w:t>
      </w:r>
      <w:r>
        <w:rPr>
          <w:rFonts w:hint="eastAsia" w:ascii="宋体" w:hAnsi="宋体"/>
          <w:sz w:val="24"/>
        </w:rPr>
        <w:t xml:space="preserve">的各项服务。</w:t>
      </w:r>
      <w:r/>
    </w:p>
    <w:p>
      <w:pPr>
        <w:ind w:firstLine="480"/>
        <w:jc w:val="left"/>
        <w:spacing w:line="360" w:lineRule="auto"/>
        <w:rPr>
          <w:rFonts w:ascii="宋体" w:hAnsi="宋体"/>
          <w:sz w:val="24"/>
        </w:rPr>
      </w:pPr>
      <w:r>
        <w:rPr>
          <w:rFonts w:hint="eastAsia" w:ascii="宋体" w:hAnsi="宋体"/>
          <w:sz w:val="24"/>
        </w:rPr>
        <w:t xml:space="preserve">2、验收标准：合同或相关文件中约定的各项要求以及乙方承诺的其他指标。</w:t>
      </w:r>
      <w:r/>
    </w:p>
    <w:p>
      <w:pPr>
        <w:jc w:val="left"/>
        <w:spacing w:line="360" w:lineRule="auto"/>
        <w:rPr>
          <w:rFonts w:ascii="宋体" w:hAnsi="宋体"/>
          <w:b/>
          <w:sz w:val="24"/>
        </w:rPr>
      </w:pPr>
      <w:r>
        <w:rPr>
          <w:rFonts w:ascii="宋体" w:hAnsi="宋体"/>
          <w:b/>
          <w:sz w:val="24"/>
        </w:rPr>
        <w:t xml:space="preserve">四、</w:t>
      </w:r>
      <w:r>
        <w:rPr>
          <w:rFonts w:hint="eastAsia" w:ascii="宋体" w:hAnsi="宋体"/>
          <w:b/>
          <w:sz w:val="24"/>
        </w:rPr>
        <w:t xml:space="preserve">合同履行期限</w:t>
      </w:r>
      <w:r/>
    </w:p>
    <w:p>
      <w:pPr>
        <w:ind w:firstLine="480"/>
        <w:spacing w:line="360" w:lineRule="auto"/>
        <w:rPr>
          <w:rFonts w:ascii="宋体" w:hAnsi="宋体" w:cs="仿宋_GB2312"/>
          <w:sz w:val="24"/>
        </w:rPr>
      </w:pPr>
      <w:r>
        <w:rPr>
          <w:rFonts w:hint="eastAsia"/>
          <w:sz w:val="24"/>
          <w:lang w:eastAsia="zh-CN"/>
        </w:rPr>
        <w:t xml:space="preserve">3年，合同一年一签。第一年：2027年1</w:t>
      </w:r>
      <w:r>
        <w:rPr>
          <w:rFonts w:hint="eastAsia"/>
          <w:sz w:val="24"/>
          <w:highlight w:val="none"/>
          <w:lang w:eastAsia="zh-CN"/>
        </w:rPr>
        <w:t xml:space="preserve">月1日零时-202</w:t>
      </w:r>
      <w:r>
        <w:rPr>
          <w:rFonts w:hint="eastAsia"/>
          <w:sz w:val="24"/>
          <w:highlight w:val="none"/>
          <w:lang w:val="en-US" w:eastAsia="zh-CN"/>
        </w:rPr>
        <w:t xml:space="preserve">7</w:t>
      </w:r>
      <w:r>
        <w:rPr>
          <w:rFonts w:hint="eastAsia"/>
          <w:sz w:val="24"/>
          <w:highlight w:val="none"/>
          <w:lang w:eastAsia="zh-CN"/>
        </w:rPr>
        <w:t xml:space="preserve">年12月31日二十四时止。第二年：2028年1月1日零时-202</w:t>
      </w:r>
      <w:r>
        <w:rPr>
          <w:rFonts w:hint="eastAsia"/>
          <w:sz w:val="24"/>
          <w:highlight w:val="none"/>
          <w:lang w:val="en-US" w:eastAsia="zh-CN"/>
        </w:rPr>
        <w:t xml:space="preserve">8</w:t>
      </w:r>
      <w:r>
        <w:rPr>
          <w:rFonts w:hint="eastAsia"/>
          <w:sz w:val="24"/>
          <w:highlight w:val="none"/>
          <w:lang w:eastAsia="zh-CN"/>
        </w:rPr>
        <w:t xml:space="preserve">年12月31日二十四时止。第三年：2029年1月1日零时-20</w:t>
      </w:r>
      <w:r>
        <w:rPr>
          <w:rFonts w:hint="eastAsia"/>
          <w:sz w:val="24"/>
          <w:highlight w:val="none"/>
          <w:lang w:val="en-US" w:eastAsia="zh-CN"/>
        </w:rPr>
        <w:t xml:space="preserve">29</w:t>
      </w:r>
      <w:r>
        <w:rPr>
          <w:rFonts w:hint="eastAsia"/>
          <w:sz w:val="24"/>
          <w:highlight w:val="none"/>
          <w:lang w:eastAsia="zh-CN"/>
        </w:rPr>
        <w:t xml:space="preserve">年12月31日二十</w:t>
      </w:r>
      <w:r>
        <w:rPr>
          <w:rFonts w:hint="eastAsia"/>
          <w:sz w:val="24"/>
          <w:lang w:eastAsia="zh-CN"/>
        </w:rPr>
        <w:t xml:space="preserve">四时止</w:t>
      </w:r>
      <w:r>
        <w:rPr>
          <w:rFonts w:hint="eastAsia" w:ascii="宋体" w:hAnsi="宋体" w:cs="仿宋_GB2312"/>
          <w:sz w:val="24"/>
        </w:rPr>
        <w:t xml:space="preserve">。</w:t>
      </w:r>
      <w:r/>
    </w:p>
    <w:p>
      <w:pPr>
        <w:numPr>
          <w:ilvl w:val="0"/>
          <w:numId w:val="36"/>
        </w:numPr>
        <w:jc w:val="left"/>
        <w:spacing w:line="360" w:lineRule="auto"/>
        <w:rPr>
          <w:rFonts w:hint="eastAsia" w:ascii="宋体" w:hAnsi="宋体"/>
          <w:b/>
          <w:sz w:val="24"/>
        </w:rPr>
      </w:pPr>
      <w:r>
        <w:rPr>
          <w:rFonts w:hint="eastAsia" w:ascii="宋体" w:hAnsi="宋体"/>
          <w:b/>
          <w:sz w:val="24"/>
        </w:rPr>
        <w:t xml:space="preserve">付款方式</w:t>
      </w:r>
      <w:r/>
    </w:p>
    <w:p>
      <w:pPr>
        <w:pStyle w:val="1317"/>
        <w:ind w:firstLine="480"/>
        <w:jc w:val="left"/>
        <w:spacing w:line="360" w:lineRule="auto"/>
        <w:rPr>
          <w:rFonts w:ascii="宋体" w:hAnsi="宋体" w:cs="宋体"/>
          <w:sz w:val="24"/>
        </w:rPr>
        <w:outlineLvl w:val="1"/>
      </w:pPr>
      <w:r>
        <w:rPr>
          <w:rFonts w:hint="eastAsia" w:ascii="宋体" w:hAnsi="宋体" w:eastAsia="宋体" w:cs="Times New Roman"/>
          <w:bCs/>
          <w:color w:val="000000"/>
          <w:sz w:val="24"/>
          <w:szCs w:val="24"/>
          <w:lang w:val="zh-CN"/>
        </w:rPr>
        <w:t xml:space="preserve">合同签订后，</w:t>
      </w:r>
      <w:r>
        <w:rPr>
          <w:rFonts w:hint="eastAsia" w:ascii="宋体" w:hAnsi="宋体" w:cs="Times New Roman"/>
          <w:bCs/>
          <w:color w:val="000000"/>
          <w:sz w:val="24"/>
          <w:szCs w:val="24"/>
          <w:lang w:val="en-US" w:eastAsia="zh-CN"/>
        </w:rPr>
        <w:t xml:space="preserve">甲方</w:t>
      </w:r>
      <w:r>
        <w:rPr>
          <w:rFonts w:hint="eastAsia" w:ascii="宋体" w:hAnsi="宋体" w:eastAsia="宋体" w:cs="Times New Roman"/>
          <w:bCs/>
          <w:color w:val="000000"/>
          <w:sz w:val="24"/>
          <w:szCs w:val="24"/>
          <w:lang w:val="zh-CN"/>
        </w:rPr>
        <w:t xml:space="preserve">根据中标单价和第一年度实际投保人员数量，支付</w:t>
      </w:r>
      <w:r>
        <w:rPr>
          <w:rFonts w:hint="eastAsia" w:ascii="宋体" w:hAnsi="宋体" w:cs="Times New Roman"/>
          <w:bCs/>
          <w:color w:val="000000"/>
          <w:sz w:val="24"/>
          <w:szCs w:val="24"/>
          <w:lang w:val="en-US" w:eastAsia="zh-CN"/>
        </w:rPr>
        <w:t xml:space="preserve">乙方</w:t>
      </w:r>
      <w:r>
        <w:rPr>
          <w:rFonts w:hint="eastAsia" w:ascii="宋体" w:hAnsi="宋体" w:eastAsia="宋体" w:cs="Times New Roman"/>
          <w:bCs/>
          <w:color w:val="000000"/>
          <w:sz w:val="24"/>
          <w:szCs w:val="24"/>
          <w:lang w:val="zh-CN"/>
        </w:rPr>
        <w:t xml:space="preserve">第一年全额保费；第二年投保起始时间前根据中标单价和需投保人员实际数量支付当年全额保费</w:t>
      </w:r>
      <w:r>
        <w:rPr>
          <w:rFonts w:hint="eastAsia" w:ascii="宋体" w:hAnsi="宋体" w:cs="宋体"/>
          <w:sz w:val="24"/>
        </w:rPr>
        <w:t xml:space="preserve">。</w:t>
      </w:r>
      <w:r/>
    </w:p>
    <w:p>
      <w:pPr>
        <w:jc w:val="left"/>
        <w:spacing w:line="360" w:lineRule="auto"/>
        <w:rPr>
          <w:rFonts w:ascii="宋体" w:hAnsi="宋体"/>
          <w:b/>
          <w:sz w:val="24"/>
        </w:rPr>
      </w:pPr>
      <w:r>
        <w:rPr>
          <w:rFonts w:ascii="宋体" w:hAnsi="宋体"/>
          <w:b/>
          <w:sz w:val="24"/>
        </w:rPr>
        <w:t xml:space="preserve">六、甲、乙双方责任</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、甲方责任</w:t>
      </w:r>
      <w:r/>
    </w:p>
    <w:p>
      <w:pPr>
        <w:ind w:firstLine="480"/>
        <w:jc w:val="left"/>
        <w:spacing w:line="360" w:lineRule="auto"/>
        <w:rPr>
          <w:rFonts w:ascii="宋体" w:hAnsi="宋体"/>
          <w:sz w:val="24"/>
        </w:rPr>
      </w:pPr>
      <w:r>
        <w:rPr>
          <w:rFonts w:hint="eastAsia" w:ascii="宋体" w:hAnsi="宋体"/>
          <w:sz w:val="24"/>
        </w:rPr>
        <w:t xml:space="preserve">（1）乙方按合同履约的，甲方应按约及时向乙方支付费用。</w:t>
      </w:r>
      <w:r/>
    </w:p>
    <w:p>
      <w:pPr>
        <w:ind w:firstLine="480"/>
        <w:jc w:val="left"/>
        <w:spacing w:line="360" w:lineRule="auto"/>
        <w:rPr>
          <w:rFonts w:ascii="宋体" w:hAnsi="宋体"/>
          <w:sz w:val="24"/>
        </w:rPr>
      </w:pPr>
      <w:r>
        <w:rPr>
          <w:rFonts w:hint="eastAsia" w:ascii="宋体" w:hAnsi="宋体"/>
          <w:sz w:val="24"/>
        </w:rPr>
        <w:t xml:space="preserve">（2）甲方应</w:t>
      </w:r>
      <w:r>
        <w:rPr>
          <w:rFonts w:hint="eastAsia" w:ascii="宋体" w:hAnsi="宋体"/>
          <w:sz w:val="24"/>
          <w:lang w:val="en-US" w:eastAsia="zh-CN"/>
        </w:rPr>
        <w:t xml:space="preserve">及时向乙方提供投保人员准确数量</w:t>
      </w:r>
      <w:r>
        <w:rPr>
          <w:rFonts w:hint="eastAsia"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、乙方责任</w:t>
      </w:r>
      <w:r/>
    </w:p>
    <w:p>
      <w:pPr>
        <w:ind w:firstLine="480"/>
        <w:jc w:val="left"/>
        <w:spacing w:line="360" w:lineRule="auto"/>
        <w:rPr>
          <w:rFonts w:ascii="宋体" w:hAnsi="宋体"/>
          <w:sz w:val="24"/>
        </w:rPr>
      </w:pPr>
      <w:r>
        <w:rPr>
          <w:rFonts w:hint="eastAsia" w:ascii="宋体" w:hAnsi="宋体"/>
          <w:sz w:val="24"/>
        </w:rPr>
        <w:t xml:space="preserve">（1）乙方应指派具有丰富保险专业知识和较强服务意识的业务人员专人负责甲方的保险服务工作，提供从相关保险业务咨询到理赔等全面服务，协助办理理赔手续。</w:t>
      </w:r>
      <w:r/>
    </w:p>
    <w:p>
      <w:pPr>
        <w:ind w:firstLine="480"/>
        <w:jc w:val="both"/>
        <w:spacing w:line="360" w:lineRule="auto"/>
        <w:rPr>
          <w:rFonts w:ascii="宋体" w:hAnsi="宋体"/>
          <w:sz w:val="24"/>
        </w:rPr>
      </w:pPr>
      <w:r>
        <w:rPr>
          <w:rFonts w:hint="eastAsia" w:ascii="宋体" w:hAnsi="宋体"/>
          <w:sz w:val="24"/>
        </w:rPr>
        <w:t xml:space="preserve">（2）</w:t>
      </w:r>
      <w:r>
        <w:rPr>
          <w:rFonts w:hint="eastAsia" w:ascii="宋体" w:hAnsi="宋体" w:eastAsia="宋体" w:cs="宋体"/>
          <w:sz w:val="24"/>
          <w:szCs w:val="24"/>
        </w:rPr>
        <w:t xml:space="preserve">乙方在收到索赔资料后对出险情况或医疗费用的合理性和合规性进行审核。在索赔资料齐全无误的情况下，对事故性质明确、无需调查，属于保险责任范围内的赔案，乙方七个工作日内确定保险金给付金额并给付理赔金，所确定给付的保险金将以转账形式支付甲方被保险人</w:t>
      </w:r>
      <w:r>
        <w:rPr>
          <w:rFonts w:hint="eastAsia" w:ascii="宋体" w:hAnsi="宋体"/>
          <w:sz w:val="24"/>
        </w:rPr>
        <w:t xml:space="preserve">。</w:t>
      </w:r>
      <w:r/>
    </w:p>
    <w:p>
      <w:pPr>
        <w:jc w:val="left"/>
        <w:spacing w:line="360" w:lineRule="auto"/>
        <w:rPr>
          <w:rFonts w:hint="eastAsia" w:ascii="宋体" w:hAnsi="宋体" w:eastAsia="宋体" w:cs="Times New Roman"/>
          <w:b/>
          <w:sz w:val="24"/>
          <w:lang w:val="en-US" w:eastAsia="zh-CN"/>
        </w:rPr>
      </w:pPr>
      <w:r>
        <w:rPr>
          <w:rFonts w:hint="eastAsia" w:ascii="宋体" w:hAnsi="宋体" w:eastAsia="宋体" w:cs="Times New Roman"/>
          <w:b/>
          <w:sz w:val="24"/>
          <w:lang w:val="en-US" w:eastAsia="zh-CN"/>
        </w:rPr>
        <w:t xml:space="preserve">七、不可抗力</w:t>
      </w:r>
      <w:r/>
    </w:p>
    <w:p>
      <w:pPr>
        <w:ind w:firstLine="480"/>
        <w:jc w:val="left"/>
        <w:spacing w:line="360" w:lineRule="auto"/>
        <w:rPr>
          <w:rFonts w:ascii="宋体" w:hAnsi="宋体"/>
          <w:sz w:val="24"/>
        </w:rPr>
      </w:pPr>
      <w:r>
        <w:rPr>
          <w:rFonts w:hint="eastAsia" w:ascii="宋体" w:hAnsi="宋体"/>
          <w:sz w:val="24"/>
        </w:rPr>
        <w:t xml:space="preserve">1、因不可抗力不能履行合同的，根据不可抗力的影响，部分或者全部免除责任。但合同一方迟延履行后发生不可抗力的，不能免除责任。</w:t>
      </w:r>
      <w:r/>
    </w:p>
    <w:p>
      <w:pPr>
        <w:ind w:firstLine="480"/>
        <w:jc w:val="left"/>
        <w:spacing w:line="360" w:lineRule="auto"/>
        <w:rPr>
          <w:rFonts w:ascii="宋体" w:hAnsi="宋体"/>
          <w:sz w:val="24"/>
        </w:rPr>
      </w:pPr>
      <w:r>
        <w:rPr>
          <w:rFonts w:hint="eastAsia" w:ascii="宋体" w:hAnsi="宋体"/>
          <w:sz w:val="24"/>
        </w:rPr>
        <w:t xml:space="preserve">2、合同一方因不可抗力不能履行合同的，应当及时通知对方，以减轻可能给对方造成的损失，并应当在合理期限内提供证明。</w:t>
      </w:r>
      <w:r/>
    </w:p>
    <w:p>
      <w:pPr>
        <w:jc w:val="left"/>
        <w:spacing w:line="360" w:lineRule="auto"/>
        <w:rPr>
          <w:rFonts w:ascii="宋体" w:hAnsi="宋体"/>
          <w:b/>
          <w:sz w:val="24"/>
        </w:rPr>
      </w:pPr>
      <w:r>
        <w:rPr>
          <w:rFonts w:hint="eastAsia" w:ascii="宋体" w:hAnsi="宋体"/>
          <w:b/>
          <w:sz w:val="24"/>
          <w:lang w:val="en-US" w:eastAsia="zh-CN"/>
        </w:rPr>
        <w:t xml:space="preserve">八</w:t>
      </w:r>
      <w:r>
        <w:rPr>
          <w:rFonts w:hint="eastAsia" w:ascii="宋体" w:hAnsi="宋体"/>
          <w:b/>
          <w:sz w:val="24"/>
        </w:rPr>
        <w:t xml:space="preserve">、违约责任</w:t>
      </w:r>
      <w:r/>
    </w:p>
    <w:p>
      <w:pPr>
        <w:ind w:firstLine="480"/>
        <w:jc w:val="left"/>
        <w:spacing w:line="360" w:lineRule="auto"/>
        <w:rPr>
          <w:rFonts w:ascii="宋体" w:hAnsi="宋体"/>
          <w:sz w:val="24"/>
        </w:rPr>
      </w:pPr>
      <w:r>
        <w:rPr>
          <w:rFonts w:hint="eastAsia" w:ascii="宋体" w:hAnsi="宋体"/>
          <w:sz w:val="24"/>
        </w:rPr>
        <w:t xml:space="preserve">1、甲方无正当理由拒绝接受乙方提供服务的，甲方向乙方偿付拒绝接受服务合同价款总值</w:t>
      </w:r>
      <w:r>
        <w:rPr>
          <w:rFonts w:hint="eastAsia" w:ascii="宋体" w:hAnsi="宋体"/>
          <w:sz w:val="24"/>
          <w:u w:val="single"/>
        </w:rPr>
        <w:t xml:space="preserve">    </w:t>
      </w:r>
      <w:r>
        <w:rPr>
          <w:rFonts w:hint="eastAsia" w:ascii="宋体" w:hAnsi="宋体"/>
          <w:sz w:val="24"/>
        </w:rPr>
        <w:t xml:space="preserve">的违约金。</w:t>
      </w:r>
      <w:r/>
    </w:p>
    <w:p>
      <w:pPr>
        <w:ind w:firstLine="480"/>
        <w:jc w:val="left"/>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甲方无故逾期验收和办理合同款项支付手续的,甲方应按逾期付款总额    每日向乙方支付</w:t>
      </w:r>
      <w:r>
        <w:rPr>
          <w:rFonts w:hint="eastAsia" w:ascii="宋体" w:hAnsi="宋体"/>
          <w:sz w:val="24"/>
          <w:u w:val="single"/>
          <w:lang w:val="en-US" w:eastAsia="zh-CN"/>
        </w:rPr>
        <w:t xml:space="preserve">     </w:t>
      </w:r>
      <w:r>
        <w:rPr>
          <w:rFonts w:hint="eastAsia" w:ascii="宋体" w:hAnsi="宋体"/>
          <w:sz w:val="24"/>
          <w:u w:val="none"/>
          <w:lang w:val="en-US" w:eastAsia="zh-CN"/>
        </w:rPr>
        <w:t xml:space="preserve">的</w:t>
      </w:r>
      <w:r>
        <w:rPr>
          <w:rFonts w:hint="eastAsia" w:ascii="宋体" w:hAnsi="宋体"/>
          <w:sz w:val="24"/>
        </w:rPr>
        <w:t xml:space="preserve">违约金。</w:t>
      </w:r>
      <w:r/>
    </w:p>
    <w:p>
      <w:pPr>
        <w:ind w:firstLine="480"/>
        <w:jc w:val="left"/>
        <w:spacing w:line="360" w:lineRule="auto"/>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乙方逾期提供服务的，乙方应按逾期提供服务合同总额每日</w:t>
      </w:r>
      <w:r>
        <w:rPr>
          <w:rFonts w:hint="eastAsia" w:ascii="宋体" w:hAnsi="宋体"/>
          <w:sz w:val="24"/>
          <w:u w:val="single"/>
          <w:lang w:val="en-US" w:eastAsia="zh-CN"/>
        </w:rPr>
        <w:t xml:space="preserve">    </w:t>
      </w:r>
      <w:r>
        <w:rPr>
          <w:rFonts w:hint="eastAsia" w:ascii="宋体" w:hAnsi="宋体"/>
          <w:sz w:val="24"/>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ind w:firstLine="480"/>
        <w:jc w:val="left"/>
        <w:spacing w:line="360" w:lineRule="auto"/>
        <w:rPr>
          <w:rFonts w:ascii="宋体" w:hAnsi="宋体"/>
          <w:sz w:val="24"/>
        </w:rPr>
      </w:pPr>
      <w:r>
        <w:rPr>
          <w:rFonts w:hint="eastAsia" w:ascii="宋体" w:hAnsi="宋体"/>
          <w:sz w:val="24"/>
          <w:lang w:val="en-US" w:eastAsia="zh-CN"/>
        </w:rPr>
        <w:t xml:space="preserve">4、</w:t>
      </w:r>
      <w:r>
        <w:rPr>
          <w:rFonts w:hint="eastAsia" w:ascii="宋体" w:hAnsi="宋体"/>
          <w:sz w:val="24"/>
        </w:rPr>
        <w:t xml:space="preserve">乙方所提供服务的标准不符合合同规定及招标文件规定标准的，甲方有权拒绝接受服务，并可单方面解除合同。</w:t>
      </w:r>
      <w:r/>
    </w:p>
    <w:p>
      <w:pPr>
        <w:jc w:val="left"/>
        <w:spacing w:line="360" w:lineRule="auto"/>
        <w:rPr>
          <w:rFonts w:ascii="宋体" w:hAnsi="宋体"/>
          <w:b/>
          <w:sz w:val="24"/>
        </w:rPr>
      </w:pPr>
      <w:r>
        <w:rPr>
          <w:rFonts w:hint="eastAsia" w:ascii="宋体" w:hAnsi="宋体"/>
          <w:b/>
          <w:sz w:val="24"/>
        </w:rPr>
        <w:t xml:space="preserve">十、合同的生效、解除和变更</w:t>
      </w:r>
      <w:r/>
    </w:p>
    <w:p>
      <w:pPr>
        <w:ind w:firstLine="480"/>
        <w:jc w:val="left"/>
        <w:spacing w:line="360" w:lineRule="auto"/>
        <w:rPr>
          <w:rFonts w:ascii="宋体" w:hAnsi="宋体"/>
          <w:sz w:val="24"/>
        </w:rPr>
      </w:pPr>
      <w:r>
        <w:rPr>
          <w:rFonts w:hint="eastAsia" w:ascii="宋体" w:hAnsi="宋体"/>
          <w:sz w:val="24"/>
        </w:rPr>
        <w:t xml:space="preserve">1、本合同自甲方、乙方双方签字、盖章之日起生效。</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、在委托合同签订后，实际情况发生变化，使得乙方不能全部或部分执行服务时，乙方应当立即通知甲方。</w:t>
      </w:r>
      <w:r/>
    </w:p>
    <w:p>
      <w:pPr>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一方要求变更或解除合同时，应当在十四日前通知对方，因解除合同使另一方遭受损失的，除依法可以免除责任的外，应由责任方负责赔偿。变更或解除合同的通知或协议必须采取书面形式，协议未达成之前，原合同仍然有效。</w:t>
      </w:r>
      <w:r/>
    </w:p>
    <w:p>
      <w:pPr>
        <w:jc w:val="left"/>
        <w:spacing w:line="360" w:lineRule="auto"/>
        <w:rPr>
          <w:rFonts w:ascii="宋体" w:hAnsi="宋体"/>
          <w:b/>
          <w:sz w:val="24"/>
        </w:rPr>
      </w:pPr>
      <w:r>
        <w:rPr>
          <w:rFonts w:hint="eastAsia" w:ascii="宋体" w:hAnsi="宋体"/>
          <w:b/>
          <w:sz w:val="24"/>
        </w:rPr>
        <w:t xml:space="preserve">十一、合同纠纷的解决</w:t>
      </w:r>
      <w:r/>
    </w:p>
    <w:p>
      <w:pPr>
        <w:ind w:firstLine="480"/>
        <w:jc w:val="left"/>
        <w:spacing w:line="360" w:lineRule="auto"/>
        <w:rPr>
          <w:rFonts w:ascii="宋体" w:hAnsi="宋体"/>
          <w:sz w:val="24"/>
        </w:rPr>
      </w:pPr>
      <w:r>
        <w:rPr>
          <w:rFonts w:hint="eastAsia" w:ascii="宋体" w:hAnsi="宋体"/>
          <w:sz w:val="24"/>
        </w:rPr>
        <w:t xml:space="preserve">本合同未尽事宜，签约双方应友好协商解决。协商不成，任何一方均可向甲方所在地人民法院提起诉讼。</w:t>
      </w:r>
      <w:r/>
    </w:p>
    <w:p>
      <w:pPr>
        <w:jc w:val="left"/>
        <w:spacing w:line="360" w:lineRule="auto"/>
        <w:rPr>
          <w:rFonts w:ascii="宋体" w:hAnsi="宋体"/>
          <w:b/>
          <w:sz w:val="24"/>
        </w:rPr>
      </w:pPr>
      <w:r>
        <w:rPr>
          <w:rFonts w:hint="eastAsia" w:ascii="宋体" w:hAnsi="宋体"/>
          <w:b/>
          <w:sz w:val="24"/>
        </w:rPr>
        <w:t xml:space="preserve">十二、其它约定事项</w:t>
      </w:r>
      <w:r/>
    </w:p>
    <w:p>
      <w:pPr>
        <w:ind w:firstLine="480"/>
        <w:jc w:val="left"/>
        <w:spacing w:line="360" w:lineRule="auto"/>
        <w:rPr>
          <w:rFonts w:ascii="宋体" w:hAnsi="宋体"/>
          <w:sz w:val="24"/>
        </w:rPr>
      </w:pPr>
      <w:r>
        <w:rPr>
          <w:rFonts w:hint="eastAsia" w:ascii="宋体" w:hAnsi="宋体"/>
          <w:sz w:val="24"/>
        </w:rPr>
        <w:t xml:space="preserve">1、未经过对方的书面同意，乙方不得转让其应履行的合同项下的义务，和将部分合同项下的义务分包给其他单位完成。</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、本合同一式叁份，甲方、乙方、采购代理机构各执壹份。</w:t>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hint="eastAsia" w:ascii="宋体" w:hAnsi="宋体"/>
          <w:sz w:val="24"/>
        </w:rPr>
        <w:t xml:space="preserve">甲方：</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w:t>
      </w:r>
      <w:r>
        <w:rPr>
          <w:rFonts w:hint="eastAsia" w:ascii="宋体" w:hAnsi="宋体"/>
          <w:sz w:val="24"/>
        </w:rPr>
        <w:tab/>
      </w:r>
      <w:r>
        <w:rPr>
          <w:rFonts w:hint="eastAsia" w:ascii="宋体" w:hAnsi="宋体"/>
          <w:sz w:val="24"/>
        </w:rPr>
        <w:t xml:space="preserve">            乙方：</w:t>
      </w:r>
      <w:r>
        <w:rPr>
          <w:rFonts w:hint="eastAsia" w:ascii="宋体" w:hAnsi="宋体"/>
          <w:sz w:val="24"/>
        </w:rPr>
        <w:tab/>
      </w:r>
      <w:r>
        <w:rPr>
          <w:rFonts w:hint="eastAsia" w:ascii="宋体" w:hAnsi="宋体"/>
          <w:sz w:val="24"/>
        </w:rPr>
        <w:t xml:space="preserve">                       </w:t>
      </w:r>
      <w:r/>
    </w:p>
    <w:p>
      <w:pPr>
        <w:ind w:firstLine="480"/>
        <w:jc w:val="left"/>
        <w:spacing w:line="360" w:lineRule="auto"/>
        <w:rPr>
          <w:rFonts w:ascii="宋体" w:hAnsi="宋体"/>
          <w:sz w:val="24"/>
        </w:rPr>
      </w:pPr>
      <w:r>
        <w:rPr>
          <w:rFonts w:hint="eastAsia" w:ascii="宋体" w:hAnsi="宋体"/>
          <w:sz w:val="24"/>
        </w:rPr>
        <w:t xml:space="preserve">法定代表人（授权代表）：</w:t>
      </w:r>
      <w:r>
        <w:rPr>
          <w:rFonts w:hint="eastAsia" w:ascii="宋体" w:hAnsi="宋体"/>
          <w:sz w:val="24"/>
        </w:rPr>
        <w:tab/>
      </w:r>
      <w:r>
        <w:rPr>
          <w:rFonts w:hint="eastAsia" w:ascii="宋体" w:hAnsi="宋体"/>
          <w:sz w:val="24"/>
        </w:rPr>
        <w:t xml:space="preserve">              法定代表人（授权代表）：                    </w:t>
      </w:r>
      <w:r/>
    </w:p>
    <w:p>
      <w:pPr>
        <w:ind w:firstLine="480"/>
        <w:jc w:val="left"/>
        <w:spacing w:line="360" w:lineRule="auto"/>
        <w:rPr>
          <w:rFonts w:ascii="宋体" w:hAnsi="宋体"/>
          <w:sz w:val="24"/>
        </w:rPr>
      </w:pPr>
      <w:r>
        <w:rPr>
          <w:rFonts w:hint="eastAsia" w:ascii="宋体" w:hAnsi="宋体"/>
          <w:sz w:val="24"/>
        </w:rPr>
        <w:t xml:space="preserve">开户行：</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开户行：</w:t>
      </w:r>
      <w:r/>
    </w:p>
    <w:p>
      <w:pPr>
        <w:ind w:firstLine="480"/>
        <w:jc w:val="left"/>
        <w:spacing w:line="360" w:lineRule="auto"/>
        <w:rPr>
          <w:rFonts w:ascii="宋体" w:hAnsi="宋体"/>
          <w:sz w:val="24"/>
        </w:rPr>
      </w:pPr>
      <w:r>
        <w:rPr>
          <w:rFonts w:hint="eastAsia" w:ascii="宋体" w:hAnsi="宋体"/>
          <w:sz w:val="24"/>
        </w:rPr>
        <w:t xml:space="preserve">账户：</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账户：</w:t>
      </w:r>
      <w:r>
        <w:rPr>
          <w:rFonts w:hint="eastAsia" w:ascii="宋体" w:hAnsi="宋体"/>
          <w:sz w:val="24"/>
        </w:rPr>
        <w:t xml:space="preserve">                </w:t>
      </w:r>
      <w:r/>
    </w:p>
    <w:p>
      <w:pPr>
        <w:ind w:firstLine="480"/>
        <w:jc w:val="left"/>
        <w:spacing w:line="480" w:lineRule="exact"/>
        <w:rPr>
          <w:rFonts w:ascii="宋体" w:hAnsi="宋体" w:cs="仿宋"/>
          <w:bCs/>
          <w:sz w:val="24"/>
        </w:rPr>
      </w:pPr>
      <w:r>
        <w:rPr>
          <w:rFonts w:hint="eastAsia" w:ascii="宋体" w:hAnsi="宋体"/>
          <w:sz w:val="24"/>
        </w:rPr>
        <w:t xml:space="preserve">签订日期：                               签订日期：</w:t>
      </w:r>
      <w:r/>
    </w:p>
    <w:p>
      <w:pPr>
        <w:jc w:val="center"/>
        <w:spacing w:line="360" w:lineRule="auto"/>
        <w:rPr>
          <w:rFonts w:ascii="宋体" w:hAnsi="宋体"/>
          <w:b/>
          <w:sz w:val="36"/>
          <w:szCs w:val="36"/>
        </w:rPr>
        <w:outlineLvl w:val="0"/>
      </w:pPr>
      <w:r>
        <w:rPr>
          <w:rFonts w:ascii="宋体" w:hAnsi="宋体"/>
          <w:b/>
          <w:sz w:val="36"/>
          <w:szCs w:val="36"/>
        </w:rPr>
      </w:r>
      <w:r/>
    </w:p>
    <w:p>
      <w:pPr>
        <w:pStyle w:val="1502"/>
        <w:ind w:firstLine="422"/>
        <w:spacing w:line="360" w:lineRule="auto"/>
        <w:rPr>
          <w:rFonts w:eastAsia="宋体" w:cs="宋体"/>
          <w:b/>
          <w:color w:val="000000" w:themeColor="text1"/>
          <w:sz w:val="21"/>
          <w14:textFill>
            <w14:solidFill>
              <w14:schemeClr w14:val="tx1"/>
            </w14:solidFill>
          </w14:textFill>
        </w:rPr>
      </w:pPr>
      <w:r>
        <w:rPr>
          <w:rFonts w:hint="eastAsia" w:eastAsia="宋体" w:cs="宋体"/>
          <w:b/>
          <w:color w:val="000000" w:themeColor="text1"/>
          <w:sz w:val="21"/>
          <w14:textFill>
            <w14:solidFill>
              <w14:schemeClr w14:val="tx1"/>
            </w14:solidFill>
          </w14:textFill>
        </w:rPr>
        <w:t xml:space="preserve">注：以上合同供参考，具体以双方协商一致后签订的合同为准。</w:t>
      </w:r>
      <w:r/>
    </w:p>
    <w:p>
      <w:pPr>
        <w:jc w:val="center"/>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第七章   投标文件格式</w:t>
      </w:r>
      <w:r/>
    </w:p>
    <w:p>
      <w:pPr>
        <w:ind w:firstLine="560"/>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ind w:firstLine="562"/>
        <w:rPr>
          <w:rFonts w:ascii="宋体" w:hAnsi="宋体" w:cs="宋体"/>
          <w:b/>
          <w:sz w:val="24"/>
        </w:rPr>
        <w:outlineLvl w:val="1"/>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firstLine="482"/>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ascii="宋体" w:hAnsi="宋体" w:cs="宋体"/>
          <w:b/>
          <w:spacing w:val="60"/>
          <w:sz w:val="52"/>
          <w:szCs w:val="52"/>
        </w:rPr>
      </w:pPr>
      <w:r>
        <w:rPr>
          <w:rFonts w:ascii="宋体" w:hAnsi="宋体" w:cs="宋体"/>
          <w:b/>
          <w:spacing w:val="60"/>
          <w:sz w:val="52"/>
          <w:szCs w:val="52"/>
        </w:rPr>
      </w:r>
      <w:r/>
    </w:p>
    <w:p>
      <w:pPr>
        <w:ind w:firstLine="963"/>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（加盖公章） </w:t>
      </w:r>
      <w:r/>
    </w:p>
    <w:p>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640"/>
        <w:jc w:val="center"/>
        <w:rPr>
          <w:rFonts w:ascii="宋体" w:hAnsi="宋体" w:cs="宋体"/>
          <w:b/>
          <w:sz w:val="32"/>
          <w:szCs w:val="32"/>
        </w:rPr>
      </w:pPr>
      <w:r>
        <w:rPr>
          <w:rFonts w:ascii="宋体" w:hAnsi="宋体" w:cs="宋体"/>
          <w:b/>
          <w:sz w:val="32"/>
          <w:szCs w:val="32"/>
        </w:rPr>
      </w:r>
      <w:r/>
    </w:p>
    <w:p>
      <w:pPr>
        <w:ind w:firstLine="723"/>
        <w:jc w:val="center"/>
        <w:rPr>
          <w:rFonts w:ascii="宋体" w:hAnsi="宋体" w:cs="宋体"/>
          <w:b/>
          <w:sz w:val="32"/>
          <w:szCs w:val="32"/>
        </w:rPr>
        <w:outlineLvl w:val="1"/>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ind w:firstLine="480"/>
        <w:rPr>
          <w:rFonts w:ascii="宋体" w:hAnsi="宋体" w:cs="宋体"/>
          <w:b/>
        </w:rPr>
      </w:pPr>
      <w:r>
        <w:rPr>
          <w:rFonts w:ascii="宋体" w:hAnsi="宋体" w:cs="宋体"/>
          <w:b/>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sz w:val="24"/>
        </w:rPr>
        <w:t xml:space="preserve">满足《中华人民共和国政府采购法》第二十二条规定及法律法规的其他规定</w:t>
      </w:r>
      <w:r/>
    </w:p>
    <w:p>
      <w:pPr>
        <w:ind w:firstLine="482"/>
        <w:rPr>
          <w:rFonts w:ascii="宋体" w:hAnsi="宋体" w:cs="宋体"/>
          <w:b/>
          <w:bCs/>
          <w:color w:val="000000"/>
        </w:rPr>
        <w:outlineLvl w:val="1"/>
      </w:pPr>
      <w:r>
        <w:rPr>
          <w:rFonts w:hint="eastAsia" w:ascii="宋体" w:hAnsi="宋体" w:cs="宋体"/>
          <w:b/>
          <w:color w:val="000000"/>
        </w:rPr>
        <w:t xml:space="preserve">1-1 投标人资格声明函（实质性格式）</w:t>
      </w:r>
      <w:r/>
    </w:p>
    <w:p>
      <w:pPr>
        <w:ind w:firstLine="562"/>
        <w:jc w:val="center"/>
        <w:spacing w:before="159" w:after="159"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083"/>
        <w:ind w:firstLine="482"/>
        <w:spacing w:line="360" w:lineRule="auto"/>
        <w:rPr>
          <w:rFonts w:hint="eastAsia" w:hAnsi="宋体" w:eastAsia="宋体" w:cs="宋体"/>
          <w:lang w:eastAsia="zh-CN"/>
        </w:rPr>
      </w:pPr>
      <w:r>
        <w:rPr>
          <w:rFonts w:hint="eastAsia" w:hAnsi="宋体" w:cs="宋体"/>
        </w:rPr>
        <w:t xml:space="preserve">致：</w:t>
      </w:r>
      <w:r>
        <w:rPr>
          <w:rFonts w:hint="eastAsia" w:hAnsi="宋体" w:cs="宋体"/>
          <w:lang w:eastAsia="zh-CN"/>
        </w:rPr>
        <w:t xml:space="preserve">江苏春为全过程工程咨询有限公司</w:t>
      </w:r>
      <w:r/>
    </w:p>
    <w:p>
      <w:pPr>
        <w:pStyle w:val="1083"/>
        <w:ind w:firstLine="960"/>
        <w:spacing w:line="360" w:lineRule="auto"/>
        <w:rPr>
          <w:rFonts w:hAnsi="宋体" w:cs="宋体"/>
          <w:u w:val="single"/>
        </w:rPr>
      </w:pPr>
      <w:r>
        <w:rPr>
          <w:rFonts w:hint="eastAsia" w:hAnsi="宋体" w:cs="宋体"/>
          <w:u w:val="single"/>
        </w:rPr>
        <w:t xml:space="preserve">（采购人名称）</w:t>
      </w:r>
      <w:r/>
    </w:p>
    <w:p>
      <w:pPr>
        <w:pStyle w:val="1083"/>
        <w:ind w:firstLine="482"/>
        <w:spacing w:line="360" w:lineRule="auto"/>
        <w:rPr>
          <w:rFonts w:hAnsi="宋体" w:cs="宋体"/>
        </w:rPr>
      </w:pPr>
      <w:r>
        <w:rPr>
          <w:rFonts w:hAnsi="宋体" w:cs="宋体"/>
        </w:rPr>
      </w:r>
      <w:r/>
    </w:p>
    <w:p>
      <w:pPr>
        <w:pStyle w:val="1083"/>
        <w:ind w:firstLine="482"/>
        <w:spacing w:line="360" w:lineRule="auto"/>
        <w:rPr>
          <w:rFonts w:hAnsi="宋体" w:cs="宋体"/>
        </w:rPr>
      </w:pPr>
      <w:r>
        <w:rPr>
          <w:rFonts w:hint="eastAsia" w:hAnsi="宋体" w:cs="宋体"/>
        </w:rPr>
        <w:t xml:space="preserve">按照《中华人民共和国政府采购法》第二十二条和招标文件的规定，我单位郑重声明如下：</w:t>
      </w:r>
      <w:r/>
    </w:p>
    <w:p>
      <w:pPr>
        <w:pStyle w:val="1083"/>
        <w:ind w:firstLine="482"/>
        <w:spacing w:line="360" w:lineRule="auto"/>
        <w:rPr>
          <w:rFonts w:hAnsi="宋体" w:cs="宋体"/>
          <w:highlight w:val="none"/>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highlight w:val="none"/>
        </w:rPr>
        <w:t xml:space="preserve">（如属于分公司参与项目，由总公司承担民事责任的，需</w:t>
      </w:r>
      <w:r>
        <w:rPr>
          <w:rFonts w:hint="eastAsia" w:hAnsi="宋体" w:cs="宋体"/>
          <w:b/>
          <w:highlight w:val="none"/>
          <w:lang w:val="en-US" w:eastAsia="zh-CN"/>
        </w:rPr>
        <w:t xml:space="preserve">中标后十个工作日内</w:t>
      </w:r>
      <w:r>
        <w:rPr>
          <w:rFonts w:hint="eastAsia" w:hAnsi="宋体" w:cs="宋体"/>
          <w:b/>
          <w:highlight w:val="none"/>
        </w:rPr>
        <w:t xml:space="preserve">提供总公司项目授权书）</w:t>
      </w:r>
      <w:r>
        <w:rPr>
          <w:rFonts w:hint="eastAsia" w:hAnsi="宋体" w:cs="宋体"/>
          <w:highlight w:val="none"/>
        </w:rPr>
        <w:t xml:space="preserve">。</w:t>
      </w:r>
      <w:r/>
    </w:p>
    <w:p>
      <w:pPr>
        <w:pStyle w:val="1083"/>
        <w:ind w:firstLine="482"/>
        <w:spacing w:line="360" w:lineRule="auto"/>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1083"/>
        <w:ind w:firstLine="482"/>
        <w:spacing w:line="360" w:lineRule="auto"/>
        <w:rPr>
          <w:rFonts w:hAnsi="宋体" w:cs="宋体"/>
        </w:rPr>
        <w:outlineLvl w:val="1"/>
      </w:pPr>
      <w:r>
        <w:rPr>
          <w:rFonts w:hint="eastAsia" w:hAnsi="宋体" w:cs="宋体"/>
        </w:rPr>
        <w:t xml:space="preserve">三、我单位依法进行纳税和社会保险申报并实际履行了义务。</w:t>
      </w:r>
      <w:r/>
    </w:p>
    <w:p>
      <w:pPr>
        <w:pStyle w:val="1083"/>
        <w:ind w:firstLine="482"/>
        <w:spacing w:line="360" w:lineRule="auto"/>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1083"/>
        <w:ind w:firstLine="482"/>
        <w:spacing w:line="360" w:lineRule="auto"/>
        <w:rPr>
          <w:rFonts w:hAnsi="宋体" w:cs="宋体"/>
        </w:rPr>
      </w:pPr>
      <w:r>
        <w:rPr>
          <w:rFonts w:hint="eastAsia" w:hAnsi="宋体" w:cs="宋体"/>
        </w:rPr>
        <w:t xml:space="preserve">主要设备有：</w:t>
      </w:r>
      <w:r>
        <w:rPr>
          <w:rFonts w:hint="eastAsia" w:hAnsi="宋体" w:cs="宋体"/>
          <w:u w:val="single"/>
        </w:rPr>
        <w:t xml:space="preserve">            </w:t>
      </w:r>
      <w:r/>
    </w:p>
    <w:p>
      <w:pPr>
        <w:pStyle w:val="1083"/>
        <w:ind w:firstLine="482"/>
        <w:spacing w:line="360" w:lineRule="auto"/>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1083"/>
        <w:ind w:firstLine="482"/>
        <w:spacing w:line="360" w:lineRule="auto"/>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83"/>
        <w:ind w:firstLine="482"/>
        <w:spacing w:line="360" w:lineRule="auto"/>
        <w:rPr>
          <w:rFonts w:hAnsi="宋体" w:cs="宋体"/>
        </w:rPr>
        <w:outlineLvl w:val="1"/>
      </w:pPr>
      <w:r>
        <w:rPr>
          <w:rFonts w:hint="eastAsia" w:hAnsi="宋体" w:cs="宋体"/>
        </w:rPr>
        <w:t xml:space="preserve">六、我单位具备法律、行政法规规定的其他条件。</w:t>
      </w:r>
      <w:r/>
    </w:p>
    <w:p>
      <w:pPr>
        <w:pStyle w:val="1083"/>
        <w:ind w:firstLine="482"/>
        <w:spacing w:line="360" w:lineRule="auto"/>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1083"/>
        <w:ind w:firstLine="482"/>
        <w:spacing w:line="360" w:lineRule="auto"/>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1083"/>
        <w:ind w:firstLine="482"/>
        <w:spacing w:line="360" w:lineRule="auto"/>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1083"/>
        <w:ind w:firstLine="482"/>
        <w:spacing w:line="360" w:lineRule="auto"/>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1083"/>
        <w:ind w:firstLine="482"/>
        <w:spacing w:line="360" w:lineRule="auto"/>
        <w:rPr>
          <w:rFonts w:hAnsi="宋体" w:cs="宋体"/>
        </w:rPr>
        <w:outlineLvl w:val="1"/>
      </w:pPr>
      <w:r>
        <w:rPr>
          <w:rFonts w:hint="eastAsia" w:hAnsi="宋体" w:cs="宋体"/>
          <w:lang w:val="en-US" w:eastAsia="zh-CN"/>
        </w:rPr>
        <w:t xml:space="preserve">八</w:t>
      </w:r>
      <w:r>
        <w:rPr>
          <w:rFonts w:hint="eastAsia" w:hAnsi="宋体" w:cs="宋体"/>
        </w:rPr>
        <w:t xml:space="preserve">、我单位无以下不良信用记录情形：</w:t>
      </w:r>
      <w:r/>
    </w:p>
    <w:p>
      <w:pPr>
        <w:pStyle w:val="1083"/>
        <w:ind w:firstLine="482"/>
        <w:spacing w:line="360" w:lineRule="auto"/>
        <w:rPr>
          <w:rFonts w:hAnsi="宋体" w:cs="宋体"/>
        </w:rPr>
      </w:pPr>
      <w:r>
        <w:rPr>
          <w:rFonts w:hint="eastAsia" w:hAnsi="宋体" w:cs="宋体"/>
        </w:rPr>
        <w:t xml:space="preserve">1、在“信用中国”网站被列入失信被执行人和重大税收违法案件当事人名单；</w:t>
      </w:r>
      <w:r/>
    </w:p>
    <w:p>
      <w:pPr>
        <w:pStyle w:val="1083"/>
        <w:ind w:firstLine="482"/>
        <w:spacing w:line="360" w:lineRule="auto"/>
        <w:rPr>
          <w:rFonts w:hAnsi="宋体" w:cs="宋体"/>
        </w:rPr>
      </w:pPr>
      <w:r>
        <w:rPr>
          <w:rFonts w:hint="eastAsia" w:hAnsi="宋体" w:cs="宋体"/>
        </w:rPr>
        <w:t xml:space="preserve">2、在“中国政府采购网”网站被列入政府采购严重违法失信行为记录名单；</w:t>
      </w:r>
      <w:r/>
    </w:p>
    <w:p>
      <w:pPr>
        <w:pStyle w:val="1083"/>
        <w:ind w:firstLine="482"/>
        <w:spacing w:line="360" w:lineRule="auto"/>
        <w:rPr>
          <w:rFonts w:hAnsi="宋体" w:cs="宋体"/>
        </w:rPr>
        <w:outlineLvl w:val="2"/>
      </w:pPr>
      <w:r>
        <w:rPr>
          <w:rFonts w:hint="eastAsia" w:hAnsi="宋体" w:cs="宋体"/>
        </w:rPr>
        <w:t xml:space="preserve">3、不符合《政府采购法》第二十二条规定的条件。</w:t>
      </w:r>
      <w:r/>
    </w:p>
    <w:p>
      <w:pPr>
        <w:pStyle w:val="1083"/>
        <w:ind w:firstLine="482"/>
        <w:spacing w:line="360" w:lineRule="auto"/>
        <w:rPr>
          <w:rFonts w:hAnsi="宋体" w:cs="宋体"/>
        </w:rPr>
      </w:pPr>
      <w:r>
        <w:rPr>
          <w:rFonts w:hAnsi="宋体" w:cs="宋体"/>
        </w:rPr>
      </w:r>
      <w:r/>
    </w:p>
    <w:p>
      <w:pPr>
        <w:pStyle w:val="1083"/>
        <w:ind w:firstLine="482"/>
        <w:spacing w:line="360" w:lineRule="auto"/>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1083"/>
        <w:ind w:firstLine="482"/>
        <w:spacing w:line="360" w:lineRule="auto"/>
        <w:rPr>
          <w:rFonts w:hAnsi="宋体" w:cs="宋体"/>
        </w:rPr>
      </w:pPr>
      <w:r>
        <w:rPr>
          <w:rFonts w:hAnsi="宋体" w:cs="宋体"/>
        </w:rPr>
      </w:r>
      <w:r/>
    </w:p>
    <w:p>
      <w:pPr>
        <w:pStyle w:val="1083"/>
        <w:ind w:firstLine="482"/>
        <w:spacing w:line="360" w:lineRule="auto"/>
        <w:rPr>
          <w:rFonts w:hAnsi="宋体" w:cs="宋体"/>
        </w:rPr>
      </w:pPr>
      <w:r>
        <w:rPr>
          <w:rFonts w:hAnsi="宋体" w:cs="宋体"/>
        </w:rPr>
      </w:r>
      <w:r/>
    </w:p>
    <w:p>
      <w:pPr>
        <w:pStyle w:val="1083"/>
        <w:ind w:firstLine="482"/>
        <w:spacing w:line="360" w:lineRule="auto"/>
        <w:rPr>
          <w:rFonts w:hAnsi="宋体" w:cs="宋体"/>
        </w:rPr>
      </w:pPr>
      <w:r>
        <w:rPr>
          <w:rFonts w:hint="eastAsia" w:hAnsi="宋体" w:cs="宋体"/>
        </w:rPr>
        <w:t xml:space="preserve">投标人：（加盖公章）</w:t>
      </w:r>
      <w:r/>
    </w:p>
    <w:p>
      <w:pPr>
        <w:pStyle w:val="1083"/>
        <w:ind w:firstLine="482"/>
        <w:spacing w:line="360" w:lineRule="auto"/>
        <w:rPr>
          <w:rFonts w:hAnsi="宋体" w:cs="宋体"/>
        </w:rPr>
      </w:pPr>
      <w:r>
        <w:rPr>
          <w:rFonts w:hint="eastAsia" w:hAnsi="宋体" w:cs="宋体"/>
        </w:rPr>
        <w:t xml:space="preserve">法定代表人（单位负责人）签字或盖章：</w:t>
      </w:r>
      <w:r/>
    </w:p>
    <w:p>
      <w:pPr>
        <w:pStyle w:val="1083"/>
        <w:ind w:firstLine="482"/>
        <w:spacing w:line="360" w:lineRule="auto"/>
        <w:rPr>
          <w:rFonts w:hAnsi="宋体" w:cs="宋体"/>
        </w:rPr>
      </w:pPr>
      <w:r>
        <w:rPr>
          <w:rFonts w:hint="eastAsia" w:hAnsi="宋体" w:cs="宋体"/>
        </w:rPr>
        <w:t xml:space="preserve">日期：    年    月    日</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pStyle w:val="1313"/>
        <w:spacing w:line="360" w:lineRule="auto"/>
        <w:rPr>
          <w:rFonts w:hAnsi="宋体" w:cs="仿宋"/>
          <w:b/>
          <w:color w:val="000000" w:themeColor="text1"/>
          <w:sz w:val="24"/>
          <w:highlight w:val="none"/>
          <w14:textFill>
            <w14:solidFill>
              <w14:schemeClr w14:val="tx1"/>
            </w14:solidFill>
          </w14:textFill>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br w:type="page" w:clear="all"/>
      </w:r>
      <w:r>
        <w:rPr>
          <w:rFonts w:hint="eastAsia" w:ascii="宋体" w:hAnsi="宋体" w:cs="宋体"/>
          <w:sz w:val="24"/>
        </w:rPr>
        <w:t xml:space="preserve">1-2 </w:t>
      </w:r>
      <w:r>
        <w:rPr>
          <w:rFonts w:hint="eastAsia" w:hAnsi="宋体" w:cs="仿宋"/>
          <w:b/>
          <w:color w:val="000000" w:themeColor="text1"/>
          <w:sz w:val="24"/>
          <w:highlight w:val="none"/>
          <w14:textFill>
            <w14:solidFill>
              <w14:schemeClr w14:val="tx1"/>
            </w14:solidFill>
          </w14:textFill>
        </w:rPr>
        <w:t xml:space="preserve">营业执照副本（事业单位法人证书）</w:t>
      </w:r>
      <w:r/>
    </w:p>
    <w:p>
      <w:pPr>
        <w:ind w:firstLine="482"/>
        <w:tabs>
          <w:tab w:val="left" w:pos="1080" w:leader="none"/>
        </w:tabs>
        <w:rPr>
          <w:rFonts w:ascii="宋体" w:hAnsi="宋体" w:cs="仿宋"/>
          <w:b/>
          <w:color w:val="000000" w:themeColor="text1"/>
          <w:sz w:val="24"/>
          <w:szCs w:val="20"/>
          <w:highlight w:val="none"/>
          <w14:textFill>
            <w14:solidFill>
              <w14:schemeClr w14:val="tx1"/>
            </w14:solidFill>
          </w14:textFill>
        </w:rPr>
      </w:pPr>
      <w:r>
        <w:rPr>
          <w:rFonts w:ascii="宋体" w:hAnsi="宋体" w:cs="仿宋"/>
          <w:b/>
          <w:color w:val="000000" w:themeColor="text1"/>
          <w:sz w:val="24"/>
          <w:szCs w:val="20"/>
          <w:highlight w:val="none"/>
          <w14:textFill>
            <w14:solidFill>
              <w14:schemeClr w14:val="tx1"/>
            </w14:solidFill>
          </w14:textFill>
        </w:rPr>
      </w:r>
      <w:r/>
    </w:p>
    <w:p>
      <w:pPr>
        <w:ind w:firstLine="480"/>
        <w:tabs>
          <w:tab w:val="left" w:pos="1080" w:leader="none"/>
        </w:tabs>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p>
      <w:pPr>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br w:type="page" w:clear="all"/>
      </w:r>
      <w:r/>
    </w:p>
    <w:p>
      <w:pPr>
        <w:spacing w:line="360" w:lineRule="auto"/>
        <w:rPr>
          <w:rFonts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t xml:space="preserve">2 落实政府采购政策需满足的资格要求（如有）</w:t>
      </w:r>
      <w:r/>
    </w:p>
    <w:p>
      <w:pPr>
        <w:spacing w:line="360" w:lineRule="auto"/>
        <w:rPr>
          <w:rFonts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t xml:space="preserve">2-中小企业声明函</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"http://202.106.120.146/baosong/appweb/orgScale.html" </w:instrText>
      </w:r>
      <w:r>
        <w:rPr>
          <w:color w:val="000000" w:themeColor="text1"/>
          <w:highlight w:val="none"/>
          <w14:textFill>
            <w14:solidFill>
              <w14:schemeClr w14:val="tx1"/>
            </w14:solidFill>
          </w14:textFill>
        </w:rPr>
        <w:fldChar w:fldCharType="separate"/>
      </w:r>
      <w:r>
        <w:rPr>
          <w:rStyle w:val="1501"/>
          <w:rFonts w:ascii="宋体" w:hAnsi="宋体"/>
          <w:color w:val="000000" w:themeColor="text1"/>
          <w:sz w:val="24"/>
          <w:highlight w:val="none"/>
          <w14:textFill>
            <w14:solidFill>
              <w14:schemeClr w14:val="tx1"/>
            </w14:solidFill>
          </w14:textFill>
        </w:rPr>
        <w:t xml:space="preserve">http://202.106.120.146/baosong/appweb/orgScale.html</w:t>
      </w:r>
      <w:r>
        <w:rPr>
          <w:rStyle w:val="1501"/>
          <w:rFonts w:ascii="宋体" w:hAnsi="宋体"/>
          <w:color w:val="000000" w:themeColor="text1"/>
          <w:sz w:val="24"/>
          <w:highlight w:val="none"/>
          <w14:textFill>
            <w14:solidFill>
              <w14:schemeClr w14:val="tx1"/>
            </w14:solidFill>
          </w14:textFill>
        </w:rPr>
        <w:fldChar w:fldCharType="end"/>
      </w:r>
      <w:r>
        <w:rPr>
          <w:rFonts w:hint="eastAsia" w:ascii="宋体" w:hAnsi="宋体"/>
          <w:color w:val="000000" w:themeColor="text1"/>
          <w:sz w:val="24"/>
          <w:highlight w:val="none"/>
          <w14:textFill>
            <w14:solidFill>
              <w14:schemeClr w14:val="tx1"/>
            </w14:solidFill>
          </w14:textFill>
        </w:rPr>
        <w:t xml:space="preserve">）</w:t>
      </w:r>
      <w:r/>
    </w:p>
    <w:p>
      <w:pPr>
        <w:jc w:val="left"/>
        <w:widowControl/>
        <w:rPr>
          <w:rFonts w:ascii="宋体" w:hAnsi="宋体"/>
          <w:b/>
          <w:bCs/>
          <w:color w:val="000000" w:themeColor="text1"/>
          <w:sz w:val="24"/>
          <w:highlight w:val="none"/>
          <w14:textFill>
            <w14:solidFill>
              <w14:schemeClr w14:val="tx1"/>
            </w14:solidFill>
          </w14:textFill>
        </w:rPr>
      </w:pPr>
      <w:r>
        <w:rPr>
          <w:rFonts w:ascii="Century Gothic" w:hAnsi="Century Gothic"/>
          <w:b/>
          <w:bCs/>
          <w:color w:val="000000" w:themeColor="text1"/>
          <w:sz w:val="24"/>
          <w:highlight w:val="none"/>
          <w14:textFill>
            <w14:solidFill>
              <w14:schemeClr w14:val="tx1"/>
            </w14:solidFill>
          </w14:textFill>
        </w:rPr>
        <w:br w:type="page" w:clear="all"/>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中小企业声明函（服务）格式</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本公司（联合体）郑重声明，根据《政府采购促进中小企业发展管理办法》（财库﹝2020﹞46 号）的规定，本公司（联合体）</w:t>
      </w:r>
      <w:r>
        <w:rPr>
          <w:rFonts w:ascii="宋体" w:hAnsi="宋体"/>
          <w:bCs/>
          <w:color w:val="000000" w:themeColor="text1"/>
          <w:sz w:val="24"/>
          <w:u w:val="single"/>
          <w14:textFill>
            <w14:solidFill>
              <w14:schemeClr w14:val="tx1"/>
            </w14:solidFill>
          </w14:textFill>
        </w:rPr>
        <w:t xml:space="preserve">（</w:t>
      </w:r>
      <w:r>
        <w:rPr>
          <w:rFonts w:ascii="宋体" w:hAnsi="宋体"/>
          <w:bCs/>
          <w:i/>
          <w:iCs/>
          <w:color w:val="000000" w:themeColor="text1"/>
          <w:sz w:val="24"/>
          <w:u w:val="single"/>
          <w14:textFill>
            <w14:solidFill>
              <w14:schemeClr w14:val="tx1"/>
            </w14:solidFill>
          </w14:textFill>
        </w:rPr>
        <w:t xml:space="preserve">单位名称</w:t>
      </w:r>
      <w:r>
        <w:rPr>
          <w:rFonts w:ascii="宋体" w:hAnsi="宋体"/>
          <w:bCs/>
          <w:color w:val="000000" w:themeColor="text1"/>
          <w:sz w:val="24"/>
          <w:u w:val="single"/>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参加的（</w:t>
      </w:r>
      <w:r>
        <w:rPr>
          <w:rFonts w:hint="eastAsia" w:ascii="宋体" w:hAnsi="宋体"/>
          <w:bCs/>
          <w:color w:val="000000" w:themeColor="text1"/>
          <w:sz w:val="24"/>
          <w:u w:val="single"/>
          <w:lang w:val="en-US" w:eastAsia="zh-CN"/>
          <w14:textFill>
            <w14:solidFill>
              <w14:schemeClr w14:val="tx1"/>
            </w14:solidFill>
          </w14:textFill>
        </w:rPr>
        <w:t xml:space="preserve">  </w:t>
      </w:r>
      <w:r>
        <w:rPr>
          <w:rFonts w:hint="eastAsia" w:ascii="宋体" w:hAnsi="宋体"/>
          <w:bCs/>
          <w:i/>
          <w:iCs/>
          <w:color w:val="000000" w:themeColor="text1"/>
          <w:sz w:val="24"/>
          <w:u w:val="single"/>
          <w:lang w:val="en-US" w:eastAsia="zh-CN"/>
          <w14:textFill>
            <w14:solidFill>
              <w14:schemeClr w14:val="tx1"/>
            </w14:solidFill>
          </w14:textFill>
        </w:rPr>
        <w:t xml:space="preserve">项目名称</w:t>
      </w:r>
      <w:r>
        <w:rPr>
          <w:rFonts w:hint="eastAsia" w:ascii="宋体" w:hAnsi="宋体"/>
          <w:bCs/>
          <w:color w:val="000000" w:themeColor="text1"/>
          <w:sz w:val="24"/>
          <w:u w:val="single"/>
          <w:lang w:val="en-US" w:eastAsia="zh-CN"/>
          <w14:textFill>
            <w14:solidFill>
              <w14:schemeClr w14:val="tx1"/>
            </w14:solidFill>
          </w14:textFill>
        </w:rPr>
        <w:t xml:space="preserve"> </w:t>
      </w:r>
      <w:r>
        <w:rPr>
          <w:rFonts w:ascii="宋体" w:hAnsi="宋体"/>
          <w:bCs/>
          <w:color w:val="000000" w:themeColor="text1"/>
          <w:sz w:val="24"/>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w:t>
      </w:r>
      <w:r>
        <w:rPr>
          <w:rFonts w:ascii="宋体" w:hAnsi="宋体"/>
          <w:bCs/>
          <w:i/>
          <w:iCs/>
          <w:color w:val="000000" w:themeColor="text1"/>
          <w:sz w:val="24"/>
          <w:u w:val="single"/>
          <w14:textFill>
            <w14:solidFill>
              <w14:schemeClr w14:val="tx1"/>
            </w14:solidFill>
          </w14:textFill>
        </w:rPr>
        <w:t xml:space="preserve">（标的名称）</w:t>
      </w:r>
      <w:r>
        <w:rPr>
          <w:rFonts w:ascii="宋体" w:hAnsi="宋体"/>
          <w:bCs/>
          <w:color w:val="000000" w:themeColor="text1"/>
          <w:sz w:val="24"/>
          <w14:textFill>
            <w14:solidFill>
              <w14:schemeClr w14:val="tx1"/>
            </w14:solidFill>
          </w14:textFill>
        </w:rPr>
        <w:t xml:space="preserve">，属于</w:t>
      </w:r>
      <w:r>
        <w:rPr>
          <w:rFonts w:ascii="宋体" w:hAnsi="宋体"/>
          <w:bCs/>
          <w:i/>
          <w:iCs/>
          <w:color w:val="000000" w:themeColor="text1"/>
          <w:sz w:val="24"/>
          <w:u w:val="single"/>
          <w14:textFill>
            <w14:solidFill>
              <w14:schemeClr w14:val="tx1"/>
            </w14:solidFill>
          </w14:textFill>
        </w:rPr>
        <w:t xml:space="preserve">（采购文件中明确的所属行业）</w:t>
      </w:r>
      <w:r>
        <w:rPr>
          <w:rFonts w:ascii="宋体" w:hAnsi="宋体"/>
          <w:bCs/>
          <w:color w:val="000000" w:themeColor="text1"/>
          <w:sz w:val="24"/>
          <w14:textFill>
            <w14:solidFill>
              <w14:schemeClr w14:val="tx1"/>
            </w14:solidFill>
          </w14:textFill>
        </w:rPr>
        <w:t xml:space="preserve">行业；承建（承接）企业为（企业名称），从业人员______人，营业收入为______万元，资产总额为______万元1，属于（中型企业、小型企业、微型企业）；</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ascii="宋体" w:hAnsi="宋体"/>
          <w:bCs/>
          <w:i/>
          <w:iCs/>
          <w:color w:val="000000" w:themeColor="text1"/>
          <w:sz w:val="24"/>
          <w:u w:val="single"/>
          <w14:textFill>
            <w14:solidFill>
              <w14:schemeClr w14:val="tx1"/>
            </w14:solidFill>
          </w14:textFill>
        </w:rPr>
        <w:t xml:space="preserve">（标的名称）</w:t>
      </w:r>
      <w:r>
        <w:rPr>
          <w:rFonts w:ascii="宋体" w:hAnsi="宋体"/>
          <w:bCs/>
          <w:color w:val="000000" w:themeColor="text1"/>
          <w:sz w:val="24"/>
          <w14:textFill>
            <w14:solidFill>
              <w14:schemeClr w14:val="tx1"/>
            </w14:solidFill>
          </w14:textFill>
        </w:rPr>
        <w:t xml:space="preserve">，属于</w:t>
      </w:r>
      <w:r>
        <w:rPr>
          <w:rFonts w:ascii="宋体" w:hAnsi="宋体"/>
          <w:bCs/>
          <w:i/>
          <w:iCs/>
          <w:color w:val="000000" w:themeColor="text1"/>
          <w:sz w:val="24"/>
          <w:u w:val="single"/>
          <w14:textFill>
            <w14:solidFill>
              <w14:schemeClr w14:val="tx1"/>
            </w14:solidFill>
          </w14:textFill>
        </w:rPr>
        <w:t xml:space="preserve">（采购文件中明确的所属行业）</w:t>
      </w:r>
      <w:r>
        <w:rPr>
          <w:rFonts w:ascii="宋体" w:hAnsi="宋体"/>
          <w:bCs/>
          <w:color w:val="000000" w:themeColor="text1"/>
          <w:sz w:val="24"/>
          <w14:textFill>
            <w14:solidFill>
              <w14:schemeClr w14:val="tx1"/>
            </w14:solidFill>
          </w14:textFill>
        </w:rPr>
        <w:t xml:space="preserve">行业；承建（承接）企业为（企业名称），从业人员______人，营业收入为______万元，资产总额为______万元，属于（中型企业、小型企业、微型企业）；</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本企业对上述声明内容的真实性负责。如有虚假，将依法承担相应责任。</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企业名称</w:t>
      </w:r>
      <w:r>
        <w:rPr>
          <w:rFonts w:hint="eastAsia" w:ascii="宋体" w:hAnsi="宋体"/>
          <w:bCs/>
          <w:color w:val="000000" w:themeColor="text1"/>
          <w:sz w:val="24"/>
          <w14:textFill>
            <w14:solidFill>
              <w14:schemeClr w14:val="tx1"/>
            </w14:solidFill>
          </w14:textFill>
        </w:rPr>
        <w:t xml:space="preserve">（加盖CA电子公章）</w:t>
      </w:r>
      <w:r>
        <w:rPr>
          <w:rFonts w:ascii="宋体" w:hAnsi="宋体"/>
          <w:bCs/>
          <w:color w:val="000000" w:themeColor="text1"/>
          <w:sz w:val="24"/>
          <w14:textFill>
            <w14:solidFill>
              <w14:schemeClr w14:val="tx1"/>
            </w14:solidFill>
          </w14:textFill>
        </w:rPr>
        <w:t xml:space="preserve">：________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日 期：________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bl>
      <w:tblPr>
        <w:tblStyle w:val="108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1从业人员、营业收入、资产总额填报上一年度数据，无上一年度数据的新成立企业可不填报。</w:t>
            </w:r>
            <w:r/>
          </w:p>
        </w:tc>
      </w:tr>
    </w:tbl>
    <w:p>
      <w:pPr>
        <w:ind w:firstLine="504"/>
        <w:spacing w:line="360" w:lineRule="auto"/>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504"/>
        <w:spacing w:line="360" w:lineRule="auto"/>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企业名称（加盖公章）：________</w:t>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 期：________</w:t>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240" w:after="240" w:line="360" w:lineRule="auto"/>
        <w:rPr>
          <w:rFonts w:ascii="宋体" w:hAnsi="宋体"/>
          <w:color w:val="000000" w:themeColor="text1"/>
          <w:sz w:val="36"/>
          <w:szCs w:val="36"/>
          <w:highlight w:val="none"/>
          <w14:textFill>
            <w14:solidFill>
              <w14:schemeClr w14:val="tx1"/>
            </w14:solidFill>
          </w14:textFill>
        </w:rPr>
      </w:pPr>
      <w:r>
        <w:rPr>
          <w:rFonts w:ascii="宋体" w:hAnsi="宋体"/>
          <w:b/>
          <w:bCs/>
          <w:color w:val="000000" w:themeColor="text1"/>
          <w:sz w:val="36"/>
          <w:szCs w:val="36"/>
          <w:highlight w:val="none"/>
          <w14:textFill>
            <w14:solidFill>
              <w14:schemeClr w14:val="tx1"/>
            </w14:solidFill>
          </w14:textFill>
        </w:rPr>
        <w:t xml:space="preserve">残疾人福利性单位声明函格式</w:t>
      </w:r>
      <w:r>
        <w:rPr>
          <w:rFonts w:ascii="宋体" w:hAnsi="宋体"/>
          <w:color w:val="000000" w:themeColor="text1"/>
          <w:sz w:val="36"/>
          <w:szCs w:val="36"/>
          <w:highlight w:val="none"/>
          <w14:textFill>
            <w14:solidFill>
              <w14:schemeClr w14:val="tx1"/>
            </w14:solidFill>
          </w14:textFill>
        </w:rPr>
        <w:t xml:space="preserve"> </w:t>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〔2017〕141</w:t>
      </w:r>
      <w:r>
        <w:rPr>
          <w:rFonts w:ascii="宋体" w:hAnsi="宋体"/>
          <w:color w:val="000000" w:themeColor="text1"/>
          <w:spacing w:val="6"/>
          <w:sz w:val="24"/>
          <w:highlight w:val="none"/>
          <w14:textFill>
            <w14:solidFill>
              <w14:schemeClr w14:val="tx1"/>
            </w14:solidFill>
          </w14:textFill>
        </w:rPr>
        <w:t xml:space="preserve">号）的规定，本单位</w:t>
      </w:r>
      <w:r>
        <w:rPr>
          <w:rFonts w:ascii="宋体" w:hAnsi="宋体"/>
          <w:b/>
          <w:color w:val="000000" w:themeColor="text1"/>
          <w:sz w:val="24"/>
          <w:highlight w:val="none"/>
          <w14:textFill>
            <w14:solidFill>
              <w14:schemeClr w14:val="tx1"/>
            </w14:solidFill>
          </w14:textFill>
        </w:rPr>
        <w:t xml:space="preserve">（请进行勾选）</w:t>
      </w:r>
      <w:r>
        <w:rPr>
          <w:rFonts w:ascii="宋体" w:hAnsi="宋体"/>
          <w:color w:val="000000" w:themeColor="text1"/>
          <w:spacing w:val="6"/>
          <w:sz w:val="24"/>
          <w:highlight w:val="none"/>
          <w14:textFill>
            <w14:solidFill>
              <w14:schemeClr w14:val="tx1"/>
            </w14:solidFill>
          </w14:textFill>
        </w:rPr>
        <w:t xml:space="preserve">：</w:t>
      </w:r>
      <w:r/>
    </w:p>
    <w:p>
      <w:pPr>
        <w:ind w:firstLine="482"/>
        <w:spacing w:line="588" w:lineRule="exact"/>
        <w:rPr>
          <w:rFonts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属于符合条件的残疾人福利性单位，</w:t>
      </w:r>
      <w:r>
        <w:rPr>
          <w:rFonts w:ascii="宋体" w:hAnsi="宋体"/>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单位名称（加盖公章）：</w:t>
      </w:r>
      <w:r/>
    </w:p>
    <w:p>
      <w:pPr>
        <w:ind w:right="1560" w:firstLine="504"/>
        <w:jc w:val="center"/>
        <w:spacing w:line="588" w:lineRule="exact"/>
        <w:tabs>
          <w:tab w:val="left" w:pos="4860" w:leader="none"/>
        </w:tabs>
        <w:rPr>
          <w:rFonts w:ascii="宋体" w:hAnsi="宋体"/>
          <w:b/>
          <w:color w:val="000000" w:themeColor="text1"/>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日  期：</w:t>
      </w:r>
      <w:r/>
    </w:p>
    <w:p>
      <w:pPr>
        <w:rPr>
          <w:rFonts w:hint="eastAsia"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br w:type="page" w:clear="all"/>
      </w:r>
      <w:r/>
    </w:p>
    <w:p>
      <w:pPr>
        <w:spacing w:line="360" w:lineRule="auto"/>
        <w:rPr>
          <w:i/>
          <w:iCs/>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3</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本项目的特定资格要求</w:t>
      </w:r>
      <w:r/>
    </w:p>
    <w:p>
      <w:pPr>
        <w:spacing w:line="360" w:lineRule="auto"/>
        <w:rPr>
          <w:rFonts w:ascii="宋体" w:hAnsi="宋体" w:cs="宋体"/>
          <w:sz w:val="24"/>
        </w:rPr>
      </w:pPr>
      <w:r>
        <w:rPr>
          <w:rFonts w:hint="eastAsia" w:ascii="Times New Roman" w:hAnsi="Times New Roman" w:eastAsia="宋体" w:cs="Times New Roman"/>
          <w:sz w:val="24"/>
          <w:highlight w:val="none"/>
          <w:lang w:val="en-US" w:eastAsia="zh-CN"/>
        </w:rPr>
        <w:t xml:space="preserve">3</w:t>
      </w: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t xml:space="preserve"> 其他特定资格条件</w:t>
      </w:r>
      <w:r/>
    </w:p>
    <w:p>
      <w:pPr>
        <w:ind w:firstLine="482"/>
        <w:spacing w:line="360" w:lineRule="auto"/>
        <w:rPr>
          <w:rFonts w:ascii="宋体" w:hAnsi="宋体" w:cs="宋体"/>
          <w:sz w:val="24"/>
        </w:rPr>
      </w:pPr>
      <w:r>
        <w:rPr>
          <w:rFonts w:hint="eastAsia" w:ascii="宋体" w:hAnsi="宋体" w:cs="宋体"/>
          <w:color w:val="000000"/>
        </w:rPr>
        <w:br w:type="page" w:clear="all"/>
      </w:r>
      <w:r/>
    </w:p>
    <w:p>
      <w:pPr>
        <w:ind w:firstLine="482"/>
        <w:jc w:val="center"/>
        <w:widowControl/>
        <w:rPr>
          <w:rFonts w:ascii="宋体" w:hAnsi="宋体" w:cs="宋体"/>
          <w:b/>
          <w:sz w:val="32"/>
          <w:szCs w:val="32"/>
        </w:rPr>
        <w:outlineLvl w:val="1"/>
      </w:pPr>
      <w:r>
        <w:rPr>
          <w:rFonts w:hint="eastAsia" w:ascii="宋体" w:hAnsi="宋体" w:cs="宋体"/>
          <w:b/>
          <w:sz w:val="32"/>
          <w:szCs w:val="32"/>
        </w:rPr>
        <w:t xml:space="preserve">二、商务技术文件格式</w:t>
      </w:r>
      <w:bookmarkStart w:id="781" w:name="_Ref467988698"/>
      <w:r/>
      <w:bookmarkStart w:id="782" w:name="_Toc226965746"/>
      <w:r/>
      <w:bookmarkStart w:id="783" w:name="_Toc142311058"/>
      <w:r/>
      <w:bookmarkStart w:id="784" w:name="_Toc195842921"/>
      <w:r/>
      <w:bookmarkStart w:id="785" w:name="_Toc127151556"/>
      <w:r/>
      <w:bookmarkStart w:id="786" w:name="_Toc226337252"/>
      <w:r/>
      <w:bookmarkStart w:id="787" w:name="_Toc150774761"/>
      <w:r/>
      <w:bookmarkStart w:id="788" w:name="_Toc480942349"/>
      <w:r/>
      <w:bookmarkStart w:id="789" w:name="_Toc226309800"/>
      <w:r/>
      <w:bookmarkStart w:id="790" w:name="_Toc520356217"/>
      <w:r/>
      <w:bookmarkStart w:id="791" w:name="_Toc150480794"/>
      <w:r/>
      <w:bookmarkStart w:id="792" w:name="_Toc226965829"/>
      <w:r/>
      <w:r/>
    </w:p>
    <w:p>
      <w:pPr>
        <w:ind w:firstLine="640"/>
        <w:jc w:val="center"/>
        <w:widowControl/>
        <w:rPr>
          <w:rFonts w:ascii="宋体" w:hAnsi="宋体" w:cs="宋体"/>
          <w:b/>
          <w:sz w:val="32"/>
          <w:szCs w:val="32"/>
        </w:rPr>
      </w:pPr>
      <w:r>
        <w:rPr>
          <w:rFonts w:ascii="宋体" w:hAnsi="宋体" w:cs="宋体"/>
          <w:b/>
          <w:sz w:val="32"/>
          <w:szCs w:val="32"/>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投标函</w:t>
      </w:r>
      <w:r/>
    </w:p>
    <w:p>
      <w:pPr>
        <w:ind w:firstLine="482"/>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ind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我方参加你方就___________（项目名称、项目编号）组织的招标活动，并对此项目进行投标。</w:t>
      </w:r>
      <w:r/>
    </w:p>
    <w:p>
      <w:pPr>
        <w:ind w:firstLine="482"/>
        <w:spacing w:line="360" w:lineRule="auto"/>
        <w:tabs>
          <w:tab w:val="left" w:pos="5580" w:leader="none"/>
        </w:tabs>
        <w:rPr>
          <w:rFonts w:ascii="宋体" w:hAnsi="宋体" w:cs="宋体"/>
          <w:color w:val="000000"/>
          <w:sz w:val="24"/>
          <w:szCs w:val="20"/>
        </w:rPr>
        <w:outlineLvl w:val="2"/>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color w:val="000000"/>
          <w:sz w:val="24"/>
          <w:szCs w:val="20"/>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rPr>
        <w:outlineLvl w:val="2"/>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传真____________________________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jc w:val="left"/>
        <w:widowControl/>
        <w:rPr>
          <w:rFonts w:ascii="宋体" w:hAnsi="宋体" w:cs="宋体"/>
          <w:color w:val="000000"/>
          <w:sz w:val="24"/>
        </w:rPr>
        <w:outlineLvl w:val="2"/>
      </w:pPr>
      <w:r/>
      <w:bookmarkStart w:id="793" w:name="_Hlt520356243"/>
      <w:r/>
      <w:bookmarkEnd w:id="793"/>
      <w:r/>
      <w:bookmarkStart w:id="794" w:name="_Hlt520355938"/>
      <w:r/>
      <w:bookmarkEnd w:id="794"/>
      <w:r>
        <w:rPr>
          <w:rFonts w:hint="eastAsia" w:ascii="宋体" w:hAnsi="宋体" w:cs="宋体"/>
          <w:color w:val="000000"/>
          <w:sz w:val="24"/>
        </w:rPr>
        <w:br w:type="page" w:clear="all"/>
      </w:r>
      <w:r>
        <w:rPr>
          <w:rFonts w:hint="eastAsia" w:ascii="宋体" w:hAnsi="宋体" w:cs="宋体"/>
          <w:color w:val="000000"/>
          <w:sz w:val="24"/>
        </w:rPr>
        <w:t xml:space="preserve">2</w:t>
      </w:r>
      <w:r>
        <w:rPr>
          <w:rFonts w:hint="eastAsia" w:ascii="宋体" w:hAnsi="宋体" w:cs="宋体"/>
          <w:b w:val="0"/>
          <w:bCs w:val="0"/>
          <w:color w:val="000000"/>
          <w:sz w:val="24"/>
        </w:rPr>
        <w:t xml:space="preserve">  </w:t>
      </w:r>
      <w:r>
        <w:rPr>
          <w:rFonts w:hint="eastAsia" w:ascii="宋体" w:hAnsi="宋体" w:cs="仿宋"/>
          <w:b w:val="0"/>
          <w:bCs w:val="0"/>
          <w:color w:val="000000" w:themeColor="text1"/>
          <w:sz w:val="24"/>
          <w:highlight w:val="none"/>
          <w14:textFill>
            <w14:solidFill>
              <w14:schemeClr w14:val="tx1"/>
            </w14:solidFill>
          </w14:textFill>
        </w:rPr>
        <w:t xml:space="preserve">法定代表人资格证明书/授权委托书</w:t>
      </w:r>
      <w:r>
        <w:rPr>
          <w:rFonts w:hint="eastAsia" w:ascii="宋体" w:hAnsi="宋体" w:cs="仿宋"/>
          <w:b w:val="0"/>
          <w:bCs w:val="0"/>
          <w:color w:val="000000" w:themeColor="text1"/>
          <w:sz w:val="24"/>
          <w:szCs w:val="20"/>
          <w:highlight w:val="none"/>
          <w14:textFill>
            <w14:solidFill>
              <w14:schemeClr w14:val="tx1"/>
            </w14:solidFill>
          </w14:textFill>
        </w:rPr>
        <w:t xml:space="preserve">（实质性格式）</w:t>
      </w:r>
      <w:r/>
    </w:p>
    <w:p>
      <w:pPr>
        <w:jc w:val="center"/>
        <w:spacing w:line="360" w:lineRule="auto"/>
        <w:rPr>
          <w:rFonts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t xml:space="preserve">法定代表人资格证明书</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单位名称:</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姓名: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性别: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年龄: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职务:</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系</w:t>
      </w:r>
      <w:r>
        <w:rPr>
          <w:rFonts w:hint="eastAsia" w:ascii="宋体" w:hAnsi="宋体" w:cs="仿宋"/>
          <w:color w:val="000000" w:themeColor="text1"/>
          <w:sz w:val="24"/>
          <w:highlight w:val="none"/>
          <w:u w:val="single"/>
          <w14:textFill>
            <w14:solidFill>
              <w14:schemeClr w14:val="tx1"/>
            </w14:solidFill>
          </w14:textFill>
        </w:rPr>
        <w:t xml:space="preserve">（投标单位名称）</w:t>
      </w:r>
      <w:r>
        <w:rPr>
          <w:rFonts w:hint="eastAsia" w:ascii="宋体" w:hAnsi="宋体" w:cs="仿宋"/>
          <w:color w:val="000000" w:themeColor="text1"/>
          <w:sz w:val="24"/>
          <w:highlight w:val="none"/>
          <w14:textFill>
            <w14:solidFill>
              <w14:schemeClr w14:val="tx1"/>
            </w14:solidFill>
          </w14:textFill>
        </w:rPr>
        <w:t xml:space="preserve">的法定代表人</w:t>
      </w:r>
      <w:r>
        <w:rPr>
          <w:rFonts w:hint="eastAsia" w:ascii="宋体" w:hAnsi="宋体" w:cs="宋体"/>
          <w:color w:val="000000"/>
          <w:sz w:val="24"/>
          <w:szCs w:val="20"/>
        </w:rPr>
        <w:t xml:space="preserve">（单位负责人）</w:t>
      </w:r>
      <w:r>
        <w:rPr>
          <w:rFonts w:hint="eastAsia" w:ascii="宋体" w:hAnsi="宋体" w:cs="仿宋"/>
          <w:color w:val="000000" w:themeColor="text1"/>
          <w:sz w:val="24"/>
          <w:highlight w:val="none"/>
          <w14:textFill>
            <w14:solidFill>
              <w14:schemeClr w14:val="tx1"/>
            </w14:solidFill>
          </w14:textFill>
        </w:rPr>
        <w:t xml:space="preserve">。为参与</w:t>
      </w:r>
      <w:r>
        <w:rPr>
          <w:rFonts w:hint="eastAsia" w:ascii="宋体" w:hAnsi="宋体" w:cs="仿宋"/>
          <w:color w:val="000000" w:themeColor="text1"/>
          <w:sz w:val="24"/>
          <w:highlight w:val="none"/>
          <w:u w:val="single"/>
          <w14:textFill>
            <w14:solidFill>
              <w14:schemeClr w14:val="tx1"/>
            </w14:solidFill>
          </w14:textFill>
        </w:rPr>
        <w:t xml:space="preserve">（项目名称、项目编号）</w:t>
      </w:r>
      <w:r>
        <w:rPr>
          <w:rFonts w:hint="eastAsia" w:ascii="宋体" w:hAnsi="宋体" w:cs="仿宋"/>
          <w:color w:val="000000" w:themeColor="text1"/>
          <w:sz w:val="24"/>
          <w:highlight w:val="none"/>
          <w14:textFill>
            <w14:solidFill>
              <w14:schemeClr w14:val="tx1"/>
            </w14:solidFill>
          </w14:textFill>
        </w:rPr>
        <w:t xml:space="preserve">的政府采购活动，</w:t>
      </w:r>
      <w:r>
        <w:rPr>
          <w:rFonts w:hint="eastAsia" w:ascii="宋体" w:hAnsi="宋体" w:cs="仿宋"/>
          <w:color w:val="000000" w:themeColor="text1"/>
          <w:sz w:val="24"/>
          <w:szCs w:val="20"/>
          <w:highlight w:val="none"/>
          <w14:textFill>
            <w14:solidFill>
              <w14:schemeClr w14:val="tx1"/>
            </w14:solidFill>
          </w14:textFill>
        </w:rPr>
        <w:t xml:space="preserve">签署、澄清确认、递交、撤回、修改</w:t>
      </w:r>
      <w:r>
        <w:rPr>
          <w:rFonts w:hint="eastAsia" w:ascii="宋体" w:hAnsi="宋体" w:cs="仿宋"/>
          <w:color w:val="000000" w:themeColor="text1"/>
          <w:sz w:val="24"/>
          <w:highlight w:val="none"/>
          <w14:textFill>
            <w14:solidFill>
              <w14:schemeClr w14:val="tx1"/>
            </w14:solidFill>
          </w14:textFill>
        </w:rPr>
        <w:t xml:space="preserve">上述项目的投标文件、进行合同谈判、签署合同和处理与之有关的一切事务。</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特此证明。</w:t>
      </w:r>
      <w:r/>
    </w:p>
    <w:p>
      <w:pPr>
        <w:spacing w:line="560" w:lineRule="exact"/>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p>
      <w:pPr>
        <w:pStyle w:val="1497"/>
        <w:ind w:right="-46"/>
        <w:spacing w:line="583" w:lineRule="auto"/>
        <w:rPr>
          <w:rFonts w:cs="仿宋"/>
          <w:color w:val="000000" w:themeColor="text1"/>
          <w:spacing w:val="-3"/>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附：</w:t>
      </w:r>
      <w:r>
        <w:rPr>
          <w:rFonts w:hint="eastAsia" w:cs="仿宋"/>
          <w:color w:val="000000" w:themeColor="text1"/>
          <w:spacing w:val="-3"/>
          <w:highlight w:val="none"/>
          <w14:textFill>
            <w14:solidFill>
              <w14:schemeClr w14:val="tx1"/>
            </w14:solidFill>
          </w14:textFill>
        </w:rPr>
        <w:t xml:space="preserve">法</w:t>
      </w:r>
      <w:r>
        <w:rPr>
          <w:rFonts w:hint="eastAsia" w:cs="仿宋"/>
          <w:color w:val="000000" w:themeColor="text1"/>
          <w:highlight w:val="none"/>
          <w14:textFill>
            <w14:solidFill>
              <w14:schemeClr w14:val="tx1"/>
            </w14:solidFill>
          </w14:textFill>
        </w:rPr>
        <w:t xml:space="preserve">定</w:t>
      </w:r>
      <w:r>
        <w:rPr>
          <w:rFonts w:hint="eastAsia" w:cs="仿宋"/>
          <w:color w:val="000000" w:themeColor="text1"/>
          <w:spacing w:val="-3"/>
          <w:highlight w:val="none"/>
          <w14:textFill>
            <w14:solidFill>
              <w14:schemeClr w14:val="tx1"/>
            </w14:solidFill>
          </w14:textFill>
        </w:rPr>
        <w:t xml:space="preserve">代</w:t>
      </w:r>
      <w:r>
        <w:rPr>
          <w:rFonts w:hint="eastAsia" w:cs="仿宋"/>
          <w:color w:val="000000" w:themeColor="text1"/>
          <w:highlight w:val="none"/>
          <w14:textFill>
            <w14:solidFill>
              <w14:schemeClr w14:val="tx1"/>
            </w14:solidFill>
          </w14:textFill>
        </w:rPr>
        <w:t xml:space="preserve">表</w:t>
      </w:r>
      <w:r>
        <w:rPr>
          <w:rFonts w:hint="eastAsia" w:cs="仿宋"/>
          <w:color w:val="000000" w:themeColor="text1"/>
          <w:spacing w:val="-3"/>
          <w:highlight w:val="none"/>
          <w14:textFill>
            <w14:solidFill>
              <w14:schemeClr w14:val="tx1"/>
            </w14:solidFill>
          </w14:textFill>
        </w:rPr>
        <w:t xml:space="preserve">人</w:t>
      </w:r>
      <w:r>
        <w:rPr>
          <w:rFonts w:hint="eastAsia" w:ascii="宋体" w:hAnsi="宋体" w:cs="宋体"/>
          <w:color w:val="000000"/>
          <w:sz w:val="24"/>
          <w:szCs w:val="20"/>
        </w:rPr>
        <w:t xml:space="preserve">（单位负责人）</w:t>
      </w:r>
      <w:r>
        <w:rPr>
          <w:rFonts w:hint="eastAsia" w:cs="仿宋"/>
          <w:color w:val="000000" w:themeColor="text1"/>
          <w:spacing w:val="-3"/>
          <w:highlight w:val="none"/>
          <w14:textFill>
            <w14:solidFill>
              <w14:schemeClr w14:val="tx1"/>
            </w14:solidFill>
          </w14:textFill>
        </w:rPr>
        <w:t xml:space="preserve">有效期内的身份证正反面。</w:t>
      </w:r>
      <w:r/>
    </w:p>
    <w:tbl>
      <w:tblPr>
        <w:tblStyle w:val="108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tc>
      </w:tr>
    </w:tbl>
    <w:p>
      <w:pPr>
        <w:spacing w:line="560" w:lineRule="exact"/>
        <w:rPr>
          <w:rFonts w:ascii="宋体" w:hAnsi="宋体" w:cs="仿宋"/>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      </w:t>
      </w:r>
      <w:bookmarkStart w:id="795" w:name="_Hlk107701949"/>
      <w:r>
        <w:rPr>
          <w:rFonts w:hint="eastAsia" w:ascii="宋体" w:hAnsi="宋体" w:cs="仿宋"/>
          <w:color w:val="000000" w:themeColor="text1"/>
          <w:sz w:val="24"/>
          <w:highlight w:val="none"/>
          <w14:textFill>
            <w14:solidFill>
              <w14:schemeClr w14:val="tx1"/>
            </w14:solidFill>
          </w14:textFill>
        </w:rPr>
        <w:t xml:space="preserve">投标人名称：（加盖公章）</w:t>
      </w:r>
      <w:r/>
    </w:p>
    <w:p>
      <w:pPr>
        <w:spacing w:line="560" w:lineRule="exact"/>
        <w:rPr>
          <w:rFonts w:ascii="宋体" w:hAnsi="宋体" w:cs="仿宋"/>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法定代表人</w:t>
      </w:r>
      <w:r>
        <w:rPr>
          <w:rFonts w:hint="eastAsia" w:ascii="宋体" w:hAnsi="宋体" w:cs="宋体"/>
          <w:color w:val="000000"/>
          <w:sz w:val="24"/>
          <w:szCs w:val="20"/>
        </w:rPr>
        <w:t xml:space="preserve">（单位负责人）</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s="仿宋"/>
          <w:color w:val="000000" w:themeColor="text1"/>
          <w:sz w:val="24"/>
          <w:highlight w:val="none"/>
          <w14:textFill>
            <w14:solidFill>
              <w14:schemeClr w14:val="tx1"/>
            </w14:solidFill>
          </w14:textFill>
        </w:rPr>
        <w:t xml:space="preserve">：</w:t>
      </w:r>
      <w:r/>
    </w:p>
    <w:p>
      <w:pPr>
        <w:ind w:firstLine="4320"/>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日期：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月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日</w:t>
      </w:r>
      <w:bookmarkEnd w:id="795"/>
      <w:r/>
      <w:r/>
    </w:p>
    <w:p>
      <w:pPr>
        <w:jc w:val="left"/>
        <w:widowControl/>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p>
      <w:pPr>
        <w:jc w:val="left"/>
        <w:widowControl/>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p>
      <w:pPr>
        <w:jc w:val="left"/>
        <w:widowControl/>
        <w:rPr>
          <w:rFonts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8"/>
          <w:szCs w:val="28"/>
          <w:highlight w:val="none"/>
          <w14:textFill>
            <w14:solidFill>
              <w14:schemeClr w14:val="tx1"/>
            </w14:solidFill>
          </w14:textFill>
        </w:rPr>
        <w:br w:type="page" w:clear="all"/>
      </w:r>
      <w:r/>
    </w:p>
    <w:p>
      <w:pPr>
        <w:ind w:firstLine="562"/>
        <w:jc w:val="center"/>
        <w:spacing w:before="240" w:after="240" w:line="360" w:lineRule="auto"/>
        <w:rPr>
          <w:rFonts w:ascii="宋体" w:hAnsi="宋体" w:cs="仿宋"/>
          <w:b/>
          <w:bCs/>
          <w:color w:val="000000" w:themeColor="text1"/>
          <w:sz w:val="28"/>
          <w:szCs w:val="28"/>
          <w:highlight w:val="none"/>
          <w14:textFill>
            <w14:solidFill>
              <w14:schemeClr w14:val="tx1"/>
            </w14:solidFill>
          </w14:textFill>
        </w:rPr>
      </w:pPr>
      <w:r>
        <w:rPr>
          <w:rFonts w:hint="eastAsia" w:ascii="宋体" w:hAnsi="宋体" w:cs="仿宋"/>
          <w:b/>
          <w:bCs/>
          <w:color w:val="000000" w:themeColor="text1"/>
          <w:sz w:val="28"/>
          <w:szCs w:val="28"/>
          <w:highlight w:val="none"/>
          <w14:textFill>
            <w14:solidFill>
              <w14:schemeClr w14:val="tx1"/>
            </w14:solidFill>
          </w14:textFill>
        </w:rPr>
        <w:t xml:space="preserve">授权委托书</w:t>
      </w:r>
      <w:r/>
    </w:p>
    <w:p>
      <w:pPr>
        <w:ind w:firstLine="51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本授权委托书声明：我 ___________(姓名)（身份证号码：________________）系_________________（投标人名称）的法定代表人</w:t>
      </w:r>
      <w:r>
        <w:rPr>
          <w:rFonts w:hint="eastAsia" w:ascii="宋体" w:hAnsi="宋体" w:cs="宋体"/>
          <w:color w:val="000000"/>
          <w:sz w:val="24"/>
          <w:szCs w:val="20"/>
        </w:rPr>
        <w:t xml:space="preserve">（单位负责人）</w:t>
      </w:r>
      <w:r>
        <w:rPr>
          <w:rFonts w:hint="eastAsia" w:ascii="宋体" w:hAnsi="宋体" w:cs="宋体"/>
          <w:color w:val="000000" w:themeColor="text1"/>
          <w:sz w:val="24"/>
          <w:highlight w:val="none"/>
          <w14:textFill>
            <w14:solidFill>
              <w14:schemeClr w14:val="tx1"/>
            </w14:solidFill>
          </w14:textFill>
        </w:rPr>
        <w:t xml:space="preserve">，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本授权书于__________年_______月________日签字或盖章生效，特此声明。</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投标人公章： </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rPr>
          <w:rFonts w:hint="eastAsia" w:ascii="宋体" w:hAnsi="宋体" w:cs="宋体"/>
          <w:color w:val="000000"/>
          <w:sz w:val="24"/>
          <w:szCs w:val="20"/>
        </w:rPr>
        <w:t xml:space="preserve">（单位负责人）</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联系电话：</w:t>
      </w:r>
      <w:r/>
    </w:p>
    <w:p>
      <w:pPr>
        <w:pStyle w:val="1274"/>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88"/>
        <w:ind w:right="-46"/>
        <w:jc w:val="both"/>
        <w:spacing w:line="583" w:lineRule="auto"/>
        <w:rPr>
          <w:b/>
          <w:bCs/>
          <w:color w:val="000000" w:themeColor="text1"/>
          <w:spacing w:val="-3"/>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委托代理人</w:t>
      </w:r>
      <w:r>
        <w:rPr>
          <w:rFonts w:ascii="宋体" w:hAnsi="宋体" w:eastAsia="宋体" w:cs="宋体"/>
          <w:color w:val="000000" w:themeColor="text1"/>
          <w:sz w:val="24"/>
          <w:szCs w:val="24"/>
          <w:highlight w:val="none"/>
          <w14:textFill>
            <w14:solidFill>
              <w14:schemeClr w14:val="tx1"/>
            </w14:solidFill>
          </w14:textFill>
        </w:rPr>
        <w:t xml:space="preserve">有效期内的身</w:t>
      </w:r>
      <w:r>
        <w:rPr>
          <w:rFonts w:hint="eastAsia" w:ascii="宋体" w:hAnsi="宋体" w:eastAsia="宋体" w:cs="宋体"/>
          <w:color w:val="000000" w:themeColor="text1"/>
          <w:sz w:val="24"/>
          <w:szCs w:val="24"/>
          <w:highlight w:val="none"/>
          <w14:textFill>
            <w14:solidFill>
              <w14:schemeClr w14:val="tx1"/>
            </w14:solidFill>
          </w14:textFill>
        </w:rPr>
        <w:t xml:space="preserve">份</w:t>
      </w:r>
      <w:r>
        <w:rPr>
          <w:rFonts w:ascii="宋体" w:hAnsi="宋体" w:eastAsia="宋体" w:cs="宋体"/>
          <w:color w:val="000000" w:themeColor="text1"/>
          <w:sz w:val="24"/>
          <w:szCs w:val="24"/>
          <w:highlight w:val="none"/>
          <w14:textFill>
            <w14:solidFill>
              <w14:schemeClr w14:val="tx1"/>
            </w14:solidFill>
          </w14:textFill>
        </w:rPr>
        <w:t xml:space="preserve">证</w:t>
      </w:r>
      <w:r>
        <w:rPr>
          <w:b/>
          <w:color w:val="000000" w:themeColor="text1"/>
          <w:sz w:val="24"/>
          <w:highlight w:val="none"/>
          <w14:textFill>
            <w14:solidFill>
              <w14:schemeClr w14:val="tx1"/>
            </w14:solidFill>
          </w14:textFill>
        </w:rPr>
        <w:t xml:space="preserve">正反面</w:t>
      </w:r>
      <w:r>
        <w:rPr>
          <w:rFonts w:hint="eastAsia" w:ascii="宋体" w:hAnsi="宋体" w:eastAsia="宋体" w:cs="宋体"/>
          <w:color w:val="000000" w:themeColor="text1"/>
          <w:sz w:val="24"/>
          <w:szCs w:val="24"/>
          <w:highlight w:val="none"/>
          <w14:textFill>
            <w14:solidFill>
              <w14:schemeClr w14:val="tx1"/>
            </w14:solidFill>
          </w14:textFill>
        </w:rPr>
        <w:t xml:space="preserve">：</w:t>
      </w:r>
      <w:r/>
    </w:p>
    <w:tbl>
      <w:tblPr>
        <w:tblStyle w:val="108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031"/>
        </w:trPr>
        <w:tc>
          <w:tcPr>
            <w:tcW w:w="4673" w:type="dxa"/>
            <w:vAlign w:val="top"/>
            <w:textDirection w:val="lrTb"/>
            <w:noWrap w:val="false"/>
          </w:tcPr>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360" w:lineRule="auto"/>
        <w:rPr>
          <w:rFonts w:ascii="宋体" w:hAnsi="宋体" w:cs="Century Gothic"/>
          <w:color w:val="000000" w:themeColor="text1"/>
          <w:szCs w:val="21"/>
          <w:highlight w:val="none"/>
          <w14:textFill>
            <w14:solidFill>
              <w14:schemeClr w14:val="tx1"/>
            </w14:solidFill>
          </w14:textFill>
        </w:rPr>
      </w:pPr>
      <w:r>
        <w:rPr>
          <w:rFonts w:ascii="宋体" w:hAnsi="宋体" w:cs="Century Gothic"/>
          <w:color w:val="000000" w:themeColor="text1"/>
          <w:szCs w:val="21"/>
          <w:highlight w:val="none"/>
          <w14:textFill>
            <w14:solidFill>
              <w14:schemeClr w14:val="tx1"/>
            </w14:solidFill>
          </w14:textFill>
        </w:rPr>
      </w:r>
      <w:r/>
    </w:p>
    <w:p>
      <w:pPr>
        <w:jc w:val="left"/>
        <w:spacing w:line="400" w:lineRule="exact"/>
        <w:tabs>
          <w:tab w:val="left" w:pos="5580" w:leader="none"/>
        </w:tabs>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说明</w:t>
      </w:r>
      <w:r>
        <w:rPr>
          <w:rFonts w:ascii="宋体" w:hAnsi="宋体"/>
          <w:color w:val="000000" w:themeColor="text1"/>
          <w:sz w:val="24"/>
          <w:szCs w:val="20"/>
          <w:highlight w:val="none"/>
          <w14:textFill>
            <w14:solidFill>
              <w14:schemeClr w14:val="tx1"/>
            </w14:solidFill>
          </w14:textFill>
        </w:rPr>
        <w:t xml:space="preserve">：</w:t>
      </w:r>
      <w:r/>
    </w:p>
    <w:p>
      <w:pPr>
        <w:jc w:val="left"/>
        <w:spacing w:line="400" w:lineRule="exact"/>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1.若供应商为事业单位或其他组织或分支机构（仅当</w:t>
      </w:r>
      <w:r>
        <w:rPr>
          <w:rFonts w:hint="eastAsia" w:ascii="宋体" w:hAnsi="宋体"/>
          <w:color w:val="000000" w:themeColor="text1"/>
          <w:sz w:val="24"/>
          <w:szCs w:val="20"/>
          <w:highlight w:val="none"/>
          <w14:textFill>
            <w14:solidFill>
              <w14:schemeClr w14:val="tx1"/>
            </w14:solidFill>
          </w14:textFill>
        </w:rPr>
        <w:t xml:space="preserve">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的签署人可为单位负责人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jc w:val="left"/>
        <w:spacing w:line="400" w:lineRule="exact"/>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2.若法定代表人参与开标的，则可不提供本《授权委托书》，但须提供《法定代表人资格证明书》。</w:t>
      </w:r>
      <w:r/>
    </w:p>
    <w:p>
      <w:pPr>
        <w:jc w:val="left"/>
        <w:spacing w:line="400" w:lineRule="exact"/>
        <w:tabs>
          <w:tab w:val="left" w:pos="5580" w:leader="none"/>
        </w:tabs>
        <w:rPr>
          <w:rFonts w:hint="default" w:ascii="宋体" w:hAnsi="宋体" w:eastAsia="宋体"/>
          <w:color w:val="000000" w:themeColor="text1"/>
          <w:sz w:val="24"/>
          <w:szCs w:val="20"/>
          <w:highlight w:val="none"/>
          <w:lang w:val="en-US" w:eastAsia="zh-CN"/>
          <w14:textFill>
            <w14:solidFill>
              <w14:schemeClr w14:val="tx1"/>
            </w14:solidFill>
          </w14:textFill>
        </w:rPr>
      </w:pPr>
      <w:r>
        <w:rPr>
          <w:rFonts w:hint="eastAsia" w:ascii="宋体" w:hAnsi="宋体"/>
          <w:color w:val="000000" w:themeColor="text1"/>
          <w:sz w:val="24"/>
          <w:szCs w:val="20"/>
          <w:highlight w:val="none"/>
          <w:lang w:val="en-US" w:eastAsia="zh-CN"/>
          <w14:textFill>
            <w14:solidFill>
              <w14:schemeClr w14:val="tx1"/>
            </w14:solidFill>
          </w14:textFill>
        </w:rPr>
        <w:t xml:space="preserve">3.</w:t>
      </w:r>
      <w:r>
        <w:rPr>
          <w:rFonts w:hint="eastAsia" w:ascii="宋体" w:hAnsi="宋体"/>
          <w:color w:val="000000" w:themeColor="text1"/>
          <w:sz w:val="24"/>
          <w:szCs w:val="20"/>
          <w:highlight w:val="none"/>
          <w14:textFill>
            <w14:solidFill>
              <w14:schemeClr w14:val="tx1"/>
            </w14:solidFill>
          </w14:textFill>
        </w:rPr>
        <w:t xml:space="preserve">若</w:t>
      </w:r>
      <w:r>
        <w:rPr>
          <w:rFonts w:hint="eastAsia" w:ascii="宋体" w:hAnsi="宋体" w:eastAsia="宋体" w:cs="宋体"/>
          <w:color w:val="000000" w:themeColor="text1"/>
          <w:sz w:val="24"/>
          <w:szCs w:val="24"/>
          <w:highlight w:val="none"/>
          <w14:textFill>
            <w14:solidFill>
              <w14:schemeClr w14:val="tx1"/>
            </w14:solidFill>
          </w14:textFill>
        </w:rPr>
        <w:t xml:space="preserve">委托代理人</w:t>
      </w:r>
      <w:r>
        <w:rPr>
          <w:rFonts w:hint="eastAsia" w:ascii="宋体" w:hAnsi="宋体"/>
          <w:color w:val="000000" w:themeColor="text1"/>
          <w:sz w:val="24"/>
          <w:szCs w:val="20"/>
          <w:highlight w:val="none"/>
          <w14:textFill>
            <w14:solidFill>
              <w14:schemeClr w14:val="tx1"/>
            </w14:solidFill>
          </w14:textFill>
        </w:rPr>
        <w:t xml:space="preserve">参与开标的，提供本《授权委托书》，</w:t>
      </w:r>
      <w:r>
        <w:rPr>
          <w:rFonts w:hint="eastAsia" w:ascii="宋体" w:hAnsi="宋体"/>
          <w:color w:val="000000" w:themeColor="text1"/>
          <w:sz w:val="24"/>
          <w:szCs w:val="20"/>
          <w:highlight w:val="none"/>
          <w:lang w:val="en-US" w:eastAsia="zh-CN"/>
          <w14:textFill>
            <w14:solidFill>
              <w14:schemeClr w14:val="tx1"/>
            </w14:solidFill>
          </w14:textFill>
        </w:rPr>
        <w:t xml:space="preserve">同时</w:t>
      </w:r>
      <w:r>
        <w:rPr>
          <w:rFonts w:hint="eastAsia" w:ascii="宋体" w:hAnsi="宋体"/>
          <w:color w:val="000000" w:themeColor="text1"/>
          <w:sz w:val="24"/>
          <w:szCs w:val="20"/>
          <w:highlight w:val="none"/>
          <w14:textFill>
            <w14:solidFill>
              <w14:schemeClr w14:val="tx1"/>
            </w14:solidFill>
          </w14:textFill>
        </w:rPr>
        <w:t xml:space="preserve">提供《法定代表人资格证明书》。</w:t>
      </w:r>
      <w:r/>
    </w:p>
    <w:p>
      <w:pPr>
        <w:jc w:val="left"/>
        <w:spacing w:line="400" w:lineRule="exact"/>
        <w:tabs>
          <w:tab w:val="left" w:pos="5580" w:leader="none"/>
        </w:tabs>
        <w:rPr>
          <w:color w:val="000000" w:themeColor="text1"/>
          <w:sz w:val="24"/>
          <w:highlight w:val="none"/>
          <w14:textFill>
            <w14:solidFill>
              <w14:schemeClr w14:val="tx1"/>
            </w14:solidFill>
          </w14:textFill>
        </w:rPr>
      </w:pPr>
      <w:r>
        <w:rPr>
          <w:rFonts w:hint="eastAsia" w:ascii="宋体" w:hAnsi="宋体"/>
          <w:color w:val="000000" w:themeColor="text1"/>
          <w:sz w:val="24"/>
          <w:szCs w:val="20"/>
          <w:highlight w:val="none"/>
          <w:lang w:val="en-US" w:eastAsia="zh-CN"/>
          <w14:textFill>
            <w14:solidFill>
              <w14:schemeClr w14:val="tx1"/>
            </w14:solidFill>
          </w14:textFill>
        </w:rPr>
        <w:t xml:space="preserve">4</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供应商为自然人的情形，仅提供身份证扫描件并签名，可不提供《法定代表人身份证明》和《授权委托书》。</w:t>
      </w:r>
      <w:r/>
    </w:p>
    <w:p>
      <w:pPr>
        <w:ind w:firstLine="482"/>
        <w:jc w:val="left"/>
        <w:widowControl/>
        <w:rPr>
          <w:rFonts w:ascii="宋体" w:hAnsi="宋体" w:cs="宋体"/>
          <w:color w:val="000000"/>
          <w:sz w:val="24"/>
        </w:rPr>
        <w:outlineLvl w:val="2"/>
      </w:pPr>
      <w:r>
        <w:rPr>
          <w:rFonts w:hint="eastAsia" w:ascii="宋体" w:hAnsi="宋体" w:cs="宋体"/>
          <w:color w:val="000000"/>
          <w:sz w:val="24"/>
        </w:rPr>
        <w:br w:type="page" w:clear="all"/>
      </w:r>
      <w:r>
        <w:rPr>
          <w:rFonts w:hint="eastAsia" w:ascii="宋体" w:hAnsi="宋体" w:cs="宋体"/>
          <w:color w:val="000000"/>
          <w:sz w:val="24"/>
        </w:rPr>
        <w:t xml:space="preserve">3  政府采购供应商信用承诺书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1"/>
      </w:pPr>
      <w:r>
        <w:rPr>
          <w:rFonts w:hint="eastAsia" w:ascii="宋体" w:hAnsi="宋体" w:cs="宋体"/>
          <w:b/>
          <w:sz w:val="28"/>
          <w:szCs w:val="28"/>
        </w:rPr>
        <w:t xml:space="preserve">政府采购供应商信用承诺书</w:t>
      </w:r>
      <w:r/>
    </w:p>
    <w:p>
      <w:pPr>
        <w:ind w:firstLine="482"/>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2"/>
        <w:spacing w:line="360"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2"/>
        <w:spacing w:line="360"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2"/>
        <w:spacing w:line="360" w:lineRule="auto"/>
        <w:rPr>
          <w:rFonts w:ascii="宋体" w:hAnsi="宋体" w:cs="宋体"/>
          <w:sz w:val="24"/>
        </w:rPr>
        <w:outlineLvl w:val="1"/>
      </w:pPr>
      <w:r>
        <w:rPr>
          <w:rFonts w:hint="eastAsia" w:ascii="宋体" w:hAnsi="宋体" w:cs="宋体"/>
          <w:sz w:val="24"/>
        </w:rPr>
        <w:t xml:space="preserve">九、根据政府采购相关法律法规的规定需要作出的其他承诺。 </w:t>
      </w:r>
      <w:r/>
    </w:p>
    <w:p>
      <w:pPr>
        <w:ind w:firstLine="482"/>
        <w:spacing w:line="360"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796" w:name="_Hlt520274065"/>
      <w:r/>
      <w:bookmarkEnd w:id="796"/>
      <w:r/>
      <w:bookmarkStart w:id="797" w:name="_Hlt520274121"/>
      <w:r/>
      <w:bookmarkEnd w:id="797"/>
      <w:r/>
      <w:bookmarkStart w:id="798" w:name="_Hlt520343000"/>
      <w:r/>
      <w:bookmarkEnd w:id="798"/>
      <w:r/>
      <w:bookmarkStart w:id="799" w:name="_Hlt520343392"/>
      <w:r/>
      <w:bookmarkEnd w:id="799"/>
      <w:r/>
      <w:bookmarkStart w:id="800" w:name="_Hlt520274393"/>
      <w:r/>
      <w:bookmarkEnd w:id="800"/>
      <w:r/>
      <w:bookmarkStart w:id="801" w:name="_Hlt520350918"/>
      <w:r/>
      <w:bookmarkEnd w:id="801"/>
      <w:r/>
      <w:bookmarkStart w:id="802" w:name="_Hlt520355504"/>
      <w:r/>
      <w:bookmarkEnd w:id="802"/>
      <w:r/>
      <w:bookmarkStart w:id="803" w:name="_Hlt520273711"/>
      <w:r/>
      <w:bookmarkEnd w:id="803"/>
      <w:r/>
      <w:bookmarkStart w:id="804" w:name="_Hlt520274407"/>
      <w:r/>
      <w:bookmarkEnd w:id="804"/>
      <w:r/>
      <w:bookmarkStart w:id="805" w:name="_Hlt520271212"/>
      <w:r/>
      <w:bookmarkEnd w:id="805"/>
      <w:r/>
      <w:bookmarkStart w:id="806" w:name="_Toc226965830"/>
      <w:r/>
      <w:bookmarkStart w:id="807" w:name="_Toc226965747"/>
      <w:r/>
      <w:bookmarkStart w:id="808" w:name="_Toc226337253"/>
      <w:r/>
      <w:bookmarkStart w:id="809" w:name="_Toc264969247"/>
      <w:r/>
      <w:bookmarkStart w:id="810" w:name="_Ref467988705"/>
      <w:r/>
      <w:bookmarkStart w:id="811" w:name="_Toc150480795"/>
      <w:r/>
      <w:bookmarkStart w:id="812" w:name="_Toc127151557"/>
      <w:r/>
      <w:bookmarkStart w:id="813" w:name="_Toc265228395"/>
      <w:r/>
      <w:bookmarkStart w:id="814" w:name="_Toc195842922"/>
      <w:r/>
      <w:bookmarkStart w:id="815" w:name="_Toc305158899"/>
      <w:r/>
      <w:bookmarkStart w:id="816" w:name="_Toc142311059"/>
      <w:r/>
      <w:bookmarkStart w:id="817" w:name="_Toc226309801"/>
      <w:r/>
      <w:bookmarkStart w:id="818" w:name="_Toc150774762"/>
      <w:r/>
      <w:bookmarkStart w:id="819" w:name="_Toc480942350"/>
      <w:r/>
      <w:bookmarkStart w:id="820" w:name="_Toc520356218"/>
      <w:r/>
      <w:bookmarkStart w:id="821" w:name="_Toc305158825"/>
      <w:r>
        <w:rPr>
          <w:rFonts w:hint="eastAsia" w:ascii="宋体" w:hAnsi="宋体" w:cs="宋体"/>
          <w:color w:val="000000"/>
          <w:sz w:val="24"/>
          <w:szCs w:val="20"/>
        </w:rPr>
        <w:br w:type="page" w:clear="all"/>
      </w:r>
      <w:r>
        <w:rPr>
          <w:rFonts w:hint="eastAsia" w:ascii="宋体" w:hAnsi="宋体" w:cs="宋体"/>
          <w:color w:val="000000"/>
          <w:sz w:val="24"/>
          <w:szCs w:val="20"/>
        </w:rPr>
        <w:t xml:space="preserve">4  </w:t>
      </w:r>
      <w:r>
        <w:rPr>
          <w:rFonts w:hint="eastAsia" w:ascii="宋体" w:hAnsi="宋体" w:cs="宋体"/>
          <w:color w:val="000000"/>
          <w:sz w:val="24"/>
          <w:szCs w:val="20"/>
          <w:lang w:val="en-US" w:eastAsia="zh-CN"/>
        </w:rPr>
        <w:t xml:space="preserve">报价</w:t>
      </w:r>
      <w:r>
        <w:rPr>
          <w:rFonts w:hint="eastAsia" w:ascii="宋体" w:hAnsi="宋体" w:cs="宋体"/>
          <w:color w:val="000000"/>
          <w:sz w:val="24"/>
          <w:szCs w:val="20"/>
        </w:rPr>
        <w:t xml:space="preserve">一览表</w:t>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r/>
    </w:p>
    <w:p>
      <w:pPr>
        <w:ind w:firstLine="562"/>
        <w:jc w:val="center"/>
        <w:spacing w:before="159" w:after="159" w:line="360" w:lineRule="auto"/>
        <w:widowControl/>
        <w:rPr>
          <w:rFonts w:ascii="宋体" w:hAnsi="宋体" w:cs="宋体"/>
          <w:b/>
          <w:sz w:val="28"/>
          <w:szCs w:val="28"/>
        </w:rPr>
        <w:outlineLvl w:val="3"/>
      </w:pPr>
      <w:r/>
      <w:bookmarkStart w:id="822" w:name="_Toc164608827"/>
      <w:r/>
      <w:bookmarkStart w:id="823" w:name="_Toc305158826"/>
      <w:r/>
      <w:bookmarkStart w:id="824" w:name="_Toc226337254"/>
      <w:r/>
      <w:bookmarkStart w:id="825" w:name="_Toc265228396"/>
      <w:r/>
      <w:bookmarkStart w:id="826" w:name="_Toc226965831"/>
      <w:r/>
      <w:bookmarkStart w:id="827" w:name="_Toc264969248"/>
      <w:r/>
      <w:bookmarkStart w:id="828" w:name="_Toc226309802"/>
      <w:r/>
      <w:bookmarkStart w:id="829" w:name="_Toc305158900"/>
      <w:r/>
      <w:bookmarkStart w:id="830" w:name="_Toc195842923"/>
      <w:r/>
      <w:bookmarkStart w:id="831" w:name="_Toc226965748"/>
      <w:r/>
      <w:bookmarkStart w:id="832" w:name="_Toc164608672"/>
      <w:r>
        <w:rPr>
          <w:rFonts w:hint="eastAsia" w:ascii="宋体" w:hAnsi="宋体" w:cs="宋体"/>
          <w:b/>
          <w:sz w:val="28"/>
          <w:szCs w:val="28"/>
          <w:lang w:val="en-US" w:eastAsia="zh-CN"/>
        </w:rPr>
        <w:t xml:space="preserve">报价</w:t>
      </w:r>
      <w:r>
        <w:rPr>
          <w:rFonts w:hint="eastAsia" w:ascii="宋体" w:hAnsi="宋体" w:cs="宋体"/>
          <w:b/>
          <w:sz w:val="28"/>
          <w:szCs w:val="28"/>
        </w:rPr>
        <w:t xml:space="preserve">一览表</w:t>
      </w:r>
      <w:bookmarkEnd w:id="822"/>
      <w:r/>
      <w:bookmarkEnd w:id="823"/>
      <w:r/>
      <w:bookmarkEnd w:id="824"/>
      <w:r/>
      <w:bookmarkEnd w:id="825"/>
      <w:r/>
      <w:bookmarkEnd w:id="826"/>
      <w:r/>
      <w:bookmarkEnd w:id="827"/>
      <w:r/>
      <w:bookmarkEnd w:id="828"/>
      <w:r/>
      <w:bookmarkEnd w:id="829"/>
      <w:r/>
      <w:bookmarkEnd w:id="830"/>
      <w:r/>
      <w:bookmarkEnd w:id="831"/>
      <w:r/>
      <w:bookmarkEnd w:id="832"/>
      <w:r/>
      <w:r/>
    </w:p>
    <w:p>
      <w:p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（一）</w:t>
      </w:r>
      <w:r>
        <w:rPr>
          <w:rFonts w:hint="eastAsia" w:ascii="宋体" w:hAnsi="宋体"/>
          <w:b/>
          <w:color w:val="000000" w:themeColor="text1"/>
          <w:sz w:val="24"/>
          <w:lang w:val="en-US" w:eastAsia="zh-CN"/>
          <w14:textFill>
            <w14:solidFill>
              <w14:schemeClr w14:val="tx1"/>
            </w14:solidFill>
          </w14:textFill>
        </w:rPr>
        <w:t xml:space="preserve">投标人</w:t>
      </w:r>
      <w:r>
        <w:rPr>
          <w:rFonts w:hint="eastAsia" w:ascii="宋体" w:hAnsi="宋体"/>
          <w:b/>
          <w:color w:val="000000" w:themeColor="text1"/>
          <w:sz w:val="24"/>
          <w14:textFill>
            <w14:solidFill>
              <w14:schemeClr w14:val="tx1"/>
            </w14:solidFill>
          </w14:textFill>
        </w:rPr>
        <w:t xml:space="preserve">在提交</w:t>
      </w:r>
      <w:r>
        <w:rPr>
          <w:rFonts w:hint="eastAsia" w:ascii="宋体" w:hAnsi="宋体"/>
          <w:b/>
          <w:color w:val="000000" w:themeColor="text1"/>
          <w:sz w:val="24"/>
          <w:lang w:val="en-US" w:eastAsia="zh-CN"/>
          <w14:textFill>
            <w14:solidFill>
              <w14:schemeClr w14:val="tx1"/>
            </w14:solidFill>
          </w14:textFill>
        </w:rPr>
        <w:t xml:space="preserve">投标</w:t>
      </w:r>
      <w:r>
        <w:rPr>
          <w:rFonts w:hint="eastAsia" w:ascii="宋体" w:hAnsi="宋体"/>
          <w:b/>
          <w:color w:val="000000" w:themeColor="text1"/>
          <w:sz w:val="24"/>
          <w14:textFill>
            <w14:solidFill>
              <w14:schemeClr w14:val="tx1"/>
            </w14:solidFill>
          </w14:textFill>
        </w:rPr>
        <w:t xml:space="preserve">文件时，应按照投标工具（苏采云客户端）的提示流程编制提交报价一览表，报价一览表格式以投标工具中的为准。</w:t>
      </w:r>
      <w:r/>
    </w:p>
    <w:p>
      <w:pPr>
        <w:spacing w:before="25" w:after="25" w:line="360" w:lineRule="auto"/>
        <w:rPr>
          <w:rFonts w:hint="default" w:ascii="宋体" w:hAnsi="宋体" w:eastAsia="宋体" w:cs="宋体"/>
          <w:color w:val="000000"/>
          <w:sz w:val="24"/>
          <w:u w:val="none"/>
          <w:lang w:val="en-US" w:eastAsia="zh-CN"/>
        </w:rPr>
      </w:pPr>
      <w:r>
        <w:rPr>
          <w:rFonts w:hint="eastAsia" w:ascii="宋体" w:hAnsi="宋体" w:cs="宋体"/>
          <w:color w:val="000000"/>
          <w:sz w:val="24"/>
          <w:lang w:val="zh-CN"/>
        </w:rPr>
        <w:t xml:space="preserve">（</w:t>
      </w:r>
      <w:r>
        <w:rPr>
          <w:rFonts w:hint="eastAsia" w:ascii="宋体" w:hAnsi="宋体" w:cs="宋体"/>
          <w:color w:val="000000"/>
          <w:sz w:val="24"/>
          <w:lang w:val="en-US" w:eastAsia="zh-CN"/>
        </w:rPr>
        <w:t xml:space="preserve">二</w:t>
      </w:r>
      <w:r>
        <w:rPr>
          <w:rFonts w:hint="eastAsia" w:ascii="宋体" w:hAnsi="宋体" w:cs="宋体"/>
          <w:color w:val="000000"/>
          <w:sz w:val="24"/>
          <w:lang w:val="zh-CN"/>
        </w:rPr>
        <w:t xml:space="preserve">）</w:t>
      </w:r>
      <w:r>
        <w:rPr>
          <w:rFonts w:hint="eastAsia" w:ascii="宋体" w:hAnsi="宋体"/>
          <w:b/>
          <w:color w:val="000000" w:themeColor="text1"/>
          <w:sz w:val="24"/>
          <w:lang w:val="en-US" w:eastAsia="zh-CN"/>
          <w14:textFill>
            <w14:solidFill>
              <w14:schemeClr w14:val="tx1"/>
            </w14:solidFill>
          </w14:textFill>
        </w:rPr>
        <w:t xml:space="preserve">本项目报单价，即</w:t>
      </w:r>
      <w:r>
        <w:rPr>
          <w:rFonts w:hint="eastAsia" w:ascii="宋体" w:hAnsi="宋体"/>
          <w:b/>
          <w:color w:val="000000" w:themeColor="text1"/>
          <w:sz w:val="24"/>
          <w:u w:val="single"/>
          <w:lang w:val="en-US" w:eastAsia="zh-CN"/>
          <w14:textFill>
            <w14:solidFill>
              <w14:schemeClr w14:val="tx1"/>
            </w14:solidFill>
          </w14:textFill>
        </w:rPr>
        <w:t xml:space="preserve">     </w:t>
      </w:r>
      <w:r>
        <w:rPr>
          <w:rFonts w:hint="eastAsia" w:ascii="宋体" w:hAnsi="宋体"/>
          <w:b/>
          <w:color w:val="000000" w:themeColor="text1"/>
          <w:sz w:val="24"/>
          <w:u w:val="none"/>
          <w:lang w:val="en-US" w:eastAsia="zh-CN"/>
          <w14:textFill>
            <w14:solidFill>
              <w14:schemeClr w14:val="tx1"/>
            </w14:solidFill>
          </w14:textFill>
        </w:rPr>
        <w:t xml:space="preserve">元/人/年</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szCs w:val="20"/>
        </w:rPr>
        <w:outlineLvl w:val="2"/>
      </w:pPr>
      <w:r/>
      <w:bookmarkStart w:id="833" w:name="_Toc150480796"/>
      <w:r/>
      <w:bookmarkStart w:id="834" w:name="_Toc226965832"/>
      <w:r/>
      <w:bookmarkStart w:id="835" w:name="_Toc226965749"/>
      <w:r/>
      <w:bookmarkStart w:id="836" w:name="_Toc226337255"/>
      <w:r/>
      <w:bookmarkStart w:id="837" w:name="_Toc226309803"/>
      <w:r/>
      <w:bookmarkStart w:id="838" w:name="_Toc305158901"/>
      <w:r/>
      <w:bookmarkStart w:id="839" w:name="_Toc305158827"/>
      <w:r/>
      <w:bookmarkStart w:id="840" w:name="_Toc150774763"/>
      <w:r/>
      <w:bookmarkStart w:id="841" w:name="_Toc265228397"/>
      <w:r/>
      <w:bookmarkStart w:id="842" w:name="_Toc195842924"/>
      <w:r/>
      <w:bookmarkStart w:id="843" w:name="_Toc264969249"/>
      <w:r/>
      <w:bookmarkStart w:id="844" w:name="_Toc127151558"/>
      <w:r/>
      <w:bookmarkStart w:id="845" w:name="_Toc142311060"/>
      <w:r>
        <w:rPr>
          <w:rFonts w:hint="eastAsia" w:ascii="宋体" w:hAnsi="宋体" w:cs="宋体"/>
          <w:color w:val="000000"/>
          <w:sz w:val="24"/>
          <w:szCs w:val="20"/>
        </w:rPr>
        <w:br w:type="page" w:clear="all"/>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Start w:id="846" w:name="_Toc142311062"/>
      <w:r/>
      <w:bookmarkStart w:id="847" w:name="_Toc226965752"/>
      <w:r/>
      <w:bookmarkStart w:id="848" w:name="_Toc226965835"/>
      <w:r/>
      <w:bookmarkStart w:id="849" w:name="_Toc195842927"/>
      <w:r/>
      <w:bookmarkStart w:id="850" w:name="_Toc127151562"/>
      <w:r/>
      <w:bookmarkStart w:id="851" w:name="_Toc265228400"/>
      <w:r/>
      <w:bookmarkStart w:id="852" w:name="_Toc150774765"/>
      <w:r/>
      <w:bookmarkStart w:id="853" w:name="_Toc226337258"/>
      <w:r/>
      <w:bookmarkStart w:id="854" w:name="_Toc150480798"/>
      <w:r/>
      <w:bookmarkStart w:id="855" w:name="_Toc305158904"/>
      <w:r/>
      <w:bookmarkStart w:id="856" w:name="_Toc226309806"/>
      <w:r/>
      <w:bookmarkStart w:id="857" w:name="_Toc305158830"/>
      <w:r/>
      <w:bookmarkStart w:id="858" w:name="_Toc264969252"/>
      <w:r/>
      <w:bookmarkStart w:id="859" w:name="_Toc265228399"/>
      <w:r/>
      <w:bookmarkStart w:id="860" w:name="_Toc305158829"/>
      <w:r/>
      <w:bookmarkStart w:id="861" w:name="_Toc226337257"/>
      <w:r/>
      <w:bookmarkStart w:id="862" w:name="_Toc305158903"/>
      <w:r/>
      <w:bookmarkStart w:id="863" w:name="_Toc150774764"/>
      <w:r/>
      <w:bookmarkStart w:id="864" w:name="_Toc195842926"/>
      <w:r/>
      <w:bookmarkStart w:id="865" w:name="_Toc226965834"/>
      <w:r/>
      <w:bookmarkStart w:id="866" w:name="_Toc142311061"/>
      <w:r/>
      <w:bookmarkStart w:id="867" w:name="_Toc226965751"/>
      <w:r/>
      <w:bookmarkStart w:id="868" w:name="_Toc264969251"/>
      <w:r/>
      <w:bookmarkStart w:id="869" w:name="_Toc226309805"/>
      <w:r/>
      <w:bookmarkStart w:id="870" w:name="_Toc127151561"/>
      <w:r/>
      <w:bookmarkStart w:id="871" w:name="_Toc150480797"/>
      <w:r>
        <w:rPr>
          <w:rFonts w:hint="eastAsia" w:ascii="宋体" w:hAnsi="宋体" w:cs="宋体"/>
          <w:color w:val="000000"/>
          <w:sz w:val="24"/>
          <w:szCs w:val="20"/>
          <w:lang w:val="en-US" w:eastAsia="zh-CN"/>
        </w:rPr>
        <w:t xml:space="preserve">5</w:t>
      </w:r>
      <w:r>
        <w:rPr>
          <w:rFonts w:hint="eastAsia" w:ascii="宋体" w:hAnsi="宋体" w:cs="宋体"/>
          <w:color w:val="000000"/>
          <w:sz w:val="24"/>
          <w:szCs w:val="20"/>
        </w:rPr>
        <w:t xml:space="preserve">  合同条款偏离表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10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61"/>
        <w:gridCol w:w="1649"/>
        <w:gridCol w:w="1650"/>
        <w:gridCol w:w="1996"/>
        <w:gridCol w:w="712"/>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2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9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ind w:firstLine="482"/>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对合同条款中的所有要求，除本表所列明的所有偏离外，均视作供应商已对之理解和响应。</w:t>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 xml:space="preserve">6</w:t>
      </w:r>
      <w:r>
        <w:rPr>
          <w:rFonts w:hint="eastAsia" w:ascii="宋体" w:hAnsi="宋体" w:cs="宋体"/>
          <w:color w:val="000000"/>
          <w:sz w:val="24"/>
          <w:szCs w:val="20"/>
        </w:rPr>
        <w:t xml:space="preserve">  </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rFonts w:hint="eastAsia" w:ascii="宋体" w:hAnsi="宋体" w:cs="宋体"/>
          <w:color w:val="000000"/>
          <w:sz w:val="24"/>
          <w:szCs w:val="20"/>
        </w:rPr>
        <w:t xml:space="preserve">采购需求偏离表（实质性格式）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采购需求偏离表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1081"/>
        <w:tblW w:w="8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61"/>
        <w:gridCol w:w="1649"/>
        <w:gridCol w:w="1650"/>
        <w:gridCol w:w="1996"/>
        <w:gridCol w:w="1197"/>
      </w:tblGrid>
      <w:tr>
        <w:trPr>
          <w:jc w:val="center"/>
          <w:trHeight w:val="930"/>
        </w:trPr>
        <w:tc>
          <w:tcPr>
            <w:gridSpan w:val="6"/>
            <w:tcW w:w="8831" w:type="dxa"/>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w:t>
            </w:r>
            <w:r>
              <w:rPr>
                <w:rFonts w:hint="eastAsia" w:ascii="宋体" w:hAnsi="宋体" w:cs="宋体"/>
                <w:b/>
                <w:color w:val="000000"/>
                <w:sz w:val="24"/>
                <w:lang w:val="en-US" w:eastAsia="zh-CN"/>
              </w:rPr>
              <w:t xml:space="preserve">采购需求</w:t>
            </w:r>
            <w:r>
              <w:rPr>
                <w:rFonts w:hint="eastAsia" w:ascii="宋体" w:hAnsi="宋体" w:cs="宋体"/>
                <w:b/>
                <w:color w:val="000000"/>
                <w:sz w:val="24"/>
              </w:rPr>
              <w:t xml:space="preserve">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1178"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16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649"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65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1996"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1197"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16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649"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65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96"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197"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16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649"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65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96"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197"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16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649"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65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96"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197"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rPr>
        <w:t xml:space="preserve">投标无效。</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left="220" w:right="372" w:firstLine="482"/>
        <w:jc w:val="left"/>
        <w:spacing w:line="360" w:lineRule="auto"/>
        <w:rPr>
          <w:sz w:val="24"/>
        </w:rPr>
      </w:pPr>
      <w:r>
        <w:rPr>
          <w:rFonts w:hint="eastAsia" w:ascii="宋体" w:hAnsi="宋体" w:cs="宋体"/>
          <w:color w:val="000000"/>
          <w:sz w:val="24"/>
          <w:szCs w:val="20"/>
        </w:rPr>
        <w:br w:type="page" w:clear="all"/>
      </w:r>
      <w:r/>
    </w:p>
    <w:p>
      <w:pPr>
        <w:spacing w:line="480" w:lineRule="auto"/>
        <w:rPr>
          <w:sz w:val="24"/>
        </w:rPr>
      </w:pPr>
      <w:r>
        <w:rPr>
          <w:rFonts w:hint="eastAsia" w:ascii="宋体" w:hAnsi="宋体" w:cs="宋体"/>
          <w:color w:val="000000"/>
          <w:sz w:val="24"/>
          <w:szCs w:val="20"/>
          <w:lang w:val="en-US" w:eastAsia="zh-CN"/>
        </w:rPr>
        <w:t xml:space="preserve">7</w:t>
      </w:r>
      <w:r>
        <w:rPr>
          <w:rFonts w:hint="eastAsia" w:ascii="宋体" w:hAnsi="宋体" w:cs="仿宋"/>
          <w:b w:val="0"/>
          <w:bCs/>
          <w:color w:val="000000" w:themeColor="text1"/>
          <w:sz w:val="24"/>
          <w:szCs w:val="20"/>
          <w:highlight w:val="none"/>
          <w14:textFill>
            <w14:solidFill>
              <w14:schemeClr w14:val="tx1"/>
            </w14:solidFill>
          </w14:textFill>
        </w:rPr>
        <w:t xml:space="preserve">项目实施方案等，格式自拟。</w:t>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 xml:space="preserve">8</w:t>
      </w:r>
      <w:r>
        <w:rPr>
          <w:rFonts w:hint="eastAsia" w:ascii="宋体" w:hAnsi="宋体" w:cs="宋体"/>
          <w:color w:val="000000"/>
          <w:sz w:val="24"/>
          <w:szCs w:val="20"/>
        </w:rPr>
        <w:t xml:space="preserve"> 参加本项目人员一览表</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参加本项目人员一览表</w:t>
      </w:r>
      <w:r/>
    </w:p>
    <w:p>
      <w:pPr>
        <w:ind w:firstLine="48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81"/>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ind w:firstLine="480"/>
        <w:tabs>
          <w:tab w:val="left" w:pos="9765" w:leader="none"/>
        </w:tabs>
        <w:rPr>
          <w:rFonts w:ascii="宋体" w:hAnsi="宋体" w:cs="宋体"/>
          <w:b/>
          <w:sz w:val="24"/>
          <w:lang w:val="zh-CN"/>
        </w:rPr>
      </w:pPr>
      <w:r>
        <w:rPr>
          <w:rFonts w:ascii="宋体" w:hAnsi="宋体" w:cs="宋体"/>
          <w:b/>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42"/>
        <w:rPr>
          <w:rFonts w:ascii="宋体" w:hAnsi="宋体" w:cs="宋体"/>
          <w:color w:val="000000"/>
          <w:sz w:val="24"/>
          <w:szCs w:val="20"/>
        </w:rPr>
        <w:outlineLvl w:val="2"/>
      </w:pPr>
      <w:r>
        <w:rPr>
          <w:rFonts w:hint="eastAsia" w:ascii="宋体" w:hAnsi="宋体" w:cs="宋体"/>
          <w:sz w:val="22"/>
        </w:rPr>
        <w:br w:type="page" w:clear="all"/>
      </w:r>
      <w:bookmarkStart w:id="872" w:name="_Toc288738397"/>
      <w:r/>
      <w:bookmarkStart w:id="873" w:name="_Toc288738839"/>
      <w:r>
        <w:rPr>
          <w:rFonts w:hint="eastAsia" w:ascii="宋体" w:hAnsi="宋体" w:cs="宋体"/>
          <w:sz w:val="22"/>
          <w:lang w:val="en-US" w:eastAsia="zh-CN"/>
        </w:rPr>
        <w:t xml:space="preserve">9</w:t>
      </w:r>
      <w:r>
        <w:rPr>
          <w:rFonts w:hint="eastAsia" w:ascii="宋体" w:hAnsi="宋体" w:cs="宋体"/>
          <w:color w:val="000000"/>
          <w:sz w:val="24"/>
          <w:szCs w:val="20"/>
        </w:rPr>
        <w:t xml:space="preserve">相关业绩案例一览表</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相关业绩案例一览表</w:t>
      </w:r>
      <w:bookmarkEnd w:id="872"/>
      <w:r/>
      <w:bookmarkEnd w:id="873"/>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8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bl>
    <w:p>
      <w:pPr>
        <w:ind w:firstLine="482"/>
        <w:tabs>
          <w:tab w:val="left" w:pos="9765" w:leader="none"/>
        </w:tabs>
        <w:rPr>
          <w:rFonts w:ascii="宋体" w:hAnsi="宋体" w:cs="宋体"/>
          <w:sz w:val="24"/>
          <w:lang w:val="zh-CN"/>
        </w:rPr>
      </w:pPr>
      <w:r>
        <w:rPr>
          <w:rFonts w:ascii="宋体" w:hAnsi="宋体" w:cs="宋体"/>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0</w:t>
      </w:r>
      <w:r>
        <w:rPr>
          <w:rFonts w:hint="eastAsia" w:ascii="宋体" w:hAnsi="宋体" w:cs="宋体"/>
          <w:color w:val="000000"/>
          <w:sz w:val="24"/>
          <w:szCs w:val="20"/>
        </w:rPr>
        <w:t xml:space="preserve"> 招标文件要求提供或投标人认为应附的其他材料</w:t>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b/>
          <w:sz w:val="36"/>
          <w:szCs w:val="36"/>
        </w:rPr>
      </w:pPr>
      <w:r>
        <w:rPr>
          <w:b/>
          <w:sz w:val="36"/>
          <w:szCs w:val="36"/>
        </w:rPr>
      </w:r>
      <w:r/>
    </w:p>
    <w:sectPr>
      <w:headerReference w:type="even" r:id="rId11"/>
      <w:headerReference w:type="first" r:id="rId12"/>
      <w:footerReference w:type="default" r:id="rId15"/>
      <w:footerReference w:type="even" r:id="rId16"/>
      <w:footerReference w:type="first" r:id="rId17"/>
      <w:footnotePr/>
      <w:endnotePr/>
      <w:type w:val="nextPage"/>
      <w:pgSz w:w="11905" w:h="16838" w:orient="portrait"/>
      <w:pgMar w:top="1440" w:right="1746"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CESI黑体-GB2312">
    <w:panose1 w:val="020B0503020202020204"/>
  </w:font>
  <w:font w:name="仿宋">
    <w:panose1 w:val="02010609060101010101"/>
  </w:font>
  <w:font w:name="楷体">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0"/>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0"/>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rPr>
        <w:rStyle w:val="1121"/>
      </w:rPr>
      <w:framePr w:wrap="around" w:vAnchor="text" w:hAnchor="margin" w:xAlign="right" w:y="1"/>
    </w:pPr>
    <w:r/>
    <w:r/>
  </w:p>
  <w:p>
    <w:pPr>
      <w:pStyle w:val="110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0"/>
                            <w:jc w:val="right"/>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0"/>
                      <w:jc w:val="right"/>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ind w:firstLine="361"/>
      <w:rPr>
        <w:rStyle w:val="1121"/>
      </w:rPr>
      <w:framePr w:wrap="around" w:vAnchor="text" w:hAnchor="margin" w:xAlign="right" w:y="1"/>
    </w:pPr>
    <w:r>
      <w:rPr>
        <w:rStyle w:val="1121"/>
      </w:rPr>
      <w:fldChar w:fldCharType="begin"/>
    </w:r>
    <w:r>
      <w:rPr>
        <w:rStyle w:val="1121"/>
      </w:rPr>
      <w:instrText xml:space="preserve">PAGE  </w:instrText>
    </w:r>
    <w:r>
      <w:rPr>
        <w:rStyle w:val="1121"/>
      </w:rPr>
      <w:fldChar w:fldCharType="end"/>
    </w:r>
    <w:r/>
  </w:p>
  <w:p>
    <w:pPr>
      <w:pStyle w:val="1100"/>
      <w:ind w:right="360" w:firstLine="361"/>
    </w:pPr>
    <w:r/>
    <w:r/>
  </w:p>
  <w:p>
    <w:r/>
    <w:r/>
  </w:p>
  <w:p>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72"/>
        <w:spacing w:before="0" w:line="240" w:lineRule="exact"/>
        <w:tabs>
          <w:tab w:val="left" w:pos="945" w:leader="none"/>
        </w:tabs>
        <w:rPr>
          <w:b w:val="0"/>
          <w:sz w:val="18"/>
        </w:rPr>
      </w:pPr>
      <w:r>
        <w:rPr>
          <w:rStyle w:val="1127"/>
          <w:sz w:val="18"/>
          <w:vertAlign w:val="baseline"/>
        </w:rPr>
        <w:footnoteRef/>
      </w:r>
      <w:r>
        <w:rPr>
          <w:rFonts w:hint="eastAsia"/>
          <w:sz w:val="18"/>
        </w:rPr>
        <w:t xml:space="preserve"> 组织病理学检查：</w:t>
      </w:r>
      <w:r>
        <w:rPr>
          <w:rFonts w:hint="eastAsia"/>
          <w:b w:val="0"/>
          <w:sz w:val="18"/>
        </w:rPr>
        <w:t xml:space="preserve">组织病理学检查是通过局部切除、钳取、穿刺等手术方法，从患者机体采取病变组织块，经过包埋、切片后，进行病理检查的方法。</w:t>
      </w:r>
      <w:r>
        <w:rPr>
          <w:rFonts w:hint="eastAsia"/>
          <w:sz w:val="18"/>
        </w:rPr>
        <w:t xml:space="preserve">通过采集病变部位脱落细胞、细针吸取病变部位细胞、体腔积液分离病变细胞等方式获取病变细胞，制成涂片，进行病理检查的方法，属于细胞病理学检查，不属于组织病理学检查。</w:t>
      </w:r>
      <w:r/>
    </w:p>
  </w:footnote>
  <w:footnote w:id="3">
    <w:p>
      <w:pPr>
        <w:pStyle w:val="1503"/>
        <w:ind w:left="0" w:firstLine="0"/>
        <w:spacing w:line="240" w:lineRule="exact"/>
        <w:rPr>
          <w:rFonts w:ascii="宋体" w:hAnsi="宋体"/>
          <w:b/>
          <w:sz w:val="18"/>
          <w:szCs w:val="21"/>
        </w:rPr>
      </w:pPr>
      <w:r>
        <w:rPr>
          <w:rStyle w:val="1127"/>
          <w:rFonts w:ascii="宋体" w:hAnsi="宋体"/>
          <w:b/>
          <w:sz w:val="18"/>
          <w:vertAlign w:val="baseline"/>
        </w:rPr>
        <w:footnoteRef/>
      </w:r>
      <w:r>
        <w:rPr>
          <w:rFonts w:ascii="宋体" w:hAnsi="宋体"/>
          <w:b/>
          <w:sz w:val="18"/>
          <w:szCs w:val="21"/>
        </w:rPr>
        <w:t xml:space="preserve"> </w:t>
      </w:r>
      <w:r>
        <w:rPr>
          <w:rFonts w:hint="eastAsia" w:ascii="宋体" w:hAnsi="宋体"/>
          <w:b/>
          <w:sz w:val="18"/>
          <w:szCs w:val="21"/>
        </w:rPr>
        <w:t xml:space="preserve">ICD-10与ICD-O-3:</w:t>
      </w:r>
      <w:r>
        <w:rPr>
          <w:rFonts w:hint="eastAsia" w:ascii="宋体" w:hAnsi="宋体"/>
          <w:sz w:val="18"/>
          <w:szCs w:val="21"/>
        </w:rPr>
        <w:t xml:space="preserve">《疾病和有关健康问题的国际统计分类》第十次修订版（ICD-10），是世界卫生组织（WHO）发布的国际通用的疾病分类方法。《国际疾病分类肿瘤学专辑》第三版（ICD-O-3），是WHO发布的针对ICD中肿瘤形态学组织学细胞类型、动态、分化程度的补充编码。其中形态学编码：0代表良性肿瘤；1代表动态未定性肿瘤；2代表原位癌和非侵袭性癌；3代表恶性肿瘤（原发性）；6代表恶性肿瘤（转移性）；9代表恶性肿瘤（原发性或转移性未肯定）。</w:t>
      </w:r>
      <w:r>
        <w:rPr>
          <w:rFonts w:hint="eastAsia" w:ascii="宋体" w:hAnsi="宋体"/>
          <w:b/>
          <w:sz w:val="18"/>
          <w:szCs w:val="21"/>
        </w:rPr>
        <w:t xml:space="preserve">如果出现ICD-10与ICD-O-3不一致的情况，以ICD-O-3为准。</w:t>
      </w:r>
      <w:r/>
    </w:p>
  </w:footnote>
  <w:footnote w:id="4">
    <w:p>
      <w:pPr>
        <w:pStyle w:val="1503"/>
        <w:ind w:left="0" w:firstLine="2"/>
        <w:spacing w:line="240" w:lineRule="exact"/>
        <w:rPr>
          <w:rFonts w:ascii="宋体" w:hAnsi="宋体"/>
          <w:b/>
          <w:sz w:val="18"/>
          <w:szCs w:val="21"/>
        </w:rPr>
      </w:pPr>
      <w:r>
        <w:rPr>
          <w:rStyle w:val="1127"/>
          <w:rFonts w:ascii="宋体" w:hAnsi="宋体"/>
          <w:b/>
          <w:sz w:val="18"/>
          <w:szCs w:val="21"/>
          <w:vertAlign w:val="baseline"/>
        </w:rPr>
        <w:footnoteRef/>
      </w:r>
      <w:r>
        <w:rPr>
          <w:rFonts w:hint="eastAsia" w:ascii="宋体" w:hAnsi="宋体"/>
          <w:b/>
          <w:sz w:val="18"/>
          <w:szCs w:val="21"/>
        </w:rPr>
        <w:t xml:space="preserve"> TNM分期、甲状腺癌的TNM分期：TNM分期</w:t>
      </w:r>
      <w:r>
        <w:rPr>
          <w:rFonts w:hint="eastAsia" w:ascii="宋体" w:hAnsi="宋体"/>
          <w:sz w:val="18"/>
          <w:szCs w:val="21"/>
        </w:rPr>
        <w:t xml:space="preserve">采用AJCC癌症分期手册标准。该标准由美国癌症联合委员会与国际抗癌联合会TNM委员会联合制定，是目前肿瘤医学分期的国际通用标准。T指原发肿瘤的大小、形态等；N指淋巴结的转移情况；M指有无其他脏器的转移情况。</w:t>
      </w:r>
      <w:r>
        <w:rPr>
          <w:rFonts w:hint="eastAsia" w:ascii="宋体" w:hAnsi="宋体"/>
          <w:b/>
          <w:sz w:val="18"/>
          <w:szCs w:val="21"/>
        </w:rPr>
        <w:t xml:space="preserve">甲状腺癌的TNM分期</w:t>
      </w:r>
      <w:r>
        <w:rPr>
          <w:rFonts w:hint="eastAsia" w:ascii="宋体" w:hAnsi="宋体"/>
          <w:sz w:val="18"/>
          <w:szCs w:val="21"/>
        </w:rPr>
        <w:t xml:space="preserve">采用目前现行的AJCC第八版定义标准，我国国家卫生健康委员会2018年发布的《甲状腺癌诊疗规范（2018年版）》也采用此定义标准。</w:t>
      </w:r>
      <w:r/>
    </w:p>
  </w:footnote>
  <w:footnote w:id="5">
    <w:p>
      <w:pPr>
        <w:pStyle w:val="1503"/>
        <w:ind w:left="0" w:firstLine="0"/>
        <w:spacing w:line="240" w:lineRule="exact"/>
        <w:rPr>
          <w:rFonts w:ascii="宋体" w:hAnsi="宋体"/>
          <w:b/>
          <w:sz w:val="18"/>
          <w:szCs w:val="21"/>
        </w:rPr>
      </w:pPr>
      <w:r>
        <w:rPr>
          <w:rStyle w:val="1127"/>
          <w:rFonts w:ascii="宋体" w:hAnsi="宋体"/>
          <w:b/>
          <w:sz w:val="18"/>
          <w:szCs w:val="21"/>
          <w:vertAlign w:val="baseline"/>
        </w:rPr>
        <w:footnoteRef/>
      </w:r>
      <w:r>
        <w:rPr>
          <w:rFonts w:hint="eastAsia" w:ascii="宋体" w:hAnsi="宋体"/>
          <w:b/>
          <w:sz w:val="18"/>
          <w:szCs w:val="21"/>
        </w:rPr>
        <w:t xml:space="preserve"> 肢体：</w:t>
      </w:r>
      <w:r>
        <w:rPr>
          <w:rFonts w:hint="eastAsia" w:ascii="宋体" w:hAnsi="宋体"/>
          <w:sz w:val="18"/>
          <w:szCs w:val="21"/>
        </w:rPr>
        <w:t xml:space="preserve">指包括肩关节的整个上肢或包括髋关节的整个下肢。</w:t>
      </w:r>
      <w:r/>
    </w:p>
  </w:footnote>
  <w:footnote w:id="6">
    <w:p>
      <w:pPr>
        <w:pStyle w:val="1503"/>
        <w:ind w:left="0" w:firstLine="0"/>
        <w:spacing w:line="240" w:lineRule="exact"/>
        <w:rPr>
          <w:rFonts w:ascii="宋体" w:hAnsi="宋体"/>
          <w:sz w:val="18"/>
          <w:szCs w:val="21"/>
        </w:rPr>
      </w:pPr>
      <w:r>
        <w:rPr>
          <w:rStyle w:val="1127"/>
          <w:rFonts w:ascii="宋体" w:hAnsi="宋体"/>
          <w:b/>
          <w:sz w:val="18"/>
          <w:szCs w:val="21"/>
          <w:vertAlign w:val="baseline"/>
        </w:rPr>
        <w:footnoteRef/>
      </w:r>
      <w:r>
        <w:rPr>
          <w:rFonts w:hint="eastAsia" w:ascii="宋体" w:hAnsi="宋体"/>
          <w:b/>
          <w:sz w:val="18"/>
          <w:szCs w:val="21"/>
        </w:rPr>
        <w:t xml:space="preserve"> 肌力：</w:t>
      </w:r>
      <w:r>
        <w:rPr>
          <w:rFonts w:hint="eastAsia" w:ascii="宋体" w:hAnsi="宋体"/>
          <w:sz w:val="18"/>
          <w:szCs w:val="21"/>
        </w:rPr>
        <w:t xml:space="preserve">指肌肉收缩时的力量。肌力划分为0-5级，具体为：</w:t>
      </w:r>
      <w:r/>
    </w:p>
    <w:p>
      <w:pPr>
        <w:pStyle w:val="1503"/>
        <w:ind w:left="0" w:firstLine="0"/>
        <w:spacing w:line="240" w:lineRule="exact"/>
        <w:rPr>
          <w:rFonts w:ascii="宋体" w:hAnsi="宋体"/>
          <w:sz w:val="18"/>
          <w:szCs w:val="21"/>
        </w:rPr>
      </w:pPr>
      <w:r>
        <w:rPr>
          <w:rFonts w:hint="eastAsia" w:ascii="宋体" w:hAnsi="宋体"/>
          <w:sz w:val="18"/>
          <w:szCs w:val="21"/>
        </w:rPr>
        <w:t xml:space="preserve">0级：肌肉完全瘫痪，毫无收缩。</w:t>
      </w:r>
      <w:r/>
    </w:p>
    <w:p>
      <w:pPr>
        <w:pStyle w:val="1503"/>
        <w:ind w:left="0" w:firstLine="0"/>
        <w:spacing w:line="240" w:lineRule="exact"/>
        <w:rPr>
          <w:rFonts w:ascii="宋体" w:hAnsi="宋体"/>
          <w:sz w:val="18"/>
          <w:szCs w:val="21"/>
        </w:rPr>
      </w:pPr>
      <w:r>
        <w:rPr>
          <w:rFonts w:hint="eastAsia" w:ascii="宋体" w:hAnsi="宋体"/>
          <w:sz w:val="18"/>
          <w:szCs w:val="21"/>
        </w:rPr>
        <w:t xml:space="preserve">1级：可看到或者触及肌肉轻微收缩，但不能产生动作。</w:t>
      </w:r>
      <w:r/>
    </w:p>
    <w:p>
      <w:pPr>
        <w:pStyle w:val="1503"/>
        <w:ind w:left="0" w:firstLine="0"/>
        <w:spacing w:line="240" w:lineRule="exact"/>
        <w:rPr>
          <w:rFonts w:ascii="宋体" w:hAnsi="宋体"/>
          <w:sz w:val="18"/>
          <w:szCs w:val="21"/>
        </w:rPr>
      </w:pPr>
      <w:r>
        <w:rPr>
          <w:rFonts w:hint="eastAsia" w:ascii="宋体" w:hAnsi="宋体"/>
          <w:sz w:val="18"/>
          <w:szCs w:val="21"/>
        </w:rPr>
        <w:t xml:space="preserve">2级：肌肉在不受重力影响下，可进行运动，即肢体能在床面上移动，但不能抬高。</w:t>
      </w:r>
      <w:r/>
    </w:p>
    <w:p>
      <w:pPr>
        <w:pStyle w:val="1503"/>
        <w:ind w:left="0" w:firstLine="0"/>
        <w:spacing w:line="240" w:lineRule="exact"/>
        <w:rPr>
          <w:rFonts w:ascii="宋体" w:hAnsi="宋体"/>
          <w:sz w:val="18"/>
          <w:szCs w:val="21"/>
        </w:rPr>
      </w:pPr>
      <w:r>
        <w:rPr>
          <w:rFonts w:hint="eastAsia" w:ascii="宋体" w:hAnsi="宋体"/>
          <w:sz w:val="18"/>
          <w:szCs w:val="21"/>
        </w:rPr>
        <w:t xml:space="preserve">3级：在和地心引力相反的方向中尚能完成其动作，但不能对抗外加阻力。</w:t>
      </w:r>
      <w:r/>
    </w:p>
    <w:p>
      <w:pPr>
        <w:pStyle w:val="1503"/>
        <w:ind w:left="0" w:firstLine="0"/>
        <w:spacing w:line="240" w:lineRule="exact"/>
        <w:rPr>
          <w:rFonts w:ascii="宋体" w:hAnsi="宋体"/>
          <w:sz w:val="18"/>
          <w:szCs w:val="21"/>
        </w:rPr>
      </w:pPr>
      <w:r>
        <w:rPr>
          <w:rFonts w:hint="eastAsia" w:ascii="宋体" w:hAnsi="宋体"/>
          <w:sz w:val="18"/>
          <w:szCs w:val="21"/>
        </w:rPr>
        <w:t xml:space="preserve">4级：能对抗一定的阻力，但较正常人为低。</w:t>
      </w:r>
      <w:r/>
    </w:p>
    <w:p>
      <w:pPr>
        <w:pStyle w:val="1503"/>
        <w:ind w:left="0" w:firstLine="0"/>
        <w:spacing w:line="240" w:lineRule="exact"/>
        <w:rPr>
          <w:rFonts w:ascii="宋体" w:hAnsi="宋体"/>
          <w:b/>
          <w:sz w:val="18"/>
          <w:szCs w:val="21"/>
        </w:rPr>
      </w:pPr>
      <w:r>
        <w:rPr>
          <w:rFonts w:hint="eastAsia" w:ascii="宋体" w:hAnsi="宋体"/>
          <w:sz w:val="18"/>
          <w:szCs w:val="21"/>
        </w:rPr>
        <w:t xml:space="preserve">5级：正常肌力。</w:t>
      </w:r>
      <w:r/>
    </w:p>
  </w:footnote>
  <w:footnote w:id="7">
    <w:p>
      <w:pPr>
        <w:pStyle w:val="1503"/>
        <w:ind w:left="0" w:firstLine="0"/>
        <w:spacing w:line="240" w:lineRule="exact"/>
        <w:rPr>
          <w:rFonts w:ascii="宋体" w:hAnsi="宋体"/>
          <w:b/>
          <w:sz w:val="18"/>
          <w:szCs w:val="21"/>
        </w:rPr>
      </w:pPr>
      <w:r>
        <w:rPr>
          <w:rStyle w:val="1127"/>
          <w:rFonts w:ascii="宋体" w:hAnsi="宋体"/>
          <w:b/>
          <w:sz w:val="18"/>
          <w:szCs w:val="21"/>
          <w:vertAlign w:val="baseline"/>
        </w:rPr>
        <w:footnoteRef/>
      </w:r>
      <w:r>
        <w:rPr>
          <w:rFonts w:hint="eastAsia" w:ascii="宋体" w:hAnsi="宋体"/>
          <w:b/>
          <w:sz w:val="18"/>
          <w:szCs w:val="21"/>
        </w:rPr>
        <w:t xml:space="preserve"> 语言能力完全丧失：</w:t>
      </w:r>
      <w:r>
        <w:rPr>
          <w:rFonts w:hint="eastAsia" w:ascii="宋体" w:hAnsi="宋体"/>
          <w:sz w:val="18"/>
          <w:szCs w:val="21"/>
        </w:rPr>
        <w:t xml:space="preserve">指无法发出四种语音（包括口唇音、齿舌音、口盖音和喉头音）中的任何三种、或声带全部切除，或因大脑语言中枢受伤害而患失语症。</w:t>
      </w:r>
      <w:r/>
    </w:p>
  </w:footnote>
  <w:footnote w:id="8">
    <w:p>
      <w:pPr>
        <w:pStyle w:val="1503"/>
        <w:ind w:left="0" w:firstLine="0"/>
        <w:spacing w:line="240" w:lineRule="exact"/>
        <w:rPr>
          <w:rFonts w:ascii="宋体" w:hAnsi="宋体"/>
          <w:b/>
          <w:sz w:val="18"/>
          <w:szCs w:val="21"/>
        </w:rPr>
      </w:pPr>
      <w:r>
        <w:rPr>
          <w:rStyle w:val="1127"/>
          <w:rFonts w:ascii="宋体" w:hAnsi="宋体"/>
          <w:b/>
          <w:sz w:val="18"/>
          <w:szCs w:val="21"/>
          <w:vertAlign w:val="baseline"/>
        </w:rPr>
        <w:footnoteRef/>
      </w:r>
      <w:r>
        <w:rPr>
          <w:rFonts w:hint="eastAsia" w:ascii="宋体" w:hAnsi="宋体"/>
          <w:b/>
          <w:sz w:val="18"/>
          <w:szCs w:val="21"/>
        </w:rPr>
        <w:t xml:space="preserve"> 严重咀嚼吞咽功能障碍：</w:t>
      </w:r>
      <w:r>
        <w:rPr>
          <w:rFonts w:hint="eastAsia" w:ascii="宋体" w:hAnsi="宋体"/>
          <w:sz w:val="18"/>
          <w:szCs w:val="21"/>
        </w:rPr>
        <w:t xml:space="preserve">指因牙齿以外的原因导致器质障碍或机能障碍，以致不能作咀嚼吞咽运动，除流质食物外不能摄取或吞咽的状态。</w:t>
      </w:r>
      <w:r/>
    </w:p>
  </w:footnote>
  <w:footnote w:id="9">
    <w:p>
      <w:pPr>
        <w:pStyle w:val="1503"/>
        <w:ind w:left="0" w:firstLine="0"/>
        <w:spacing w:line="240" w:lineRule="exact"/>
        <w:rPr>
          <w:rFonts w:ascii="宋体" w:hAnsi="宋体"/>
          <w:b/>
          <w:sz w:val="18"/>
          <w:szCs w:val="21"/>
        </w:rPr>
      </w:pPr>
      <w:r>
        <w:rPr>
          <w:rStyle w:val="1127"/>
          <w:rFonts w:ascii="宋体" w:hAnsi="宋体"/>
          <w:b/>
          <w:sz w:val="18"/>
          <w:vertAlign w:val="baseline"/>
        </w:rPr>
        <w:footnoteRef/>
      </w:r>
      <w:r>
        <w:rPr>
          <w:rFonts w:hint="eastAsia" w:ascii="宋体" w:hAnsi="宋体"/>
          <w:b/>
          <w:sz w:val="18"/>
          <w:szCs w:val="21"/>
        </w:rPr>
        <w:t xml:space="preserve"> 六项基本日常生活活动</w:t>
      </w:r>
      <w:r>
        <w:rPr>
          <w:rFonts w:hint="eastAsia" w:ascii="宋体" w:hAnsi="宋体"/>
          <w:sz w:val="18"/>
          <w:szCs w:val="21"/>
        </w:rPr>
        <w:t xml:space="preserve">：是指：（1）穿衣：自己能够穿衣及脱衣；（2）移动：自己从一个房间到另一个房间；（3）行动：自己上下床或上下轮椅；（4）如厕：自己控制进行大小便；（5）进食：自己从已准备好的碗或碟中取食物放入口中；（6）洗澡：自己进行淋浴或盆浴。</w:t>
      </w:r>
      <w:r>
        <w:rPr>
          <w:rFonts w:hint="eastAsia" w:ascii="宋体" w:hAnsi="宋体"/>
          <w:b/>
          <w:sz w:val="18"/>
          <w:szCs w:val="21"/>
        </w:rPr>
        <w:t xml:space="preserve">六项基本日常生活活动能力的鉴定不适用于0-3周岁幼儿。</w:t>
      </w:r>
      <w:r/>
    </w:p>
  </w:footnote>
  <w:footnote w:id="10">
    <w:p>
      <w:pPr>
        <w:pStyle w:val="1503"/>
        <w:ind w:left="0" w:firstLine="0"/>
        <w:spacing w:line="240" w:lineRule="exact"/>
        <w:rPr>
          <w:rFonts w:ascii="宋体" w:hAnsi="宋体"/>
          <w:b/>
          <w:sz w:val="18"/>
          <w:szCs w:val="18"/>
        </w:rPr>
      </w:pPr>
      <w:r>
        <w:rPr>
          <w:rStyle w:val="1127"/>
          <w:rFonts w:ascii="宋体" w:hAnsi="宋体"/>
          <w:b/>
          <w:sz w:val="18"/>
          <w:szCs w:val="18"/>
          <w:vertAlign w:val="baseline"/>
        </w:rPr>
        <w:footnoteRef/>
      </w:r>
      <w:r>
        <w:rPr>
          <w:rFonts w:hint="eastAsia" w:ascii="宋体" w:hAnsi="宋体"/>
          <w:b/>
          <w:sz w:val="18"/>
          <w:szCs w:val="18"/>
        </w:rPr>
        <w:t xml:space="preserve"> 永久不可逆：</w:t>
      </w:r>
      <w:r>
        <w:rPr>
          <w:rFonts w:hint="eastAsia" w:ascii="宋体" w:hAnsi="宋体"/>
          <w:sz w:val="18"/>
          <w:szCs w:val="18"/>
        </w:rPr>
        <w:t xml:space="preserve">指自疾病确诊或意外伤害发生之日起，经过积极治疗180天后，仍无法通过现有医疗手段恢复。</w:t>
      </w:r>
      <w:r/>
    </w:p>
  </w:footnote>
  <w:footnote w:id="11">
    <w:p>
      <w:pPr>
        <w:pStyle w:val="1503"/>
        <w:ind w:left="0" w:firstLine="0"/>
        <w:spacing w:line="240" w:lineRule="atLeast"/>
        <w:rPr>
          <w:rFonts w:ascii="宋体" w:hAnsi="宋体"/>
          <w:b/>
          <w:sz w:val="18"/>
          <w:szCs w:val="21"/>
        </w:rPr>
      </w:pPr>
      <w:r>
        <w:rPr>
          <w:rStyle w:val="1127"/>
          <w:rFonts w:ascii="宋体" w:hAnsi="宋体"/>
          <w:b/>
          <w:sz w:val="18"/>
          <w:vertAlign w:val="baseline"/>
        </w:rPr>
        <w:footnoteRef/>
      </w:r>
      <w:r>
        <w:rPr>
          <w:rFonts w:hint="eastAsia" w:ascii="宋体" w:hAnsi="宋体"/>
          <w:b/>
          <w:sz w:val="18"/>
          <w:szCs w:val="21"/>
        </w:rPr>
        <w:t xml:space="preserve"> 美国纽约心脏病学会（New York Heart Association，NYHA）心功能状态分级：</w:t>
      </w:r>
      <w:r>
        <w:rPr>
          <w:rFonts w:hint="eastAsia" w:ascii="宋体" w:hAnsi="宋体"/>
          <w:sz w:val="18"/>
          <w:szCs w:val="21"/>
        </w:rPr>
        <w:t xml:space="preserve">美国纽约心脏病学会（New York Heart Association，NYHA）将心功能状态分为四级：</w:t>
      </w:r>
      <w:r/>
    </w:p>
    <w:p>
      <w:pPr>
        <w:pStyle w:val="1503"/>
        <w:ind w:left="0" w:firstLine="0"/>
        <w:spacing w:line="240" w:lineRule="atLeast"/>
        <w:rPr>
          <w:rFonts w:ascii="宋体" w:hAnsi="宋体"/>
          <w:sz w:val="18"/>
          <w:szCs w:val="21"/>
        </w:rPr>
      </w:pPr>
      <w:r>
        <w:rPr>
          <w:rFonts w:hint="eastAsia" w:ascii="宋体" w:hAnsi="宋体"/>
          <w:sz w:val="18"/>
          <w:szCs w:val="21"/>
        </w:rPr>
        <w:t xml:space="preserve">Ⅰ级：心脏病病人日常活动量不受限制，一般活动不引起乏力、呼吸困难等心衰症状。</w:t>
      </w:r>
      <w:r/>
    </w:p>
    <w:p>
      <w:pPr>
        <w:pStyle w:val="1503"/>
        <w:ind w:left="0" w:firstLine="0"/>
        <w:spacing w:line="240" w:lineRule="atLeast"/>
        <w:rPr>
          <w:rFonts w:ascii="宋体" w:hAnsi="宋体"/>
          <w:sz w:val="18"/>
          <w:szCs w:val="21"/>
        </w:rPr>
      </w:pPr>
      <w:r>
        <w:rPr>
          <w:rFonts w:hint="eastAsia" w:ascii="宋体" w:hAnsi="宋体"/>
          <w:sz w:val="18"/>
          <w:szCs w:val="21"/>
        </w:rPr>
        <w:t xml:space="preserve">Ⅱ级：心脏病病人体力活动轻度受限制，休息时无自觉症状，一般活动下可出现心衰症状。</w:t>
      </w:r>
      <w:r/>
    </w:p>
    <w:p>
      <w:pPr>
        <w:pStyle w:val="1503"/>
        <w:ind w:left="0" w:firstLine="0"/>
        <w:spacing w:line="240" w:lineRule="atLeast"/>
        <w:rPr>
          <w:rFonts w:ascii="宋体" w:hAnsi="宋体"/>
          <w:sz w:val="18"/>
          <w:szCs w:val="21"/>
        </w:rPr>
      </w:pPr>
      <w:r>
        <w:rPr>
          <w:rFonts w:hint="eastAsia" w:ascii="宋体" w:hAnsi="宋体"/>
          <w:sz w:val="18"/>
          <w:szCs w:val="21"/>
        </w:rPr>
        <w:t xml:space="preserve">Ⅲ级：心脏病病人体力活动明显受限，低于平时一般活动即引起心衰症状。</w:t>
      </w:r>
      <w:r/>
    </w:p>
    <w:p>
      <w:pPr>
        <w:pStyle w:val="1503"/>
        <w:ind w:left="0" w:firstLine="0"/>
        <w:spacing w:line="240" w:lineRule="atLeast"/>
        <w:rPr>
          <w:rFonts w:ascii="宋体" w:hAnsi="宋体"/>
          <w:szCs w:val="21"/>
        </w:rPr>
      </w:pPr>
      <w:r>
        <w:rPr>
          <w:rFonts w:hint="eastAsia" w:ascii="宋体" w:hAnsi="宋体"/>
          <w:sz w:val="18"/>
          <w:szCs w:val="21"/>
        </w:rPr>
        <w:t xml:space="preserve">Ⅳ级：心脏病病人不能从事任何体力活动，休息状态下也存在心衰症状，活动后加重。</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9525" b="3810"/>
              <wp:docPr id="1" name="图片 7"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2pt;height:14.7pt;mso-wrap-distance-left:0.0pt;mso-wrap-distance-top:0.0pt;mso-wrap-distance-right:0.0pt;mso-wrap-distance-bottom:0.0pt;" stroked="f">
              <v:path textboxrect="0,0,0,0"/>
              <v:imagedata r:id="rId1" o:title=""/>
            </v:shape>
          </w:pict>
        </mc:Fallback>
      </mc:AlternateContent>
    </w:r>
    <w:r/>
  </w:p>
  <w:p>
    <w:pPr>
      <w:pStyle w:val="1101"/>
      <w:pBdr>
        <w:bottom w:val="single" w:color="auto"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right"/>
      <w:pBdr>
        <w:bottom w:val="single" w:color="auto" w:sz="4"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0" b="3810"/>
              <wp:docPr id="2" name="图片 6"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2pt;height:14.7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firstLine="361"/>
    </w:pPr>
    <w:r/>
    <w:r/>
  </w:p>
  <w:p>
    <w:r/>
    <w:r/>
  </w:p>
  <w:p>
    <w:r/>
    <w:r/>
  </w:p>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376"/>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6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33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325"/>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324"/>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361"/>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360"/>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369"/>
      <w:isLgl/>
      <w:suff w:val="nothing"/>
      <w:lvlText w:val="%1.%2.%3.%4.%5.%6　"/>
      <w:lvlJc w:val="left"/>
      <w:pPr>
        <w:ind w:left="-25" w:firstLine="0"/>
      </w:pPr>
      <w:rPr>
        <w:rFonts w:hint="default" w:ascii="Times New Roman" w:hAnsi="Times New Roman" w:eastAsia="宋体"/>
        <w:b/>
        <w:i w:val="0"/>
        <w:sz w:val="28"/>
      </w:rPr>
    </w:lvl>
    <w:lvl w:ilvl="6">
      <w:start w:val="1"/>
      <w:numFmt w:val="lowerLetter"/>
      <w:pStyle w:val="1382"/>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345"/>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1785"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40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isLgl w:val="false"/>
      <w:suff w:val="tab"/>
      <w:lvlText w:val="（%1）"/>
      <w:lvlJc w:val="left"/>
      <w:pPr>
        <w:ind w:left="1697" w:hanging="420"/>
      </w:pPr>
      <w:rPr>
        <w:rFonts w:hint="default"/>
      </w:rPr>
    </w:lvl>
    <w:lvl w:ilvl="1">
      <w:start w:val="1"/>
      <w:numFmt w:val="lowerLetter"/>
      <w:isLgl w:val="false"/>
      <w:suff w:val="tab"/>
      <w:lvlText w:val="%2)"/>
      <w:lvlJc w:val="left"/>
      <w:pPr>
        <w:ind w:left="2117" w:hanging="420"/>
      </w:pPr>
    </w:lvl>
    <w:lvl w:ilvl="2">
      <w:start w:val="1"/>
      <w:numFmt w:val="lowerRoman"/>
      <w:isLgl w:val="false"/>
      <w:suff w:val="tab"/>
      <w:lvlText w:val="%3."/>
      <w:lvlJc w:val="right"/>
      <w:pPr>
        <w:ind w:left="2537" w:hanging="420"/>
      </w:pPr>
    </w:lvl>
    <w:lvl w:ilvl="3">
      <w:start w:val="1"/>
      <w:numFmt w:val="decimal"/>
      <w:isLgl w:val="false"/>
      <w:suff w:val="tab"/>
      <w:lvlText w:val="%4."/>
      <w:lvlJc w:val="left"/>
      <w:pPr>
        <w:ind w:left="2957" w:hanging="420"/>
      </w:pPr>
    </w:lvl>
    <w:lvl w:ilvl="4">
      <w:start w:val="1"/>
      <w:numFmt w:val="lowerLetter"/>
      <w:isLgl w:val="false"/>
      <w:suff w:val="tab"/>
      <w:lvlText w:val="%5)"/>
      <w:lvlJc w:val="left"/>
      <w:pPr>
        <w:ind w:left="3377" w:hanging="420"/>
      </w:pPr>
    </w:lvl>
    <w:lvl w:ilvl="5">
      <w:start w:val="1"/>
      <w:numFmt w:val="lowerRoman"/>
      <w:isLgl w:val="false"/>
      <w:suff w:val="tab"/>
      <w:lvlText w:val="%6."/>
      <w:lvlJc w:val="right"/>
      <w:pPr>
        <w:ind w:left="3797" w:hanging="420"/>
      </w:pPr>
    </w:lvl>
    <w:lvl w:ilvl="6">
      <w:start w:val="1"/>
      <w:numFmt w:val="decimal"/>
      <w:isLgl w:val="false"/>
      <w:suff w:val="tab"/>
      <w:lvlText w:val="%7."/>
      <w:lvlJc w:val="left"/>
      <w:pPr>
        <w:ind w:left="4217" w:hanging="420"/>
      </w:pPr>
    </w:lvl>
    <w:lvl w:ilvl="7">
      <w:start w:val="1"/>
      <w:numFmt w:val="lowerLetter"/>
      <w:isLgl w:val="false"/>
      <w:suff w:val="tab"/>
      <w:lvlText w:val="%8)"/>
      <w:lvlJc w:val="left"/>
      <w:pPr>
        <w:ind w:left="4637" w:hanging="420"/>
      </w:pPr>
    </w:lvl>
    <w:lvl w:ilvl="8">
      <w:start w:val="1"/>
      <w:numFmt w:val="lowerRoman"/>
      <w:isLgl w:val="false"/>
      <w:suff w:val="tab"/>
      <w:lvlText w:val="%9."/>
      <w:lvlJc w:val="right"/>
      <w:pPr>
        <w:ind w:left="5057" w:hanging="420"/>
      </w:pPr>
    </w:lvl>
  </w:abstractNum>
  <w:abstractNum w:abstractNumId="9">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10">
    <w:multiLevelType w:val="hybridMultilevel"/>
    <w:lvl w:ilvl="0">
      <w:start w:val="1"/>
      <w:numFmt w:val="decimal"/>
      <w:isLgl w:val="false"/>
      <w:suff w:val="tab"/>
      <w:lvlText w:val="（%1）"/>
      <w:lvlJc w:val="left"/>
      <w:pPr>
        <w:ind w:left="1785"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12">
    <w:multiLevelType w:val="hybridMultilevel"/>
    <w:lvl w:ilvl="0">
      <w:start w:val="1"/>
      <w:numFmt w:val="decimal"/>
      <w:isLgl w:val="false"/>
      <w:suff w:val="tab"/>
      <w:lvlText w:val="（%1）"/>
      <w:lvlJc w:val="left"/>
      <w:pPr>
        <w:ind w:left="1751" w:hanging="420"/>
      </w:pPr>
      <w:rPr>
        <w:rFonts w:hint="default"/>
      </w:rPr>
    </w:lvl>
    <w:lvl w:ilvl="1">
      <w:start w:val="1"/>
      <w:numFmt w:val="lowerLetter"/>
      <w:isLgl w:val="false"/>
      <w:suff w:val="tab"/>
      <w:lvlText w:val="%2)"/>
      <w:lvlJc w:val="left"/>
      <w:pPr>
        <w:ind w:left="806" w:hanging="420"/>
      </w:pPr>
    </w:lvl>
    <w:lvl w:ilvl="2">
      <w:start w:val="1"/>
      <w:numFmt w:val="lowerRoman"/>
      <w:isLgl w:val="false"/>
      <w:suff w:val="tab"/>
      <w:lvlText w:val="%3."/>
      <w:lvlJc w:val="right"/>
      <w:pPr>
        <w:ind w:left="1226" w:hanging="420"/>
      </w:pPr>
    </w:lvl>
    <w:lvl w:ilvl="3">
      <w:start w:val="1"/>
      <w:numFmt w:val="decimal"/>
      <w:isLgl w:val="false"/>
      <w:suff w:val="tab"/>
      <w:lvlText w:val="%4."/>
      <w:lvlJc w:val="left"/>
      <w:pPr>
        <w:ind w:left="1646" w:hanging="420"/>
      </w:pPr>
    </w:lvl>
    <w:lvl w:ilvl="4">
      <w:start w:val="1"/>
      <w:numFmt w:val="lowerLetter"/>
      <w:isLgl w:val="false"/>
      <w:suff w:val="tab"/>
      <w:lvlText w:val="%5)"/>
      <w:lvlJc w:val="left"/>
      <w:pPr>
        <w:ind w:left="2066" w:hanging="420"/>
      </w:pPr>
    </w:lvl>
    <w:lvl w:ilvl="5">
      <w:start w:val="1"/>
      <w:numFmt w:val="lowerRoman"/>
      <w:isLgl w:val="false"/>
      <w:suff w:val="tab"/>
      <w:lvlText w:val="%6."/>
      <w:lvlJc w:val="right"/>
      <w:pPr>
        <w:ind w:left="2486" w:hanging="420"/>
      </w:pPr>
    </w:lvl>
    <w:lvl w:ilvl="6">
      <w:start w:val="1"/>
      <w:numFmt w:val="decimal"/>
      <w:isLgl w:val="false"/>
      <w:suff w:val="tab"/>
      <w:lvlText w:val="%7."/>
      <w:lvlJc w:val="left"/>
      <w:pPr>
        <w:ind w:left="2906" w:hanging="420"/>
      </w:pPr>
    </w:lvl>
    <w:lvl w:ilvl="7">
      <w:start w:val="1"/>
      <w:numFmt w:val="lowerLetter"/>
      <w:isLgl w:val="false"/>
      <w:suff w:val="tab"/>
      <w:lvlText w:val="%8)"/>
      <w:lvlJc w:val="left"/>
      <w:pPr>
        <w:ind w:left="3326" w:hanging="420"/>
      </w:pPr>
    </w:lvl>
    <w:lvl w:ilvl="8">
      <w:start w:val="1"/>
      <w:numFmt w:val="lowerRoman"/>
      <w:isLgl w:val="false"/>
      <w:suff w:val="tab"/>
      <w:lvlText w:val="%9."/>
      <w:lvlJc w:val="right"/>
      <w:pPr>
        <w:ind w:left="3746" w:hanging="420"/>
      </w:pPr>
    </w:lvl>
  </w:abstractNum>
  <w:abstractNum w:abstractNumId="13">
    <w:multiLevelType w:val="hybridMultilevel"/>
    <w:lvl w:ilvl="0">
      <w:start w:val="1"/>
      <w:numFmt w:val="decimal"/>
      <w:isLgl w:val="false"/>
      <w:suff w:val="tab"/>
      <w:lvlText w:val="（%1）"/>
      <w:lvlJc w:val="left"/>
      <w:pPr>
        <w:ind w:left="2117" w:hanging="7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1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785"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17">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18">
    <w:multiLevelType w:val="hybridMultilevel"/>
    <w:lvl w:ilvl="0">
      <w:start w:val="1"/>
      <w:numFmt w:val="decimal"/>
      <w:pStyle w:val="1430"/>
      <w:isLgl w:val="false"/>
      <w:suff w:val="tab"/>
      <w:lvlText w:val="%1"/>
      <w:lvlJc w:val="left"/>
      <w:pPr>
        <w:ind w:left="680" w:hanging="680"/>
      </w:pPr>
      <w:rPr>
        <w:rFonts w:hint="eastAsia" w:ascii="宋体" w:hAnsi="宋体" w:eastAsia="宋体"/>
      </w:rPr>
    </w:lvl>
    <w:lvl w:ilvl="1">
      <w:start w:val="1"/>
      <w:numFmt w:val="decimal"/>
      <w:pStyle w:val="1431"/>
      <w:isLgl w:val="false"/>
      <w:suff w:val="tab"/>
      <w:lvlText w:val="%1.%2"/>
      <w:lvlJc w:val="left"/>
      <w:pPr>
        <w:ind w:left="851" w:hanging="851"/>
      </w:pPr>
      <w:rPr>
        <w:rFonts w:hint="eastAsia" w:ascii="宋体" w:hAnsi="宋体" w:eastAsia="宋体"/>
        <w:color w:val="auto"/>
      </w:rPr>
    </w:lvl>
    <w:lvl w:ilvl="2">
      <w:start w:val="1"/>
      <w:numFmt w:val="decimal"/>
      <w:pStyle w:val="143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9">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20">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2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1819" w:hanging="420"/>
      </w:pPr>
      <w:rPr>
        <w:rFonts w:hint="default"/>
      </w:rPr>
    </w:lvl>
    <w:lvl w:ilvl="1">
      <w:start w:val="1"/>
      <w:numFmt w:val="lowerLetter"/>
      <w:isLgl w:val="false"/>
      <w:suff w:val="tab"/>
      <w:lvlText w:val="%2)"/>
      <w:lvlJc w:val="left"/>
      <w:pPr>
        <w:ind w:left="2239" w:hanging="420"/>
      </w:pPr>
    </w:lvl>
    <w:lvl w:ilvl="2">
      <w:start w:val="1"/>
      <w:numFmt w:val="lowerRoman"/>
      <w:isLgl w:val="false"/>
      <w:suff w:val="tab"/>
      <w:lvlText w:val="%3."/>
      <w:lvlJc w:val="right"/>
      <w:pPr>
        <w:ind w:left="2659" w:hanging="420"/>
      </w:pPr>
    </w:lvl>
    <w:lvl w:ilvl="3">
      <w:start w:val="1"/>
      <w:numFmt w:val="decimal"/>
      <w:isLgl w:val="false"/>
      <w:suff w:val="tab"/>
      <w:lvlText w:val="%4."/>
      <w:lvlJc w:val="left"/>
      <w:pPr>
        <w:ind w:left="3079" w:hanging="420"/>
      </w:pPr>
    </w:lvl>
    <w:lvl w:ilvl="4">
      <w:start w:val="1"/>
      <w:numFmt w:val="lowerLetter"/>
      <w:isLgl w:val="false"/>
      <w:suff w:val="tab"/>
      <w:lvlText w:val="%5)"/>
      <w:lvlJc w:val="left"/>
      <w:pPr>
        <w:ind w:left="3499" w:hanging="420"/>
      </w:pPr>
    </w:lvl>
    <w:lvl w:ilvl="5">
      <w:start w:val="1"/>
      <w:numFmt w:val="lowerRoman"/>
      <w:isLgl w:val="false"/>
      <w:suff w:val="tab"/>
      <w:lvlText w:val="%6."/>
      <w:lvlJc w:val="right"/>
      <w:pPr>
        <w:ind w:left="3919" w:hanging="420"/>
      </w:pPr>
    </w:lvl>
    <w:lvl w:ilvl="6">
      <w:start w:val="1"/>
      <w:numFmt w:val="decimal"/>
      <w:isLgl w:val="false"/>
      <w:suff w:val="tab"/>
      <w:lvlText w:val="%7."/>
      <w:lvlJc w:val="left"/>
      <w:pPr>
        <w:ind w:left="4339" w:hanging="420"/>
      </w:pPr>
    </w:lvl>
    <w:lvl w:ilvl="7">
      <w:start w:val="1"/>
      <w:numFmt w:val="lowerLetter"/>
      <w:isLgl w:val="false"/>
      <w:suff w:val="tab"/>
      <w:lvlText w:val="%8)"/>
      <w:lvlJc w:val="left"/>
      <w:pPr>
        <w:ind w:left="4759" w:hanging="420"/>
      </w:pPr>
    </w:lvl>
    <w:lvl w:ilvl="8">
      <w:start w:val="1"/>
      <w:numFmt w:val="lowerRoman"/>
      <w:isLgl w:val="false"/>
      <w:suff w:val="tab"/>
      <w:lvlText w:val="%9."/>
      <w:lvlJc w:val="right"/>
      <w:pPr>
        <w:ind w:left="5179" w:hanging="420"/>
      </w:pPr>
    </w:lvl>
  </w:abstractNum>
  <w:abstractNum w:abstractNumId="23">
    <w:multiLevelType w:val="hybridMultilevel"/>
    <w:lvl w:ilvl="0">
      <w:start w:val="1"/>
      <w:numFmt w:val="decimal"/>
      <w:isLgl w:val="false"/>
      <w:suff w:val="tab"/>
      <w:lvlText w:val="（%1）"/>
      <w:lvlJc w:val="left"/>
      <w:pPr>
        <w:ind w:left="1819" w:hanging="420"/>
      </w:pPr>
      <w:rPr>
        <w:rFonts w:hint="default"/>
      </w:rPr>
    </w:lvl>
    <w:lvl w:ilvl="1">
      <w:start w:val="1"/>
      <w:numFmt w:val="lowerLetter"/>
      <w:isLgl w:val="false"/>
      <w:suff w:val="tab"/>
      <w:lvlText w:val="%2."/>
      <w:lvlJc w:val="left"/>
      <w:pPr>
        <w:ind w:left="2239" w:hanging="420"/>
      </w:pPr>
      <w:rPr>
        <w:rFonts w:hint="default"/>
      </w:rPr>
    </w:lvl>
    <w:lvl w:ilvl="2">
      <w:start w:val="1"/>
      <w:numFmt w:val="lowerRoman"/>
      <w:isLgl w:val="false"/>
      <w:suff w:val="tab"/>
      <w:lvlText w:val="%3."/>
      <w:lvlJc w:val="right"/>
      <w:pPr>
        <w:ind w:left="2659" w:hanging="420"/>
      </w:pPr>
    </w:lvl>
    <w:lvl w:ilvl="3">
      <w:start w:val="1"/>
      <w:numFmt w:val="decimal"/>
      <w:isLgl w:val="false"/>
      <w:suff w:val="tab"/>
      <w:lvlText w:val="%4."/>
      <w:lvlJc w:val="left"/>
      <w:pPr>
        <w:ind w:left="3079" w:hanging="420"/>
      </w:pPr>
    </w:lvl>
    <w:lvl w:ilvl="4">
      <w:start w:val="1"/>
      <w:numFmt w:val="lowerLetter"/>
      <w:isLgl w:val="false"/>
      <w:suff w:val="tab"/>
      <w:lvlText w:val="%5)"/>
      <w:lvlJc w:val="left"/>
      <w:pPr>
        <w:ind w:left="3499" w:hanging="420"/>
      </w:pPr>
    </w:lvl>
    <w:lvl w:ilvl="5">
      <w:start w:val="1"/>
      <w:numFmt w:val="lowerRoman"/>
      <w:isLgl w:val="false"/>
      <w:suff w:val="tab"/>
      <w:lvlText w:val="%6."/>
      <w:lvlJc w:val="right"/>
      <w:pPr>
        <w:ind w:left="3919" w:hanging="420"/>
      </w:pPr>
    </w:lvl>
    <w:lvl w:ilvl="6">
      <w:start w:val="1"/>
      <w:numFmt w:val="decimal"/>
      <w:isLgl w:val="false"/>
      <w:suff w:val="tab"/>
      <w:lvlText w:val="%7."/>
      <w:lvlJc w:val="left"/>
      <w:pPr>
        <w:ind w:left="4339" w:hanging="420"/>
      </w:pPr>
    </w:lvl>
    <w:lvl w:ilvl="7">
      <w:start w:val="1"/>
      <w:numFmt w:val="lowerLetter"/>
      <w:isLgl w:val="false"/>
      <w:suff w:val="tab"/>
      <w:lvlText w:val="%8)"/>
      <w:lvlJc w:val="left"/>
      <w:pPr>
        <w:ind w:left="4759" w:hanging="420"/>
      </w:pPr>
    </w:lvl>
    <w:lvl w:ilvl="8">
      <w:start w:val="1"/>
      <w:numFmt w:val="lowerRoman"/>
      <w:isLgl w:val="false"/>
      <w:suff w:val="tab"/>
      <w:lvlText w:val="%9."/>
      <w:lvlJc w:val="right"/>
      <w:pPr>
        <w:ind w:left="5179" w:hanging="420"/>
      </w:pPr>
    </w:lvl>
  </w:abstractNum>
  <w:abstractNum w:abstractNumId="24">
    <w:multiLevelType w:val="hybridMultilevel"/>
    <w:lvl w:ilvl="0">
      <w:start w:val="1"/>
      <w:numFmt w:val="decimal"/>
      <w:isLgl w:val="false"/>
      <w:suff w:val="tab"/>
      <w:lvlText w:val="（%1）"/>
      <w:lvlJc w:val="left"/>
      <w:pPr>
        <w:ind w:left="1785"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26">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27">
    <w:multiLevelType w:val="hybridMultilevel"/>
    <w:lvl w:ilvl="0">
      <w:start w:val="1"/>
      <w:numFmt w:val="decimal"/>
      <w:pStyle w:val="133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30">
    <w:multiLevelType w:val="hybridMultilevel"/>
    <w:lvl w:ilvl="0">
      <w:start w:val="1"/>
      <w:numFmt w:val="decimal"/>
      <w:isLgl w:val="false"/>
      <w:suff w:val="tab"/>
      <w:lvlText w:val="（%1）"/>
      <w:lvlJc w:val="left"/>
      <w:pPr>
        <w:ind w:left="1783"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2">
    <w:multiLevelType w:val="hybridMultilevel"/>
    <w:lvl w:ilvl="0">
      <w:start w:val="1"/>
      <w:numFmt w:val="decimalEnclosedCircle"/>
      <w:isLgl w:val="false"/>
      <w:suff w:val="tab"/>
      <w:lvlText w:val="%1"/>
      <w:lvlJc w:val="left"/>
      <w:pPr>
        <w:ind w:left="1757" w:hanging="36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33">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34">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35">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num w:numId="1">
    <w:abstractNumId w:val="4"/>
  </w:num>
  <w:num w:numId="2">
    <w:abstractNumId w:val="3"/>
  </w:num>
  <w:num w:numId="3">
    <w:abstractNumId w:val="27"/>
  </w:num>
  <w:num w:numId="4">
    <w:abstractNumId w:val="2"/>
  </w:num>
  <w:num w:numId="5">
    <w:abstractNumId w:val="1"/>
  </w:num>
  <w:num w:numId="6">
    <w:abstractNumId w:val="7"/>
  </w:num>
  <w:num w:numId="7">
    <w:abstractNumId w:val="18"/>
  </w:num>
  <w:num w:numId="8">
    <w:abstractNumId w:val="31"/>
  </w:num>
  <w:num w:numId="9">
    <w:abstractNumId w:val="6"/>
  </w:num>
  <w:num w:numId="10">
    <w:abstractNumId w:val="0"/>
  </w:num>
  <w:num w:numId="11">
    <w:abstractNumId w:val="22"/>
  </w:num>
  <w:num w:numId="12">
    <w:abstractNumId w:val="23"/>
  </w:num>
  <w:num w:numId="13">
    <w:abstractNumId w:val="34"/>
  </w:num>
  <w:num w:numId="14">
    <w:abstractNumId w:val="26"/>
  </w:num>
  <w:num w:numId="15">
    <w:abstractNumId w:val="33"/>
  </w:num>
  <w:num w:numId="16">
    <w:abstractNumId w:val="16"/>
  </w:num>
  <w:num w:numId="17">
    <w:abstractNumId w:val="20"/>
  </w:num>
  <w:num w:numId="18">
    <w:abstractNumId w:val="17"/>
  </w:num>
  <w:num w:numId="19">
    <w:abstractNumId w:val="8"/>
  </w:num>
  <w:num w:numId="20">
    <w:abstractNumId w:val="19"/>
  </w:num>
  <w:num w:numId="21">
    <w:abstractNumId w:val="11"/>
  </w:num>
  <w:num w:numId="22">
    <w:abstractNumId w:val="29"/>
  </w:num>
  <w:num w:numId="23">
    <w:abstractNumId w:val="9"/>
  </w:num>
  <w:num w:numId="24">
    <w:abstractNumId w:val="35"/>
  </w:num>
  <w:num w:numId="25">
    <w:abstractNumId w:val="32"/>
  </w:num>
  <w:num w:numId="26">
    <w:abstractNumId w:val="25"/>
  </w:num>
  <w:num w:numId="27">
    <w:abstractNumId w:val="13"/>
  </w:num>
  <w:num w:numId="28">
    <w:abstractNumId w:val="5"/>
  </w:num>
  <w:num w:numId="29">
    <w:abstractNumId w:val="24"/>
  </w:num>
  <w:num w:numId="30">
    <w:abstractNumId w:val="15"/>
  </w:num>
  <w:num w:numId="31">
    <w:abstractNumId w:val="30"/>
  </w:num>
  <w:num w:numId="32">
    <w:abstractNumId w:val="12"/>
  </w:num>
  <w:num w:numId="33">
    <w:abstractNumId w:val="10"/>
  </w:num>
  <w:num w:numId="34">
    <w:abstractNumId w:val="14"/>
  </w:num>
  <w:num w:numId="35">
    <w:abstractNumId w:val="28"/>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1">
    <w:name w:val="Heading 1"/>
    <w:basedOn w:val="1070"/>
    <w:next w:val="1070"/>
    <w:link w:val="1275"/>
    <w:uiPriority w:val="0"/>
    <w:qFormat/>
    <w:pPr>
      <w:jc w:val="center"/>
      <w:keepLines/>
      <w:keepNext/>
      <w:spacing w:before="240" w:after="120" w:line="300" w:lineRule="auto"/>
      <w:outlineLvl w:val="0"/>
    </w:pPr>
    <w:rPr>
      <w:rFonts w:ascii="宋体"/>
      <w:b/>
      <w:sz w:val="32"/>
      <w:szCs w:val="20"/>
    </w:rPr>
  </w:style>
  <w:style w:type="paragraph" w:styleId="1072">
    <w:name w:val="Heading 2"/>
    <w:basedOn w:val="1070"/>
    <w:next w:val="1070"/>
    <w:link w:val="1276"/>
    <w:uiPriority w:val="0"/>
    <w:qFormat/>
    <w:pPr>
      <w:jc w:val="center"/>
      <w:keepLines/>
      <w:keepNext/>
      <w:spacing w:before="120" w:line="300" w:lineRule="auto"/>
      <w:outlineLvl w:val="1"/>
    </w:pPr>
    <w:rPr>
      <w:rFonts w:ascii="Arial" w:hAnsi="Arial" w:eastAsia="黑体"/>
      <w:b/>
      <w:sz w:val="30"/>
      <w:szCs w:val="20"/>
    </w:rPr>
  </w:style>
  <w:style w:type="paragraph" w:styleId="1073">
    <w:name w:val="Heading 3"/>
    <w:basedOn w:val="1070"/>
    <w:next w:val="1070"/>
    <w:link w:val="1278"/>
    <w:uiPriority w:val="0"/>
    <w:qFormat/>
    <w:pPr>
      <w:jc w:val="left"/>
      <w:keepLines/>
      <w:keepNext/>
      <w:spacing w:before="360" w:after="120"/>
      <w:outlineLvl w:val="2"/>
    </w:pPr>
    <w:rPr>
      <w:rFonts w:ascii="宋体"/>
      <w:b/>
      <w:sz w:val="24"/>
      <w:szCs w:val="20"/>
      <w:u w:val="single"/>
    </w:rPr>
  </w:style>
  <w:style w:type="paragraph" w:styleId="1074">
    <w:name w:val="Heading 4"/>
    <w:basedOn w:val="1070"/>
    <w:next w:val="1070"/>
    <w:link w:val="1279"/>
    <w:uiPriority w:val="0"/>
    <w:qFormat/>
    <w:pPr>
      <w:keepLines/>
      <w:keepNext/>
      <w:spacing w:before="280" w:after="290" w:line="376" w:lineRule="atLeast"/>
      <w:outlineLvl w:val="3"/>
    </w:pPr>
    <w:rPr>
      <w:rFonts w:ascii="Arial" w:hAnsi="Arial" w:eastAsia="黑体"/>
      <w:b/>
      <w:sz w:val="28"/>
      <w:szCs w:val="20"/>
    </w:rPr>
  </w:style>
  <w:style w:type="paragraph" w:styleId="1075">
    <w:name w:val="Heading 5"/>
    <w:basedOn w:val="1070"/>
    <w:next w:val="1070"/>
    <w:link w:val="1280"/>
    <w:uiPriority w:val="0"/>
    <w:qFormat/>
    <w:pPr>
      <w:keepLines/>
      <w:keepNext/>
      <w:spacing w:before="280" w:after="290" w:line="376" w:lineRule="atLeast"/>
      <w:outlineLvl w:val="4"/>
    </w:pPr>
    <w:rPr>
      <w:b/>
      <w:sz w:val="28"/>
      <w:szCs w:val="20"/>
    </w:rPr>
  </w:style>
  <w:style w:type="paragraph" w:styleId="1076">
    <w:name w:val="Heading 6"/>
    <w:basedOn w:val="1070"/>
    <w:next w:val="1070"/>
    <w:link w:val="1281"/>
    <w:uiPriority w:val="0"/>
    <w:qFormat/>
    <w:pPr>
      <w:keepLines/>
      <w:keepNext/>
      <w:spacing w:before="240" w:after="64" w:line="320" w:lineRule="atLeast"/>
      <w:outlineLvl w:val="5"/>
    </w:pPr>
    <w:rPr>
      <w:rFonts w:ascii="Arial" w:hAnsi="Arial" w:eastAsia="黑体"/>
      <w:b/>
      <w:sz w:val="24"/>
      <w:szCs w:val="20"/>
    </w:rPr>
  </w:style>
  <w:style w:type="paragraph" w:styleId="1077">
    <w:name w:val="Heading 7"/>
    <w:basedOn w:val="1070"/>
    <w:next w:val="1070"/>
    <w:link w:val="1282"/>
    <w:uiPriority w:val="0"/>
    <w:qFormat/>
    <w:pPr>
      <w:keepLines/>
      <w:keepNext/>
      <w:spacing w:before="240" w:after="64" w:line="320" w:lineRule="atLeast"/>
      <w:outlineLvl w:val="6"/>
    </w:pPr>
    <w:rPr>
      <w:b/>
      <w:sz w:val="24"/>
      <w:szCs w:val="20"/>
    </w:rPr>
  </w:style>
  <w:style w:type="paragraph" w:styleId="1078">
    <w:name w:val="Heading 8"/>
    <w:basedOn w:val="1070"/>
    <w:next w:val="1070"/>
    <w:link w:val="1283"/>
    <w:uiPriority w:val="0"/>
    <w:qFormat/>
    <w:pPr>
      <w:keepLines/>
      <w:keepNext/>
      <w:spacing w:before="240" w:after="64" w:line="320" w:lineRule="atLeast"/>
      <w:outlineLvl w:val="7"/>
    </w:pPr>
    <w:rPr>
      <w:rFonts w:ascii="Arial" w:hAnsi="Arial" w:eastAsia="黑体"/>
      <w:sz w:val="24"/>
      <w:szCs w:val="20"/>
    </w:rPr>
  </w:style>
  <w:style w:type="paragraph" w:styleId="1079">
    <w:name w:val="Heading 9"/>
    <w:basedOn w:val="1070"/>
    <w:next w:val="1070"/>
    <w:link w:val="1284"/>
    <w:uiPriority w:val="0"/>
    <w:qFormat/>
    <w:pPr>
      <w:keepLines/>
      <w:keepNext/>
      <w:spacing w:before="240" w:after="64" w:line="320" w:lineRule="atLeast"/>
      <w:outlineLvl w:val="8"/>
    </w:pPr>
    <w:rPr>
      <w:rFonts w:ascii="Arial" w:hAnsi="Arial" w:eastAsia="黑体"/>
      <w:szCs w:val="20"/>
    </w:rPr>
  </w:style>
  <w:style w:type="character" w:styleId="1080" w:default="1">
    <w:name w:val="Default Paragraph Font"/>
    <w:uiPriority w:val="1"/>
    <w:semiHidden/>
    <w:unhideWhenUsed/>
    <w:qFormat/>
  </w:style>
  <w:style w:type="table" w:styleId="1081" w:default="1">
    <w:name w:val="Normal Table"/>
    <w:uiPriority w:val="99"/>
    <w:semiHidden/>
    <w:unhideWhenUsed/>
    <w:qFormat/>
    <w:tblPr>
      <w:tblCellMar>
        <w:left w:w="108" w:type="dxa"/>
        <w:top w:w="0" w:type="dxa"/>
        <w:right w:w="108" w:type="dxa"/>
        <w:bottom w:w="0" w:type="dxa"/>
      </w:tblCellMar>
    </w:tblPr>
  </w:style>
  <w:style w:type="paragraph" w:styleId="1082">
    <w:name w:val="toc 7"/>
    <w:basedOn w:val="1070"/>
    <w:next w:val="1070"/>
    <w:uiPriority w:val="0"/>
    <w:qFormat/>
    <w:pPr>
      <w:ind w:left="2520"/>
    </w:pPr>
  </w:style>
  <w:style w:type="paragraph" w:styleId="1083">
    <w:name w:val="Normal Indent"/>
    <w:basedOn w:val="1070"/>
    <w:next w:val="1070"/>
    <w:link w:val="1277"/>
    <w:uiPriority w:val="0"/>
    <w:qFormat/>
    <w:pPr>
      <w:ind w:firstLine="420"/>
      <w:jc w:val="left"/>
    </w:pPr>
    <w:rPr>
      <w:rFonts w:ascii="宋体"/>
      <w:sz w:val="24"/>
    </w:rPr>
  </w:style>
  <w:style w:type="paragraph" w:styleId="1084">
    <w:name w:val="Caption"/>
    <w:basedOn w:val="1070"/>
    <w:next w:val="1070"/>
    <w:uiPriority w:val="0"/>
    <w:qFormat/>
    <w:pPr>
      <w:spacing w:line="480" w:lineRule="auto"/>
    </w:pPr>
    <w:rPr>
      <w:rFonts w:ascii="华文中宋" w:hAnsi="华文中宋" w:eastAsia="华文中宋"/>
      <w:sz w:val="36"/>
      <w:szCs w:val="20"/>
    </w:rPr>
  </w:style>
  <w:style w:type="paragraph" w:styleId="1085">
    <w:name w:val="Document Map"/>
    <w:basedOn w:val="1070"/>
    <w:link w:val="1285"/>
    <w:uiPriority w:val="0"/>
    <w:qFormat/>
    <w:pPr>
      <w:shd w:val="clear" w:color="auto" w:fill="000080"/>
    </w:pPr>
  </w:style>
  <w:style w:type="paragraph" w:styleId="1086">
    <w:name w:val="annotation text"/>
    <w:basedOn w:val="1070"/>
    <w:link w:val="1286"/>
    <w:uiPriority w:val="99"/>
    <w:qFormat/>
    <w:pPr>
      <w:jc w:val="left"/>
    </w:pPr>
  </w:style>
  <w:style w:type="paragraph" w:styleId="1087">
    <w:name w:val="Body Text 3"/>
    <w:basedOn w:val="1070"/>
    <w:link w:val="1287"/>
    <w:uiPriority w:val="0"/>
    <w:qFormat/>
    <w:pPr>
      <w:spacing w:after="120"/>
    </w:pPr>
    <w:rPr>
      <w:sz w:val="16"/>
      <w:szCs w:val="16"/>
    </w:rPr>
  </w:style>
  <w:style w:type="paragraph" w:styleId="1088">
    <w:name w:val="Body Text"/>
    <w:basedOn w:val="1070"/>
    <w:next w:val="1070"/>
    <w:link w:val="1288"/>
    <w:uiPriority w:val="0"/>
    <w:qFormat/>
    <w:pPr>
      <w:spacing w:before="120" w:line="22" w:lineRule="atLeast"/>
      <w:tabs>
        <w:tab w:val="left" w:pos="567" w:leader="none"/>
      </w:tabs>
    </w:pPr>
    <w:rPr>
      <w:rFonts w:ascii="宋体" w:hAnsi="宋体"/>
      <w:sz w:val="24"/>
    </w:rPr>
  </w:style>
  <w:style w:type="paragraph" w:styleId="1089">
    <w:name w:val="Body Text Indent"/>
    <w:basedOn w:val="1070"/>
    <w:next w:val="1070"/>
    <w:link w:val="1289"/>
    <w:uiPriority w:val="0"/>
    <w:qFormat/>
    <w:pPr>
      <w:ind w:firstLine="570"/>
      <w:spacing w:line="360" w:lineRule="auto"/>
    </w:pPr>
    <w:rPr>
      <w:sz w:val="24"/>
    </w:rPr>
  </w:style>
  <w:style w:type="paragraph" w:styleId="1090">
    <w:name w:val="List 2"/>
    <w:basedOn w:val="1070"/>
    <w:uiPriority w:val="0"/>
    <w:qFormat/>
    <w:pPr>
      <w:ind w:left="100" w:hanging="200"/>
    </w:pPr>
  </w:style>
  <w:style w:type="paragraph" w:styleId="1091">
    <w:name w:val="Block Text"/>
    <w:basedOn w:val="1070"/>
    <w:uiPriority w:val="0"/>
    <w:qFormat/>
    <w:pPr>
      <w:ind w:left="480" w:right="-341" w:firstLine="513"/>
      <w:widowControl/>
    </w:pPr>
    <w:rPr>
      <w:sz w:val="24"/>
      <w:szCs w:val="20"/>
    </w:rPr>
  </w:style>
  <w:style w:type="paragraph" w:styleId="1092">
    <w:name w:val="toc 5"/>
    <w:basedOn w:val="1070"/>
    <w:next w:val="1070"/>
    <w:uiPriority w:val="0"/>
    <w:qFormat/>
    <w:pPr>
      <w:ind w:left="1680"/>
    </w:pPr>
  </w:style>
  <w:style w:type="paragraph" w:styleId="1093">
    <w:name w:val="toc 3"/>
    <w:basedOn w:val="1070"/>
    <w:next w:val="1070"/>
    <w:uiPriority w:val="39"/>
    <w:qFormat/>
    <w:pPr>
      <w:ind w:left="840"/>
    </w:pPr>
  </w:style>
  <w:style w:type="paragraph" w:styleId="1094">
    <w:name w:val="Plain Text"/>
    <w:basedOn w:val="1070"/>
    <w:link w:val="1290"/>
    <w:uiPriority w:val="0"/>
    <w:qFormat/>
    <w:rPr>
      <w:rFonts w:hint="eastAsia" w:ascii="宋体" w:hAnsi="Courier New"/>
      <w:szCs w:val="20"/>
    </w:rPr>
  </w:style>
  <w:style w:type="paragraph" w:styleId="1095">
    <w:name w:val="toc 8"/>
    <w:basedOn w:val="1070"/>
    <w:next w:val="1070"/>
    <w:uiPriority w:val="0"/>
    <w:qFormat/>
    <w:pPr>
      <w:ind w:left="2940"/>
    </w:pPr>
  </w:style>
  <w:style w:type="paragraph" w:styleId="1096">
    <w:name w:val="Date"/>
    <w:basedOn w:val="1070"/>
    <w:next w:val="1070"/>
    <w:link w:val="1291"/>
    <w:uiPriority w:val="0"/>
    <w:qFormat/>
    <w:pPr>
      <w:ind w:left="100"/>
    </w:pPr>
    <w:rPr>
      <w:rFonts w:ascii="仿宋_GB2312" w:hAnsi="宋体" w:eastAsia="仿宋_GB2312"/>
      <w:color w:val="000000"/>
      <w:sz w:val="24"/>
    </w:rPr>
  </w:style>
  <w:style w:type="paragraph" w:styleId="1097">
    <w:name w:val="Body Text Indent 2"/>
    <w:basedOn w:val="1070"/>
    <w:link w:val="1292"/>
    <w:uiPriority w:val="0"/>
    <w:qFormat/>
    <w:pPr>
      <w:ind w:firstLine="480"/>
    </w:pPr>
    <w:rPr>
      <w:rFonts w:ascii="仿宋_GB2312" w:eastAsia="仿宋_GB2312"/>
      <w:sz w:val="24"/>
    </w:rPr>
  </w:style>
  <w:style w:type="paragraph" w:styleId="1098">
    <w:name w:val="endnote text"/>
    <w:basedOn w:val="1070"/>
    <w:link w:val="1272"/>
    <w:uiPriority w:val="99"/>
    <w:semiHidden/>
    <w:unhideWhenUsed/>
    <w:qFormat/>
    <w:pPr>
      <w:spacing w:after="0" w:line="240" w:lineRule="auto"/>
    </w:pPr>
    <w:rPr>
      <w:sz w:val="20"/>
    </w:rPr>
  </w:style>
  <w:style w:type="paragraph" w:styleId="1099">
    <w:name w:val="Balloon Text"/>
    <w:basedOn w:val="1070"/>
    <w:link w:val="1293"/>
    <w:uiPriority w:val="0"/>
    <w:qFormat/>
    <w:rPr>
      <w:sz w:val="18"/>
      <w:szCs w:val="18"/>
    </w:rPr>
  </w:style>
  <w:style w:type="paragraph" w:styleId="1100">
    <w:name w:val="Footer"/>
    <w:basedOn w:val="1070"/>
    <w:link w:val="1294"/>
    <w:uiPriority w:val="99"/>
    <w:qFormat/>
    <w:pPr>
      <w:jc w:val="left"/>
      <w:tabs>
        <w:tab w:val="center" w:pos="4153" w:leader="none"/>
        <w:tab w:val="right" w:pos="8306" w:leader="none"/>
      </w:tabs>
    </w:pPr>
    <w:rPr>
      <w:rFonts w:ascii="宋体"/>
      <w:sz w:val="18"/>
      <w:szCs w:val="20"/>
    </w:rPr>
  </w:style>
  <w:style w:type="paragraph" w:styleId="1101">
    <w:name w:val="Header"/>
    <w:basedOn w:val="1070"/>
    <w:link w:val="1295"/>
    <w:uiPriority w:val="0"/>
    <w:qFormat/>
    <w:pPr>
      <w:jc w:val="center"/>
      <w:tabs>
        <w:tab w:val="center" w:pos="4153" w:leader="none"/>
        <w:tab w:val="right" w:pos="8306" w:leader="none"/>
      </w:tabs>
      <w:pBdr>
        <w:bottom w:val="single" w:color="auto" w:sz="6" w:space="1"/>
      </w:pBdr>
    </w:pPr>
    <w:rPr>
      <w:sz w:val="18"/>
      <w:szCs w:val="18"/>
    </w:rPr>
  </w:style>
  <w:style w:type="paragraph" w:styleId="1102">
    <w:name w:val="toc 1"/>
    <w:basedOn w:val="1070"/>
    <w:next w:val="1070"/>
    <w:uiPriority w:val="39"/>
    <w:qFormat/>
    <w:pPr>
      <w:spacing w:line="300" w:lineRule="auto"/>
      <w:tabs>
        <w:tab w:val="left" w:pos="1050" w:leader="none"/>
        <w:tab w:val="right" w:pos="8937" w:leader="dot"/>
      </w:tabs>
    </w:pPr>
    <w:rPr>
      <w:rFonts w:ascii="宋体" w:hAnsi="宋体"/>
      <w:b/>
      <w:sz w:val="24"/>
    </w:rPr>
  </w:style>
  <w:style w:type="paragraph" w:styleId="1103">
    <w:name w:val="toc 4"/>
    <w:basedOn w:val="1070"/>
    <w:next w:val="1070"/>
    <w:uiPriority w:val="0"/>
    <w:qFormat/>
    <w:pPr>
      <w:ind w:left="1260"/>
    </w:pPr>
  </w:style>
  <w:style w:type="paragraph" w:styleId="1104">
    <w:name w:val="Subtitle"/>
    <w:basedOn w:val="1070"/>
    <w:next w:val="1070"/>
    <w:link w:val="1138"/>
    <w:uiPriority w:val="11"/>
    <w:qFormat/>
    <w:pPr>
      <w:spacing w:before="200" w:after="200"/>
    </w:pPr>
    <w:rPr>
      <w:sz w:val="24"/>
      <w:szCs w:val="24"/>
    </w:rPr>
  </w:style>
  <w:style w:type="paragraph" w:styleId="1105">
    <w:name w:val="footnote text"/>
    <w:basedOn w:val="1070"/>
    <w:link w:val="1271"/>
    <w:uiPriority w:val="99"/>
    <w:semiHidden/>
    <w:unhideWhenUsed/>
    <w:qFormat/>
    <w:pPr>
      <w:spacing w:after="40" w:line="240" w:lineRule="auto"/>
    </w:pPr>
    <w:rPr>
      <w:sz w:val="18"/>
    </w:rPr>
  </w:style>
  <w:style w:type="paragraph" w:styleId="1106">
    <w:name w:val="toc 6"/>
    <w:basedOn w:val="1070"/>
    <w:next w:val="1070"/>
    <w:uiPriority w:val="0"/>
    <w:qFormat/>
    <w:pPr>
      <w:ind w:left="2100"/>
    </w:pPr>
  </w:style>
  <w:style w:type="paragraph" w:styleId="1107">
    <w:name w:val="Body Text Indent 3"/>
    <w:basedOn w:val="1070"/>
    <w:link w:val="1296"/>
    <w:uiPriority w:val="0"/>
    <w:qFormat/>
    <w:pPr>
      <w:ind w:left="720" w:firstLine="480"/>
      <w:jc w:val="left"/>
      <w:spacing w:before="120" w:line="22" w:lineRule="atLeast"/>
    </w:pPr>
    <w:rPr>
      <w:rFonts w:ascii="宋体"/>
      <w:sz w:val="24"/>
      <w:szCs w:val="20"/>
    </w:rPr>
  </w:style>
  <w:style w:type="paragraph" w:styleId="1108">
    <w:name w:val="table of figures"/>
    <w:basedOn w:val="1070"/>
    <w:next w:val="1070"/>
    <w:uiPriority w:val="99"/>
    <w:unhideWhenUsed/>
    <w:qFormat/>
    <w:pPr>
      <w:spacing w:after="0" w:afterAutospacing="0"/>
    </w:pPr>
  </w:style>
  <w:style w:type="paragraph" w:styleId="1109">
    <w:name w:val="toc 2"/>
    <w:basedOn w:val="1070"/>
    <w:next w:val="1070"/>
    <w:uiPriority w:val="39"/>
    <w:qFormat/>
    <w:pPr>
      <w:ind w:left="420"/>
      <w:spacing w:line="312" w:lineRule="auto"/>
      <w:tabs>
        <w:tab w:val="right" w:pos="8937" w:leader="dot"/>
      </w:tabs>
    </w:pPr>
  </w:style>
  <w:style w:type="paragraph" w:styleId="1110">
    <w:name w:val="toc 9"/>
    <w:basedOn w:val="1070"/>
    <w:next w:val="1070"/>
    <w:uiPriority w:val="0"/>
    <w:qFormat/>
    <w:pPr>
      <w:ind w:left="3360"/>
    </w:pPr>
  </w:style>
  <w:style w:type="paragraph" w:styleId="1111">
    <w:name w:val="HTML Preformatted"/>
    <w:basedOn w:val="1070"/>
    <w:link w:val="12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12">
    <w:name w:val="Normal (Web)"/>
    <w:basedOn w:val="1070"/>
    <w:uiPriority w:val="99"/>
    <w:unhideWhenUsed/>
    <w:qFormat/>
    <w:pPr>
      <w:jc w:val="left"/>
      <w:spacing w:before="100" w:beforeAutospacing="1" w:after="100" w:afterAutospacing="1"/>
      <w:widowControl/>
    </w:pPr>
    <w:rPr>
      <w:rFonts w:ascii="宋体" w:hAnsi="宋体" w:cs="宋体"/>
      <w:sz w:val="24"/>
    </w:rPr>
  </w:style>
  <w:style w:type="paragraph" w:styleId="1113">
    <w:name w:val="index 1"/>
    <w:basedOn w:val="1070"/>
    <w:next w:val="1070"/>
    <w:uiPriority w:val="0"/>
    <w:qFormat/>
    <w:rPr>
      <w:szCs w:val="20"/>
    </w:rPr>
  </w:style>
  <w:style w:type="paragraph" w:styleId="1114">
    <w:name w:val="Title"/>
    <w:basedOn w:val="1070"/>
    <w:next w:val="1070"/>
    <w:link w:val="1298"/>
    <w:uiPriority w:val="0"/>
    <w:qFormat/>
    <w:pPr>
      <w:jc w:val="center"/>
      <w:outlineLvl w:val="0"/>
    </w:pPr>
    <w:rPr>
      <w:b/>
      <w:sz w:val="32"/>
      <w:szCs w:val="20"/>
    </w:rPr>
  </w:style>
  <w:style w:type="paragraph" w:styleId="1115">
    <w:name w:val="annotation subject"/>
    <w:basedOn w:val="1086"/>
    <w:next w:val="1086"/>
    <w:link w:val="1299"/>
    <w:uiPriority w:val="0"/>
    <w:qFormat/>
    <w:rPr>
      <w:b/>
      <w:bCs/>
    </w:rPr>
  </w:style>
  <w:style w:type="paragraph" w:styleId="1116">
    <w:name w:val="Body Text First Indent 2"/>
    <w:basedOn w:val="1089"/>
    <w:next w:val="1070"/>
    <w:link w:val="1300"/>
    <w:uiPriority w:val="0"/>
    <w:qFormat/>
    <w:pPr>
      <w:ind w:left="420" w:firstLine="420"/>
      <w:spacing w:after="120" w:line="480" w:lineRule="exact"/>
    </w:pPr>
    <w:rPr>
      <w:szCs w:val="20"/>
    </w:rPr>
  </w:style>
  <w:style w:type="table" w:styleId="1117">
    <w:name w:val="Table Grid"/>
    <w:basedOn w:val="108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18">
    <w:name w:val="Medium Grid 1 Accent 2"/>
    <w:basedOn w:val="108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19">
    <w:name w:val="Strong"/>
    <w:uiPriority w:val="0"/>
    <w:qFormat/>
    <w:rPr>
      <w:b/>
      <w:bCs/>
    </w:rPr>
  </w:style>
  <w:style w:type="character" w:styleId="1120">
    <w:name w:val="endnote reference"/>
    <w:basedOn w:val="1080"/>
    <w:uiPriority w:val="99"/>
    <w:semiHidden/>
    <w:unhideWhenUsed/>
    <w:qFormat/>
    <w:rPr>
      <w:vertAlign w:val="superscript"/>
    </w:rPr>
  </w:style>
  <w:style w:type="character" w:styleId="1121">
    <w:name w:val="page number"/>
    <w:uiPriority w:val="0"/>
    <w:qFormat/>
  </w:style>
  <w:style w:type="character" w:styleId="1122">
    <w:name w:val="FollowedHyperlink"/>
    <w:uiPriority w:val="0"/>
    <w:qFormat/>
    <w:rPr>
      <w:color w:val="800080"/>
      <w:u w:val="single"/>
    </w:rPr>
  </w:style>
  <w:style w:type="character" w:styleId="1123">
    <w:name w:val="Emphasis"/>
    <w:uiPriority w:val="0"/>
    <w:qFormat/>
    <w:rPr>
      <w:color w:val="cc0033"/>
    </w:rPr>
  </w:style>
  <w:style w:type="character" w:styleId="1124">
    <w:name w:val="Hyperlink"/>
    <w:uiPriority w:val="99"/>
    <w:qFormat/>
    <w:rPr>
      <w:color w:val="0000ff"/>
      <w:u w:val="single"/>
    </w:rPr>
  </w:style>
  <w:style w:type="character" w:styleId="1125">
    <w:name w:val="annotation reference"/>
    <w:uiPriority w:val="99"/>
    <w:qFormat/>
    <w:rPr>
      <w:sz w:val="21"/>
      <w:szCs w:val="21"/>
    </w:rPr>
  </w:style>
  <w:style w:type="character" w:styleId="1126">
    <w:name w:val="HTML Cite"/>
    <w:uiPriority w:val="0"/>
    <w:qFormat/>
    <w:rPr>
      <w:i/>
      <w:iCs/>
    </w:rPr>
  </w:style>
  <w:style w:type="character" w:styleId="1127">
    <w:name w:val="footnote reference"/>
    <w:basedOn w:val="1080"/>
    <w:uiPriority w:val="99"/>
    <w:unhideWhenUsed/>
    <w:qFormat/>
    <w:rPr>
      <w:vertAlign w:val="superscript"/>
    </w:rPr>
  </w:style>
  <w:style w:type="character" w:styleId="1128" w:customStyle="1">
    <w:name w:val="Heading 1 Char"/>
    <w:basedOn w:val="1080"/>
    <w:uiPriority w:val="9"/>
    <w:qFormat/>
    <w:rPr>
      <w:rFonts w:ascii="Arial" w:hAnsi="Arial" w:eastAsia="Arial" w:cs="Arial"/>
      <w:sz w:val="40"/>
      <w:szCs w:val="40"/>
    </w:rPr>
  </w:style>
  <w:style w:type="character" w:styleId="1129" w:customStyle="1">
    <w:name w:val="Heading 2 Char"/>
    <w:basedOn w:val="1080"/>
    <w:uiPriority w:val="9"/>
    <w:qFormat/>
    <w:rPr>
      <w:rFonts w:ascii="Arial" w:hAnsi="Arial" w:eastAsia="Arial" w:cs="Arial"/>
      <w:sz w:val="34"/>
    </w:rPr>
  </w:style>
  <w:style w:type="character" w:styleId="1130" w:customStyle="1">
    <w:name w:val="Heading 3 Char"/>
    <w:basedOn w:val="1080"/>
    <w:uiPriority w:val="9"/>
    <w:qFormat/>
    <w:rPr>
      <w:rFonts w:ascii="Arial" w:hAnsi="Arial" w:eastAsia="Arial" w:cs="Arial"/>
      <w:sz w:val="30"/>
      <w:szCs w:val="30"/>
    </w:rPr>
  </w:style>
  <w:style w:type="character" w:styleId="1131" w:customStyle="1">
    <w:name w:val="Heading 4 Char"/>
    <w:basedOn w:val="1080"/>
    <w:uiPriority w:val="9"/>
    <w:qFormat/>
    <w:rPr>
      <w:rFonts w:ascii="Arial" w:hAnsi="Arial" w:eastAsia="Arial" w:cs="Arial"/>
      <w:b/>
      <w:bCs/>
      <w:sz w:val="26"/>
      <w:szCs w:val="26"/>
    </w:rPr>
  </w:style>
  <w:style w:type="character" w:styleId="1132" w:customStyle="1">
    <w:name w:val="Heading 5 Char"/>
    <w:basedOn w:val="1080"/>
    <w:uiPriority w:val="9"/>
    <w:qFormat/>
    <w:rPr>
      <w:rFonts w:ascii="Arial" w:hAnsi="Arial" w:eastAsia="Arial" w:cs="Arial"/>
      <w:b/>
      <w:bCs/>
      <w:sz w:val="24"/>
      <w:szCs w:val="24"/>
    </w:rPr>
  </w:style>
  <w:style w:type="character" w:styleId="1133" w:customStyle="1">
    <w:name w:val="Heading 6 Char"/>
    <w:basedOn w:val="1080"/>
    <w:uiPriority w:val="9"/>
    <w:qFormat/>
    <w:rPr>
      <w:rFonts w:ascii="Arial" w:hAnsi="Arial" w:eastAsia="Arial" w:cs="Arial"/>
      <w:b/>
      <w:bCs/>
      <w:sz w:val="22"/>
      <w:szCs w:val="22"/>
    </w:rPr>
  </w:style>
  <w:style w:type="character" w:styleId="1134" w:customStyle="1">
    <w:name w:val="Heading 7 Char"/>
    <w:basedOn w:val="1080"/>
    <w:uiPriority w:val="9"/>
    <w:qFormat/>
    <w:rPr>
      <w:rFonts w:ascii="Arial" w:hAnsi="Arial" w:eastAsia="Arial" w:cs="Arial"/>
      <w:b/>
      <w:bCs/>
      <w:i/>
      <w:iCs/>
      <w:sz w:val="22"/>
      <w:szCs w:val="22"/>
    </w:rPr>
  </w:style>
  <w:style w:type="character" w:styleId="1135" w:customStyle="1">
    <w:name w:val="Heading 8 Char"/>
    <w:basedOn w:val="1080"/>
    <w:uiPriority w:val="9"/>
    <w:qFormat/>
    <w:rPr>
      <w:rFonts w:ascii="Arial" w:hAnsi="Arial" w:eastAsia="Arial" w:cs="Arial"/>
      <w:i/>
      <w:iCs/>
      <w:sz w:val="22"/>
      <w:szCs w:val="22"/>
    </w:rPr>
  </w:style>
  <w:style w:type="character" w:styleId="1136" w:customStyle="1">
    <w:name w:val="Heading 9 Char"/>
    <w:basedOn w:val="1080"/>
    <w:uiPriority w:val="9"/>
    <w:qFormat/>
    <w:rPr>
      <w:rFonts w:ascii="Arial" w:hAnsi="Arial" w:eastAsia="Arial" w:cs="Arial"/>
      <w:i/>
      <w:iCs/>
      <w:sz w:val="21"/>
      <w:szCs w:val="21"/>
    </w:rPr>
  </w:style>
  <w:style w:type="character" w:styleId="1137" w:customStyle="1">
    <w:name w:val="Title Char"/>
    <w:basedOn w:val="1080"/>
    <w:uiPriority w:val="10"/>
    <w:qFormat/>
    <w:rPr>
      <w:sz w:val="48"/>
      <w:szCs w:val="48"/>
    </w:rPr>
  </w:style>
  <w:style w:type="character" w:styleId="1138" w:customStyle="1">
    <w:name w:val="Subtitle Char"/>
    <w:basedOn w:val="1080"/>
    <w:link w:val="1104"/>
    <w:uiPriority w:val="11"/>
    <w:qFormat/>
    <w:rPr>
      <w:sz w:val="24"/>
      <w:szCs w:val="24"/>
    </w:rPr>
  </w:style>
  <w:style w:type="paragraph" w:styleId="1139">
    <w:name w:val="Quote"/>
    <w:basedOn w:val="1070"/>
    <w:next w:val="1070"/>
    <w:link w:val="1140"/>
    <w:uiPriority w:val="29"/>
    <w:qFormat/>
    <w:pPr>
      <w:ind w:left="720" w:right="720"/>
    </w:pPr>
    <w:rPr>
      <w:i/>
    </w:rPr>
  </w:style>
  <w:style w:type="character" w:styleId="1140" w:customStyle="1">
    <w:name w:val="Quote Char"/>
    <w:link w:val="1139"/>
    <w:uiPriority w:val="29"/>
    <w:qFormat/>
    <w:rPr>
      <w:i/>
    </w:rPr>
  </w:style>
  <w:style w:type="paragraph" w:styleId="1141">
    <w:name w:val="Intense Quote"/>
    <w:basedOn w:val="1070"/>
    <w:next w:val="1070"/>
    <w:link w:val="11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2" w:customStyle="1">
    <w:name w:val="Intense Quote Char"/>
    <w:link w:val="1141"/>
    <w:uiPriority w:val="30"/>
    <w:qFormat/>
    <w:rPr>
      <w:i/>
    </w:rPr>
  </w:style>
  <w:style w:type="character" w:styleId="1143" w:customStyle="1">
    <w:name w:val="Header Char"/>
    <w:basedOn w:val="1080"/>
    <w:uiPriority w:val="99"/>
    <w:qFormat/>
  </w:style>
  <w:style w:type="character" w:styleId="1144" w:customStyle="1">
    <w:name w:val="Footer Char"/>
    <w:basedOn w:val="1080"/>
    <w:uiPriority w:val="99"/>
    <w:qFormat/>
  </w:style>
  <w:style w:type="character" w:styleId="1145" w:customStyle="1">
    <w:name w:val="Caption Char"/>
    <w:uiPriority w:val="99"/>
    <w:qFormat/>
  </w:style>
  <w:style w:type="table" w:styleId="1146" w:customStyle="1">
    <w:name w:val="Table Grid Light"/>
    <w:basedOn w:val="10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47" w:customStyle="1">
    <w:name w:val="Plain Table 1"/>
    <w:basedOn w:val="10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8" w:customStyle="1">
    <w:name w:val="Plain Table 2"/>
    <w:basedOn w:val="10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9" w:customStyle="1">
    <w:name w:val="Plain Table 3"/>
    <w:basedOn w:val="10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0" w:customStyle="1">
    <w:name w:val="Plain Table 4"/>
    <w:basedOn w:val="10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1" w:customStyle="1">
    <w:name w:val="Plain Table 5"/>
    <w:basedOn w:val="10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2" w:customStyle="1">
    <w:name w:val="Grid Table 1 Light"/>
    <w:basedOn w:val="10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3" w:customStyle="1">
    <w:name w:val="Grid Table 1 Light - Accent 1"/>
    <w:basedOn w:val="10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54" w:customStyle="1">
    <w:name w:val="Grid Table 1 Light - Accent 2"/>
    <w:basedOn w:val="108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3"/>
    <w:basedOn w:val="10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4"/>
    <w:basedOn w:val="10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5"/>
    <w:basedOn w:val="108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58" w:customStyle="1">
    <w:name w:val="Grid Table 1 Light - Accent 6"/>
    <w:basedOn w:val="10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59" w:customStyle="1">
    <w:name w:val="Grid Table 2"/>
    <w:basedOn w:val="10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0" w:customStyle="1">
    <w:name w:val="Grid Table 2 - Accent 1"/>
    <w:basedOn w:val="10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61" w:customStyle="1">
    <w:name w:val="Grid Table 2 - Accent 2"/>
    <w:basedOn w:val="108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62" w:customStyle="1">
    <w:name w:val="Grid Table 2 - Accent 3"/>
    <w:basedOn w:val="108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63" w:customStyle="1">
    <w:name w:val="Grid Table 2 - Accent 4"/>
    <w:basedOn w:val="10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64" w:customStyle="1">
    <w:name w:val="Grid Table 2 - Accent 5"/>
    <w:basedOn w:val="108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65" w:customStyle="1">
    <w:name w:val="Grid Table 2 - Accent 6"/>
    <w:basedOn w:val="108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66" w:customStyle="1">
    <w:name w:val="Grid Table 3"/>
    <w:basedOn w:val="10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3 - Accent 1"/>
    <w:basedOn w:val="10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3 - Accent 2"/>
    <w:basedOn w:val="108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3"/>
    <w:basedOn w:val="108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3 - Accent 4"/>
    <w:basedOn w:val="10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1" w:customStyle="1">
    <w:name w:val="Grid Table 3 - Accent 5"/>
    <w:basedOn w:val="108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Grid Table 3 - Accent 6"/>
    <w:basedOn w:val="108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3" w:customStyle="1">
    <w:name w:val="Grid Table 4"/>
    <w:basedOn w:val="10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4" w:customStyle="1">
    <w:name w:val="Grid Table 4 - Accent 1"/>
    <w:basedOn w:val="108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75" w:customStyle="1">
    <w:name w:val="Grid Table 4 - Accent 2"/>
    <w:basedOn w:val="108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76" w:customStyle="1">
    <w:name w:val="Grid Table 4 - Accent 3"/>
    <w:basedOn w:val="108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77" w:customStyle="1">
    <w:name w:val="Grid Table 4 - Accent 4"/>
    <w:basedOn w:val="108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78" w:customStyle="1">
    <w:name w:val="Grid Table 4 - Accent 5"/>
    <w:basedOn w:val="108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79" w:customStyle="1">
    <w:name w:val="Grid Table 4 - Accent 6"/>
    <w:basedOn w:val="108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80" w:customStyle="1">
    <w:name w:val="Grid Table 5 Dark"/>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1" w:customStyle="1">
    <w:name w:val="Grid Table 5 Dark- Accent 1"/>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82" w:customStyle="1">
    <w:name w:val="Grid Table 5 Dark - Accent 2"/>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83" w:customStyle="1">
    <w:name w:val="Grid Table 5 Dark - Accent 3"/>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84" w:customStyle="1">
    <w:name w:val="Grid Table 5 Dark- Accent 4"/>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85" w:customStyle="1">
    <w:name w:val="Grid Table 5 Dark - Accent 5"/>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86" w:customStyle="1">
    <w:name w:val="Grid Table 5 Dark - Accent 6"/>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87" w:customStyle="1">
    <w:name w:val="Grid Table 6 Colorful"/>
    <w:basedOn w:val="10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8" w:customStyle="1">
    <w:name w:val="Grid Table 6 Colorful - Accent 1"/>
    <w:basedOn w:val="108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89" w:customStyle="1">
    <w:name w:val="Grid Table 6 Colorful - Accent 2"/>
    <w:basedOn w:val="108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90" w:customStyle="1">
    <w:name w:val="Grid Table 6 Colorful - Accent 3"/>
    <w:basedOn w:val="108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91" w:customStyle="1">
    <w:name w:val="Grid Table 6 Colorful - Accent 4"/>
    <w:basedOn w:val="108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92" w:customStyle="1">
    <w:name w:val="Grid Table 6 Colorful - Accent 5"/>
    <w:basedOn w:val="108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3" w:customStyle="1">
    <w:name w:val="Grid Table 6 Colorful - Accent 6"/>
    <w:basedOn w:val="108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4" w:customStyle="1">
    <w:name w:val="Grid Table 7 Colorful"/>
    <w:basedOn w:val="10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5" w:customStyle="1">
    <w:name w:val="Grid Table 7 Colorful - Accent 1"/>
    <w:basedOn w:val="108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96" w:customStyle="1">
    <w:name w:val="Grid Table 7 Colorful - Accent 2"/>
    <w:basedOn w:val="108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7" w:customStyle="1">
    <w:name w:val="Grid Table 7 Colorful - Accent 3"/>
    <w:basedOn w:val="108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98" w:customStyle="1">
    <w:name w:val="Grid Table 7 Colorful - Accent 4"/>
    <w:basedOn w:val="108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9" w:customStyle="1">
    <w:name w:val="Grid Table 7 Colorful - Accent 5"/>
    <w:basedOn w:val="108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00" w:customStyle="1">
    <w:name w:val="Grid Table 7 Colorful - Accent 6"/>
    <w:basedOn w:val="108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01" w:customStyle="1">
    <w:name w:val="List Table 1 Light"/>
    <w:basedOn w:val="10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2" w:customStyle="1">
    <w:name w:val="List Table 1 Light - Accent 1"/>
    <w:basedOn w:val="108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03" w:customStyle="1">
    <w:name w:val="List Table 1 Light - Accent 2"/>
    <w:basedOn w:val="108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04" w:customStyle="1">
    <w:name w:val="List Table 1 Light - Accent 3"/>
    <w:basedOn w:val="108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05" w:customStyle="1">
    <w:name w:val="List Table 1 Light - Accent 4"/>
    <w:basedOn w:val="108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06" w:customStyle="1">
    <w:name w:val="List Table 1 Light - Accent 5"/>
    <w:basedOn w:val="108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07" w:customStyle="1">
    <w:name w:val="List Table 1 Light - Accent 6"/>
    <w:basedOn w:val="108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08" w:customStyle="1">
    <w:name w:val="List Table 2"/>
    <w:basedOn w:val="10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9" w:customStyle="1">
    <w:name w:val="List Table 2 - Accent 1"/>
    <w:basedOn w:val="108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10" w:customStyle="1">
    <w:name w:val="List Table 2 - Accent 2"/>
    <w:basedOn w:val="108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11" w:customStyle="1">
    <w:name w:val="List Table 2 - Accent 3"/>
    <w:basedOn w:val="108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12" w:customStyle="1">
    <w:name w:val="List Table 2 - Accent 4"/>
    <w:basedOn w:val="108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13" w:customStyle="1">
    <w:name w:val="List Table 2 - Accent 5"/>
    <w:basedOn w:val="108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14" w:customStyle="1">
    <w:name w:val="List Table 2 - Accent 6"/>
    <w:basedOn w:val="108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15" w:customStyle="1">
    <w:name w:val="List Table 3"/>
    <w:basedOn w:val="10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6" w:customStyle="1">
    <w:name w:val="List Table 3 - Accent 1"/>
    <w:basedOn w:val="108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7" w:customStyle="1">
    <w:name w:val="List Table 3 - Accent 2"/>
    <w:basedOn w:val="108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18" w:customStyle="1">
    <w:name w:val="List Table 3 - Accent 3"/>
    <w:basedOn w:val="108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19" w:customStyle="1">
    <w:name w:val="List Table 3 - Accent 4"/>
    <w:basedOn w:val="108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20" w:customStyle="1">
    <w:name w:val="List Table 3 - Accent 5"/>
    <w:basedOn w:val="108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21" w:customStyle="1">
    <w:name w:val="List Table 3 - Accent 6"/>
    <w:basedOn w:val="108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22" w:customStyle="1">
    <w:name w:val="List Table 4"/>
    <w:basedOn w:val="10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3" w:customStyle="1">
    <w:name w:val="List Table 4 - Accent 1"/>
    <w:basedOn w:val="108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4" w:customStyle="1">
    <w:name w:val="List Table 4 - Accent 2"/>
    <w:basedOn w:val="108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25" w:customStyle="1">
    <w:name w:val="List Table 4 - Accent 3"/>
    <w:basedOn w:val="108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26" w:customStyle="1">
    <w:name w:val="List Table 4 - Accent 4"/>
    <w:basedOn w:val="108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27" w:customStyle="1">
    <w:name w:val="List Table 4 - Accent 5"/>
    <w:basedOn w:val="108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28" w:customStyle="1">
    <w:name w:val="List Table 4 - Accent 6"/>
    <w:basedOn w:val="108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29" w:customStyle="1">
    <w:name w:val="List Table 5 Dark"/>
    <w:basedOn w:val="10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0" w:customStyle="1">
    <w:name w:val="List Table 5 Dark - Accent 1"/>
    <w:basedOn w:val="108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1" w:customStyle="1">
    <w:name w:val="List Table 5 Dark - Accent 2"/>
    <w:basedOn w:val="108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2" w:customStyle="1">
    <w:name w:val="List Table 5 Dark - Accent 3"/>
    <w:basedOn w:val="108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3" w:customStyle="1">
    <w:name w:val="List Table 5 Dark - Accent 4"/>
    <w:basedOn w:val="108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4" w:customStyle="1">
    <w:name w:val="List Table 5 Dark - Accent 5"/>
    <w:basedOn w:val="108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5" w:customStyle="1">
    <w:name w:val="List Table 5 Dark - Accent 6"/>
    <w:basedOn w:val="108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6" w:customStyle="1">
    <w:name w:val="List Table 6 Colorful"/>
    <w:basedOn w:val="10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7" w:customStyle="1">
    <w:name w:val="List Table 6 Colorful - Accent 1"/>
    <w:basedOn w:val="108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38" w:customStyle="1">
    <w:name w:val="List Table 6 Colorful - Accent 2"/>
    <w:basedOn w:val="108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39" w:customStyle="1">
    <w:name w:val="List Table 6 Colorful - Accent 3"/>
    <w:basedOn w:val="108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40" w:customStyle="1">
    <w:name w:val="List Table 6 Colorful - Accent 4"/>
    <w:basedOn w:val="108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41" w:customStyle="1">
    <w:name w:val="List Table 6 Colorful - Accent 5"/>
    <w:basedOn w:val="108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42" w:customStyle="1">
    <w:name w:val="List Table 6 Colorful - Accent 6"/>
    <w:basedOn w:val="108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43" w:customStyle="1">
    <w:name w:val="List Table 7 Colorful"/>
    <w:basedOn w:val="10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4" w:customStyle="1">
    <w:name w:val="List Table 7 Colorful - Accent 1"/>
    <w:basedOn w:val="108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45" w:customStyle="1">
    <w:name w:val="List Table 7 Colorful - Accent 2"/>
    <w:basedOn w:val="108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6" w:customStyle="1">
    <w:name w:val="List Table 7 Colorful - Accent 3"/>
    <w:basedOn w:val="108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47" w:customStyle="1">
    <w:name w:val="List Table 7 Colorful - Accent 4"/>
    <w:basedOn w:val="108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8" w:customStyle="1">
    <w:name w:val="List Table 7 Colorful - Accent 5"/>
    <w:basedOn w:val="108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49" w:customStyle="1">
    <w:name w:val="List Table 7 Colorful - Accent 6"/>
    <w:basedOn w:val="108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50" w:customStyle="1">
    <w:name w:val="Lined - Accent"/>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1" w:customStyle="1">
    <w:name w:val="Lined - Accent 1"/>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2" w:customStyle="1">
    <w:name w:val="Lined - Accent 2"/>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3" w:customStyle="1">
    <w:name w:val="Lined - Accent 3"/>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4" w:customStyle="1">
    <w:name w:val="Lined - Accent 4"/>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5" w:customStyle="1">
    <w:name w:val="Lined - Accent 5"/>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6" w:customStyle="1">
    <w:name w:val="Lined - Accent 6"/>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7" w:customStyle="1">
    <w:name w:val="Bordered &amp; Lined - Accent"/>
    <w:basedOn w:val="10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8" w:customStyle="1">
    <w:name w:val="Bordered &amp; Lined - Accent 1"/>
    <w:basedOn w:val="108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9" w:customStyle="1">
    <w:name w:val="Bordered &amp; Lined - Accent 2"/>
    <w:basedOn w:val="108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0" w:customStyle="1">
    <w:name w:val="Bordered &amp; Lined - Accent 3"/>
    <w:basedOn w:val="108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1" w:customStyle="1">
    <w:name w:val="Bordered &amp; Lined - Accent 4"/>
    <w:basedOn w:val="108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2" w:customStyle="1">
    <w:name w:val="Bordered &amp; Lined - Accent 5"/>
    <w:basedOn w:val="108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3" w:customStyle="1">
    <w:name w:val="Bordered &amp; Lined - Accent 6"/>
    <w:basedOn w:val="108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4" w:customStyle="1">
    <w:name w:val="Bordered"/>
    <w:basedOn w:val="10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65" w:customStyle="1">
    <w:name w:val="Bordered - Accent 1"/>
    <w:basedOn w:val="10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66" w:customStyle="1">
    <w:name w:val="Bordered - Accent 2"/>
    <w:basedOn w:val="108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67" w:customStyle="1">
    <w:name w:val="Bordered - Accent 3"/>
    <w:basedOn w:val="10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68" w:customStyle="1">
    <w:name w:val="Bordered - Accent 4"/>
    <w:basedOn w:val="10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69" w:customStyle="1">
    <w:name w:val="Bordered - Accent 5"/>
    <w:basedOn w:val="108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70" w:customStyle="1">
    <w:name w:val="Bordered - Accent 6"/>
    <w:basedOn w:val="10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71" w:customStyle="1">
    <w:name w:val="Footnote Text Char"/>
    <w:link w:val="1105"/>
    <w:uiPriority w:val="99"/>
    <w:qFormat/>
    <w:rPr>
      <w:sz w:val="18"/>
    </w:rPr>
  </w:style>
  <w:style w:type="character" w:styleId="1272" w:customStyle="1">
    <w:name w:val="Endnote Text Char"/>
    <w:link w:val="1098"/>
    <w:uiPriority w:val="99"/>
    <w:qFormat/>
    <w:rPr>
      <w:sz w:val="20"/>
    </w:rPr>
  </w:style>
  <w:style w:type="paragraph" w:styleId="1273" w:customStyle="1">
    <w:name w:val="TOC Heading"/>
    <w:uiPriority w:val="39"/>
    <w:unhideWhenUsed/>
    <w:qFormat/>
    <w:rPr>
      <w:rFonts w:hint="default" w:ascii="Times New Roman" w:hAnsi="Times New Roman" w:eastAsia="宋体" w:cs="Times New Roman"/>
    </w:rPr>
  </w:style>
  <w:style w:type="paragraph" w:styleId="1274"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275" w:customStyle="1">
    <w:name w:val="标题 1 字符"/>
    <w:link w:val="1071"/>
    <w:uiPriority w:val="0"/>
    <w:qFormat/>
    <w:rPr>
      <w:rFonts w:ascii="宋体"/>
      <w:b/>
      <w:sz w:val="32"/>
    </w:rPr>
  </w:style>
  <w:style w:type="character" w:styleId="1276" w:customStyle="1">
    <w:name w:val="标题 2 字符"/>
    <w:link w:val="1072"/>
    <w:uiPriority w:val="0"/>
    <w:qFormat/>
    <w:rPr>
      <w:rFonts w:ascii="Arial" w:hAnsi="Arial" w:eastAsia="黑体"/>
      <w:b/>
      <w:sz w:val="30"/>
      <w:lang w:val="en-US" w:eastAsia="zh-CN" w:bidi="ar-SA"/>
    </w:rPr>
  </w:style>
  <w:style w:type="character" w:styleId="1277" w:customStyle="1">
    <w:name w:val="正文缩进 字符"/>
    <w:link w:val="1083"/>
    <w:uiPriority w:val="0"/>
    <w:qFormat/>
    <w:rPr>
      <w:rFonts w:ascii="宋体" w:eastAsia="宋体"/>
      <w:sz w:val="24"/>
      <w:szCs w:val="24"/>
      <w:lang w:val="en-US" w:eastAsia="zh-CN" w:bidi="ar-SA"/>
    </w:rPr>
  </w:style>
  <w:style w:type="character" w:styleId="1278" w:customStyle="1">
    <w:name w:val="标题 3 字符"/>
    <w:link w:val="1073"/>
    <w:uiPriority w:val="0"/>
    <w:qFormat/>
    <w:rPr>
      <w:rFonts w:ascii="宋体" w:eastAsia="宋体"/>
      <w:b/>
      <w:sz w:val="24"/>
      <w:u w:val="single"/>
      <w:lang w:val="en-US" w:eastAsia="zh-CN" w:bidi="ar-SA"/>
    </w:rPr>
  </w:style>
  <w:style w:type="character" w:styleId="1279" w:customStyle="1">
    <w:name w:val="标题 4 字符"/>
    <w:link w:val="1074"/>
    <w:uiPriority w:val="0"/>
    <w:qFormat/>
    <w:rPr>
      <w:rFonts w:ascii="Arial" w:hAnsi="Arial" w:eastAsia="黑体"/>
      <w:b/>
      <w:sz w:val="28"/>
    </w:rPr>
  </w:style>
  <w:style w:type="character" w:styleId="1280" w:customStyle="1">
    <w:name w:val="标题 5 字符"/>
    <w:link w:val="1075"/>
    <w:uiPriority w:val="0"/>
    <w:qFormat/>
    <w:rPr>
      <w:b/>
      <w:sz w:val="28"/>
    </w:rPr>
  </w:style>
  <w:style w:type="character" w:styleId="1281" w:customStyle="1">
    <w:name w:val="标题 6 字符"/>
    <w:link w:val="1076"/>
    <w:uiPriority w:val="0"/>
    <w:qFormat/>
    <w:rPr>
      <w:rFonts w:ascii="Arial" w:hAnsi="Arial" w:eastAsia="黑体"/>
      <w:b/>
      <w:sz w:val="24"/>
    </w:rPr>
  </w:style>
  <w:style w:type="character" w:styleId="1282" w:customStyle="1">
    <w:name w:val="标题 7 字符"/>
    <w:link w:val="1077"/>
    <w:uiPriority w:val="0"/>
    <w:qFormat/>
    <w:rPr>
      <w:b/>
      <w:sz w:val="24"/>
    </w:rPr>
  </w:style>
  <w:style w:type="character" w:styleId="1283" w:customStyle="1">
    <w:name w:val="标题 8 字符"/>
    <w:link w:val="1078"/>
    <w:uiPriority w:val="0"/>
    <w:qFormat/>
    <w:rPr>
      <w:rFonts w:ascii="Arial" w:hAnsi="Arial" w:eastAsia="黑体"/>
      <w:sz w:val="24"/>
    </w:rPr>
  </w:style>
  <w:style w:type="character" w:styleId="1284" w:customStyle="1">
    <w:name w:val="标题 9 字符"/>
    <w:link w:val="1079"/>
    <w:uiPriority w:val="0"/>
    <w:qFormat/>
    <w:rPr>
      <w:rFonts w:ascii="Arial" w:hAnsi="Arial" w:eastAsia="黑体"/>
      <w:sz w:val="21"/>
    </w:rPr>
  </w:style>
  <w:style w:type="character" w:styleId="1285" w:customStyle="1">
    <w:name w:val="文档结构图 字符"/>
    <w:link w:val="1085"/>
    <w:uiPriority w:val="0"/>
    <w:qFormat/>
    <w:rPr>
      <w:sz w:val="21"/>
      <w:szCs w:val="24"/>
      <w:shd w:val="clear" w:color="auto" w:fill="000080"/>
    </w:rPr>
  </w:style>
  <w:style w:type="character" w:styleId="1286" w:customStyle="1">
    <w:name w:val="批注文字 字符1"/>
    <w:link w:val="1086"/>
    <w:uiPriority w:val="99"/>
    <w:qFormat/>
    <w:rPr>
      <w:sz w:val="21"/>
      <w:szCs w:val="24"/>
    </w:rPr>
  </w:style>
  <w:style w:type="character" w:styleId="1287" w:customStyle="1">
    <w:name w:val="正文文本 3 字符"/>
    <w:link w:val="1087"/>
    <w:uiPriority w:val="0"/>
    <w:qFormat/>
    <w:rPr>
      <w:sz w:val="16"/>
      <w:szCs w:val="16"/>
    </w:rPr>
  </w:style>
  <w:style w:type="character" w:styleId="1288" w:customStyle="1">
    <w:name w:val="正文文本 字符"/>
    <w:link w:val="1088"/>
    <w:uiPriority w:val="0"/>
    <w:qFormat/>
    <w:rPr>
      <w:rFonts w:ascii="宋体" w:hAnsi="宋体"/>
      <w:sz w:val="24"/>
      <w:szCs w:val="24"/>
    </w:rPr>
  </w:style>
  <w:style w:type="character" w:styleId="1289" w:customStyle="1">
    <w:name w:val="正文文本缩进 字符"/>
    <w:link w:val="1089"/>
    <w:uiPriority w:val="0"/>
    <w:qFormat/>
    <w:rPr>
      <w:rFonts w:eastAsia="宋体"/>
      <w:sz w:val="24"/>
      <w:szCs w:val="24"/>
      <w:lang w:val="en-US" w:eastAsia="zh-CN" w:bidi="ar-SA"/>
    </w:rPr>
  </w:style>
  <w:style w:type="character" w:styleId="1290" w:customStyle="1">
    <w:name w:val="纯文本 字符2"/>
    <w:link w:val="1094"/>
    <w:uiPriority w:val="0"/>
    <w:qFormat/>
    <w:rPr>
      <w:rFonts w:hint="eastAsia" w:ascii="宋体" w:hAnsi="Courier New" w:eastAsia="宋体" w:cs="宋体"/>
      <w:sz w:val="21"/>
    </w:rPr>
  </w:style>
  <w:style w:type="character" w:styleId="1291" w:customStyle="1">
    <w:name w:val="日期 字符"/>
    <w:link w:val="1096"/>
    <w:uiPriority w:val="0"/>
    <w:qFormat/>
    <w:rPr>
      <w:rFonts w:ascii="仿宋_GB2312" w:hAnsi="宋体" w:eastAsia="仿宋_GB2312"/>
      <w:color w:val="000000"/>
      <w:sz w:val="24"/>
      <w:szCs w:val="24"/>
    </w:rPr>
  </w:style>
  <w:style w:type="character" w:styleId="1292" w:customStyle="1">
    <w:name w:val="正文文本缩进 2 字符"/>
    <w:link w:val="1097"/>
    <w:uiPriority w:val="0"/>
    <w:qFormat/>
    <w:rPr>
      <w:rFonts w:ascii="仿宋_GB2312" w:eastAsia="仿宋_GB2312"/>
      <w:sz w:val="24"/>
      <w:szCs w:val="24"/>
    </w:rPr>
  </w:style>
  <w:style w:type="character" w:styleId="1293" w:customStyle="1">
    <w:name w:val="批注框文本 字符"/>
    <w:link w:val="1099"/>
    <w:uiPriority w:val="0"/>
    <w:qFormat/>
    <w:rPr>
      <w:sz w:val="18"/>
      <w:szCs w:val="18"/>
    </w:rPr>
  </w:style>
  <w:style w:type="character" w:styleId="1294" w:customStyle="1">
    <w:name w:val="页脚 字符"/>
    <w:link w:val="1100"/>
    <w:uiPriority w:val="99"/>
    <w:qFormat/>
    <w:rPr>
      <w:rFonts w:ascii="宋体" w:eastAsia="宋体"/>
      <w:sz w:val="18"/>
      <w:lang w:val="en-US" w:eastAsia="zh-CN" w:bidi="ar-SA"/>
    </w:rPr>
  </w:style>
  <w:style w:type="character" w:styleId="1295" w:customStyle="1">
    <w:name w:val="页眉 字符"/>
    <w:link w:val="1101"/>
    <w:uiPriority w:val="0"/>
    <w:qFormat/>
    <w:rPr>
      <w:rFonts w:eastAsia="宋体"/>
      <w:sz w:val="18"/>
      <w:szCs w:val="18"/>
      <w:lang w:val="en-US" w:eastAsia="zh-CN" w:bidi="ar-SA"/>
    </w:rPr>
  </w:style>
  <w:style w:type="character" w:styleId="1296" w:customStyle="1">
    <w:name w:val="正文文本缩进 3 字符"/>
    <w:link w:val="1107"/>
    <w:uiPriority w:val="0"/>
    <w:qFormat/>
    <w:rPr>
      <w:rFonts w:ascii="宋体"/>
      <w:sz w:val="24"/>
    </w:rPr>
  </w:style>
  <w:style w:type="character" w:styleId="1297" w:customStyle="1">
    <w:name w:val="HTML 预设格式 字符"/>
    <w:link w:val="1111"/>
    <w:uiPriority w:val="0"/>
    <w:qFormat/>
    <w:rPr>
      <w:rFonts w:ascii="宋体" w:hAnsi="宋体" w:cs="宋体"/>
      <w:sz w:val="24"/>
      <w:szCs w:val="24"/>
    </w:rPr>
  </w:style>
  <w:style w:type="character" w:styleId="1298" w:customStyle="1">
    <w:name w:val="标题 字符"/>
    <w:link w:val="1114"/>
    <w:uiPriority w:val="0"/>
    <w:qFormat/>
    <w:rPr>
      <w:b/>
      <w:sz w:val="32"/>
    </w:rPr>
  </w:style>
  <w:style w:type="character" w:styleId="1299" w:customStyle="1">
    <w:name w:val="批注主题 字符"/>
    <w:link w:val="1115"/>
    <w:uiPriority w:val="0"/>
    <w:qFormat/>
    <w:rPr>
      <w:rFonts w:ascii="Times New Roman" w:hAnsi="Times New Roman" w:eastAsia="宋体" w:cs="Times New Roman"/>
      <w:b/>
      <w:bCs/>
      <w:sz w:val="21"/>
      <w:szCs w:val="24"/>
      <w:lang w:val="en-US" w:eastAsia="zh-CN" w:bidi="ar-SA"/>
    </w:rPr>
  </w:style>
  <w:style w:type="character" w:styleId="1300" w:customStyle="1">
    <w:name w:val="正文首行缩进 2 字符"/>
    <w:link w:val="1116"/>
    <w:uiPriority w:val="0"/>
    <w:qFormat/>
    <w:rPr>
      <w:rFonts w:eastAsia="宋体"/>
      <w:sz w:val="24"/>
      <w:szCs w:val="24"/>
      <w:lang w:val="en-US" w:eastAsia="zh-CN" w:bidi="ar-SA"/>
    </w:rPr>
  </w:style>
  <w:style w:type="character" w:styleId="1301" w:customStyle="1">
    <w:name w:val="批注文字 字符"/>
    <w:uiPriority w:val="99"/>
    <w:qFormat/>
    <w:rPr>
      <w:rFonts w:ascii="Times New Roman" w:hAnsi="Times New Roman" w:eastAsia="宋体" w:cs="Times New Roman"/>
      <w:sz w:val="24"/>
      <w:lang w:val="en-US" w:eastAsia="zh-CN" w:bidi="ar-SA"/>
    </w:rPr>
  </w:style>
  <w:style w:type="character" w:styleId="1302" w:customStyle="1">
    <w:name w:val="c21"/>
    <w:uiPriority w:val="0"/>
    <w:qFormat/>
    <w:rPr>
      <w:rFonts w:hint="default" w:ascii="ˎ̥" w:hAnsi="ˎ̥"/>
      <w:color w:val="000000"/>
      <w:sz w:val="20"/>
      <w:szCs w:val="20"/>
      <w:u w:val="none"/>
    </w:rPr>
  </w:style>
  <w:style w:type="character" w:styleId="1303" w:customStyle="1">
    <w:name w:val="title4"/>
    <w:uiPriority w:val="0"/>
    <w:qFormat/>
    <w:rPr>
      <w:b/>
      <w:bCs/>
      <w:color w:val="1d87b3"/>
      <w:sz w:val="15"/>
      <w:szCs w:val="15"/>
    </w:rPr>
  </w:style>
  <w:style w:type="character" w:styleId="1304" w:customStyle="1">
    <w:name w:val="标题 2 Char Char"/>
    <w:uiPriority w:val="0"/>
    <w:qFormat/>
    <w:rPr>
      <w:rFonts w:ascii="Arial" w:hAnsi="Arial" w:eastAsia="黑体"/>
      <w:b/>
      <w:bCs/>
      <w:sz w:val="32"/>
      <w:szCs w:val="32"/>
      <w:lang w:val="en-US" w:eastAsia="zh-CN" w:bidi="ar-SA"/>
    </w:rPr>
  </w:style>
  <w:style w:type="character" w:styleId="1305" w:customStyle="1">
    <w:name w:val="black1"/>
    <w:uiPriority w:val="0"/>
    <w:qFormat/>
    <w:rPr>
      <w:color w:val="000000"/>
    </w:rPr>
  </w:style>
  <w:style w:type="character" w:styleId="1306" w:customStyle="1">
    <w:name w:val="street-address"/>
    <w:uiPriority w:val="0"/>
    <w:qFormat/>
  </w:style>
  <w:style w:type="character" w:styleId="1307" w:customStyle="1">
    <w:name w:val="locality"/>
    <w:uiPriority w:val="0"/>
    <w:qFormat/>
  </w:style>
  <w:style w:type="character" w:styleId="1308" w:customStyle="1">
    <w:name w:val="正文文本缩进 Char1"/>
    <w:link w:val="1309"/>
    <w:uiPriority w:val="0"/>
    <w:qFormat/>
    <w:rPr>
      <w:rFonts w:ascii="宋体" w:hAnsi="宋体" w:eastAsia="宋体"/>
      <w:sz w:val="24"/>
      <w:szCs w:val="24"/>
      <w:lang w:bidi="ar-SA"/>
    </w:rPr>
  </w:style>
  <w:style w:type="paragraph" w:styleId="1309" w:customStyle="1">
    <w:name w:val="正文文本缩进1"/>
    <w:basedOn w:val="1070"/>
    <w:link w:val="1308"/>
    <w:uiPriority w:val="0"/>
    <w:qFormat/>
    <w:pPr>
      <w:ind w:firstLine="480"/>
      <w:spacing w:line="480" w:lineRule="exact"/>
    </w:pPr>
    <w:rPr>
      <w:rFonts w:ascii="宋体" w:hAnsi="宋体"/>
      <w:sz w:val="24"/>
    </w:rPr>
  </w:style>
  <w:style w:type="character" w:styleId="1310" w:customStyle="1">
    <w:name w:val="Char Char11"/>
    <w:uiPriority w:val="0"/>
    <w:qFormat/>
    <w:rPr>
      <w:rFonts w:ascii="宋体" w:eastAsia="宋体"/>
      <w:b/>
      <w:sz w:val="24"/>
      <w:u w:val="single"/>
      <w:lang w:val="en-US" w:eastAsia="zh-CN" w:bidi="ar-SA"/>
    </w:rPr>
  </w:style>
  <w:style w:type="character" w:styleId="1311" w:customStyle="1">
    <w:name w:val="txt"/>
    <w:uiPriority w:val="0"/>
    <w:qFormat/>
  </w:style>
  <w:style w:type="character" w:styleId="1312" w:customStyle="1">
    <w:name w:val="正文缩进 Char Char"/>
    <w:link w:val="1313"/>
    <w:uiPriority w:val="0"/>
    <w:qFormat/>
    <w:rPr>
      <w:rFonts w:ascii="宋体" w:eastAsia="宋体"/>
      <w:color w:val="000000"/>
      <w:sz w:val="28"/>
      <w:lang w:bidi="ar-SA"/>
    </w:rPr>
  </w:style>
  <w:style w:type="paragraph" w:styleId="1313" w:customStyle="1">
    <w:name w:val="正文缩进1"/>
    <w:basedOn w:val="1070"/>
    <w:link w:val="1312"/>
    <w:uiPriority w:val="0"/>
    <w:qFormat/>
    <w:pPr>
      <w:ind w:firstLine="567"/>
      <w:spacing w:line="480" w:lineRule="exact"/>
      <w:widowControl/>
    </w:pPr>
    <w:rPr>
      <w:rFonts w:ascii="宋体"/>
      <w:color w:val="000000"/>
      <w:sz w:val="28"/>
      <w:szCs w:val="20"/>
    </w:rPr>
  </w:style>
  <w:style w:type="character" w:styleId="1314" w:customStyle="1">
    <w:name w:val="普通文字1 Char1"/>
    <w:uiPriority w:val="0"/>
    <w:qFormat/>
    <w:rPr>
      <w:rFonts w:ascii="宋体" w:hAnsi="Courier New" w:eastAsia="宋体"/>
      <w:sz w:val="21"/>
      <w:lang w:val="en-US" w:eastAsia="zh-CN" w:bidi="ar-SA"/>
    </w:rPr>
  </w:style>
  <w:style w:type="character" w:styleId="1315" w:customStyle="1">
    <w:name w:val="chanpin1"/>
    <w:uiPriority w:val="0"/>
    <w:qFormat/>
    <w:rPr>
      <w:rFonts w:hint="default" w:ascii="ˎ̥" w:hAnsi="ˎ̥"/>
      <w:color w:val="000000"/>
      <w:sz w:val="20"/>
      <w:szCs w:val="20"/>
      <w:u w:val="none"/>
    </w:rPr>
  </w:style>
  <w:style w:type="character" w:styleId="1316" w:customStyle="1">
    <w:name w:val="列出段落 字符"/>
    <w:link w:val="1317"/>
    <w:uiPriority w:val="34"/>
    <w:qFormat/>
    <w:rPr>
      <w:rFonts w:ascii="Calibri" w:hAnsi="Calibri" w:eastAsia="宋体"/>
      <w:sz w:val="21"/>
      <w:szCs w:val="22"/>
      <w:lang w:val="en-US" w:eastAsia="zh-CN" w:bidi="ar-SA"/>
    </w:rPr>
  </w:style>
  <w:style w:type="paragraph" w:styleId="1317">
    <w:name w:val="List Paragraph"/>
    <w:basedOn w:val="1070"/>
    <w:link w:val="1316"/>
    <w:uiPriority w:val="34"/>
    <w:qFormat/>
    <w:pPr>
      <w:ind w:firstLine="420"/>
    </w:pPr>
    <w:rPr>
      <w:rFonts w:ascii="Calibri" w:hAnsi="Calibri"/>
      <w:szCs w:val="22"/>
    </w:rPr>
  </w:style>
  <w:style w:type="character" w:styleId="1318" w:customStyle="1">
    <w:name w:val="标题 3 Char Char"/>
    <w:uiPriority w:val="0"/>
    <w:qFormat/>
    <w:rPr>
      <w:rFonts w:eastAsia="宋体"/>
      <w:b/>
      <w:bCs/>
      <w:sz w:val="32"/>
      <w:szCs w:val="32"/>
      <w:lang w:val="en-US" w:eastAsia="zh-CN" w:bidi="ar-SA"/>
    </w:rPr>
  </w:style>
  <w:style w:type="character" w:styleId="1319" w:customStyle="1">
    <w:name w:val="段1 Char"/>
    <w:uiPriority w:val="0"/>
    <w:qFormat/>
    <w:rPr>
      <w:rFonts w:ascii="宋体" w:eastAsia="宋体"/>
      <w:sz w:val="24"/>
      <w:lang w:val="en-US" w:eastAsia="zh-CN" w:bidi="ar-SA"/>
    </w:rPr>
  </w:style>
  <w:style w:type="character" w:styleId="1320" w:customStyle="1">
    <w:name w:val="chanpin拷贝"/>
    <w:uiPriority w:val="0"/>
    <w:qFormat/>
  </w:style>
  <w:style w:type="character" w:styleId="1321" w:customStyle="1">
    <w:name w:val="纯文本 Char1"/>
    <w:uiPriority w:val="0"/>
    <w:qFormat/>
    <w:rPr>
      <w:rFonts w:ascii="宋体" w:hAnsi="Courier New" w:eastAsia="宋体"/>
      <w:sz w:val="21"/>
      <w:lang w:val="en-US" w:eastAsia="zh-CN" w:bidi="ar-SA"/>
    </w:rPr>
  </w:style>
  <w:style w:type="character" w:styleId="1322" w:customStyle="1">
    <w:name w:val="apple-style-span"/>
    <w:uiPriority w:val="0"/>
    <w:qFormat/>
    <w:rPr>
      <w:rFonts w:cs="Times New Roman"/>
    </w:rPr>
  </w:style>
  <w:style w:type="paragraph" w:styleId="1323" w:customStyle="1">
    <w:name w:val="二级条标题"/>
    <w:basedOn w:val="1324"/>
    <w:next w:val="107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24" w:customStyle="1">
    <w:name w:val="一级条标题"/>
    <w:basedOn w:val="1325"/>
    <w:next w:val="1070"/>
    <w:uiPriority w:val="0"/>
    <w:qFormat/>
    <w:pPr>
      <w:numPr>
        <w:ilvl w:val="1"/>
      </w:numPr>
      <w:ind w:left="0" w:hanging="840"/>
      <w:tabs>
        <w:tab w:val="left" w:pos="360" w:leader="none"/>
        <w:tab w:val="left" w:pos="840" w:leader="none"/>
      </w:tabs>
      <w:outlineLvl w:val="1"/>
    </w:pPr>
  </w:style>
  <w:style w:type="paragraph" w:styleId="1325" w:customStyle="1">
    <w:name w:val="章标题"/>
    <w:next w:val="107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326" w:customStyle="1">
    <w:name w:val="font7"/>
    <w:basedOn w:val="1070"/>
    <w:uiPriority w:val="0"/>
    <w:qFormat/>
    <w:pPr>
      <w:jc w:val="left"/>
      <w:spacing w:before="100" w:beforeAutospacing="1" w:after="100" w:afterAutospacing="1"/>
      <w:widowControl/>
    </w:pPr>
    <w:rPr>
      <w:rFonts w:eastAsia="Arial Unicode MS"/>
      <w:b/>
      <w:bCs/>
      <w:color w:val="000000"/>
      <w:sz w:val="20"/>
      <w:szCs w:val="20"/>
    </w:rPr>
  </w:style>
  <w:style w:type="paragraph" w:styleId="1327" w:customStyle="1">
    <w:name w:val="字元 字元"/>
    <w:basedOn w:val="1070"/>
    <w:uiPriority w:val="0"/>
    <w:qFormat/>
    <w:rPr>
      <w:rFonts w:ascii="Tahoma" w:hAnsi="Tahoma"/>
      <w:sz w:val="24"/>
      <w:szCs w:val="20"/>
    </w:rPr>
  </w:style>
  <w:style w:type="paragraph" w:styleId="1328" w:customStyle="1">
    <w:name w:val="Char3 Char Char Char"/>
    <w:basedOn w:val="1070"/>
    <w:uiPriority w:val="0"/>
    <w:qFormat/>
    <w:rPr>
      <w:rFonts w:ascii="Tahoma" w:hAnsi="Tahoma"/>
      <w:sz w:val="24"/>
      <w:szCs w:val="20"/>
    </w:rPr>
  </w:style>
  <w:style w:type="paragraph" w:styleId="1329" w:customStyle="1">
    <w:name w:val="font6"/>
    <w:basedOn w:val="1070"/>
    <w:uiPriority w:val="0"/>
    <w:qFormat/>
    <w:pPr>
      <w:jc w:val="left"/>
      <w:spacing w:before="100" w:beforeAutospacing="1" w:after="100" w:afterAutospacing="1"/>
      <w:widowControl/>
    </w:pPr>
    <w:rPr>
      <w:rFonts w:ascii="宋体" w:hAnsi="宋体" w:cs="宋体"/>
      <w:sz w:val="20"/>
      <w:szCs w:val="20"/>
    </w:rPr>
  </w:style>
  <w:style w:type="paragraph" w:styleId="1330" w:customStyle="1">
    <w:name w:val="项目编号2"/>
    <w:basedOn w:val="1331"/>
    <w:uiPriority w:val="0"/>
    <w:qFormat/>
    <w:pPr>
      <w:numPr>
        <w:numId w:val="2"/>
      </w:numPr>
    </w:pPr>
  </w:style>
  <w:style w:type="paragraph" w:styleId="1331" w:customStyle="1">
    <w:name w:val="项目编号1"/>
    <w:basedOn w:val="1070"/>
    <w:uiPriority w:val="0"/>
    <w:qFormat/>
    <w:pPr>
      <w:numPr>
        <w:ilvl w:val="0"/>
        <w:numId w:val="3"/>
      </w:numPr>
      <w:spacing w:before="100" w:beforeAutospacing="1" w:after="100" w:afterAutospacing="1" w:line="360" w:lineRule="auto"/>
    </w:pPr>
    <w:rPr>
      <w:sz w:val="24"/>
    </w:rPr>
  </w:style>
  <w:style w:type="paragraph" w:styleId="1332" w:customStyle="1">
    <w:name w:val="图中文字"/>
    <w:basedOn w:val="1070"/>
    <w:uiPriority w:val="0"/>
    <w:qFormat/>
    <w:pPr>
      <w:jc w:val="center"/>
      <w:spacing w:line="0" w:lineRule="atLeast"/>
    </w:pPr>
    <w:rPr>
      <w:sz w:val="24"/>
      <w:szCs w:val="20"/>
    </w:rPr>
  </w:style>
  <w:style w:type="paragraph" w:styleId="1333" w:customStyle="1">
    <w:name w:val="xl46"/>
    <w:basedOn w:val="107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34" w:customStyle="1">
    <w:name w:val="xl25"/>
    <w:basedOn w:val="10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35" w:customStyle="1">
    <w:name w:val="Char2"/>
    <w:basedOn w:val="1070"/>
    <w:uiPriority w:val="0"/>
    <w:qFormat/>
    <w:rPr>
      <w:rFonts w:ascii="Tahoma" w:hAnsi="Tahoma"/>
      <w:sz w:val="24"/>
      <w:szCs w:val="20"/>
    </w:rPr>
  </w:style>
  <w:style w:type="paragraph" w:styleId="1336" w:customStyle="1">
    <w:name w:val="xl35"/>
    <w:basedOn w:val="107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7" w:customStyle="1">
    <w:name w:val="xl40"/>
    <w:basedOn w:val="10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38" w:customStyle="1">
    <w:name w:val="xl52"/>
    <w:basedOn w:val="10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339" w:customStyle="1">
    <w:name w:val="xl43"/>
    <w:basedOn w:val="10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340" w:customStyle="1">
    <w:name w:val="background1"/>
    <w:basedOn w:val="1070"/>
    <w:uiPriority w:val="0"/>
    <w:qFormat/>
    <w:pPr>
      <w:jc w:val="left"/>
      <w:spacing w:before="100" w:beforeAutospacing="1" w:after="100" w:afterAutospacing="1"/>
      <w:widowControl/>
    </w:pPr>
    <w:rPr>
      <w:rFonts w:ascii="宋体" w:hAnsi="宋体" w:cs="宋体"/>
      <w:sz w:val="24"/>
    </w:rPr>
  </w:style>
  <w:style w:type="paragraph" w:styleId="1341" w:customStyle="1">
    <w:name w:val="Char Char Char Char Char Char Char"/>
    <w:basedOn w:val="1070"/>
    <w:uiPriority w:val="0"/>
    <w:qFormat/>
    <w:pPr>
      <w:ind w:firstLine="200"/>
      <w:spacing w:line="360" w:lineRule="auto"/>
    </w:pPr>
    <w:rPr>
      <w:rFonts w:eastAsia="仿宋_GB2312"/>
      <w:sz w:val="24"/>
    </w:rPr>
  </w:style>
  <w:style w:type="paragraph" w:styleId="1342" w:customStyle="1">
    <w:name w:val="xl38"/>
    <w:basedOn w:val="10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343" w:customStyle="1">
    <w:name w:val="xl36"/>
    <w:basedOn w:val="107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4" w:customStyle="1">
    <w:name w:val="正文 + 宋体"/>
    <w:basedOn w:val="1070"/>
    <w:uiPriority w:val="0"/>
    <w:qFormat/>
    <w:pPr>
      <w:ind w:left="360" w:hanging="360"/>
      <w:jc w:val="left"/>
      <w:widowControl/>
    </w:pPr>
    <w:rPr>
      <w:rFonts w:ascii="宋体" w:hAnsi="宋体" w:cs="宋体"/>
      <w:b/>
      <w:bCs/>
      <w:color w:val="000000"/>
      <w:sz w:val="18"/>
      <w:szCs w:val="18"/>
    </w:rPr>
  </w:style>
  <w:style w:type="paragraph" w:styleId="1345" w:customStyle="1">
    <w:name w:val="正文列项_数字"/>
    <w:basedOn w:val="107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46" w:customStyle="1">
    <w:name w:val="xl39"/>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47" w:customStyle="1">
    <w:name w:val="xl37"/>
    <w:basedOn w:val="107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8" w:customStyle="1">
    <w:name w:val="xl32"/>
    <w:basedOn w:val="10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49" w:customStyle="1">
    <w:name w:val="font8"/>
    <w:basedOn w:val="1070"/>
    <w:uiPriority w:val="0"/>
    <w:qFormat/>
    <w:pPr>
      <w:jc w:val="left"/>
      <w:spacing w:before="100" w:beforeAutospacing="1" w:after="100" w:afterAutospacing="1"/>
      <w:widowControl/>
    </w:pPr>
    <w:rPr>
      <w:sz w:val="36"/>
      <w:szCs w:val="36"/>
    </w:rPr>
  </w:style>
  <w:style w:type="paragraph" w:styleId="1350" w:customStyle="1">
    <w:name w:val="Char"/>
    <w:basedOn w:val="1070"/>
    <w:uiPriority w:val="0"/>
    <w:qFormat/>
    <w:pPr>
      <w:tabs>
        <w:tab w:val="left" w:pos="360" w:leader="none"/>
      </w:tabs>
    </w:pPr>
    <w:rPr>
      <w:sz w:val="24"/>
    </w:rPr>
  </w:style>
  <w:style w:type="paragraph" w:styleId="1351" w:customStyle="1">
    <w:name w:val="Char Char Char Char Char Char Char Char Char Char Char Char Char Char Char Char"/>
    <w:basedOn w:val="1070"/>
    <w:uiPriority w:val="0"/>
    <w:qFormat/>
    <w:pPr>
      <w:jc w:val="center"/>
      <w:spacing w:after="160" w:line="240" w:lineRule="exact"/>
      <w:widowControl/>
    </w:pPr>
    <w:rPr>
      <w:rFonts w:ascii="宋体" w:hAnsi="宋体"/>
      <w:b/>
      <w:sz w:val="30"/>
      <w:szCs w:val="30"/>
      <w:lang w:eastAsia="en-US"/>
    </w:rPr>
  </w:style>
  <w:style w:type="paragraph" w:styleId="1352" w:customStyle="1">
    <w:name w:val="xl45"/>
    <w:basedOn w:val="10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53" w:customStyle="1">
    <w:name w:val="Char Char1 Char Char Char Char Char Char"/>
    <w:basedOn w:val="1070"/>
    <w:uiPriority w:val="0"/>
    <w:qFormat/>
    <w:pPr>
      <w:jc w:val="left"/>
      <w:spacing w:after="160" w:line="240" w:lineRule="exact"/>
      <w:widowControl/>
    </w:pPr>
    <w:rPr>
      <w:rFonts w:ascii="Verdana" w:hAnsi="Verdana" w:eastAsia="仿宋_GB2312"/>
      <w:sz w:val="24"/>
      <w:szCs w:val="20"/>
      <w:lang w:eastAsia="en-US"/>
    </w:rPr>
  </w:style>
  <w:style w:type="paragraph" w:styleId="1354" w:customStyle="1">
    <w:name w:val="Char Char1"/>
    <w:basedOn w:val="1085"/>
    <w:uiPriority w:val="0"/>
    <w:qFormat/>
    <w:rPr>
      <w:rFonts w:ascii="Tahoma" w:hAnsi="Tahoma"/>
      <w:sz w:val="24"/>
    </w:rPr>
  </w:style>
  <w:style w:type="paragraph" w:styleId="1355" w:customStyle="1">
    <w:name w:val="xl26"/>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356" w:customStyle="1">
    <w:name w:val="xl30"/>
    <w:basedOn w:val="10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57" w:customStyle="1">
    <w:name w:val="xl41"/>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358" w:customStyle="1">
    <w:name w:val="样式 宋体 五号 行距: 单倍行距"/>
    <w:basedOn w:val="1070"/>
    <w:uiPriority w:val="0"/>
    <w:qFormat/>
    <w:pPr>
      <w:jc w:val="left"/>
    </w:pPr>
    <w:rPr>
      <w:rFonts w:ascii="宋体" w:hAnsi="宋体"/>
      <w:szCs w:val="20"/>
    </w:rPr>
  </w:style>
  <w:style w:type="paragraph" w:styleId="1359" w:customStyle="1">
    <w:name w:val="Char1 Char Char Char1"/>
    <w:basedOn w:val="1070"/>
    <w:uiPriority w:val="0"/>
    <w:qFormat/>
    <w:rPr>
      <w:rFonts w:ascii="Tahoma" w:hAnsi="Tahoma" w:cs="仿宋_GB2312"/>
      <w:sz w:val="24"/>
      <w:szCs w:val="28"/>
    </w:rPr>
  </w:style>
  <w:style w:type="paragraph" w:styleId="1360" w:customStyle="1">
    <w:name w:val="四级条标题"/>
    <w:basedOn w:val="1361"/>
    <w:next w:val="1070"/>
    <w:uiPriority w:val="0"/>
    <w:qFormat/>
    <w:pPr>
      <w:numPr>
        <w:ilvl w:val="4"/>
      </w:numPr>
      <w:ind w:left="0" w:hanging="840"/>
      <w:tabs>
        <w:tab w:val="left" w:pos="360" w:leader="none"/>
        <w:tab w:val="left" w:pos="840" w:leader="none"/>
      </w:tabs>
      <w:outlineLvl w:val="4"/>
    </w:pPr>
  </w:style>
  <w:style w:type="paragraph" w:styleId="1361" w:customStyle="1">
    <w:name w:val="三级条标题"/>
    <w:basedOn w:val="1323"/>
    <w:next w:val="1070"/>
    <w:uiPriority w:val="0"/>
    <w:qFormat/>
    <w:pPr>
      <w:numPr>
        <w:ilvl w:val="3"/>
        <w:numId w:val="1"/>
      </w:numPr>
      <w:ind w:left="0" w:hanging="840"/>
      <w:outlineLvl w:val="3"/>
    </w:pPr>
  </w:style>
  <w:style w:type="paragraph" w:styleId="136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63" w:customStyle="1">
    <w:name w:val="样式 标题 2 + 宋体 五号 行距: 单倍行距"/>
    <w:basedOn w:val="1072"/>
    <w:uiPriority w:val="0"/>
    <w:qFormat/>
    <w:pPr>
      <w:numPr>
        <w:ilvl w:val="1"/>
        <w:numId w:val="4"/>
      </w:numPr>
      <w:jc w:val="left"/>
      <w:spacing w:before="260" w:after="260" w:line="240" w:lineRule="auto"/>
    </w:pPr>
    <w:rPr>
      <w:rFonts w:ascii="宋体" w:hAnsi="宋体" w:eastAsia="宋体"/>
      <w:bCs/>
      <w:sz w:val="21"/>
    </w:rPr>
  </w:style>
  <w:style w:type="paragraph" w:styleId="1364" w:customStyle="1">
    <w:name w:val="List Paragraph1"/>
    <w:basedOn w:val="1070"/>
    <w:uiPriority w:val="0"/>
    <w:qFormat/>
    <w:pPr>
      <w:ind w:firstLine="420"/>
    </w:pPr>
    <w:rPr>
      <w:rFonts w:ascii="Calibri" w:hAnsi="Calibri"/>
      <w:szCs w:val="22"/>
    </w:rPr>
  </w:style>
  <w:style w:type="paragraph" w:styleId="1365" w:customStyle="1">
    <w:name w:val="项目符号1"/>
    <w:basedOn w:val="1366"/>
    <w:uiPriority w:val="0"/>
    <w:qFormat/>
    <w:pPr>
      <w:ind w:left="-25" w:firstLine="0"/>
    </w:pPr>
  </w:style>
  <w:style w:type="paragraph" w:styleId="1366" w:customStyle="1">
    <w:name w:val="正文文本样式"/>
    <w:basedOn w:val="1070"/>
    <w:uiPriority w:val="0"/>
    <w:qFormat/>
    <w:pPr>
      <w:ind w:firstLine="482"/>
      <w:spacing w:line="360" w:lineRule="auto"/>
    </w:pPr>
    <w:rPr>
      <w:rFonts w:cs="宋体"/>
      <w:sz w:val="24"/>
      <w:szCs w:val="20"/>
    </w:rPr>
  </w:style>
  <w:style w:type="paragraph" w:styleId="1367" w:customStyle="1">
    <w:name w:val="xl27"/>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68" w:customStyle="1">
    <w:name w:val="font5"/>
    <w:basedOn w:val="1070"/>
    <w:uiPriority w:val="0"/>
    <w:qFormat/>
    <w:pPr>
      <w:jc w:val="left"/>
      <w:spacing w:before="100" w:beforeAutospacing="1" w:after="100" w:afterAutospacing="1"/>
      <w:widowControl/>
    </w:pPr>
    <w:rPr>
      <w:rFonts w:ascii="宋体" w:hAnsi="宋体" w:cs="宋体"/>
      <w:sz w:val="18"/>
      <w:szCs w:val="18"/>
    </w:rPr>
  </w:style>
  <w:style w:type="paragraph" w:styleId="1369" w:customStyle="1">
    <w:name w:val="五级条标题"/>
    <w:basedOn w:val="1360"/>
    <w:next w:val="1070"/>
    <w:uiPriority w:val="0"/>
    <w:qFormat/>
    <w:pPr>
      <w:numPr>
        <w:ilvl w:val="5"/>
      </w:numPr>
      <w:ind w:left="0" w:hanging="840"/>
      <w:outlineLvl w:val="5"/>
    </w:pPr>
  </w:style>
  <w:style w:type="paragraph" w:styleId="1370" w:customStyle="1">
    <w:name w:val="xl49"/>
    <w:basedOn w:val="10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371" w:customStyle="1">
    <w:name w:val="文档正文"/>
    <w:basedOn w:val="1070"/>
    <w:uiPriority w:val="0"/>
    <w:qFormat/>
    <w:pPr>
      <w:spacing w:before="120" w:after="120" w:line="180" w:lineRule="auto"/>
    </w:pPr>
    <w:rPr>
      <w:rFonts w:ascii="Arial" w:hAnsi="Arial"/>
      <w:szCs w:val="20"/>
    </w:rPr>
  </w:style>
  <w:style w:type="paragraph" w:styleId="1372" w:customStyle="1">
    <w:name w:val="xl33"/>
    <w:basedOn w:val="10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73" w:customStyle="1">
    <w:name w:val="xl42"/>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374" w:customStyle="1">
    <w:name w:val="Char Char Char1 Char"/>
    <w:basedOn w:val="1070"/>
    <w:uiPriority w:val="0"/>
    <w:qFormat/>
    <w:rPr>
      <w:rFonts w:ascii="Tahoma" w:hAnsi="Tahoma"/>
      <w:sz w:val="24"/>
      <w:szCs w:val="20"/>
    </w:rPr>
  </w:style>
  <w:style w:type="paragraph" w:styleId="1375" w:customStyle="1">
    <w:name w:val="xl44"/>
    <w:basedOn w:val="10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376" w:customStyle="1">
    <w:name w:val="1名"/>
    <w:basedOn w:val="1070"/>
    <w:uiPriority w:val="0"/>
    <w:qFormat/>
    <w:pPr>
      <w:numPr>
        <w:ilvl w:val="0"/>
        <w:numId w:val="5"/>
      </w:numPr>
      <w:spacing w:before="120"/>
    </w:pPr>
    <w:rPr>
      <w:rFonts w:ascii="宋体"/>
      <w:sz w:val="28"/>
      <w:szCs w:val="20"/>
    </w:rPr>
  </w:style>
  <w:style w:type="paragraph" w:styleId="1377" w:customStyle="1">
    <w:name w:val="font9"/>
    <w:basedOn w:val="107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78" w:customStyle="1">
    <w:name w:val="Char Char Char1 Char1"/>
    <w:basedOn w:val="1070"/>
    <w:uiPriority w:val="0"/>
    <w:qFormat/>
    <w:rPr>
      <w:rFonts w:ascii="Tahoma" w:hAnsi="Tahoma"/>
      <w:sz w:val="24"/>
      <w:szCs w:val="20"/>
    </w:rPr>
  </w:style>
  <w:style w:type="paragraph" w:styleId="1379" w:customStyle="1">
    <w:name w:val="Char Char Char Char Char Char Char Char Char Char"/>
    <w:basedOn w:val="1070"/>
    <w:uiPriority w:val="0"/>
    <w:qFormat/>
  </w:style>
  <w:style w:type="paragraph" w:styleId="1380" w:customStyle="1">
    <w:name w:val="Char Char1 Char Char Char Char Char Char Char Char"/>
    <w:basedOn w:val="1070"/>
    <w:uiPriority w:val="0"/>
    <w:qFormat/>
    <w:pPr>
      <w:jc w:val="left"/>
      <w:spacing w:after="160" w:line="240" w:lineRule="exact"/>
      <w:widowControl/>
    </w:pPr>
    <w:rPr>
      <w:rFonts w:ascii="Verdana" w:hAnsi="Verdana"/>
      <w:sz w:val="20"/>
      <w:szCs w:val="20"/>
      <w:lang w:eastAsia="en-US"/>
    </w:rPr>
  </w:style>
  <w:style w:type="paragraph" w:styleId="1381" w:customStyle="1">
    <w:name w:val="Char1"/>
    <w:basedOn w:val="1070"/>
    <w:uiPriority w:val="0"/>
    <w:qFormat/>
    <w:pPr>
      <w:tabs>
        <w:tab w:val="left" w:pos="360" w:leader="none"/>
      </w:tabs>
    </w:pPr>
    <w:rPr>
      <w:sz w:val="24"/>
    </w:rPr>
  </w:style>
  <w:style w:type="paragraph" w:styleId="1382" w:customStyle="1">
    <w:name w:val="正文列项_字母"/>
    <w:basedOn w:val="107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83" w:customStyle="1">
    <w:name w:val="xl28"/>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84" w:customStyle="1">
    <w:name w:val="xl47"/>
    <w:basedOn w:val="10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85" w:customStyle="1">
    <w:name w:val="默认段落字体 Para Char Char Char Char"/>
    <w:basedOn w:val="1070"/>
    <w:uiPriority w:val="0"/>
    <w:qFormat/>
    <w:rPr>
      <w:rFonts w:ascii="Arial" w:hAnsi="Arial" w:cs="Arial"/>
      <w:szCs w:val="21"/>
    </w:rPr>
  </w:style>
  <w:style w:type="paragraph" w:styleId="1386" w:customStyle="1">
    <w:name w:val="xl48"/>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387" w:customStyle="1">
    <w:name w:val="xl31"/>
    <w:basedOn w:val="10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88" w:customStyle="1">
    <w:name w:val="xl53"/>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89" w:customStyle="1">
    <w:name w:val="Char Char Char"/>
    <w:basedOn w:val="1070"/>
    <w:uiPriority w:val="0"/>
    <w:qFormat/>
    <w:rPr>
      <w:rFonts w:ascii="Tahoma" w:hAnsi="Tahoma"/>
      <w:sz w:val="24"/>
      <w:szCs w:val="20"/>
    </w:rPr>
  </w:style>
  <w:style w:type="paragraph" w:styleId="1390" w:customStyle="1">
    <w:name w:val="xl50"/>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391" w:customStyle="1">
    <w:name w:val="缺省文本"/>
    <w:basedOn w:val="1070"/>
    <w:uiPriority w:val="0"/>
    <w:qFormat/>
    <w:pPr>
      <w:jc w:val="left"/>
    </w:pPr>
    <w:rPr>
      <w:sz w:val="24"/>
    </w:rPr>
  </w:style>
  <w:style w:type="paragraph" w:styleId="1392" w:customStyle="1">
    <w:name w:val="Char Char Char1"/>
    <w:basedOn w:val="1070"/>
    <w:uiPriority w:val="0"/>
    <w:qFormat/>
    <w:rPr>
      <w:rFonts w:ascii="Tahoma" w:hAnsi="Tahoma"/>
      <w:sz w:val="24"/>
      <w:szCs w:val="20"/>
    </w:rPr>
  </w:style>
  <w:style w:type="paragraph" w:styleId="1393" w:customStyle="1">
    <w:name w:val="Char Char Char Char Char Char Char1"/>
    <w:basedOn w:val="1070"/>
    <w:uiPriority w:val="0"/>
    <w:qFormat/>
    <w:pPr>
      <w:ind w:firstLine="200"/>
      <w:spacing w:line="360" w:lineRule="auto"/>
    </w:pPr>
    <w:rPr>
      <w:rFonts w:eastAsia="仿宋_GB2312"/>
      <w:sz w:val="24"/>
    </w:rPr>
  </w:style>
  <w:style w:type="paragraph" w:styleId="1394" w:customStyle="1">
    <w:name w:val="xl51"/>
    <w:basedOn w:val="10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95" w:customStyle="1">
    <w:name w:val="样式2"/>
    <w:basedOn w:val="1113"/>
    <w:uiPriority w:val="0"/>
    <w:qFormat/>
    <w:pPr>
      <w:jc w:val="center"/>
      <w:spacing w:line="360" w:lineRule="auto"/>
    </w:pPr>
    <w:rPr>
      <w:sz w:val="24"/>
    </w:rPr>
  </w:style>
  <w:style w:type="paragraph" w:styleId="1396" w:customStyle="1">
    <w:name w:val="xl24"/>
    <w:basedOn w:val="10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97" w:customStyle="1">
    <w:name w:val="xl29"/>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98" w:customStyle="1">
    <w:name w:val="正文 + 楷体_GB2312"/>
    <w:basedOn w:val="1070"/>
    <w:uiPriority w:val="0"/>
    <w:qFormat/>
    <w:pPr>
      <w:jc w:val="left"/>
      <w:widowControl/>
    </w:pPr>
    <w:rPr>
      <w:rFonts w:ascii="楷体_GB2312" w:eastAsia="楷体_GB2312" w:cs="Arial"/>
      <w:sz w:val="24"/>
    </w:rPr>
  </w:style>
  <w:style w:type="paragraph" w:styleId="1399" w:customStyle="1">
    <w:name w:val="xl34"/>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400" w:customStyle="1">
    <w:name w:val="1 Char Char Char Char"/>
    <w:basedOn w:val="1070"/>
    <w:uiPriority w:val="0"/>
    <w:qFormat/>
    <w:rPr>
      <w:rFonts w:ascii="Tahoma" w:hAnsi="Tahoma"/>
      <w:sz w:val="24"/>
      <w:szCs w:val="20"/>
    </w:rPr>
  </w:style>
  <w:style w:type="paragraph" w:styleId="1401" w:customStyle="1">
    <w:name w:val="列出段落1"/>
    <w:basedOn w:val="1070"/>
    <w:uiPriority w:val="0"/>
    <w:qFormat/>
    <w:pPr>
      <w:ind w:firstLine="420"/>
    </w:pPr>
    <w:rPr>
      <w:rFonts w:ascii="Calibri" w:hAnsi="Calibri"/>
      <w:szCs w:val="22"/>
    </w:rPr>
  </w:style>
  <w:style w:type="paragraph" w:styleId="1402" w:customStyle="1">
    <w:name w:val="default"/>
    <w:basedOn w:val="1070"/>
    <w:uiPriority w:val="0"/>
    <w:qFormat/>
    <w:pPr>
      <w:jc w:val="left"/>
      <w:spacing w:before="100" w:beforeAutospacing="1" w:after="100" w:afterAutospacing="1"/>
      <w:widowControl/>
    </w:pPr>
    <w:rPr>
      <w:rFonts w:ascii="宋体" w:hAnsi="宋体" w:cs="宋体"/>
      <w:sz w:val="24"/>
    </w:rPr>
  </w:style>
  <w:style w:type="paragraph" w:styleId="1403" w:customStyle="1">
    <w:name w:val="字元 字元1"/>
    <w:basedOn w:val="1070"/>
    <w:uiPriority w:val="0"/>
    <w:qFormat/>
    <w:rPr>
      <w:rFonts w:ascii="Tahoma" w:hAnsi="Tahoma"/>
      <w:sz w:val="24"/>
      <w:szCs w:val="20"/>
    </w:rPr>
  </w:style>
  <w:style w:type="paragraph" w:styleId="1404" w:customStyle="1">
    <w:name w:val="_Style 160"/>
    <w:uiPriority w:val="0"/>
    <w:qFormat/>
    <w:rPr>
      <w:rFonts w:hint="default" w:ascii="Times New Roman" w:hAnsi="Times New Roman" w:eastAsia="宋体" w:cs="Times New Roman"/>
      <w:sz w:val="21"/>
      <w:szCs w:val="24"/>
      <w:lang w:val="en-US" w:eastAsia="zh-CN" w:bidi="ar-SA"/>
    </w:rPr>
  </w:style>
  <w:style w:type="paragraph" w:styleId="1405" w:customStyle="1">
    <w:name w:val="项目编号3"/>
    <w:basedOn w:val="1366"/>
    <w:uiPriority w:val="0"/>
    <w:qFormat/>
    <w:pPr>
      <w:numPr>
        <w:ilvl w:val="0"/>
        <w:numId w:val="6"/>
      </w:numPr>
    </w:pPr>
  </w:style>
  <w:style w:type="paragraph" w:styleId="1406" w:customStyle="1">
    <w:name w:val="Char21"/>
    <w:basedOn w:val="1070"/>
    <w:uiPriority w:val="0"/>
    <w:qFormat/>
    <w:rPr>
      <w:rFonts w:ascii="Tahoma" w:hAnsi="Tahoma"/>
      <w:sz w:val="24"/>
      <w:szCs w:val="20"/>
    </w:rPr>
  </w:style>
  <w:style w:type="paragraph" w:styleId="1407" w:customStyle="1">
    <w:name w:val="表格文字"/>
    <w:basedOn w:val="1089"/>
    <w:uiPriority w:val="0"/>
    <w:qFormat/>
    <w:pPr>
      <w:ind w:firstLine="0"/>
      <w:spacing w:before="20" w:after="20" w:line="240" w:lineRule="auto"/>
    </w:pPr>
    <w:rPr>
      <w:rFonts w:ascii="Century Gothic" w:hAnsi="Century Gothic"/>
      <w:sz w:val="20"/>
      <w:szCs w:val="20"/>
    </w:rPr>
  </w:style>
  <w:style w:type="paragraph" w:styleId="1408" w:customStyle="1">
    <w:name w:val="Char Char Char Char Char Char Char Char Char Char1"/>
    <w:basedOn w:val="1070"/>
    <w:uiPriority w:val="0"/>
    <w:qFormat/>
    <w:rPr>
      <w:rFonts w:ascii="宋体" w:hAnsi="宋体" w:cs="Courier New"/>
      <w:sz w:val="32"/>
      <w:szCs w:val="32"/>
    </w:rPr>
  </w:style>
  <w:style w:type="paragraph" w:styleId="1409" w:customStyle="1">
    <w:name w:val="正文文本样式 加粗"/>
    <w:basedOn w:val="1366"/>
    <w:uiPriority w:val="0"/>
    <w:qFormat/>
    <w:rPr>
      <w:b/>
    </w:rPr>
  </w:style>
  <w:style w:type="paragraph" w:styleId="1410" w:customStyle="1">
    <w:name w:val="Char2 Char Char Char Char Char Char"/>
    <w:basedOn w:val="1070"/>
    <w:uiPriority w:val="0"/>
    <w:qFormat/>
    <w:pPr>
      <w:jc w:val="center"/>
      <w:spacing w:line="400" w:lineRule="exact"/>
      <w:widowControl/>
    </w:pPr>
  </w:style>
  <w:style w:type="paragraph" w:styleId="1411" w:customStyle="1">
    <w:name w:val="Char Char4"/>
    <w:basedOn w:val="1070"/>
    <w:uiPriority w:val="0"/>
    <w:qFormat/>
    <w:pPr>
      <w:jc w:val="center"/>
      <w:spacing w:line="400" w:lineRule="exact"/>
      <w:widowControl/>
    </w:pPr>
  </w:style>
  <w:style w:type="paragraph" w:styleId="1412" w:customStyle="1">
    <w:name w:val="Char3 Char Char Char1"/>
    <w:basedOn w:val="1070"/>
    <w:uiPriority w:val="0"/>
    <w:qFormat/>
    <w:rPr>
      <w:rFonts w:ascii="Tahoma" w:hAnsi="Tahoma"/>
      <w:sz w:val="24"/>
      <w:szCs w:val="20"/>
    </w:rPr>
  </w:style>
  <w:style w:type="paragraph" w:styleId="1413">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4" w:customStyle="1">
    <w:name w:val="22222222222222"/>
    <w:basedOn w:val="1070"/>
    <w:uiPriority w:val="0"/>
    <w:qFormat/>
    <w:pPr>
      <w:ind w:firstLine="480"/>
      <w:jc w:val="left"/>
      <w:spacing w:line="360" w:lineRule="auto"/>
      <w:widowControl/>
    </w:pPr>
    <w:rPr>
      <w:color w:val="ff0000"/>
      <w:sz w:val="24"/>
      <w:szCs w:val="20"/>
    </w:rPr>
  </w:style>
  <w:style w:type="character" w:styleId="1415" w:customStyle="1">
    <w:name w:val="中等深浅网格 1 - 强调文字颜色 2 Char"/>
    <w:link w:val="1416"/>
    <w:uiPriority w:val="0"/>
    <w:qFormat/>
    <w:rPr>
      <w:sz w:val="21"/>
      <w:szCs w:val="24"/>
      <w:lang w:val="zh-CN" w:eastAsia="zh-CN" w:bidi="ar-SA"/>
    </w:rPr>
  </w:style>
  <w:style w:type="paragraph" w:styleId="1416" w:customStyle="1">
    <w:name w:val="1"/>
    <w:link w:val="1415"/>
    <w:uiPriority w:val="0"/>
    <w:qFormat/>
    <w:rPr>
      <w:rFonts w:hint="default" w:ascii="Times New Roman" w:hAnsi="Times New Roman" w:eastAsia="宋体" w:cs="Times New Roman"/>
      <w:sz w:val="21"/>
      <w:szCs w:val="24"/>
      <w:lang w:val="zh-CN" w:eastAsia="zh-CN" w:bidi="ar-SA"/>
    </w:rPr>
  </w:style>
  <w:style w:type="paragraph" w:styleId="1417" w:customStyle="1">
    <w:name w:val="图文"/>
    <w:basedOn w:val="1070"/>
    <w:uiPriority w:val="0"/>
    <w:qFormat/>
    <w:pPr>
      <w:spacing w:after="50" w:line="360" w:lineRule="auto"/>
    </w:pPr>
    <w:rPr>
      <w:sz w:val="24"/>
    </w:rPr>
  </w:style>
  <w:style w:type="paragraph" w:styleId="1418" w:customStyle="1">
    <w:name w:val="xl23"/>
    <w:basedOn w:val="1070"/>
    <w:uiPriority w:val="0"/>
    <w:qFormat/>
    <w:pPr>
      <w:spacing w:before="100" w:beforeAutospacing="1" w:after="100" w:afterAutospacing="1" w:line="360" w:lineRule="auto"/>
      <w:widowControl/>
    </w:pPr>
    <w:rPr>
      <w:sz w:val="24"/>
      <w:szCs w:val="20"/>
    </w:rPr>
  </w:style>
  <w:style w:type="paragraph" w:styleId="1419" w:customStyle="1">
    <w:name w:val="正文表格"/>
    <w:basedOn w:val="1070"/>
    <w:link w:val="1420"/>
    <w:uiPriority w:val="0"/>
    <w:qFormat/>
    <w:pPr>
      <w:jc w:val="left"/>
    </w:pPr>
    <w:rPr>
      <w:rFonts w:ascii="宋体" w:hAnsi="宋体"/>
      <w:color w:val="000000"/>
      <w:szCs w:val="21"/>
    </w:rPr>
  </w:style>
  <w:style w:type="character" w:styleId="1420" w:customStyle="1">
    <w:name w:val="正文表格 Char"/>
    <w:link w:val="1419"/>
    <w:uiPriority w:val="0"/>
    <w:qFormat/>
    <w:rPr>
      <w:rFonts w:ascii="宋体" w:hAnsi="宋体"/>
      <w:color w:val="000000"/>
      <w:sz w:val="21"/>
      <w:szCs w:val="21"/>
    </w:rPr>
  </w:style>
  <w:style w:type="paragraph" w:styleId="1421" w:customStyle="1">
    <w:name w:val="正文重点"/>
    <w:basedOn w:val="1070"/>
    <w:link w:val="1422"/>
    <w:uiPriority w:val="0"/>
    <w:qFormat/>
    <w:pPr>
      <w:ind w:firstLine="482"/>
      <w:jc w:val="left"/>
      <w:spacing w:line="360" w:lineRule="auto"/>
    </w:pPr>
    <w:rPr>
      <w:b/>
      <w:sz w:val="24"/>
      <w:szCs w:val="20"/>
    </w:rPr>
  </w:style>
  <w:style w:type="character" w:styleId="1422" w:customStyle="1">
    <w:name w:val="正文重点 Char"/>
    <w:link w:val="1421"/>
    <w:uiPriority w:val="0"/>
    <w:qFormat/>
    <w:rPr>
      <w:b/>
      <w:sz w:val="24"/>
    </w:rPr>
  </w:style>
  <w:style w:type="paragraph" w:styleId="1423" w:customStyle="1">
    <w:name w:val="标题1-附件"/>
    <w:basedOn w:val="1071"/>
    <w:uiPriority w:val="0"/>
    <w:qFormat/>
    <w:pPr>
      <w:jc w:val="left"/>
    </w:pPr>
    <w:rPr>
      <w:sz w:val="24"/>
      <w:szCs w:val="24"/>
    </w:rPr>
  </w:style>
  <w:style w:type="paragraph" w:styleId="1424" w:customStyle="1">
    <w:name w:val="正文小标题"/>
    <w:basedOn w:val="1070"/>
    <w:next w:val="1083"/>
    <w:link w:val="1425"/>
    <w:uiPriority w:val="0"/>
    <w:qFormat/>
    <w:pPr>
      <w:ind w:firstLine="482"/>
      <w:jc w:val="left"/>
      <w:spacing w:before="312" w:after="312"/>
    </w:pPr>
    <w:rPr>
      <w:rFonts w:ascii="宋体" w:hAnsi="宋体"/>
      <w:b/>
      <w:i/>
      <w:color w:val="ff0000"/>
      <w:sz w:val="24"/>
      <w:szCs w:val="20"/>
    </w:rPr>
  </w:style>
  <w:style w:type="character" w:styleId="1425" w:customStyle="1">
    <w:name w:val="正文小标题 Char"/>
    <w:link w:val="1424"/>
    <w:uiPriority w:val="0"/>
    <w:qFormat/>
    <w:rPr>
      <w:rFonts w:ascii="宋体" w:hAnsi="宋体"/>
      <w:b/>
      <w:i/>
      <w:color w:val="ff0000"/>
      <w:sz w:val="24"/>
    </w:rPr>
  </w:style>
  <w:style w:type="paragraph" w:styleId="1426" w:customStyle="1">
    <w:name w:val="正文大标题"/>
    <w:basedOn w:val="1424"/>
    <w:next w:val="1083"/>
    <w:link w:val="1427"/>
    <w:uiPriority w:val="0"/>
    <w:qFormat/>
    <w:pPr>
      <w:jc w:val="center"/>
    </w:pPr>
    <w:rPr>
      <w:i w:val="0"/>
      <w:color w:val="000000"/>
      <w:sz w:val="28"/>
      <w:szCs w:val="21"/>
    </w:rPr>
  </w:style>
  <w:style w:type="character" w:styleId="1427" w:customStyle="1">
    <w:name w:val="正文大标题 Char"/>
    <w:link w:val="1426"/>
    <w:uiPriority w:val="0"/>
    <w:qFormat/>
    <w:rPr>
      <w:rFonts w:ascii="宋体" w:hAnsi="宋体"/>
      <w:b/>
      <w:color w:val="000000"/>
      <w:sz w:val="28"/>
      <w:szCs w:val="21"/>
    </w:rPr>
  </w:style>
  <w:style w:type="paragraph" w:styleId="1428" w:customStyle="1">
    <w:name w:val="注释"/>
    <w:basedOn w:val="1070"/>
    <w:link w:val="1429"/>
    <w:uiPriority w:val="0"/>
    <w:qFormat/>
    <w:pPr>
      <w:ind w:left="420" w:hanging="420"/>
      <w:jc w:val="left"/>
    </w:pPr>
    <w:rPr>
      <w:rFonts w:ascii="宋体" w:hAnsi="宋体"/>
      <w:szCs w:val="21"/>
    </w:rPr>
  </w:style>
  <w:style w:type="character" w:styleId="1429" w:customStyle="1">
    <w:name w:val="注释 Char"/>
    <w:link w:val="1428"/>
    <w:uiPriority w:val="0"/>
    <w:qFormat/>
    <w:rPr>
      <w:rFonts w:ascii="宋体" w:hAnsi="宋体"/>
      <w:sz w:val="21"/>
      <w:szCs w:val="21"/>
    </w:rPr>
  </w:style>
  <w:style w:type="paragraph" w:styleId="1430" w:customStyle="1">
    <w:name w:val="正文须知-1级"/>
    <w:basedOn w:val="1070"/>
    <w:next w:val="1070"/>
    <w:uiPriority w:val="0"/>
    <w:qFormat/>
    <w:pPr>
      <w:numPr>
        <w:ilvl w:val="0"/>
        <w:numId w:val="7"/>
      </w:numPr>
      <w:spacing w:line="300" w:lineRule="auto"/>
    </w:pPr>
    <w:rPr>
      <w:rFonts w:ascii="宋体" w:hAnsi="Calibri"/>
      <w:sz w:val="24"/>
      <w:szCs w:val="21"/>
    </w:rPr>
  </w:style>
  <w:style w:type="paragraph" w:styleId="1431" w:customStyle="1">
    <w:name w:val="正文须知-2级"/>
    <w:basedOn w:val="1070"/>
    <w:uiPriority w:val="0"/>
    <w:qFormat/>
    <w:pPr>
      <w:numPr>
        <w:ilvl w:val="1"/>
        <w:numId w:val="7"/>
      </w:numPr>
      <w:spacing w:line="300" w:lineRule="auto"/>
    </w:pPr>
    <w:rPr>
      <w:rFonts w:ascii="宋体" w:hAnsi="Calibri"/>
      <w:sz w:val="24"/>
      <w:szCs w:val="21"/>
    </w:rPr>
  </w:style>
  <w:style w:type="paragraph" w:styleId="1432" w:customStyle="1">
    <w:name w:val="正文须知-3级"/>
    <w:basedOn w:val="1070"/>
    <w:uiPriority w:val="0"/>
    <w:qFormat/>
    <w:pPr>
      <w:numPr>
        <w:ilvl w:val="2"/>
        <w:numId w:val="7"/>
      </w:numPr>
      <w:ind w:hanging="355"/>
      <w:spacing w:line="300" w:lineRule="auto"/>
    </w:pPr>
    <w:rPr>
      <w:rFonts w:ascii="宋体" w:hAnsi="Calibri"/>
      <w:sz w:val="24"/>
      <w:szCs w:val="21"/>
    </w:rPr>
  </w:style>
  <w:style w:type="character" w:styleId="1433" w:customStyle="1">
    <w:name w:val="纯文本 字符"/>
    <w:uiPriority w:val="99"/>
    <w:qFormat/>
    <w:rPr>
      <w:rFonts w:ascii="宋体" w:hAnsi="Courier New" w:eastAsia="宋体" w:cs="Times New Roman"/>
      <w:sz w:val="21"/>
      <w:szCs w:val="21"/>
      <w:lang w:val="en-US" w:eastAsia="zh-CN" w:bidi="ar-SA"/>
    </w:rPr>
  </w:style>
  <w:style w:type="paragraph" w:styleId="1434" w:customStyle="1">
    <w:name w:val="表格1"/>
    <w:basedOn w:val="1070"/>
    <w:uiPriority w:val="0"/>
    <w:qFormat/>
    <w:pPr>
      <w:ind w:firstLine="480"/>
      <w:jc w:val="center"/>
    </w:pPr>
    <w:rPr>
      <w:sz w:val="24"/>
      <w:szCs w:val="20"/>
    </w:rPr>
  </w:style>
  <w:style w:type="character" w:styleId="1435" w:customStyle="1">
    <w:name w:val="纯文本 字符1"/>
    <w:uiPriority w:val="0"/>
    <w:qFormat/>
    <w:rPr>
      <w:rFonts w:ascii="宋体" w:hAnsi="Courier New"/>
    </w:rPr>
  </w:style>
  <w:style w:type="character" w:styleId="1436" w:customStyle="1">
    <w:name w:val="bjh-p"/>
    <w:uiPriority w:val="0"/>
    <w:qFormat/>
  </w:style>
  <w:style w:type="paragraph" w:styleId="1437" w:customStyle="1">
    <w:name w:val="无标题条"/>
    <w:next w:val="1070"/>
    <w:uiPriority w:val="0"/>
    <w:qFormat/>
    <w:pPr>
      <w:jc w:val="both"/>
    </w:pPr>
    <w:rPr>
      <w:rFonts w:hint="default" w:ascii="Times New Roman" w:hAnsi="Times New Roman" w:eastAsia="宋体" w:cs="Times New Roman"/>
      <w:sz w:val="21"/>
      <w:lang w:val="en-US" w:eastAsia="zh-CN" w:bidi="ar-SA"/>
    </w:rPr>
  </w:style>
  <w:style w:type="character" w:styleId="1438" w:customStyle="1">
    <w:name w:val="正文格式 Char"/>
    <w:link w:val="1439"/>
    <w:uiPriority w:val="0"/>
    <w:qFormat/>
    <w:rPr>
      <w:rFonts w:ascii="宋体" w:hAnsi="宋体"/>
      <w:sz w:val="24"/>
      <w:szCs w:val="24"/>
      <w:lang w:val="en-GB"/>
    </w:rPr>
  </w:style>
  <w:style w:type="paragraph" w:styleId="1439" w:customStyle="1">
    <w:name w:val="正文格式"/>
    <w:basedOn w:val="1070"/>
    <w:link w:val="1438"/>
    <w:uiPriority w:val="0"/>
    <w:qFormat/>
    <w:pPr>
      <w:ind w:firstLine="480"/>
      <w:spacing w:line="360" w:lineRule="auto"/>
    </w:pPr>
    <w:rPr>
      <w:rFonts w:ascii="宋体" w:hAnsi="宋体"/>
      <w:sz w:val="24"/>
      <w:lang w:val="en-GB"/>
    </w:rPr>
  </w:style>
  <w:style w:type="character" w:styleId="1440" w:customStyle="1">
    <w:name w:val="标题 3 Char"/>
    <w:uiPriority w:val="0"/>
    <w:qFormat/>
    <w:rPr>
      <w:rFonts w:ascii="宋体" w:eastAsia="宋体"/>
      <w:b/>
      <w:sz w:val="24"/>
      <w:u w:val="single"/>
      <w:lang w:val="en-US" w:eastAsia="zh-CN" w:bidi="ar-SA"/>
    </w:rPr>
  </w:style>
  <w:style w:type="character" w:styleId="1441" w:customStyle="1">
    <w:name w:val="正文缩进 Char"/>
    <w:uiPriority w:val="0"/>
    <w:qFormat/>
    <w:rPr>
      <w:rFonts w:ascii="宋体" w:eastAsia="宋体"/>
      <w:sz w:val="24"/>
      <w:szCs w:val="24"/>
      <w:lang w:val="en-US" w:eastAsia="zh-CN" w:bidi="ar-SA"/>
    </w:rPr>
  </w:style>
  <w:style w:type="character" w:styleId="1442" w:customStyle="1">
    <w:name w:val="Char Char111"/>
    <w:uiPriority w:val="0"/>
    <w:qFormat/>
    <w:rPr>
      <w:rFonts w:ascii="宋体" w:eastAsia="宋体"/>
      <w:b/>
      <w:sz w:val="24"/>
      <w:u w:val="single"/>
      <w:lang w:val="en-US" w:eastAsia="zh-CN" w:bidi="ar-SA"/>
    </w:rPr>
  </w:style>
  <w:style w:type="character" w:styleId="1443" w:customStyle="1">
    <w:name w:val="正文文本缩进 Char"/>
    <w:uiPriority w:val="0"/>
    <w:qFormat/>
    <w:rPr>
      <w:rFonts w:eastAsia="宋体"/>
      <w:sz w:val="24"/>
      <w:szCs w:val="24"/>
      <w:lang w:val="en-US" w:eastAsia="zh-CN" w:bidi="ar-SA"/>
    </w:rPr>
  </w:style>
  <w:style w:type="character" w:styleId="1444" w:customStyle="1">
    <w:name w:val="列出段落 Char"/>
    <w:uiPriority w:val="0"/>
    <w:qFormat/>
    <w:rPr>
      <w:rFonts w:ascii="Calibri" w:hAnsi="Calibri" w:eastAsia="宋体"/>
      <w:sz w:val="21"/>
      <w:szCs w:val="22"/>
      <w:lang w:val="en-US" w:eastAsia="zh-CN" w:bidi="ar-SA"/>
    </w:rPr>
  </w:style>
  <w:style w:type="character" w:styleId="1445" w:customStyle="1">
    <w:name w:val="页眉 Char"/>
    <w:uiPriority w:val="0"/>
    <w:qFormat/>
    <w:rPr>
      <w:rFonts w:eastAsia="宋体"/>
      <w:sz w:val="18"/>
      <w:szCs w:val="18"/>
      <w:lang w:val="en-US" w:eastAsia="zh-CN" w:bidi="ar-SA"/>
    </w:rPr>
  </w:style>
  <w:style w:type="character" w:styleId="1446" w:customStyle="1">
    <w:name w:val="标题 2 Char"/>
    <w:uiPriority w:val="0"/>
    <w:qFormat/>
    <w:rPr>
      <w:rFonts w:ascii="Arial" w:hAnsi="Arial" w:eastAsia="黑体"/>
      <w:b/>
      <w:sz w:val="30"/>
      <w:lang w:val="en-US" w:eastAsia="zh-CN" w:bidi="ar-SA"/>
    </w:rPr>
  </w:style>
  <w:style w:type="paragraph" w:styleId="1447" w:customStyle="1">
    <w:name w:val="字元 字元2"/>
    <w:basedOn w:val="1070"/>
    <w:uiPriority w:val="0"/>
    <w:qFormat/>
    <w:rPr>
      <w:rFonts w:ascii="Tahoma" w:hAnsi="Tahoma"/>
      <w:sz w:val="24"/>
      <w:szCs w:val="20"/>
    </w:rPr>
  </w:style>
  <w:style w:type="paragraph" w:styleId="1448" w:customStyle="1">
    <w:name w:val="Char3 Char Char Char2"/>
    <w:basedOn w:val="1070"/>
    <w:uiPriority w:val="0"/>
    <w:qFormat/>
    <w:rPr>
      <w:rFonts w:ascii="Tahoma" w:hAnsi="Tahoma"/>
      <w:sz w:val="24"/>
      <w:szCs w:val="20"/>
    </w:rPr>
  </w:style>
  <w:style w:type="paragraph" w:styleId="1449" w:customStyle="1">
    <w:name w:val="正文文本缩进2"/>
    <w:basedOn w:val="1070"/>
    <w:uiPriority w:val="0"/>
    <w:qFormat/>
    <w:pPr>
      <w:ind w:firstLine="480"/>
      <w:spacing w:line="480" w:lineRule="exact"/>
    </w:pPr>
    <w:rPr>
      <w:rFonts w:ascii="宋体" w:hAnsi="宋体"/>
      <w:sz w:val="24"/>
      <w:lang w:val="zh-CN"/>
    </w:rPr>
  </w:style>
  <w:style w:type="paragraph" w:styleId="1450" w:customStyle="1">
    <w:name w:val="Char3"/>
    <w:basedOn w:val="1070"/>
    <w:uiPriority w:val="0"/>
    <w:qFormat/>
    <w:pPr>
      <w:tabs>
        <w:tab w:val="left" w:pos="360" w:leader="none"/>
      </w:tabs>
    </w:pPr>
    <w:rPr>
      <w:sz w:val="24"/>
    </w:rPr>
  </w:style>
  <w:style w:type="paragraph" w:styleId="1451" w:customStyle="1">
    <w:name w:val="Char Char Char Char Char Char Char Char Char Char Char Char Char Char Char Char1"/>
    <w:basedOn w:val="1070"/>
    <w:uiPriority w:val="0"/>
    <w:qFormat/>
    <w:pPr>
      <w:jc w:val="center"/>
      <w:spacing w:after="160" w:line="240" w:lineRule="exact"/>
      <w:widowControl/>
    </w:pPr>
    <w:rPr>
      <w:rFonts w:ascii="宋体" w:hAnsi="宋体"/>
      <w:b/>
      <w:sz w:val="30"/>
      <w:szCs w:val="30"/>
      <w:lang w:eastAsia="en-US"/>
    </w:rPr>
  </w:style>
  <w:style w:type="paragraph" w:styleId="1452" w:customStyle="1">
    <w:name w:val="Char Char1 Char Char Char Char Char Char1"/>
    <w:basedOn w:val="1070"/>
    <w:uiPriority w:val="0"/>
    <w:qFormat/>
    <w:pPr>
      <w:jc w:val="left"/>
      <w:spacing w:after="160" w:line="240" w:lineRule="exact"/>
      <w:widowControl/>
    </w:pPr>
    <w:rPr>
      <w:rFonts w:ascii="Verdana" w:hAnsi="Verdana" w:eastAsia="仿宋_GB2312"/>
      <w:sz w:val="24"/>
      <w:szCs w:val="20"/>
      <w:lang w:eastAsia="en-US"/>
    </w:rPr>
  </w:style>
  <w:style w:type="paragraph" w:styleId="1453" w:customStyle="1">
    <w:name w:val="列出段落2"/>
    <w:basedOn w:val="1070"/>
    <w:uiPriority w:val="0"/>
    <w:qFormat/>
    <w:pPr>
      <w:ind w:firstLine="420"/>
    </w:pPr>
    <w:rPr>
      <w:rFonts w:ascii="Calibri" w:hAnsi="Calibri"/>
      <w:szCs w:val="22"/>
    </w:rPr>
  </w:style>
  <w:style w:type="paragraph" w:styleId="1454" w:customStyle="1">
    <w:name w:val="Char Char Char1 Char2"/>
    <w:basedOn w:val="1070"/>
    <w:uiPriority w:val="0"/>
    <w:qFormat/>
    <w:rPr>
      <w:rFonts w:ascii="Tahoma" w:hAnsi="Tahoma"/>
      <w:sz w:val="24"/>
      <w:szCs w:val="20"/>
    </w:rPr>
  </w:style>
  <w:style w:type="paragraph" w:styleId="1455" w:customStyle="1">
    <w:name w:val="Char Char Char2"/>
    <w:basedOn w:val="1070"/>
    <w:uiPriority w:val="0"/>
    <w:qFormat/>
    <w:rPr>
      <w:rFonts w:ascii="Tahoma" w:hAnsi="Tahoma"/>
      <w:sz w:val="24"/>
      <w:szCs w:val="20"/>
    </w:rPr>
  </w:style>
  <w:style w:type="paragraph" w:styleId="1456" w:customStyle="1">
    <w:name w:val="Char Char Char Char Char Char Char2"/>
    <w:basedOn w:val="1070"/>
    <w:uiPriority w:val="0"/>
    <w:qFormat/>
    <w:pPr>
      <w:ind w:firstLine="200"/>
      <w:spacing w:line="360" w:lineRule="auto"/>
    </w:pPr>
    <w:rPr>
      <w:rFonts w:eastAsia="仿宋_GB2312"/>
      <w:sz w:val="24"/>
    </w:rPr>
  </w:style>
  <w:style w:type="paragraph" w:styleId="1457" w:customStyle="1">
    <w:name w:val="正文缩进2"/>
    <w:basedOn w:val="1070"/>
    <w:uiPriority w:val="0"/>
    <w:qFormat/>
    <w:pPr>
      <w:ind w:firstLine="567"/>
      <w:spacing w:line="480" w:lineRule="exact"/>
      <w:widowControl/>
    </w:pPr>
    <w:rPr>
      <w:rFonts w:ascii="宋体"/>
      <w:color w:val="000000"/>
      <w:sz w:val="28"/>
      <w:szCs w:val="20"/>
      <w:lang w:val="zh-CN"/>
    </w:rPr>
  </w:style>
  <w:style w:type="paragraph" w:styleId="1458" w:customStyle="1">
    <w:name w:val="修订1"/>
    <w:uiPriority w:val="0"/>
    <w:qFormat/>
    <w:rPr>
      <w:rFonts w:hint="default" w:ascii="Times New Roman" w:hAnsi="Times New Roman" w:eastAsia="宋体" w:cs="Times New Roman"/>
      <w:sz w:val="21"/>
      <w:szCs w:val="24"/>
      <w:lang w:val="en-US" w:eastAsia="zh-CN" w:bidi="ar-SA"/>
    </w:rPr>
  </w:style>
  <w:style w:type="paragraph" w:styleId="1459" w:customStyle="1">
    <w:name w:val="Char22"/>
    <w:basedOn w:val="1070"/>
    <w:uiPriority w:val="0"/>
    <w:qFormat/>
    <w:rPr>
      <w:rFonts w:ascii="Tahoma" w:hAnsi="Tahoma"/>
      <w:sz w:val="24"/>
      <w:szCs w:val="20"/>
    </w:rPr>
  </w:style>
  <w:style w:type="paragraph" w:styleId="1460" w:customStyle="1">
    <w:name w:val="Char Char Char Char Char Char Char Char Char Char2"/>
    <w:basedOn w:val="1070"/>
    <w:uiPriority w:val="0"/>
    <w:qFormat/>
    <w:rPr>
      <w:rFonts w:ascii="宋体" w:hAnsi="宋体" w:cs="Courier New"/>
      <w:sz w:val="32"/>
      <w:szCs w:val="32"/>
    </w:rPr>
  </w:style>
  <w:style w:type="paragraph" w:styleId="1461" w:customStyle="1">
    <w:name w:val="Char2 Char Char Char Char Char Char1"/>
    <w:basedOn w:val="1070"/>
    <w:uiPriority w:val="0"/>
    <w:qFormat/>
    <w:pPr>
      <w:jc w:val="center"/>
      <w:spacing w:line="400" w:lineRule="exact"/>
      <w:widowControl/>
    </w:pPr>
  </w:style>
  <w:style w:type="character" w:styleId="1462" w:customStyle="1">
    <w:name w:val="页脚 Char"/>
    <w:uiPriority w:val="0"/>
    <w:qFormat/>
    <w:rPr>
      <w:rFonts w:ascii="宋体" w:eastAsia="宋体"/>
      <w:sz w:val="18"/>
      <w:lang w:val="en-US" w:eastAsia="zh-CN" w:bidi="ar-SA"/>
    </w:rPr>
  </w:style>
  <w:style w:type="paragraph" w:styleId="1463" w:customStyle="1">
    <w:name w:val="Char Char41"/>
    <w:basedOn w:val="1070"/>
    <w:uiPriority w:val="0"/>
    <w:qFormat/>
    <w:pPr>
      <w:jc w:val="center"/>
      <w:spacing w:line="400" w:lineRule="exact"/>
      <w:widowControl/>
    </w:pPr>
  </w:style>
  <w:style w:type="character" w:styleId="1464" w:customStyle="1">
    <w:name w:val="批注文字 Char"/>
    <w:uiPriority w:val="99"/>
    <w:qFormat/>
    <w:rPr>
      <w:sz w:val="21"/>
      <w:szCs w:val="24"/>
    </w:rPr>
  </w:style>
  <w:style w:type="character" w:styleId="1465" w:customStyle="1">
    <w:name w:val="标题 Char"/>
    <w:uiPriority w:val="0"/>
    <w:qFormat/>
    <w:rPr>
      <w:b/>
      <w:sz w:val="32"/>
    </w:rPr>
  </w:style>
  <w:style w:type="paragraph" w:styleId="1466" w:customStyle="1">
    <w:name w:val="图例"/>
    <w:basedOn w:val="1070"/>
    <w:uiPriority w:val="0"/>
    <w:qFormat/>
    <w:pPr>
      <w:jc w:val="center"/>
      <w:spacing w:before="120" w:after="120" w:line="360" w:lineRule="auto"/>
    </w:pPr>
    <w:rPr>
      <w:rFonts w:eastAsia="仿宋_GB2312"/>
      <w:b/>
      <w:sz w:val="24"/>
      <w:szCs w:val="20"/>
    </w:rPr>
  </w:style>
  <w:style w:type="table" w:styleId="1467"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68" w:customStyle="1">
    <w:name w:val="Table Paragraph"/>
    <w:basedOn w:val="1070"/>
    <w:uiPriority w:val="1"/>
    <w:qFormat/>
    <w:pPr>
      <w:jc w:val="left"/>
    </w:pPr>
    <w:rPr>
      <w:rFonts w:ascii="宋体" w:hAnsi="宋体" w:cs="宋体"/>
      <w:sz w:val="22"/>
      <w:szCs w:val="22"/>
      <w:lang w:eastAsia="en-US"/>
    </w:rPr>
  </w:style>
  <w:style w:type="paragraph" w:styleId="1469" w:customStyle="1">
    <w:name w:val="成文日期"/>
    <w:basedOn w:val="1070"/>
    <w:link w:val="1470"/>
    <w:uiPriority w:val="0"/>
    <w:qFormat/>
    <w:pPr>
      <w:ind w:right="400" w:firstLine="200"/>
      <w:jc w:val="right"/>
      <w:spacing w:line="570" w:lineRule="exact"/>
    </w:pPr>
    <w:rPr>
      <w:rFonts w:ascii="仿宋_GB2312" w:eastAsia="仿宋_GB2312"/>
      <w:sz w:val="32"/>
      <w:szCs w:val="20"/>
    </w:rPr>
  </w:style>
  <w:style w:type="character" w:styleId="1470" w:customStyle="1">
    <w:name w:val="成文日期 Char"/>
    <w:link w:val="1469"/>
    <w:uiPriority w:val="0"/>
    <w:qFormat/>
    <w:rPr>
      <w:rFonts w:ascii="仿宋_GB2312" w:eastAsia="仿宋_GB2312"/>
      <w:sz w:val="32"/>
    </w:rPr>
  </w:style>
  <w:style w:type="paragraph" w:styleId="1471" w:customStyle="1">
    <w:name w:val="_Style 249"/>
    <w:uiPriority w:val="99"/>
    <w:unhideWhenUsed/>
    <w:qFormat/>
    <w:rPr>
      <w:rFonts w:hint="default" w:ascii="Times New Roman" w:hAnsi="Times New Roman" w:eastAsia="宋体" w:cs="Times New Roman"/>
      <w:sz w:val="21"/>
      <w:szCs w:val="24"/>
      <w:lang w:val="en-US" w:eastAsia="zh-CN" w:bidi="ar-SA"/>
    </w:rPr>
  </w:style>
  <w:style w:type="paragraph" w:styleId="1472" w:customStyle="1">
    <w:name w:val="正文（缩进）"/>
    <w:basedOn w:val="1070"/>
    <w:uiPriority w:val="0"/>
    <w:qFormat/>
    <w:pPr>
      <w:ind w:firstLine="480"/>
    </w:pPr>
  </w:style>
  <w:style w:type="character" w:styleId="1473" w:customStyle="1">
    <w:name w:val="l-btn-text36"/>
    <w:uiPriority w:val="0"/>
    <w:qFormat/>
  </w:style>
  <w:style w:type="character" w:styleId="1474" w:customStyle="1">
    <w:name w:val="current"/>
    <w:uiPriority w:val="0"/>
    <w:qFormat/>
    <w:rPr>
      <w:b/>
      <w:bCs/>
      <w:color w:val="05a7d8"/>
      <w:sz w:val="18"/>
      <w:szCs w:val="18"/>
    </w:rPr>
  </w:style>
  <w:style w:type="character" w:styleId="1475" w:customStyle="1">
    <w:name w:val="l-btn-left"/>
    <w:uiPriority w:val="0"/>
    <w:qFormat/>
  </w:style>
  <w:style w:type="character" w:styleId="1476" w:customStyle="1">
    <w:name w:val="tree-title3"/>
    <w:uiPriority w:val="0"/>
    <w:qFormat/>
    <w:rPr>
      <w:sz w:val="18"/>
      <w:szCs w:val="18"/>
      <w:u w:val="none"/>
    </w:rPr>
  </w:style>
  <w:style w:type="character" w:styleId="1477" w:customStyle="1">
    <w:name w:val="l-btn-text"/>
    <w:uiPriority w:val="0"/>
    <w:qFormat/>
  </w:style>
  <w:style w:type="character" w:styleId="1478" w:customStyle="1">
    <w:name w:val="l-btn-text35"/>
    <w:uiPriority w:val="0"/>
    <w:qFormat/>
  </w:style>
  <w:style w:type="character" w:styleId="1479" w:customStyle="1">
    <w:name w:val="l-btn-text25"/>
    <w:uiPriority w:val="0"/>
    <w:qFormat/>
  </w:style>
  <w:style w:type="paragraph" w:styleId="1480" w:customStyle="1">
    <w:name w:val="段"/>
    <w:next w:val="1070"/>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481" w:customStyle="1">
    <w:name w:val="正文1"/>
    <w:basedOn w:val="1070"/>
    <w:next w:val="1070"/>
    <w:uiPriority w:val="0"/>
    <w:qFormat/>
    <w:pPr>
      <w:ind w:left="420" w:firstLine="527"/>
      <w:spacing w:before="120" w:line="360" w:lineRule="auto"/>
    </w:pPr>
    <w:rPr>
      <w:rFonts w:ascii="宋体" w:hAnsi="宋体"/>
    </w:rPr>
  </w:style>
  <w:style w:type="character" w:styleId="1482" w:customStyle="1">
    <w:name w:val="font151"/>
    <w:uiPriority w:val="0"/>
    <w:qFormat/>
    <w:rPr>
      <w:rFonts w:ascii="Arial" w:hAnsi="Arial" w:cs="Arial"/>
      <w:color w:val="000000"/>
      <w:sz w:val="16"/>
      <w:szCs w:val="16"/>
      <w:u w:val="none"/>
    </w:rPr>
  </w:style>
  <w:style w:type="character" w:styleId="1483" w:customStyle="1">
    <w:name w:val="font161"/>
    <w:uiPriority w:val="0"/>
    <w:qFormat/>
    <w:rPr>
      <w:rFonts w:hint="eastAsia" w:ascii="宋体" w:hAnsi="宋体" w:eastAsia="宋体" w:cs="宋体"/>
      <w:color w:val="000000"/>
      <w:sz w:val="16"/>
      <w:szCs w:val="16"/>
      <w:u w:val="none"/>
    </w:rPr>
  </w:style>
  <w:style w:type="paragraph" w:styleId="1484" w:customStyle="1">
    <w:name w:val="列表段落1"/>
    <w:basedOn w:val="1070"/>
    <w:uiPriority w:val="34"/>
    <w:qFormat/>
    <w:pPr>
      <w:ind w:firstLine="420"/>
    </w:pPr>
  </w:style>
  <w:style w:type="character" w:styleId="1485" w:customStyle="1">
    <w:name w:val="font181"/>
    <w:uiPriority w:val="0"/>
    <w:qFormat/>
    <w:rPr>
      <w:rFonts w:ascii="微软雅黑" w:hAnsi="微软雅黑" w:eastAsia="微软雅黑" w:cs="微软雅黑"/>
      <w:color w:val="000000"/>
      <w:sz w:val="18"/>
      <w:szCs w:val="18"/>
      <w:u w:val="none"/>
    </w:rPr>
  </w:style>
  <w:style w:type="paragraph" w:styleId="148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87" w:customStyle="1">
    <w:name w:val="正文文本1"/>
    <w:basedOn w:val="1070"/>
    <w:next w:val="1070"/>
    <w:uiPriority w:val="0"/>
    <w:qFormat/>
    <w:pPr>
      <w:spacing w:before="120" w:line="22" w:lineRule="atLeast"/>
      <w:tabs>
        <w:tab w:val="left" w:pos="567" w:leader="none"/>
      </w:tabs>
    </w:pPr>
    <w:rPr>
      <w:rFonts w:ascii="宋体" w:hAnsi="宋体"/>
      <w:sz w:val="24"/>
    </w:rPr>
  </w:style>
  <w:style w:type="paragraph" w:styleId="1488" w:customStyle="1">
    <w:name w:val="Body text|1"/>
    <w:basedOn w:val="1070"/>
    <w:uiPriority w:val="0"/>
    <w:qFormat/>
    <w:pPr>
      <w:spacing w:line="454" w:lineRule="auto"/>
    </w:pPr>
    <w:rPr>
      <w:rFonts w:ascii="宋体" w:hAnsi="宋体" w:cs="宋体"/>
      <w:sz w:val="19"/>
      <w:szCs w:val="19"/>
      <w:lang w:val="zh-TW" w:eastAsia="zh-TW" w:bidi="zh-TW"/>
    </w:rPr>
  </w:style>
  <w:style w:type="paragraph" w:styleId="1489" w:customStyle="1">
    <w:name w:val="列出段落3"/>
    <w:basedOn w:val="1070"/>
    <w:uiPriority w:val="34"/>
    <w:qFormat/>
    <w:pPr>
      <w:ind w:firstLine="420"/>
    </w:pPr>
    <w:rPr>
      <w:rFonts w:ascii="Calibri" w:hAnsi="Calibri"/>
      <w:szCs w:val="22"/>
    </w:rPr>
  </w:style>
  <w:style w:type="character" w:styleId="1490" w:customStyle="1">
    <w:name w:val="font41"/>
    <w:basedOn w:val="1080"/>
    <w:uiPriority w:val="0"/>
    <w:qFormat/>
    <w:rPr>
      <w:rFonts w:hint="eastAsia" w:ascii="宋体" w:hAnsi="宋体" w:eastAsia="宋体" w:cs="宋体"/>
      <w:color w:val="000000"/>
      <w:sz w:val="20"/>
      <w:szCs w:val="20"/>
      <w:u w:val="none"/>
    </w:rPr>
  </w:style>
  <w:style w:type="character" w:styleId="1491" w:customStyle="1">
    <w:name w:val="font11"/>
    <w:basedOn w:val="1080"/>
    <w:uiPriority w:val="0"/>
    <w:qFormat/>
    <w:rPr>
      <w:rFonts w:hint="eastAsia" w:ascii="宋体" w:hAnsi="宋体" w:eastAsia="宋体" w:cs="宋体"/>
      <w:color w:val="000000"/>
      <w:sz w:val="22"/>
      <w:szCs w:val="22"/>
      <w:u w:val="none"/>
    </w:rPr>
  </w:style>
  <w:style w:type="character" w:styleId="1492" w:customStyle="1">
    <w:name w:val="font71"/>
    <w:basedOn w:val="1080"/>
    <w:uiPriority w:val="0"/>
    <w:qFormat/>
    <w:rPr>
      <w:rFonts w:hint="default" w:ascii="Times New Roman" w:hAnsi="Times New Roman" w:cs="Times New Roman"/>
      <w:color w:val="000000"/>
      <w:sz w:val="22"/>
      <w:szCs w:val="22"/>
      <w:u w:val="none"/>
    </w:rPr>
  </w:style>
  <w:style w:type="paragraph" w:styleId="1493" w:customStyle="1">
    <w:name w:val="正文文本缩进11"/>
    <w:basedOn w:val="1070"/>
    <w:next w:val="1494"/>
    <w:uiPriority w:val="0"/>
    <w:qFormat/>
    <w:pPr>
      <w:ind w:firstLine="570"/>
      <w:spacing w:line="360" w:lineRule="auto"/>
    </w:pPr>
    <w:rPr>
      <w:sz w:val="24"/>
    </w:rPr>
  </w:style>
  <w:style w:type="paragraph" w:styleId="1494" w:customStyle="1">
    <w:name w:val="寄信人地址1"/>
    <w:basedOn w:val="1070"/>
    <w:uiPriority w:val="0"/>
    <w:qFormat/>
    <w:rPr>
      <w:rFonts w:ascii="Arial" w:hAnsi="Arial"/>
    </w:rPr>
  </w:style>
  <w:style w:type="paragraph" w:styleId="1495" w:customStyle="1">
    <w:name w:val="普通(网站)1"/>
    <w:basedOn w:val="1070"/>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496" w:customStyle="1">
    <w:name w:val="正文首行缩进1"/>
    <w:basedOn w:val="1497"/>
    <w:uiPriority w:val="99"/>
    <w:unhideWhenUsed/>
    <w:qFormat/>
    <w:pPr>
      <w:ind w:firstLine="420"/>
      <w:spacing w:before="0" w:after="120" w:line="240" w:lineRule="auto"/>
      <w:tabs>
        <w:tab w:val="left" w:pos="567" w:leader="none"/>
      </w:tabs>
    </w:pPr>
    <w:rPr>
      <w:rFonts w:ascii="Calibri" w:hAnsi="Calibri" w:eastAsia="宋体" w:cs="Times New Roman"/>
      <w:sz w:val="21"/>
      <w:szCs w:val="22"/>
    </w:rPr>
  </w:style>
  <w:style w:type="paragraph" w:styleId="1497" w:customStyle="1">
    <w:name w:val="正文文本11"/>
    <w:basedOn w:val="1070"/>
    <w:next w:val="1070"/>
    <w:uiPriority w:val="0"/>
    <w:qFormat/>
    <w:pPr>
      <w:spacing w:before="120" w:line="22" w:lineRule="atLeast"/>
      <w:tabs>
        <w:tab w:val="left" w:pos="567" w:leader="none"/>
      </w:tabs>
    </w:pPr>
    <w:rPr>
      <w:rFonts w:ascii="宋体" w:hAnsi="宋体" w:eastAsia="宋体" w:cs="Times New Roman"/>
      <w:sz w:val="24"/>
      <w:szCs w:val="24"/>
    </w:rPr>
  </w:style>
  <w:style w:type="paragraph" w:styleId="1498" w:customStyle="1">
    <w:name w:val="纯文本1"/>
    <w:basedOn w:val="1070"/>
    <w:uiPriority w:val="0"/>
    <w:qFormat/>
    <w:rPr>
      <w:rFonts w:hint="eastAsia" w:ascii="宋体" w:hAnsi="Courier New" w:eastAsia="宋体" w:cs="Times New Roman"/>
      <w:szCs w:val="20"/>
    </w:rPr>
  </w:style>
  <w:style w:type="paragraph" w:styleId="1499" w:customStyle="1">
    <w:name w:val="正文缩进111"/>
    <w:basedOn w:val="1070"/>
    <w:next w:val="1070"/>
    <w:uiPriority w:val="0"/>
    <w:qFormat/>
    <w:pPr>
      <w:ind w:firstLine="420"/>
      <w:jc w:val="left"/>
    </w:pPr>
    <w:rPr>
      <w:rFonts w:ascii="宋体"/>
      <w:sz w:val="24"/>
    </w:rPr>
  </w:style>
  <w:style w:type="character" w:styleId="1500" w:customStyle="1">
    <w:name w:val="font51"/>
    <w:basedOn w:val="1080"/>
    <w:uiPriority w:val="0"/>
    <w:qFormat/>
    <w:rPr>
      <w:rFonts w:hint="eastAsia" w:ascii="仿宋_GB2312" w:eastAsia="仿宋_GB2312" w:cs="仿宋_GB2312"/>
      <w:b/>
      <w:bCs/>
      <w:color w:val="000000"/>
      <w:sz w:val="19"/>
      <w:szCs w:val="19"/>
      <w:u w:val="none"/>
    </w:rPr>
  </w:style>
  <w:style w:type="character" w:styleId="1501" w:customStyle="1">
    <w:name w:val="超链接1"/>
    <w:uiPriority w:val="99"/>
    <w:qFormat/>
    <w:rPr>
      <w:color w:val="000000"/>
      <w:u w:val="none"/>
    </w:rPr>
  </w:style>
  <w:style w:type="paragraph" w:styleId="1502" w:customStyle="1">
    <w:name w:val="Plain Text1"/>
    <w:next w:val="1103"/>
    <w:uiPriority w:val="0"/>
    <w:qFormat/>
    <w:pPr>
      <w:jc w:val="both"/>
      <w:widowControl w:val="off"/>
    </w:pPr>
    <w:rPr>
      <w:rFonts w:ascii="宋体" w:hAnsi="宋体" w:eastAsia="楷体_GB2312" w:cs="Times New Roman"/>
      <w:sz w:val="26"/>
      <w:szCs w:val="22"/>
      <w:lang w:val="en-US" w:eastAsia="zh-CN" w:bidi="ar-SA"/>
    </w:rPr>
  </w:style>
  <w:style w:type="paragraph" w:styleId="1503" w:customStyle="1">
    <w:name w:val="条款正文"/>
    <w:basedOn w:val="1070"/>
    <w:uiPriority w:val="0"/>
    <w:qFormat/>
    <w:pPr>
      <w:ind w:left="840" w:firstLine="420"/>
    </w:pPr>
    <w:rPr>
      <w:szCs w:val="20"/>
    </w:rPr>
  </w:style>
  <w:style w:type="numbering" w:styleId="15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陈文萍</cp:lastModifiedBy>
  <cp:revision>13</cp:revision>
  <dcterms:created xsi:type="dcterms:W3CDTF">2025-08-15T08:36:00Z</dcterms:created>
  <dcterms:modified xsi:type="dcterms:W3CDTF">2026-10-28T03:32:41Z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2E50FBFF426F4E4EBDF4900784EEFF15_13</vt:lpwstr>
  </property>
  <property fmtid="{D5CDD505-2E9C-101B-9397-08002B2CF9AE}" pid="4" name="KSOTemplateDocerSaveRecord">
    <vt:lpwstr>eyJoZGlkIjoiM2M1MzFhYmNmZDEzMWIwM2FhZTI4ODBkMDFiMWMxOTQiLCJ1c2VySWQiOiIxMzEwODYxMzYzIn0=</vt:lpwstr>
  </property>
</Properties>
</file>