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400" w:lineRule="exact"/>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t xml:space="preserve"> </w:t>
      </w:r>
      <w:r/>
    </w:p>
    <w:p>
      <w:pPr>
        <w:jc w:val="center"/>
        <w:spacing w:before="120" w:after="120" w:line="400" w:lineRule="exact"/>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r>
      <w:r/>
    </w:p>
    <w:p>
      <w:pPr>
        <w:jc w:val="center"/>
        <w:spacing w:before="120" w:after="120" w:line="400" w:lineRule="exact"/>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t xml:space="preserve"> </w:t>
      </w:r>
      <w:r/>
    </w:p>
    <w:p>
      <w:pPr>
        <w:jc w:val="center"/>
        <w:spacing w:before="120" w:after="120" w:line="590" w:lineRule="exact"/>
        <w:rPr>
          <w:rFonts w:hint="eastAsia" w:ascii="方正小标宋_GBK" w:hAnsi="方正小标宋_GBK" w:eastAsia="方正小标宋_GBK" w:cs="方正小标宋_GBK"/>
          <w:sz w:val="28"/>
          <w:szCs w:val="28"/>
        </w:rPr>
      </w:pPr>
      <w:r>
        <w:rPr>
          <w:rFonts w:hint="eastAsia" w:ascii="方正小标宋_GBK" w:hAnsi="方正小标宋_GBK" w:eastAsia="方正小标宋_GBK" w:cs="方正小标宋_GBK"/>
          <w:sz w:val="28"/>
          <w:szCs w:val="28"/>
        </w:rPr>
      </w:r>
      <w:r/>
    </w:p>
    <w:p>
      <w:pPr>
        <w:jc w:val="center"/>
        <w:spacing w:before="120" w:after="120" w:line="1000" w:lineRule="exact"/>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t xml:space="preserve">招　标　文　件</w:t>
      </w:r>
      <w:r/>
    </w:p>
    <w:p>
      <w:pPr>
        <w:jc w:val="center"/>
        <w:spacing w:before="120" w:after="120" w:line="1000" w:lineRule="exact"/>
        <w:rPr>
          <w:rFonts w:hint="eastAsia" w:ascii="方正小标宋_GBK" w:hAnsi="方正小标宋_GBK" w:eastAsia="方正小标宋_GBK" w:cs="方正小标宋_GBK"/>
          <w:sz w:val="52"/>
          <w:szCs w:val="52"/>
        </w:rPr>
      </w:pPr>
      <w:r>
        <w:rPr>
          <w:rFonts w:hint="eastAsia" w:ascii="方正小标宋_GBK" w:hAnsi="方正小标宋_GBK" w:eastAsia="方正小标宋_GBK" w:cs="方正小标宋_GBK"/>
          <w:sz w:val="52"/>
          <w:szCs w:val="52"/>
        </w:rPr>
      </w:r>
      <w:r/>
    </w:p>
    <w:p>
      <w:pPr>
        <w:ind w:firstLine="562"/>
        <w:jc w:val="left"/>
        <w:spacing w:before="120" w:after="120" w:line="400" w:lineRule="exact"/>
        <w:rPr>
          <w:rFonts w:ascii="Arial" w:hAnsi="Arial"/>
          <w:b/>
          <w:bCs/>
          <w:sz w:val="28"/>
          <w:szCs w:val="28"/>
        </w:rPr>
      </w:pPr>
      <w:r>
        <w:rPr>
          <w:rFonts w:ascii="Arial" w:hAnsi="Arial"/>
          <w:b/>
          <w:bCs/>
          <w:sz w:val="28"/>
          <w:szCs w:val="28"/>
        </w:rPr>
      </w:r>
      <w:r/>
    </w:p>
    <w:p>
      <w:pPr>
        <w:ind w:firstLine="560"/>
        <w:jc w:val="left"/>
        <w:spacing w:before="120" w:after="120" w:line="400" w:lineRule="exact"/>
        <w:rPr>
          <w:rFonts w:hint="eastAsia" w:ascii="方正公文黑体" w:hAnsi="方正公文黑体" w:eastAsia="黑体" w:cs="方正公文黑体"/>
          <w:sz w:val="28"/>
          <w:szCs w:val="28"/>
          <w:u w:val="single"/>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江苏省特检院业务用车采购</w:t>
      </w:r>
      <w:r>
        <w:rPr>
          <w:rFonts w:hint="eastAsia" w:ascii="方正黑体_GBK" w:hAnsi="方正黑体_GBK" w:eastAsia="方正黑体_GBK" w:cs="方正黑体_GBK"/>
          <w:sz w:val="28"/>
          <w:szCs w:val="28"/>
          <w:u w:val="single"/>
        </w:rPr>
        <w:t xml:space="preserve">（</w:t>
      </w:r>
      <w:r>
        <w:rPr>
          <w:rFonts w:hint="eastAsia" w:ascii="宋体" w:hAnsi="宋体" w:cs="宋体"/>
          <w:sz w:val="28"/>
          <w:szCs w:val="28"/>
          <w:u w:val="single"/>
        </w:rPr>
        <w:t xml:space="preserve">更正稿</w:t>
      </w:r>
      <w:r>
        <w:rPr>
          <w:rFonts w:hint="eastAsia" w:ascii="方正黑体_GBK" w:hAnsi="方正黑体_GBK" w:eastAsia="方正黑体_GBK" w:cs="方正黑体_GBK"/>
          <w:sz w:val="28"/>
          <w:szCs w:val="28"/>
          <w:u w:val="single"/>
        </w:rPr>
        <w:t xml:space="preserve">）</w:t>
      </w:r>
      <w:r/>
    </w:p>
    <w:p>
      <w:pPr>
        <w:ind w:firstLine="560"/>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JSZC-320000-SCZX-G2026-0486</w:t>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pStyle w:val="1034"/>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10</w:t>
      </w:r>
      <w:r>
        <w:rPr>
          <w:rFonts w:hint="eastAsia"/>
          <w:b/>
          <w:bCs/>
          <w:sz w:val="32"/>
        </w:rPr>
        <w:t xml:space="preserve">月</w:t>
      </w:r>
      <w:r/>
    </w:p>
    <w:p>
      <w:pPr>
        <w:jc w:val="center"/>
        <w:spacing w:before="120" w:after="120"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660" w:lineRule="exact"/>
        <w:rPr>
          <w:rFonts w:ascii="黑体" w:hAnsi="Arial" w:eastAsia="黑体"/>
          <w:b/>
          <w:sz w:val="28"/>
          <w:szCs w:val="28"/>
        </w:rPr>
        <w:outlineLvl w:val="0"/>
      </w:pPr>
      <w:r>
        <w:rPr>
          <w:szCs w:val="21"/>
        </w:rPr>
        <w:br w:type="page" w:clear="all"/>
      </w:r>
      <w:bookmarkStart w:id="0" w:name="_Toc240275209"/>
      <w:r/>
      <w:bookmarkStart w:id="1" w:name="_Toc120614210"/>
      <w:r/>
      <w:bookmarkStart w:id="2" w:name="_Toc513029200"/>
      <w:r/>
      <w:bookmarkStart w:id="3" w:name="_Toc20823272"/>
      <w:r/>
      <w:bookmarkStart w:id="4" w:name="_Toc479757206"/>
      <w:r/>
      <w:bookmarkStart w:id="5" w:name="_Toc16938516"/>
      <w:r/>
      <w:bookmarkStart w:id="6" w:name="_Toc523127445"/>
      <w:r>
        <w:rPr>
          <w:rFonts w:hint="eastAsia" w:ascii="方正黑体_GBK" w:hAnsi="方正黑体_GBK" w:eastAsia="方正黑体_GBK" w:cs="方正黑体_GBK"/>
          <w:bCs/>
          <w:sz w:val="28"/>
          <w:szCs w:val="28"/>
        </w:rPr>
        <w:t xml:space="preserve">总  目</w:t>
      </w:r>
      <w:r>
        <w:rPr>
          <w:rFonts w:hint="eastAsia" w:ascii="方正黑体_GBK" w:hAnsi="方正黑体_GBK" w:eastAsia="方正黑体_GBK" w:cs="方正黑体_GBK"/>
          <w:bCs/>
          <w:sz w:val="28"/>
          <w:szCs w:val="28"/>
        </w:rPr>
        <w:t xml:space="preserve">  录</w:t>
      </w:r>
      <w:bookmarkEnd w:id="0"/>
      <w:r/>
      <w:r/>
    </w:p>
    <w:p>
      <w:pPr>
        <w:pStyle w:val="797"/>
        <w:rPr>
          <w:rFonts w:asciiTheme="minorHAnsi" w:hAnsiTheme="minorHAnsi" w:eastAsiaTheme="minorEastAsia" w:cstheme="minorBidi"/>
          <w:caps w:val="0"/>
          <w:sz w:val="22"/>
          <w14:ligatures w14:val="standardContextual"/>
        </w:rPr>
      </w:pPr>
      <w:r>
        <w:rPr>
          <w:rFonts w:hAnsi="Times New Roman"/>
          <w:b/>
          <w:bCs/>
          <w:sz w:val="36"/>
          <w:szCs w:val="36"/>
        </w:rPr>
        <w:fldChar w:fldCharType="begin"/>
      </w:r>
      <w:r>
        <w:rPr>
          <w:b/>
          <w:bCs/>
          <w:sz w:val="36"/>
          <w:szCs w:val="36"/>
        </w:rPr>
        <w:instrText xml:space="preserve"> TOC \o "1-1" \u </w:instrText>
      </w:r>
      <w:r>
        <w:rPr>
          <w:rFonts w:hAnsi="Times New Roman"/>
          <w:b/>
          <w:bCs/>
          <w:sz w:val="36"/>
          <w:szCs w:val="36"/>
        </w:rPr>
        <w:fldChar w:fldCharType="separate"/>
      </w:r>
      <w:r>
        <w:rPr>
          <w:rFonts w:hint="eastAsia" w:ascii="方正黑体_GBK" w:hAnsi="方正黑体_GBK" w:eastAsia="方正黑体_GBK" w:cs="方正黑体_GBK"/>
          <w:bCs/>
        </w:rPr>
        <w:t xml:space="preserve">总  目  录</w:t>
      </w:r>
      <w:r>
        <w:rPr>
          <w:rFonts w:hint="eastAsia"/>
        </w:rPr>
        <w:tab/>
      </w:r>
      <w:r>
        <w:rPr>
          <w:rFonts w:hint="eastAsia"/>
        </w:rPr>
        <w:fldChar w:fldCharType="begin"/>
      </w:r>
      <w:r>
        <w:rPr>
          <w:rFonts w:hint="eastAsia"/>
        </w:rPr>
        <w:instrText xml:space="preserve"> </w:instrText>
      </w:r>
      <w:r>
        <w:instrText xml:space="preserve">PAGEREF _Toc240275209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_Toc240275210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_Toc240275211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_Toc240275212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_Toc240275213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_Toc240275214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五、公告期限</w:t>
      </w:r>
      <w:r>
        <w:rPr>
          <w:rFonts w:hint="eastAsia"/>
        </w:rPr>
        <w:tab/>
      </w:r>
      <w:r>
        <w:rPr>
          <w:rFonts w:hint="eastAsia"/>
        </w:rPr>
        <w:fldChar w:fldCharType="begin"/>
      </w:r>
      <w:r>
        <w:rPr>
          <w:rFonts w:hint="eastAsia"/>
        </w:rPr>
        <w:instrText xml:space="preserve"> </w:instrText>
      </w:r>
      <w:r>
        <w:instrText xml:space="preserve">PAGEREF _Toc240275215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_Toc240275216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_Toc240275217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八、其他</w:t>
      </w:r>
      <w:r>
        <w:rPr>
          <w:rFonts w:hint="eastAsia"/>
        </w:rPr>
        <w:tab/>
      </w:r>
      <w:r>
        <w:rPr>
          <w:rFonts w:hint="eastAsia"/>
        </w:rPr>
        <w:fldChar w:fldCharType="begin"/>
      </w:r>
      <w:r>
        <w:rPr>
          <w:rFonts w:hint="eastAsia"/>
        </w:rPr>
        <w:instrText xml:space="preserve"> </w:instrText>
      </w:r>
      <w:r>
        <w:instrText xml:space="preserve">PAGEREF _Toc240275218 \h</w:instrText>
      </w:r>
      <w:r>
        <w:rPr>
          <w:rFonts w:hint="eastAsia"/>
        </w:rPr>
        <w:instrText xml:space="preserve"> </w:instrText>
      </w:r>
      <w:r>
        <w:rPr>
          <w:rFonts w:hint="eastAsia"/>
        </w:rPr>
        <w:fldChar w:fldCharType="separate"/>
      </w:r>
      <w:r>
        <w:rPr>
          <w:rFonts w:hint="eastAsia"/>
        </w:rPr>
        <w:t xml:space="preserve">5</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_Toc240275219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一、总则</w:t>
      </w:r>
      <w:r>
        <w:rPr>
          <w:rFonts w:hint="eastAsia"/>
        </w:rPr>
        <w:tab/>
      </w:r>
      <w:r>
        <w:rPr>
          <w:rFonts w:hint="eastAsia"/>
        </w:rPr>
        <w:fldChar w:fldCharType="begin"/>
      </w:r>
      <w:r>
        <w:rPr>
          <w:rFonts w:hint="eastAsia"/>
        </w:rPr>
        <w:instrText xml:space="preserve"> </w:instrText>
      </w:r>
      <w:r>
        <w:instrText xml:space="preserve">PAGEREF _Toc240275220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二、招标文件</w:t>
      </w:r>
      <w:r>
        <w:rPr>
          <w:rFonts w:hint="eastAsia"/>
        </w:rPr>
        <w:tab/>
      </w:r>
      <w:r>
        <w:rPr>
          <w:rFonts w:hint="eastAsia"/>
        </w:rPr>
        <w:fldChar w:fldCharType="begin"/>
      </w:r>
      <w:r>
        <w:rPr>
          <w:rFonts w:hint="eastAsia"/>
        </w:rPr>
        <w:instrText xml:space="preserve"> </w:instrText>
      </w:r>
      <w:r>
        <w:instrText xml:space="preserve">PAGEREF _Toc240275221 \h</w:instrText>
      </w:r>
      <w:r>
        <w:rPr>
          <w:rFonts w:hint="eastAsia"/>
        </w:rPr>
        <w:instrText xml:space="preserve"> </w:instrText>
      </w:r>
      <w:r>
        <w:rPr>
          <w:rFonts w:hint="eastAsia"/>
        </w:rPr>
        <w:fldChar w:fldCharType="separate"/>
      </w:r>
      <w:r>
        <w:rPr>
          <w:rFonts w:hint="eastAsia"/>
        </w:rPr>
        <w:t xml:space="preserve">6</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_Toc240275222 \h</w:instrText>
      </w:r>
      <w:r>
        <w:rPr>
          <w:rFonts w:hint="eastAsia"/>
        </w:rPr>
        <w:instrText xml:space="preserve"> </w:instrText>
      </w:r>
      <w:r>
        <w:rPr>
          <w:rFonts w:hint="eastAsia"/>
        </w:rPr>
        <w:fldChar w:fldCharType="separate"/>
      </w:r>
      <w:r>
        <w:rPr>
          <w:rFonts w:hint="eastAsia"/>
        </w:rPr>
        <w:t xml:space="preserve">7</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_Toc240275223 \h</w:instrText>
      </w:r>
      <w:r>
        <w:rPr>
          <w:rFonts w:hint="eastAsia"/>
        </w:rPr>
        <w:instrText xml:space="preserve"> </w:instrText>
      </w:r>
      <w:r>
        <w:rPr>
          <w:rFonts w:hint="eastAsia"/>
        </w:rPr>
        <w:fldChar w:fldCharType="separate"/>
      </w:r>
      <w:r>
        <w:rPr>
          <w:rFonts w:hint="eastAsia"/>
        </w:rPr>
        <w:t xml:space="preserve">8</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五、开标与评标</w:t>
      </w:r>
      <w:r>
        <w:rPr>
          <w:rFonts w:hint="eastAsia"/>
        </w:rPr>
        <w:tab/>
      </w:r>
      <w:r>
        <w:rPr>
          <w:rFonts w:hint="eastAsia"/>
        </w:rPr>
        <w:fldChar w:fldCharType="begin"/>
      </w:r>
      <w:r>
        <w:rPr>
          <w:rFonts w:hint="eastAsia"/>
        </w:rPr>
        <w:instrText xml:space="preserve"> </w:instrText>
      </w:r>
      <w:r>
        <w:instrText xml:space="preserve">PAGEREF _Toc240275224 \h</w:instrText>
      </w:r>
      <w:r>
        <w:rPr>
          <w:rFonts w:hint="eastAsia"/>
        </w:rPr>
        <w:instrText xml:space="preserve"> </w:instrText>
      </w:r>
      <w:r>
        <w:rPr>
          <w:rFonts w:hint="eastAsia"/>
        </w:rPr>
        <w:fldChar w:fldCharType="separate"/>
      </w:r>
      <w:r>
        <w:rPr>
          <w:rFonts w:hint="eastAsia"/>
        </w:rPr>
        <w:t xml:space="preserve">9</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六、定标</w:t>
      </w:r>
      <w:r>
        <w:rPr>
          <w:rFonts w:hint="eastAsia"/>
        </w:rPr>
        <w:tab/>
      </w:r>
      <w:r>
        <w:rPr>
          <w:rFonts w:hint="eastAsia"/>
        </w:rPr>
        <w:fldChar w:fldCharType="begin"/>
      </w:r>
      <w:r>
        <w:rPr>
          <w:rFonts w:hint="eastAsia"/>
        </w:rPr>
        <w:instrText xml:space="preserve"> </w:instrText>
      </w:r>
      <w:r>
        <w:instrText xml:space="preserve">PAGEREF _Toc240275225 \h</w:instrText>
      </w:r>
      <w:r>
        <w:rPr>
          <w:rFonts w:hint="eastAsia"/>
        </w:rPr>
        <w:instrText xml:space="preserve"> </w:instrText>
      </w:r>
      <w:r>
        <w:rPr>
          <w:rFonts w:hint="eastAsia"/>
        </w:rPr>
        <w:fldChar w:fldCharType="separate"/>
      </w:r>
      <w:r>
        <w:rPr>
          <w:rFonts w:hint="eastAsia"/>
        </w:rPr>
        <w:t xml:space="preserve">14</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rPr>
        <w:t xml:space="preserve">七、授予合同</w:t>
      </w:r>
      <w:r>
        <w:rPr>
          <w:rFonts w:hint="eastAsia"/>
        </w:rPr>
        <w:tab/>
      </w:r>
      <w:r>
        <w:rPr>
          <w:rFonts w:hint="eastAsia"/>
        </w:rPr>
        <w:fldChar w:fldCharType="begin"/>
      </w:r>
      <w:r>
        <w:rPr>
          <w:rFonts w:hint="eastAsia"/>
        </w:rPr>
        <w:instrText xml:space="preserve"> </w:instrText>
      </w:r>
      <w:r>
        <w:instrText xml:space="preserve">PAGEREF _Toc240275226 \h</w:instrText>
      </w:r>
      <w:r>
        <w:rPr>
          <w:rFonts w:hint="eastAsia"/>
        </w:rPr>
        <w:instrText xml:space="preserve"> </w:instrText>
      </w:r>
      <w:r>
        <w:rPr>
          <w:rFonts w:hint="eastAsia"/>
        </w:rPr>
        <w:fldChar w:fldCharType="separate"/>
      </w:r>
      <w:r>
        <w:rPr>
          <w:rFonts w:hint="eastAsia"/>
        </w:rPr>
        <w:t xml:space="preserve">16</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bCs/>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_Toc240275227 \h</w:instrText>
      </w:r>
      <w:r>
        <w:rPr>
          <w:rFonts w:hint="eastAsia"/>
        </w:rPr>
        <w:instrText xml:space="preserve"> </w:instrText>
      </w:r>
      <w:r>
        <w:rPr>
          <w:rFonts w:hint="eastAsia"/>
        </w:rPr>
        <w:fldChar w:fldCharType="separate"/>
      </w:r>
      <w:r>
        <w:rPr>
          <w:rFonts w:hint="eastAsia"/>
        </w:rPr>
        <w:t xml:space="preserve">18</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_Toc240275228 \h</w:instrText>
      </w:r>
      <w:r>
        <w:rPr>
          <w:rFonts w:hint="eastAsia"/>
        </w:rPr>
        <w:instrText xml:space="preserve"> </w:instrText>
      </w:r>
      <w:r>
        <w:rPr>
          <w:rFonts w:hint="eastAsia"/>
        </w:rPr>
        <w:fldChar w:fldCharType="separate"/>
      </w:r>
      <w:r>
        <w:rPr>
          <w:rFonts w:hint="eastAsia"/>
        </w:rPr>
        <w:t xml:space="preserve">37</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bCs/>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_Toc240275229 \h</w:instrText>
      </w:r>
      <w:r>
        <w:rPr>
          <w:rFonts w:hint="eastAsia"/>
        </w:rPr>
        <w:instrText xml:space="preserve"> </w:instrText>
      </w:r>
      <w:r>
        <w:rPr>
          <w:rFonts w:hint="eastAsia"/>
        </w:rPr>
        <w:fldChar w:fldCharType="separate"/>
      </w:r>
      <w:r>
        <w:rPr>
          <w:rFonts w:hint="eastAsia"/>
        </w:rPr>
        <w:t xml:space="preserve">47</w:t>
      </w:r>
      <w:r>
        <w:rPr>
          <w:rFonts w:hint="eastAsia"/>
        </w:rPr>
        <w:fldChar w:fldCharType="end"/>
      </w:r>
      <w:r/>
    </w:p>
    <w:p>
      <w:pPr>
        <w:pStyle w:val="797"/>
        <w:rPr>
          <w:rFonts w:asciiTheme="minorHAnsi" w:hAnsiTheme="minorHAnsi" w:eastAsiaTheme="minorEastAsia" w:cstheme="minorBidi"/>
          <w:caps w:val="0"/>
          <w:sz w:val="22"/>
          <w14:ligatures w14:val="standardContextual"/>
        </w:rPr>
      </w:pPr>
      <w:r>
        <w:rPr>
          <w:rFonts w:hint="eastAsia" w:ascii="方正黑体_GBK" w:hAnsi="方正黑体_GBK" w:eastAsia="方正黑体_GBK" w:cs="方正黑体_GBK"/>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_Toc240275230 \h</w:instrText>
      </w:r>
      <w:r>
        <w:rPr>
          <w:rFonts w:hint="eastAsia"/>
        </w:rPr>
        <w:instrText xml:space="preserve"> </w:instrText>
      </w:r>
      <w:r>
        <w:rPr>
          <w:rFonts w:hint="eastAsia"/>
        </w:rPr>
        <w:fldChar w:fldCharType="separate"/>
      </w:r>
      <w:r>
        <w:rPr>
          <w:rFonts w:hint="eastAsia"/>
        </w:rPr>
        <w:t xml:space="preserve">52</w:t>
      </w:r>
      <w:r>
        <w:rPr>
          <w:rFonts w:hint="eastAsia"/>
        </w:rPr>
        <w:fldChar w:fldCharType="end"/>
      </w:r>
      <w:r/>
    </w:p>
    <w:p>
      <w:r>
        <w:rPr>
          <w:rFonts w:hAnsi="宋体"/>
          <w:bCs/>
          <w:szCs w:val="36"/>
        </w:rPr>
        <w:fldChar w:fldCharType="end"/>
      </w:r>
      <w:r/>
    </w:p>
    <w:p>
      <w:r/>
      <w:r/>
    </w:p>
    <w:p>
      <w:pPr>
        <w:jc w:val="left"/>
        <w:widowControl/>
      </w:pPr>
      <w:r>
        <w:br w:type="page" w:clear="all"/>
      </w:r>
      <w:r/>
    </w:p>
    <w:p>
      <w:pPr>
        <w:rPr>
          <w:szCs w:val="21"/>
        </w:rPr>
      </w:pPr>
      <w:r>
        <w:rPr>
          <w:szCs w:val="21"/>
        </w:rPr>
      </w:r>
      <w:r/>
    </w:p>
    <w:p>
      <w:pPr>
        <w:jc w:val="center"/>
        <w:keepNext/>
        <w:spacing w:line="400" w:lineRule="exact"/>
        <w:rPr>
          <w:rFonts w:hint="eastAsia" w:ascii="方正黑体_GBK" w:hAnsi="方正黑体_GBK" w:eastAsia="方正黑体_GBK" w:cs="方正黑体_GBK"/>
          <w:bCs/>
          <w:sz w:val="28"/>
          <w:szCs w:val="28"/>
        </w:rPr>
        <w:outlineLvl w:val="0"/>
      </w:pPr>
      <w:r/>
      <w:bookmarkStart w:id="7" w:name="_Toc240275210"/>
      <w:r>
        <w:rPr>
          <w:rFonts w:hint="eastAsia" w:ascii="方正黑体_GBK" w:hAnsi="方正黑体_GBK" w:eastAsia="方正黑体_GBK" w:cs="方正黑体_GBK"/>
          <w:sz w:val="28"/>
          <w:szCs w:val="28"/>
        </w:rPr>
        <w:t xml:space="preserve">第一章  </w:t>
      </w:r>
      <w:bookmarkEnd w:id="1"/>
      <w:r>
        <w:rPr>
          <w:rFonts w:hint="eastAsia" w:ascii="方正黑体_GBK" w:hAnsi="方正黑体_GBK" w:eastAsia="方正黑体_GBK" w:cs="方正黑体_GBK"/>
          <w:sz w:val="28"/>
          <w:szCs w:val="28"/>
        </w:rPr>
        <w:t xml:space="preserve">投标邀请</w:t>
      </w:r>
      <w:bookmarkEnd w:id="7"/>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受江苏省特种设备安全监督检验研究院的委托，江苏省政府采购中心就江苏省特检院业务用车采购(</w:t>
      </w:r>
      <w:r>
        <w:rPr>
          <w:rFonts w:ascii="方正仿宋_GBK" w:hAnsi="方正仿宋_GBK" w:eastAsia="方正仿宋_GBK" w:cs="方正仿宋_GBK"/>
          <w:sz w:val="28"/>
          <w:szCs w:val="28"/>
        </w:rPr>
        <w:t xml:space="preserve">JSZC-320000-SCZX-G2026</w:t>
      </w:r>
      <w:r>
        <w:rPr>
          <w:rFonts w:ascii="方正仿宋_GBK" w:hAnsi="方正仿宋_GBK" w:eastAsia="方正仿宋_GBK" w:cs="方正仿宋_GBK"/>
          <w:sz w:val="28"/>
          <w:szCs w:val="28"/>
        </w:rPr>
        <w:t xml:space="preserve">-0486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项目进行公开招标采购，欢迎符合条件的供应商投标。</w:t>
      </w:r>
      <w:r/>
    </w:p>
    <w:p>
      <w:pPr>
        <w:ind w:firstLine="560"/>
        <w:spacing w:line="400" w:lineRule="exact"/>
        <w:rPr>
          <w:rFonts w:hint="eastAsia" w:ascii="方正仿宋_GBK" w:hAnsi="方正仿宋_GBK" w:eastAsia="方正仿宋_GBK" w:cs="方正仿宋_GBK"/>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rPr>
        <w:t xml:space="preserve">项目概况</w:t>
      </w:r>
      <w:r/>
    </w:p>
    <w:p>
      <w:pPr>
        <w:ind w:firstLine="560"/>
        <w:spacing w:line="400" w:lineRule="exact"/>
        <w:rPr>
          <w:rFonts w:hint="eastAsia" w:ascii="方正仿宋_GBK" w:hAnsi="方正仿宋_GBK" w:eastAsia="方正仿宋_GBK" w:cs="方正仿宋_GBK"/>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(江苏省</w:t>
      </w:r>
      <w:r>
        <w:rPr>
          <w:rFonts w:hint="eastAsia" w:ascii="方正仿宋_GBK" w:hAnsi="方正仿宋_GBK" w:eastAsia="方正仿宋_GBK" w:cs="方正仿宋_GBK"/>
          <w:sz w:val="28"/>
          <w:szCs w:val="28"/>
          <w:u w:val="single"/>
        </w:rPr>
        <w:t xml:space="preserve">特检院业务用车</w:t>
      </w:r>
      <w:r>
        <w:rPr>
          <w:rFonts w:hint="eastAsia" w:ascii="方正仿宋_GBK" w:hAnsi="方正仿宋_GBK" w:eastAsia="方正仿宋_GBK" w:cs="方正仿宋_GBK"/>
          <w:sz w:val="28"/>
          <w:szCs w:val="28"/>
          <w:u w:val="single"/>
        </w:rPr>
        <w:t xml:space="preserve">采购)</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招标文件，并于2026</w:t>
      </w:r>
      <w:r>
        <w:rPr>
          <w:rFonts w:hint="eastAsia" w:ascii="方正仿宋_GBK" w:hAnsi="方正仿宋_GBK" w:eastAsia="方正仿宋_GBK" w:cs="方正仿宋_GBK"/>
          <w:bCs/>
          <w:sz w:val="28"/>
          <w:szCs w:val="28"/>
        </w:rPr>
        <w:t xml:space="preserve">年11月</w:t>
      </w:r>
      <w:r>
        <w:rPr>
          <w:rFonts w:hint="eastAsia" w:ascii="方正仿宋_GBK" w:hAnsi="方正仿宋_GBK" w:eastAsia="方正仿宋_GBK" w:cs="方正仿宋_GBK"/>
          <w:bCs/>
          <w:sz w:val="28"/>
          <w:szCs w:val="28"/>
          <w:highlight w:val="yellow"/>
        </w:rPr>
        <w:t xml:space="preserve">1</w:t>
      </w:r>
      <w:r>
        <w:rPr>
          <w:rFonts w:hint="eastAsia" w:ascii="方正仿宋_GBK" w:hAnsi="方正仿宋_GBK" w:eastAsia="方正仿宋_GBK" w:cs="方正仿宋_GBK"/>
          <w:bCs/>
          <w:sz w:val="28"/>
          <w:szCs w:val="28"/>
          <w:highlight w:val="yellow"/>
        </w:rPr>
        <w:t xml:space="preserve">3</w:t>
      </w:r>
      <w:r>
        <w:rPr>
          <w:rFonts w:hint="eastAsia" w:ascii="方正仿宋_GBK" w:hAnsi="方正仿宋_GBK" w:eastAsia="方正仿宋_GBK" w:cs="方正仿宋_GBK"/>
          <w:bCs/>
          <w:sz w:val="28"/>
          <w:szCs w:val="28"/>
        </w:rPr>
        <w:t xml:space="preserve">日9时</w:t>
      </w:r>
      <w:r>
        <w:rPr>
          <w:rFonts w:hint="eastAsia" w:ascii="方正仿宋_GBK" w:hAnsi="方正仿宋_GBK" w:eastAsia="方正仿宋_GBK" w:cs="方正仿宋_GBK"/>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8" w:name="_Toc28359002"/>
      <w:r/>
      <w:bookmarkStart w:id="9" w:name="_Toc38985263"/>
      <w:r/>
      <w:bookmarkStart w:id="10" w:name="_Toc28359079"/>
      <w:r/>
      <w:bookmarkStart w:id="11" w:name="_Toc240275211"/>
      <w:r/>
      <w:bookmarkStart w:id="12" w:name="_Toc35393790"/>
      <w:r/>
      <w:bookmarkStart w:id="13" w:name="_Toc35393621"/>
      <w:r/>
      <w:bookmarkStart w:id="14" w:name="_Hlk24379207"/>
      <w:r>
        <w:rPr>
          <w:rFonts w:hint="eastAsia" w:ascii="方正黑体_GBK" w:hAnsi="方正黑体_GBK" w:eastAsia="方正黑体_GBK" w:cs="方正黑体_GBK"/>
          <w:sz w:val="28"/>
          <w:szCs w:val="28"/>
        </w:rPr>
        <w:t xml:space="preserve">一、项目基本情况</w:t>
      </w:r>
      <w:bookmarkEnd w:id="8"/>
      <w:r/>
      <w:bookmarkEnd w:id="9"/>
      <w:r/>
      <w:bookmarkEnd w:id="10"/>
      <w:r/>
      <w:bookmarkEnd w:id="11"/>
      <w:r/>
      <w:bookmarkEnd w:id="12"/>
      <w:r/>
      <w:bookmarkEnd w:id="13"/>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eastAsia="方正仿宋_GBK"/>
          <w:sz w:val="28"/>
          <w:szCs w:val="28"/>
        </w:rPr>
        <w:t xml:space="preserve">JSZC-320000-SCZX-G2026-0486</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w:t>
      </w:r>
      <w:r>
        <w:rPr>
          <w:rFonts w:eastAsia="方正仿宋_GBK"/>
          <w:sz w:val="28"/>
          <w:szCs w:val="28"/>
        </w:rPr>
        <w:t xml:space="preserve">江苏省特检院业务用车采购</w:t>
      </w:r>
      <w:bookmarkEnd w:id="14"/>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65"/>
        <w:gridCol w:w="5354"/>
      </w:tblGrid>
      <w:tr>
        <w:trPr>
          <w:trHeight w:val="789"/>
        </w:trPr>
        <w:tc>
          <w:tcPr>
            <w:tcW w:w="176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354"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rHeight w:val="410"/>
        </w:trPr>
        <w:tc>
          <w:tcPr>
            <w:tcW w:w="176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354"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eastAsia="方正仿宋_GBK"/>
                <w:sz w:val="28"/>
                <w:szCs w:val="28"/>
              </w:rPr>
              <w:t xml:space="preserve">252</w:t>
            </w:r>
            <w:r/>
          </w:p>
        </w:tc>
      </w:tr>
      <w:tr>
        <w:trPr>
          <w:trHeight w:val="410"/>
        </w:trPr>
        <w:tc>
          <w:tcPr>
            <w:tcW w:w="176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5354"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150</w:t>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8"/>
        <w:gridCol w:w="5341"/>
      </w:tblGrid>
      <w:tr>
        <w:trPr>
          <w:trHeight w:val="709"/>
        </w:trPr>
        <w:tc>
          <w:tcPr>
            <w:tcW w:w="175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34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rHeight w:val="347"/>
        </w:trPr>
        <w:tc>
          <w:tcPr>
            <w:tcW w:w="175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341" w:type="dxa"/>
            <w:textDirection w:val="lrTb"/>
            <w:noWrap w:val="false"/>
          </w:tcPr>
          <w:p>
            <w:pPr>
              <w:jc w:val="center"/>
              <w:spacing w:line="400" w:lineRule="exact"/>
              <w:rPr>
                <w:rFonts w:eastAsia="方正仿宋_GBK"/>
                <w:sz w:val="28"/>
                <w:szCs w:val="28"/>
              </w:rPr>
            </w:pPr>
            <w:r>
              <w:rPr>
                <w:rFonts w:eastAsia="方正仿宋_GBK"/>
                <w:sz w:val="28"/>
                <w:szCs w:val="28"/>
              </w:rPr>
              <w:t xml:space="preserve">252</w:t>
            </w:r>
            <w:r>
              <w:rPr>
                <w:rFonts w:hint="eastAsia" w:eastAsia="方正仿宋_GBK"/>
                <w:sz w:val="28"/>
                <w:szCs w:val="28"/>
              </w:rPr>
              <w:t xml:space="preserve">（轿车最高限价：</w:t>
            </w:r>
            <w:r>
              <w:rPr>
                <w:rFonts w:hint="eastAsia" w:eastAsia="方正仿宋_GBK"/>
                <w:sz w:val="28"/>
                <w:szCs w:val="28"/>
              </w:rPr>
              <w:t xml:space="preserve">18</w:t>
            </w:r>
            <w:r>
              <w:rPr>
                <w:rFonts w:hint="eastAsia" w:eastAsia="方正仿宋_GBK"/>
                <w:sz w:val="28"/>
                <w:szCs w:val="28"/>
              </w:rPr>
              <w:t xml:space="preserve">万元</w:t>
            </w:r>
            <w:r>
              <w:rPr>
                <w:rFonts w:hint="eastAsia" w:eastAsia="方正仿宋_GBK"/>
                <w:sz w:val="28"/>
                <w:szCs w:val="28"/>
              </w:rPr>
              <w:t xml:space="preserve">/</w:t>
            </w:r>
            <w:r>
              <w:rPr>
                <w:rFonts w:hint="eastAsia" w:eastAsia="方正仿宋_GBK"/>
                <w:sz w:val="28"/>
                <w:szCs w:val="28"/>
              </w:rPr>
              <w:t xml:space="preserve">辆）</w:t>
            </w:r>
            <w:r/>
          </w:p>
        </w:tc>
      </w:tr>
      <w:tr>
        <w:trPr>
          <w:trHeight w:val="347"/>
        </w:trPr>
        <w:tc>
          <w:tcPr>
            <w:tcW w:w="175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5341"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150</w:t>
            </w:r>
            <w:r>
              <w:rPr>
                <w:rFonts w:hint="eastAsia" w:eastAsia="方正仿宋_GBK"/>
                <w:sz w:val="28"/>
                <w:szCs w:val="28"/>
              </w:rPr>
              <w:t xml:space="preserve">（商务车最高限价：</w:t>
            </w:r>
            <w:r>
              <w:rPr>
                <w:rFonts w:hint="eastAsia" w:eastAsia="方正仿宋_GBK"/>
                <w:sz w:val="28"/>
                <w:szCs w:val="28"/>
              </w:rPr>
              <w:t xml:space="preserve">25</w:t>
            </w:r>
            <w:r>
              <w:rPr>
                <w:rFonts w:hint="eastAsia" w:eastAsia="方正仿宋_GBK"/>
                <w:sz w:val="28"/>
                <w:szCs w:val="28"/>
              </w:rPr>
              <w:t xml:space="preserve">万元</w:t>
            </w:r>
            <w:r>
              <w:rPr>
                <w:rFonts w:hint="eastAsia" w:eastAsia="方正仿宋_GBK"/>
                <w:sz w:val="28"/>
                <w:szCs w:val="28"/>
              </w:rPr>
              <w:t xml:space="preserve">/</w:t>
            </w:r>
            <w:r>
              <w:rPr>
                <w:rFonts w:hint="eastAsia" w:eastAsia="方正仿宋_GBK"/>
                <w:sz w:val="28"/>
                <w:szCs w:val="28"/>
              </w:rPr>
              <w:t xml:space="preserve">辆）</w:t>
            </w:r>
            <w:r/>
          </w:p>
        </w:tc>
      </w:tr>
    </w:tbl>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5.采购需求</w:t>
      </w:r>
      <w:r>
        <w:rPr>
          <w:rFonts w:hint="eastAsia" w:ascii="方正仿宋_GBK" w:hAnsi="方正仿宋_GBK" w:eastAsia="方正仿宋_GBK" w:cs="方正仿宋_GBK"/>
          <w:sz w:val="28"/>
          <w:szCs w:val="28"/>
        </w:rPr>
        <w:t xml:space="preserve">(简介)</w:t>
      </w:r>
      <w:r>
        <w:rPr>
          <w:rFonts w:hint="eastAsia" w:ascii="方正仿宋_GBK" w:hAnsi="方正仿宋_GBK" w:eastAsia="方正仿宋_GBK" w:cs="方正仿宋_GBK"/>
          <w:sz w:val="28"/>
          <w:szCs w:val="28"/>
        </w:rPr>
        <w:t xml:space="preserve">：</w:t>
      </w:r>
      <w:r>
        <w:rPr>
          <w:rFonts w:hint="eastAsia" w:eastAsia="方正仿宋_GBK"/>
          <w:sz w:val="28"/>
          <w:szCs w:val="28"/>
        </w:rPr>
        <w:t xml:space="preserve">根据工作需要，本院拟采购</w:t>
      </w:r>
      <w:r>
        <w:rPr>
          <w:rFonts w:hint="eastAsia" w:eastAsia="方正仿宋_GBK"/>
          <w:sz w:val="28"/>
          <w:szCs w:val="28"/>
        </w:rPr>
        <w:t xml:space="preserve">20</w:t>
      </w:r>
      <w:r>
        <w:rPr>
          <w:rFonts w:hint="eastAsia" w:eastAsia="方正仿宋_GBK"/>
          <w:sz w:val="28"/>
          <w:szCs w:val="28"/>
        </w:rPr>
        <w:t xml:space="preserve">辆业务用车，其中</w:t>
      </w:r>
      <w:r>
        <w:rPr>
          <w:rFonts w:hint="eastAsia" w:eastAsia="方正仿宋_GBK"/>
          <w:sz w:val="28"/>
          <w:szCs w:val="28"/>
        </w:rPr>
        <w:t xml:space="preserve">14</w:t>
      </w:r>
      <w:r>
        <w:rPr>
          <w:rFonts w:hint="eastAsia" w:eastAsia="方正仿宋_GBK"/>
          <w:sz w:val="28"/>
          <w:szCs w:val="28"/>
        </w:rPr>
        <w:t xml:space="preserve">辆为普通轿车、</w:t>
      </w:r>
      <w:r>
        <w:rPr>
          <w:rFonts w:hint="eastAsia" w:eastAsia="方正仿宋_GBK"/>
          <w:sz w:val="28"/>
          <w:szCs w:val="28"/>
        </w:rPr>
        <w:t xml:space="preserve">6</w:t>
      </w:r>
      <w:r>
        <w:rPr>
          <w:rFonts w:hint="eastAsia" w:eastAsia="方正仿宋_GBK"/>
          <w:sz w:val="28"/>
          <w:szCs w:val="28"/>
        </w:rPr>
        <w:t xml:space="preserve">辆为商务车，全部为新能源汽车。</w:t>
      </w:r>
      <w:r>
        <w:rPr>
          <w:rFonts w:hint="eastAsia" w:ascii="方正仿宋_GBK" w:hAnsi="方正仿宋_GBK" w:eastAsia="方正仿宋_GBK" w:cs="方正仿宋_GBK"/>
          <w:sz w:val="28"/>
          <w:szCs w:val="28"/>
        </w:rPr>
        <w:t xml:space="preserve">（详细内容见本招标文件第四章）</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6.合同履行期限：</w:t>
      </w:r>
      <w:r>
        <w:rPr>
          <w:rFonts w:hint="eastAsia" w:eastAsia="方正仿宋_GBK"/>
          <w:sz w:val="28"/>
          <w:szCs w:val="28"/>
        </w:rPr>
        <w:t xml:space="preserve">合同签订后</w:t>
      </w:r>
      <w:r>
        <w:rPr>
          <w:rFonts w:hint="eastAsia" w:eastAsia="方正仿宋_GBK"/>
          <w:sz w:val="28"/>
          <w:szCs w:val="28"/>
        </w:rPr>
        <w:t xml:space="preserve">20</w:t>
      </w:r>
      <w:r>
        <w:rPr>
          <w:rFonts w:hint="eastAsia" w:eastAsia="方正仿宋_GBK"/>
          <w:sz w:val="28"/>
          <w:szCs w:val="28"/>
        </w:rPr>
        <w:t xml:space="preserve">日历日内交货（含</w:t>
      </w:r>
      <w:r>
        <w:rPr>
          <w:rFonts w:hint="eastAsia" w:eastAsia="方正仿宋_GBK"/>
          <w:sz w:val="28"/>
          <w:szCs w:val="28"/>
        </w:rPr>
        <w:t xml:space="preserve">20</w:t>
      </w:r>
      <w:r>
        <w:rPr>
          <w:rFonts w:hint="eastAsia" w:eastAsia="方正仿宋_GBK"/>
          <w:sz w:val="28"/>
          <w:szCs w:val="28"/>
        </w:rPr>
        <w:t xml:space="preserve">日）。</w:t>
      </w:r>
      <w:r>
        <w:rPr>
          <w:rFonts w:hint="eastAsia" w:eastAsia="方正仿宋_GBK"/>
          <w:sz w:val="28"/>
          <w:szCs w:val="28"/>
        </w:rPr>
        <w:t xml:space="preserve"> </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5" w:name="_Toc28359080"/>
      <w:r/>
      <w:bookmarkStart w:id="16" w:name="_Toc35393791"/>
      <w:r/>
      <w:bookmarkStart w:id="17" w:name="_Toc38985264"/>
      <w:r/>
      <w:bookmarkStart w:id="18" w:name="_Toc240275212"/>
      <w:r/>
      <w:bookmarkStart w:id="19" w:name="_Toc35393622"/>
      <w:r/>
      <w:bookmarkStart w:id="20" w:name="_Toc28359003"/>
      <w:r>
        <w:rPr>
          <w:rFonts w:hint="eastAsia" w:ascii="方正黑体_GBK" w:hAnsi="方正黑体_GBK" w:eastAsia="方正黑体_GBK" w:cs="方正黑体_GBK"/>
          <w:sz w:val="28"/>
          <w:szCs w:val="28"/>
        </w:rPr>
        <w:t xml:space="preserve">二、申请人的资格要求</w:t>
      </w:r>
      <w:bookmarkEnd w:id="15"/>
      <w:r/>
      <w:bookmarkEnd w:id="16"/>
      <w:r/>
      <w:bookmarkEnd w:id="17"/>
      <w:r/>
      <w:bookmarkEnd w:id="18"/>
      <w:r/>
      <w:bookmarkEnd w:id="19"/>
      <w:r/>
      <w:bookmarkEnd w:id="20"/>
      <w:r/>
      <w:r/>
    </w:p>
    <w:p>
      <w:pPr>
        <w:ind w:firstLine="560"/>
        <w:spacing w:line="400" w:lineRule="exact"/>
        <w:rPr>
          <w:rFonts w:hint="eastAsia" w:ascii="方正楷体_GBK" w:hAnsi="方正楷体_GBK" w:eastAsia="方正楷体_GBK" w:cs="方正楷体_GBK"/>
          <w:sz w:val="28"/>
          <w:szCs w:val="28"/>
        </w:rPr>
      </w:pPr>
      <w:r/>
      <w:bookmarkStart w:id="21" w:name="_Toc28359004"/>
      <w:r/>
      <w:bookmarkStart w:id="22" w:name="_Toc35393623"/>
      <w:r/>
      <w:bookmarkStart w:id="23" w:name="_Toc35393792"/>
      <w:r/>
      <w:bookmarkStart w:id="24" w:name="_Toc28359081"/>
      <w:r/>
      <w:bookmarkStart w:id="25" w:name="_Toc38985265"/>
      <w:r>
        <w:rPr>
          <w:rFonts w:hint="eastAsia" w:ascii="方正楷体_GBK" w:hAnsi="方正楷体_GBK" w:eastAsia="方正楷体_GBK" w:cs="方正楷体_GBK"/>
          <w:sz w:val="28"/>
          <w:szCs w:val="28"/>
        </w:rPr>
        <w:t xml:space="preserve">（一）通用资格要求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1.3依法缴纳税收和社会保障资金的相关材料（提供提交投标文</w:t>
      </w:r>
      <w:r>
        <w:rPr>
          <w:rFonts w:hint="eastAsia" w:ascii="方正仿宋_GBK" w:hAnsi="方正仿宋_GBK" w:eastAsia="方正仿宋_GBK" w:cs="方正仿宋_GBK"/>
          <w:sz w:val="28"/>
          <w:szCs w:val="28"/>
        </w:rPr>
        <w:t xml:space="preserve">件截止时间前一年内至少一个月依法缴纳税收及缴纳社会保障资金的证明材料。投标人依法享受缓缴、免缴税收、社会保障资金的提供证明材料。）；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4.联合体投标：不接受联合体投标</w:t>
      </w:r>
      <w:r/>
    </w:p>
    <w:p>
      <w:pPr>
        <w:ind w:firstLine="560"/>
        <w:spacing w:line="400" w:lineRule="exact"/>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（二）本项目的特定资格要求：无</w:t>
      </w:r>
      <w:bookmarkStart w:id="26" w:name="_Toc240275213"/>
      <w:r/>
      <w:r/>
    </w:p>
    <w:p>
      <w:pPr>
        <w:ind w:firstLine="560"/>
        <w:jc w:val="left"/>
        <w:keepNext/>
        <w:spacing w:line="400" w:lineRule="exact"/>
        <w:rPr>
          <w:rFonts w:hint="eastAsia" w:ascii="方正黑体_GBK" w:hAnsi="方正黑体_GBK" w:eastAsia="方正黑体_GBK" w:cs="方正黑体_GBK"/>
          <w:sz w:val="28"/>
          <w:szCs w:val="28"/>
        </w:rPr>
        <w:outlineLvl w:val="0"/>
      </w:pPr>
      <w:r>
        <w:rPr>
          <w:rFonts w:hint="eastAsia" w:ascii="方正黑体_GBK" w:hAnsi="方正黑体_GBK" w:eastAsia="方正黑体_GBK" w:cs="方正黑体_GBK"/>
          <w:sz w:val="28"/>
          <w:szCs w:val="28"/>
        </w:rPr>
        <w:t xml:space="preserve">三、获取招标文件</w:t>
      </w:r>
      <w:bookmarkEnd w:id="26"/>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27" w:name="_Toc28359005"/>
      <w:r/>
      <w:bookmarkStart w:id="28" w:name="_Toc28359082"/>
      <w:r/>
      <w:bookmarkStart w:id="29" w:name="_Toc38985266"/>
      <w:r/>
      <w:bookmarkStart w:id="30" w:name="_Toc240275214"/>
      <w:r/>
      <w:bookmarkStart w:id="31" w:name="_Toc35393793"/>
      <w:r/>
      <w:bookmarkStart w:id="32" w:name="_Toc35393624"/>
      <w:r/>
      <w:bookmarkEnd w:id="21"/>
      <w:r/>
      <w:bookmarkEnd w:id="22"/>
      <w:r/>
      <w:bookmarkEnd w:id="23"/>
      <w:r/>
      <w:bookmarkEnd w:id="24"/>
      <w:r/>
      <w:bookmarkEnd w:id="25"/>
      <w:r>
        <w:rPr>
          <w:rFonts w:hint="eastAsia" w:ascii="方正黑体_GBK" w:hAnsi="方正黑体_GBK" w:eastAsia="方正黑体_GBK" w:cs="方正黑体_GBK"/>
          <w:sz w:val="28"/>
          <w:szCs w:val="28"/>
        </w:rPr>
        <w:t xml:space="preserve">四、提交投标文件</w:t>
      </w:r>
      <w:bookmarkEnd w:id="27"/>
      <w:r/>
      <w:bookmarkEnd w:id="28"/>
      <w:r>
        <w:rPr>
          <w:rFonts w:hint="eastAsia" w:ascii="方正黑体_GBK" w:hAnsi="方正黑体_GBK" w:eastAsia="方正黑体_GBK" w:cs="方正黑体_GBK"/>
          <w:sz w:val="28"/>
          <w:szCs w:val="28"/>
        </w:rPr>
        <w:t xml:space="preserve">截止时间、开标时间和地点</w:t>
      </w:r>
      <w:bookmarkEnd w:id="29"/>
      <w:r/>
      <w:bookmarkEnd w:id="30"/>
      <w:r/>
      <w:bookmarkEnd w:id="31"/>
      <w:r/>
      <w:bookmarkEnd w:id="32"/>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1.2026</w:t>
      </w:r>
      <w:r>
        <w:rPr>
          <w:rFonts w:hint="eastAsia" w:ascii="方正仿宋_GBK" w:hAnsi="方正仿宋_GBK" w:eastAsia="方正仿宋_GBK" w:cs="方正仿宋_GBK"/>
          <w:bCs/>
          <w:sz w:val="28"/>
          <w:szCs w:val="28"/>
        </w:rPr>
        <w:t xml:space="preserve">年11月</w:t>
      </w:r>
      <w:r>
        <w:rPr>
          <w:rFonts w:hint="eastAsia" w:ascii="方正仿宋_GBK" w:hAnsi="方正仿宋_GBK" w:eastAsia="方正仿宋_GBK" w:cs="方正仿宋_GBK"/>
          <w:bCs/>
          <w:sz w:val="28"/>
          <w:szCs w:val="28"/>
          <w:highlight w:val="yellow"/>
        </w:rPr>
        <w:t xml:space="preserve">1</w:t>
      </w:r>
      <w:r>
        <w:rPr>
          <w:rFonts w:hint="eastAsia" w:ascii="方正仿宋_GBK" w:hAnsi="方正仿宋_GBK" w:eastAsia="方正仿宋_GBK" w:cs="方正仿宋_GBK"/>
          <w:bCs/>
          <w:sz w:val="28"/>
          <w:szCs w:val="28"/>
          <w:highlight w:val="yellow"/>
        </w:rPr>
        <w:t xml:space="preserve">3</w:t>
      </w:r>
      <w:r>
        <w:rPr>
          <w:rFonts w:hint="eastAsia" w:ascii="方正仿宋_GBK" w:hAnsi="方正仿宋_GBK" w:eastAsia="方正仿宋_GBK" w:cs="方正仿宋_GBK"/>
          <w:bCs/>
          <w:sz w:val="28"/>
          <w:szCs w:val="28"/>
        </w:rPr>
        <w:t xml:space="preserve">日9时</w:t>
      </w:r>
      <w:r>
        <w:rPr>
          <w:rFonts w:hint="eastAsia" w:ascii="方正仿宋_GBK" w:hAnsi="方正仿宋_GBK" w:eastAsia="方正仿宋_GBK" w:cs="方正仿宋_GBK"/>
          <w:sz w:val="28"/>
          <w:szCs w:val="28"/>
        </w:rPr>
        <w:t xml:space="preserve">30</w:t>
      </w:r>
      <w:r>
        <w:rPr>
          <w:rFonts w:hint="eastAsia" w:ascii="方正仿宋_GBK" w:hAnsi="方正仿宋_GBK" w:eastAsia="方正仿宋_GBK" w:cs="方正仿宋_GBK"/>
          <w:bCs/>
          <w:sz w:val="28"/>
          <w:szCs w:val="28"/>
        </w:rPr>
        <w:t xml:space="preserve">分（北京时间）</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33" w:name="_Toc35393625"/>
      <w:r/>
      <w:bookmarkStart w:id="34" w:name="_Toc28359084"/>
      <w:r/>
      <w:bookmarkStart w:id="35" w:name="_Toc38985267"/>
      <w:r/>
      <w:bookmarkStart w:id="36" w:name="_Toc240275215"/>
      <w:r/>
      <w:bookmarkStart w:id="37" w:name="_Toc28359007"/>
      <w:r/>
      <w:bookmarkStart w:id="38" w:name="_Toc35393794"/>
      <w:r>
        <w:rPr>
          <w:rFonts w:hint="eastAsia" w:ascii="方正黑体_GBK" w:hAnsi="方正黑体_GBK" w:eastAsia="方正黑体_GBK" w:cs="方正黑体_GBK"/>
          <w:sz w:val="28"/>
          <w:szCs w:val="28"/>
        </w:rPr>
        <w:t xml:space="preserve">五、公告期限</w:t>
      </w:r>
      <w:bookmarkEnd w:id="33"/>
      <w:r/>
      <w:bookmarkEnd w:id="34"/>
      <w:r/>
      <w:bookmarkEnd w:id="35"/>
      <w:r/>
      <w:bookmarkEnd w:id="36"/>
      <w:r/>
      <w:bookmarkEnd w:id="37"/>
      <w:r/>
      <w:bookmarkEnd w:id="38"/>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39" w:name="_Toc38985268"/>
      <w:r/>
      <w:bookmarkStart w:id="40" w:name="_Toc35393626"/>
      <w:r/>
      <w:bookmarkStart w:id="41" w:name="_Toc240275216"/>
      <w:r/>
      <w:bookmarkStart w:id="42" w:name="_Toc35393795"/>
      <w:r>
        <w:rPr>
          <w:rFonts w:hint="eastAsia" w:ascii="方正黑体_GBK" w:hAnsi="方正黑体_GBK" w:eastAsia="方正黑体_GBK" w:cs="方正黑体_GBK"/>
          <w:sz w:val="28"/>
          <w:szCs w:val="28"/>
        </w:rPr>
        <w:t xml:space="preserve">六、其他补充事宜</w:t>
      </w:r>
      <w:bookmarkEnd w:id="39"/>
      <w:r/>
      <w:bookmarkEnd w:id="40"/>
      <w:r/>
      <w:bookmarkEnd w:id="41"/>
      <w:r/>
      <w:bookmarkEnd w:id="42"/>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43" w:name="_Toc35393627"/>
      <w:r/>
      <w:bookmarkStart w:id="44" w:name="_Toc240275217"/>
      <w:r/>
      <w:bookmarkStart w:id="45" w:name="_Toc28359085"/>
      <w:r/>
      <w:bookmarkStart w:id="46" w:name="_Toc35393796"/>
      <w:r/>
      <w:bookmarkStart w:id="47" w:name="_Toc38985269"/>
      <w:r/>
      <w:bookmarkStart w:id="48" w:name="_Toc28359008"/>
      <w:r>
        <w:rPr>
          <w:rFonts w:hint="eastAsia" w:ascii="方正黑体_GBK" w:hAnsi="方正黑体_GBK" w:eastAsia="方正黑体_GBK" w:cs="方正黑体_GBK"/>
          <w:sz w:val="28"/>
          <w:szCs w:val="28"/>
        </w:rPr>
        <w:t xml:space="preserve">七、本次招标联系方式</w:t>
      </w:r>
      <w:bookmarkEnd w:id="43"/>
      <w:r/>
      <w:bookmarkEnd w:id="44"/>
      <w:r/>
      <w:bookmarkEnd w:id="45"/>
      <w:r/>
      <w:bookmarkEnd w:id="46"/>
      <w:r/>
      <w:bookmarkEnd w:id="47"/>
      <w:r/>
      <w:bookmarkEnd w:id="48"/>
      <w:r/>
      <w:r/>
    </w:p>
    <w:p>
      <w:pPr>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江苏省特种设备安全监督检验研究院</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t xml:space="preserve">南京市鼓楼区草场门大街107号龙江大厦</w:t>
      </w:r>
      <w:r>
        <w:rPr>
          <w:rFonts w:hint="eastAsia" w:ascii="方正仿宋_GBK" w:hAnsi="方正仿宋_GBK" w:eastAsia="方正仿宋_GBK" w:cs="方正仿宋_GBK"/>
          <w:sz w:val="28"/>
          <w:szCs w:val="28"/>
          <w:u w:val="single"/>
        </w:rPr>
        <w:t xml:space="preserve">　　　　</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t xml:space="preserve">李风华</w:t>
      </w:r>
      <w:r>
        <w:rPr>
          <w:rFonts w:hint="eastAsia" w:ascii="方正仿宋_GBK" w:hAnsi="方正仿宋_GBK" w:eastAsia="方正仿宋_GBK" w:cs="方正仿宋_GBK"/>
          <w:sz w:val="28"/>
          <w:szCs w:val="28"/>
          <w:u w:val="single"/>
        </w:rPr>
        <w:t xml:space="preserve">                   </w:t>
      </w:r>
      <w:r/>
    </w:p>
    <w:p>
      <w:pPr>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ascii="方正仿宋_GBK" w:hAnsi="方正仿宋_GBK" w:eastAsia="方正仿宋_GBK" w:cs="方正仿宋_GBK"/>
          <w:sz w:val="28"/>
          <w:szCs w:val="28"/>
          <w:highlight w:val="yellow"/>
          <w:u w:val="single"/>
        </w:rPr>
        <w:t xml:space="preserve">025-89621099</w:t>
      </w:r>
      <w:r>
        <w:rPr>
          <w:rFonts w:hint="eastAsia" w:ascii="方正仿宋_GBK" w:hAnsi="方正仿宋_GBK" w:eastAsia="方正仿宋_GBK" w:cs="方正仿宋_GBK"/>
          <w:sz w:val="28"/>
          <w:szCs w:val="28"/>
          <w:u w:val="single"/>
        </w:rPr>
        <w:t xml:space="preserve">　　</w:t>
      </w:r>
      <w:bookmarkStart w:id="49" w:name="_Toc28359009"/>
      <w:r/>
      <w:bookmarkStart w:id="50" w:name="_Toc28359086"/>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9"/>
      <w:r/>
      <w:bookmarkEnd w:id="50"/>
      <w:r/>
      <w:r/>
    </w:p>
    <w:p>
      <w:pPr>
        <w:ind w:firstLine="560"/>
        <w:spacing w:line="400" w:lineRule="exact"/>
        <w:rPr>
          <w:rFonts w:hint="eastAsia" w:ascii="方正仿宋_GBK" w:hAnsi="方正仿宋_GBK" w:eastAsia="方正仿宋_GBK" w:cs="方正仿宋_GBK"/>
          <w:sz w:val="28"/>
          <w:szCs w:val="28"/>
        </w:rPr>
      </w:pPr>
      <w:r/>
      <w:bookmarkStart w:id="51" w:name="_Toc28359087"/>
      <w:r/>
      <w:bookmarkStart w:id="52" w:name="_Toc28359010"/>
      <w:r>
        <w:rPr>
          <w:rFonts w:hint="eastAsia" w:ascii="方正仿宋_GBK" w:hAnsi="方正仿宋_GBK" w:eastAsia="方正仿宋_GBK" w:cs="方正仿宋_GBK"/>
          <w:sz w:val="28"/>
          <w:szCs w:val="28"/>
        </w:rPr>
        <w:t xml:space="preserve">地址：南京市建邺区汉中门大街145号三楼</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联系人：付钢、唐文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联系方式：025-83668520、83668519</w:t>
      </w:r>
      <w:r>
        <w:rPr>
          <w:rFonts w:hint="eastAsia" w:ascii="方正仿宋_GBK" w:hAnsi="方正仿宋_GBK" w:eastAsia="方正仿宋_GBK" w:cs="方正仿宋_GBK"/>
          <w:sz w:val="28"/>
          <w:szCs w:val="28"/>
          <w:u w:val="single"/>
        </w:rPr>
        <w:t xml:space="preserve">　　　　　　　　　　　　</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53" w:name="_Toc240275218"/>
      <w:r/>
      <w:bookmarkEnd w:id="51"/>
      <w:r/>
      <w:bookmarkEnd w:id="52"/>
      <w:r>
        <w:rPr>
          <w:rFonts w:hint="eastAsia" w:ascii="方正黑体_GBK" w:hAnsi="方正黑体_GBK" w:eastAsia="方正黑体_GBK" w:cs="方正黑体_GBK"/>
          <w:sz w:val="28"/>
          <w:szCs w:val="28"/>
        </w:rPr>
        <w:t xml:space="preserve">八、其他</w:t>
      </w:r>
      <w:bookmarkEnd w:id="53"/>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eastAsia="方正仿宋_GBK"/>
          <w:sz w:val="28"/>
          <w:szCs w:val="28"/>
        </w:rPr>
        <w:t xml:space="preserve">。</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br w:type="page" w:clear="all"/>
      </w:r>
      <w:r/>
    </w:p>
    <w:p>
      <w:pPr>
        <w:ind w:right="840"/>
        <w:rPr>
          <w:rFonts w:hint="eastAsia" w:ascii="宋体" w:hAnsi="宋体"/>
          <w:sz w:val="24"/>
          <w:szCs w:val="24"/>
        </w:rPr>
      </w:pPr>
      <w:r>
        <w:rPr>
          <w:rFonts w:hint="eastAsia" w:ascii="宋体" w:hAnsi="宋体"/>
          <w:sz w:val="24"/>
          <w:szCs w:val="24"/>
        </w:rPr>
      </w:r>
      <w:r/>
    </w:p>
    <w:p>
      <w:pPr>
        <w:jc w:val="center"/>
        <w:keepNext/>
        <w:spacing w:line="400" w:lineRule="exact"/>
        <w:rPr>
          <w:rFonts w:hint="eastAsia" w:ascii="方正黑体_GBK" w:hAnsi="方正黑体_GBK" w:eastAsia="方正黑体_GBK" w:cs="方正黑体_GBK"/>
          <w:sz w:val="28"/>
          <w:szCs w:val="28"/>
        </w:rPr>
        <w:outlineLvl w:val="0"/>
      </w:pPr>
      <w:r/>
      <w:bookmarkStart w:id="54" w:name="_Toc120614211"/>
      <w:r/>
      <w:bookmarkStart w:id="55" w:name="_Toc240275219"/>
      <w:r>
        <w:rPr>
          <w:rFonts w:hint="eastAsia" w:ascii="方正黑体_GBK" w:hAnsi="方正黑体_GBK" w:eastAsia="方正黑体_GBK" w:cs="方正黑体_GBK"/>
          <w:sz w:val="28"/>
          <w:szCs w:val="28"/>
        </w:rPr>
        <w:t xml:space="preserve">第二章  </w:t>
      </w:r>
      <w:bookmarkStart w:id="56" w:name="_Toc20823274"/>
      <w:r/>
      <w:bookmarkStart w:id="57" w:name="_Toc120614213"/>
      <w:r/>
      <w:bookmarkStart w:id="58" w:name="_Toc16938518"/>
      <w:r/>
      <w:bookmarkStart w:id="59" w:name="_Toc513029202"/>
      <w:r/>
      <w:bookmarkEnd w:id="2"/>
      <w:r/>
      <w:bookmarkEnd w:id="3"/>
      <w:r/>
      <w:bookmarkEnd w:id="4"/>
      <w:r/>
      <w:bookmarkEnd w:id="5"/>
      <w:r/>
      <w:bookmarkEnd w:id="6"/>
      <w:r/>
      <w:bookmarkEnd w:id="54"/>
      <w:r>
        <w:rPr>
          <w:rFonts w:hint="eastAsia" w:ascii="方正黑体_GBK" w:hAnsi="方正黑体_GBK" w:eastAsia="方正黑体_GBK" w:cs="方正黑体_GBK"/>
          <w:sz w:val="28"/>
          <w:szCs w:val="28"/>
        </w:rPr>
        <w:t xml:space="preserve">投标人须知</w:t>
      </w:r>
      <w:bookmarkEnd w:id="55"/>
      <w:r/>
      <w:bookmarkEnd w:id="56"/>
      <w:r/>
      <w:bookmarkEnd w:id="57"/>
      <w:r/>
      <w:bookmarkEnd w:id="58"/>
      <w:r/>
      <w:bookmarkEnd w:id="59"/>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60" w:name="_Toc240275220"/>
      <w:r/>
      <w:bookmarkStart w:id="61" w:name="_Toc513029203"/>
      <w:r/>
      <w:bookmarkStart w:id="62" w:name="_Toc20823275"/>
      <w:r/>
      <w:bookmarkStart w:id="63" w:name="_Toc120614214"/>
      <w:r/>
      <w:bookmarkStart w:id="64" w:name="_Toc16938519"/>
      <w:r>
        <w:rPr>
          <w:rFonts w:hint="eastAsia" w:ascii="方正黑体_GBK" w:hAnsi="方正黑体_GBK" w:eastAsia="方正黑体_GBK" w:cs="方正黑体_GBK"/>
          <w:sz w:val="28"/>
          <w:szCs w:val="28"/>
        </w:rPr>
        <w:t xml:space="preserve">一、总则</w:t>
      </w:r>
      <w:bookmarkEnd w:id="60"/>
      <w:r/>
      <w:bookmarkEnd w:id="61"/>
      <w:r/>
      <w:bookmarkEnd w:id="62"/>
      <w:r/>
      <w:bookmarkEnd w:id="63"/>
      <w:r/>
      <w:bookmarkEnd w:id="64"/>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65" w:name="_Hlt16619475"/>
      <w:r/>
      <w:bookmarkStart w:id="66" w:name="_Toc458694821"/>
      <w:r/>
      <w:bookmarkStart w:id="67" w:name="_Toc20823276"/>
      <w:r/>
      <w:bookmarkStart w:id="68" w:name="_Toc513029204"/>
      <w:r/>
      <w:bookmarkStart w:id="69" w:name="_Toc16938520"/>
      <w:r/>
      <w:bookmarkEnd w:id="65"/>
      <w:r>
        <w:rPr>
          <w:rFonts w:hint="eastAsia" w:ascii="方正仿宋_GBK" w:hAnsi="方正仿宋_GBK" w:eastAsia="方正仿宋_GBK" w:cs="方正仿宋_GBK"/>
          <w:bCs/>
          <w:sz w:val="28"/>
          <w:szCs w:val="28"/>
        </w:rPr>
        <w:t xml:space="preserve">1</w:t>
      </w:r>
      <w:bookmarkEnd w:id="66"/>
      <w:r>
        <w:rPr>
          <w:rFonts w:hint="eastAsia" w:ascii="方正仿宋_GBK" w:hAnsi="方正仿宋_GBK" w:eastAsia="方正仿宋_GBK" w:cs="方正仿宋_GBK"/>
          <w:bCs/>
          <w:sz w:val="28"/>
          <w:szCs w:val="28"/>
        </w:rPr>
        <w:t xml:space="preserve">.招标方式</w:t>
      </w:r>
      <w:bookmarkEnd w:id="67"/>
      <w:r/>
      <w:bookmarkEnd w:id="68"/>
      <w:r/>
      <w:bookmarkEnd w:id="6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0" w:name="_Toc20823277"/>
      <w:r/>
      <w:bookmarkStart w:id="71" w:name="_Toc16938521"/>
      <w:r/>
      <w:bookmarkStart w:id="72" w:name="_Toc513029205"/>
      <w:r>
        <w:rPr>
          <w:rFonts w:hint="eastAsia" w:ascii="方正仿宋_GBK" w:hAnsi="方正仿宋_GBK" w:eastAsia="方正仿宋_GBK" w:cs="方正仿宋_GBK"/>
          <w:bCs/>
          <w:sz w:val="28"/>
          <w:szCs w:val="28"/>
        </w:rPr>
        <w:t xml:space="preserve">2.合格的投标人</w:t>
      </w:r>
      <w:bookmarkEnd w:id="70"/>
      <w:r/>
      <w:bookmarkEnd w:id="71"/>
      <w:r/>
      <w:bookmarkEnd w:id="72"/>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3" w:name="_Toc20823278"/>
      <w:r/>
      <w:bookmarkStart w:id="74" w:name="_Toc16938522"/>
      <w:r/>
      <w:bookmarkStart w:id="75" w:name="_Toc513029206"/>
      <w:r>
        <w:rPr>
          <w:rFonts w:hint="eastAsia" w:ascii="方正仿宋_GBK" w:hAnsi="方正仿宋_GBK" w:eastAsia="方正仿宋_GBK" w:cs="方正仿宋_GBK"/>
          <w:bCs/>
          <w:sz w:val="28"/>
          <w:szCs w:val="28"/>
        </w:rPr>
        <w:t xml:space="preserve">3.适用法律</w:t>
      </w:r>
      <w:bookmarkEnd w:id="73"/>
      <w:r/>
      <w:bookmarkEnd w:id="74"/>
      <w:r/>
      <w:bookmarkEnd w:id="75"/>
      <w:r>
        <w:rPr>
          <w:rFonts w:hint="eastAsia" w:ascii="方正仿宋_GBK" w:hAnsi="方正仿宋_GBK" w:eastAsia="方正仿宋_GBK" w:cs="方正仿宋_GBK"/>
          <w:bCs/>
          <w:sz w:val="28"/>
          <w:szCs w:val="28"/>
        </w:rPr>
        <w:t xml:space="preserve">和标准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76" w:name="_Toc20823279"/>
      <w:r/>
      <w:bookmarkStart w:id="77" w:name="_Toc462564067"/>
      <w:r/>
      <w:bookmarkStart w:id="78" w:name="_Toc513029207"/>
      <w:r/>
      <w:bookmarkStart w:id="79" w:name="_Toc16938523"/>
      <w:r>
        <w:rPr>
          <w:rFonts w:hint="eastAsia" w:ascii="方正仿宋_GBK" w:hAnsi="方正仿宋_GBK" w:eastAsia="方正仿宋_GBK" w:cs="方正仿宋_GBK"/>
          <w:bCs/>
          <w:sz w:val="28"/>
          <w:szCs w:val="28"/>
        </w:rPr>
        <w:t xml:space="preserve">4.投标费用</w:t>
      </w:r>
      <w:bookmarkEnd w:id="76"/>
      <w:r/>
      <w:bookmarkEnd w:id="77"/>
      <w:r/>
      <w:bookmarkEnd w:id="78"/>
      <w:r/>
      <w:bookmarkEnd w:id="79"/>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80" w:name="_Toc120614215"/>
      <w:r/>
      <w:bookmarkStart w:id="81" w:name="_Toc240275221"/>
      <w:r/>
      <w:bookmarkStart w:id="82" w:name="_Toc16938525"/>
      <w:r/>
      <w:bookmarkStart w:id="83" w:name="_Toc20823281"/>
      <w:r/>
      <w:bookmarkStart w:id="84" w:name="_Toc513029209"/>
      <w:r>
        <w:rPr>
          <w:rFonts w:hint="eastAsia" w:ascii="方正黑体_GBK" w:hAnsi="方正黑体_GBK" w:eastAsia="方正黑体_GBK" w:cs="方正黑体_GBK"/>
          <w:sz w:val="28"/>
          <w:szCs w:val="28"/>
        </w:rPr>
        <w:t xml:space="preserve">二、招标文件</w:t>
      </w:r>
      <w:bookmarkEnd w:id="80"/>
      <w:r/>
      <w:bookmarkEnd w:id="81"/>
      <w:r/>
      <w:bookmarkEnd w:id="82"/>
      <w:r/>
      <w:bookmarkEnd w:id="83"/>
      <w:r/>
      <w:bookmarkEnd w:id="84"/>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85" w:name="_Toc513029210"/>
      <w:r/>
      <w:bookmarkStart w:id="86" w:name="_Toc16938526"/>
      <w:r/>
      <w:bookmarkStart w:id="87" w:name="_Toc20823282"/>
      <w:r>
        <w:rPr>
          <w:rFonts w:hint="eastAsia" w:ascii="方正仿宋_GBK" w:hAnsi="方正仿宋_GBK" w:eastAsia="方正仿宋_GBK" w:cs="方正仿宋_GBK"/>
          <w:bCs/>
          <w:sz w:val="28"/>
          <w:szCs w:val="28"/>
        </w:rPr>
        <w:t xml:space="preserve">6.招标文件构成</w:t>
      </w:r>
      <w:bookmarkEnd w:id="85"/>
      <w:r/>
      <w:bookmarkEnd w:id="86"/>
      <w:r/>
      <w:bookmarkEnd w:id="8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w:t>
      </w:r>
      <w:r>
        <w:rPr>
          <w:rFonts w:hint="eastAsia" w:ascii="方正仿宋_GBK" w:hAnsi="方正仿宋_GBK" w:eastAsia="方正仿宋_GBK" w:cs="方正仿宋_GBK"/>
          <w:bCs/>
          <w:sz w:val="28"/>
          <w:szCs w:val="28"/>
        </w:rPr>
        <w:t xml:space="preserve">的全部资料的真实性，以使其投标文件对招标文件作出实质性响应，否则其风险由投标人自行承担。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88" w:name="_Toc513029212"/>
      <w:r/>
      <w:bookmarkStart w:id="89" w:name="_Toc462564071"/>
      <w:r/>
      <w:bookmarkStart w:id="90" w:name="_Toc20823284"/>
      <w:r/>
      <w:bookmarkStart w:id="91" w:name="_Toc16938528"/>
      <w:r>
        <w:rPr>
          <w:rFonts w:hint="eastAsia" w:ascii="方正仿宋_GBK" w:hAnsi="方正仿宋_GBK" w:eastAsia="方正仿宋_GBK" w:cs="方正仿宋_GBK"/>
          <w:bCs/>
          <w:sz w:val="28"/>
          <w:szCs w:val="28"/>
        </w:rPr>
        <w:t xml:space="preserve">7.招标文件的修改</w:t>
      </w:r>
      <w:bookmarkEnd w:id="88"/>
      <w:r/>
      <w:bookmarkEnd w:id="89"/>
      <w:r/>
      <w:bookmarkEnd w:id="90"/>
      <w:r/>
      <w:bookmarkEnd w:id="91"/>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92" w:name="_Toc462564072"/>
      <w:r/>
      <w:bookmarkStart w:id="93" w:name="_Toc16938529"/>
      <w:r/>
      <w:bookmarkStart w:id="94" w:name="_Toc20823285"/>
      <w:r/>
      <w:bookmarkStart w:id="95" w:name="_Toc240275222"/>
      <w:r/>
      <w:bookmarkStart w:id="96" w:name="_Toc120614216"/>
      <w:r/>
      <w:bookmarkStart w:id="97" w:name="_Toc513029213"/>
      <w:r>
        <w:rPr>
          <w:rFonts w:hint="eastAsia" w:ascii="方正黑体_GBK" w:hAnsi="方正黑体_GBK" w:eastAsia="方正黑体_GBK" w:cs="方正黑体_GBK"/>
          <w:sz w:val="28"/>
          <w:szCs w:val="28"/>
        </w:rPr>
        <w:t xml:space="preserve">三、投标文件的编制</w:t>
      </w:r>
      <w:bookmarkEnd w:id="92"/>
      <w:r/>
      <w:bookmarkEnd w:id="93"/>
      <w:r/>
      <w:bookmarkEnd w:id="94"/>
      <w:r/>
      <w:bookmarkEnd w:id="95"/>
      <w:r/>
      <w:bookmarkEnd w:id="96"/>
      <w:r/>
      <w:bookmarkEnd w:id="97"/>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98" w:name="_Toc16938530"/>
      <w:r/>
      <w:bookmarkStart w:id="99" w:name="_Toc513029214"/>
      <w:r/>
      <w:bookmarkStart w:id="100" w:name="_Toc462564073"/>
      <w:r/>
      <w:bookmarkStart w:id="101" w:name="_Toc20823286"/>
      <w:r>
        <w:rPr>
          <w:rFonts w:hint="eastAsia" w:ascii="方正仿宋_GBK" w:hAnsi="方正仿宋_GBK" w:eastAsia="方正仿宋_GBK" w:cs="方正仿宋_GBK"/>
          <w:bCs/>
          <w:sz w:val="28"/>
          <w:szCs w:val="28"/>
        </w:rPr>
        <w:t xml:space="preserve">8.投标文件的语言及度量衡单位</w:t>
      </w:r>
      <w:bookmarkEnd w:id="98"/>
      <w:r/>
      <w:bookmarkEnd w:id="99"/>
      <w:r/>
      <w:bookmarkEnd w:id="100"/>
      <w:r/>
      <w:bookmarkEnd w:id="101"/>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2" w:name="_Toc16938531"/>
      <w:r/>
      <w:bookmarkStart w:id="103" w:name="_Toc462564074"/>
      <w:r/>
      <w:bookmarkStart w:id="104" w:name="_Toc513029215"/>
      <w:r/>
      <w:bookmarkStart w:id="105" w:name="_Toc20823287"/>
      <w:r>
        <w:rPr>
          <w:rFonts w:hint="eastAsia" w:ascii="方正仿宋_GBK" w:hAnsi="方正仿宋_GBK" w:eastAsia="方正仿宋_GBK" w:cs="方正仿宋_GBK"/>
          <w:bCs/>
          <w:sz w:val="28"/>
          <w:szCs w:val="28"/>
        </w:rPr>
        <w:t xml:space="preserve">9.投标文件构成</w:t>
      </w:r>
      <w:bookmarkEnd w:id="102"/>
      <w:r/>
      <w:bookmarkEnd w:id="103"/>
      <w:r/>
      <w:bookmarkEnd w:id="104"/>
      <w:r/>
      <w:bookmarkEnd w:id="10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06" w:name="_Hlt26668975"/>
      <w:r/>
      <w:bookmarkStart w:id="107" w:name="_Hlt26670360"/>
      <w:r/>
      <w:bookmarkStart w:id="108" w:name="_Hlt26954838"/>
      <w:r/>
      <w:bookmarkStart w:id="109" w:name="_Toc513029216"/>
      <w:r/>
      <w:bookmarkStart w:id="110" w:name="_Toc49090509"/>
      <w:r/>
      <w:bookmarkStart w:id="111" w:name="_Toc49090507"/>
      <w:r/>
      <w:bookmarkStart w:id="112" w:name="_Toc14577354"/>
      <w:r/>
      <w:bookmarkStart w:id="113" w:name="_Toc14577357"/>
      <w:r/>
      <w:bookmarkStart w:id="114" w:name="_Toc513029219"/>
      <w:r/>
      <w:bookmarkStart w:id="115" w:name="_Toc14577355"/>
      <w:r/>
      <w:bookmarkStart w:id="116" w:name="_Toc49090508"/>
      <w:r/>
      <w:bookmarkEnd w:id="106"/>
      <w:r/>
      <w:bookmarkEnd w:id="107"/>
      <w:r/>
      <w:bookmarkEnd w:id="108"/>
      <w:r>
        <w:rPr>
          <w:rFonts w:hint="eastAsia" w:ascii="方正仿宋_GBK" w:hAnsi="方正仿宋_GBK" w:eastAsia="方正仿宋_GBK" w:cs="方正仿宋_GBK"/>
          <w:bCs/>
          <w:sz w:val="28"/>
          <w:szCs w:val="28"/>
        </w:rPr>
        <w:t xml:space="preserve">10.证明投标人及投标标的符合招标文件规定的文件</w:t>
      </w:r>
      <w:bookmarkEnd w:id="109"/>
      <w:r/>
      <w:bookmarkEnd w:id="110"/>
      <w:r/>
      <w:bookmarkEnd w:id="111"/>
      <w:r/>
      <w:bookmarkEnd w:id="112"/>
      <w:r/>
      <w:bookmarkEnd w:id="113"/>
      <w:r/>
      <w:bookmarkEnd w:id="114"/>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bookmarkEnd w:id="115"/>
      <w:r/>
      <w:bookmarkEnd w:id="116"/>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11.投标分项报价表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117" w:name="_Hlt26954840"/>
      <w:r/>
      <w:bookmarkEnd w:id="117"/>
      <w:r>
        <w:rPr>
          <w:rFonts w:hint="eastAsia" w:ascii="方正仿宋_GBK" w:hAnsi="方正仿宋_GBK" w:eastAsia="方正仿宋_GBK" w:cs="方正仿宋_GBK"/>
          <w:bCs/>
          <w:sz w:val="28"/>
          <w:szCs w:val="28"/>
        </w:rPr>
        <w:t xml:space="preserve">标人按照招标文件规定格式填报投标分项报价表</w:t>
      </w:r>
      <w:bookmarkStart w:id="118" w:name="_Hlt26670399"/>
      <w:r/>
      <w:bookmarkEnd w:id="118"/>
      <w:r>
        <w:rPr>
          <w:rFonts w:hint="eastAsia" w:ascii="方正仿宋_GBK" w:hAnsi="方正仿宋_GBK" w:eastAsia="方正仿宋_GBK" w:cs="方正仿宋_GBK"/>
          <w:bCs/>
          <w:sz w:val="28"/>
          <w:szCs w:val="28"/>
        </w:rPr>
        <w:t xml:space="preserve">。</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19" w:name="_Hlt26670486"/>
      <w:r/>
      <w:bookmarkStart w:id="120" w:name="_Hlt26954731"/>
      <w:r/>
      <w:bookmarkStart w:id="121" w:name="_Hlt26954848"/>
      <w:r/>
      <w:bookmarkStart w:id="122" w:name="_Hlt26670482"/>
      <w:r/>
      <w:bookmarkStart w:id="123" w:name="_Hlt26954846"/>
      <w:r/>
      <w:bookmarkEnd w:id="119"/>
      <w:r/>
      <w:bookmarkEnd w:id="120"/>
      <w:r/>
      <w:bookmarkEnd w:id="121"/>
      <w:r/>
      <w:bookmarkEnd w:id="122"/>
      <w:r/>
      <w:bookmarkEnd w:id="123"/>
      <w:r>
        <w:rPr>
          <w:rFonts w:hint="eastAsia" w:ascii="方正仿宋_GBK" w:hAnsi="方正仿宋_GBK" w:eastAsia="方正仿宋_GBK" w:cs="方正仿宋_GBK"/>
          <w:bCs/>
          <w:sz w:val="28"/>
          <w:szCs w:val="28"/>
        </w:rPr>
        <w:t xml:space="preserve">12.技术要求响应及偏离表、商务要求响应及偏离表</w:t>
      </w:r>
      <w:r/>
    </w:p>
    <w:p>
      <w:pPr>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p>
    <w:p>
      <w:pPr>
        <w:ind w:firstLine="560"/>
        <w:spacing w:line="400" w:lineRule="exact"/>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w:t>
      </w:r>
      <w:r>
        <w:rPr>
          <w:rFonts w:hint="eastAsia" w:ascii="方正仿宋_GBK" w:hAnsi="方正仿宋_GBK" w:eastAsia="方正仿宋_GBK" w:cs="方正仿宋_GBK"/>
          <w:bCs/>
          <w:sz w:val="28"/>
          <w:szCs w:val="28"/>
          <w:lang w:val="zh-CN"/>
        </w:rPr>
        <w:t xml:space="preserve">的的</w:t>
      </w:r>
      <w:r>
        <w:rPr>
          <w:rFonts w:hint="eastAsia" w:ascii="方正仿宋_GBK" w:hAnsi="方正仿宋_GBK" w:eastAsia="方正仿宋_GBK" w:cs="方正仿宋_GBK"/>
          <w:bCs/>
          <w:sz w:val="28"/>
          <w:szCs w:val="28"/>
          <w:lang w:val="zh-CN"/>
        </w:rPr>
        <w:t xml:space="preserve">主要组成部分、功能设计、实现思路及关键技术等。</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4" w:name="_Toc14577359"/>
      <w:r/>
      <w:bookmarkStart w:id="125" w:name="_Toc49090510"/>
      <w:r>
        <w:rPr>
          <w:rFonts w:hint="eastAsia" w:ascii="方正仿宋_GBK" w:hAnsi="方正仿宋_GBK" w:eastAsia="方正仿宋_GBK" w:cs="方正仿宋_GBK"/>
          <w:bCs/>
          <w:sz w:val="28"/>
          <w:szCs w:val="28"/>
        </w:rPr>
        <w:t xml:space="preserve">14.投标函和开标一览表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26" w:name="_Toc49090511"/>
      <w:r/>
      <w:bookmarkStart w:id="127" w:name="_Toc14577360"/>
      <w:r/>
      <w:bookmarkEnd w:id="124"/>
      <w:r/>
      <w:bookmarkEnd w:id="125"/>
      <w:r>
        <w:rPr>
          <w:rFonts w:hint="eastAsia" w:ascii="方正仿宋_GBK" w:hAnsi="方正仿宋_GBK" w:eastAsia="方正仿宋_GBK" w:cs="方正仿宋_GBK"/>
          <w:bCs/>
          <w:sz w:val="28"/>
          <w:szCs w:val="28"/>
        </w:rPr>
        <w:t xml:space="preserve">15.投标有效期</w:t>
      </w:r>
      <w:bookmarkEnd w:id="126"/>
      <w:r/>
      <w:bookmarkEnd w:id="12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16.投标有效期的延长</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28" w:name="_Hlt26954852"/>
      <w:r/>
      <w:bookmarkStart w:id="129" w:name="_Hlt26954739"/>
      <w:r/>
      <w:bookmarkStart w:id="130" w:name="_Toc16938540"/>
      <w:r/>
      <w:bookmarkStart w:id="131" w:name="_Toc120614217"/>
      <w:r/>
      <w:bookmarkStart w:id="132" w:name="_Toc240275223"/>
      <w:r/>
      <w:bookmarkStart w:id="133" w:name="_Toc20823296"/>
      <w:r/>
      <w:bookmarkStart w:id="134" w:name="_Toc513029224"/>
      <w:r/>
      <w:bookmarkEnd w:id="128"/>
      <w:r/>
      <w:bookmarkEnd w:id="129"/>
      <w:r>
        <w:rPr>
          <w:rFonts w:hint="eastAsia" w:ascii="方正黑体_GBK" w:hAnsi="方正黑体_GBK" w:eastAsia="方正黑体_GBK" w:cs="方正黑体_GBK"/>
          <w:sz w:val="28"/>
          <w:szCs w:val="28"/>
        </w:rPr>
        <w:t xml:space="preserve">四、投标文件的递交</w:t>
      </w:r>
      <w:bookmarkEnd w:id="130"/>
      <w:r/>
      <w:bookmarkEnd w:id="131"/>
      <w:r/>
      <w:bookmarkEnd w:id="132"/>
      <w:r/>
      <w:bookmarkEnd w:id="133"/>
      <w:r/>
      <w:bookmarkEnd w:id="134"/>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35" w:name="_Toc16938541"/>
      <w:r/>
      <w:bookmarkStart w:id="136" w:name="_Toc20823297"/>
      <w:r/>
      <w:bookmarkStart w:id="137" w:name="_Toc462564084"/>
      <w:r/>
      <w:bookmarkStart w:id="138" w:name="_Toc513029225"/>
      <w:r>
        <w:rPr>
          <w:rFonts w:hint="eastAsia" w:ascii="方正仿宋_GBK" w:hAnsi="方正仿宋_GBK" w:eastAsia="方正仿宋_GBK" w:cs="方正仿宋_GBK"/>
          <w:bCs/>
          <w:sz w:val="28"/>
          <w:szCs w:val="28"/>
        </w:rPr>
        <w:t xml:space="preserve">17.电子投标文件</w:t>
      </w:r>
      <w:bookmarkEnd w:id="135"/>
      <w:r/>
      <w:bookmarkEnd w:id="136"/>
      <w:r/>
      <w:bookmarkEnd w:id="137"/>
      <w:r/>
      <w:bookmarkEnd w:id="138"/>
      <w:r>
        <w:rPr>
          <w:rFonts w:hint="eastAsia" w:ascii="方正仿宋_GBK" w:hAnsi="方正仿宋_GBK" w:eastAsia="方正仿宋_GBK" w:cs="方正仿宋_GBK"/>
          <w:bCs/>
          <w:sz w:val="28"/>
          <w:szCs w:val="28"/>
        </w:rPr>
        <w:t xml:space="preserve">的递交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39" w:name="_Toc20823298"/>
      <w:r/>
      <w:bookmarkStart w:id="140" w:name="_Toc16938542"/>
      <w:r/>
      <w:bookmarkStart w:id="141" w:name="_Toc513029226"/>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18.投标截止日期</w:t>
      </w:r>
      <w:bookmarkEnd w:id="139"/>
      <w:r/>
      <w:bookmarkEnd w:id="140"/>
      <w:r/>
      <w:bookmarkEnd w:id="141"/>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w:t>
      </w:r>
      <w:r>
        <w:rPr>
          <w:rFonts w:hint="eastAsia" w:ascii="方正仿宋_GBK" w:hAnsi="方正仿宋_GBK" w:eastAsia="方正仿宋_GBK" w:cs="方正仿宋_GBK"/>
          <w:bCs/>
          <w:sz w:val="28"/>
          <w:szCs w:val="28"/>
        </w:rPr>
        <w:t xml:space="preserve">的截止日期均应以延长后新的截止日期为准。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2" w:name="_Toc16938543"/>
      <w:r/>
      <w:bookmarkStart w:id="143" w:name="_Toc20823299"/>
      <w:r/>
      <w:bookmarkStart w:id="144" w:name="_Toc513029227"/>
      <w:r>
        <w:rPr>
          <w:rFonts w:hint="eastAsia" w:ascii="方正仿宋_GBK" w:hAnsi="方正仿宋_GBK" w:eastAsia="方正仿宋_GBK" w:cs="方正仿宋_GBK"/>
          <w:bCs/>
          <w:sz w:val="28"/>
          <w:szCs w:val="28"/>
        </w:rPr>
        <w:t xml:space="preserve">19.投标文件</w:t>
      </w:r>
      <w:bookmarkEnd w:id="142"/>
      <w:r/>
      <w:bookmarkEnd w:id="143"/>
      <w:r/>
      <w:bookmarkEnd w:id="144"/>
      <w:r>
        <w:rPr>
          <w:rFonts w:hint="eastAsia" w:ascii="方正仿宋_GBK" w:hAnsi="方正仿宋_GBK" w:eastAsia="方正仿宋_GBK" w:cs="方正仿宋_GBK"/>
          <w:bCs/>
          <w:sz w:val="28"/>
          <w:szCs w:val="28"/>
        </w:rPr>
        <w:t xml:space="preserve">的拒收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45" w:name="_Toc20823300"/>
      <w:r/>
      <w:bookmarkStart w:id="146" w:name="_Toc513029228"/>
      <w:r/>
      <w:bookmarkStart w:id="147" w:name="_Toc16938544"/>
      <w:r>
        <w:rPr>
          <w:rFonts w:hint="eastAsia" w:ascii="方正仿宋_GBK" w:hAnsi="方正仿宋_GBK" w:eastAsia="方正仿宋_GBK" w:cs="方正仿宋_GBK"/>
          <w:bCs/>
          <w:sz w:val="28"/>
          <w:szCs w:val="28"/>
        </w:rPr>
        <w:t xml:space="preserve">20.投标文件的撤回和修改</w:t>
      </w:r>
      <w:bookmarkEnd w:id="145"/>
      <w:r/>
      <w:bookmarkEnd w:id="146"/>
      <w:r/>
      <w:bookmarkEnd w:id="147"/>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48" w:name="_Toc20823301"/>
      <w:r/>
      <w:bookmarkStart w:id="149" w:name="_Toc120614218"/>
      <w:r/>
      <w:bookmarkStart w:id="150" w:name="_Toc16938545"/>
      <w:r/>
      <w:bookmarkStart w:id="151" w:name="_Toc513029229"/>
      <w:r/>
      <w:bookmarkStart w:id="152" w:name="_Toc240275224"/>
      <w:r>
        <w:rPr>
          <w:rFonts w:hint="eastAsia" w:ascii="方正黑体_GBK" w:hAnsi="方正黑体_GBK" w:eastAsia="方正黑体_GBK" w:cs="方正黑体_GBK"/>
          <w:sz w:val="28"/>
          <w:szCs w:val="28"/>
        </w:rPr>
        <w:t xml:space="preserve">五、开标与评标</w:t>
      </w:r>
      <w:bookmarkEnd w:id="148"/>
      <w:r/>
      <w:bookmarkEnd w:id="149"/>
      <w:r/>
      <w:bookmarkEnd w:id="150"/>
      <w:r/>
      <w:bookmarkEnd w:id="151"/>
      <w:r/>
      <w:bookmarkEnd w:id="152"/>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3" w:name="_Toc513029230"/>
      <w:r/>
      <w:bookmarkStart w:id="154" w:name="_Toc20823302"/>
      <w:r/>
      <w:bookmarkStart w:id="155" w:name="_Toc16938546"/>
      <w:r>
        <w:rPr>
          <w:rFonts w:hint="eastAsia" w:ascii="方正仿宋_GBK" w:hAnsi="方正仿宋_GBK" w:eastAsia="方正仿宋_GBK" w:cs="方正仿宋_GBK"/>
          <w:bCs/>
          <w:sz w:val="28"/>
          <w:szCs w:val="28"/>
        </w:rPr>
        <w:t xml:space="preserve">21.开标</w:t>
      </w:r>
      <w:bookmarkEnd w:id="153"/>
      <w:r/>
      <w:bookmarkEnd w:id="154"/>
      <w:r/>
      <w:bookmarkEnd w:id="155"/>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6" w:name="_Toc20823303"/>
      <w:r/>
      <w:bookmarkStart w:id="157" w:name="_Toc513029231"/>
      <w:r/>
      <w:bookmarkStart w:id="158" w:name="_Toc16938547"/>
      <w:r>
        <w:rPr>
          <w:rFonts w:hint="eastAsia" w:ascii="方正仿宋_GBK" w:hAnsi="方正仿宋_GBK" w:eastAsia="方正仿宋_GBK" w:cs="方正仿宋_GBK"/>
          <w:bCs/>
          <w:sz w:val="28"/>
          <w:szCs w:val="28"/>
        </w:rPr>
        <w:t xml:space="preserve">22.评标委员会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评标委员会由采购人代表和有关技术、经济等方面的专家组成，且人员构成符合政府采购有关规定。</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22.3评标委员会独立工作，负责评审所有投标文件并确定中标侯选人。</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23.评标过程的保密与公正</w:t>
      </w:r>
      <w:bookmarkEnd w:id="156"/>
      <w:r/>
      <w:bookmarkEnd w:id="157"/>
      <w:r/>
      <w:bookmarkEnd w:id="158"/>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59" w:name="_Toc16938548"/>
      <w:r/>
      <w:bookmarkStart w:id="160" w:name="_Toc513029232"/>
      <w:r/>
      <w:bookmarkStart w:id="161" w:name="_Toc20823304"/>
      <w:r>
        <w:rPr>
          <w:rFonts w:hint="eastAsia" w:ascii="方正仿宋_GBK" w:hAnsi="方正仿宋_GBK" w:eastAsia="方正仿宋_GBK" w:cs="方正仿宋_GBK"/>
          <w:bCs/>
          <w:sz w:val="28"/>
          <w:szCs w:val="28"/>
        </w:rPr>
        <w:t xml:space="preserve">24.投标文件的澄清</w:t>
      </w:r>
      <w:bookmarkEnd w:id="159"/>
      <w:r/>
      <w:bookmarkEnd w:id="160"/>
      <w:r/>
      <w:bookmarkEnd w:id="161"/>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2" w:name="_Toc513029233"/>
      <w:r/>
      <w:bookmarkStart w:id="163" w:name="_Toc16938549"/>
      <w:r/>
      <w:bookmarkStart w:id="164" w:name="_Toc20823305"/>
      <w:r>
        <w:rPr>
          <w:rFonts w:hint="eastAsia" w:ascii="方正仿宋_GBK" w:hAnsi="方正仿宋_GBK" w:eastAsia="方正仿宋_GBK" w:cs="方正仿宋_GBK"/>
          <w:bCs/>
          <w:sz w:val="28"/>
          <w:szCs w:val="28"/>
        </w:rPr>
        <w:t xml:space="preserve">24.1评标期间，评标委员会对投标文件中含义不明确、同类问题表述不一致或者有明显文字和计算错误的内容 ，有权要求投标人作出必要的澄清、说明或者补正。</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接到评标委员会澄清、说明和补正要求的投标人如未按规定做出澄清、说明和补正，其风险由投标人自行承担。</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25.对投标文件的初审</w:t>
      </w:r>
      <w:bookmarkEnd w:id="162"/>
      <w:r/>
      <w:bookmarkEnd w:id="163"/>
      <w:r/>
      <w:bookmarkEnd w:id="164"/>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资格审查：依据法律法规和招标文件的规定，由采购人对投标文件中的资格证明文件进行审查。资格审查的结论，采购人以书面形式向评标委员会进行反馈。</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w:t>
      </w:r>
      <w:r>
        <w:rPr>
          <w:rFonts w:hint="eastAsia" w:ascii="方正仿宋_GBK" w:hAnsi="方正仿宋_GBK" w:eastAsia="方正仿宋_GBK" w:cs="方正仿宋_GBK"/>
          <w:bCs/>
          <w:sz w:val="28"/>
          <w:szCs w:val="28"/>
        </w:rPr>
        <w:t xml:space="preserve">资格,</w:t>
      </w:r>
      <w:r>
        <w:rPr>
          <w:rFonts w:hint="eastAsia" w:ascii="方正仿宋_GBK" w:hAnsi="方正仿宋_GBK" w:eastAsia="方正仿宋_GBK" w:cs="方正仿宋_GBK"/>
          <w:bCs/>
          <w:sz w:val="28"/>
          <w:szCs w:val="28"/>
        </w:rPr>
        <w:t xml:space="preserve">查询结果留存并归档。</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rPr>
        <w:t xml:space="preserve">联合体成员中任何一方存在不良信用记录的，视同联合体存在不良应用记录。</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符合性审查：依据招标文件的规定，由评标委员会从投标文件的有效性、完整性和对招标文件的响应程度进行审查，以确定是否对招标文件的实质性要求作出响应。</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25.3如果投标文件实质上没有响应招标文件的要求，评标委员会将予以拒绝，投标人不得通过修改或撤销不符合要求的偏离或保留而使其投标成为实质性响应的投标。</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25.4评标委员会将对确定为实质性响应的投标进行进一步审核，看其是否有计算上或累加上的算术错误，修正错误的原则如下：</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65" w:name="_Toc16938550"/>
      <w:r/>
      <w:bookmarkStart w:id="166" w:name="_Toc513029234"/>
      <w:r/>
      <w:bookmarkStart w:id="167" w:name="_Toc20823306"/>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（1）投标报价低于全部通过符合性审查供应商投标报价平均值65%的，即投标报价&lt;全部通过符合性审查供应商投标报价平均值×65%；</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（2）投标报价低于通过符合性审查的次低报价供应商投标报价65%的，即投标报价&lt;通过符合性审查的次低报价供应商投标报价×65%；</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（3）投标报价低于采购项目最高限价65%的，即投标报价&lt;采购项目最高限价×65%；</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（4）评标委员会基于专业判断，认为供应商报价过低，有可能影响产品质量或者不能诚信履约的其他情形。</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25.8.2 评标委员会启动异常低价投标审查后，属于前述第（1）项至第（4）项情形的，应当要求相关供应商在评审现场合理的时间</w:t>
      </w:r>
      <w:r>
        <w:rPr>
          <w:rFonts w:hint="eastAsia" w:ascii="方正仿宋_GBK" w:hAnsi="方正仿宋_GBK" w:eastAsia="方正仿宋_GBK" w:cs="方正仿宋_GBK"/>
          <w:bCs/>
          <w:sz w:val="28"/>
          <w:szCs w:val="28"/>
        </w:rPr>
        <w:t xml:space="preserve">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bookmarkEnd w:id="165"/>
      <w:r/>
      <w:bookmarkEnd w:id="166"/>
      <w:r/>
      <w:bookmarkEnd w:id="167"/>
      <w:r>
        <w:rPr>
          <w:rFonts w:hint="eastAsia" w:ascii="方正仿宋_GBK" w:hAnsi="方正仿宋_GBK" w:eastAsia="方正仿宋_GBK" w:cs="方正仿宋_GBK"/>
          <w:bCs/>
          <w:sz w:val="28"/>
          <w:szCs w:val="28"/>
        </w:rPr>
        <w:t xml:space="preserve">6.无效投标条款和废标条款</w:t>
      </w:r>
      <w:bookmarkStart w:id="168" w:name="_Toc20823307"/>
      <w:r/>
      <w:bookmarkStart w:id="169" w:name="_Toc513029235"/>
      <w:r/>
      <w:bookmarkStart w:id="170" w:name="_Toc16938551"/>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26.1无效投标条款</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26.1.2 投标人未按照招标文件要求上传电子投标文件的。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26.1.3 投标人同一采购包提交两个（含两个）以上不同的投标报价的。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26.1.4投标人不具备招标文件中规定资格要求的。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26.1.5投标人的报价超过了采购预算或最高限价的。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26.1.6未通过符合性审查的。</w:t>
      </w:r>
      <w:r/>
    </w:p>
    <w:p>
      <w:pPr>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26.1.7不符合招标文件中规定的实质性要求的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26.1.8 投标人被 “信用中国”网站（</w:t>
      </w:r>
      <w:r>
        <w:rPr>
          <w:rFonts w:hint="eastAsia" w:eastAsia="方正仿宋_GBK"/>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26.1.9 投标文件含有采购人不能接受的附加条件的。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w:t>
      </w:r>
      <w:r>
        <w:rPr>
          <w:rFonts w:hint="eastAsia" w:ascii="方正仿宋_GBK" w:hAnsi="方正仿宋_GBK" w:eastAsia="方正仿宋_GBK" w:cs="方正仿宋_GBK"/>
          <w:sz w:val="28"/>
          <w:szCs w:val="28"/>
        </w:rPr>
        <w:t xml:space="preserve">之内的该节能产品认证证书图片）</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26.1.12 投标文件未按照招标文件要求加盖CA电子公章的。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26.1.13 投标人所投标产品不符合招标文件中所列国家强制性标准的。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26.1.14其他法律、法规及本招标文件规定的属无效投标的情形。</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26.2废标条款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26.2.1符合专业条件的供应商或者对招标文件作实质响应的供应商不足三家的。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26.2.2出现影响采购公正的违法、违规行为的。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26.2.3因重大变故，采购任务取消的。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26.2.4评标委员会认定招标文件存在歧义、重大缺陷导致评审工作无法进行。</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26.2.5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26.3 投标截止时间结束后参加投标的供应商不足三家的处理：</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26.3.1如出现投标截止时间结束后参加投标的供应商或者在评标期间对招标文件做出实质响应的供应商不足三家情况，按政府采购相关规定执行。</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71" w:name="_Toc120614219"/>
      <w:r/>
      <w:bookmarkStart w:id="172" w:name="_Toc240275225"/>
      <w:r>
        <w:rPr>
          <w:rFonts w:hint="eastAsia" w:ascii="方正黑体_GBK" w:hAnsi="方正黑体_GBK" w:eastAsia="方正黑体_GBK" w:cs="方正黑体_GBK"/>
          <w:sz w:val="28"/>
          <w:szCs w:val="28"/>
        </w:rPr>
        <w:t xml:space="preserve">六、</w:t>
      </w:r>
      <w:bookmarkEnd w:id="168"/>
      <w:r/>
      <w:bookmarkEnd w:id="169"/>
      <w:r/>
      <w:bookmarkEnd w:id="170"/>
      <w:r>
        <w:rPr>
          <w:rFonts w:hint="eastAsia" w:ascii="方正黑体_GBK" w:hAnsi="方正黑体_GBK" w:eastAsia="方正黑体_GBK" w:cs="方正黑体_GBK"/>
          <w:sz w:val="28"/>
          <w:szCs w:val="28"/>
        </w:rPr>
        <w:t xml:space="preserve">定标</w:t>
      </w:r>
      <w:bookmarkEnd w:id="171"/>
      <w:r/>
      <w:bookmarkEnd w:id="172"/>
      <w:r/>
      <w:r/>
    </w:p>
    <w:p>
      <w:pPr>
        <w:ind w:firstLine="560"/>
        <w:spacing w:line="400" w:lineRule="exact"/>
        <w:tabs>
          <w:tab w:val="left" w:pos="900" w:leader="none"/>
        </w:tabs>
        <w:rPr>
          <w:rFonts w:hint="eastAsia" w:ascii="方正仿宋_GBK" w:hAnsi="方正仿宋_GBK" w:eastAsia="方正仿宋_GBK" w:cs="方正仿宋_GBK"/>
          <w:bCs/>
          <w:sz w:val="28"/>
          <w:szCs w:val="28"/>
        </w:rPr>
      </w:pPr>
      <w:r/>
      <w:bookmarkStart w:id="173" w:name="_Toc513029238"/>
      <w:r/>
      <w:bookmarkStart w:id="174" w:name="_Toc16938554"/>
      <w:r/>
      <w:bookmarkStart w:id="175" w:name="_Toc20823310"/>
      <w:r>
        <w:rPr>
          <w:rFonts w:hint="eastAsia" w:ascii="方正仿宋_GBK" w:hAnsi="方正仿宋_GBK" w:eastAsia="方正仿宋_GBK" w:cs="方正仿宋_GBK"/>
          <w:bCs/>
          <w:sz w:val="28"/>
          <w:szCs w:val="28"/>
        </w:rPr>
        <w:t xml:space="preserve">27</w:t>
      </w:r>
      <w:bookmarkEnd w:id="173"/>
      <w:r>
        <w:rPr>
          <w:rFonts w:hint="eastAsia" w:ascii="方正仿宋_GBK" w:hAnsi="方正仿宋_GBK" w:eastAsia="方正仿宋_GBK" w:cs="方正仿宋_GBK"/>
          <w:bCs/>
          <w:sz w:val="28"/>
          <w:szCs w:val="28"/>
        </w:rPr>
        <w:t xml:space="preserve">.确定</w:t>
      </w:r>
      <w:bookmarkEnd w:id="174"/>
      <w:r/>
      <w:bookmarkEnd w:id="175"/>
      <w:r>
        <w:rPr>
          <w:rFonts w:hint="eastAsia" w:ascii="方正仿宋_GBK" w:hAnsi="方正仿宋_GBK" w:eastAsia="方正仿宋_GBK" w:cs="方正仿宋_GBK"/>
          <w:bCs/>
          <w:sz w:val="28"/>
          <w:szCs w:val="28"/>
        </w:rPr>
        <w:t xml:space="preserve">中标单位</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27.1中标候选人的选取原则和数量见招标文件第五章规定。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 采购人应根据评标委员会推荐的中标候选人确定中标供应商。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27.3 </w:t>
      </w:r>
      <w:r>
        <w:rPr>
          <w:rFonts w:hint="eastAsia" w:ascii="方正仿宋_GBK" w:hAnsi="方正仿宋_GBK" w:eastAsia="方正仿宋_GBK" w:cs="方正仿宋_GBK"/>
          <w:sz w:val="28"/>
          <w:szCs w:val="28"/>
        </w:rPr>
        <w:t xml:space="preserve">采购中心将在“江苏政府采购网”发布中标公告，公告期限为1个工作日。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若有充分证据证明，中标供应商出现下列情况之一的，一经查实，将被取消中标资格：</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27.4.1提供虚假材料谋取中标的。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27.4.2向采购人、采购中心行贿或者提供其他不正当利益的。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27.4.3属于本文件规定的无效条件，但在评标过程中又未被评标委员会发现的。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27.4.4与采购人或者其他供应商恶意串通的。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27.4.5采取不正当手段诋毁、排挤其他供应商的。</w:t>
      </w:r>
      <w:r/>
    </w:p>
    <w:p>
      <w:pPr>
        <w:ind w:firstLine="560"/>
        <w:spacing w:line="400" w:lineRule="exact"/>
        <w:rPr>
          <w:rFonts w:hint="eastAsia" w:ascii="方正仿宋_GBK" w:hAnsi="方正仿宋_GBK" w:eastAsia="方正仿宋_GBK" w:cs="方正仿宋_GBK"/>
          <w:sz w:val="28"/>
          <w:szCs w:val="28"/>
        </w:rPr>
      </w:pPr>
      <w:r/>
      <w:bookmarkStart w:id="176" w:name="_Toc200451960"/>
      <w:r>
        <w:rPr>
          <w:rFonts w:hint="eastAsia" w:ascii="方正仿宋_GBK" w:hAnsi="方正仿宋_GBK" w:eastAsia="方正仿宋_GBK" w:cs="方正仿宋_GBK"/>
          <w:sz w:val="28"/>
          <w:szCs w:val="28"/>
        </w:rPr>
        <w:t xml:space="preserve">27.5 有下列情形之一的，视为投标人串通投标，投标无效：</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27.5.1不同投标人的投标文件由同一单位或者个人编制。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27.5.2不同投标人委托同一单位或者个人办理投标事宜。</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不同投标人的投标文件载明的项目管理成员或者联系人员为同一人。</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27.5.4不同投标人的投标文件异常一致或者投标报价呈规律性差异。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28.质疑处理</w:t>
      </w:r>
      <w:bookmarkEnd w:id="176"/>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sz w:val="28"/>
          <w:szCs w:val="28"/>
        </w:rPr>
        <w:br/>
        <w:t xml:space="preserve">　　28.2.2对采购过程提出质疑的，为各采购程序环节结束之日；</w:t>
      </w:r>
      <w:r>
        <w:rPr>
          <w:rFonts w:hint="eastAsia" w:ascii="方正仿宋_GBK" w:hAnsi="方正仿宋_GBK" w:eastAsia="方正仿宋_GBK" w:cs="方正仿宋_GBK"/>
          <w:sz w:val="28"/>
          <w:szCs w:val="28"/>
        </w:rPr>
        <w:br/>
        <w:t xml:space="preserve">　　28.2.3对中标或者成交结果提出质疑的，为中标或者成交结果公告期限届满之日。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采购中心及采购人只接收以纸质原件形式送达的</w:t>
      </w:r>
      <w:r>
        <w:rPr>
          <w:rFonts w:hint="eastAsia" w:ascii="方正仿宋_GBK" w:hAnsi="方正仿宋_GBK" w:eastAsia="方正仿宋_GBK" w:cs="方正仿宋_GBK"/>
          <w:sz w:val="28"/>
          <w:szCs w:val="28"/>
        </w:rPr>
        <w:t xml:space="preserve">质疑,</w:t>
      </w:r>
      <w:r>
        <w:rPr>
          <w:rFonts w:hint="eastAsia" w:ascii="方正仿宋_GBK" w:hAnsi="方正仿宋_GBK" w:eastAsia="方正仿宋_GBK" w:cs="方正仿宋_GBK"/>
          <w:sz w:val="28"/>
          <w:szCs w:val="28"/>
        </w:rPr>
        <w:t xml:space="preserve">建议供应商尽量通过邮寄方式提交质疑（采购人和采购中心不接受无快递运单号的快递）。</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w:t>
      </w:r>
      <w:r>
        <w:rPr>
          <w:rFonts w:hint="eastAsia" w:ascii="方正仿宋_GBK" w:hAnsi="方正仿宋_GBK" w:eastAsia="方正仿宋_GBK" w:cs="方正仿宋_GBK"/>
          <w:sz w:val="28"/>
          <w:szCs w:val="28"/>
        </w:rPr>
        <w:t xml:space="preserve">政务中心二期3楼南区3029室，联系电话：025-83668531。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 以下情形的质疑不予受理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 内容不符合《政府采购质疑和投诉办法》第十二条规定的质疑。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 超出政府采购法定期限的质疑。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 以传真、电子邮件等方式递交的非原件形式的质疑。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 未参加投标活动的供应商或在投标活动中自身权益未受到损害的供应商所提出的质疑。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28.5.5供应商组成联合体参加投标，联合体中任何一方或多方未按要求签字、盖章、加盖公章的质疑。</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29.中标通知书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29.l中标结果确定后，采购中心将向中标供应商发出中标通知书。请中标供应商在中标结果公告届满之日起30</w:t>
      </w:r>
      <w:r>
        <w:rPr>
          <w:rFonts w:hint="eastAsia" w:ascii="方正仿宋_GBK" w:hAnsi="方正仿宋_GBK" w:eastAsia="方正仿宋_GBK" w:cs="方正仿宋_GBK"/>
          <w:sz w:val="28"/>
          <w:szCs w:val="28"/>
        </w:rPr>
        <w:t xml:space="preserve">日内,</w:t>
      </w:r>
      <w:r>
        <w:rPr>
          <w:rFonts w:hint="eastAsia" w:ascii="方正仿宋_GBK" w:hAnsi="方正仿宋_GBK" w:eastAsia="方正仿宋_GBK" w:cs="方正仿宋_GBK"/>
          <w:sz w:val="28"/>
          <w:szCs w:val="28"/>
        </w:rPr>
        <w:t xml:space="preserve">使用CA数字证书登录苏采云系统及时下载中标通知书。因系统存储空间有限，自中标结果公告届满之日起30日后，苏采云系统不再保证提供下载中标通知书</w:t>
      </w:r>
      <w:r>
        <w:rPr>
          <w:rFonts w:hint="eastAsia" w:ascii="方正仿宋_GBK" w:hAnsi="方正仿宋_GBK" w:eastAsia="方正仿宋_GBK" w:cs="方正仿宋_GBK"/>
          <w:sz w:val="28"/>
          <w:szCs w:val="28"/>
        </w:rPr>
        <w:t xml:space="preserve">服务,</w:t>
      </w:r>
      <w:r>
        <w:rPr>
          <w:rFonts w:hint="eastAsia" w:ascii="方正仿宋_GBK" w:hAnsi="方正仿宋_GBK" w:eastAsia="方正仿宋_GBK" w:cs="方正仿宋_GBK"/>
          <w:sz w:val="28"/>
          <w:szCs w:val="28"/>
        </w:rPr>
        <w:t xml:space="preserve">因未及时下载而造成的不利后果由中标供应商自行承担。</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Next/>
        <w:spacing w:line="400" w:lineRule="exact"/>
        <w:rPr>
          <w:rFonts w:hint="eastAsia" w:ascii="方正黑体_GBK" w:hAnsi="方正黑体_GBK" w:eastAsia="方正黑体_GBK" w:cs="方正黑体_GBK"/>
          <w:sz w:val="28"/>
          <w:szCs w:val="28"/>
        </w:rPr>
        <w:outlineLvl w:val="0"/>
      </w:pPr>
      <w:r/>
      <w:bookmarkStart w:id="177" w:name="_Toc120614220"/>
      <w:r/>
      <w:bookmarkStart w:id="178" w:name="_Toc240275226"/>
      <w:r/>
      <w:bookmarkStart w:id="179" w:name="_Toc513029236"/>
      <w:r/>
      <w:bookmarkStart w:id="180" w:name="_Toc16938552"/>
      <w:r/>
      <w:bookmarkStart w:id="181" w:name="_Toc20823308"/>
      <w:r>
        <w:rPr>
          <w:rFonts w:hint="eastAsia" w:ascii="方正黑体_GBK" w:hAnsi="方正黑体_GBK" w:eastAsia="方正黑体_GBK" w:cs="方正黑体_GBK"/>
          <w:sz w:val="28"/>
          <w:szCs w:val="28"/>
        </w:rPr>
        <w:t xml:space="preserve">七、授予合同</w:t>
      </w:r>
      <w:bookmarkEnd w:id="177"/>
      <w:r/>
      <w:bookmarkEnd w:id="178"/>
      <w:r/>
      <w:r/>
    </w:p>
    <w:p>
      <w:pPr>
        <w:ind w:firstLine="560"/>
        <w:spacing w:line="400" w:lineRule="exact"/>
        <w:rPr>
          <w:rFonts w:hint="eastAsia" w:ascii="方正仿宋_GBK" w:hAnsi="方正仿宋_GBK" w:eastAsia="方正仿宋_GBK" w:cs="方正仿宋_GBK"/>
          <w:sz w:val="28"/>
          <w:szCs w:val="28"/>
        </w:rPr>
      </w:pPr>
      <w:r/>
      <w:bookmarkStart w:id="182" w:name="_Toc16938553"/>
      <w:r/>
      <w:bookmarkStart w:id="183" w:name="_Toc20823309"/>
      <w:r/>
      <w:bookmarkStart w:id="184" w:name="_Toc513029237"/>
      <w:r/>
      <w:bookmarkEnd w:id="179"/>
      <w:r/>
      <w:bookmarkEnd w:id="180"/>
      <w:r/>
      <w:bookmarkEnd w:id="181"/>
      <w:r>
        <w:rPr>
          <w:rFonts w:hint="eastAsia" w:ascii="方正仿宋_GBK" w:hAnsi="方正仿宋_GBK" w:eastAsia="方正仿宋_GBK" w:cs="方正仿宋_GBK"/>
          <w:sz w:val="28"/>
          <w:szCs w:val="28"/>
        </w:rPr>
        <w:t xml:space="preserve">30.签订合同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30.l中标供应商应当在中标通知书发出之日起三十日内，按照招标文件确定的事项与采购人签订政府采购合同。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30.2 招标文件、中标供应商的投标文件及招标过程中有关澄清、承诺文件均应作为合同附件。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w:t>
      </w:r>
      <w:r>
        <w:rPr>
          <w:rFonts w:hint="eastAsia" w:ascii="方正仿宋_GBK" w:hAnsi="方正仿宋_GBK" w:eastAsia="方正仿宋_GBK" w:cs="方正仿宋_GBK"/>
          <w:sz w:val="28"/>
          <w:szCs w:val="28"/>
        </w:rPr>
        <w:t xml:space="preserve">承担相应赔偿责任。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31.货物（包含与货物相关的服务）的追加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560"/>
        <w:spacing w:line="400" w:lineRule="exact"/>
        <w:rPr>
          <w:rFonts w:hint="eastAsia" w:ascii="方正仿宋_GBK" w:hAnsi="方正仿宋_GBK" w:eastAsia="方正仿宋_GBK" w:cs="方正仿宋_GBK"/>
          <w:sz w:val="28"/>
          <w:szCs w:val="28"/>
        </w:rPr>
      </w:pPr>
      <w:r/>
      <w:bookmarkStart w:id="185" w:name="_Toc20823314"/>
      <w:r/>
      <w:bookmarkStart w:id="186" w:name="_Toc120614221"/>
      <w:r/>
      <w:bookmarkStart w:id="187" w:name="_Toc513029242"/>
      <w:r/>
      <w:bookmarkStart w:id="188" w:name="_Toc16938558"/>
      <w:r/>
      <w:bookmarkStart w:id="189" w:name="_Toc479757207"/>
      <w:r/>
      <w:bookmarkEnd w:id="182"/>
      <w:r/>
      <w:bookmarkEnd w:id="183"/>
      <w:r/>
      <w:bookmarkEnd w:id="184"/>
      <w:r>
        <w:rPr>
          <w:rFonts w:hint="eastAsia" w:ascii="方正仿宋_GBK" w:hAnsi="方正仿宋_GBK" w:eastAsia="方正仿宋_GBK" w:cs="方正仿宋_GBK"/>
          <w:sz w:val="28"/>
          <w:szCs w:val="28"/>
        </w:rPr>
        <w:t xml:space="preserve">32.政府采购履约资金扶持政策</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p>
    <w:p>
      <w:pPr>
        <w:ind w:firstLine="420"/>
        <w:spacing w:line="400" w:lineRule="exact"/>
        <w:rPr>
          <w:szCs w:val="21"/>
        </w:rPr>
      </w:pPr>
      <w:r>
        <w:rPr>
          <w:szCs w:val="21"/>
        </w:rPr>
      </w:r>
      <w:r/>
    </w:p>
    <w:p>
      <w:pPr>
        <w:spacing w:line="500" w:lineRule="exact"/>
        <w:rPr>
          <w:rFonts w:hint="eastAsia" w:ascii="宋体" w:hAnsi="宋体"/>
          <w:bCs/>
          <w:sz w:val="24"/>
          <w:szCs w:val="24"/>
        </w:rPr>
      </w:pPr>
      <w:r>
        <w:rPr>
          <w:rFonts w:hint="eastAsia" w:ascii="宋体" w:hAnsi="宋体"/>
          <w:bCs/>
          <w:sz w:val="24"/>
          <w:szCs w:val="24"/>
        </w:rPr>
      </w:r>
      <w:r/>
    </w:p>
    <w:p>
      <w:pPr>
        <w:jc w:val="left"/>
        <w:widowControl/>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p>
    <w:p>
      <w:pPr>
        <w:ind w:firstLine="2240"/>
        <w:keepNext/>
        <w:spacing w:line="660" w:lineRule="exact"/>
        <w:rPr>
          <w:rFonts w:hint="eastAsia" w:ascii="方正黑体_GBK" w:hAnsi="方正黑体_GBK" w:eastAsia="方正黑体_GBK" w:cs="方正黑体_GBK"/>
          <w:bCs/>
          <w:sz w:val="28"/>
          <w:szCs w:val="28"/>
        </w:rPr>
        <w:outlineLvl w:val="0"/>
      </w:pPr>
      <w:r/>
      <w:bookmarkStart w:id="190" w:name="_Toc240275227"/>
      <w:r>
        <w:rPr>
          <w:rFonts w:hint="eastAsia" w:ascii="方正黑体_GBK" w:hAnsi="方正黑体_GBK" w:eastAsia="方正黑体_GBK" w:cs="方正黑体_GBK"/>
          <w:bCs/>
          <w:sz w:val="28"/>
          <w:szCs w:val="28"/>
        </w:rPr>
        <w:t xml:space="preserve">第三章  合同</w:t>
      </w:r>
      <w:bookmarkEnd w:id="185"/>
      <w:r/>
      <w:bookmarkEnd w:id="186"/>
      <w:r/>
      <w:bookmarkEnd w:id="187"/>
      <w:r/>
      <w:bookmarkEnd w:id="188"/>
      <w:r/>
      <w:bookmarkEnd w:id="189"/>
      <w:r>
        <w:rPr>
          <w:rFonts w:hint="eastAsia" w:ascii="方正黑体_GBK" w:hAnsi="方正黑体_GBK" w:eastAsia="方正黑体_GBK" w:cs="方正黑体_GBK"/>
          <w:bCs/>
          <w:sz w:val="28"/>
          <w:szCs w:val="28"/>
        </w:rPr>
        <w:t xml:space="preserve">文本</w:t>
      </w:r>
      <w:bookmarkEnd w:id="190"/>
      <w:r/>
      <w:r/>
    </w:p>
    <w:p>
      <w:pPr>
        <w:spacing w:line="400" w:lineRule="exact"/>
        <w:rPr>
          <w:rFonts w:hint="eastAsia" w:ascii="宋体" w:hAnsi="宋体"/>
          <w:bCs/>
          <w:sz w:val="28"/>
          <w:szCs w:val="28"/>
        </w:rPr>
      </w:pPr>
      <w:r/>
      <w:bookmarkStart w:id="191" w:name="_Toc3995"/>
      <w:r/>
      <w:bookmarkStart w:id="192" w:name="_Toc20823315"/>
      <w:r/>
      <w:bookmarkStart w:id="193" w:name="_Toc513029243"/>
      <w:r/>
      <w:bookmarkStart w:id="194" w:name="_Toc16938559"/>
      <w:r/>
      <w:bookmarkStart w:id="195" w:name="_Hlt16619350"/>
      <w:r/>
      <w:bookmarkStart w:id="196" w:name="_Toc16938590"/>
      <w:r/>
      <w:bookmarkStart w:id="197" w:name="_Toc20823346"/>
      <w:r/>
      <w:bookmarkStart w:id="198" w:name="_Toc120614244"/>
      <w:r/>
      <w:bookmarkStart w:id="199" w:name="_Toc479757211"/>
      <w:r/>
      <w:bookmarkStart w:id="200" w:name="_Toc462564139"/>
      <w:r/>
      <w:bookmarkEnd w:id="191"/>
      <w:r/>
      <w:bookmarkEnd w:id="192"/>
      <w:r/>
      <w:bookmarkEnd w:id="193"/>
      <w:r/>
      <w:bookmarkEnd w:id="194"/>
      <w:r/>
      <w:r/>
    </w:p>
    <w:p>
      <w:pPr>
        <w:pStyle w:val="784"/>
        <w:jc w:val="center"/>
        <w:rPr>
          <w:rFonts w:hint="eastAsia" w:ascii="宋体" w:hAnsi="宋体" w:eastAsia="宋体" w:cs="宋体"/>
          <w:b/>
          <w:bCs/>
          <w:spacing w:val="-20"/>
        </w:rPr>
      </w:pPr>
      <w:r>
        <w:rPr>
          <w:rFonts w:hint="eastAsia" w:ascii="宋体" w:hAnsi="宋体" w:eastAsia="宋体" w:cs="宋体"/>
          <w:b/>
          <w:bCs/>
          <w:spacing w:val="-20"/>
        </w:rPr>
      </w:r>
      <w:r/>
    </w:p>
    <w:p>
      <w:pPr>
        <w:pStyle w:val="784"/>
        <w:jc w:val="center"/>
        <w:rPr>
          <w:rFonts w:hint="eastAsia" w:ascii="宋体" w:hAnsi="宋体" w:eastAsia="宋体" w:cs="宋体"/>
          <w:spacing w:val="-20"/>
        </w:rPr>
      </w:pPr>
      <w:r>
        <w:rPr>
          <w:rFonts w:hint="eastAsia" w:ascii="宋体" w:hAnsi="宋体" w:eastAsia="宋体" w:cs="宋体"/>
          <w:spacing w:val="-20"/>
        </w:rPr>
      </w:r>
      <w:r/>
    </w:p>
    <w:p>
      <w:pPr>
        <w:pStyle w:val="784"/>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财政部 政府采购货物买卖合同（试行）</w:t>
      </w:r>
      <w:r/>
    </w:p>
    <w:p>
      <w:pPr>
        <w:pStyle w:val="784"/>
        <w:jc w:val="center"/>
        <w:spacing w:line="66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p>
    <w:p>
      <w:pPr>
        <w:ind w:left="420"/>
        <w:spacing w:line="66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p>
    <w:p>
      <w:pPr>
        <w:rPr>
          <w:sz w:val="28"/>
          <w:szCs w:val="28"/>
        </w:rPr>
      </w:pPr>
      <w:r>
        <w:rPr>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p>
    <w:p>
      <w:pPr>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br w:type="page" w:clear="all"/>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p>
    <w:p>
      <w:pPr>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1.本合同标准文本适用于购买现成货物的采购项目，不包括需要供应商定制开发、创新研发的货物采购项目。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2.本合同标准文本为政府采购货物买卖合同编制提供参考，可以结合采购项目具体情况，对文本作必要的调整修订后使用。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3.本合同标准文本各条款中，如涉及填写多家供应商、制造商，多种采购标的、分包主要内容等信息的，可根据采购项目具体情况添加信息项。</w:t>
      </w:r>
      <w:r/>
    </w:p>
    <w:p>
      <w:pPr>
        <w:ind w:firstLine="560"/>
        <w:rPr>
          <w:rFonts w:eastAsia="黑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28"/>
          <w:szCs w:val="28"/>
        </w:rPr>
      </w:r>
      <w:r/>
    </w:p>
    <w:p>
      <w:pPr>
        <w:pStyle w:val="766"/>
        <w:spacing w:line="400" w:lineRule="exact"/>
        <w:rPr>
          <w:rFonts w:hint="eastAsia" w:ascii="黑体" w:hAnsi="华文中宋" w:eastAsia="黑体"/>
          <w:b/>
          <w:bCs/>
          <w:color w:val="auto"/>
          <w:sz w:val="28"/>
          <w:szCs w:val="28"/>
        </w:rPr>
      </w:pPr>
      <w:r>
        <w:rPr>
          <w:rFonts w:hint="eastAsia" w:ascii="黑体" w:hAnsi="黑体" w:eastAsia="黑体"/>
          <w:b/>
          <w:bCs/>
          <w:color w:val="auto"/>
          <w:sz w:val="28"/>
          <w:szCs w:val="28"/>
        </w:rPr>
        <w:t xml:space="preserve">第一节 </w:t>
      </w:r>
      <w:r>
        <w:rPr>
          <w:rFonts w:hint="eastAsia" w:ascii="黑体" w:hAnsi="华文中宋" w:eastAsia="黑体"/>
          <w:b/>
          <w:bCs/>
          <w:color w:val="auto"/>
          <w:sz w:val="28"/>
          <w:szCs w:val="28"/>
        </w:rPr>
        <w:t xml:space="preserve">政府采购合同协议书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pStyle w:val="785"/>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p>
    <w:p>
      <w:pPr>
        <w:pStyle w:val="785"/>
        <w:numPr>
          <w:ilvl w:val="0"/>
          <w:numId w:val="3"/>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p>
    <w:p>
      <w:pPr>
        <w:pStyle w:val="785"/>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rPr>
        <w:t xml:space="preserve">                                          </w:t>
      </w:r>
      <w:r/>
    </w:p>
    <w:p>
      <w:pPr>
        <w:pStyle w:val="785"/>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059"/>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059"/>
        <w:ind w:firstLine="560"/>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是否涉及绿色产品： </w:t>
      </w:r>
      <w:r/>
    </w:p>
    <w:p>
      <w:pPr>
        <w:pStyle w:val="1059"/>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059"/>
        <w:ind w:firstLine="560"/>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1059"/>
        <w:ind w:firstLine="84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p>
    <w:p>
      <w:pPr>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ind w:firstLine="560"/>
        <w:spacing w:line="400" w:lineRule="exact"/>
        <w:rPr>
          <w:sz w:val="28"/>
          <w:szCs w:val="28"/>
        </w:rPr>
      </w:pPr>
      <w:r>
        <w:rPr>
          <w:rFonts w:hint="eastAsia" w:ascii="方正仿宋_GBK" w:hAnsi="方正仿宋_GBK" w:eastAsia="方正仿宋_GBK" w:cs="方正仿宋_GBK"/>
          <w:sz w:val="28"/>
          <w:szCs w:val="28"/>
        </w:rPr>
        <w:t xml:space="preserve">（2）</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（3）付款方式（按项目实际勾选填写）：</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（应明确一次性支付合同款项的条件）                    </w:t>
      </w:r>
      <w:r/>
    </w:p>
    <w:p>
      <w:pPr>
        <w:ind w:firstLine="56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p>
    <w:p>
      <w:pPr>
        <w:ind w:firstLine="56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p>
    <w:p>
      <w:pPr>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w:t>
      </w:r>
      <w:r>
        <w:rPr>
          <w:rFonts w:hint="eastAsia" w:ascii="方正仿宋_GBK" w:hAnsi="方正仿宋_GBK" w:eastAsia="方正仿宋_GBK" w:cs="方正仿宋_GBK"/>
          <w:sz w:val="28"/>
          <w:szCs w:val="28"/>
        </w:rPr>
        <w:t xml:space="preserve">触、矛盾或歧义，应按以下顺序解释：</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（8）国家法律、行政法规和规章制度规定或合同约定的作为合同组成部分的其他文件</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p>
    <w:p>
      <w:pPr>
        <w:pStyle w:val="1028"/>
        <w:spacing w:line="400" w:lineRule="exact"/>
        <w:rPr>
          <w:sz w:val="28"/>
          <w:szCs w:val="28"/>
          <w:lang w:eastAsia="zh-CN"/>
        </w:rPr>
      </w:pPr>
      <w:r>
        <w:rPr>
          <w:sz w:val="28"/>
          <w:szCs w:val="28"/>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958"/>
        <w:gridCol w:w="2901"/>
        <w:gridCol w:w="1644"/>
        <w:gridCol w:w="2202"/>
      </w:tblGrid>
      <w:tr>
        <w:trPr>
          <w:trHeight w:val="490"/>
        </w:trPr>
        <w:tc>
          <w:tcPr>
            <w:gridSpan w:val="2"/>
            <w:tcBorders>
              <w:bottom w:val="single" w:color="auto" w:sz="2" w:space="0"/>
              <w:right w:val="single" w:color="auto" w:sz="2" w:space="0"/>
            </w:tcBorders>
            <w:tcW w:w="2791"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Borders>
              <w:left w:val="single" w:color="auto" w:sz="2" w:space="0"/>
              <w:bottom w:val="single" w:color="auto" w:sz="2" w:space="0"/>
            </w:tcBorders>
            <w:tcW w:w="2208"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right w:val="single" w:color="auto" w:sz="2" w:space="0"/>
            </w:tcBorders>
            <w:tcW w:w="1666" w:type="pct"/>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Borders>
              <w:bottom w:val="single" w:color="auto" w:sz="2" w:space="0"/>
              <w:right w:val="single" w:color="auto" w:sz="2" w:space="0"/>
            </w:tcBorders>
            <w:tcW w:w="1125" w:type="pct"/>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left w:val="single" w:color="auto" w:sz="2" w:space="0"/>
              <w:bottom w:val="single" w:color="auto" w:sz="2" w:space="0"/>
              <w:right w:val="single" w:color="auto" w:sz="2" w:space="0"/>
            </w:tcBorders>
            <w:tcW w:w="1666" w:type="pct"/>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pStyle w:val="785"/>
              <w:ind w:left="0"/>
              <w:jc w:val="left"/>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766"/>
        <w:spacing w:line="400" w:lineRule="exact"/>
        <w:rPr>
          <w:rFonts w:hint="eastAsia" w:ascii="黑体" w:hAnsi="黑体" w:eastAsia="黑体"/>
          <w:color w:val="auto"/>
          <w:sz w:val="28"/>
          <w:szCs w:val="28"/>
        </w:rPr>
      </w:pPr>
      <w:r>
        <w:rPr>
          <w:rFonts w:ascii="宋体" w:hAnsi="宋体"/>
          <w:color w:val="auto"/>
          <w:sz w:val="28"/>
          <w:szCs w:val="28"/>
          <w:u w:val="single"/>
        </w:rPr>
        <w:br w:type="page" w:clear="all"/>
      </w:r>
      <w:r>
        <w:rPr>
          <w:rFonts w:hint="eastAsia" w:ascii="黑体" w:hAnsi="黑体" w:eastAsia="黑体"/>
          <w:b/>
          <w:bCs/>
          <w:color w:val="auto"/>
          <w:sz w:val="28"/>
          <w:szCs w:val="28"/>
        </w:rPr>
        <w:t xml:space="preserve">第二节 政府采购合同通用条款</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w:t>
      </w:r>
      <w:r>
        <w:rPr>
          <w:rFonts w:hint="eastAsia" w:ascii="方正仿宋_GBK" w:hAnsi="方正仿宋_GBK" w:eastAsia="方正仿宋_GBK" w:cs="方正仿宋_GBK"/>
          <w:sz w:val="28"/>
          <w:szCs w:val="28"/>
        </w:rPr>
        <w:t xml:space="preserve">作分工、权利、义务、责任，联合体各方应共同与甲方签订合同，就合同约定的事项对甲方承担连带责任。联合体具体要求见【政府采购合同专用条款】。</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p>
    <w:p>
      <w:pPr>
        <w:pStyle w:val="1059"/>
        <w:numPr>
          <w:ilvl w:val="0"/>
          <w:numId w:val="4"/>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w:t>
      </w:r>
      <w:r>
        <w:rPr>
          <w:rFonts w:hint="eastAsia" w:ascii="方正仿宋_GBK" w:hAnsi="方正仿宋_GBK" w:eastAsia="方正仿宋_GBK" w:cs="方正仿宋_GBK"/>
          <w:sz w:val="28"/>
          <w:szCs w:val="28"/>
        </w:rPr>
        <w:t xml:space="preserve">推荐性国家标准的，按照行业标准履行；没有国家标准、行业标准的，按照通常标准或者符合合同目的的特定标准履行。</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p>
    <w:p>
      <w:pPr>
        <w:pStyle w:val="1059"/>
        <w:numPr>
          <w:ilvl w:val="0"/>
          <w:numId w:val="5"/>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059"/>
        <w:numPr>
          <w:ilvl w:val="0"/>
          <w:numId w:val="6"/>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p>
    <w:p>
      <w:pPr>
        <w:pStyle w:val="1059"/>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p>
    <w:p>
      <w:pPr>
        <w:pStyle w:val="766"/>
        <w:spacing w:line="400" w:lineRule="exact"/>
        <w:rPr>
          <w:rFonts w:hint="eastAsia" w:ascii="黑体" w:hAnsi="华文中宋" w:eastAsia="黑体"/>
          <w:b/>
          <w:bCs/>
          <w:color w:val="auto"/>
          <w:sz w:val="28"/>
          <w:szCs w:val="28"/>
        </w:rPr>
      </w:pPr>
      <w:r>
        <w:rPr>
          <w:rFonts w:hint="eastAsia" w:ascii="黑体" w:hAnsi="华文中宋" w:eastAsia="黑体"/>
          <w:color w:val="auto"/>
          <w:sz w:val="28"/>
          <w:szCs w:val="28"/>
        </w:rPr>
        <w:br w:type="page" w:clear="all"/>
      </w:r>
      <w:r>
        <w:rPr>
          <w:rFonts w:hint="eastAsia" w:ascii="黑体" w:hAnsi="黑体" w:eastAsia="黑体"/>
          <w:b/>
          <w:bCs/>
          <w:color w:val="auto"/>
          <w:sz w:val="28"/>
          <w:szCs w:val="28"/>
        </w:rPr>
        <w:t xml:space="preserve">第三节 政府采购合同专用条款</w:t>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059"/>
              <w:ind w:firstLine="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Borders>
              <w:bottom w:val="single" w:color="auto" w:sz="2" w:space="0"/>
              <w:right w:val="single" w:color="auto" w:sz="2" w:space="0"/>
            </w:tcBorders>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Borders>
              <w:left w:val="single" w:color="auto" w:sz="2" w:space="0"/>
              <w:bottom w:val="single" w:color="auto" w:sz="2" w:space="0"/>
              <w:right w:val="single" w:color="auto" w:sz="2" w:space="0"/>
            </w:tcBorders>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Borders>
              <w:left w:val="single" w:color="auto" w:sz="2" w:space="0"/>
              <w:bottom w:val="single" w:color="auto" w:sz="2" w:space="0"/>
            </w:tcBorders>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Borders>
              <w:top w:val="single" w:color="auto" w:sz="2" w:space="0"/>
              <w:right w:val="single" w:color="auto" w:sz="2" w:space="0"/>
            </w:tcBorders>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Borders>
              <w:top w:val="single" w:color="auto" w:sz="2" w:space="0"/>
              <w:left w:val="single" w:color="auto" w:sz="2" w:space="0"/>
              <w:right w:val="single" w:color="auto" w:sz="2" w:space="0"/>
            </w:tcBorders>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Borders>
              <w:top w:val="single" w:color="auto" w:sz="2" w:space="0"/>
              <w:left w:val="single" w:color="auto" w:sz="2" w:space="0"/>
            </w:tcBorders>
            <w:tcW w:w="3065" w:type="dxa"/>
            <w:vAlign w:val="center"/>
            <w:textDirection w:val="lrTb"/>
            <w:noWrap w:val="false"/>
          </w:tcPr>
          <w:p>
            <w:pPr>
              <w:jc w:val="left"/>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p>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p>
        </w:tc>
      </w:tr>
      <w:tr>
        <w:trPr>
          <w:trHeight w:val="770"/>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widowControl/>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p>
    <w:p>
      <w:pPr>
        <w:ind w:firstLine="2240"/>
        <w:keepNext/>
        <w:spacing w:line="660" w:lineRule="exact"/>
        <w:rPr>
          <w:rFonts w:hint="eastAsia" w:ascii="方正黑体_GBK" w:hAnsi="方正黑体_GBK" w:eastAsia="方正黑体_GBK" w:cs="方正黑体_GBK"/>
          <w:bCs/>
          <w:sz w:val="28"/>
          <w:szCs w:val="28"/>
        </w:rPr>
        <w:outlineLvl w:val="0"/>
      </w:pPr>
      <w:r/>
      <w:bookmarkStart w:id="201" w:name="_Toc240275228"/>
      <w:r>
        <w:rPr>
          <w:rFonts w:hint="eastAsia" w:ascii="方正黑体_GBK" w:hAnsi="方正黑体_GBK" w:eastAsia="方正黑体_GBK" w:cs="方正黑体_GBK"/>
          <w:bCs/>
          <w:sz w:val="28"/>
          <w:szCs w:val="28"/>
        </w:rPr>
        <w:t xml:space="preserve">第</w:t>
      </w:r>
      <w:bookmarkEnd w:id="195"/>
      <w:r>
        <w:rPr>
          <w:rFonts w:hint="eastAsia" w:ascii="方正黑体_GBK" w:hAnsi="方正黑体_GBK" w:eastAsia="方正黑体_GBK" w:cs="方正黑体_GBK"/>
          <w:bCs/>
          <w:sz w:val="28"/>
          <w:szCs w:val="28"/>
        </w:rPr>
        <w:t xml:space="preserve">四章 采购需求</w:t>
      </w:r>
      <w:bookmarkEnd w:id="196"/>
      <w:r/>
      <w:bookmarkEnd w:id="197"/>
      <w:r/>
      <w:bookmarkEnd w:id="198"/>
      <w:r/>
      <w:bookmarkEnd w:id="201"/>
      <w:r/>
      <w:r/>
    </w:p>
    <w:p>
      <w:pPr>
        <w:pStyle w:val="766"/>
        <w:jc w:val="left"/>
        <w:spacing w:line="400" w:lineRule="exact"/>
        <w:rPr>
          <w:rFonts w:hint="eastAsia" w:ascii="黑体" w:hAnsi="黑体" w:eastAsia="黑体"/>
          <w:b/>
          <w:bCs/>
          <w:color w:val="auto"/>
          <w:sz w:val="28"/>
          <w:szCs w:val="28"/>
        </w:rPr>
      </w:pPr>
      <w:r/>
      <w:bookmarkStart w:id="202" w:name="_Toc26554093"/>
      <w:r/>
      <w:bookmarkStart w:id="203" w:name="_Toc49090575"/>
      <w:r>
        <w:rPr>
          <w:rFonts w:hint="eastAsia" w:ascii="黑体" w:hAnsi="黑体" w:eastAsia="黑体"/>
          <w:b/>
          <w:bCs/>
          <w:color w:val="auto"/>
          <w:sz w:val="28"/>
          <w:szCs w:val="28"/>
        </w:rPr>
        <w:t xml:space="preserve">一、采购标的清单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0"/>
        <w:gridCol w:w="1321"/>
        <w:gridCol w:w="2929"/>
        <w:gridCol w:w="2677"/>
      </w:tblGrid>
      <w:tr>
        <w:trPr>
          <w:cantSplit/>
          <w:jc w:val="center"/>
          <w:trHeight w:val="701"/>
        </w:trPr>
        <w:tc>
          <w:tcPr>
            <w:tcW w:w="79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132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292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677"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22"/>
        </w:trPr>
        <w:tc>
          <w:tcPr>
            <w:shd w:val="clear" w:color="000000" w:fill="ffffff"/>
            <w:tcW w:w="790"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w:t>
            </w:r>
            <w:r/>
          </w:p>
        </w:tc>
        <w:tc>
          <w:tcPr>
            <w:shd w:val="clear" w:color="000000" w:fill="ffffff"/>
            <w:tcW w:w="1321"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w:t>
            </w:r>
            <w:r/>
          </w:p>
        </w:tc>
        <w:tc>
          <w:tcPr>
            <w:shd w:val="clear" w:color="000000" w:fill="ffffff"/>
            <w:tcW w:w="292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轿车</w:t>
            </w:r>
            <w:r>
              <w:rPr>
                <w:rFonts w:hint="eastAsia" w:ascii="方正仿宋_GBK" w:hAnsi="方正仿宋_GBK" w:eastAsia="方正仿宋_GBK" w:cs="方正仿宋_GBK"/>
                <w:sz w:val="28"/>
                <w:szCs w:val="28"/>
              </w:rPr>
              <w:t xml:space="preserve">14辆</w:t>
            </w:r>
            <w:r/>
          </w:p>
        </w:tc>
        <w:tc>
          <w:tcPr>
            <w:shd w:val="clear" w:color="000000" w:fill="ffffff"/>
            <w:tcW w:w="2677"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工业</w:t>
            </w:r>
            <w:r/>
          </w:p>
        </w:tc>
      </w:tr>
      <w:tr>
        <w:trPr>
          <w:cantSplit/>
          <w:jc w:val="center"/>
          <w:trHeight w:val="222"/>
        </w:trPr>
        <w:tc>
          <w:tcPr>
            <w:shd w:val="clear" w:color="000000" w:fill="ffffff"/>
            <w:tcW w:w="790"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2</w:t>
            </w:r>
            <w:r/>
          </w:p>
        </w:tc>
        <w:tc>
          <w:tcPr>
            <w:shd w:val="clear" w:color="000000" w:fill="ffffff"/>
            <w:tcW w:w="1321"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1</w:t>
            </w:r>
            <w:r/>
          </w:p>
        </w:tc>
        <w:tc>
          <w:tcPr>
            <w:shd w:val="clear" w:color="000000" w:fill="ffffff"/>
            <w:tcW w:w="292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商务车</w:t>
            </w:r>
            <w:r>
              <w:rPr>
                <w:rFonts w:hint="eastAsia" w:ascii="方正仿宋_GBK" w:hAnsi="方正仿宋_GBK" w:eastAsia="方正仿宋_GBK" w:cs="方正仿宋_GBK"/>
                <w:sz w:val="28"/>
                <w:szCs w:val="28"/>
              </w:rPr>
              <w:t xml:space="preserve">6辆</w:t>
            </w:r>
            <w:r/>
          </w:p>
        </w:tc>
        <w:tc>
          <w:tcPr>
            <w:shd w:val="clear" w:color="000000" w:fill="ffffff"/>
            <w:tcW w:w="2677"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工业</w:t>
            </w:r>
            <w:r/>
          </w:p>
        </w:tc>
      </w:tr>
      <w:tr>
        <w:trPr>
          <w:cantSplit/>
          <w:jc w:val="center"/>
          <w:trHeight w:val="222"/>
        </w:trPr>
        <w:tc>
          <w:tcPr>
            <w:shd w:val="clear" w:color="000000" w:fill="ffffff"/>
            <w:tcW w:w="790"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r>
            <w:r/>
          </w:p>
        </w:tc>
        <w:tc>
          <w:tcPr>
            <w:shd w:val="clear" w:color="000000" w:fill="ffffff"/>
            <w:tcW w:w="1321"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r>
            <w:r/>
          </w:p>
        </w:tc>
        <w:tc>
          <w:tcPr>
            <w:shd w:val="clear" w:color="000000" w:fill="ffffff"/>
            <w:tcW w:w="292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shd w:val="clear" w:color="000000" w:fill="ffffff"/>
            <w:tcW w:w="2677"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r>
            <w:r/>
          </w:p>
        </w:tc>
      </w:tr>
    </w:tbl>
    <w:p>
      <w:pPr>
        <w:numPr>
          <w:ilvl w:val="0"/>
          <w:numId w:val="7"/>
        </w:numPr>
        <w:rPr>
          <w:rFonts w:eastAsia="方正仿宋_GBK"/>
          <w:sz w:val="28"/>
          <w:szCs w:val="28"/>
        </w:rPr>
      </w:pPr>
      <w:r>
        <w:rPr>
          <w:rFonts w:hint="eastAsia" w:eastAsia="方正仿宋_GBK"/>
          <w:sz w:val="28"/>
          <w:szCs w:val="28"/>
        </w:rPr>
        <w:t xml:space="preserve">项目名称：</w:t>
      </w:r>
      <w:r>
        <w:rPr>
          <w:rFonts w:eastAsia="方正仿宋_GBK"/>
          <w:sz w:val="28"/>
          <w:szCs w:val="28"/>
        </w:rPr>
        <w:t xml:space="preserve">江苏省特检院业务用车采购</w:t>
      </w:r>
      <w:r/>
    </w:p>
    <w:p>
      <w:pPr>
        <w:numPr>
          <w:ilvl w:val="0"/>
          <w:numId w:val="7"/>
        </w:numP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采购编号：</w:t>
      </w:r>
      <w:r>
        <w:rPr>
          <w:rFonts w:eastAsia="方正仿宋_GBK"/>
          <w:sz w:val="28"/>
          <w:szCs w:val="28"/>
        </w:rPr>
        <w:t xml:space="preserve">JSZC-320000-SCZX-G2026-0486</w:t>
      </w:r>
      <w:r/>
    </w:p>
    <w:p>
      <w:pPr>
        <w:rPr>
          <w:rFonts w:eastAsia="方正仿宋_GBK"/>
          <w:sz w:val="28"/>
          <w:szCs w:val="28"/>
        </w:rPr>
      </w:pPr>
      <w:r>
        <w:rPr>
          <w:rFonts w:hint="eastAsia" w:eastAsia="方正仿宋_GBK"/>
          <w:sz w:val="28"/>
          <w:szCs w:val="28"/>
        </w:rPr>
        <w:t xml:space="preserve">3.</w:t>
      </w:r>
      <w:r>
        <w:rPr>
          <w:rFonts w:hint="eastAsia" w:eastAsia="方正仿宋_GBK"/>
          <w:sz w:val="28"/>
          <w:szCs w:val="28"/>
        </w:rPr>
        <w:t xml:space="preserve">预算金额：</w:t>
      </w:r>
      <w:r>
        <w:rPr>
          <w:rFonts w:hint="eastAsia" w:eastAsia="方正仿宋_GBK"/>
          <w:sz w:val="28"/>
          <w:szCs w:val="28"/>
        </w:rPr>
        <w:t xml:space="preserve">402</w:t>
      </w:r>
      <w:r>
        <w:rPr>
          <w:rFonts w:hint="eastAsia" w:eastAsia="方正仿宋_GBK"/>
          <w:sz w:val="28"/>
          <w:szCs w:val="28"/>
        </w:rPr>
        <w:t xml:space="preserve">万元</w:t>
      </w:r>
      <w:r/>
    </w:p>
    <w:p>
      <w:pPr>
        <w:rPr>
          <w:rFonts w:eastAsia="方正仿宋_GBK"/>
          <w:sz w:val="28"/>
          <w:szCs w:val="28"/>
        </w:rPr>
      </w:pPr>
      <w:r>
        <w:rPr>
          <w:rFonts w:hint="eastAsia" w:eastAsia="方正仿宋_GBK"/>
          <w:sz w:val="28"/>
          <w:szCs w:val="28"/>
        </w:rPr>
        <w:t xml:space="preserve">4.</w:t>
      </w:r>
      <w:r>
        <w:rPr>
          <w:rFonts w:hint="eastAsia" w:eastAsia="方正仿宋_GBK"/>
          <w:sz w:val="28"/>
          <w:szCs w:val="28"/>
        </w:rPr>
        <w:t xml:space="preserve">最高限价：</w:t>
      </w:r>
      <w:r/>
    </w:p>
    <w:p>
      <w:pPr>
        <w:ind w:firstLine="280"/>
        <w:rPr>
          <w:rFonts w:eastAsia="方正仿宋_GBK"/>
          <w:sz w:val="28"/>
          <w:szCs w:val="28"/>
        </w:rPr>
      </w:pPr>
      <w:r>
        <w:rPr>
          <w:rFonts w:hint="eastAsia" w:eastAsia="方正仿宋_GBK"/>
          <w:sz w:val="28"/>
          <w:szCs w:val="28"/>
        </w:rPr>
        <w:t xml:space="preserve">分包</w:t>
      </w:r>
      <w:r>
        <w:rPr>
          <w:rFonts w:hint="eastAsia" w:eastAsia="方正仿宋_GBK"/>
          <w:sz w:val="28"/>
          <w:szCs w:val="28"/>
        </w:rPr>
        <w:t xml:space="preserve">1</w:t>
      </w:r>
      <w:r>
        <w:rPr>
          <w:rFonts w:hint="eastAsia" w:eastAsia="方正仿宋_GBK"/>
          <w:sz w:val="28"/>
          <w:szCs w:val="28"/>
        </w:rPr>
        <w:t xml:space="preserve">：</w:t>
      </w:r>
      <w:r>
        <w:rPr>
          <w:rFonts w:hint="eastAsia" w:eastAsia="方正仿宋_GBK"/>
          <w:sz w:val="28"/>
          <w:szCs w:val="28"/>
        </w:rPr>
        <w:t xml:space="preserve">252</w:t>
      </w:r>
      <w:r>
        <w:rPr>
          <w:rFonts w:hint="eastAsia" w:eastAsia="方正仿宋_GBK"/>
          <w:sz w:val="28"/>
          <w:szCs w:val="28"/>
        </w:rPr>
        <w:t xml:space="preserve">万元（</w:t>
      </w:r>
      <w:r>
        <w:rPr>
          <w:rFonts w:eastAsia="方正仿宋_GBK"/>
          <w:sz w:val="28"/>
          <w:szCs w:val="28"/>
        </w:rPr>
        <w:t xml:space="preserve">轿车</w:t>
      </w:r>
      <w:r>
        <w:rPr>
          <w:rFonts w:hint="eastAsia" w:eastAsia="方正仿宋_GBK"/>
          <w:sz w:val="28"/>
          <w:szCs w:val="28"/>
        </w:rPr>
        <w:t xml:space="preserve">最高限价：</w:t>
      </w:r>
      <w:r>
        <w:rPr>
          <w:rFonts w:hint="eastAsia" w:eastAsia="方正仿宋_GBK"/>
          <w:sz w:val="28"/>
          <w:szCs w:val="28"/>
        </w:rPr>
        <w:t xml:space="preserve">18</w:t>
      </w:r>
      <w:r>
        <w:rPr>
          <w:rFonts w:hint="eastAsia" w:eastAsia="方正仿宋_GBK"/>
          <w:sz w:val="28"/>
          <w:szCs w:val="28"/>
        </w:rPr>
        <w:t xml:space="preserve">万元</w:t>
      </w:r>
      <w:r>
        <w:rPr>
          <w:rFonts w:hint="eastAsia" w:eastAsia="方正仿宋_GBK"/>
          <w:sz w:val="28"/>
          <w:szCs w:val="28"/>
        </w:rPr>
        <w:t xml:space="preserve">/</w:t>
      </w:r>
      <w:r>
        <w:rPr>
          <w:rFonts w:hint="eastAsia" w:eastAsia="方正仿宋_GBK"/>
          <w:sz w:val="28"/>
          <w:szCs w:val="28"/>
        </w:rPr>
        <w:t xml:space="preserve">辆）</w:t>
      </w:r>
      <w:r/>
    </w:p>
    <w:p>
      <w:pPr>
        <w:ind w:firstLine="280"/>
        <w:rPr>
          <w:rFonts w:eastAsia="方正仿宋_GBK"/>
          <w:sz w:val="28"/>
          <w:szCs w:val="28"/>
        </w:rPr>
      </w:pPr>
      <w:r>
        <w:rPr>
          <w:rFonts w:hint="eastAsia" w:eastAsia="方正仿宋_GBK"/>
          <w:sz w:val="28"/>
          <w:szCs w:val="28"/>
        </w:rPr>
        <w:t xml:space="preserve">分包</w:t>
      </w:r>
      <w:r>
        <w:rPr>
          <w:rFonts w:hint="eastAsia" w:eastAsia="方正仿宋_GBK"/>
          <w:sz w:val="28"/>
          <w:szCs w:val="28"/>
        </w:rPr>
        <w:t xml:space="preserve">2</w:t>
      </w:r>
      <w:r>
        <w:rPr>
          <w:rFonts w:hint="eastAsia" w:eastAsia="方正仿宋_GBK"/>
          <w:sz w:val="28"/>
          <w:szCs w:val="28"/>
        </w:rPr>
        <w:t xml:space="preserve">：</w:t>
      </w:r>
      <w:r>
        <w:rPr>
          <w:rFonts w:hint="eastAsia" w:eastAsia="方正仿宋_GBK"/>
          <w:sz w:val="28"/>
          <w:szCs w:val="28"/>
        </w:rPr>
        <w:t xml:space="preserve">150</w:t>
      </w:r>
      <w:r>
        <w:rPr>
          <w:rFonts w:hint="eastAsia" w:eastAsia="方正仿宋_GBK"/>
          <w:sz w:val="28"/>
          <w:szCs w:val="28"/>
        </w:rPr>
        <w:t xml:space="preserve">万元（商务车最高限价：</w:t>
      </w:r>
      <w:r>
        <w:rPr>
          <w:rFonts w:hint="eastAsia" w:eastAsia="方正仿宋_GBK"/>
          <w:sz w:val="28"/>
          <w:szCs w:val="28"/>
        </w:rPr>
        <w:t xml:space="preserve">25</w:t>
      </w:r>
      <w:r>
        <w:rPr>
          <w:rFonts w:hint="eastAsia" w:eastAsia="方正仿宋_GBK"/>
          <w:sz w:val="28"/>
          <w:szCs w:val="28"/>
        </w:rPr>
        <w:t xml:space="preserve">万元</w:t>
      </w:r>
      <w:r>
        <w:rPr>
          <w:rFonts w:hint="eastAsia" w:eastAsia="方正仿宋_GBK"/>
          <w:sz w:val="28"/>
          <w:szCs w:val="28"/>
        </w:rPr>
        <w:t xml:space="preserve">/</w:t>
      </w:r>
      <w:r>
        <w:rPr>
          <w:rFonts w:hint="eastAsia" w:eastAsia="方正仿宋_GBK"/>
          <w:sz w:val="28"/>
          <w:szCs w:val="28"/>
        </w:rPr>
        <w:t xml:space="preserve">辆）</w:t>
      </w:r>
      <w:r/>
    </w:p>
    <w:p>
      <w:pPr>
        <w:rPr>
          <w:rFonts w:eastAsia="方正仿宋_GBK"/>
          <w:sz w:val="28"/>
          <w:szCs w:val="28"/>
        </w:rPr>
      </w:pPr>
      <w:r>
        <w:rPr>
          <w:rFonts w:hint="eastAsia" w:eastAsia="方正仿宋_GBK"/>
          <w:sz w:val="28"/>
          <w:szCs w:val="28"/>
        </w:rPr>
        <w:t xml:space="preserve">5.</w:t>
      </w:r>
      <w:r>
        <w:rPr>
          <w:rFonts w:hint="eastAsia" w:eastAsia="方正仿宋_GBK"/>
          <w:sz w:val="28"/>
          <w:szCs w:val="28"/>
        </w:rPr>
        <w:t xml:space="preserve">采购项目概况（简介）：江苏省特检院部分业务用车已达报废年限，安全性能存在隐患，无法保障日常业务需求。依据上级部门关于年度公车报废更新购置相关文件精神，拟采购</w:t>
      </w:r>
      <w:r>
        <w:rPr>
          <w:rFonts w:hint="eastAsia" w:eastAsia="方正仿宋_GBK"/>
          <w:sz w:val="28"/>
          <w:szCs w:val="28"/>
        </w:rPr>
        <w:t xml:space="preserve">20</w:t>
      </w:r>
      <w:r>
        <w:rPr>
          <w:rFonts w:hint="eastAsia" w:eastAsia="方正仿宋_GBK"/>
          <w:sz w:val="28"/>
          <w:szCs w:val="28"/>
        </w:rPr>
        <w:t xml:space="preserve">辆业务用车，其中</w:t>
      </w:r>
      <w:r>
        <w:rPr>
          <w:rFonts w:hint="eastAsia" w:eastAsia="方正仿宋_GBK"/>
          <w:sz w:val="28"/>
          <w:szCs w:val="28"/>
        </w:rPr>
        <w:t xml:space="preserve">14</w:t>
      </w:r>
      <w:r>
        <w:rPr>
          <w:rFonts w:hint="eastAsia" w:eastAsia="方正仿宋_GBK"/>
          <w:sz w:val="28"/>
          <w:szCs w:val="28"/>
        </w:rPr>
        <w:t xml:space="preserve">辆为普通轿车、</w:t>
      </w:r>
      <w:r>
        <w:rPr>
          <w:rFonts w:hint="eastAsia" w:eastAsia="方正仿宋_GBK"/>
          <w:sz w:val="28"/>
          <w:szCs w:val="28"/>
        </w:rPr>
        <w:t xml:space="preserve">6</w:t>
      </w:r>
      <w:r>
        <w:rPr>
          <w:rFonts w:hint="eastAsia" w:eastAsia="方正仿宋_GBK"/>
          <w:sz w:val="28"/>
          <w:szCs w:val="28"/>
        </w:rPr>
        <w:t xml:space="preserve">辆为商务车，全部为新能源汽车。</w:t>
      </w:r>
      <w:r/>
    </w:p>
    <w:p>
      <w:pPr>
        <w:rPr>
          <w:rFonts w:eastAsia="方正仿宋_GBK"/>
          <w:sz w:val="28"/>
          <w:szCs w:val="28"/>
        </w:rPr>
      </w:pPr>
      <w:r>
        <w:rPr>
          <w:rFonts w:hint="eastAsia" w:eastAsia="方正仿宋_GBK"/>
          <w:sz w:val="28"/>
          <w:szCs w:val="28"/>
        </w:rPr>
        <w:t xml:space="preserve">6.</w:t>
      </w:r>
      <w:r>
        <w:rPr>
          <w:rFonts w:hint="eastAsia" w:eastAsia="方正仿宋_GBK"/>
          <w:sz w:val="28"/>
          <w:szCs w:val="28"/>
        </w:rPr>
        <w:t xml:space="preserve">合同履行期限：合同签订后</w:t>
      </w:r>
      <w:r>
        <w:rPr>
          <w:rFonts w:hint="eastAsia" w:eastAsia="方正仿宋_GBK"/>
          <w:sz w:val="28"/>
          <w:szCs w:val="28"/>
        </w:rPr>
        <w:t xml:space="preserve">20</w:t>
      </w:r>
      <w:r>
        <w:rPr>
          <w:rFonts w:hint="eastAsia" w:eastAsia="方正仿宋_GBK"/>
          <w:sz w:val="28"/>
          <w:szCs w:val="28"/>
        </w:rPr>
        <w:t xml:space="preserve">日历日内交货（含</w:t>
      </w:r>
      <w:r>
        <w:rPr>
          <w:rFonts w:hint="eastAsia" w:eastAsia="方正仿宋_GBK"/>
          <w:sz w:val="28"/>
          <w:szCs w:val="28"/>
        </w:rPr>
        <w:t xml:space="preserve">20</w:t>
      </w:r>
      <w:r>
        <w:rPr>
          <w:rFonts w:hint="eastAsia" w:eastAsia="方正仿宋_GBK"/>
          <w:sz w:val="28"/>
          <w:szCs w:val="28"/>
        </w:rPr>
        <w:t xml:space="preserve">日）</w:t>
      </w:r>
      <w:r/>
    </w:p>
    <w:p>
      <w:pPr>
        <w:rPr>
          <w:rFonts w:eastAsia="方正仿宋_GBK"/>
          <w:sz w:val="28"/>
          <w:szCs w:val="28"/>
        </w:rPr>
      </w:pPr>
      <w:r>
        <w:rPr>
          <w:rFonts w:hint="eastAsia" w:eastAsia="方正仿宋_GBK"/>
          <w:sz w:val="28"/>
          <w:szCs w:val="28"/>
        </w:rPr>
        <w:t xml:space="preserve">7.</w:t>
      </w:r>
      <w:r>
        <w:rPr>
          <w:rFonts w:hint="eastAsia" w:eastAsia="方正仿宋_GBK"/>
          <w:sz w:val="28"/>
          <w:szCs w:val="28"/>
        </w:rPr>
        <w:t xml:space="preserve">是</w:t>
      </w:r>
      <w:r>
        <w:rPr>
          <w:rFonts w:hint="eastAsia" w:eastAsia="方正仿宋_GBK"/>
          <w:sz w:val="28"/>
          <w:szCs w:val="28"/>
        </w:rPr>
        <w:t xml:space="preserve">/</w:t>
      </w:r>
      <w:r>
        <w:rPr>
          <w:rFonts w:hint="eastAsia" w:eastAsia="方正仿宋_GBK"/>
          <w:sz w:val="28"/>
          <w:szCs w:val="28"/>
        </w:rPr>
        <w:t xml:space="preserve">否接受联合体投标：不接受</w:t>
      </w:r>
      <w:r/>
    </w:p>
    <w:p>
      <w:pPr>
        <w:rPr>
          <w:rFonts w:eastAsia="方正仿宋_GBK"/>
          <w:sz w:val="28"/>
          <w:szCs w:val="28"/>
        </w:rPr>
      </w:pPr>
      <w:r>
        <w:rPr>
          <w:rFonts w:hint="eastAsia" w:eastAsia="方正仿宋_GBK"/>
          <w:sz w:val="28"/>
          <w:szCs w:val="28"/>
        </w:rPr>
        <w:t xml:space="preserve">8.</w:t>
      </w:r>
      <w:r>
        <w:rPr>
          <w:rFonts w:hint="eastAsia" w:eastAsia="方正仿宋_GBK"/>
          <w:sz w:val="28"/>
          <w:szCs w:val="28"/>
        </w:rPr>
        <w:t xml:space="preserve">是</w:t>
      </w:r>
      <w:r>
        <w:rPr>
          <w:rFonts w:hint="eastAsia" w:eastAsia="方正仿宋_GBK"/>
          <w:sz w:val="28"/>
          <w:szCs w:val="28"/>
        </w:rPr>
        <w:t xml:space="preserve">/</w:t>
      </w:r>
      <w:r>
        <w:rPr>
          <w:rFonts w:hint="eastAsia" w:eastAsia="方正仿宋_GBK"/>
          <w:sz w:val="28"/>
          <w:szCs w:val="28"/>
        </w:rPr>
        <w:t xml:space="preserve">否接受分支机构参与响应：不接受</w:t>
      </w:r>
      <w:r/>
    </w:p>
    <w:p>
      <w:pPr>
        <w:rPr>
          <w:rFonts w:eastAsia="方正仿宋_GBK"/>
          <w:sz w:val="28"/>
          <w:szCs w:val="28"/>
        </w:rPr>
      </w:pPr>
      <w:r>
        <w:rPr>
          <w:rFonts w:hint="eastAsia" w:eastAsia="方正仿宋_GBK"/>
          <w:sz w:val="28"/>
          <w:szCs w:val="28"/>
        </w:rPr>
        <w:t xml:space="preserve">9.</w:t>
      </w:r>
      <w:r>
        <w:rPr>
          <w:rFonts w:hint="eastAsia" w:eastAsia="方正仿宋_GBK"/>
          <w:sz w:val="28"/>
          <w:szCs w:val="28"/>
        </w:rPr>
        <w:t xml:space="preserve">是</w:t>
      </w:r>
      <w:r>
        <w:rPr>
          <w:rFonts w:hint="eastAsia" w:eastAsia="方正仿宋_GBK"/>
          <w:sz w:val="28"/>
          <w:szCs w:val="28"/>
        </w:rPr>
        <w:t xml:space="preserve">/</w:t>
      </w:r>
      <w:r>
        <w:rPr>
          <w:rFonts w:hint="eastAsia" w:eastAsia="方正仿宋_GBK"/>
          <w:sz w:val="28"/>
          <w:szCs w:val="28"/>
        </w:rPr>
        <w:t xml:space="preserve">否接受进口产品投标：不接受</w:t>
      </w:r>
      <w:r/>
    </w:p>
    <w:p>
      <w:pPr>
        <w:rPr>
          <w:rFonts w:eastAsia="方正仿宋_GBK"/>
          <w:sz w:val="28"/>
          <w:szCs w:val="28"/>
        </w:rPr>
      </w:pPr>
      <w:r>
        <w:rPr>
          <w:rFonts w:hint="eastAsia" w:eastAsia="方正仿宋_GBK"/>
          <w:sz w:val="28"/>
          <w:szCs w:val="28"/>
        </w:rPr>
        <w:t xml:space="preserve">10.</w:t>
      </w:r>
      <w:r>
        <w:rPr>
          <w:rFonts w:hint="eastAsia" w:eastAsia="方正仿宋_GBK"/>
          <w:sz w:val="28"/>
          <w:szCs w:val="28"/>
        </w:rPr>
        <w:t xml:space="preserve">是</w:t>
      </w:r>
      <w:r>
        <w:rPr>
          <w:rFonts w:hint="eastAsia" w:eastAsia="方正仿宋_GBK"/>
          <w:sz w:val="28"/>
          <w:szCs w:val="28"/>
        </w:rPr>
        <w:t xml:space="preserve">/</w:t>
      </w:r>
      <w:r>
        <w:rPr>
          <w:rFonts w:hint="eastAsia" w:eastAsia="方正仿宋_GBK"/>
          <w:sz w:val="28"/>
          <w:szCs w:val="28"/>
        </w:rPr>
        <w:t xml:space="preserve">否专门面向中小企业预留采购份额：不专门面向中小企业</w:t>
      </w:r>
      <w:r/>
    </w:p>
    <w:p>
      <w:pPr>
        <w:rPr>
          <w:rFonts w:eastAsia="方正仿宋_GBK"/>
          <w:sz w:val="28"/>
          <w:szCs w:val="28"/>
        </w:rPr>
      </w:pPr>
      <w:r>
        <w:rPr>
          <w:rFonts w:hint="eastAsia" w:eastAsia="方正仿宋_GBK"/>
          <w:sz w:val="28"/>
          <w:szCs w:val="28"/>
        </w:rPr>
        <w:t xml:space="preserve">11.</w:t>
      </w:r>
      <w:r>
        <w:rPr>
          <w:rFonts w:hint="eastAsia" w:eastAsia="方正仿宋_GBK"/>
          <w:sz w:val="28"/>
          <w:szCs w:val="28"/>
        </w:rPr>
        <w:t xml:space="preserve">本项目的特定资格要求：无</w:t>
      </w:r>
      <w:r/>
    </w:p>
    <w:p>
      <w:pPr>
        <w:rPr>
          <w:rFonts w:eastAsia="方正仿宋_GBK"/>
          <w:sz w:val="28"/>
          <w:szCs w:val="28"/>
        </w:rPr>
      </w:pPr>
      <w:r>
        <w:rPr>
          <w:rFonts w:hint="eastAsia" w:eastAsia="方正仿宋_GBK"/>
          <w:sz w:val="28"/>
          <w:szCs w:val="28"/>
        </w:rPr>
        <w:t xml:space="preserve">12.</w:t>
      </w:r>
      <w:r>
        <w:rPr>
          <w:rFonts w:hint="eastAsia" w:eastAsia="方正仿宋_GBK"/>
          <w:sz w:val="28"/>
          <w:szCs w:val="28"/>
        </w:rPr>
        <w:t xml:space="preserve">项目类别：货物类</w:t>
      </w:r>
      <w:r>
        <w:rPr>
          <w:rFonts w:hint="eastAsia" w:eastAsia="方正仿宋_GBK"/>
          <w:sz w:val="28"/>
          <w:szCs w:val="28"/>
        </w:rPr>
        <w:t xml:space="preserve"> </w:t>
      </w:r>
      <w:r/>
    </w:p>
    <w:p>
      <w:pPr>
        <w:pStyle w:val="766"/>
        <w:jc w:val="left"/>
        <w:spacing w:line="400" w:lineRule="exact"/>
        <w:rPr>
          <w:rFonts w:hint="eastAsia" w:ascii="黑体" w:hAnsi="黑体" w:eastAsia="黑体"/>
          <w:b/>
          <w:bCs/>
          <w:color w:val="auto"/>
          <w:sz w:val="28"/>
          <w:szCs w:val="28"/>
        </w:rPr>
      </w:pPr>
      <w:r>
        <w:rPr>
          <w:rFonts w:hint="eastAsia" w:ascii="黑体" w:hAnsi="黑体" w:eastAsia="黑体"/>
          <w:b/>
          <w:bCs/>
          <w:color w:val="auto"/>
          <w:sz w:val="28"/>
          <w:szCs w:val="28"/>
        </w:rPr>
        <w:t xml:space="preserve">二、政府采购中实施本国产品标准及相关政策</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2.适用本国产品标准的货物具体是指《政府采购品目分类目录》中的货物类产品，但不包括其中的房屋和构筑物，文物和陈列品，图书和</w:t>
      </w:r>
      <w:r>
        <w:rPr>
          <w:rFonts w:hint="eastAsia" w:ascii="方正仿宋_GBK" w:hAnsi="方正仿宋_GBK" w:eastAsia="方正仿宋_GBK" w:cs="方正仿宋_GBK"/>
          <w:bCs/>
          <w:sz w:val="28"/>
          <w:szCs w:val="28"/>
        </w:rPr>
        <w:t xml:space="preserve">档案，特种动植物，农林牧渔业产品，矿与矿物，电力、城市燃气、蒸汽和热水、水，食品、饮料和烟草原料，无形资产。</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6"/>
        <w:jc w:val="left"/>
        <w:spacing w:line="400" w:lineRule="exact"/>
        <w:rPr>
          <w:rFonts w:hint="eastAsia" w:ascii="黑体" w:hAnsi="黑体" w:eastAsia="黑体"/>
          <w:b/>
          <w:bCs/>
          <w:color w:val="auto"/>
          <w:sz w:val="28"/>
          <w:szCs w:val="28"/>
        </w:rPr>
      </w:pPr>
      <w:r>
        <w:rPr>
          <w:rFonts w:hint="eastAsia" w:ascii="黑体" w:hAnsi="黑体" w:eastAsia="黑体"/>
          <w:b/>
          <w:bCs/>
          <w:color w:val="auto"/>
          <w:sz w:val="28"/>
          <w:szCs w:val="28"/>
        </w:rPr>
        <w:t xml:space="preserve">三、技术要求</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numPr>
          <w:ilvl w:val="0"/>
          <w:numId w:val="8"/>
        </w:numPr>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技术要求</w:t>
      </w:r>
      <w:r/>
    </w:p>
    <w:p>
      <w:pPr>
        <w:numPr>
          <w:ilvl w:val="255"/>
          <w:numId w:val="0"/>
        </w:numPr>
        <w:ind w:firstLine="240"/>
        <w:spacing w:line="360" w:lineRule="auto"/>
        <w:rPr>
          <w:rFonts w:hint="eastAsia" w:ascii="宋体" w:hAnsi="宋体" w:cs="宋体"/>
          <w:b/>
          <w:bCs/>
          <w:sz w:val="24"/>
          <w:szCs w:val="24"/>
          <w:lang w:bidi="ar"/>
        </w:rPr>
      </w:pPr>
      <w:r>
        <w:rPr>
          <w:rFonts w:hint="eastAsia" w:ascii="宋体" w:hAnsi="宋体" w:cs="宋体"/>
          <w:sz w:val="24"/>
          <w:szCs w:val="24"/>
        </w:rPr>
        <w:t xml:space="preserve">本技术参数表内所有技术指标，均为投标车型</w:t>
      </w:r>
      <w:r>
        <w:rPr>
          <w:rStyle w:val="815"/>
          <w:rFonts w:hint="eastAsia" w:ascii="宋体" w:hAnsi="宋体" w:cs="宋体"/>
          <w:sz w:val="24"/>
          <w:szCs w:val="24"/>
        </w:rPr>
        <w:t xml:space="preserve">出厂标准配置</w:t>
      </w:r>
      <w:r>
        <w:rPr>
          <w:rFonts w:hint="eastAsia" w:ascii="宋体" w:hAnsi="宋体" w:cs="宋体"/>
          <w:sz w:val="24"/>
          <w:szCs w:val="24"/>
        </w:rPr>
        <w:t xml:space="preserve">，不接受选装件、付费升级包、后期加装实现。投标人须提供车企官方公开配置资料佐证；评标阶段若查实该项为选装配置，视为负偏离。供货验收时，实车配置须与投标承诺的出厂标配保持一致。</w:t>
      </w:r>
      <w:r/>
    </w:p>
    <w:p>
      <w:pPr>
        <w:spacing w:line="360" w:lineRule="auto"/>
        <w:rPr>
          <w:rFonts w:hint="eastAsia" w:ascii="宋体" w:hAnsi="宋体" w:cs="宋体"/>
          <w:sz w:val="24"/>
          <w:szCs w:val="24"/>
        </w:rPr>
      </w:pPr>
      <w:r>
        <w:rPr>
          <w:rFonts w:hint="eastAsia" w:ascii="宋体" w:hAnsi="宋体" w:cs="宋体"/>
          <w:sz w:val="24"/>
          <w:szCs w:val="24"/>
          <w:lang w:bidi="ar"/>
        </w:rPr>
        <w:t xml:space="preserve">分包1：轿车14辆</w:t>
      </w:r>
      <w:r/>
    </w:p>
    <w:tbl>
      <w:tblPr>
        <w:tblStyle w:val="814"/>
        <w:tblW w:w="106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59"/>
        <w:gridCol w:w="3483"/>
        <w:gridCol w:w="5257"/>
      </w:tblGrid>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整车参数要求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★车型要求</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插电式混合动力轿车</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★整车长度（mm）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≥5060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★整车宽度（mm）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≥1910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★整车高度（mm）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≥1480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★总质量（kg）</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≤2650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★整备质量（kg）</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≤2250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★额定载客（含驾驶员）（人）</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5</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轴距（mm）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≥2870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前悬（mm）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≥840</w:t>
            </w:r>
            <w:r/>
          </w:p>
        </w:tc>
      </w:tr>
      <w:tr>
        <w:trPr>
          <w:jc w:val="center"/>
          <w:trHeight w:val="90"/>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后悬（mm）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≥950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接近角（°）</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≥13</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离去角（°）</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≥14</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前轮距（mm）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≥1680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后轮距（mm）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≥1690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highlight w:val="yellow"/>
              </w:rPr>
            </w:pPr>
            <w:r>
              <w:rPr>
                <w:rFonts w:hint="eastAsia" w:ascii="宋体" w:hAnsi="宋体" w:cs="宋体"/>
                <w:sz w:val="24"/>
                <w:szCs w:val="24"/>
                <w:highlight w:val="yellow"/>
                <w:lang w:bidi="ar"/>
              </w:rPr>
              <w:t xml:space="preserve">最小离地间隙（mm）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highlight w:val="yellow"/>
              </w:rPr>
            </w:pPr>
            <w:r>
              <w:rPr>
                <w:rFonts w:hint="eastAsia" w:ascii="宋体" w:hAnsi="宋体" w:cs="宋体"/>
                <w:sz w:val="24"/>
                <w:szCs w:val="24"/>
                <w:highlight w:val="yellow"/>
                <w:lang w:bidi="ar"/>
              </w:rPr>
              <w:t xml:space="preserve">≥120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CLTC纯电续航里程（km）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≥220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CLTC综合续航里程（km）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≥1200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highlight w:val="yellow"/>
                <w:lang w:bidi="ar"/>
              </w:rPr>
            </w:pPr>
            <w:r>
              <w:rPr>
                <w:rFonts w:hint="eastAsia" w:ascii="宋体" w:hAnsi="宋体" w:cs="宋体"/>
                <w:sz w:val="24"/>
                <w:szCs w:val="24"/>
                <w:highlight w:val="yellow"/>
                <w:lang w:bidi="ar"/>
              </w:rPr>
              <w:t xml:space="preserve">车体结构</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highlight w:val="yellow"/>
                <w:lang w:bidi="ar"/>
              </w:rPr>
            </w:pPr>
            <w:r>
              <w:rPr>
                <w:rFonts w:hint="eastAsia" w:ascii="宋体" w:hAnsi="宋体" w:cs="宋体"/>
                <w:sz w:val="24"/>
                <w:szCs w:val="24"/>
                <w:highlight w:val="yellow"/>
                <w:lang w:bidi="ar"/>
              </w:rPr>
              <w:t xml:space="preserve">承载式</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油箱容积（L）</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≥50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发动机、电动机要求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★燃料种类</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汽油/电混合动力</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★排放标准</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国六及以上</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★排量（ml）</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≤1800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发动机功率（kw）</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≥105</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发动机最大扭矩（</w:t>
            </w:r>
            <w:r>
              <w:rPr>
                <w:rFonts w:hint="eastAsia" w:ascii="宋体" w:hAnsi="宋体" w:cs="宋体"/>
                <w:sz w:val="24"/>
                <w:szCs w:val="24"/>
                <w:lang w:bidi="ar"/>
              </w:rPr>
              <w:t xml:space="preserve">N.m</w:t>
            </w:r>
            <w:r>
              <w:rPr>
                <w:rFonts w:hint="eastAsia" w:ascii="宋体" w:hAnsi="宋体" w:cs="宋体"/>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≥220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highlight w:val="yellow"/>
                <w:lang w:bidi="ar"/>
              </w:rPr>
            </w:pPr>
            <w:r>
              <w:rPr>
                <w:rFonts w:hint="eastAsia" w:ascii="宋体" w:hAnsi="宋体" w:cs="宋体"/>
                <w:sz w:val="24"/>
                <w:szCs w:val="24"/>
                <w:highlight w:val="yellow"/>
                <w:lang w:bidi="ar"/>
              </w:rPr>
              <w:t xml:space="preserve">电动机类型</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highlight w:val="yellow"/>
                <w:lang w:bidi="ar"/>
              </w:rPr>
            </w:pPr>
            <w:r>
              <w:rPr>
                <w:rFonts w:hint="eastAsia" w:ascii="宋体" w:hAnsi="宋体" w:cs="宋体"/>
                <w:sz w:val="24"/>
                <w:szCs w:val="24"/>
                <w:highlight w:val="yellow"/>
                <w:lang w:bidi="ar"/>
              </w:rPr>
              <w:t xml:space="preserve">永磁同步</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电动机总功率（kw）</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≥270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系统综合功率（kw）</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≥350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系统综合扭矩（</w:t>
            </w:r>
            <w:r>
              <w:rPr>
                <w:rFonts w:hint="eastAsia" w:ascii="宋体" w:hAnsi="宋体" w:cs="宋体"/>
                <w:sz w:val="24"/>
                <w:szCs w:val="24"/>
                <w:lang w:bidi="ar"/>
              </w:rPr>
              <w:t xml:space="preserve">N.m</w:t>
            </w:r>
            <w:r>
              <w:rPr>
                <w:rFonts w:hint="eastAsia" w:ascii="宋体" w:hAnsi="宋体" w:cs="宋体"/>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≥750</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驱动方式</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双电机四驱</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底盘要求</w:t>
            </w:r>
            <w:r/>
          </w:p>
        </w:tc>
        <w:tc>
          <w:tcPr>
            <w:tcBorders>
              <w:top w:val="single" w:color="auto" w:sz="4" w:space="0"/>
              <w:left w:val="single" w:color="auto" w:sz="4" w:space="0"/>
              <w:bottom w:val="single" w:color="auto" w:sz="4" w:space="0"/>
              <w:right w:val="single" w:color="auto" w:sz="4" w:space="0"/>
            </w:tcBorders>
            <w:tcW w:w="3483"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悬挂系统</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前悬：</w:t>
            </w:r>
            <w:r>
              <w:rPr>
                <w:rFonts w:ascii="宋体" w:hAnsi="宋体" w:cs="宋体"/>
                <w:sz w:val="24"/>
                <w:szCs w:val="24"/>
              </w:rPr>
              <w:t xml:space="preserve">前悬架不低于双叉臂/双横臂独立悬架，或等效及以上规格独立悬架</w:t>
            </w:r>
            <w:r/>
          </w:p>
          <w:p>
            <w:pPr>
              <w:spacing w:line="360" w:lineRule="auto"/>
              <w:rPr>
                <w:rFonts w:hint="eastAsia" w:ascii="宋体" w:hAnsi="宋体" w:cs="宋体"/>
                <w:sz w:val="24"/>
                <w:szCs w:val="24"/>
              </w:rPr>
            </w:pPr>
            <w:r>
              <w:rPr>
                <w:rFonts w:hint="eastAsia" w:ascii="宋体" w:hAnsi="宋体" w:cs="宋体"/>
                <w:sz w:val="24"/>
                <w:szCs w:val="24"/>
                <w:lang w:bidi="ar"/>
              </w:rPr>
              <w:t xml:space="preserve">后悬：多连杆式独立悬架</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制动器类型</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前通风盘式/后通风盘式</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舒适配置要求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司机座椅电动调节</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副驾座椅电动调节</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前排座椅加热</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前排座椅通风</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第二排座椅</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靠背电动调节</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第二排座椅加热</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第二排座椅通风</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方向盘</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多功能真皮方向盘</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液晶仪表尺寸</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≥12.3英寸</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座椅材质</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仿皮</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空调系统</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自动空调，温度分区控制，后排独立空调</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空气净化系统</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车载空气净化器+负离子发生器</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触控式阅读灯</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后排侧隐私玻璃</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后尾门</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电动</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内后视镜</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自动防眩目</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外后视镜</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电动调节带加热、电动折叠</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车窗</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四门电动防夹</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全景天窗</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遥控钥匙</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蓝牙钥匙</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远程启停</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highlight w:val="yellow"/>
                <w:lang w:bidi="ar"/>
              </w:rPr>
            </w:pPr>
            <w:r>
              <w:rPr>
                <w:rFonts w:hint="eastAsia" w:ascii="宋体" w:hAnsi="宋体" w:cs="宋体"/>
                <w:sz w:val="24"/>
                <w:szCs w:val="24"/>
                <w:highlight w:val="yellow"/>
                <w:lang w:bidi="ar"/>
              </w:rPr>
              <w:t xml:space="preserve">感应后备箱</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highlight w:val="yellow"/>
                <w:lang w:bidi="ar"/>
              </w:rPr>
            </w:pPr>
            <w:r>
              <w:rPr>
                <w:rFonts w:hint="eastAsia" w:ascii="宋体" w:hAnsi="宋体" w:cs="宋体"/>
                <w:sz w:val="24"/>
                <w:szCs w:val="24"/>
                <w:highlight w:val="yellow"/>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雨刮器</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雨量感应式雨刷</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安全配置要求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胎压监测功能</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有（胎压显示）</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自适应巡航</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ABS+EBD+ESP</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刹车辅助</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牵引力控制</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自动驻车</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上坡辅助</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陡坡缓降</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自适应远近光</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自动大灯</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循迹倒车</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辅助泊车入位</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Height w:val="377"/>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540°超清全景影像</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Height w:val="497"/>
        </w:trPr>
        <w:tc>
          <w:tcPr>
            <w:tcBorders>
              <w:top w:val="single" w:color="auto" w:sz="4" w:space="0"/>
              <w:left w:val="single" w:color="auto" w:sz="4" w:space="0"/>
              <w:bottom w:val="single" w:color="auto" w:sz="4" w:space="0"/>
              <w:right w:val="single" w:color="auto" w:sz="4" w:space="0"/>
            </w:tcBorders>
            <w:tcW w:w="1959"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哨兵模式</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59" w:type="dxa"/>
            <w:vAlign w:val="center"/>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其他要求</w:t>
            </w:r>
            <w:r/>
          </w:p>
        </w:tc>
        <w:tc>
          <w:tcPr>
            <w:gridSpan w:val="2"/>
            <w:tcBorders>
              <w:top w:val="single" w:color="auto" w:sz="4" w:space="0"/>
              <w:left w:val="single" w:color="auto" w:sz="4" w:space="0"/>
              <w:bottom w:val="single" w:color="auto" w:sz="4" w:space="0"/>
              <w:right w:val="single" w:color="auto" w:sz="4" w:space="0"/>
            </w:tcBorders>
            <w:tcW w:w="8740" w:type="dxa"/>
            <w:textDirection w:val="lrTb"/>
            <w:noWrap w:val="false"/>
          </w:tcPr>
          <w:p>
            <w:pPr>
              <w:numPr>
                <w:ilvl w:val="0"/>
                <w:numId w:val="9"/>
              </w:numPr>
              <w:spacing w:line="360" w:lineRule="auto"/>
              <w:rPr>
                <w:rFonts w:hint="eastAsia" w:ascii="宋体" w:hAnsi="宋体" w:cs="宋体"/>
                <w:sz w:val="24"/>
                <w:szCs w:val="24"/>
                <w:lang w:bidi="ar"/>
              </w:rPr>
            </w:pPr>
            <w:r>
              <w:rPr>
                <w:rFonts w:hint="eastAsia" w:ascii="宋体" w:hAnsi="宋体" w:cs="宋体"/>
                <w:sz w:val="24"/>
                <w:szCs w:val="24"/>
                <w:lang w:bidi="ar"/>
              </w:rPr>
              <w:t xml:space="preserve">整车要符合国家现行标准，并列入国家机动车辆正式公告，符合工信部发改委《道路机动车辆生产企业及产品公告》，可以办理上牌、强制保险、商业保险等。</w:t>
            </w:r>
            <w:r/>
          </w:p>
          <w:p>
            <w:pPr>
              <w:spacing w:line="360" w:lineRule="auto"/>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highlight w:val="yellow"/>
                <w:lang w:bidi="ar"/>
              </w:rPr>
              <w:t xml:space="preserve">.投标时提供承诺书，承诺中标后交付车辆外观颜色为黑色。</w:t>
            </w:r>
            <w:r/>
          </w:p>
        </w:tc>
      </w:tr>
    </w:tbl>
    <w:p>
      <w:pPr>
        <w:spacing w:line="360" w:lineRule="auto"/>
        <w:rPr>
          <w:rFonts w:hint="eastAsia" w:ascii="宋体" w:hAnsi="宋体" w:cs="宋体"/>
          <w:sz w:val="24"/>
          <w:szCs w:val="24"/>
          <w:lang w:bidi="ar"/>
        </w:rPr>
      </w:pPr>
      <w:r>
        <w:rPr>
          <w:rFonts w:hint="eastAsia" w:ascii="宋体" w:hAnsi="宋体" w:cs="宋体"/>
          <w:sz w:val="24"/>
          <w:szCs w:val="24"/>
          <w:lang w:bidi="ar"/>
        </w:rPr>
      </w:r>
      <w:r/>
    </w:p>
    <w:p>
      <w:pPr>
        <w:spacing w:line="360" w:lineRule="auto"/>
        <w:rPr>
          <w:rFonts w:hint="eastAsia" w:ascii="宋体" w:hAnsi="宋体" w:cs="宋体"/>
          <w:sz w:val="24"/>
          <w:szCs w:val="24"/>
        </w:rPr>
      </w:pPr>
      <w:r>
        <w:rPr>
          <w:rFonts w:hint="eastAsia" w:ascii="宋体" w:hAnsi="宋体" w:cs="宋体"/>
          <w:sz w:val="24"/>
          <w:szCs w:val="24"/>
          <w:lang w:bidi="ar"/>
        </w:rPr>
        <w:t xml:space="preserve">分包2：商务车6辆</w:t>
      </w:r>
      <w:r/>
    </w:p>
    <w:tbl>
      <w:tblPr>
        <w:tblStyle w:val="814"/>
        <w:tblW w:w="10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05"/>
        <w:gridCol w:w="3483"/>
        <w:gridCol w:w="5257"/>
      </w:tblGrid>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整车参数要求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★车型要求</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插电式混合动力多用途乘用车</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★整车长度（mm）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≥5250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★整车宽度（mm）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≥1985</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★整车高度（mm）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≥1820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★总质量（kg）</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≤3150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★整备质量（kg）</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sz w:val="24"/>
              </w:rPr>
              <w:t xml:space="preserve">≤2600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★额定载客（含驾驶员）（人）</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7</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轴距（mm）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≥3070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前悬（mm）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≥900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后悬（mm）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≤1300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接近角（°）</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≥13</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离去角（°）</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≥12</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前轮距（mm）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≥1705</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后轮距（mm）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≤1720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highlight w:val="yellow"/>
              </w:rPr>
            </w:pPr>
            <w:r>
              <w:rPr>
                <w:rFonts w:hint="eastAsia" w:ascii="宋体" w:hAnsi="宋体" w:cs="宋体"/>
                <w:sz w:val="24"/>
                <w:szCs w:val="24"/>
                <w:highlight w:val="yellow"/>
                <w:lang w:bidi="ar"/>
              </w:rPr>
              <w:t xml:space="preserve">最小离地间隙（mm）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highlight w:val="yellow"/>
              </w:rPr>
            </w:pPr>
            <w:r>
              <w:rPr>
                <w:rFonts w:hint="eastAsia" w:ascii="宋体" w:hAnsi="宋体" w:cs="宋体"/>
                <w:sz w:val="24"/>
                <w:szCs w:val="24"/>
                <w:highlight w:val="yellow"/>
                <w:lang w:bidi="ar"/>
              </w:rPr>
              <w:t xml:space="preserve">≥120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CLTC纯电续航里程（km）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≥230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CLTC综合续航里程（km）</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≥1200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电池电量（kWh）</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≥42</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highlight w:val="yellow"/>
                <w:lang w:bidi="ar"/>
              </w:rPr>
            </w:pPr>
            <w:r>
              <w:rPr>
                <w:rFonts w:hint="eastAsia" w:ascii="宋体" w:hAnsi="宋体" w:cs="宋体"/>
                <w:sz w:val="24"/>
                <w:szCs w:val="24"/>
                <w:highlight w:val="yellow"/>
                <w:lang w:bidi="ar"/>
              </w:rPr>
              <w:t xml:space="preserve">车体结构</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highlight w:val="yellow"/>
                <w:lang w:bidi="ar"/>
              </w:rPr>
            </w:pPr>
            <w:r>
              <w:rPr>
                <w:rFonts w:hint="eastAsia" w:ascii="宋体" w:hAnsi="宋体" w:cs="宋体"/>
                <w:sz w:val="24"/>
                <w:szCs w:val="24"/>
                <w:highlight w:val="yellow"/>
                <w:lang w:bidi="ar"/>
              </w:rPr>
              <w:t xml:space="preserve">承载式</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油箱容积（L）</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≥50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发动机、电动机要求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★燃料种类</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汽油/电混合动力</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★排放标准</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国六及以上</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★排量（ml）</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≤3000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发动机功率（kw）</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≥105</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发动机最大扭矩（</w:t>
            </w:r>
            <w:r>
              <w:rPr>
                <w:rFonts w:hint="eastAsia" w:ascii="宋体" w:hAnsi="宋体" w:cs="宋体"/>
                <w:sz w:val="24"/>
                <w:szCs w:val="24"/>
                <w:lang w:bidi="ar"/>
              </w:rPr>
              <w:t xml:space="preserve">N.m</w:t>
            </w:r>
            <w:r>
              <w:rPr>
                <w:rFonts w:hint="eastAsia" w:ascii="宋体" w:hAnsi="宋体" w:cs="宋体"/>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≥220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highlight w:val="yellow"/>
                <w:lang w:bidi="ar"/>
              </w:rPr>
            </w:pPr>
            <w:r>
              <w:rPr>
                <w:rFonts w:hint="eastAsia" w:ascii="宋体" w:hAnsi="宋体" w:cs="宋体"/>
                <w:sz w:val="24"/>
                <w:szCs w:val="24"/>
                <w:highlight w:val="yellow"/>
                <w:lang w:bidi="ar"/>
              </w:rPr>
              <w:t xml:space="preserve">电动机类型</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highlight w:val="yellow"/>
                <w:lang w:bidi="ar"/>
              </w:rPr>
            </w:pPr>
            <w:r>
              <w:rPr>
                <w:rFonts w:hint="eastAsia" w:ascii="宋体" w:hAnsi="宋体" w:cs="宋体"/>
                <w:sz w:val="24"/>
                <w:szCs w:val="24"/>
                <w:highlight w:val="yellow"/>
                <w:lang w:bidi="ar"/>
              </w:rPr>
              <w:t xml:space="preserve">永磁同步</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电动机总功率（kw）</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≥280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系统综合功率（kw）</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≥350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系统综合扭矩（</w:t>
            </w:r>
            <w:r>
              <w:rPr>
                <w:rFonts w:hint="eastAsia" w:ascii="宋体" w:hAnsi="宋体" w:cs="宋体"/>
                <w:sz w:val="24"/>
                <w:szCs w:val="24"/>
                <w:lang w:bidi="ar"/>
              </w:rPr>
              <w:t xml:space="preserve">N.m</w:t>
            </w:r>
            <w:r>
              <w:rPr>
                <w:rFonts w:hint="eastAsia" w:ascii="宋体" w:hAnsi="宋体" w:cs="宋体"/>
                <w:sz w:val="24"/>
                <w:szCs w:val="24"/>
                <w:lang w:bidi="ar"/>
              </w:rPr>
              <w:t xml:space="preserve">）</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≥750</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驱动方式</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双电机四驱</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底盘要求</w:t>
            </w:r>
            <w:r/>
          </w:p>
        </w:tc>
        <w:tc>
          <w:tcPr>
            <w:tcBorders>
              <w:top w:val="single" w:color="auto" w:sz="4" w:space="0"/>
              <w:left w:val="single" w:color="auto" w:sz="4" w:space="0"/>
              <w:bottom w:val="single" w:color="auto" w:sz="4" w:space="0"/>
              <w:right w:val="single" w:color="auto" w:sz="4" w:space="0"/>
            </w:tcBorders>
            <w:tcW w:w="3483" w:type="dxa"/>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悬挂系统</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前悬：</w:t>
            </w:r>
            <w:r>
              <w:rPr>
                <w:rFonts w:ascii="宋体" w:hAnsi="宋体" w:cs="宋体"/>
                <w:sz w:val="24"/>
                <w:szCs w:val="24"/>
              </w:rPr>
              <w:t xml:space="preserve">前悬架不低于双叉臂/双横臂独立悬架，或等效及以上规格独立悬架</w:t>
            </w:r>
            <w:r/>
          </w:p>
          <w:p>
            <w:pPr>
              <w:spacing w:line="360" w:lineRule="auto"/>
              <w:rPr>
                <w:rFonts w:hint="eastAsia" w:ascii="宋体" w:hAnsi="宋体" w:cs="宋体"/>
                <w:sz w:val="24"/>
                <w:szCs w:val="24"/>
              </w:rPr>
            </w:pPr>
            <w:r>
              <w:rPr>
                <w:rFonts w:hint="eastAsia" w:ascii="宋体" w:hAnsi="宋体" w:cs="宋体"/>
                <w:sz w:val="24"/>
                <w:szCs w:val="24"/>
                <w:lang w:bidi="ar"/>
              </w:rPr>
              <w:t xml:space="preserve">后悬：多连杆式独立悬架</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制动器类型</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前通风盘式/后通风盘式</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舒适配置要求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司机座椅电动调节</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副驾座椅电动调节</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第二排座椅</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靠背电动调节</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第二排座椅加热</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第二排座椅通风</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方向盘</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多功能真皮方向盘</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液晶仪表尺寸</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≥12.3英寸</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无线快充</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座椅材质</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仿皮</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空调系统</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自动空调，温度分区控制，后排独立空调</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触控式阅读灯</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后排侧隐私玻璃</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侧滑门形式</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双侧电动门</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后尾门</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电动</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内后视镜</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自动防眩目</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外后视镜</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电动调节带加热、电动折叠</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车窗</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四门电动防夹</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电动天窗</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遥控钥匙</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蓝牙钥匙</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远程启停</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雨刮器</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雨量感应式雨刷</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restart"/>
            <w:textDirection w:val="lrTb"/>
            <w:noWrap w:val="false"/>
          </w:tcPr>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安全配置要求</w:t>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胎压监测功能</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有（胎压显示）</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铝合金轮毂</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定速巡航</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ABS+EBD+ESP</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刹车辅助</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牵引力控制</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自动驻车</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上坡辅助</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陡坡缓降</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LED日间行车灯</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自动大灯</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DMS疲劳监测系统</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Height w:val="377"/>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540°超清全景影像</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Height w:val="377"/>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哨兵模式</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Height w:val="497"/>
        </w:trPr>
        <w:tc>
          <w:tcPr>
            <w:tcBorders>
              <w:top w:val="single" w:color="auto" w:sz="4" w:space="0"/>
              <w:left w:val="single" w:color="auto" w:sz="4" w:space="0"/>
              <w:bottom w:val="single" w:color="auto" w:sz="4" w:space="0"/>
              <w:right w:val="single" w:color="auto" w:sz="4" w:space="0"/>
            </w:tcBorders>
            <w:tcW w:w="1905" w:type="dxa"/>
            <w:vAlign w:val="center"/>
            <w:vMerge w:val="continue"/>
            <w:textDirection w:val="lrTb"/>
            <w:noWrap w:val="false"/>
          </w:tcPr>
          <w:p>
            <w:pPr>
              <w:rPr>
                <w:rFonts w:ascii="Calibri" w:hAnsi="Calibri"/>
                <w:sz w:val="20"/>
                <w:szCs w:val="20"/>
              </w:rPr>
            </w:pPr>
            <w:r>
              <w:rPr>
                <w:rFonts w:ascii="Calibri" w:hAnsi="Calibri"/>
                <w:sz w:val="20"/>
                <w:szCs w:val="20"/>
              </w:rPr>
            </w:r>
            <w:r/>
          </w:p>
        </w:tc>
        <w:tc>
          <w:tcPr>
            <w:tcBorders>
              <w:top w:val="single" w:color="auto" w:sz="4" w:space="0"/>
              <w:left w:val="single" w:color="auto" w:sz="4" w:space="0"/>
              <w:bottom w:val="single" w:color="auto" w:sz="4" w:space="0"/>
              <w:right w:val="single" w:color="auto" w:sz="4" w:space="0"/>
            </w:tcBorders>
            <w:tcW w:w="3483"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外放电功能</w:t>
            </w:r>
            <w:r/>
          </w:p>
        </w:tc>
        <w:tc>
          <w:tcPr>
            <w:tcBorders>
              <w:top w:val="single" w:color="auto" w:sz="4" w:space="0"/>
              <w:left w:val="single" w:color="auto" w:sz="4" w:space="0"/>
              <w:bottom w:val="single" w:color="auto" w:sz="4" w:space="0"/>
              <w:right w:val="single" w:color="auto" w:sz="4" w:space="0"/>
            </w:tcBorders>
            <w:tcW w:w="5257" w:type="dxa"/>
            <w:textDirection w:val="lrTb"/>
            <w:noWrap w:val="false"/>
          </w:tcPr>
          <w:p>
            <w:pPr>
              <w:spacing w:line="360" w:lineRule="auto"/>
              <w:rPr>
                <w:rFonts w:hint="eastAsia" w:ascii="宋体" w:hAnsi="宋体" w:cs="宋体"/>
                <w:sz w:val="24"/>
                <w:szCs w:val="24"/>
              </w:rPr>
            </w:pPr>
            <w:r>
              <w:rPr>
                <w:rFonts w:hint="eastAsia" w:ascii="宋体" w:hAnsi="宋体" w:cs="宋体"/>
                <w:sz w:val="24"/>
                <w:szCs w:val="24"/>
                <w:lang w:bidi="ar"/>
              </w:rPr>
              <w:t xml:space="preserve">有</w:t>
            </w:r>
            <w:r/>
          </w:p>
        </w:tc>
      </w:tr>
      <w:tr>
        <w:trPr>
          <w:jc w:val="center"/>
        </w:trPr>
        <w:tc>
          <w:tcPr>
            <w:tcBorders>
              <w:top w:val="single" w:color="auto" w:sz="4" w:space="0"/>
              <w:left w:val="single" w:color="auto" w:sz="4" w:space="0"/>
              <w:bottom w:val="single" w:color="auto" w:sz="4" w:space="0"/>
              <w:right w:val="single" w:color="auto" w:sz="4" w:space="0"/>
            </w:tcBorders>
            <w:tcW w:w="1905" w:type="dxa"/>
            <w:vAlign w:val="center"/>
            <w:textDirection w:val="lrTb"/>
            <w:noWrap w:val="false"/>
          </w:tcPr>
          <w:p>
            <w:pPr>
              <w:jc w:val="center"/>
              <w:spacing w:line="360" w:lineRule="auto"/>
              <w:rPr>
                <w:rFonts w:hint="eastAsia" w:ascii="宋体" w:hAnsi="宋体" w:cs="宋体"/>
                <w:sz w:val="24"/>
                <w:szCs w:val="24"/>
                <w:lang w:bidi="ar"/>
              </w:rPr>
            </w:pPr>
            <w:r>
              <w:rPr>
                <w:rFonts w:hint="eastAsia" w:ascii="宋体" w:hAnsi="宋体" w:cs="宋体"/>
                <w:sz w:val="24"/>
                <w:szCs w:val="24"/>
                <w:lang w:bidi="ar"/>
              </w:rPr>
              <w:t xml:space="preserve">其他</w:t>
            </w:r>
            <w:r/>
          </w:p>
          <w:p>
            <w:pPr>
              <w:jc w:val="center"/>
              <w:spacing w:line="360" w:lineRule="auto"/>
              <w:rPr>
                <w:rFonts w:hint="eastAsia" w:ascii="宋体" w:hAnsi="宋体" w:cs="宋体"/>
                <w:sz w:val="24"/>
                <w:szCs w:val="24"/>
              </w:rPr>
            </w:pPr>
            <w:r>
              <w:rPr>
                <w:rFonts w:hint="eastAsia" w:ascii="宋体" w:hAnsi="宋体" w:cs="宋体"/>
                <w:sz w:val="24"/>
                <w:szCs w:val="24"/>
                <w:lang w:bidi="ar"/>
              </w:rPr>
              <w:t xml:space="preserve">要求</w:t>
            </w:r>
            <w:r/>
          </w:p>
        </w:tc>
        <w:tc>
          <w:tcPr>
            <w:gridSpan w:val="2"/>
            <w:tcBorders>
              <w:top w:val="single" w:color="auto" w:sz="4" w:space="0"/>
              <w:left w:val="single" w:color="auto" w:sz="4" w:space="0"/>
              <w:bottom w:val="single" w:color="auto" w:sz="4" w:space="0"/>
              <w:right w:val="single" w:color="auto" w:sz="4" w:space="0"/>
            </w:tcBorders>
            <w:tcW w:w="8740" w:type="dxa"/>
            <w:textDirection w:val="lrTb"/>
            <w:noWrap w:val="false"/>
          </w:tcPr>
          <w:p>
            <w:pPr>
              <w:spacing w:line="360" w:lineRule="auto"/>
              <w:rPr>
                <w:rFonts w:hint="eastAsia" w:ascii="宋体" w:hAnsi="宋体" w:cs="宋体"/>
                <w:sz w:val="24"/>
                <w:szCs w:val="24"/>
                <w:lang w:bidi="ar"/>
              </w:rPr>
            </w:pPr>
            <w:r>
              <w:rPr>
                <w:rFonts w:hint="eastAsia" w:ascii="宋体" w:hAnsi="宋体" w:cs="宋体"/>
                <w:sz w:val="24"/>
                <w:szCs w:val="24"/>
                <w:lang w:bidi="ar"/>
              </w:rPr>
              <w:t xml:space="preserve">1.整车要符合国家现行标准，并列入国家机动车辆正式公告，符合工信部发改委《道路机动车辆生产企业及产品公告》，可以办理上牌、强制保险、商业保险等。</w:t>
            </w:r>
            <w:r/>
          </w:p>
          <w:p>
            <w:pPr>
              <w:spacing w:line="360" w:lineRule="auto"/>
              <w:rPr>
                <w:rFonts w:hint="eastAsia" w:ascii="宋体" w:hAnsi="宋体" w:cs="宋体"/>
                <w:sz w:val="24"/>
                <w:szCs w:val="24"/>
                <w:lang w:bidi="ar"/>
              </w:rPr>
            </w:pPr>
            <w:r>
              <w:rPr>
                <w:rFonts w:hint="eastAsia" w:ascii="宋体" w:hAnsi="宋体" w:cs="宋体"/>
                <w:sz w:val="24"/>
                <w:szCs w:val="24"/>
                <w:highlight w:val="yellow"/>
                <w:lang w:bidi="ar"/>
              </w:rPr>
              <w:t xml:space="preserve">2.投标时提供承诺书，承诺中标后交付车辆外观颜色为黑色。</w:t>
            </w:r>
            <w:r/>
          </w:p>
        </w:tc>
      </w:tr>
    </w:tbl>
    <w:p>
      <w:pPr>
        <w:spacing w:line="360" w:lineRule="auto"/>
        <w:tabs>
          <w:tab w:val="left" w:pos="312" w:leader="none"/>
        </w:tabs>
        <w:rPr>
          <w:rFonts w:hint="eastAsia" w:ascii="宋体" w:hAnsi="宋体" w:cs="宋体"/>
          <w:b/>
          <w:bCs/>
          <w:sz w:val="24"/>
          <w:szCs w:val="24"/>
          <w:lang w:bidi="ar"/>
        </w:rPr>
      </w:pPr>
      <w:r>
        <w:rPr>
          <w:rFonts w:hint="eastAsia" w:ascii="宋体" w:hAnsi="宋体" w:cs="宋体"/>
          <w:b/>
          <w:bCs/>
          <w:sz w:val="24"/>
          <w:szCs w:val="24"/>
          <w:lang w:bidi="ar"/>
        </w:rPr>
      </w:r>
      <w:r/>
    </w:p>
    <w:p>
      <w:pPr>
        <w:numPr>
          <w:ilvl w:val="0"/>
          <w:numId w:val="8"/>
        </w:numPr>
        <w:spacing w:line="360" w:lineRule="auto"/>
        <w:rPr>
          <w:rFonts w:hint="eastAsia" w:ascii="宋体" w:hAnsi="宋体" w:cs="宋体"/>
          <w:b/>
          <w:bCs/>
          <w:sz w:val="24"/>
          <w:szCs w:val="24"/>
          <w:lang w:bidi="ar"/>
        </w:rPr>
      </w:pPr>
      <w:r>
        <w:rPr>
          <w:rFonts w:hint="eastAsia" w:ascii="宋体" w:hAnsi="宋体" w:cs="宋体"/>
          <w:b/>
          <w:bCs/>
          <w:sz w:val="24"/>
          <w:szCs w:val="24"/>
          <w:lang w:bidi="ar"/>
        </w:rPr>
        <w:t xml:space="preserve">车辆</w:t>
      </w:r>
      <w:r>
        <w:rPr>
          <w:rFonts w:ascii="宋体" w:hAnsi="宋体" w:cs="宋体"/>
          <w:b/>
          <w:bCs/>
          <w:sz w:val="24"/>
          <w:szCs w:val="24"/>
          <w:lang w:bidi="ar"/>
        </w:rPr>
        <w:t xml:space="preserve">配置方案</w:t>
      </w:r>
      <w:r/>
    </w:p>
    <w:p>
      <w:pPr>
        <w:ind w:firstLine="440"/>
        <w:spacing w:line="360" w:lineRule="auto"/>
        <w:rPr>
          <w:sz w:val="24"/>
          <w:szCs w:val="24"/>
        </w:rPr>
      </w:pPr>
      <w:r>
        <w:rPr>
          <w:sz w:val="24"/>
          <w:szCs w:val="24"/>
        </w:rPr>
        <w:t xml:space="preserve">2.1</w:t>
      </w:r>
      <w:r>
        <w:rPr>
          <w:sz w:val="24"/>
          <w:szCs w:val="24"/>
        </w:rPr>
        <w:t xml:space="preserve">从外观、内饰、</w:t>
      </w:r>
      <w:r>
        <w:rPr>
          <w:rFonts w:hint="eastAsia"/>
          <w:sz w:val="24"/>
          <w:szCs w:val="24"/>
        </w:rPr>
        <w:t xml:space="preserve">舒适性配置</w:t>
      </w:r>
      <w:r>
        <w:rPr>
          <w:sz w:val="24"/>
          <w:szCs w:val="24"/>
        </w:rPr>
        <w:t xml:space="preserve">等方面提供投标车型证明材料：要求投标产品车型外观大方，内饰简洁、采用环保材料、无异味，体现人性化设计，使用空间宽敞。符合公务用车特点，提供相关产品说明、厂家宣传彩页等资料证明。</w:t>
      </w:r>
      <w:r/>
    </w:p>
    <w:p>
      <w:pPr>
        <w:ind w:firstLine="440"/>
        <w:spacing w:line="360" w:lineRule="auto"/>
        <w:rPr>
          <w:sz w:val="24"/>
          <w:szCs w:val="24"/>
        </w:rPr>
      </w:pPr>
      <w:r>
        <w:rPr>
          <w:sz w:val="24"/>
          <w:szCs w:val="24"/>
        </w:rPr>
        <w:t xml:space="preserve">2.2</w:t>
      </w:r>
      <w:r>
        <w:rPr>
          <w:sz w:val="24"/>
          <w:szCs w:val="24"/>
        </w:rPr>
        <w:t xml:space="preserve">从安全</w:t>
      </w:r>
      <w:r>
        <w:rPr>
          <w:rFonts w:hint="eastAsia"/>
          <w:sz w:val="24"/>
          <w:szCs w:val="24"/>
        </w:rPr>
        <w:t xml:space="preserve">性配置</w:t>
      </w:r>
      <w:r>
        <w:rPr>
          <w:sz w:val="24"/>
          <w:szCs w:val="24"/>
        </w:rPr>
        <w:t xml:space="preserve">等方面提供投标车型证明材料：投标人提供的车辆</w:t>
      </w:r>
      <w:r>
        <w:rPr>
          <w:rFonts w:ascii="宋体" w:hAnsi="宋体" w:cs="宋体"/>
          <w:sz w:val="24"/>
          <w:szCs w:val="24"/>
        </w:rPr>
        <w:t xml:space="preserve">安全设计理念先进，配备全套主动安全、智能辅助驾驶配置，主动安全性能高</w:t>
      </w:r>
      <w:r>
        <w:rPr>
          <w:rFonts w:hint="eastAsia" w:ascii="宋体" w:hAnsi="宋体" w:cs="宋体"/>
          <w:sz w:val="24"/>
          <w:szCs w:val="24"/>
        </w:rPr>
        <w:t xml:space="preserve">，</w:t>
      </w:r>
      <w:r>
        <w:rPr>
          <w:sz w:val="24"/>
          <w:szCs w:val="24"/>
        </w:rPr>
        <w:t xml:space="preserve">智能化配置高的车辆</w:t>
      </w:r>
      <w:r>
        <w:rPr>
          <w:rFonts w:hint="eastAsia"/>
          <w:sz w:val="24"/>
          <w:szCs w:val="24"/>
        </w:rPr>
        <w:t xml:space="preserve">，</w:t>
      </w:r>
      <w:r>
        <w:rPr>
          <w:sz w:val="24"/>
          <w:szCs w:val="24"/>
        </w:rPr>
        <w:t xml:space="preserve">提供相关产品说明、厂家宣传彩页等资料证明。</w:t>
      </w:r>
      <w:r/>
    </w:p>
    <w:p>
      <w:pPr>
        <w:ind w:firstLine="440"/>
        <w:spacing w:line="360" w:lineRule="auto"/>
        <w:rPr>
          <w:sz w:val="24"/>
          <w:szCs w:val="24"/>
        </w:rPr>
      </w:pPr>
      <w:r>
        <w:rPr>
          <w:sz w:val="24"/>
          <w:szCs w:val="24"/>
        </w:rPr>
        <w:t xml:space="preserve">2.3</w:t>
      </w:r>
      <w:r>
        <w:rPr>
          <w:sz w:val="24"/>
          <w:szCs w:val="24"/>
        </w:rPr>
        <w:t xml:space="preserve">从产品核心部件方面提供投标车型证明材料：投标人需提供车辆的发动机、</w:t>
      </w:r>
      <w:r>
        <w:rPr>
          <w:rFonts w:hint="eastAsia"/>
          <w:sz w:val="24"/>
          <w:szCs w:val="24"/>
        </w:rPr>
        <w:t xml:space="preserve">电动机</w:t>
      </w:r>
      <w:r>
        <w:rPr>
          <w:sz w:val="24"/>
          <w:szCs w:val="24"/>
        </w:rPr>
        <w:t xml:space="preserve">、</w:t>
      </w:r>
      <w:r>
        <w:rPr>
          <w:rFonts w:hint="eastAsia"/>
          <w:sz w:val="24"/>
          <w:szCs w:val="24"/>
        </w:rPr>
        <w:t xml:space="preserve">电池、底盘、整车参数</w:t>
      </w:r>
      <w:r>
        <w:rPr>
          <w:sz w:val="24"/>
          <w:szCs w:val="24"/>
        </w:rPr>
        <w:t xml:space="preserve">等核心部件技术材料</w:t>
      </w:r>
      <w:r>
        <w:rPr>
          <w:rFonts w:hint="eastAsia"/>
          <w:sz w:val="24"/>
          <w:szCs w:val="24"/>
        </w:rPr>
        <w:t xml:space="preserve">，</w:t>
      </w:r>
      <w:r>
        <w:rPr>
          <w:sz w:val="24"/>
          <w:szCs w:val="24"/>
        </w:rPr>
        <w:t xml:space="preserve">应提供相关的检测报告、产品说明、厂家宣传彩页等资料证明。</w:t>
      </w:r>
      <w:r/>
    </w:p>
    <w:p>
      <w:pPr>
        <w:pStyle w:val="766"/>
        <w:jc w:val="left"/>
        <w:spacing w:line="400" w:lineRule="exact"/>
        <w:rPr>
          <w:rFonts w:hint="eastAsia" w:ascii="黑体" w:hAnsi="黑体" w:eastAsia="黑体"/>
          <w:b/>
          <w:bCs/>
          <w:color w:val="auto"/>
          <w:sz w:val="28"/>
          <w:szCs w:val="28"/>
        </w:rPr>
      </w:pPr>
      <w:r>
        <w:rPr>
          <w:rFonts w:hint="eastAsia" w:ascii="黑体" w:hAnsi="黑体" w:eastAsia="黑体"/>
          <w:b/>
          <w:bCs/>
          <w:color w:val="auto"/>
          <w:sz w:val="28"/>
          <w:szCs w:val="28"/>
        </w:rPr>
        <w:t xml:space="preserve">四、商务要求</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left="482"/>
        <w:spacing w:line="440" w:lineRule="exact"/>
        <w:rPr>
          <w:rFonts w:hint="eastAsia" w:ascii="宋体" w:hAnsi="宋体" w:cs="宋体"/>
          <w:sz w:val="24"/>
          <w:szCs w:val="24"/>
        </w:rPr>
      </w:pPr>
      <w:r>
        <w:rPr>
          <w:rFonts w:hint="eastAsia" w:ascii="宋体" w:hAnsi="宋体" w:cs="宋体"/>
          <w:sz w:val="24"/>
          <w:szCs w:val="24"/>
          <w:lang w:bidi="ar"/>
        </w:rPr>
        <w:t xml:space="preserve">（一）</w:t>
      </w:r>
      <w:r>
        <w:rPr>
          <w:rFonts w:hint="eastAsia" w:ascii="宋体" w:hAnsi="宋体" w:cs="宋体"/>
          <w:b/>
          <w:bCs/>
          <w:sz w:val="24"/>
          <w:szCs w:val="24"/>
          <w:lang w:bidi="ar"/>
        </w:rPr>
        <w:t xml:space="preserve">★交货周期：</w:t>
      </w:r>
      <w:r>
        <w:rPr>
          <w:rFonts w:hint="eastAsia" w:ascii="宋体" w:hAnsi="宋体" w:cs="宋体"/>
          <w:sz w:val="24"/>
          <w:szCs w:val="24"/>
          <w:lang w:bidi="ar"/>
        </w:rPr>
        <w:t xml:space="preserve">合同签订后20日历日内（含20日）。</w:t>
      </w:r>
      <w:r/>
    </w:p>
    <w:p>
      <w:pPr>
        <w:ind w:firstLine="482"/>
        <w:spacing w:line="400" w:lineRule="exact"/>
        <w:rPr>
          <w:rFonts w:hint="eastAsia" w:ascii="宋体" w:hAnsi="宋体" w:cs="宋体"/>
          <w:sz w:val="24"/>
          <w:szCs w:val="24"/>
        </w:rPr>
      </w:pPr>
      <w:r>
        <w:rPr>
          <w:rFonts w:hint="eastAsia" w:ascii="宋体" w:hAnsi="宋体" w:cs="宋体"/>
          <w:sz w:val="24"/>
          <w:szCs w:val="24"/>
          <w:lang w:bidi="ar"/>
        </w:rPr>
        <w:t xml:space="preserve">（二）</w:t>
      </w:r>
      <w:r>
        <w:rPr>
          <w:rFonts w:hint="eastAsia" w:ascii="宋体" w:hAnsi="宋体" w:cs="宋体"/>
          <w:b/>
          <w:bCs/>
          <w:sz w:val="24"/>
          <w:szCs w:val="24"/>
          <w:lang w:bidi="ar"/>
        </w:rPr>
        <w:t xml:space="preserve">交货地点：</w:t>
      </w:r>
      <w:r>
        <w:rPr>
          <w:rFonts w:hint="eastAsia" w:ascii="宋体" w:hAnsi="宋体" w:cs="宋体"/>
          <w:sz w:val="24"/>
          <w:szCs w:val="24"/>
          <w:lang w:bidi="ar"/>
        </w:rPr>
        <w:t xml:space="preserve">采购方指定地点。</w:t>
      </w:r>
      <w:r/>
    </w:p>
    <w:p>
      <w:pPr>
        <w:ind w:firstLine="482"/>
        <w:spacing w:line="400" w:lineRule="exact"/>
        <w:rPr>
          <w:rFonts w:hint="eastAsia" w:ascii="宋体" w:hAnsi="宋体" w:cs="宋体"/>
          <w:sz w:val="24"/>
          <w:szCs w:val="24"/>
        </w:rPr>
      </w:pPr>
      <w:r>
        <w:rPr>
          <w:rFonts w:hint="eastAsia" w:ascii="宋体" w:hAnsi="宋体" w:cs="宋体"/>
          <w:b/>
          <w:bCs/>
          <w:sz w:val="24"/>
          <w:szCs w:val="24"/>
          <w:lang w:bidi="ar"/>
        </w:rPr>
        <w:t xml:space="preserve">（三）</w:t>
      </w:r>
      <w:r>
        <w:rPr>
          <w:rFonts w:hint="eastAsia" w:ascii="宋体" w:hAnsi="宋体" w:cs="宋体"/>
          <w:b/>
          <w:bCs/>
          <w:color w:val="000000"/>
          <w:sz w:val="24"/>
          <w:szCs w:val="24"/>
          <w:lang w:bidi="ar"/>
        </w:rPr>
        <w:t xml:space="preserve">付款方式：</w:t>
      </w:r>
      <w:r>
        <w:rPr>
          <w:rFonts w:hint="eastAsia" w:ascii="宋体" w:hAnsi="宋体" w:cs="宋体"/>
          <w:sz w:val="24"/>
          <w:szCs w:val="24"/>
          <w:lang w:bidi="ar"/>
        </w:rPr>
        <w:t xml:space="preserve">合同签订后，货物全部到达甲方指定地点，在规定的时间调试、交付使用、并经甲方验收合格后，凭乙方全额销售发票，15个工作日内由甲方一次性支付全部货款。</w:t>
      </w:r>
      <w:r/>
    </w:p>
    <w:p>
      <w:pPr>
        <w:ind w:firstLine="482"/>
        <w:spacing w:line="400" w:lineRule="exact"/>
        <w:rPr>
          <w:rFonts w:hint="eastAsia" w:ascii="宋体" w:hAnsi="宋体" w:cs="宋体"/>
          <w:sz w:val="24"/>
          <w:szCs w:val="24"/>
        </w:rPr>
      </w:pPr>
      <w:r>
        <w:rPr>
          <w:rFonts w:hint="eastAsia" w:ascii="宋体" w:hAnsi="宋体" w:cs="宋体"/>
          <w:b/>
          <w:bCs/>
          <w:sz w:val="24"/>
          <w:szCs w:val="24"/>
          <w:lang w:bidi="ar"/>
        </w:rPr>
        <w:t xml:space="preserve">（四）报价要求：</w:t>
      </w:r>
      <w:r>
        <w:rPr>
          <w:rFonts w:hint="eastAsia" w:ascii="宋体" w:hAnsi="宋体" w:cs="宋体"/>
          <w:sz w:val="24"/>
          <w:szCs w:val="24"/>
          <w:lang w:bidi="ar"/>
        </w:rPr>
        <w:t xml:space="preserve">报价应包含与本次采购项目有关的所有费用。包含但不限于</w:t>
      </w:r>
      <w:r>
        <w:rPr>
          <w:rFonts w:hint="eastAsia" w:ascii="宋体" w:hAnsi="宋体" w:cs="宋体"/>
          <w:sz w:val="24"/>
          <w:szCs w:val="24"/>
          <w:lang w:bidi="ar"/>
        </w:rPr>
        <w:t xml:space="preserve">人员、货物、配送、安装、调试、验收、售后服务、伴随配套服务等所有含税费用。</w:t>
      </w:r>
      <w:r/>
    </w:p>
    <w:p>
      <w:pPr>
        <w:ind w:firstLine="482"/>
        <w:spacing w:line="400" w:lineRule="exact"/>
        <w:rPr>
          <w:rFonts w:hint="eastAsia" w:ascii="宋体" w:hAnsi="宋体" w:cs="宋体"/>
          <w:sz w:val="24"/>
          <w:szCs w:val="24"/>
        </w:rPr>
      </w:pPr>
      <w:r>
        <w:rPr>
          <w:rFonts w:hint="eastAsia" w:ascii="宋体" w:hAnsi="宋体" w:cs="宋体"/>
          <w:b/>
          <w:bCs/>
          <w:sz w:val="24"/>
          <w:szCs w:val="24"/>
          <w:lang w:bidi="ar"/>
        </w:rPr>
        <w:t xml:space="preserve">（五）组织实施：</w:t>
      </w:r>
      <w:r>
        <w:rPr>
          <w:rFonts w:hint="eastAsia" w:ascii="宋体" w:hAnsi="宋体" w:cs="宋体"/>
          <w:sz w:val="24"/>
          <w:szCs w:val="24"/>
          <w:lang w:bidi="ar"/>
        </w:rPr>
        <w:t xml:space="preserve">供应商应根据采购人需求，结合实际，制订项目组织实施方案，方案至少应包括但不限于以下内容：①车辆生产组织与质量保证，②供货进度保障措施，③交付查验及辅助上牌等。</w:t>
      </w:r>
      <w:r/>
    </w:p>
    <w:p>
      <w:pPr>
        <w:ind w:firstLine="482"/>
        <w:spacing w:line="400" w:lineRule="exact"/>
        <w:rPr>
          <w:rFonts w:hint="eastAsia" w:ascii="宋体" w:hAnsi="宋体" w:cs="宋体"/>
          <w:b/>
          <w:bCs/>
          <w:sz w:val="24"/>
          <w:szCs w:val="24"/>
        </w:rPr>
      </w:pPr>
      <w:r>
        <w:rPr>
          <w:rFonts w:hint="eastAsia" w:ascii="宋体" w:hAnsi="宋体" w:cs="宋体"/>
          <w:b/>
          <w:bCs/>
          <w:sz w:val="24"/>
          <w:szCs w:val="24"/>
          <w:lang w:bidi="ar"/>
        </w:rPr>
        <w:t xml:space="preserve">（六）验收要求：</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1.采购人按照国家规定标准验收，没有国家标准的按行业标准验收，无行业标准的按地方或企业标准验收，必要时采购人可以邀请具备合法资质和专业能力第三方机构参与验收，供应商应予以配合。</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2.车辆送到采购人指定地点后，供应商与采购人一起按采购文件、投标文件及合同进行验收。验收中发现货物达不到验收标准或合同规定的性能指标，中标人必须更换，并且赔偿由此给采购人造成的损失。</w:t>
      </w:r>
      <w:r/>
    </w:p>
    <w:p>
      <w:pPr>
        <w:ind w:firstLine="482"/>
        <w:spacing w:line="400" w:lineRule="exact"/>
        <w:rPr>
          <w:rFonts w:hint="eastAsia" w:ascii="宋体" w:hAnsi="宋体" w:cs="宋体"/>
          <w:b/>
          <w:bCs/>
          <w:sz w:val="24"/>
          <w:szCs w:val="24"/>
        </w:rPr>
      </w:pPr>
      <w:r>
        <w:rPr>
          <w:rFonts w:hint="eastAsia" w:ascii="宋体" w:hAnsi="宋体" w:cs="宋体"/>
          <w:b/>
          <w:bCs/>
          <w:sz w:val="24"/>
          <w:szCs w:val="24"/>
          <w:lang w:bidi="ar"/>
        </w:rPr>
        <w:t xml:space="preserve">（七）售后服务要求：</w:t>
      </w:r>
      <w:r/>
    </w:p>
    <w:p>
      <w:pPr>
        <w:ind w:firstLine="480"/>
        <w:spacing w:line="400" w:lineRule="exact"/>
        <w:rPr>
          <w:rFonts w:hint="eastAsia" w:ascii="宋体" w:hAnsi="宋体" w:cs="宋体"/>
          <w:sz w:val="24"/>
          <w:szCs w:val="24"/>
          <w:lang w:bidi="ar"/>
        </w:rPr>
      </w:pPr>
      <w:r>
        <w:rPr>
          <w:rFonts w:hint="eastAsia" w:ascii="宋体" w:hAnsi="宋体" w:cs="宋体"/>
          <w:sz w:val="24"/>
          <w:szCs w:val="24"/>
          <w:lang w:bidi="ar"/>
        </w:rPr>
        <w:t xml:space="preserve">1.售后服务方案。</w:t>
      </w:r>
      <w:r/>
    </w:p>
    <w:p>
      <w:pPr>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（1）服务范围：整车质保、三电系统专项质保、日常保养、故障维修、道路救援、技术咨询、上门服务、年检辅助等售后服务。</w:t>
      </w:r>
      <w:r/>
    </w:p>
    <w:p>
      <w:pPr>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（2）响应标准：设立7×24小时售后服务专线，10分钟内电话响应；市区范围内1小时内到场抢修，周边50公里范围内3小时内到场。</w:t>
      </w:r>
      <w:r/>
    </w:p>
    <w:p>
      <w:pPr>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（3）人员保障：配备技术团队，固定专人对接本项目车辆售后、维保、回访工作，全程跟踪服务。</w:t>
      </w:r>
      <w:r/>
    </w:p>
    <w:p>
      <w:pPr>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（4）备件体系：本地储备原厂易损件、常规配件、三电核心备件，常用配件现货即时更换，非常规配件48小时内到货更换。</w:t>
      </w:r>
      <w:r/>
    </w:p>
    <w:p>
      <w:pPr>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（5）故障排除时限：一般小故障当日修复；中度故障24小时内修复；重大疑难故障提供备用车，保障公务正常使用，72小时内完成维修交付。</w:t>
      </w:r>
      <w:r/>
    </w:p>
    <w:p>
      <w:pPr>
        <w:ind w:firstLine="480"/>
        <w:jc w:val="left"/>
        <w:spacing w:line="400" w:lineRule="exact"/>
        <w:widowControl/>
        <w:rPr>
          <w:rFonts w:hint="eastAsia" w:ascii="宋体" w:hAnsi="宋体" w:cs="宋体"/>
          <w:sz w:val="24"/>
          <w:szCs w:val="24"/>
          <w:lang w:bidi="ar"/>
        </w:rPr>
      </w:pPr>
      <w:r>
        <w:rPr>
          <w:rFonts w:hint="eastAsia" w:ascii="宋体" w:hAnsi="宋体" w:cs="宋体"/>
          <w:sz w:val="24"/>
          <w:szCs w:val="24"/>
          <w:lang w:bidi="ar"/>
        </w:rPr>
        <w:t xml:space="preserve">（6）专项保障：提供整车及三电系统质保、定期免费检测、上门取送车、节假日应急值守、突发故障应急预案等增值服务。</w:t>
      </w:r>
      <w:r/>
    </w:p>
    <w:p>
      <w:pPr>
        <w:ind w:firstLine="480"/>
        <w:spacing w:line="400" w:lineRule="exact"/>
        <w:rPr>
          <w:rFonts w:hint="eastAsia" w:ascii="宋体" w:hAnsi="宋体" w:cs="宋体"/>
          <w:sz w:val="24"/>
          <w:szCs w:val="24"/>
          <w:highlight w:val="yellow"/>
        </w:rPr>
      </w:pPr>
      <w:r>
        <w:rPr>
          <w:rFonts w:hint="eastAsia" w:ascii="宋体" w:hAnsi="宋体" w:cs="宋体"/>
          <w:color w:val="000000"/>
          <w:sz w:val="24"/>
          <w:szCs w:val="24"/>
          <w:lang w:bidi="ar"/>
        </w:rPr>
        <w:t xml:space="preserve">2.售后服务网点。</w:t>
      </w:r>
      <w:r>
        <w:rPr>
          <w:rFonts w:hint="eastAsia" w:ascii="宋体" w:hAnsi="宋体" w:cs="宋体"/>
          <w:sz w:val="24"/>
          <w:szCs w:val="24"/>
          <w:highlight w:val="yellow"/>
          <w:lang w:bidi="ar"/>
        </w:rPr>
        <w:t xml:space="preserve">采购人在江苏省各设区市设有20个分支机构，检验业务覆盖全省各县（市、区）。</w:t>
      </w:r>
      <w:r>
        <w:rPr>
          <w:rFonts w:ascii="宋体" w:hAnsi="宋体" w:cs="宋体"/>
          <w:sz w:val="24"/>
          <w:szCs w:val="24"/>
          <w:highlight w:val="yellow"/>
        </w:rPr>
        <w:t xml:space="preserve">供应商或其所投车辆生产企业应具备覆盖全省的售后服务能力，可通过自有售后服务网点、授权服务网点或签约合作维修单位等方式实现，并承诺提供</w:t>
      </w:r>
      <w:r>
        <w:rPr>
          <w:rStyle w:val="815"/>
          <w:rFonts w:ascii="宋体" w:hAnsi="宋体" w:cs="宋体"/>
          <w:sz w:val="24"/>
          <w:szCs w:val="24"/>
          <w:highlight w:val="yellow"/>
        </w:rPr>
        <w:t xml:space="preserve">24 小时维修、配件供应及技术支持</w:t>
      </w:r>
      <w:r>
        <w:rPr>
          <w:rFonts w:ascii="宋体" w:hAnsi="宋体" w:cs="宋体"/>
          <w:sz w:val="24"/>
          <w:szCs w:val="24"/>
          <w:highlight w:val="yellow"/>
        </w:rPr>
        <w:t xml:space="preserve">响应服务。投标时须提供</w:t>
      </w:r>
      <w:r>
        <w:rPr>
          <w:rFonts w:hint="eastAsia" w:ascii="宋体" w:hAnsi="宋体" w:cs="宋体"/>
          <w:sz w:val="24"/>
          <w:szCs w:val="24"/>
          <w:highlight w:val="yellow"/>
        </w:rPr>
        <w:t xml:space="preserve">已建立的或承诺合同签订后30日内建立的</w:t>
      </w:r>
      <w:r>
        <w:rPr>
          <w:rFonts w:ascii="宋体" w:hAnsi="宋体" w:cs="宋体"/>
          <w:sz w:val="24"/>
          <w:szCs w:val="24"/>
          <w:highlight w:val="yellow"/>
        </w:rPr>
        <w:t xml:space="preserve">售后服务体系说明、服务网络覆盖情况及相关证明材料，作为评审依据。</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lang w:bidi="ar"/>
        </w:rPr>
        <w:t xml:space="preserve">3.免费质保期。供应商需提供不低于4年或10万公里整车质量保证，其中，</w:t>
      </w:r>
      <w:r>
        <w:rPr>
          <w:rFonts w:hint="eastAsia" w:ascii="宋体" w:hAnsi="宋体" w:cs="宋体"/>
          <w:b/>
          <w:bCs/>
          <w:i/>
          <w:iCs/>
          <w:color w:val="000000"/>
          <w:sz w:val="24"/>
          <w:szCs w:val="24"/>
          <w:u w:val="single"/>
          <w:lang w:bidi="ar"/>
        </w:rPr>
        <w:t xml:space="preserve">新能源车电池包需提供不低于8年或16万公里质量保证</w:t>
      </w:r>
      <w:r>
        <w:rPr>
          <w:rFonts w:hint="eastAsia" w:ascii="宋体" w:hAnsi="宋体" w:cs="宋体"/>
          <w:color w:val="000000"/>
          <w:sz w:val="24"/>
          <w:szCs w:val="24"/>
          <w:lang w:bidi="ar"/>
        </w:rPr>
        <w:t xml:space="preserve">。</w:t>
      </w:r>
      <w:r/>
    </w:p>
    <w:p>
      <w:pPr>
        <w:ind w:firstLine="480"/>
        <w:spacing w:line="400" w:lineRule="exact"/>
        <w:rPr>
          <w:rFonts w:hint="eastAsia" w:ascii="宋体" w:hAnsi="宋体" w:cs="宋体"/>
          <w:color w:val="000000"/>
          <w:sz w:val="24"/>
          <w:szCs w:val="24"/>
        </w:rPr>
      </w:pPr>
      <w:r>
        <w:rPr>
          <w:rFonts w:hint="eastAsia" w:ascii="宋体" w:hAnsi="宋体" w:cs="宋体"/>
          <w:color w:val="000000"/>
          <w:sz w:val="24"/>
          <w:szCs w:val="24"/>
          <w:lang w:bidi="ar"/>
        </w:rPr>
        <w:t xml:space="preserve">4.免费保养要求。供应商应跟据所投车型厂家保养手册规定的标准保养周期，提供不低于一次的免费保养服务。</w:t>
      </w:r>
      <w:r/>
    </w:p>
    <w:p>
      <w:pPr>
        <w:ind w:firstLine="480"/>
        <w:spacing w:line="360" w:lineRule="auto"/>
        <w:rPr>
          <w:rFonts w:hint="eastAsia" w:ascii="宋体" w:hAnsi="宋体" w:cs="宋体"/>
          <w:sz w:val="24"/>
          <w:szCs w:val="24"/>
        </w:rPr>
      </w:pPr>
      <w:r>
        <w:rPr>
          <w:rFonts w:hint="eastAsia" w:ascii="宋体" w:hAnsi="宋体" w:cs="宋体"/>
          <w:color w:val="000000"/>
          <w:sz w:val="24"/>
          <w:szCs w:val="24"/>
          <w:lang w:bidi="ar"/>
        </w:rPr>
        <w:t xml:space="preserve">5.配件要求。中标供应商应保证采购人所购车辆在整车质保期或免费保养期内，维修或保养过程中提供的零配件应是原厂配件，因客观原因无法提供原厂配件时，应向采购人进行提醒和说明，征得采购人同意后方能使用非原厂配件。</w:t>
      </w:r>
      <w:r/>
    </w:p>
    <w:p>
      <w:pPr>
        <w:pStyle w:val="766"/>
        <w:jc w:val="left"/>
        <w:spacing w:line="400" w:lineRule="exact"/>
        <w:rPr>
          <w:rFonts w:hint="eastAsia" w:ascii="黑体" w:hAnsi="黑体" w:eastAsia="黑体"/>
          <w:b/>
          <w:bCs/>
          <w:color w:val="auto"/>
          <w:sz w:val="28"/>
          <w:szCs w:val="28"/>
        </w:rPr>
      </w:pPr>
      <w:r>
        <w:rPr>
          <w:rFonts w:hint="eastAsia" w:ascii="黑体" w:hAnsi="黑体" w:eastAsia="黑体"/>
          <w:b/>
          <w:bCs/>
          <w:color w:val="auto"/>
          <w:sz w:val="28"/>
          <w:szCs w:val="28"/>
        </w:rPr>
        <w:t xml:space="preserve">五、其他要求</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w:t>
      </w:r>
      <w:r>
        <w:rPr>
          <w:rFonts w:hint="eastAsia" w:ascii="方正仿宋_GBK" w:hAnsi="方正仿宋_GBK" w:eastAsia="方正仿宋_GBK" w:cs="方正仿宋_GBK"/>
          <w:bCs/>
          <w:sz w:val="28"/>
          <w:szCs w:val="28"/>
        </w:rPr>
        <w:t xml:space="preserve">属性:</w:t>
      </w:r>
      <w:r>
        <w:rPr>
          <w:rFonts w:hint="eastAsia" w:ascii="方正仿宋_GBK" w:hAnsi="方正仿宋_GBK" w:eastAsia="方正仿宋_GBK" w:cs="方正仿宋_GBK"/>
          <w:bCs/>
          <w:sz w:val="28"/>
          <w:szCs w:val="28"/>
        </w:rPr>
        <w:t xml:space="preserve">货物类项目。</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2.核心产品</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76"/>
        <w:gridCol w:w="5163"/>
      </w:tblGrid>
      <w:tr>
        <w:trPr>
          <w:trHeight w:val="375"/>
        </w:trPr>
        <w:tc>
          <w:tcPr>
            <w:tcW w:w="257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51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p>
        </w:tc>
      </w:tr>
      <w:tr>
        <w:trPr>
          <w:trHeight w:val="304"/>
        </w:trPr>
        <w:tc>
          <w:tcPr>
            <w:tcW w:w="257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zh-CN"/>
              </w:rPr>
              <w:t xml:space="preserve">1</w:t>
            </w:r>
            <w:r/>
          </w:p>
        </w:tc>
        <w:tc>
          <w:tcPr>
            <w:tcW w:w="51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轿车</w:t>
            </w:r>
            <w:r/>
          </w:p>
        </w:tc>
      </w:tr>
      <w:tr>
        <w:trPr>
          <w:trHeight w:val="304"/>
        </w:trPr>
        <w:tc>
          <w:tcPr>
            <w:tcW w:w="2576" w:type="dxa"/>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sz w:val="28"/>
                <w:szCs w:val="28"/>
                <w:lang w:val="zh-CN"/>
              </w:rPr>
              <w:t xml:space="preserve">2</w:t>
            </w:r>
            <w:r/>
          </w:p>
        </w:tc>
        <w:tc>
          <w:tcPr>
            <w:tcW w:w="5163" w:type="dxa"/>
            <w:vAlign w:val="center"/>
            <w:textDirection w:val="lrTb"/>
            <w:noWrap w:val="false"/>
          </w:tcPr>
          <w:p>
            <w:pPr>
              <w:jc w:val="center"/>
              <w:spacing w:line="400" w:lineRule="exact"/>
              <w:rPr>
                <w:rFonts w:hint="eastAsia" w:ascii="方正仿宋_GBK" w:hAnsi="方正仿宋_GBK" w:eastAsia="方正仿宋_GBK" w:cs="方正仿宋_GBK"/>
                <w:sz w:val="28"/>
                <w:szCs w:val="28"/>
                <w:lang w:val="zh-CN"/>
              </w:rPr>
            </w:pPr>
            <w:r>
              <w:rPr>
                <w:rFonts w:ascii="方正仿宋_GBK" w:hAnsi="方正仿宋_GBK" w:eastAsia="方正仿宋_GBK" w:cs="方正仿宋_GBK"/>
                <w:sz w:val="28"/>
                <w:szCs w:val="28"/>
              </w:rPr>
              <w:t xml:space="preserve">商务车</w:t>
            </w:r>
            <w:r/>
          </w:p>
        </w:tc>
      </w:tr>
    </w:tbl>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p>
    <w:tbl>
      <w:tblPr>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46"/>
        <w:gridCol w:w="5633"/>
      </w:tblGrid>
      <w:tr>
        <w:trPr>
          <w:trHeight w:val="716"/>
        </w:trPr>
        <w:tc>
          <w:tcPr>
            <w:tcW w:w="194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6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p>
        </w:tc>
      </w:tr>
      <w:tr>
        <w:trPr>
          <w:trHeight w:val="371"/>
        </w:trPr>
        <w:tc>
          <w:tcPr>
            <w:tcW w:w="194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6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r>
        <w:trPr>
          <w:trHeight w:val="371"/>
        </w:trPr>
        <w:tc>
          <w:tcPr>
            <w:tcW w:w="194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563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bl>
    <w:p>
      <w:pPr>
        <w:jc w:val="center"/>
        <w:keepNext/>
        <w:spacing w:line="660" w:lineRule="exact"/>
        <w:rPr>
          <w:rFonts w:hint="eastAsia" w:ascii="方正黑体_GBK" w:hAnsi="方正黑体_GBK" w:eastAsia="方正黑体_GBK" w:cs="方正黑体_GBK"/>
          <w:bCs/>
          <w:sz w:val="28"/>
          <w:szCs w:val="28"/>
        </w:rPr>
        <w:outlineLvl w:val="0"/>
      </w:pPr>
      <w:r/>
      <w:bookmarkStart w:id="204" w:name="_Toc120614281"/>
      <w:r>
        <w:rPr>
          <w:rFonts w:hint="eastAsia" w:ascii="方正仿宋_GBK" w:hAnsi="方正仿宋_GBK" w:eastAsia="方正仿宋_GBK" w:cs="方正仿宋_GBK"/>
          <w:bCs/>
          <w:sz w:val="28"/>
          <w:szCs w:val="28"/>
        </w:rPr>
        <w:br w:type="page" w:clear="all"/>
      </w:r>
      <w:bookmarkStart w:id="205" w:name="_Toc240275229"/>
      <w:r>
        <w:rPr>
          <w:rFonts w:hint="eastAsia" w:ascii="方正黑体_GBK" w:hAnsi="方正黑体_GBK" w:eastAsia="方正黑体_GBK" w:cs="方正黑体_GBK"/>
          <w:bCs/>
          <w:sz w:val="28"/>
          <w:szCs w:val="28"/>
        </w:rPr>
        <w:t xml:space="preserve">第五章  评标方法与评标标准</w:t>
      </w:r>
      <w:bookmarkEnd w:id="205"/>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采用综合评分法的，评标结果按评审后得分由高到低顺序排列。得分相同的，按投标报价由低到高顺序排列。得分且投标报价相同的并列。</w:t>
      </w:r>
      <w:r/>
    </w:p>
    <w:tbl>
      <w:tblPr>
        <w:tblW w:w="0" w:type="auto"/>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2"/>
        <w:gridCol w:w="1982"/>
        <w:gridCol w:w="5153"/>
      </w:tblGrid>
      <w:tr>
        <w:trPr/>
        <w:tc>
          <w:tcPr>
            <w:tcW w:w="165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198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5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rHeight w:val="573"/>
        </w:trPr>
        <w:tc>
          <w:tcPr>
            <w:tcW w:w="165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98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53" w:type="dxa"/>
            <w:vMerge w:val="restart"/>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r>
        <w:trPr/>
        <w:tc>
          <w:tcPr>
            <w:tcW w:w="165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98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53" w:type="dxa"/>
            <w:vMerge w:val="continue"/>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政府采购政策功能落实</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ind w:firstLine="420"/>
        <w:jc w:val="left"/>
        <w:spacing w:before="120" w:after="120"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（1）本项目对小型和微型企业产品给予10%的扣除价格，用扣除后的价格参与评审。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（1）本项目对残疾人福利性单位视同小型、微型企业，给予10%的价格扣除，用扣除后的价格参与评审。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（1）本项目对监狱和戒毒企业（简称监狱企业）视同小型、微型企业，给予10%的价格扣除，用扣除后的价格参与评审。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w:t>
      </w:r>
      <w:r>
        <w:rPr>
          <w:rFonts w:hint="eastAsia" w:ascii="方正仿宋_GBK" w:hAnsi="方正仿宋_GBK" w:eastAsia="方正仿宋_GBK" w:cs="方正仿宋_GBK"/>
          <w:sz w:val="28"/>
          <w:szCs w:val="28"/>
        </w:rPr>
        <w:t xml:space="preserve">(含新疆生产建设兵团)</w:t>
      </w:r>
      <w:r>
        <w:rPr>
          <w:rFonts w:hint="eastAsia" w:ascii="方正仿宋_GBK" w:hAnsi="方正仿宋_GBK" w:eastAsia="方正仿宋_GBK" w:cs="方正仿宋_GBK"/>
          <w:sz w:val="28"/>
          <w:szCs w:val="28"/>
        </w:rPr>
        <w:t xml:space="preserve">出具的属于监狱企业的证明文件。供应商如不提供上述证明文件，价格将不做相应扣除。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p>
    <w:p>
      <w:pPr>
        <w:ind w:firstLine="560"/>
        <w:spacing w:line="400" w:lineRule="exact"/>
        <w:rPr>
          <w:rFonts w:hint="eastAsia" w:ascii="华文新魏" w:hAnsi="宋体" w:eastAsia="华文新魏"/>
          <w:sz w:val="28"/>
          <w:szCs w:val="28"/>
        </w:rPr>
      </w:pPr>
      <w:r>
        <w:rPr>
          <w:rFonts w:hint="eastAsia" w:ascii="方正仿宋_GBK" w:hAnsi="方正仿宋_GBK" w:eastAsia="方正仿宋_GBK" w:cs="方正仿宋_GBK"/>
          <w:sz w:val="28"/>
          <w:szCs w:val="28"/>
        </w:rPr>
        <w:t xml:space="preserve">5.如本项目同意联合体投标或同意分包履行合同</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560"/>
        <w:jc w:val="left"/>
        <w:spacing w:before="120" w:after="120"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6.联合体各方均为小型、微型企业（残疾人福利单位、监狱企业）的，联合体享受10%价格扣除，用扣除后的价格参与评审。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供应商需按照招标文件的要求提供《关于符合本国产品标准的声明函》（以下简称《声明函》），如不提供将不享受本国产品价格评审优惠。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供应商需在《声明函》中逐一、准确填写产品名称、厂名、生产厂址三项信息（《声明函》中标注</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w:t>
      </w:r>
      <w:r>
        <w:rPr>
          <w:rFonts w:hint="eastAsia" w:ascii="方正仿宋_GBK" w:hAnsi="方正仿宋_GBK" w:eastAsia="方正仿宋_GBK" w:cs="方正仿宋_GBK"/>
          <w:sz w:val="28"/>
          <w:szCs w:val="28"/>
        </w:rPr>
        <w:t xml:space="preserve">准。</w:t>
      </w:r>
      <w:r/>
    </w:p>
    <w:p>
      <w:pPr>
        <w:ind w:firstLine="560"/>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评标方法与评标标准</w:t>
      </w:r>
      <w:r/>
    </w:p>
    <w:p>
      <w:pPr>
        <w:ind w:firstLine="480"/>
        <w:spacing w:line="400" w:lineRule="exact"/>
        <w:rPr>
          <w:rFonts w:hint="eastAsia" w:ascii="宋体" w:hAnsi="宋体" w:cs="宋体"/>
          <w:bCs/>
          <w:sz w:val="24"/>
          <w:szCs w:val="24"/>
        </w:rPr>
      </w:pPr>
      <w:r>
        <w:rPr>
          <w:rFonts w:hint="eastAsia" w:ascii="宋体" w:hAnsi="宋体" w:cs="宋体"/>
          <w:bCs/>
          <w:sz w:val="24"/>
          <w:szCs w:val="24"/>
          <w:lang w:bidi="ar"/>
        </w:rPr>
        <w:t xml:space="preserve">本项目采用综合评分法确定中标候选人。评标委员会将按下列评分办法和标准进行评分，总分值为100分。</w:t>
      </w:r>
      <w:r/>
    </w:p>
    <w:p>
      <w:pPr>
        <w:ind w:firstLine="482"/>
        <w:spacing w:line="400" w:lineRule="exact"/>
        <w:rPr>
          <w:rFonts w:hint="eastAsia" w:ascii="宋体" w:hAnsi="宋体" w:cs="宋体"/>
          <w:bCs/>
          <w:sz w:val="24"/>
          <w:szCs w:val="24"/>
        </w:rPr>
      </w:pPr>
      <w:r>
        <w:rPr>
          <w:rFonts w:hint="eastAsia" w:ascii="宋体" w:hAnsi="宋体" w:cs="宋体"/>
          <w:b/>
          <w:bCs/>
          <w:sz w:val="24"/>
          <w:szCs w:val="24"/>
          <w:lang w:bidi="ar"/>
        </w:rPr>
        <w:t xml:space="preserve">（一）价格分（30分）</w:t>
      </w:r>
      <w:r/>
    </w:p>
    <w:p>
      <w:pPr>
        <w:pStyle w:val="808"/>
        <w:ind w:firstLine="480"/>
        <w:jc w:val="both"/>
        <w:spacing w:before="0" w:beforeAutospacing="0" w:after="0" w:afterAutospacing="0" w:line="400" w:lineRule="exact"/>
        <w:widowControl w:val="off"/>
        <w:rPr>
          <w:rFonts w:hint="eastAsia"/>
        </w:rPr>
      </w:pPr>
      <w:r>
        <w:rPr>
          <w:rFonts w:hint="eastAsia"/>
          <w:lang w:bidi="ar"/>
        </w:rPr>
        <w:t xml:space="preserve">1.1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1位。</w:t>
      </w:r>
      <w:r/>
    </w:p>
    <w:p>
      <w:pPr>
        <w:ind w:firstLine="482"/>
        <w:spacing w:line="400" w:lineRule="exact"/>
        <w:rPr>
          <w:rFonts w:hint="eastAsia" w:ascii="宋体" w:hAnsi="宋体" w:cs="宋体"/>
          <w:b/>
          <w:bCs/>
          <w:sz w:val="24"/>
          <w:szCs w:val="24"/>
        </w:rPr>
      </w:pPr>
      <w:r>
        <w:rPr>
          <w:rFonts w:hint="eastAsia" w:ascii="宋体" w:hAnsi="宋体" w:cs="宋体"/>
          <w:b/>
          <w:bCs/>
          <w:sz w:val="24"/>
          <w:szCs w:val="24"/>
          <w:lang w:bidi="ar"/>
        </w:rPr>
        <w:t xml:space="preserve">（二）技术要求响应情况（30分）</w:t>
      </w:r>
      <w:r/>
    </w:p>
    <w:p>
      <w:pPr>
        <w:pStyle w:val="808"/>
        <w:ind w:firstLine="480"/>
        <w:jc w:val="both"/>
        <w:spacing w:before="0" w:beforeAutospacing="0" w:after="0" w:afterAutospacing="0" w:line="400" w:lineRule="exact"/>
        <w:widowControl w:val="off"/>
        <w:rPr>
          <w:rFonts w:hint="eastAsia"/>
        </w:rPr>
      </w:pPr>
      <w:r>
        <w:rPr>
          <w:rFonts w:hint="eastAsia"/>
          <w:lang w:bidi="ar"/>
        </w:rPr>
        <w:t xml:space="preserve">2.1投标产品对采购文件具体需求的响应程度：全部响应即满足采购文件项目需求的，得30分；项目需求非实质性条款每有一项负偏离扣0.5分，扣完为止。标注“★”的为实质性指标，必须满足，否则按无效投标处理。（需提供工信部发改委《道路机动车辆生产企业及产品公告》查询截图以及相关检测报告、产品说明、厂家宣传彩页或参数配置表等资料证明，未提供相关材料的不得分）。</w:t>
      </w:r>
      <w:r/>
    </w:p>
    <w:p>
      <w:pPr>
        <w:ind w:firstLine="442"/>
        <w:spacing w:line="400" w:lineRule="exact"/>
        <w:rPr>
          <w:rFonts w:hint="eastAsia" w:ascii="宋体" w:hAnsi="宋体" w:cs="宋体"/>
          <w:b/>
          <w:bCs/>
          <w:sz w:val="24"/>
          <w:szCs w:val="24"/>
        </w:rPr>
      </w:pPr>
      <w:r>
        <w:rPr>
          <w:rFonts w:hint="eastAsia" w:ascii="宋体" w:hAnsi="宋体" w:cs="宋体"/>
          <w:b/>
          <w:bCs/>
          <w:sz w:val="24"/>
          <w:szCs w:val="24"/>
          <w:lang w:bidi="ar"/>
        </w:rPr>
        <w:t xml:space="preserve">（三）配置方案（</w:t>
      </w:r>
      <w:r>
        <w:rPr>
          <w:rFonts w:hint="eastAsia" w:ascii="宋体" w:hAnsi="宋体" w:cs="宋体"/>
          <w:b/>
          <w:bCs/>
          <w:sz w:val="24"/>
          <w:szCs w:val="24"/>
          <w:highlight w:val="yellow"/>
          <w:lang w:bidi="ar"/>
        </w:rPr>
        <w:t xml:space="preserve">5</w:t>
      </w:r>
      <w:r>
        <w:rPr>
          <w:rFonts w:hint="eastAsia" w:ascii="宋体" w:hAnsi="宋体" w:cs="宋体"/>
          <w:b/>
          <w:bCs/>
          <w:sz w:val="24"/>
          <w:szCs w:val="24"/>
          <w:lang w:bidi="ar"/>
        </w:rPr>
        <w:t xml:space="preserve">分）</w:t>
      </w:r>
      <w:r/>
    </w:p>
    <w:p>
      <w:pPr>
        <w:pStyle w:val="808"/>
        <w:ind w:firstLine="440"/>
        <w:spacing w:before="0" w:beforeAutospacing="0" w:after="0" w:afterAutospacing="0" w:line="400" w:lineRule="exact"/>
        <w:widowControl w:val="off"/>
        <w:rPr>
          <w:rFonts w:hint="eastAsia"/>
        </w:rPr>
      </w:pPr>
      <w:r>
        <w:rPr>
          <w:rFonts w:hint="eastAsia"/>
          <w:lang w:bidi="ar"/>
        </w:rPr>
        <w:t xml:space="preserve">3.1投标人提供所投车辆的详细配置方案，内容包括但不限于以下内容：①品牌、生产厂家、型号；②车辆发动机、电机、电池、底盘、安全装置等重要核心部件的配置和技术参数；③车辆座椅、仪表操作、空调系统等车辆舒适性配置。（投标人应提供相关检测报告、产品说明、厂家宣传彩页或参数配置表等资料证明）</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①投标文件未符合“</w:t>
      </w:r>
      <w:r>
        <w:rPr>
          <w:rFonts w:hint="eastAsia" w:ascii="宋体" w:hAnsi="Arial" w:cs="宋体"/>
          <w:sz w:val="24"/>
          <w:szCs w:val="24"/>
        </w:rPr>
        <w:t xml:space="preserve">配置方案</w:t>
      </w:r>
      <w:r>
        <w:rPr>
          <w:rFonts w:hint="eastAsia" w:ascii="宋体" w:hAnsi="Arial" w:cs="宋体"/>
          <w:sz w:val="24"/>
          <w:szCs w:val="24"/>
          <w:lang w:val="zh-CN"/>
        </w:rPr>
        <w:t xml:space="preserve">”中全部条款要求的，视为不符合招标文件，本项得0分；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②投标文件符合“</w:t>
      </w:r>
      <w:r>
        <w:rPr>
          <w:rFonts w:hint="eastAsia" w:ascii="宋体" w:hAnsi="Arial" w:cs="宋体"/>
          <w:sz w:val="24"/>
          <w:szCs w:val="24"/>
        </w:rPr>
        <w:t xml:space="preserve">配置方案</w:t>
      </w:r>
      <w:r>
        <w:rPr>
          <w:rFonts w:hint="eastAsia" w:ascii="宋体" w:hAnsi="Arial" w:cs="宋体"/>
          <w:sz w:val="24"/>
          <w:szCs w:val="24"/>
          <w:lang w:val="zh-CN"/>
        </w:rPr>
        <w:t xml:space="preserve">”中全部条款要求的，视为符合招标文件，本项得</w:t>
      </w:r>
      <w:r>
        <w:rPr>
          <w:rFonts w:hint="eastAsia" w:ascii="宋体" w:hAnsi="Arial" w:cs="宋体"/>
          <w:sz w:val="24"/>
          <w:szCs w:val="24"/>
          <w:highlight w:val="yellow"/>
        </w:rPr>
        <w:t xml:space="preserve">3</w:t>
      </w:r>
      <w:r>
        <w:rPr>
          <w:rFonts w:hint="eastAsia" w:ascii="宋体" w:hAnsi="Arial" w:cs="宋体"/>
          <w:sz w:val="24"/>
          <w:szCs w:val="24"/>
          <w:lang w:val="zh-CN"/>
        </w:rPr>
        <w:t xml:space="preserve">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③经评委认定，投标文件对“</w:t>
      </w:r>
      <w:r>
        <w:rPr>
          <w:rFonts w:hint="eastAsia" w:ascii="宋体" w:hAnsi="Arial" w:cs="宋体"/>
          <w:sz w:val="24"/>
          <w:szCs w:val="24"/>
        </w:rPr>
        <w:t xml:space="preserve">配置方案</w:t>
      </w:r>
      <w:r>
        <w:rPr>
          <w:rFonts w:hint="eastAsia" w:ascii="宋体" w:hAnsi="Arial" w:cs="宋体"/>
          <w:sz w:val="24"/>
          <w:szCs w:val="24"/>
          <w:lang w:val="zh-CN"/>
        </w:rPr>
        <w:t xml:space="preserve">”中“</w:t>
      </w:r>
      <w:r>
        <w:rPr>
          <w:rFonts w:hint="eastAsia" w:ascii="宋体" w:hAnsi="宋体" w:cs="宋体"/>
          <w:sz w:val="24"/>
          <w:szCs w:val="24"/>
          <w:lang w:bidi="ar"/>
        </w:rPr>
        <w:t xml:space="preserve">安全性配置</w:t>
      </w:r>
      <w:r>
        <w:rPr>
          <w:rFonts w:hint="eastAsia" w:ascii="宋体" w:hAnsi="Arial" w:cs="宋体"/>
          <w:sz w:val="24"/>
          <w:szCs w:val="24"/>
          <w:lang w:val="zh-CN"/>
        </w:rPr>
        <w:t xml:space="preserve">”要求的</w:t>
      </w:r>
      <w:r>
        <w:rPr>
          <w:rFonts w:hint="eastAsia" w:ascii="宋体" w:hAnsi="Arial" w:cs="宋体"/>
          <w:sz w:val="24"/>
          <w:szCs w:val="24"/>
          <w:highlight w:val="yellow"/>
          <w:lang w:val="zh-CN"/>
        </w:rPr>
        <w:t xml:space="preserve">响应内容优于招标文件要求的</w:t>
      </w:r>
      <w:r>
        <w:rPr>
          <w:rFonts w:hint="eastAsia" w:ascii="宋体" w:hAnsi="Arial" w:cs="宋体"/>
          <w:sz w:val="24"/>
          <w:szCs w:val="24"/>
          <w:lang w:val="zh-CN"/>
        </w:rPr>
        <w:t xml:space="preserve">（投标文件对“</w:t>
      </w:r>
      <w:r>
        <w:rPr>
          <w:rFonts w:hint="eastAsia" w:ascii="宋体" w:hAnsi="Arial" w:cs="宋体"/>
          <w:sz w:val="24"/>
          <w:szCs w:val="24"/>
        </w:rPr>
        <w:t xml:space="preserve">配置方案</w:t>
      </w:r>
      <w:r>
        <w:rPr>
          <w:rFonts w:hint="eastAsia" w:ascii="宋体" w:hAnsi="Arial" w:cs="宋体"/>
          <w:sz w:val="24"/>
          <w:szCs w:val="24"/>
          <w:lang w:val="zh-CN"/>
        </w:rPr>
        <w:t xml:space="preserve">”中除“</w:t>
      </w:r>
      <w:r>
        <w:rPr>
          <w:rFonts w:hint="eastAsia" w:ascii="宋体" w:hAnsi="宋体" w:cs="宋体"/>
          <w:sz w:val="24"/>
          <w:szCs w:val="24"/>
          <w:lang w:bidi="ar"/>
        </w:rPr>
        <w:t xml:space="preserve">安全性配置</w:t>
      </w:r>
      <w:r>
        <w:rPr>
          <w:rFonts w:hint="eastAsia" w:ascii="宋体" w:hAnsi="Arial" w:cs="宋体"/>
          <w:sz w:val="24"/>
          <w:szCs w:val="24"/>
          <w:lang w:val="zh-CN"/>
        </w:rPr>
        <w:t xml:space="preserve">”外其它要求响应内容符合招标文件要求），本项得</w:t>
      </w:r>
      <w:r>
        <w:rPr>
          <w:rFonts w:hint="eastAsia" w:ascii="宋体" w:hAnsi="Arial" w:cs="宋体"/>
          <w:sz w:val="24"/>
          <w:szCs w:val="24"/>
          <w:highlight w:val="yellow"/>
        </w:rPr>
        <w:t xml:space="preserve">5</w:t>
      </w:r>
      <w:r>
        <w:rPr>
          <w:rFonts w:hint="eastAsia" w:ascii="宋体" w:hAnsi="Arial" w:cs="宋体"/>
          <w:sz w:val="24"/>
          <w:szCs w:val="24"/>
          <w:lang w:val="zh-CN"/>
        </w:rPr>
        <w:t xml:space="preserve">分。</w:t>
      </w:r>
      <w:r/>
    </w:p>
    <w:p>
      <w:pPr>
        <w:ind w:firstLine="442"/>
        <w:spacing w:line="400" w:lineRule="exact"/>
        <w:rPr>
          <w:rFonts w:hint="eastAsia" w:ascii="宋体" w:hAnsi="宋体" w:cs="宋体"/>
          <w:bCs/>
          <w:sz w:val="24"/>
          <w:szCs w:val="24"/>
        </w:rPr>
      </w:pPr>
      <w:r>
        <w:rPr>
          <w:rFonts w:hint="eastAsia" w:ascii="宋体" w:hAnsi="宋体" w:cs="宋体"/>
          <w:b/>
          <w:bCs/>
          <w:sz w:val="24"/>
          <w:szCs w:val="24"/>
          <w:lang w:bidi="ar"/>
        </w:rPr>
        <w:t xml:space="preserve">（四）售后服务能力（</w:t>
      </w:r>
      <w:r>
        <w:rPr>
          <w:rFonts w:hint="eastAsia" w:ascii="宋体" w:hAnsi="宋体" w:cs="宋体"/>
          <w:b/>
          <w:bCs/>
          <w:sz w:val="24"/>
          <w:szCs w:val="24"/>
          <w:highlight w:val="yellow"/>
          <w:lang w:bidi="ar"/>
        </w:rPr>
        <w:t xml:space="preserve">7</w:t>
      </w:r>
      <w:r>
        <w:rPr>
          <w:rFonts w:hint="eastAsia" w:ascii="宋体" w:hAnsi="宋体" w:cs="宋体"/>
          <w:b/>
          <w:bCs/>
          <w:sz w:val="24"/>
          <w:szCs w:val="24"/>
          <w:lang w:bidi="ar"/>
        </w:rPr>
        <w:t xml:space="preserve">分）</w:t>
      </w:r>
      <w:r/>
    </w:p>
    <w:p>
      <w:pPr>
        <w:pStyle w:val="808"/>
        <w:ind w:firstLine="440"/>
        <w:spacing w:before="0" w:beforeAutospacing="0" w:after="0" w:afterAutospacing="0" w:line="400" w:lineRule="exact"/>
        <w:widowControl w:val="off"/>
        <w:rPr>
          <w:rFonts w:hint="eastAsia"/>
          <w:lang w:bidi="ar"/>
        </w:rPr>
      </w:pPr>
      <w:r>
        <w:rPr>
          <w:rFonts w:hint="eastAsia"/>
          <w:lang w:bidi="ar"/>
        </w:rPr>
        <w:t xml:space="preserve">4.1售后服务整体方案（</w:t>
      </w:r>
      <w:r>
        <w:rPr>
          <w:rFonts w:hint="eastAsia"/>
          <w:highlight w:val="yellow"/>
          <w:lang w:bidi="ar"/>
        </w:rPr>
        <w:t xml:space="preserve">5</w:t>
      </w:r>
      <w:r>
        <w:rPr>
          <w:rFonts w:hint="eastAsia"/>
          <w:lang w:bidi="ar"/>
        </w:rPr>
        <w:t xml:space="preserve">分）：投标人提供售后服务整体方案，内容包括但不限于以下内容：①售后服务方案合理性、科学性；②紧急问题处理响应时间及反馈、故障排除时间；③服务措施、</w:t>
      </w:r>
      <w:r>
        <w:rPr>
          <w:rFonts w:hint="eastAsia"/>
          <w:color w:val="000000"/>
          <w:lang w:bidi="ar"/>
        </w:rPr>
        <w:t xml:space="preserve">备件体系</w:t>
      </w:r>
      <w:r>
        <w:rPr>
          <w:rFonts w:hint="eastAsia"/>
          <w:lang w:bidi="ar"/>
        </w:rPr>
        <w:t xml:space="preserve">及服务承诺等。</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①投标文件未符合“</w:t>
      </w:r>
      <w:r>
        <w:rPr>
          <w:rFonts w:hint="eastAsia" w:ascii="宋体" w:hAnsi="Arial" w:cs="宋体"/>
          <w:sz w:val="24"/>
          <w:szCs w:val="24"/>
        </w:rPr>
        <w:t xml:space="preserve">售后服务方案</w:t>
      </w:r>
      <w:r>
        <w:rPr>
          <w:rFonts w:hint="eastAsia" w:ascii="宋体" w:hAnsi="Arial" w:cs="宋体"/>
          <w:sz w:val="24"/>
          <w:szCs w:val="24"/>
          <w:lang w:val="zh-CN"/>
        </w:rPr>
        <w:t xml:space="preserve">”中全部条款要求的，视为不符合招标文件，本项得0分；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②投标文件符合“</w:t>
      </w:r>
      <w:r>
        <w:rPr>
          <w:rFonts w:hint="eastAsia" w:ascii="宋体" w:hAnsi="Arial" w:cs="宋体"/>
          <w:sz w:val="24"/>
          <w:szCs w:val="24"/>
        </w:rPr>
        <w:t xml:space="preserve">售后服务方案</w:t>
      </w:r>
      <w:r>
        <w:rPr>
          <w:rFonts w:hint="eastAsia" w:ascii="宋体" w:hAnsi="Arial" w:cs="宋体"/>
          <w:sz w:val="24"/>
          <w:szCs w:val="24"/>
          <w:lang w:val="zh-CN"/>
        </w:rPr>
        <w:t xml:space="preserve">”中全部条款要求的，视为符合招标文件，本项得</w:t>
      </w:r>
      <w:r>
        <w:rPr>
          <w:rFonts w:hint="eastAsia" w:ascii="宋体" w:hAnsi="Arial" w:cs="宋体"/>
          <w:sz w:val="24"/>
          <w:szCs w:val="24"/>
          <w:highlight w:val="yellow"/>
        </w:rPr>
        <w:t xml:space="preserve">3</w:t>
      </w:r>
      <w:r>
        <w:rPr>
          <w:rFonts w:hint="eastAsia" w:ascii="宋体" w:hAnsi="Arial" w:cs="宋体"/>
          <w:sz w:val="24"/>
          <w:szCs w:val="24"/>
          <w:lang w:val="zh-CN"/>
        </w:rPr>
        <w:t xml:space="preserve">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③经评委认定，投标文件对“</w:t>
      </w:r>
      <w:r>
        <w:rPr>
          <w:rFonts w:hint="eastAsia" w:ascii="宋体" w:hAnsi="Arial" w:cs="宋体"/>
          <w:sz w:val="24"/>
          <w:szCs w:val="24"/>
        </w:rPr>
        <w:t xml:space="preserve">售后服务方案</w:t>
      </w:r>
      <w:r>
        <w:rPr>
          <w:rFonts w:hint="eastAsia" w:ascii="宋体" w:hAnsi="Arial" w:cs="宋体"/>
          <w:sz w:val="24"/>
          <w:szCs w:val="24"/>
          <w:lang w:val="zh-CN"/>
        </w:rPr>
        <w:t xml:space="preserve">”中“</w:t>
      </w:r>
      <w:r>
        <w:rPr>
          <w:rStyle w:val="821"/>
          <w:rFonts w:hint="eastAsia" w:ascii="宋体" w:hAnsi="Arial" w:cs="宋体"/>
          <w:sz w:val="24"/>
          <w:szCs w:val="24"/>
        </w:rPr>
        <w:t xml:space="preserve">故障排除时限</w:t>
      </w:r>
      <w:r>
        <w:rPr>
          <w:rFonts w:hint="eastAsia" w:ascii="宋体" w:hAnsi="Arial" w:cs="宋体"/>
          <w:sz w:val="24"/>
          <w:szCs w:val="24"/>
          <w:lang w:val="zh-CN"/>
        </w:rPr>
        <w:t xml:space="preserve">”要求的</w:t>
      </w:r>
      <w:r>
        <w:rPr>
          <w:rFonts w:hint="eastAsia" w:ascii="宋体" w:hAnsi="Arial" w:cs="宋体"/>
          <w:sz w:val="24"/>
          <w:szCs w:val="24"/>
          <w:highlight w:val="yellow"/>
          <w:lang w:val="zh-CN"/>
        </w:rPr>
        <w:t xml:space="preserve">响应内容优于招标文件要求的</w:t>
      </w:r>
      <w:r>
        <w:rPr>
          <w:rFonts w:hint="eastAsia" w:ascii="宋体" w:hAnsi="Arial" w:cs="宋体"/>
          <w:sz w:val="24"/>
          <w:szCs w:val="24"/>
          <w:lang w:val="zh-CN"/>
        </w:rPr>
        <w:t xml:space="preserve">（投标文件对“</w:t>
      </w:r>
      <w:r>
        <w:rPr>
          <w:rFonts w:hint="eastAsia" w:ascii="宋体" w:hAnsi="Arial" w:cs="宋体"/>
          <w:sz w:val="24"/>
          <w:szCs w:val="24"/>
        </w:rPr>
        <w:t xml:space="preserve">售后服务方案</w:t>
      </w:r>
      <w:r>
        <w:rPr>
          <w:rFonts w:hint="eastAsia" w:ascii="宋体" w:hAnsi="Arial" w:cs="宋体"/>
          <w:sz w:val="24"/>
          <w:szCs w:val="24"/>
          <w:lang w:val="zh-CN"/>
        </w:rPr>
        <w:t xml:space="preserve">”中除“</w:t>
      </w:r>
      <w:r>
        <w:rPr>
          <w:rStyle w:val="821"/>
          <w:rFonts w:hint="eastAsia" w:ascii="宋体" w:hAnsi="Arial" w:cs="宋体"/>
          <w:sz w:val="24"/>
          <w:szCs w:val="24"/>
        </w:rPr>
        <w:t xml:space="preserve">故障排除时限</w:t>
      </w:r>
      <w:r>
        <w:rPr>
          <w:rFonts w:hint="eastAsia" w:ascii="宋体" w:hAnsi="Arial" w:cs="宋体"/>
          <w:sz w:val="24"/>
          <w:szCs w:val="24"/>
          <w:lang w:val="zh-CN"/>
        </w:rPr>
        <w:t xml:space="preserve">”外其它要求响应内容符合招标文件要求），本项得</w:t>
      </w:r>
      <w:r>
        <w:rPr>
          <w:rFonts w:hint="eastAsia" w:ascii="宋体" w:hAnsi="Arial" w:cs="宋体"/>
          <w:sz w:val="24"/>
          <w:szCs w:val="24"/>
          <w:highlight w:val="yellow"/>
        </w:rPr>
        <w:t xml:space="preserve">5</w:t>
      </w:r>
      <w:r>
        <w:rPr>
          <w:rFonts w:hint="eastAsia" w:ascii="宋体" w:hAnsi="Arial" w:cs="宋体"/>
          <w:sz w:val="24"/>
          <w:szCs w:val="24"/>
          <w:lang w:val="zh-CN"/>
        </w:rPr>
        <w:t xml:space="preserve">分。</w:t>
      </w:r>
      <w:r/>
    </w:p>
    <w:p>
      <w:pPr>
        <w:ind w:firstLine="440"/>
        <w:spacing w:line="400" w:lineRule="exact"/>
        <w:rPr>
          <w:rFonts w:hint="eastAsia" w:ascii="宋体" w:hAnsi="宋体" w:cs="宋体"/>
          <w:sz w:val="24"/>
          <w:szCs w:val="24"/>
          <w:highlight w:val="yellow"/>
          <w:lang w:bidi="ar"/>
        </w:rPr>
      </w:pPr>
      <w:r>
        <w:rPr>
          <w:rFonts w:hint="eastAsia" w:ascii="宋体" w:hAnsi="宋体" w:cs="宋体"/>
          <w:sz w:val="24"/>
          <w:szCs w:val="24"/>
          <w:lang w:bidi="ar"/>
        </w:rPr>
        <w:t xml:space="preserve">4.2售后服务网络体系（</w:t>
      </w:r>
      <w:r>
        <w:rPr>
          <w:rFonts w:hint="eastAsia" w:ascii="宋体" w:hAnsi="宋体" w:cs="宋体"/>
          <w:sz w:val="24"/>
          <w:szCs w:val="24"/>
          <w:highlight w:val="yellow"/>
          <w:lang w:bidi="ar"/>
        </w:rPr>
        <w:t xml:space="preserve">2</w:t>
      </w:r>
      <w:r>
        <w:rPr>
          <w:rFonts w:hint="eastAsia" w:ascii="宋体" w:hAnsi="宋体" w:cs="宋体"/>
          <w:sz w:val="24"/>
          <w:szCs w:val="24"/>
          <w:lang w:bidi="ar"/>
        </w:rPr>
        <w:t xml:space="preserve">分）：</w:t>
      </w:r>
      <w:r>
        <w:rPr>
          <w:rFonts w:hint="eastAsia" w:ascii="宋体" w:hAnsi="宋体" w:cs="宋体"/>
          <w:sz w:val="24"/>
          <w:szCs w:val="24"/>
          <w:highlight w:val="yellow"/>
          <w:lang w:bidi="ar"/>
        </w:rPr>
        <w:t xml:space="preserve">投标人提供已建立的或承诺合同签订后30日内建立的售后服务网点详细情况列表，服务网点可为自有、授权或签约合作维修单位等形式。江苏省13个地级市中，至少在8个（含）设有服务网点的，得1分；在此基础上，每增加一个其他地级市服务网点的，加0.2分，本项最高得2分。投标人应提供</w:t>
      </w:r>
      <w:r>
        <w:rPr>
          <w:rFonts w:hint="eastAsia" w:ascii="宋体" w:hAnsi="宋体" w:cs="宋体"/>
          <w:sz w:val="24"/>
          <w:szCs w:val="24"/>
          <w:highlight w:val="yellow"/>
          <w:lang w:bidi="ar"/>
        </w:rPr>
        <w:t xml:space="preserve">"江苏省</w:t>
      </w:r>
      <w:r>
        <w:rPr>
          <w:rFonts w:hint="eastAsia" w:ascii="宋体" w:hAnsi="宋体" w:cs="宋体"/>
          <w:sz w:val="24"/>
          <w:szCs w:val="24"/>
          <w:highlight w:val="yellow"/>
          <w:lang w:bidi="ar"/>
        </w:rPr>
        <w:t xml:space="preserve">内服务网点分布情况一览表”或承诺书。</w:t>
      </w:r>
      <w:r/>
    </w:p>
    <w:p>
      <w:pPr>
        <w:ind w:firstLine="440"/>
        <w:spacing w:line="400" w:lineRule="exact"/>
        <w:rPr>
          <w:rFonts w:hint="eastAsia" w:ascii="宋体" w:hAnsi="宋体" w:cs="宋体"/>
          <w:sz w:val="24"/>
          <w:szCs w:val="24"/>
        </w:rPr>
      </w:pPr>
      <w:r>
        <w:rPr>
          <w:rFonts w:hint="eastAsia" w:ascii="宋体" w:hAnsi="宋体" w:cs="宋体"/>
          <w:sz w:val="24"/>
          <w:szCs w:val="24"/>
        </w:rPr>
      </w:r>
      <w:r/>
    </w:p>
    <w:p>
      <w:pPr>
        <w:pStyle w:val="808"/>
        <w:ind w:firstLine="440"/>
        <w:spacing w:before="0" w:beforeAutospacing="0" w:after="0" w:afterAutospacing="0" w:line="400" w:lineRule="exact"/>
        <w:widowControl w:val="off"/>
        <w:rPr>
          <w:rFonts w:hint="eastAsia"/>
          <w:b/>
          <w:bCs/>
        </w:rPr>
      </w:pPr>
      <w:r>
        <w:rPr>
          <w:rFonts w:hint="eastAsia"/>
          <w:b/>
          <w:bCs/>
          <w:lang w:bidi="ar"/>
        </w:rPr>
        <w:t xml:space="preserve">（五）质保期（8分）</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5.1根据投标人提供的整车质保期进行评审（5分）：投标提供4年或10万公里车辆质保期的得2分，在此基础处上，每增加2年及4万公里的加1分，最高加3分。（投标人需提供整车质保期承诺书，并加盖单位公章）</w:t>
      </w:r>
      <w:r/>
    </w:p>
    <w:p>
      <w:pPr>
        <w:ind w:firstLine="480"/>
        <w:spacing w:line="400" w:lineRule="exact"/>
        <w:rPr>
          <w:rFonts w:hint="eastAsia" w:ascii="宋体" w:hAnsi="宋体" w:cs="宋体"/>
          <w:color w:val="000000"/>
          <w:sz w:val="24"/>
          <w:szCs w:val="24"/>
        </w:rPr>
      </w:pPr>
      <w:r>
        <w:rPr>
          <w:rFonts w:hint="eastAsia" w:ascii="宋体" w:hAnsi="宋体" w:cs="宋体"/>
          <w:sz w:val="24"/>
          <w:szCs w:val="24"/>
          <w:lang w:bidi="ar"/>
        </w:rPr>
        <w:t xml:space="preserve">5.2根据投标人提供的新能源电池包质保期进行评审（3分）：投标提供8年或16万公里新能源电池包质保期的得1分，在此基础处上，每增加1年及2万公里的加1分，最高加2分。（投标人需提供新能源电池包质保期承诺书，并加盖单位公章）。</w:t>
      </w:r>
      <w:r/>
    </w:p>
    <w:p>
      <w:pPr>
        <w:ind w:firstLine="482"/>
        <w:spacing w:line="400" w:lineRule="exact"/>
        <w:rPr>
          <w:rFonts w:hint="eastAsia" w:ascii="宋体" w:hAnsi="宋体" w:cs="宋体"/>
          <w:b/>
          <w:bCs/>
          <w:sz w:val="24"/>
          <w:szCs w:val="24"/>
        </w:rPr>
      </w:pPr>
      <w:r>
        <w:rPr>
          <w:rFonts w:hint="eastAsia" w:ascii="宋体" w:hAnsi="宋体" w:cs="宋体"/>
          <w:b/>
          <w:bCs/>
          <w:sz w:val="24"/>
          <w:szCs w:val="24"/>
          <w:lang w:bidi="ar"/>
        </w:rPr>
        <w:t xml:space="preserve">（六）免费保养（4分）</w:t>
      </w:r>
      <w:r/>
    </w:p>
    <w:p>
      <w:pPr>
        <w:ind w:firstLine="480"/>
        <w:spacing w:line="400" w:lineRule="exact"/>
        <w:rPr>
          <w:rFonts w:hint="eastAsia" w:ascii="宋体" w:hAnsi="宋体" w:cs="宋体"/>
          <w:sz w:val="24"/>
          <w:szCs w:val="24"/>
        </w:rPr>
      </w:pPr>
      <w:r>
        <w:rPr>
          <w:rFonts w:hint="eastAsia" w:ascii="宋体" w:hAnsi="宋体" w:cs="宋体"/>
          <w:sz w:val="24"/>
          <w:szCs w:val="24"/>
          <w:lang w:bidi="ar"/>
        </w:rPr>
        <w:t xml:space="preserve">6.1跟据所投车型厂家保养手册规定的标准保养周期，提供免费保养（包括人工费和材料费）次数进行评审：提供1次免费保养的得2分；每增加1次的加1分，最高加2分。（投标人需提供书面承诺，并加盖单位公章）。</w:t>
      </w:r>
      <w:r/>
    </w:p>
    <w:p>
      <w:pPr>
        <w:ind w:firstLine="442"/>
        <w:spacing w:line="400" w:lineRule="exact"/>
        <w:rPr>
          <w:rFonts w:hint="eastAsia" w:ascii="宋体" w:hAnsi="宋体" w:cs="宋体"/>
          <w:b/>
          <w:bCs/>
          <w:sz w:val="24"/>
          <w:szCs w:val="24"/>
        </w:rPr>
      </w:pPr>
      <w:r>
        <w:rPr>
          <w:rFonts w:hint="eastAsia" w:ascii="宋体" w:hAnsi="宋体" w:cs="宋体"/>
          <w:b/>
          <w:bCs/>
          <w:sz w:val="24"/>
          <w:szCs w:val="24"/>
          <w:lang w:bidi="ar"/>
        </w:rPr>
        <w:t xml:space="preserve">（七）业绩（6分）</w:t>
      </w:r>
      <w:r/>
    </w:p>
    <w:p>
      <w:pPr>
        <w:pStyle w:val="808"/>
        <w:ind w:firstLine="440"/>
        <w:spacing w:before="0" w:beforeAutospacing="0" w:after="0" w:afterAutospacing="0" w:line="400" w:lineRule="exact"/>
        <w:widowControl w:val="off"/>
        <w:rPr>
          <w:rFonts w:hint="eastAsia"/>
        </w:rPr>
      </w:pPr>
      <w:r>
        <w:rPr>
          <w:rFonts w:hint="eastAsia"/>
          <w:lang w:bidi="ar"/>
        </w:rPr>
        <w:t xml:space="preserve">7.1</w:t>
      </w:r>
      <w:r>
        <w:rPr>
          <w:highlight w:val="yellow"/>
        </w:rPr>
        <w:t xml:space="preserve">依据投标人完成的同</w:t>
      </w:r>
      <w:r>
        <w:rPr>
          <w:rFonts w:hint="eastAsia"/>
          <w:highlight w:val="yellow"/>
        </w:rPr>
        <w:t xml:space="preserve">类型</w:t>
      </w:r>
      <w:r>
        <w:rPr>
          <w:highlight w:val="yellow"/>
        </w:rPr>
        <w:t xml:space="preserve">车辆供货</w:t>
      </w:r>
      <w:r>
        <w:rPr>
          <w:rFonts w:hint="eastAsia"/>
          <w:highlight w:val="yellow"/>
        </w:rPr>
        <w:t xml:space="preserve">业绩进行</w:t>
      </w:r>
      <w:r>
        <w:rPr>
          <w:highlight w:val="yellow"/>
        </w:rPr>
        <w:t xml:space="preserve">评审</w:t>
      </w:r>
      <w:r>
        <w:rPr>
          <w:rFonts w:hint="eastAsia"/>
          <w:highlight w:val="yellow"/>
          <w:lang w:bidi="ar"/>
        </w:rPr>
        <w:t xml:space="preserve">：投标人自2023年1月1日至今（以合同签订日期为准），每有1项对应标段投标车型同类型车辆（轿车包对应轿车、商务车包对应商务车）已完成供货业绩得1.2分，最多得6分。（已完成供货业绩提供的证明材料中须提供盖章合同复印件和发票复印件，否则业绩不予认可。单个合同能体现多种车型业绩且符合业绩认定要求的，均予以认可）</w:t>
      </w:r>
      <w:r/>
    </w:p>
    <w:p>
      <w:pPr>
        <w:pStyle w:val="808"/>
        <w:ind w:firstLine="482"/>
        <w:spacing w:before="0" w:beforeAutospacing="0" w:after="0" w:afterAutospacing="0" w:line="400" w:lineRule="exact"/>
        <w:widowControl w:val="off"/>
        <w:rPr>
          <w:rFonts w:hint="eastAsia"/>
          <w:b/>
          <w:bCs/>
        </w:rPr>
      </w:pPr>
      <w:r>
        <w:rPr>
          <w:rFonts w:hint="eastAsia"/>
          <w:b/>
          <w:bCs/>
          <w:lang w:bidi="ar"/>
        </w:rPr>
        <w:t xml:space="preserve">（八）实施方案（</w:t>
      </w:r>
      <w:r>
        <w:rPr>
          <w:rFonts w:hint="eastAsia"/>
          <w:b/>
          <w:bCs/>
          <w:highlight w:val="yellow"/>
          <w:lang w:bidi="ar"/>
        </w:rPr>
        <w:t xml:space="preserve">5</w:t>
      </w:r>
      <w:r>
        <w:rPr>
          <w:rFonts w:hint="eastAsia"/>
          <w:b/>
          <w:bCs/>
          <w:lang w:bidi="ar"/>
        </w:rPr>
        <w:t xml:space="preserve">分）</w:t>
      </w:r>
      <w:r/>
    </w:p>
    <w:p>
      <w:pPr>
        <w:pStyle w:val="808"/>
        <w:ind w:firstLine="480"/>
        <w:spacing w:before="0" w:beforeAutospacing="0" w:after="0" w:afterAutospacing="0" w:line="400" w:lineRule="exact"/>
        <w:widowControl w:val="off"/>
        <w:rPr>
          <w:rFonts w:hint="eastAsia"/>
          <w:lang w:bidi="ar"/>
        </w:rPr>
      </w:pPr>
      <w:r>
        <w:rPr>
          <w:rFonts w:hint="eastAsia"/>
          <w:lang w:bidi="ar"/>
        </w:rPr>
        <w:t xml:space="preserve">8.1投标人应根据采购需求，结合项目实际，提供实施方案，方案至少应包括但不限于以下内容：①车辆生产组织和质量保证，②供货进度保障措施，③交付查验及辅助上牌等。</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①投标文件未符合“实施方案”中全部条款要求的，视为不符合招标文件，本项得0分；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②投标文件符合“实施方案”中全部条款要求的，视为符合招标文件，本项得</w:t>
      </w:r>
      <w:r>
        <w:rPr>
          <w:rFonts w:hint="eastAsia" w:ascii="宋体" w:hAnsi="Arial" w:cs="宋体"/>
          <w:sz w:val="24"/>
          <w:szCs w:val="24"/>
          <w:highlight w:val="yellow"/>
        </w:rPr>
        <w:t xml:space="preserve">3</w:t>
      </w:r>
      <w:r>
        <w:rPr>
          <w:rFonts w:hint="eastAsia" w:ascii="宋体" w:hAnsi="Arial" w:cs="宋体"/>
          <w:sz w:val="24"/>
          <w:szCs w:val="24"/>
          <w:lang w:val="zh-CN"/>
        </w:rPr>
        <w:t xml:space="preserve">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③经评委认定，投标文件对“实施方案”中“</w:t>
      </w:r>
      <w:r>
        <w:rPr>
          <w:rFonts w:hint="eastAsia" w:ascii="宋体" w:hAnsi="宋体" w:cs="宋体"/>
          <w:sz w:val="24"/>
          <w:szCs w:val="24"/>
          <w:lang w:bidi="ar"/>
        </w:rPr>
        <w:t xml:space="preserve">交付查验及辅助上牌</w:t>
      </w:r>
      <w:r>
        <w:rPr>
          <w:rFonts w:hint="eastAsia" w:ascii="宋体" w:hAnsi="Arial" w:cs="宋体"/>
          <w:sz w:val="24"/>
          <w:szCs w:val="24"/>
          <w:lang w:val="zh-CN"/>
        </w:rPr>
        <w:t xml:space="preserve">”要求的</w:t>
      </w:r>
      <w:r>
        <w:rPr>
          <w:rFonts w:hint="eastAsia" w:ascii="宋体" w:hAnsi="Arial" w:cs="宋体"/>
          <w:sz w:val="24"/>
          <w:szCs w:val="24"/>
          <w:highlight w:val="yellow"/>
          <w:lang w:val="zh-CN"/>
        </w:rPr>
        <w:t xml:space="preserve">响应内容优于招标文件要求的</w:t>
      </w:r>
      <w:r>
        <w:rPr>
          <w:rFonts w:hint="eastAsia" w:ascii="宋体" w:hAnsi="Arial" w:cs="宋体"/>
          <w:sz w:val="24"/>
          <w:szCs w:val="24"/>
          <w:lang w:val="zh-CN"/>
        </w:rPr>
        <w:t xml:space="preserve">（投标文件对“实施方案”中除“</w:t>
      </w:r>
      <w:r>
        <w:rPr>
          <w:rFonts w:hint="eastAsia" w:ascii="宋体" w:hAnsi="宋体" w:cs="宋体"/>
          <w:sz w:val="24"/>
          <w:szCs w:val="24"/>
          <w:lang w:bidi="ar"/>
        </w:rPr>
        <w:t xml:space="preserve">交付查验及辅助上牌</w:t>
      </w:r>
      <w:r>
        <w:rPr>
          <w:rFonts w:hint="eastAsia" w:ascii="宋体" w:hAnsi="Arial" w:cs="宋体"/>
          <w:sz w:val="24"/>
          <w:szCs w:val="24"/>
          <w:lang w:val="zh-CN"/>
        </w:rPr>
        <w:t xml:space="preserve">”外其它要求响应内容符合招标文件要求），本项得</w:t>
      </w:r>
      <w:r>
        <w:rPr>
          <w:rFonts w:hint="eastAsia" w:ascii="宋体" w:hAnsi="Arial" w:cs="宋体"/>
          <w:sz w:val="24"/>
          <w:szCs w:val="24"/>
          <w:highlight w:val="yellow"/>
        </w:rPr>
        <w:t xml:space="preserve">5</w:t>
      </w:r>
      <w:r>
        <w:rPr>
          <w:rFonts w:hint="eastAsia" w:ascii="宋体" w:hAnsi="Arial" w:cs="宋体"/>
          <w:sz w:val="24"/>
          <w:szCs w:val="24"/>
          <w:lang w:val="zh-CN"/>
        </w:rPr>
        <w:t xml:space="preserve">分。</w:t>
      </w:r>
      <w:r/>
    </w:p>
    <w:p>
      <w:pPr>
        <w:pStyle w:val="808"/>
        <w:ind w:firstLine="482"/>
        <w:spacing w:before="0" w:beforeAutospacing="0" w:after="0" w:afterAutospacing="0" w:line="400" w:lineRule="exact"/>
        <w:widowControl w:val="off"/>
        <w:rPr>
          <w:rFonts w:hint="eastAsia"/>
          <w:b/>
          <w:bCs/>
        </w:rPr>
      </w:pPr>
      <w:r>
        <w:rPr>
          <w:rFonts w:hint="eastAsia"/>
          <w:b/>
          <w:bCs/>
          <w:lang w:bidi="ar"/>
        </w:rPr>
        <w:t xml:space="preserve">（九）原厂配件承诺（3分）</w:t>
      </w:r>
      <w:r/>
    </w:p>
    <w:p>
      <w:pPr>
        <w:pStyle w:val="808"/>
        <w:ind w:firstLine="480"/>
        <w:spacing w:before="0" w:beforeAutospacing="0" w:after="0" w:afterAutospacing="0" w:line="400" w:lineRule="exact"/>
        <w:widowControl w:val="off"/>
        <w:rPr>
          <w:rFonts w:hint="eastAsia"/>
        </w:rPr>
      </w:pPr>
      <w:r>
        <w:rPr>
          <w:rFonts w:hint="eastAsia"/>
          <w:lang w:bidi="ar"/>
        </w:rPr>
        <w:t xml:space="preserve">9.1中标供应商应保证采购人所购车辆在整车质保期或免费保养期内，维修或保养过程中所提供的零配件为原厂配件。投标人提供承诺书并加盖单位公章的，得3分；未提供承诺书的，不得分。</w:t>
      </w:r>
      <w:r/>
    </w:p>
    <w:p>
      <w:pPr>
        <w:ind w:firstLine="482"/>
        <w:spacing w:line="440" w:lineRule="atLeast"/>
        <w:rPr>
          <w:rFonts w:ascii="宋体" w:hAnsi="Arial" w:cs="宋体"/>
          <w:b/>
          <w:bCs/>
          <w:sz w:val="24"/>
          <w:szCs w:val="24"/>
          <w:lang w:val="zh-CN"/>
        </w:rPr>
      </w:pPr>
      <w:r>
        <w:rPr>
          <w:rFonts w:hint="eastAsia" w:ascii="宋体" w:hAnsi="Arial" w:cs="宋体"/>
          <w:b/>
          <w:bCs/>
          <w:sz w:val="24"/>
          <w:szCs w:val="24"/>
          <w:lang w:val="zh-CN"/>
        </w:rPr>
        <w:t xml:space="preserve">（十）节能环保（2分）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10</w:t>
      </w:r>
      <w:r>
        <w:rPr>
          <w:rFonts w:ascii="宋体" w:hAnsi="Arial" w:cs="宋体"/>
          <w:sz w:val="24"/>
          <w:szCs w:val="24"/>
          <w:lang w:val="zh-CN"/>
        </w:rPr>
        <w:t xml:space="preserve">.1</w:t>
      </w:r>
      <w:r>
        <w:rPr>
          <w:rFonts w:hint="eastAsia" w:ascii="宋体" w:hAnsi="Arial" w:cs="宋体"/>
          <w:sz w:val="24"/>
          <w:szCs w:val="24"/>
          <w:lang w:val="zh-CN"/>
        </w:rPr>
        <w:t xml:space="preserve">投标产品属于财政部、国家发改委公布的</w:t>
      </w:r>
      <w:r>
        <w:rPr>
          <w:rFonts w:ascii="宋体" w:hAnsi="Arial" w:cs="宋体"/>
          <w:sz w:val="24"/>
          <w:szCs w:val="24"/>
          <w:lang w:val="zh-CN"/>
        </w:rPr>
        <w:t xml:space="preserve">“</w:t>
      </w:r>
      <w:r>
        <w:rPr>
          <w:rFonts w:hint="eastAsia" w:ascii="宋体" w:hAnsi="Arial" w:cs="宋体"/>
          <w:sz w:val="24"/>
          <w:szCs w:val="24"/>
          <w:lang w:val="zh-CN"/>
        </w:rPr>
        <w:t xml:space="preserve">节能产品品目清单</w:t>
      </w:r>
      <w:r>
        <w:rPr>
          <w:rFonts w:ascii="宋体" w:hAnsi="Arial" w:cs="宋体"/>
          <w:sz w:val="24"/>
          <w:szCs w:val="24"/>
          <w:lang w:val="zh-CN"/>
        </w:rPr>
        <w:t xml:space="preserve">”</w:t>
      </w:r>
      <w:r>
        <w:rPr>
          <w:rFonts w:hint="eastAsia" w:ascii="宋体" w:hAnsi="Arial" w:cs="宋体"/>
          <w:sz w:val="24"/>
          <w:szCs w:val="24"/>
          <w:lang w:val="zh-CN"/>
        </w:rPr>
        <w:t xml:space="preserve">范围内的，投标人提供国家确定的认证机构出具的、处于有效期之内的该节能产品认证证书复印件的，得1分；未提供的不得分。</w:t>
      </w:r>
      <w:r/>
    </w:p>
    <w:p>
      <w:pPr>
        <w:ind w:firstLine="420"/>
        <w:jc w:val="left"/>
        <w:spacing w:before="120" w:after="120" w:line="400" w:lineRule="exact"/>
        <w:rPr>
          <w:rFonts w:ascii="宋体" w:hAnsi="Arial" w:cs="宋体"/>
          <w:sz w:val="24"/>
          <w:szCs w:val="24"/>
          <w:lang w:val="zh-CN"/>
        </w:rPr>
      </w:pPr>
      <w:r>
        <w:rPr>
          <w:rFonts w:hint="eastAsia" w:ascii="宋体" w:hAnsi="Arial" w:cs="宋体"/>
          <w:sz w:val="24"/>
          <w:szCs w:val="24"/>
          <w:lang w:val="zh-CN"/>
        </w:rPr>
        <w:t xml:space="preserve">10</w:t>
      </w:r>
      <w:r>
        <w:rPr>
          <w:rFonts w:ascii="宋体" w:hAnsi="Arial" w:cs="宋体"/>
          <w:sz w:val="24"/>
          <w:szCs w:val="24"/>
          <w:lang w:val="zh-CN"/>
        </w:rPr>
        <w:t xml:space="preserve">.2</w:t>
      </w:r>
      <w:r>
        <w:rPr>
          <w:rFonts w:hint="eastAsia" w:ascii="宋体" w:hAnsi="Arial" w:cs="宋体"/>
          <w:sz w:val="24"/>
          <w:szCs w:val="24"/>
          <w:lang w:val="zh-CN"/>
        </w:rPr>
        <w:t xml:space="preserve">投标产品属于财政部、生态环境部公布的</w:t>
      </w:r>
      <w:r>
        <w:rPr>
          <w:rFonts w:ascii="宋体" w:hAnsi="Arial" w:cs="宋体"/>
          <w:sz w:val="24"/>
          <w:szCs w:val="24"/>
          <w:lang w:val="zh-CN"/>
        </w:rPr>
        <w:t xml:space="preserve">“</w:t>
      </w:r>
      <w:r>
        <w:rPr>
          <w:rFonts w:hint="eastAsia" w:ascii="宋体" w:hAnsi="Arial" w:cs="宋体"/>
          <w:sz w:val="24"/>
          <w:szCs w:val="24"/>
          <w:lang w:val="zh-CN"/>
        </w:rPr>
        <w:t xml:space="preserve">环境标志产品品目清单</w:t>
      </w:r>
      <w:r>
        <w:rPr>
          <w:rFonts w:ascii="宋体" w:hAnsi="Arial" w:cs="宋体"/>
          <w:sz w:val="24"/>
          <w:szCs w:val="24"/>
          <w:lang w:val="zh-CN"/>
        </w:rPr>
        <w:t xml:space="preserve">”</w:t>
      </w:r>
      <w:r>
        <w:rPr>
          <w:rFonts w:hint="eastAsia" w:ascii="宋体" w:hAnsi="Arial" w:cs="宋体"/>
          <w:sz w:val="24"/>
          <w:szCs w:val="24"/>
          <w:lang w:val="zh-CN"/>
        </w:rPr>
        <w:t xml:space="preserve">范围内的，投标人提供国家确定的认证机构出具的、处于有效期内的该环保产品认证证书复印件的，得1分；未提供的不得分。</w:t>
      </w:r>
      <w:r/>
    </w:p>
    <w:p>
      <w:pPr>
        <w:ind w:firstLine="480"/>
        <w:spacing w:line="440" w:lineRule="atLeast"/>
        <w:rPr>
          <w:rFonts w:ascii="宋体" w:hAnsi="Arial" w:cs="宋体"/>
          <w:sz w:val="24"/>
          <w:szCs w:val="24"/>
          <w:lang w:val="zh-CN"/>
        </w:rPr>
      </w:pPr>
      <w:r>
        <w:rPr>
          <w:rFonts w:ascii="宋体" w:hAnsi="Arial" w:cs="宋体"/>
          <w:sz w:val="24"/>
          <w:szCs w:val="24"/>
          <w:lang w:val="zh-CN"/>
        </w:rPr>
      </w:r>
      <w:r/>
    </w:p>
    <w:p>
      <w:pPr>
        <w:jc w:val="center"/>
        <w:keepNext/>
        <w:spacing w:line="660" w:lineRule="exact"/>
        <w:rPr>
          <w:rFonts w:hint="eastAsia" w:ascii="方正黑体_GBK" w:hAnsi="方正黑体_GBK" w:eastAsia="方正黑体_GBK" w:cs="方正黑体_GBK"/>
          <w:bCs/>
          <w:sz w:val="28"/>
          <w:szCs w:val="28"/>
        </w:rPr>
        <w:outlineLvl w:val="0"/>
      </w:pPr>
      <w:r/>
      <w:bookmarkStart w:id="206" w:name="_Toc240275230"/>
      <w:r>
        <w:rPr>
          <w:rFonts w:ascii="宋体" w:hAnsi="Arial" w:cs="宋体"/>
          <w:sz w:val="24"/>
          <w:szCs w:val="24"/>
          <w:lang w:val="zh-CN"/>
        </w:rPr>
        <w:br w:type="page" w:clear="all"/>
      </w:r>
      <w:r>
        <w:rPr>
          <w:rFonts w:hint="eastAsia" w:ascii="方正黑体_GBK" w:hAnsi="方正黑体_GBK" w:eastAsia="方正黑体_GBK" w:cs="方正黑体_GBK"/>
          <w:bCs/>
          <w:sz w:val="28"/>
          <w:szCs w:val="28"/>
        </w:rPr>
        <w:t xml:space="preserve">第六章  投标</w:t>
      </w:r>
      <w:bookmarkEnd w:id="202"/>
      <w:r/>
      <w:bookmarkEnd w:id="203"/>
      <w:r/>
      <w:bookmarkEnd w:id="204"/>
      <w:r>
        <w:rPr>
          <w:rFonts w:hint="eastAsia" w:ascii="方正黑体_GBK" w:hAnsi="方正黑体_GBK" w:eastAsia="方正黑体_GBK" w:cs="方正黑体_GBK"/>
          <w:bCs/>
          <w:sz w:val="28"/>
          <w:szCs w:val="28"/>
        </w:rPr>
        <w:t xml:space="preserve">文件格式</w:t>
      </w:r>
      <w:bookmarkEnd w:id="206"/>
      <w:r/>
      <w:r/>
    </w:p>
    <w:p>
      <w:pPr>
        <w:jc w:val="center"/>
        <w:spacing w:line="400" w:lineRule="exact"/>
        <w:rPr>
          <w:rFonts w:hint="eastAsia" w:ascii="宋体" w:hAnsi="宋体"/>
          <w:b/>
          <w:sz w:val="28"/>
          <w:szCs w:val="28"/>
        </w:rPr>
      </w:pPr>
      <w:r/>
      <w:bookmarkStart w:id="207" w:name="_Hlt26671244"/>
      <w:r/>
      <w:bookmarkStart w:id="208" w:name="_Hlt26955039"/>
      <w:r/>
      <w:bookmarkStart w:id="209" w:name="_Toc26554094"/>
      <w:r/>
      <w:bookmarkStart w:id="210" w:name="_Toc120614282"/>
      <w:r/>
      <w:bookmarkStart w:id="211" w:name="_Toc49090576"/>
      <w:r/>
      <w:bookmarkEnd w:id="207"/>
      <w:r/>
      <w:bookmarkEnd w:id="208"/>
      <w:r/>
      <w:r/>
    </w:p>
    <w:p>
      <w:pPr>
        <w:jc w:val="center"/>
        <w:spacing w:line="400" w:lineRule="exact"/>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w:t>
      </w:r>
      <w:r>
        <w:rPr>
          <w:rFonts w:hint="eastAsia" w:ascii="方正小标宋_GBK" w:hAnsi="方正小标宋_GBK" w:eastAsia="方正小标宋_GBK" w:cs="方正小标宋_GBK"/>
          <w:bCs/>
          <w:sz w:val="32"/>
          <w:szCs w:val="32"/>
        </w:rPr>
        <w:t xml:space="preserve">  </w:t>
      </w:r>
      <w:r>
        <w:rPr>
          <w:rFonts w:hint="eastAsia" w:ascii="方正小标宋_GBK" w:hAnsi="方正小标宋_GBK" w:eastAsia="方正小标宋_GBK" w:cs="方正小标宋_GBK"/>
          <w:bCs/>
          <w:sz w:val="32"/>
          <w:szCs w:val="32"/>
        </w:rPr>
        <w:t xml:space="preserve">文  件</w:t>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p>
    <w:p>
      <w:pPr>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（加盖CA电子公章）</w:t>
      </w:r>
      <w:r/>
    </w:p>
    <w:p>
      <w:pPr>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br w:type="page" w:clear="all"/>
      </w:r>
      <w:r/>
    </w:p>
    <w:p>
      <w:pPr>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p>
    <w:p>
      <w:pPr>
        <w:jc w:val="center"/>
        <w:spacing w:line="400" w:lineRule="exact"/>
        <w:rPr>
          <w:rFonts w:hint="eastAsia" w:ascii="宋体" w:hAnsi="宋体"/>
          <w:b/>
          <w:bCs/>
          <w:sz w:val="28"/>
          <w:szCs w:val="28"/>
        </w:rPr>
      </w:pPr>
      <w:r>
        <w:rPr>
          <w:rFonts w:hint="eastAsia" w:ascii="宋体" w:hAnsi="宋体"/>
          <w:b/>
          <w:bCs/>
          <w:sz w:val="28"/>
          <w:szCs w:val="28"/>
        </w:rPr>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1.开标一览表（格式见附件1）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2.投标分项报价表（格式见附件2）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3.技术要求响应及偏离表（格式见附件3）</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4.商务要求响应及偏离表（格式见附件4）</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eastAsia="方正仿宋_GBK"/>
          <w:sz w:val="28"/>
          <w:szCs w:val="28"/>
        </w:rPr>
        <w:t xml:space="preserve">XXXX</w:t>
      </w:r>
      <w:r>
        <w:rPr>
          <w:rFonts w:hint="eastAsia" w:ascii="方正仿宋_GBK" w:hAnsi="方正仿宋_GBK" w:eastAsia="方正仿宋_GBK" w:cs="方正仿宋_GBK"/>
          <w:sz w:val="28"/>
          <w:szCs w:val="28"/>
        </w:rPr>
        <w:t xml:space="preserve">（格式见附件</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eastAsia="方正仿宋_GBK"/>
          <w:sz w:val="28"/>
          <w:szCs w:val="28"/>
        </w:rPr>
        <w:t xml:space="preserve">（</w:t>
      </w:r>
      <w:r>
        <w:rPr>
          <w:rFonts w:eastAsia="方正仿宋_GBK"/>
          <w:sz w:val="28"/>
          <w:szCs w:val="28"/>
        </w:rPr>
        <w:t xml:space="preserve">www.creditchina.gov.cn</w:t>
      </w:r>
      <w:r>
        <w:rPr>
          <w:rFonts w:eastAsia="方正仿宋_GBK"/>
          <w:sz w:val="28"/>
          <w:szCs w:val="28"/>
        </w:rPr>
        <w:t xml:space="preserve">）</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10）12.联合体协议（如果本项目接受联合体参加投标，投标人是联合体的，则</w:t>
      </w:r>
      <w:r>
        <w:rPr>
          <w:rFonts w:hint="eastAsia" w:ascii="方正仿宋_GBK" w:hAnsi="方正仿宋_GBK" w:eastAsia="方正仿宋_GBK" w:cs="方正仿宋_GBK"/>
          <w:sz w:val="28"/>
          <w:szCs w:val="28"/>
        </w:rPr>
        <w:t xml:space="preserve">必须提供。格式见附件11）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p>
    <w:p>
      <w:pPr>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p>
    <w:p>
      <w:pPr>
        <w:ind w:firstLine="480"/>
        <w:spacing w:line="400" w:lineRule="exact"/>
        <w:rPr>
          <w:rFonts w:hint="eastAsia" w:ascii="宋体" w:hAnsi="宋体"/>
          <w:sz w:val="24"/>
          <w:szCs w:val="21"/>
        </w:rPr>
      </w:pPr>
      <w:r>
        <w:rPr>
          <w:rFonts w:hint="eastAsia" w:ascii="宋体" w:hAnsi="宋体"/>
          <w:sz w:val="24"/>
          <w:szCs w:val="21"/>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jc w:val="left"/>
        <w:widowControl/>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开标一览表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JSZC-320000-SCZX-G2026-0486  </w:t>
      </w:r>
      <w:r>
        <w:rPr>
          <w:rFonts w:hint="eastAsia" w:ascii="方正仿宋_GBK" w:hAnsi="方正仿宋_GBK" w:eastAsia="方正仿宋_GBK" w:cs="方正仿宋_GBK"/>
          <w:sz w:val="28"/>
          <w:szCs w:val="28"/>
        </w:rPr>
        <w:t xml:space="preserve">                                 </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gridSpan w:val="2"/>
            <w:tcW w:w="8886"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r>
        <w:trPr>
          <w:cantSplit/>
          <w:trHeight w:val="505"/>
        </w:trPr>
        <w:tc>
          <w:tcPr>
            <w:tcW w:w="248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p>
        </w:tc>
        <w:tc>
          <w:tcPr>
            <w:tcW w:w="640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spacing w:line="400" w:lineRule="exact"/>
        <w:rPr>
          <w:rFonts w:hint="eastAsia" w:ascii="宋体" w:hAnsi="宋体"/>
          <w:sz w:val="28"/>
          <w:szCs w:val="28"/>
        </w:rPr>
      </w:pPr>
      <w:r>
        <w:rPr>
          <w:rFonts w:hint="eastAsia" w:ascii="宋体" w:hAnsi="宋体"/>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投标分项报价表（采购包号：XX）</w:t>
      </w:r>
      <w:r/>
    </w:p>
    <w:tbl>
      <w:tblPr>
        <w:tblW w:w="9514" w:type="dxa"/>
        <w:tblInd w:w="-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67"/>
        </w:trPr>
        <w:tc>
          <w:tcPr>
            <w:gridSpan w:val="10"/>
            <w:tcW w:w="9514" w:type="dxa"/>
            <w:textDirection w:val="lrTb"/>
            <w:noWrap w:val="false"/>
          </w:tcPr>
          <w:p>
            <w:pPr>
              <w:pStyle w:val="808"/>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sz w:val="28"/>
          <w:szCs w:val="28"/>
        </w:rPr>
        <w:t xml:space="preserve">数额为各“分项总价”之和。</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4.投标人需认真填写本报价表，尤其注意规格型号的准确填写。</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附件4 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附件4-</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spacing w:line="400" w:lineRule="exact"/>
        <w:rPr>
          <w:rFonts w:hint="eastAsia" w:ascii="宋体" w:hAnsi="宋体"/>
          <w:bCs/>
          <w:sz w:val="28"/>
          <w:szCs w:val="28"/>
        </w:rPr>
      </w:pPr>
      <w:r>
        <w:rPr>
          <w:rFonts w:hint="eastAsia" w:ascii="宋体" w:hAnsi="宋体"/>
          <w:bCs/>
          <w:sz w:val="28"/>
          <w:szCs w:val="28"/>
        </w:rPr>
        <w:t xml:space="preserve">                                     </w:t>
      </w:r>
      <w:r/>
    </w:p>
    <w:p>
      <w:pPr>
        <w:ind w:left="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Start w:id="212" w:name="_Toc120614284"/>
      <w:r/>
      <w:bookmarkEnd w:id="209"/>
      <w:r/>
      <w:bookmarkEnd w:id="210"/>
      <w:r/>
      <w:bookmarkEnd w:id="211"/>
      <w:r/>
      <w:r/>
    </w:p>
    <w:p>
      <w:pPr>
        <w:spacing w:line="400" w:lineRule="exact"/>
        <w:rPr>
          <w:rFonts w:hint="eastAsia" w:ascii="宋体" w:hAnsi="宋体"/>
          <w:b/>
          <w:sz w:val="28"/>
          <w:szCs w:val="28"/>
        </w:rPr>
      </w:pPr>
      <w:r>
        <w:rPr>
          <w:rFonts w:hint="eastAsia" w:ascii="宋体" w:hAnsi="宋体"/>
          <w:b/>
          <w:sz w:val="28"/>
          <w:szCs w:val="28"/>
        </w:rPr>
      </w:r>
      <w:r/>
    </w:p>
    <w:p>
      <w:pPr>
        <w:ind w:firstLine="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（投标人名称）授权</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eastAsia="方正仿宋_GBK"/>
          <w:sz w:val="28"/>
          <w:szCs w:val="28"/>
        </w:rPr>
        <w:t xml:space="preserve">JSZC-320000-SCZX-G2026-0486</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年</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月</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bookmarkStart w:id="213" w:name="_格式3__银行出具的资信证明"/>
      <w:r/>
      <w:bookmarkStart w:id="214" w:name="_Hlt26671380"/>
      <w:r/>
      <w:bookmarkStart w:id="215" w:name="_Hlt26955070"/>
      <w:r/>
      <w:bookmarkEnd w:id="213"/>
      <w:r/>
      <w:bookmarkEnd w:id="214"/>
      <w:r/>
      <w:bookmarkEnd w:id="215"/>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420"/>
        <w:spacing w:line="400" w:lineRule="exact"/>
        <w:rPr>
          <w:sz w:val="28"/>
          <w:szCs w:val="28"/>
        </w:rPr>
      </w:pPr>
      <w:r>
        <w:rPr>
          <w:sz w:val="28"/>
          <w:szCs w:val="28"/>
        </w:rPr>
      </w:r>
      <w:r/>
    </w:p>
    <w:p>
      <w:pPr>
        <w:spacing w:line="400" w:lineRule="exact"/>
        <w:rPr>
          <w:rFonts w:hint="eastAsia" w:ascii="黑体" w:hAnsi="黑体" w:eastAsia="黑体"/>
          <w:b/>
          <w:i/>
          <w:sz w:val="28"/>
          <w:szCs w:val="28"/>
          <w:u w:val="single"/>
        </w:rPr>
      </w:pPr>
      <w:r>
        <w:rPr>
          <w:rFonts w:hint="eastAsia" w:ascii="方正黑体_GBK" w:hAnsi="方正黑体_GBK" w:eastAsia="方正黑体_GBK" w:cs="方正黑体_GBK"/>
          <w:bCs/>
          <w:sz w:val="28"/>
          <w:szCs w:val="28"/>
        </w:rPr>
        <w:t xml:space="preserve">附件8                    投标函</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eastAsia="方正仿宋_GBK"/>
          <w:sz w:val="28"/>
          <w:szCs w:val="28"/>
        </w:rPr>
        <w:t xml:space="preserve">JSZC-320000-SCZX-G2026-0486</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项目（项目名称）的招标文件，正式授权下述签字人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(姓名)</w:t>
      </w:r>
      <w:r>
        <w:rPr>
          <w:rFonts w:hint="eastAsia" w:ascii="方正仿宋_GBK" w:hAnsi="方正仿宋_GBK" w:eastAsia="方正仿宋_GBK" w:cs="方正仿宋_GBK"/>
          <w:sz w:val="28"/>
          <w:szCs w:val="28"/>
        </w:rPr>
        <w:t xml:space="preserve">代表我方</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（投标人的名称），全权处理本次项目投标的有关事宜。</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1.按招标文件规定的各项要求，向买方提供所需货物（包含与货物相关的服务）。</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w:t>
      </w:r>
      <w:r>
        <w:rPr>
          <w:rFonts w:hint="eastAsia" w:ascii="方正仿宋_GBK" w:hAnsi="方正仿宋_GBK" w:eastAsia="方正仿宋_GBK" w:cs="方正仿宋_GBK"/>
          <w:sz w:val="28"/>
          <w:szCs w:val="28"/>
        </w:rPr>
        <w:t xml:space="preserve">中标,</w:t>
      </w:r>
      <w:r>
        <w:rPr>
          <w:rFonts w:hint="eastAsia" w:ascii="方正仿宋_GBK" w:hAnsi="方正仿宋_GBK" w:eastAsia="方正仿宋_GBK" w:cs="方正仿宋_GBK"/>
          <w:sz w:val="28"/>
          <w:szCs w:val="28"/>
        </w:rPr>
        <w:t xml:space="preserve">我方将根据招标文件的规定，严格履行合同的责任和</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t xml:space="preserve">并保证在招标文件规定的时间内完成项目，交付买方验收、使用。</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ind w:left="420" w:firstLine="560"/>
        <w:jc w:val="left"/>
        <w:spacing w:line="400" w:lineRule="exact"/>
        <w:rPr>
          <w:rFonts w:hint="eastAsia" w:ascii="宋体" w:hAnsi="宋体"/>
          <w:sz w:val="28"/>
          <w:szCs w:val="28"/>
        </w:rPr>
      </w:pPr>
      <w:r>
        <w:rPr>
          <w:rFonts w:hint="eastAsia" w:ascii="宋体" w:hAnsi="宋体"/>
          <w:sz w:val="28"/>
          <w:szCs w:val="28"/>
        </w:rPr>
      </w:r>
      <w:r/>
    </w:p>
    <w:p>
      <w:pPr>
        <w:ind w:left="38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ind w:left="3830"/>
        <w:jc w:val="left"/>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日    期：___年____月____日</w:t>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9  中小微企业声明函</w:t>
      </w:r>
      <w:r>
        <w:rPr>
          <w:rFonts w:hint="eastAsia" w:ascii="方正黑体_GBK" w:hAnsi="方正黑体_GBK" w:eastAsia="方正黑体_GBK" w:cs="方正黑体_GBK"/>
          <w:bCs/>
          <w:sz w:val="28"/>
          <w:szCs w:val="28"/>
        </w:rPr>
        <w:t xml:space="preserve">（货物类项目）（采购包号：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w:t>
      </w:r>
      <w:r>
        <w:rPr>
          <w:rFonts w:hint="eastAsia" w:ascii="方正仿宋_GBK" w:hAnsi="方正仿宋_GBK" w:eastAsia="方正仿宋_GBK" w:cs="方正仿宋_GBK"/>
          <w:sz w:val="28"/>
          <w:szCs w:val="28"/>
        </w:rPr>
        <w:t xml:space="preserve">(财库</w:t>
      </w:r>
      <w:r>
        <w:rPr>
          <w:rFonts w:hint="eastAsia" w:ascii="方正仿宋_GBK" w:hAnsi="方正仿宋_GBK" w:eastAsia="方正仿宋_GBK" w:cs="方正仿宋_GBK"/>
          <w:sz w:val="28"/>
          <w:szCs w:val="28"/>
        </w:rPr>
        <w:t xml:space="preserve">〔2020〕46</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sz w:val="28"/>
          <w:szCs w:val="28"/>
        </w:rPr>
        <w:t xml:space="preserve">JSZC-320000-SCZX-G2026-0486</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p>
    <w:p>
      <w:pPr>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p>
    <w:p>
      <w:pPr>
        <w:ind w:right="480" w:firstLine="364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：___年____月____日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left"/>
        <w:spacing w:line="400" w:lineRule="exact"/>
        <w:rPr>
          <w:rFonts w:hint="eastAsia" w:ascii="方正黑体_GBK" w:hAnsi="方正黑体_GBK" w:eastAsia="方正黑体_GBK" w:cs="方正黑体_GBK"/>
          <w:bCs/>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《国家统计局关于印发〈统计上大中小微型企业划分办法（2017）〉的通知》（国统字〔2017〕213号）的规定，自行勾选制造商的企业规模类型。     </w:t>
      </w:r>
      <w:r/>
    </w:p>
    <w:p>
      <w:pPr>
        <w:ind w:firstLine="560"/>
        <w:jc w:val="left"/>
        <w:spacing w:line="400" w:lineRule="exact"/>
        <w:rPr>
          <w:rFonts w:hint="eastAsia" w:ascii="宋体" w:hAnsi="宋体"/>
          <w:sz w:val="28"/>
          <w:szCs w:val="28"/>
        </w:rPr>
      </w:pPr>
      <w:r>
        <w:rPr>
          <w:rFonts w:hint="eastAsia" w:ascii="方正黑体_GBK" w:hAnsi="方正黑体_GBK" w:eastAsia="方正黑体_GBK" w:cs="方正黑体_GBK"/>
          <w:bCs/>
          <w:sz w:val="28"/>
          <w:szCs w:val="28"/>
        </w:rPr>
        <w:t xml:space="preserve">附件10残疾人福利性单位声明函（货物类项目）（采购包号：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sz w:val="28"/>
          <w:szCs w:val="28"/>
        </w:rPr>
        <w:t xml:space="preserve">JSZC-320000-SCZX-G2026-0486</w:t>
      </w:r>
      <w:r>
        <w:rPr>
          <w:rFonts w:eastAsia="方正仿宋_GBK"/>
          <w:sz w:val="28"/>
          <w:szCs w:val="28"/>
        </w:rPr>
        <w:t xml:space="preserve">，</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72"/>
        <w:spacing w:line="400" w:lineRule="exact"/>
        <w:rPr>
          <w:rFonts w:ascii="仿宋_GB2312" w:eastAsia="仿宋_GB2312"/>
          <w:spacing w:val="6"/>
          <w:sz w:val="28"/>
          <w:szCs w:val="28"/>
        </w:rPr>
      </w:pPr>
      <w:r>
        <w:rPr>
          <w:rFonts w:ascii="仿宋_GB2312" w:eastAsia="仿宋_GB2312"/>
          <w:spacing w:val="6"/>
          <w:sz w:val="28"/>
          <w:szCs w:val="28"/>
        </w:rPr>
      </w:r>
      <w:r/>
    </w:p>
    <w:p>
      <w:pPr>
        <w:ind w:right="180" w:firstLine="572"/>
        <w:jc w:val="right"/>
        <w:spacing w:line="400" w:lineRule="exact"/>
        <w:rPr>
          <w:rFonts w:hint="eastAsia" w:ascii="方正仿宋_GBK" w:hAnsi="方正仿宋_GBK" w:eastAsia="方正仿宋_GBK" w:cs="方正仿宋_GBK"/>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：___年____月____日 </w:t>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ind w:firstLine="56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sz w:val="28"/>
          <w:szCs w:val="28"/>
        </w:rPr>
        <w:t xml:space="preserve">JSZC-320000-SCZX-G2026-0486</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）的政府采购活动，我联合体指定</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w:t>
      </w:r>
      <w:r>
        <w:rPr>
          <w:rFonts w:hint="eastAsia" w:ascii="方正仿宋_GBK" w:hAnsi="方正仿宋_GBK" w:eastAsia="方正仿宋_GBK" w:cs="方正仿宋_GBK"/>
          <w:sz w:val="28"/>
          <w:szCs w:val="28"/>
        </w:rPr>
        <w:t xml:space="preserve">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w:t>
      </w:r>
      <w:r/>
    </w:p>
    <w:p>
      <w:pPr>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p>
    <w:p>
      <w:pPr>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p>
    <w:p>
      <w:pPr>
        <w:ind w:firstLine="645"/>
        <w:spacing w:line="400" w:lineRule="exact"/>
        <w:rPr>
          <w:rFonts w:hint="eastAsia" w:ascii="宋体" w:hAnsi="宋体"/>
          <w:sz w:val="28"/>
          <w:szCs w:val="28"/>
        </w:rPr>
      </w:pPr>
      <w:r>
        <w:rPr>
          <w:rFonts w:hint="eastAsia" w:ascii="宋体" w:hAnsi="宋体"/>
          <w:sz w:val="28"/>
          <w:szCs w:val="28"/>
        </w:rPr>
      </w:r>
      <w:r/>
    </w:p>
    <w:p>
      <w:pPr>
        <w:ind w:firstLine="645"/>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spacing w:line="400" w:lineRule="exact"/>
        <w:rPr>
          <w:rFonts w:hint="eastAsia" w:ascii="宋体" w:hAnsi="宋体"/>
          <w:sz w:val="28"/>
          <w:szCs w:val="28"/>
        </w:rPr>
      </w:pPr>
      <w:r>
        <w:rPr>
          <w:rFonts w:hint="eastAsia" w:ascii="宋体" w:hAnsi="宋体"/>
          <w:sz w:val="28"/>
          <w:szCs w:val="28"/>
        </w:rPr>
      </w:r>
      <w:r/>
    </w:p>
    <w:p>
      <w:pPr>
        <w:ind w:firstLine="560"/>
        <w:jc w:val="left"/>
        <w:spacing w:line="400" w:lineRule="exact"/>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附件12实质性要求响应及偏离表（采购包号：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spacing w:line="400" w:lineRule="exact"/>
        <w:rPr>
          <w:rFonts w:hint="eastAsia" w:ascii="宋体" w:hAnsi="宋体"/>
          <w:sz w:val="28"/>
          <w:szCs w:val="28"/>
        </w:rPr>
      </w:pPr>
      <w:r>
        <w:rPr>
          <w:rFonts w:hint="eastAsia" w:ascii="宋体" w:hAnsi="宋体"/>
          <w:sz w:val="28"/>
          <w:szCs w:val="28"/>
        </w:rPr>
      </w:r>
      <w:r/>
    </w:p>
    <w:p>
      <w:pPr>
        <w:ind w:firstLine="280"/>
        <w:jc w:val="left"/>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13  关于符合本国产品标准的声明函</w:t>
      </w:r>
      <w:r>
        <w:rPr>
          <w:rFonts w:hint="eastAsia" w:ascii="方正黑体_GBK" w:hAnsi="方正黑体_GBK" w:eastAsia="方正黑体_GBK" w:cs="方正黑体_GBK"/>
          <w:bCs/>
          <w:sz w:val="28"/>
          <w:szCs w:val="28"/>
        </w:rPr>
        <w:t xml:space="preserve">（采购包号：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808"/>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819"/>
          <w:rFonts w:hint="eastAsia" w:ascii="方正仿宋_GBK" w:hAnsi="方正仿宋_GBK" w:eastAsia="方正仿宋_GBK" w:cs="方正仿宋_GBK"/>
          <w:i w:val="0"/>
          <w:sz w:val="28"/>
          <w:szCs w:val="28"/>
          <w:u w:val="single"/>
          <w:shd w:val="clear" w:color="auto" w:fill="ffffff"/>
        </w:rPr>
        <w:t xml:space="preserve">（产品名称1）</w:t>
      </w:r>
      <w:r>
        <w:rPr>
          <w:rStyle w:val="819"/>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819"/>
          <w:rFonts w:hint="eastAsia" w:ascii="方正仿宋_GBK" w:hAnsi="方正仿宋_GBK" w:eastAsia="方正仿宋_GBK" w:cs="方正仿宋_GBK"/>
          <w:i w:val="0"/>
          <w:sz w:val="28"/>
          <w:szCs w:val="28"/>
          <w:u w:val="single"/>
          <w:shd w:val="clear" w:color="auto" w:fill="ffffff"/>
        </w:rPr>
        <w:t xml:space="preserve">（厂名）</w:t>
      </w:r>
      <w:r>
        <w:rPr>
          <w:rStyle w:val="819"/>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81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w:t>
      </w:r>
      <w:r>
        <w:rPr>
          <w:rStyle w:val="819"/>
          <w:rFonts w:hint="eastAsia" w:ascii="方正仿宋_GBK" w:hAnsi="方正仿宋_GBK" w:eastAsia="方正仿宋_GBK" w:cs="方正仿宋_GBK"/>
          <w:i w:val="0"/>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80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819"/>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819"/>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819"/>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w:t>
      </w:r>
      <w:r>
        <w:rPr>
          <w:rStyle w:val="819"/>
          <w:rFonts w:hint="eastAsia" w:ascii="方正仿宋_GBK" w:hAnsi="方正仿宋_GBK" w:eastAsia="方正仿宋_GBK" w:cs="方正仿宋_GBK"/>
          <w:i w:val="0"/>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shd w:val="clear" w:color="auto" w:fill="ffffff"/>
        </w:rPr>
        <w:t xml:space="preserve">。</w:t>
      </w:r>
      <w:r/>
    </w:p>
    <w:p>
      <w:pPr>
        <w:pStyle w:val="80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p>
    <w:p>
      <w:pPr>
        <w:pStyle w:val="808"/>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808"/>
        <w:spacing w:before="30" w:beforeAutospacing="0" w:after="30" w:afterAutospacing="0" w:line="400" w:lineRule="exact"/>
        <w:rPr>
          <w:rFonts w:hint="eastAsia"/>
          <w:sz w:val="28"/>
          <w:szCs w:val="28"/>
        </w:rPr>
      </w:pPr>
      <w:r>
        <w:rPr>
          <w:rFonts w:hint="eastAsia"/>
          <w:sz w:val="28"/>
          <w:szCs w:val="28"/>
        </w:rPr>
      </w:r>
      <w:r/>
    </w:p>
    <w:p>
      <w:pPr>
        <w:pStyle w:val="808"/>
        <w:ind w:firstLine="560"/>
        <w:jc w:val="right"/>
        <w:spacing w:before="30" w:beforeAutospacing="0" w:after="30" w:afterAutospacing="0" w:line="400" w:lineRule="exact"/>
        <w:rPr>
          <w:rFonts w:hint="eastAsia"/>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p>
    <w:p>
      <w:pPr>
        <w:pStyle w:val="808"/>
        <w:spacing w:before="30" w:beforeAutospacing="0" w:after="30" w:afterAutospacing="0" w:line="400" w:lineRule="exact"/>
        <w:rPr>
          <w:rFonts w:hint="eastAsia"/>
          <w:sz w:val="28"/>
          <w:szCs w:val="28"/>
        </w:rPr>
      </w:pPr>
      <w:r>
        <w:rPr>
          <w:rFonts w:hint="eastAsia"/>
          <w:sz w:val="28"/>
          <w:szCs w:val="28"/>
          <w:shd w:val="clear" w:color="auto" w:fill="ffffff"/>
        </w:rPr>
        <w:t xml:space="preserve">__________________</w:t>
      </w:r>
      <w:r/>
    </w:p>
    <w:p>
      <w:pPr>
        <w:pStyle w:val="808"/>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p>
    <w:p>
      <w:pPr>
        <w:pStyle w:val="808"/>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p>
    <w:p>
      <w:pPr>
        <w:pStyle w:val="808"/>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p>
    <w:p>
      <w:pPr>
        <w:pStyle w:val="808"/>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p>
    <w:p>
      <w:pPr>
        <w:pStyle w:val="808"/>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808"/>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Fonts w:hint="eastAsia" w:ascii="方正仿宋_GBK" w:hAnsi="方正仿宋_GBK" w:eastAsia="方正仿宋_GBK" w:cs="方正仿宋_GBK"/>
          <w:sz w:val="28"/>
          <w:szCs w:val="28"/>
          <w:u w:val="single"/>
          <w:shd w:val="clear" w:color="auto" w:fill="ffffff"/>
        </w:rPr>
        <w:t xml:space="preserve"> </w:t>
      </w:r>
      <w:r>
        <w:rPr>
          <w:rStyle w:val="819"/>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shd w:val="clear" w:color="auto" w:fill="ffffff"/>
        </w:rPr>
        <w:t xml:space="preserve">的地方无需填写。</w:t>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bookmarkEnd w:id="199"/>
      <w:bookmarkEnd w:id="200"/>
      <w:bookmarkEnd w:id="212"/>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ind w:firstLine="280"/>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p>
    <w:p>
      <w:pPr>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w:t>
      </w:r>
      <w:r>
        <w:rPr>
          <w:rFonts w:hint="eastAsia" w:ascii="方正仿宋_GBK" w:hAnsi="方正仿宋_GBK" w:eastAsia="方正仿宋_GBK" w:cs="方正仿宋_GBK"/>
          <w:sz w:val="28"/>
          <w:szCs w:val="28"/>
        </w:rPr>
        <w:t xml:space="preserve">(签章)</w:t>
      </w:r>
      <w:r>
        <w:rPr>
          <w:rFonts w:hint="eastAsia" w:ascii="方正仿宋_GBK" w:hAnsi="方正仿宋_GBK" w:eastAsia="方正仿宋_GBK" w:cs="方正仿宋_GBK"/>
          <w:sz w:val="28"/>
          <w:szCs w:val="28"/>
        </w:rPr>
        <w:t xml:space="preserve">：                   公章：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ind w:firstLine="56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spacing w:line="400" w:lineRule="exact"/>
        <w:widowControl/>
        <w:rPr>
          <w:rFonts w:hint="eastAsia" w:ascii="宋体" w:hAnsi="宋体"/>
          <w:sz w:val="24"/>
          <w:szCs w:val="24"/>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方正楷体_GBK">
    <w:panose1 w:val="020B0503020202020204"/>
  </w:font>
  <w:font w:name="黑体">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Arial">
    <w:panose1 w:val="020B0604020202020204"/>
  </w:font>
  <w:font w:name="方正公文黑体">
    <w:panose1 w:val="020B0503020202020204"/>
  </w:font>
  <w:font w:name="Arial Unicode MS">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749935" cy="230505"/>
              <wp:effectExtent l="0" t="0" r="0" b="0"/>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49935" cy="230505"/>
                      </a:xfrm>
                      <a:prstGeom prst="rect">
                        <a:avLst/>
                      </a:prstGeom>
                      <a:noFill/>
                      <a:ln>
                        <a:noFill/>
                      </a:ln>
                      <a:effectLst/>
                    </wps:spPr>
                    <wps:txbx>
                      <w:txbxContent>
                        <w:p>
                          <w:pPr>
                            <w:pStyle w:val="795"/>
                            <w:tabs>
                              <w:tab w:val="center" w:pos="4153" w:leader="none"/>
                              <w:tab w:val="right"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59.0pt;height:18.1pt;mso-wrap-distance-left:9.0pt;mso-wrap-distance-top:0.0pt;mso-wrap-distance-right:9.0pt;mso-wrap-distance-bottom:0.0pt;v-text-anchor:top;visibility:visible;" filled="f" stroked="f">
              <v:textbox inset="0,0,0,0">
                <w:txbxContent>
                  <w:p>
                    <w:pPr>
                      <w:pStyle w:val="795"/>
                      <w:tabs>
                        <w:tab w:val="center" w:pos="4153" w:leader="none"/>
                        <w:tab w:val="right"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p>
  <w:p>
    <w:pPr>
      <w:pStyle w:val="79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38835" cy="230505"/>
              <wp:effectExtent l="0" t="0" r="0" b="0"/>
              <wp:wrapNone/>
              <wp:docPr id="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38835" cy="230505"/>
                      </a:xfrm>
                      <a:prstGeom prst="rect">
                        <a:avLst/>
                      </a:prstGeom>
                      <a:noFill/>
                      <a:ln>
                        <a:noFill/>
                      </a:ln>
                      <a:effectLst/>
                    </wps:spPr>
                    <wps:txbx>
                      <w:txbxContent>
                        <w:p>
                          <w:pPr>
                            <w:pStyle w:val="795"/>
                            <w:tabs>
                              <w:tab w:val="center" w:pos="4153" w:leader="none"/>
                              <w:tab w:val="right"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6.0pt;height:18.1pt;mso-wrap-distance-left:9.0pt;mso-wrap-distance-top:0.0pt;mso-wrap-distance-right:9.0pt;mso-wrap-distance-bottom:0.0pt;v-text-anchor:top;visibility:visible;" filled="f" stroked="f">
              <v:textbox inset="0,0,0,0">
                <w:txbxContent>
                  <w:p>
                    <w:pPr>
                      <w:pStyle w:val="795"/>
                      <w:tabs>
                        <w:tab w:val="center" w:pos="4153" w:leader="none"/>
                        <w:tab w:val="right" w:pos="8306" w:leader="none"/>
                      </w:tabs>
                      <w:rPr>
                        <w:rFonts w:hint="eastAsia"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tabs>
        <w:tab w:val="center" w:pos="4153" w:leader="none"/>
        <w:tab w:val="right" w:pos="8306" w:leader="none"/>
      </w:tabs>
      <w:rPr>
        <w:rStyle w:val="817"/>
      </w:rPr>
      <w:framePr w:wrap="around" w:vAnchor="text" w:hAnchor="margin" w:xAlign="center" w:y="1"/>
    </w:pPr>
    <w:r>
      <w:fldChar w:fldCharType="begin"/>
    </w:r>
    <w:r>
      <w:rPr>
        <w:rStyle w:val="817"/>
      </w:rPr>
      <w:instrText xml:space="preserve">PAGE  </w:instrText>
    </w:r>
    <w:r>
      <w:fldChar w:fldCharType="separate"/>
    </w:r>
    <w:r>
      <w:rPr>
        <w:rStyle w:val="817"/>
      </w:rPr>
      <w:t xml:space="preserve">1</w:t>
    </w:r>
    <w:r>
      <w:fldChar w:fldCharType="end"/>
    </w:r>
    <w:r/>
  </w:p>
  <w:p>
    <w:pPr>
      <w:pStyle w:val="79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upperLetter"/>
      <w:pStyle w:val="102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64" w:default="1">
    <w:name w:val="Normal"/>
    <w:qFormat/>
    <w:pPr>
      <w:jc w:val="both"/>
      <w:widowControl w:val="off"/>
    </w:pPr>
    <w:rPr>
      <w:sz w:val="21"/>
      <w:szCs w:val="22"/>
    </w:rPr>
  </w:style>
  <w:style w:type="paragraph" w:styleId="765">
    <w:name w:val="Heading 1"/>
    <w:basedOn w:val="764"/>
    <w:next w:val="764"/>
    <w:link w:val="989"/>
    <w:qFormat/>
    <w:pPr>
      <w:keepLines/>
      <w:keepNext/>
      <w:spacing w:before="360" w:after="80"/>
      <w:outlineLvl w:val="0"/>
    </w:pPr>
    <w:rPr>
      <w:rFonts w:asciiTheme="majorHAnsi" w:hAnsiTheme="majorHAnsi" w:eastAsiaTheme="majorEastAsia" w:cstheme="majorBidi"/>
      <w:color w:val="0f4761" w:themeColor="accent1" w:themeShade="BF"/>
      <w:sz w:val="40"/>
      <w:szCs w:val="40"/>
    </w:rPr>
  </w:style>
  <w:style w:type="paragraph" w:styleId="766">
    <w:name w:val="Heading 2"/>
    <w:basedOn w:val="764"/>
    <w:next w:val="764"/>
    <w:link w:val="990"/>
    <w:unhideWhenUsed/>
    <w:qFormat/>
    <w:pPr>
      <w:keepLines/>
      <w:keepNext/>
      <w:spacing w:before="160" w:after="80"/>
      <w:outlineLvl w:val="1"/>
    </w:pPr>
    <w:rPr>
      <w:rFonts w:asciiTheme="majorHAnsi" w:hAnsiTheme="majorHAnsi" w:eastAsiaTheme="majorEastAsia" w:cstheme="majorBidi"/>
      <w:color w:val="0f4761" w:themeColor="accent1" w:themeShade="BF"/>
      <w:sz w:val="32"/>
      <w:szCs w:val="32"/>
    </w:rPr>
  </w:style>
  <w:style w:type="paragraph" w:styleId="767">
    <w:name w:val="Heading 3"/>
    <w:basedOn w:val="764"/>
    <w:next w:val="764"/>
    <w:link w:val="991"/>
    <w:unhideWhenUsed/>
    <w:qFormat/>
    <w:pPr>
      <w:keepLines/>
      <w:keepNext/>
      <w:spacing w:before="160" w:after="80"/>
      <w:outlineLvl w:val="2"/>
    </w:pPr>
    <w:rPr>
      <w:rFonts w:eastAsiaTheme="majorEastAsia" w:cstheme="majorBidi"/>
      <w:color w:val="0f4761" w:themeColor="accent1" w:themeShade="BF"/>
      <w:sz w:val="28"/>
      <w:szCs w:val="28"/>
    </w:rPr>
  </w:style>
  <w:style w:type="paragraph" w:styleId="768">
    <w:name w:val="Heading 4"/>
    <w:basedOn w:val="764"/>
    <w:next w:val="764"/>
    <w:link w:val="992"/>
    <w:unhideWhenUsed/>
    <w:qFormat/>
    <w:pPr>
      <w:keepLines/>
      <w:keepNext/>
      <w:spacing w:before="80" w:after="40"/>
      <w:outlineLvl w:val="3"/>
    </w:pPr>
    <w:rPr>
      <w:rFonts w:eastAsiaTheme="majorEastAsia" w:cstheme="majorBidi"/>
      <w:i/>
      <w:iCs/>
      <w:color w:val="0f4761" w:themeColor="accent1" w:themeShade="BF"/>
    </w:rPr>
  </w:style>
  <w:style w:type="paragraph" w:styleId="769">
    <w:name w:val="Heading 5"/>
    <w:basedOn w:val="764"/>
    <w:next w:val="764"/>
    <w:link w:val="993"/>
    <w:unhideWhenUsed/>
    <w:qFormat/>
    <w:pPr>
      <w:keepLines/>
      <w:keepNext/>
      <w:spacing w:before="80" w:after="40"/>
      <w:outlineLvl w:val="4"/>
    </w:pPr>
    <w:rPr>
      <w:rFonts w:eastAsiaTheme="majorEastAsia" w:cstheme="majorBidi"/>
      <w:color w:val="0f4761" w:themeColor="accent1" w:themeShade="BF"/>
    </w:rPr>
  </w:style>
  <w:style w:type="paragraph" w:styleId="770">
    <w:name w:val="Heading 6"/>
    <w:basedOn w:val="764"/>
    <w:next w:val="764"/>
    <w:link w:val="994"/>
    <w:unhideWhenUsed/>
    <w:qFormat/>
    <w:pPr>
      <w:keepLines/>
      <w:keepNext/>
      <w:spacing w:before="40"/>
      <w:outlineLvl w:val="5"/>
    </w:pPr>
    <w:rPr>
      <w:rFonts w:eastAsiaTheme="majorEastAsia" w:cstheme="majorBidi"/>
      <w:i/>
      <w:iCs/>
      <w:color w:val="595959" w:themeColor="text1" w:themeTint="A6"/>
    </w:rPr>
  </w:style>
  <w:style w:type="paragraph" w:styleId="771">
    <w:name w:val="Heading 7"/>
    <w:basedOn w:val="764"/>
    <w:next w:val="764"/>
    <w:link w:val="995"/>
    <w:unhideWhenUsed/>
    <w:qFormat/>
    <w:pPr>
      <w:keepLines/>
      <w:keepNext/>
      <w:spacing w:before="40"/>
      <w:outlineLvl w:val="6"/>
    </w:pPr>
    <w:rPr>
      <w:rFonts w:eastAsiaTheme="majorEastAsia" w:cstheme="majorBidi"/>
      <w:color w:val="595959" w:themeColor="text1" w:themeTint="A6"/>
    </w:rPr>
  </w:style>
  <w:style w:type="paragraph" w:styleId="772">
    <w:name w:val="Heading 8"/>
    <w:basedOn w:val="764"/>
    <w:next w:val="764"/>
    <w:link w:val="996"/>
    <w:unhideWhenUsed/>
    <w:qFormat/>
    <w:pPr>
      <w:keepLines/>
      <w:keepNext/>
      <w:outlineLvl w:val="7"/>
    </w:pPr>
    <w:rPr>
      <w:rFonts w:eastAsiaTheme="majorEastAsia" w:cstheme="majorBidi"/>
      <w:i/>
      <w:iCs/>
      <w:color w:val="262626" w:themeColor="text1" w:themeTint="D9"/>
    </w:rPr>
  </w:style>
  <w:style w:type="paragraph" w:styleId="773">
    <w:name w:val="Heading 9"/>
    <w:basedOn w:val="764"/>
    <w:next w:val="764"/>
    <w:link w:val="997"/>
    <w:unhideWhenUsed/>
    <w:qFormat/>
    <w:pPr>
      <w:keepLines/>
      <w:keepNext/>
      <w:outlineLvl w:val="8"/>
    </w:pPr>
    <w:rPr>
      <w:rFonts w:eastAsiaTheme="majorEastAsia" w:cstheme="majorBidi"/>
      <w:color w:val="262626" w:themeColor="text1" w:themeTint="D9"/>
    </w:rPr>
  </w:style>
  <w:style w:type="character" w:styleId="774" w:default="1">
    <w:name w:val="Default Paragraph Font"/>
    <w:uiPriority w:val="1"/>
    <w:semiHidden/>
    <w:unhideWhenUsed/>
  </w:style>
  <w:style w:type="table" w:styleId="775" w:default="1">
    <w:name w:val="Normal Table"/>
    <w:uiPriority w:val="99"/>
    <w:semiHidden/>
    <w:unhideWhenUsed/>
    <w:tblPr>
      <w:tblInd w:w="0" w:type="dxa"/>
      <w:tblCellMar>
        <w:left w:w="108" w:type="dxa"/>
        <w:top w:w="0" w:type="dxa"/>
        <w:right w:w="108" w:type="dxa"/>
        <w:bottom w:w="0" w:type="dxa"/>
      </w:tblCellMar>
    </w:tblPr>
  </w:style>
  <w:style w:type="numbering" w:styleId="776" w:default="1">
    <w:name w:val="No List"/>
    <w:uiPriority w:val="99"/>
    <w:semiHidden/>
    <w:unhideWhenUsed/>
  </w:style>
  <w:style w:type="paragraph" w:styleId="777">
    <w:name w:val="List 3"/>
    <w:basedOn w:val="764"/>
    <w:qFormat/>
    <w:pPr>
      <w:ind w:left="100" w:hanging="200"/>
    </w:pPr>
    <w:rPr>
      <w:szCs w:val="21"/>
    </w:rPr>
  </w:style>
  <w:style w:type="paragraph" w:styleId="778">
    <w:name w:val="toc 7"/>
    <w:basedOn w:val="764"/>
    <w:next w:val="764"/>
    <w:semiHidden/>
    <w:qFormat/>
    <w:pPr>
      <w:ind w:left="1260"/>
      <w:jc w:val="left"/>
    </w:pPr>
    <w:rPr>
      <w:szCs w:val="21"/>
    </w:rPr>
  </w:style>
  <w:style w:type="paragraph" w:styleId="779">
    <w:name w:val="Normal Indent"/>
    <w:basedOn w:val="764"/>
    <w:link w:val="1009"/>
    <w:qFormat/>
    <w:pPr>
      <w:ind w:firstLine="420"/>
    </w:pPr>
    <w:rPr>
      <w:szCs w:val="21"/>
    </w:rPr>
  </w:style>
  <w:style w:type="paragraph" w:styleId="780">
    <w:name w:val="Caption"/>
    <w:basedOn w:val="764"/>
    <w:next w:val="764"/>
    <w:uiPriority w:val="35"/>
    <w:semiHidden/>
    <w:unhideWhenUsed/>
    <w:qFormat/>
    <w:pPr>
      <w:spacing w:line="276" w:lineRule="auto"/>
    </w:pPr>
    <w:rPr>
      <w:b/>
      <w:bCs/>
      <w:color w:val="156082" w:themeColor="accent1"/>
      <w:sz w:val="18"/>
      <w:szCs w:val="18"/>
    </w:rPr>
  </w:style>
  <w:style w:type="paragraph" w:styleId="781">
    <w:name w:val="Document Map"/>
    <w:basedOn w:val="764"/>
    <w:link w:val="1010"/>
    <w:semiHidden/>
    <w:qFormat/>
    <w:pPr>
      <w:shd w:val="clear" w:color="auto" w:fill="000080"/>
    </w:pPr>
    <w:rPr>
      <w:szCs w:val="21"/>
    </w:rPr>
  </w:style>
  <w:style w:type="paragraph" w:styleId="782">
    <w:name w:val="annotation text"/>
    <w:basedOn w:val="764"/>
    <w:link w:val="1011"/>
    <w:unhideWhenUsed/>
    <w:qFormat/>
    <w:pPr>
      <w:jc w:val="left"/>
    </w:pPr>
  </w:style>
  <w:style w:type="paragraph" w:styleId="783">
    <w:name w:val="Body Text 3"/>
    <w:basedOn w:val="764"/>
    <w:link w:val="1012"/>
    <w:qFormat/>
    <w:rPr>
      <w:rFonts w:ascii="仿宋_GB2312" w:hAnsi="Arial" w:eastAsia="仿宋_GB2312"/>
      <w:sz w:val="32"/>
      <w:szCs w:val="32"/>
    </w:rPr>
  </w:style>
  <w:style w:type="paragraph" w:styleId="784">
    <w:name w:val="Body Text"/>
    <w:basedOn w:val="764"/>
    <w:link w:val="1013"/>
    <w:qFormat/>
    <w:rPr>
      <w:rFonts w:ascii="楷体_GB2312" w:hAnsi="Arial" w:eastAsia="楷体_GB2312"/>
      <w:sz w:val="28"/>
      <w:szCs w:val="28"/>
    </w:rPr>
  </w:style>
  <w:style w:type="paragraph" w:styleId="785">
    <w:name w:val="Body Text Indent"/>
    <w:basedOn w:val="764"/>
    <w:link w:val="1014"/>
    <w:unhideWhenUsed/>
    <w:qFormat/>
    <w:pPr>
      <w:ind w:left="420"/>
      <w:spacing w:after="120"/>
    </w:pPr>
  </w:style>
  <w:style w:type="paragraph" w:styleId="786">
    <w:name w:val="List 2"/>
    <w:basedOn w:val="764"/>
    <w:qFormat/>
    <w:pPr>
      <w:ind w:left="100" w:hanging="200"/>
    </w:pPr>
    <w:rPr>
      <w:szCs w:val="21"/>
    </w:rPr>
  </w:style>
  <w:style w:type="paragraph" w:styleId="787">
    <w:name w:val="toc 5"/>
    <w:basedOn w:val="764"/>
    <w:next w:val="764"/>
    <w:semiHidden/>
    <w:qFormat/>
    <w:pPr>
      <w:ind w:left="840"/>
      <w:jc w:val="left"/>
    </w:pPr>
    <w:rPr>
      <w:szCs w:val="21"/>
    </w:rPr>
  </w:style>
  <w:style w:type="paragraph" w:styleId="788">
    <w:name w:val="toc 3"/>
    <w:basedOn w:val="764"/>
    <w:next w:val="764"/>
    <w:semiHidden/>
    <w:qFormat/>
    <w:pPr>
      <w:ind w:left="420"/>
      <w:jc w:val="left"/>
    </w:pPr>
    <w:rPr>
      <w:i/>
      <w:iCs/>
      <w:szCs w:val="24"/>
    </w:rPr>
  </w:style>
  <w:style w:type="paragraph" w:styleId="789">
    <w:name w:val="Plain Text"/>
    <w:basedOn w:val="764"/>
    <w:link w:val="1015"/>
    <w:qFormat/>
    <w:rPr>
      <w:rFonts w:ascii="宋体" w:hAnsi="Courier New" w:cs="Courier New"/>
      <w:szCs w:val="21"/>
    </w:rPr>
  </w:style>
  <w:style w:type="paragraph" w:styleId="790">
    <w:name w:val="toc 8"/>
    <w:basedOn w:val="764"/>
    <w:next w:val="764"/>
    <w:semiHidden/>
    <w:qFormat/>
    <w:pPr>
      <w:ind w:left="1470"/>
      <w:jc w:val="left"/>
    </w:pPr>
    <w:rPr>
      <w:szCs w:val="21"/>
    </w:rPr>
  </w:style>
  <w:style w:type="paragraph" w:styleId="791">
    <w:name w:val="Date"/>
    <w:basedOn w:val="764"/>
    <w:next w:val="764"/>
    <w:link w:val="1016"/>
    <w:qFormat/>
    <w:rPr>
      <w:sz w:val="24"/>
      <w:szCs w:val="24"/>
    </w:rPr>
  </w:style>
  <w:style w:type="paragraph" w:styleId="792">
    <w:name w:val="Body Text Indent 2"/>
    <w:basedOn w:val="764"/>
    <w:link w:val="1017"/>
    <w:qFormat/>
    <w:pPr>
      <w:ind w:left="630" w:firstLine="645"/>
    </w:pPr>
    <w:rPr>
      <w:rFonts w:ascii="Arial" w:hAnsi="Arial" w:eastAsia="仿宋_GB2312" w:cs="Arial"/>
      <w:sz w:val="32"/>
      <w:szCs w:val="32"/>
    </w:rPr>
  </w:style>
  <w:style w:type="paragraph" w:styleId="793">
    <w:name w:val="endnote text"/>
    <w:basedOn w:val="764"/>
    <w:link w:val="987"/>
    <w:uiPriority w:val="99"/>
    <w:semiHidden/>
    <w:unhideWhenUsed/>
    <w:qFormat/>
    <w:rPr>
      <w:sz w:val="20"/>
    </w:rPr>
  </w:style>
  <w:style w:type="paragraph" w:styleId="794">
    <w:name w:val="Balloon Text"/>
    <w:basedOn w:val="764"/>
    <w:link w:val="1018"/>
    <w:semiHidden/>
    <w:qFormat/>
    <w:rPr>
      <w:sz w:val="18"/>
      <w:szCs w:val="18"/>
    </w:rPr>
  </w:style>
  <w:style w:type="paragraph" w:styleId="795">
    <w:name w:val="Footer"/>
    <w:basedOn w:val="764"/>
    <w:link w:val="1008"/>
    <w:uiPriority w:val="99"/>
    <w:unhideWhenUsed/>
    <w:qFormat/>
    <w:pPr>
      <w:tabs>
        <w:tab w:val="center" w:pos="4680" w:leader="none"/>
        <w:tab w:val="right" w:pos="9360" w:leader="none"/>
      </w:tabs>
    </w:pPr>
  </w:style>
  <w:style w:type="paragraph" w:styleId="796">
    <w:name w:val="Header"/>
    <w:basedOn w:val="764"/>
    <w:link w:val="1007"/>
    <w:unhideWhenUsed/>
    <w:qFormat/>
    <w:pPr>
      <w:tabs>
        <w:tab w:val="center" w:pos="4680" w:leader="none"/>
        <w:tab w:val="right" w:pos="9360" w:leader="none"/>
      </w:tabs>
    </w:pPr>
  </w:style>
  <w:style w:type="paragraph" w:styleId="797">
    <w:name w:val="toc 1"/>
    <w:basedOn w:val="764"/>
    <w:next w:val="764"/>
    <w:uiPriority w:val="39"/>
    <w:qFormat/>
    <w:pPr>
      <w:jc w:val="left"/>
      <w:spacing w:before="120" w:after="120" w:line="400" w:lineRule="exact"/>
      <w:tabs>
        <w:tab w:val="right" w:pos="8720" w:leader="dot"/>
      </w:tabs>
    </w:pPr>
    <w:rPr>
      <w:rFonts w:ascii="宋体" w:hAnsi="宋体"/>
      <w:caps/>
      <w:sz w:val="24"/>
      <w:szCs w:val="24"/>
    </w:rPr>
  </w:style>
  <w:style w:type="paragraph" w:styleId="798">
    <w:name w:val="toc 4"/>
    <w:basedOn w:val="764"/>
    <w:next w:val="764"/>
    <w:semiHidden/>
    <w:qFormat/>
    <w:pPr>
      <w:ind w:left="630"/>
      <w:jc w:val="left"/>
    </w:pPr>
    <w:rPr>
      <w:szCs w:val="21"/>
    </w:rPr>
  </w:style>
  <w:style w:type="paragraph" w:styleId="799">
    <w:name w:val="Subtitle"/>
    <w:basedOn w:val="764"/>
    <w:next w:val="764"/>
    <w:link w:val="999"/>
    <w:uiPriority w:val="11"/>
    <w:qFormat/>
    <w:rPr>
      <w:rFonts w:eastAsiaTheme="majorEastAsia" w:cstheme="majorBidi"/>
      <w:color w:val="595959" w:themeColor="text1" w:themeTint="A6"/>
      <w:spacing w:val="15"/>
      <w:sz w:val="28"/>
      <w:szCs w:val="28"/>
    </w:rPr>
  </w:style>
  <w:style w:type="paragraph" w:styleId="800">
    <w:name w:val="List"/>
    <w:basedOn w:val="764"/>
    <w:qFormat/>
    <w:pPr>
      <w:ind w:left="200" w:hanging="200"/>
    </w:pPr>
    <w:rPr>
      <w:szCs w:val="21"/>
    </w:rPr>
  </w:style>
  <w:style w:type="paragraph" w:styleId="801">
    <w:name w:val="footnote text"/>
    <w:basedOn w:val="764"/>
    <w:link w:val="986"/>
    <w:uiPriority w:val="99"/>
    <w:semiHidden/>
    <w:unhideWhenUsed/>
    <w:qFormat/>
    <w:pPr>
      <w:spacing w:after="40"/>
    </w:pPr>
    <w:rPr>
      <w:sz w:val="18"/>
    </w:rPr>
  </w:style>
  <w:style w:type="paragraph" w:styleId="802">
    <w:name w:val="toc 6"/>
    <w:basedOn w:val="764"/>
    <w:next w:val="764"/>
    <w:semiHidden/>
    <w:qFormat/>
    <w:pPr>
      <w:ind w:left="1050"/>
      <w:jc w:val="left"/>
    </w:pPr>
    <w:rPr>
      <w:szCs w:val="21"/>
    </w:rPr>
  </w:style>
  <w:style w:type="paragraph" w:styleId="803">
    <w:name w:val="Body Text Indent 3"/>
    <w:basedOn w:val="764"/>
    <w:link w:val="1019"/>
    <w:qFormat/>
    <w:pPr>
      <w:ind w:left="645" w:firstLine="645"/>
    </w:pPr>
    <w:rPr>
      <w:rFonts w:ascii="Arial" w:hAnsi="Arial" w:eastAsia="仿宋_GB2312" w:cs="Arial"/>
      <w:color w:val="ffff00"/>
      <w:sz w:val="32"/>
      <w:szCs w:val="32"/>
    </w:rPr>
  </w:style>
  <w:style w:type="paragraph" w:styleId="804">
    <w:name w:val="table of figures"/>
    <w:basedOn w:val="764"/>
    <w:next w:val="764"/>
    <w:semiHidden/>
    <w:qFormat/>
    <w:pPr>
      <w:ind w:left="840" w:hanging="420"/>
    </w:pPr>
    <w:rPr>
      <w:szCs w:val="21"/>
    </w:rPr>
  </w:style>
  <w:style w:type="paragraph" w:styleId="805">
    <w:name w:val="toc 2"/>
    <w:basedOn w:val="764"/>
    <w:next w:val="764"/>
    <w:semiHidden/>
    <w:qFormat/>
    <w:pPr>
      <w:ind w:left="210"/>
      <w:jc w:val="left"/>
    </w:pPr>
    <w:rPr>
      <w:smallCaps/>
      <w:szCs w:val="24"/>
    </w:rPr>
  </w:style>
  <w:style w:type="paragraph" w:styleId="806">
    <w:name w:val="toc 9"/>
    <w:basedOn w:val="764"/>
    <w:next w:val="764"/>
    <w:semiHidden/>
    <w:qFormat/>
    <w:pPr>
      <w:ind w:left="1680"/>
      <w:jc w:val="left"/>
    </w:pPr>
    <w:rPr>
      <w:szCs w:val="21"/>
    </w:rPr>
  </w:style>
  <w:style w:type="paragraph" w:styleId="807">
    <w:name w:val="Body Text 2"/>
    <w:basedOn w:val="764"/>
    <w:link w:val="1020"/>
    <w:qFormat/>
    <w:pPr>
      <w:jc w:val="center"/>
      <w:widowControl/>
    </w:pPr>
    <w:rPr>
      <w:rFonts w:ascii="楷体_GB2312" w:eastAsia="楷体_GB2312"/>
      <w:sz w:val="28"/>
      <w:szCs w:val="28"/>
    </w:rPr>
  </w:style>
  <w:style w:type="paragraph" w:styleId="808">
    <w:name w:val="Normal (Web)"/>
    <w:basedOn w:val="764"/>
    <w:uiPriority w:val="99"/>
    <w:qFormat/>
    <w:pPr>
      <w:jc w:val="left"/>
      <w:spacing w:before="100" w:beforeAutospacing="1" w:after="100" w:afterAutospacing="1"/>
      <w:widowControl/>
    </w:pPr>
    <w:rPr>
      <w:rFonts w:ascii="宋体" w:hAnsi="宋体" w:cs="宋体"/>
      <w:sz w:val="24"/>
      <w:szCs w:val="24"/>
    </w:rPr>
  </w:style>
  <w:style w:type="paragraph" w:styleId="809">
    <w:name w:val="index 1"/>
    <w:basedOn w:val="764"/>
    <w:next w:val="764"/>
    <w:semiHidden/>
    <w:qFormat/>
    <w:pPr>
      <w:spacing w:line="240" w:lineRule="atLeast"/>
    </w:pPr>
    <w:rPr>
      <w:b/>
      <w:bCs/>
      <w:szCs w:val="21"/>
    </w:rPr>
  </w:style>
  <w:style w:type="paragraph" w:styleId="810">
    <w:name w:val="Title"/>
    <w:basedOn w:val="764"/>
    <w:next w:val="764"/>
    <w:link w:val="998"/>
    <w:uiPriority w:val="10"/>
    <w:qFormat/>
    <w:pPr>
      <w:contextualSpacing/>
      <w:spacing w:after="80"/>
    </w:pPr>
    <w:rPr>
      <w:rFonts w:asciiTheme="majorHAnsi" w:hAnsiTheme="majorHAnsi" w:eastAsiaTheme="majorEastAsia" w:cstheme="majorBidi"/>
      <w:spacing w:val="-10"/>
      <w:sz w:val="56"/>
      <w:szCs w:val="56"/>
    </w:rPr>
  </w:style>
  <w:style w:type="paragraph" w:styleId="811">
    <w:name w:val="annotation subject"/>
    <w:basedOn w:val="782"/>
    <w:next w:val="782"/>
    <w:link w:val="1021"/>
    <w:semiHidden/>
    <w:qFormat/>
    <w:rPr>
      <w:b/>
      <w:bCs/>
      <w:szCs w:val="21"/>
    </w:rPr>
  </w:style>
  <w:style w:type="paragraph" w:styleId="812">
    <w:name w:val="Body Text First Indent"/>
    <w:basedOn w:val="764"/>
    <w:link w:val="1022"/>
    <w:qFormat/>
    <w:pPr>
      <w:ind w:firstLine="200"/>
      <w:spacing w:line="360" w:lineRule="auto"/>
    </w:pPr>
    <w:rPr>
      <w:rFonts w:ascii="仿宋_GB2312" w:eastAsia="仿宋_GB2312"/>
      <w:sz w:val="30"/>
      <w:szCs w:val="30"/>
    </w:rPr>
  </w:style>
  <w:style w:type="paragraph" w:styleId="813">
    <w:name w:val="Body Text First Indent 2"/>
    <w:basedOn w:val="785"/>
    <w:link w:val="1023"/>
    <w:qFormat/>
    <w:pPr>
      <w:ind w:left="0" w:firstLine="420"/>
      <w:spacing w:after="0" w:line="360" w:lineRule="auto"/>
    </w:pPr>
    <w:rPr>
      <w:rFonts w:ascii="宋体" w:hAnsi="宋体"/>
      <w:szCs w:val="20"/>
    </w:rPr>
  </w:style>
  <w:style w:type="table" w:styleId="814">
    <w:name w:val="Table Grid"/>
    <w:basedOn w:val="77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5">
    <w:name w:val="Strong"/>
    <w:qFormat/>
    <w:rPr>
      <w:b/>
      <w:bCs/>
    </w:rPr>
  </w:style>
  <w:style w:type="character" w:styleId="816">
    <w:name w:val="endnote reference"/>
    <w:basedOn w:val="774"/>
    <w:uiPriority w:val="99"/>
    <w:semiHidden/>
    <w:unhideWhenUsed/>
    <w:qFormat/>
    <w:rPr>
      <w:vertAlign w:val="superscript"/>
    </w:rPr>
  </w:style>
  <w:style w:type="character" w:styleId="817">
    <w:name w:val="page number"/>
    <w:qFormat/>
  </w:style>
  <w:style w:type="character" w:styleId="818">
    <w:name w:val="FollowedHyperlink"/>
    <w:qFormat/>
    <w:rPr>
      <w:color w:val="800080"/>
      <w:u w:val="single"/>
    </w:rPr>
  </w:style>
  <w:style w:type="character" w:styleId="819">
    <w:name w:val="Emphasis"/>
    <w:qFormat/>
    <w:rPr>
      <w:i/>
    </w:rPr>
  </w:style>
  <w:style w:type="character" w:styleId="820">
    <w:name w:val="Hyperlink"/>
    <w:qFormat/>
    <w:rPr>
      <w:color w:val="0000ff"/>
      <w:u w:val="single"/>
    </w:rPr>
  </w:style>
  <w:style w:type="character" w:styleId="821">
    <w:name w:val="annotation reference"/>
    <w:semiHidden/>
    <w:qFormat/>
    <w:rPr>
      <w:sz w:val="21"/>
      <w:szCs w:val="21"/>
    </w:rPr>
  </w:style>
  <w:style w:type="character" w:styleId="822">
    <w:name w:val="footnote reference"/>
    <w:basedOn w:val="774"/>
    <w:uiPriority w:val="99"/>
    <w:unhideWhenUsed/>
    <w:qFormat/>
    <w:rPr>
      <w:vertAlign w:val="superscript"/>
    </w:rPr>
  </w:style>
  <w:style w:type="table" w:styleId="823" w:customStyle="1">
    <w:name w:val="无格式表格 11"/>
    <w:basedOn w:val="77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basedOn w:val="77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basedOn w:val="77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basedOn w:val="77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basedOn w:val="77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9" w:customStyle="1">
    <w:name w:val="网格表 21"/>
    <w:basedOn w:val="7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0" w:customStyle="1">
    <w:name w:val="网格表 31"/>
    <w:basedOn w:val="77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网格表 41"/>
    <w:basedOn w:val="77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网格表 5 深色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网格表 6 彩色1"/>
    <w:basedOn w:val="77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4" w:customStyle="1">
    <w:name w:val="网格表 7 彩色1"/>
    <w:basedOn w:val="77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5" w:customStyle="1">
    <w:name w:val="清单表 1 浅色1"/>
    <w:basedOn w:val="77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清单表 21"/>
    <w:basedOn w:val="77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7" w:customStyle="1">
    <w:name w:val="清单表 31"/>
    <w:basedOn w:val="77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清单表 4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清单表 5 深色1"/>
    <w:basedOn w:val="77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0" w:customStyle="1">
    <w:name w:val="清单表 6 彩色1"/>
    <w:basedOn w:val="77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1" w:customStyle="1">
    <w:name w:val="清单表 7 彩色1"/>
    <w:basedOn w:val="77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42" w:customStyle="1">
    <w:name w:val="Footnote Text Char"/>
    <w:uiPriority w:val="99"/>
    <w:qFormat/>
    <w:rPr>
      <w:sz w:val="18"/>
    </w:rPr>
  </w:style>
  <w:style w:type="character" w:styleId="843" w:customStyle="1">
    <w:name w:val="Endnote Text Char"/>
    <w:uiPriority w:val="99"/>
    <w:qFormat/>
    <w:rPr>
      <w:sz w:val="20"/>
    </w:rPr>
  </w:style>
  <w:style w:type="paragraph" w:styleId="844" w:customStyle="1">
    <w:name w:val="TOC 标题1"/>
    <w:uiPriority w:val="39"/>
    <w:unhideWhenUsed/>
    <w:qFormat/>
  </w:style>
  <w:style w:type="character" w:styleId="845" w:customStyle="1">
    <w:name w:val="Heading 1 Char"/>
    <w:basedOn w:val="774"/>
    <w:uiPriority w:val="9"/>
    <w:qFormat/>
    <w:rPr>
      <w:rFonts w:ascii="Arial" w:hAnsi="Arial" w:eastAsia="Arial" w:cs="Arial"/>
      <w:sz w:val="40"/>
      <w:szCs w:val="40"/>
    </w:rPr>
  </w:style>
  <w:style w:type="character" w:styleId="846" w:customStyle="1">
    <w:name w:val="Heading 2 Char"/>
    <w:basedOn w:val="774"/>
    <w:uiPriority w:val="9"/>
    <w:qFormat/>
    <w:rPr>
      <w:rFonts w:ascii="Arial" w:hAnsi="Arial" w:eastAsia="Arial" w:cs="Arial"/>
      <w:sz w:val="34"/>
    </w:rPr>
  </w:style>
  <w:style w:type="character" w:styleId="847" w:customStyle="1">
    <w:name w:val="Heading 3 Char"/>
    <w:basedOn w:val="774"/>
    <w:uiPriority w:val="9"/>
    <w:qFormat/>
    <w:rPr>
      <w:rFonts w:ascii="Arial" w:hAnsi="Arial" w:eastAsia="Arial" w:cs="Arial"/>
      <w:sz w:val="30"/>
      <w:szCs w:val="30"/>
    </w:rPr>
  </w:style>
  <w:style w:type="character" w:styleId="848" w:customStyle="1">
    <w:name w:val="Heading 4 Char"/>
    <w:basedOn w:val="774"/>
    <w:uiPriority w:val="9"/>
    <w:qFormat/>
    <w:rPr>
      <w:rFonts w:ascii="Arial" w:hAnsi="Arial" w:eastAsia="Arial" w:cs="Arial"/>
      <w:b/>
      <w:bCs/>
      <w:sz w:val="26"/>
      <w:szCs w:val="26"/>
    </w:rPr>
  </w:style>
  <w:style w:type="character" w:styleId="849" w:customStyle="1">
    <w:name w:val="Heading 5 Char"/>
    <w:basedOn w:val="774"/>
    <w:uiPriority w:val="9"/>
    <w:qFormat/>
    <w:rPr>
      <w:rFonts w:ascii="Arial" w:hAnsi="Arial" w:eastAsia="Arial" w:cs="Arial"/>
      <w:b/>
      <w:bCs/>
      <w:sz w:val="24"/>
      <w:szCs w:val="24"/>
    </w:rPr>
  </w:style>
  <w:style w:type="character" w:styleId="850" w:customStyle="1">
    <w:name w:val="Heading 6 Char"/>
    <w:basedOn w:val="774"/>
    <w:uiPriority w:val="9"/>
    <w:qFormat/>
    <w:rPr>
      <w:rFonts w:ascii="Arial" w:hAnsi="Arial" w:eastAsia="Arial" w:cs="Arial"/>
      <w:b/>
      <w:bCs/>
      <w:sz w:val="22"/>
      <w:szCs w:val="22"/>
    </w:rPr>
  </w:style>
  <w:style w:type="character" w:styleId="851" w:customStyle="1">
    <w:name w:val="Heading 7 Char"/>
    <w:basedOn w:val="774"/>
    <w:uiPriority w:val="9"/>
    <w:qFormat/>
    <w:rPr>
      <w:rFonts w:ascii="Arial" w:hAnsi="Arial" w:eastAsia="Arial" w:cs="Arial"/>
      <w:b/>
      <w:bCs/>
      <w:i/>
      <w:iCs/>
      <w:sz w:val="22"/>
      <w:szCs w:val="22"/>
    </w:rPr>
  </w:style>
  <w:style w:type="character" w:styleId="852" w:customStyle="1">
    <w:name w:val="Heading 8 Char"/>
    <w:basedOn w:val="774"/>
    <w:uiPriority w:val="9"/>
    <w:qFormat/>
    <w:rPr>
      <w:rFonts w:ascii="Arial" w:hAnsi="Arial" w:eastAsia="Arial" w:cs="Arial"/>
      <w:i/>
      <w:iCs/>
      <w:sz w:val="22"/>
      <w:szCs w:val="22"/>
    </w:rPr>
  </w:style>
  <w:style w:type="character" w:styleId="853" w:customStyle="1">
    <w:name w:val="Heading 9 Char"/>
    <w:basedOn w:val="774"/>
    <w:uiPriority w:val="9"/>
    <w:qFormat/>
    <w:rPr>
      <w:rFonts w:ascii="Arial" w:hAnsi="Arial" w:eastAsia="Arial" w:cs="Arial"/>
      <w:i/>
      <w:iCs/>
      <w:sz w:val="21"/>
      <w:szCs w:val="21"/>
    </w:rPr>
  </w:style>
  <w:style w:type="character" w:styleId="854" w:customStyle="1">
    <w:name w:val="Title Char"/>
    <w:basedOn w:val="774"/>
    <w:uiPriority w:val="10"/>
    <w:qFormat/>
    <w:rPr>
      <w:sz w:val="48"/>
      <w:szCs w:val="48"/>
    </w:rPr>
  </w:style>
  <w:style w:type="character" w:styleId="855" w:customStyle="1">
    <w:name w:val="Subtitle Char"/>
    <w:basedOn w:val="774"/>
    <w:uiPriority w:val="11"/>
    <w:qFormat/>
    <w:rPr>
      <w:sz w:val="24"/>
      <w:szCs w:val="24"/>
    </w:rPr>
  </w:style>
  <w:style w:type="character" w:styleId="856" w:customStyle="1">
    <w:name w:val="Quote Char"/>
    <w:uiPriority w:val="29"/>
    <w:qFormat/>
    <w:rPr>
      <w:i/>
    </w:rPr>
  </w:style>
  <w:style w:type="character" w:styleId="857" w:customStyle="1">
    <w:name w:val="Intense Quote Char"/>
    <w:uiPriority w:val="30"/>
    <w:qFormat/>
    <w:rPr>
      <w:i/>
    </w:rPr>
  </w:style>
  <w:style w:type="character" w:styleId="858" w:customStyle="1">
    <w:name w:val="Header Char"/>
    <w:basedOn w:val="774"/>
    <w:uiPriority w:val="99"/>
    <w:qFormat/>
  </w:style>
  <w:style w:type="character" w:styleId="859" w:customStyle="1">
    <w:name w:val="Footer Char"/>
    <w:basedOn w:val="774"/>
    <w:uiPriority w:val="99"/>
    <w:qFormat/>
  </w:style>
  <w:style w:type="character" w:styleId="860" w:customStyle="1">
    <w:name w:val="Caption Char"/>
    <w:uiPriority w:val="99"/>
    <w:qFormat/>
  </w:style>
  <w:style w:type="table" w:styleId="861" w:customStyle="1">
    <w:name w:val="Table Grid Light"/>
    <w:basedOn w:val="7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62" w:customStyle="1">
    <w:name w:val="无格式表格 11"/>
    <w:basedOn w:val="7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21"/>
    <w:basedOn w:val="7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31"/>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basedOn w:val="7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网格表 1 浅色1"/>
    <w:basedOn w:val="77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basedOn w:val="775"/>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775"/>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775"/>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775"/>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77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775"/>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874" w:customStyle="1">
    <w:name w:val="网格表 21"/>
    <w:basedOn w:val="7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basedOn w:val="775"/>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basedOn w:val="775"/>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basedOn w:val="775"/>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basedOn w:val="775"/>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basedOn w:val="775"/>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880" w:customStyle="1">
    <w:name w:val="Grid Table 2 - Accent 6"/>
    <w:basedOn w:val="775"/>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881" w:customStyle="1">
    <w:name w:val="网格表 31"/>
    <w:basedOn w:val="7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basedOn w:val="775"/>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basedOn w:val="775"/>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basedOn w:val="775"/>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basedOn w:val="775"/>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basedOn w:val="775"/>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basedOn w:val="775"/>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网格表 41"/>
    <w:basedOn w:val="77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basedOn w:val="775"/>
    <w:uiPriority w:val="5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890" w:customStyle="1">
    <w:name w:val="Grid Table 4 - Accent 2"/>
    <w:basedOn w:val="775"/>
    <w:uiPriority w:val="5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891" w:customStyle="1">
    <w:name w:val="Grid Table 4 - Accent 3"/>
    <w:basedOn w:val="775"/>
    <w:uiPriority w:val="5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892" w:customStyle="1">
    <w:name w:val="Grid Table 4 - Accent 4"/>
    <w:basedOn w:val="775"/>
    <w:uiPriority w:val="5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893" w:customStyle="1">
    <w:name w:val="Grid Table 4 - Accent 5"/>
    <w:basedOn w:val="775"/>
    <w:uiPriority w:val="5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894" w:customStyle="1">
    <w:name w:val="Grid Table 4 - Accent 6"/>
    <w:basedOn w:val="775"/>
    <w:uiPriority w:val="5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895" w:customStyle="1">
    <w:name w:val="网格表 5 深色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897" w:customStyle="1">
    <w:name w:val="Grid Table 5 Dark - Accent 2"/>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898" w:customStyle="1">
    <w:name w:val="Grid Table 5 Dark - Accent 3"/>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899" w:customStyle="1">
    <w:name w:val="Grid Table 5 Dark- Accent 4"/>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900" w:customStyle="1">
    <w:name w:val="Grid Table 5 Dark - Accent 5"/>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901" w:customStyle="1">
    <w:name w:val="Grid Table 5 Dark - Accent 6"/>
    <w:basedOn w:val="7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902" w:customStyle="1">
    <w:name w:val="网格表 6 彩色1"/>
    <w:basedOn w:val="77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3" w:customStyle="1">
    <w:name w:val="Grid Table 6 Colorful - Accent 1"/>
    <w:basedOn w:val="775"/>
    <w:uiPriority w:val="99"/>
    <w:qFormat/>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b/>
        <w:color w:val="63bde6" w:themeColor="accent1" w:themeTint="80"/>
      </w:rPr>
    </w:tblStylePr>
    <w:tblStylePr w:type="firstRow">
      <w:rPr>
        <w:b/>
        <w:color w:val="63bde6" w:themeColor="accent1" w:themeTint="80"/>
      </w:rPr>
      <w:tcPr>
        <w:tcBorders>
          <w:bottom w:val="single" w:color="63BDE6" w:themeColor="accent1" w:themeTint="80" w:sz="12" w:space="0"/>
        </w:tcBorders>
      </w:tcPr>
    </w:tblStylePr>
    <w:tblStylePr w:type="lastCol">
      <w:rPr>
        <w:b/>
        <w:color w:val="63bde6" w:themeColor="accent1" w:themeTint="80"/>
      </w:rPr>
    </w:tblStylePr>
    <w:tblStylePr w:type="lastRow">
      <w:rPr>
        <w:b/>
        <w:color w:val="63bde6" w:themeColor="accent1" w:themeTint="80"/>
      </w:rPr>
    </w:tblStylePr>
  </w:style>
  <w:style w:type="table" w:styleId="904" w:customStyle="1">
    <w:name w:val="Grid Table 6 Colorful - Accent 2"/>
    <w:basedOn w:val="775"/>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12" w:space="0"/>
        </w:tcBorders>
      </w:tcPr>
    </w:tblStylePr>
    <w:tblStylePr w:type="lastCol">
      <w:rPr>
        <w:b/>
        <w:color w:val="f2ab86" w:themeColor="accent2" w:themeTint="96"/>
      </w:rPr>
    </w:tblStylePr>
    <w:tblStylePr w:type="lastRow">
      <w:rPr>
        <w:b/>
        <w:color w:val="f2ab86" w:themeColor="accent2" w:themeTint="96"/>
      </w:rPr>
    </w:tblStylePr>
  </w:style>
  <w:style w:type="table" w:styleId="905" w:customStyle="1">
    <w:name w:val="Grid Table 6 Colorful - Accent 3"/>
    <w:basedOn w:val="775"/>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906" w:customStyle="1">
    <w:name w:val="Grid Table 6 Colorful - Accent 4"/>
    <w:basedOn w:val="775"/>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12" w:space="0"/>
        </w:tcBorders>
      </w:tcPr>
    </w:tblStylePr>
    <w:tblStylePr w:type="lastCol">
      <w:rPr>
        <w:b/>
        <w:color w:val="60caf3" w:themeColor="accent4" w:themeTint="99"/>
      </w:rPr>
    </w:tblStylePr>
    <w:tblStylePr w:type="lastRow">
      <w:rPr>
        <w:b/>
        <w:color w:val="60caf3" w:themeColor="accent4" w:themeTint="99"/>
      </w:rPr>
    </w:tblStylePr>
  </w:style>
  <w:style w:type="table" w:styleId="907" w:customStyle="1">
    <w:name w:val="Grid Table 6 Colorful - Accent 5"/>
    <w:basedOn w:val="775"/>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908" w:customStyle="1">
    <w:name w:val="Grid Table 6 Colorful - Accent 6"/>
    <w:basedOn w:val="775"/>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909" w:customStyle="1">
    <w:name w:val="网格表 7 彩色1"/>
    <w:basedOn w:val="77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basedOn w:val="775"/>
    <w:uiPriority w:val="99"/>
    <w:qFormat/>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rFonts w:ascii="Arial" w:hAnsi="Arial"/>
        <w:i/>
        <w:color w:val="63bde6" w:themeColor="accent1" w:themeTint="80"/>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basedOn w:val="775"/>
    <w:uiPriority w:val="99"/>
    <w:qFormat/>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basedOn w:val="775"/>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basedOn w:val="775"/>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basedOn w:val="775"/>
    <w:uiPriority w:val="99"/>
    <w:qFormat/>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basedOn w:val="775"/>
    <w:uiPriority w:val="99"/>
    <w:qFormat/>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916" w:customStyle="1">
    <w:name w:val="清单表 1 浅色1"/>
    <w:basedOn w:val="77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basedOn w:val="775"/>
    <w:uiPriority w:val="99"/>
    <w:qFormat/>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918" w:customStyle="1">
    <w:name w:val="List Table 1 Light - Accent 2"/>
    <w:basedOn w:val="775"/>
    <w:uiPriority w:val="99"/>
    <w:qFormat/>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919" w:customStyle="1">
    <w:name w:val="List Table 1 Light - Accent 3"/>
    <w:basedOn w:val="775"/>
    <w:uiPriority w:val="99"/>
    <w:qFormat/>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920" w:customStyle="1">
    <w:name w:val="List Table 1 Light - Accent 4"/>
    <w:basedOn w:val="775"/>
    <w:uiPriority w:val="99"/>
    <w:qFormat/>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921" w:customStyle="1">
    <w:name w:val="List Table 1 Light - Accent 5"/>
    <w:basedOn w:val="775"/>
    <w:uiPriority w:val="99"/>
    <w:qFormat/>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922" w:customStyle="1">
    <w:name w:val="List Table 1 Light - Accent 6"/>
    <w:basedOn w:val="775"/>
    <w:uiPriority w:val="99"/>
    <w:qFormat/>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923" w:customStyle="1">
    <w:name w:val="清单表 21"/>
    <w:basedOn w:val="77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4" w:customStyle="1">
    <w:name w:val="List Table 2 - Accent 1"/>
    <w:basedOn w:val="775"/>
    <w:uiPriority w:val="99"/>
    <w:qFormat/>
    <w:tblPr>
      <w:tblBorders>
        <w:top w:val="single" w:color="50B4E2" w:themeColor="accent1" w:themeTint="90" w:sz="4" w:space="0"/>
        <w:bottom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925" w:customStyle="1">
    <w:name w:val="List Table 2 - Accent 2"/>
    <w:basedOn w:val="775"/>
    <w:uiPriority w:val="99"/>
    <w:qFormat/>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926" w:customStyle="1">
    <w:name w:val="List Table 2 - Accent 3"/>
    <w:basedOn w:val="775"/>
    <w:uiPriority w:val="99"/>
    <w:qFormat/>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927" w:customStyle="1">
    <w:name w:val="List Table 2 - Accent 4"/>
    <w:basedOn w:val="775"/>
    <w:uiPriority w:val="99"/>
    <w:qFormat/>
    <w:tblPr>
      <w:tblBorders>
        <w:top w:val="single" w:color="6ACDF4" w:themeColor="accent4" w:themeTint="90" w:sz="4" w:space="0"/>
        <w:bottom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928" w:customStyle="1">
    <w:name w:val="List Table 2 - Accent 5"/>
    <w:basedOn w:val="775"/>
    <w:uiPriority w:val="99"/>
    <w:qFormat/>
    <w:tblPr>
      <w:tblBorders>
        <w:top w:val="single" w:color="DA76CE" w:themeColor="accent5" w:themeTint="90" w:sz="4" w:space="0"/>
        <w:bottom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929" w:customStyle="1">
    <w:name w:val="List Table 2 - Accent 6"/>
    <w:basedOn w:val="775"/>
    <w:uiPriority w:val="99"/>
    <w:qFormat/>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930" w:customStyle="1">
    <w:name w:val="清单表 3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basedOn w:val="775"/>
    <w:uiPriority w:val="99"/>
    <w:qFormat/>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32" w:customStyle="1">
    <w:name w:val="List Table 3 - Accent 2"/>
    <w:basedOn w:val="775"/>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933" w:customStyle="1">
    <w:name w:val="List Table 3 - Accent 3"/>
    <w:basedOn w:val="775"/>
    <w:uiPriority w:val="99"/>
    <w:qFormat/>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934" w:customStyle="1">
    <w:name w:val="List Table 3 - Accent 4"/>
    <w:basedOn w:val="775"/>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935" w:customStyle="1">
    <w:name w:val="List Table 3 - Accent 5"/>
    <w:basedOn w:val="775"/>
    <w:uiPriority w:val="99"/>
    <w:qFormat/>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936" w:customStyle="1">
    <w:name w:val="List Table 3 - Accent 6"/>
    <w:basedOn w:val="775"/>
    <w:uiPriority w:val="99"/>
    <w:qFormat/>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937" w:customStyle="1">
    <w:name w:val="清单表 41"/>
    <w:basedOn w:val="7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basedOn w:val="775"/>
    <w:uiPriority w:val="9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39" w:customStyle="1">
    <w:name w:val="List Table 4 - Accent 2"/>
    <w:basedOn w:val="775"/>
    <w:uiPriority w:val="9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940" w:customStyle="1">
    <w:name w:val="List Table 4 - Accent 3"/>
    <w:basedOn w:val="775"/>
    <w:uiPriority w:val="9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941" w:customStyle="1">
    <w:name w:val="List Table 4 - Accent 4"/>
    <w:basedOn w:val="775"/>
    <w:uiPriority w:val="9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942" w:customStyle="1">
    <w:name w:val="List Table 4 - Accent 5"/>
    <w:basedOn w:val="775"/>
    <w:uiPriority w:val="9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943" w:customStyle="1">
    <w:name w:val="List Table 4 - Accent 6"/>
    <w:basedOn w:val="775"/>
    <w:uiPriority w:val="9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944" w:customStyle="1">
    <w:name w:val="清单表 5 深色1"/>
    <w:basedOn w:val="77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5" w:customStyle="1">
    <w:name w:val="List Table 5 Dark - Accent 1"/>
    <w:basedOn w:val="775"/>
    <w:uiPriority w:val="99"/>
    <w:qFormat/>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946" w:customStyle="1">
    <w:name w:val="List Table 5 Dark - Accent 2"/>
    <w:basedOn w:val="775"/>
    <w:uiPriority w:val="99"/>
    <w:qFormat/>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947" w:customStyle="1">
    <w:name w:val="List Table 5 Dark - Accent 3"/>
    <w:basedOn w:val="775"/>
    <w:uiPriority w:val="99"/>
    <w:qFormat/>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948" w:customStyle="1">
    <w:name w:val="List Table 5 Dark - Accent 4"/>
    <w:basedOn w:val="775"/>
    <w:uiPriority w:val="99"/>
    <w:qFormat/>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949" w:customStyle="1">
    <w:name w:val="List Table 5 Dark - Accent 5"/>
    <w:basedOn w:val="775"/>
    <w:uiPriority w:val="99"/>
    <w:qFormat/>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950" w:customStyle="1">
    <w:name w:val="List Table 5 Dark - Accent 6"/>
    <w:basedOn w:val="775"/>
    <w:uiPriority w:val="99"/>
    <w:qFormat/>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951" w:customStyle="1">
    <w:name w:val="清单表 6 彩色1"/>
    <w:basedOn w:val="77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2" w:customStyle="1">
    <w:name w:val="List Table 6 Colorful - Accent 1"/>
    <w:basedOn w:val="775"/>
    <w:uiPriority w:val="99"/>
    <w:qFormat/>
    <w:tblPr>
      <w:tblBorders>
        <w:top w:val="single" w:color="156082" w:themeColor="accent1" w:sz="4" w:space="0"/>
        <w:bottom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953" w:customStyle="1">
    <w:name w:val="List Table 6 Colorful - Accent 2"/>
    <w:basedOn w:val="775"/>
    <w:uiPriority w:val="99"/>
    <w:qFormat/>
    <w:tblPr>
      <w:tblBorders>
        <w:top w:val="single" w:color="F2AA85" w:themeColor="accent2" w:themeTint="97" w:sz="4" w:space="0"/>
        <w:bottom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4" w:space="0"/>
        </w:tcBorders>
      </w:tcPr>
    </w:tblStylePr>
    <w:tblStylePr w:type="lastCol">
      <w:rPr>
        <w:b/>
        <w:color w:val="f2ab86" w:themeColor="accent2" w:themeTint="96"/>
      </w:rPr>
    </w:tblStylePr>
    <w:tblStylePr w:type="lastRow">
      <w:rPr>
        <w:b/>
        <w:color w:val="f2ab86" w:themeColor="accent2" w:themeTint="96"/>
      </w:rPr>
      <w:tcPr>
        <w:tcBorders>
          <w:top w:val="single" w:color="F2AA85" w:themeColor="accent2" w:themeTint="97" w:sz="4" w:space="0"/>
        </w:tcBorders>
      </w:tcPr>
    </w:tblStylePr>
  </w:style>
  <w:style w:type="table" w:styleId="954" w:customStyle="1">
    <w:name w:val="List Table 6 Colorful - Accent 3"/>
    <w:basedOn w:val="775"/>
    <w:uiPriority w:val="99"/>
    <w:qFormat/>
    <w:tblPr>
      <w:tblBorders>
        <w:top w:val="single" w:color="48D45B" w:themeColor="accent3" w:themeTint="98" w:sz="4" w:space="0"/>
        <w:bottom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b/>
        <w:color w:val="47d459" w:themeColor="accent3" w:themeTint="99"/>
      </w:rPr>
    </w:tblStylePr>
    <w:tblStylePr w:type="firstRow">
      <w:rPr>
        <w:b/>
        <w:color w:val="47d459" w:themeColor="accent3" w:themeTint="99"/>
      </w:rPr>
      <w:tcPr>
        <w:tcBorders>
          <w:bottom w:val="single" w:color="48D45B" w:themeColor="accent3" w:themeTint="98" w:sz="4" w:space="0"/>
        </w:tcBorders>
      </w:tcPr>
    </w:tblStylePr>
    <w:tblStylePr w:type="lastCol">
      <w:rPr>
        <w:b/>
        <w:color w:val="47d459" w:themeColor="accent3" w:themeTint="99"/>
      </w:rPr>
    </w:tblStylePr>
    <w:tblStylePr w:type="lastRow">
      <w:rPr>
        <w:b/>
        <w:color w:val="47d459" w:themeColor="accent3" w:themeTint="99"/>
      </w:rPr>
      <w:tcPr>
        <w:tcBorders>
          <w:top w:val="single" w:color="48D45B" w:themeColor="accent3" w:themeTint="98" w:sz="4" w:space="0"/>
        </w:tcBorders>
      </w:tcPr>
    </w:tblStylePr>
  </w:style>
  <w:style w:type="table" w:styleId="955" w:customStyle="1">
    <w:name w:val="List Table 6 Colorful - Accent 4"/>
    <w:basedOn w:val="775"/>
    <w:uiPriority w:val="99"/>
    <w:qFormat/>
    <w:tblPr>
      <w:tblBorders>
        <w:top w:val="single" w:color="5FCAF3" w:themeColor="accent4" w:themeTint="9A" w:sz="4" w:space="0"/>
        <w:bottom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4" w:space="0"/>
        </w:tcBorders>
      </w:tcPr>
    </w:tblStylePr>
    <w:tblStylePr w:type="lastCol">
      <w:rPr>
        <w:b/>
        <w:color w:val="60caf3" w:themeColor="accent4" w:themeTint="99"/>
      </w:rPr>
    </w:tblStylePr>
    <w:tblStylePr w:type="lastRow">
      <w:rPr>
        <w:b/>
        <w:color w:val="60caf3" w:themeColor="accent4" w:themeTint="99"/>
      </w:rPr>
      <w:tcPr>
        <w:tcBorders>
          <w:top w:val="single" w:color="5FCAF3" w:themeColor="accent4" w:themeTint="9A" w:sz="4" w:space="0"/>
        </w:tcBorders>
      </w:tcPr>
    </w:tblStylePr>
  </w:style>
  <w:style w:type="table" w:styleId="956" w:customStyle="1">
    <w:name w:val="List Table 6 Colorful - Accent 5"/>
    <w:basedOn w:val="775"/>
    <w:uiPriority w:val="99"/>
    <w:qFormat/>
    <w:tblPr>
      <w:tblBorders>
        <w:top w:val="single" w:color="D76CCB" w:themeColor="accent5" w:themeTint="9A" w:sz="4" w:space="0"/>
        <w:bottom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b/>
        <w:color w:val="d86dcb" w:themeColor="accent5" w:themeTint="99"/>
      </w:rPr>
    </w:tblStylePr>
    <w:tblStylePr w:type="firstRow">
      <w:rPr>
        <w:b/>
        <w:color w:val="d86dcb" w:themeColor="accent5" w:themeTint="99"/>
      </w:rPr>
      <w:tcPr>
        <w:tcBorders>
          <w:bottom w:val="single" w:color="D76CCB" w:themeColor="accent5" w:themeTint="9A" w:sz="4" w:space="0"/>
        </w:tcBorders>
      </w:tcPr>
    </w:tblStylePr>
    <w:tblStylePr w:type="lastCol">
      <w:rPr>
        <w:b/>
        <w:color w:val="d86dcb" w:themeColor="accent5" w:themeTint="99"/>
      </w:rPr>
    </w:tblStylePr>
    <w:tblStylePr w:type="lastRow">
      <w:rPr>
        <w:b/>
        <w:color w:val="d86dcb" w:themeColor="accent5" w:themeTint="99"/>
      </w:rPr>
      <w:tcPr>
        <w:tcBorders>
          <w:top w:val="single" w:color="D76CCB" w:themeColor="accent5" w:themeTint="9A" w:sz="4" w:space="0"/>
        </w:tcBorders>
      </w:tcPr>
    </w:tblStylePr>
  </w:style>
  <w:style w:type="table" w:styleId="957" w:customStyle="1">
    <w:name w:val="List Table 6 Colorful - Accent 6"/>
    <w:basedOn w:val="775"/>
    <w:uiPriority w:val="99"/>
    <w:qFormat/>
    <w:tblPr>
      <w:tblBorders>
        <w:top w:val="single" w:color="8ED873" w:themeColor="accent6" w:themeTint="98" w:sz="4" w:space="0"/>
        <w:bottom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b/>
        <w:color w:val="8dd873" w:themeColor="accent6" w:themeTint="99"/>
      </w:rPr>
    </w:tblStylePr>
    <w:tblStylePr w:type="firstRow">
      <w:rPr>
        <w:b/>
        <w:color w:val="8dd873" w:themeColor="accent6" w:themeTint="99"/>
      </w:rPr>
      <w:tcPr>
        <w:tcBorders>
          <w:bottom w:val="single" w:color="8ED873" w:themeColor="accent6" w:themeTint="98" w:sz="4" w:space="0"/>
        </w:tcBorders>
      </w:tcPr>
    </w:tblStylePr>
    <w:tblStylePr w:type="lastCol">
      <w:rPr>
        <w:b/>
        <w:color w:val="8dd873" w:themeColor="accent6" w:themeTint="99"/>
      </w:rPr>
    </w:tblStylePr>
    <w:tblStylePr w:type="lastRow">
      <w:rPr>
        <w:b/>
        <w:color w:val="8dd873" w:themeColor="accent6" w:themeTint="99"/>
      </w:rPr>
      <w:tcPr>
        <w:tcBorders>
          <w:top w:val="single" w:color="8ED873" w:themeColor="accent6" w:themeTint="98" w:sz="4" w:space="0"/>
        </w:tcBorders>
      </w:tcPr>
    </w:tblStylePr>
  </w:style>
  <w:style w:type="table" w:styleId="958" w:customStyle="1">
    <w:name w:val="清单表 7 彩色1"/>
    <w:basedOn w:val="77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basedOn w:val="775"/>
    <w:uiPriority w:val="99"/>
    <w:qFormat/>
    <w:tblPr>
      <w:tblBorders>
        <w:right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775"/>
    <w:uiPriority w:val="99"/>
    <w:qFormat/>
    <w:tblPr>
      <w:tblBorders>
        <w:right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775"/>
    <w:uiPriority w:val="99"/>
    <w:qFormat/>
    <w:tblPr>
      <w:tblBorders>
        <w:right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rFonts w:ascii="Arial" w:hAnsi="Arial"/>
        <w:i/>
        <w:color w:val="47d459" w:themeColor="accent3" w:themeTint="99"/>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9" w:themeColor="accent3" w:themeTint="99"/>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9" w:themeColor="accent3" w:themeTint="99"/>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9" w:themeColor="accent3" w:themeTint="99"/>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775"/>
    <w:uiPriority w:val="99"/>
    <w:qFormat/>
    <w:tblPr>
      <w:tblBorders>
        <w:right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775"/>
    <w:uiPriority w:val="99"/>
    <w:qFormat/>
    <w:tblPr>
      <w:tblBorders>
        <w:right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rFonts w:ascii="Arial" w:hAnsi="Arial"/>
        <w:i/>
        <w:color w:val="d86dcb" w:themeColor="accent5" w:themeTint="99"/>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dcb" w:themeColor="accent5" w:themeTint="99"/>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dcb" w:themeColor="accent5" w:themeTint="99"/>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dcb" w:themeColor="accent5" w:themeTint="99"/>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775"/>
    <w:uiPriority w:val="99"/>
    <w:qFormat/>
    <w:tblPr>
      <w:tblBorders>
        <w:right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rFonts w:ascii="Arial" w:hAnsi="Arial"/>
        <w:i/>
        <w:color w:val="8dd873" w:themeColor="accent6" w:themeTint="99"/>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dd873" w:themeColor="accent6" w:themeTint="99"/>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dd873" w:themeColor="accent6" w:themeTint="99"/>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dd873" w:themeColor="accent6" w:themeTint="99"/>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6" w:customStyle="1">
    <w:name w:val="Lined - Accent 1"/>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67" w:customStyle="1">
    <w:name w:val="Lined - Accent 2"/>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68" w:customStyle="1">
    <w:name w:val="Lined - Accent 3"/>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69" w:customStyle="1">
    <w:name w:val="Lined - Accent 4"/>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70" w:customStyle="1">
    <w:name w:val="Lined - Accent 5"/>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71" w:customStyle="1">
    <w:name w:val="Lined - Accent 6"/>
    <w:basedOn w:val="7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72" w:customStyle="1">
    <w:name w:val="Bordered &amp; Lined - Accent"/>
    <w:basedOn w:val="77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3" w:customStyle="1">
    <w:name w:val="Bordered &amp; Lined - Accent 1"/>
    <w:basedOn w:val="775"/>
    <w:uiPriority w:val="99"/>
    <w:qFormat/>
    <w:rPr>
      <w:color w:val="40404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74" w:customStyle="1">
    <w:name w:val="Bordered &amp; Lined - Accent 2"/>
    <w:basedOn w:val="775"/>
    <w:uiPriority w:val="99"/>
    <w:qFormat/>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75" w:customStyle="1">
    <w:name w:val="Bordered &amp; Lined - Accent 3"/>
    <w:basedOn w:val="775"/>
    <w:uiPriority w:val="99"/>
    <w:qFormat/>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76" w:customStyle="1">
    <w:name w:val="Bordered &amp; Lined - Accent 4"/>
    <w:basedOn w:val="775"/>
    <w:uiPriority w:val="99"/>
    <w:qFormat/>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77" w:customStyle="1">
    <w:name w:val="Bordered &amp; Lined - Accent 5"/>
    <w:basedOn w:val="775"/>
    <w:uiPriority w:val="99"/>
    <w:qFormat/>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78" w:customStyle="1">
    <w:name w:val="Bordered &amp; Lined - Accent 6"/>
    <w:basedOn w:val="775"/>
    <w:uiPriority w:val="99"/>
    <w:qFormat/>
    <w:rPr>
      <w:color w:val="40404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79" w:customStyle="1">
    <w:name w:val="Bordered"/>
    <w:basedOn w:val="77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0" w:customStyle="1">
    <w:name w:val="Bordered - Accent 1"/>
    <w:basedOn w:val="775"/>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981" w:customStyle="1">
    <w:name w:val="Bordered - Accent 2"/>
    <w:basedOn w:val="775"/>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982" w:customStyle="1">
    <w:name w:val="Bordered - Accent 3"/>
    <w:basedOn w:val="775"/>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983" w:customStyle="1">
    <w:name w:val="Bordered - Accent 4"/>
    <w:basedOn w:val="775"/>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984" w:customStyle="1">
    <w:name w:val="Bordered - Accent 5"/>
    <w:basedOn w:val="77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985" w:customStyle="1">
    <w:name w:val="Bordered - Accent 6"/>
    <w:basedOn w:val="775"/>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986" w:customStyle="1">
    <w:name w:val="脚注文本 字符"/>
    <w:link w:val="801"/>
    <w:uiPriority w:val="99"/>
    <w:qFormat/>
    <w:rPr>
      <w:sz w:val="18"/>
    </w:rPr>
  </w:style>
  <w:style w:type="character" w:styleId="987" w:customStyle="1">
    <w:name w:val="尾注文本 字符"/>
    <w:link w:val="793"/>
    <w:uiPriority w:val="99"/>
    <w:qFormat/>
    <w:rPr>
      <w:sz w:val="20"/>
    </w:rPr>
  </w:style>
  <w:style w:type="paragraph" w:styleId="988" w:customStyle="1">
    <w:name w:val="TOC 标题1"/>
    <w:uiPriority w:val="39"/>
    <w:unhideWhenUsed/>
    <w:qFormat/>
    <w:rPr>
      <w:rFonts w:asciiTheme="minorHAnsi" w:hAnsiTheme="minorHAnsi" w:eastAsiaTheme="minorEastAsia" w:cstheme="minorBidi"/>
    </w:rPr>
  </w:style>
  <w:style w:type="character" w:styleId="989" w:customStyle="1">
    <w:name w:val="标题 1 字符"/>
    <w:basedOn w:val="774"/>
    <w:link w:val="765"/>
    <w:qFormat/>
    <w:rPr>
      <w:rFonts w:asciiTheme="majorHAnsi" w:hAnsiTheme="majorHAnsi" w:eastAsiaTheme="majorEastAsia" w:cstheme="majorBidi"/>
      <w:color w:val="0f4761" w:themeColor="accent1" w:themeShade="BF"/>
      <w:sz w:val="40"/>
      <w:szCs w:val="40"/>
    </w:rPr>
  </w:style>
  <w:style w:type="character" w:styleId="990" w:customStyle="1">
    <w:name w:val="标题 2 字符"/>
    <w:basedOn w:val="774"/>
    <w:link w:val="766"/>
    <w:qFormat/>
    <w:rPr>
      <w:rFonts w:asciiTheme="majorHAnsi" w:hAnsiTheme="majorHAnsi" w:eastAsiaTheme="majorEastAsia" w:cstheme="majorBidi"/>
      <w:color w:val="0f4761" w:themeColor="accent1" w:themeShade="BF"/>
      <w:sz w:val="32"/>
      <w:szCs w:val="32"/>
    </w:rPr>
  </w:style>
  <w:style w:type="character" w:styleId="991" w:customStyle="1">
    <w:name w:val="标题 3 字符"/>
    <w:basedOn w:val="774"/>
    <w:link w:val="767"/>
    <w:qFormat/>
    <w:rPr>
      <w:rFonts w:eastAsiaTheme="majorEastAsia" w:cstheme="majorBidi"/>
      <w:color w:val="0f4761" w:themeColor="accent1" w:themeShade="BF"/>
      <w:sz w:val="28"/>
      <w:szCs w:val="28"/>
    </w:rPr>
  </w:style>
  <w:style w:type="character" w:styleId="992" w:customStyle="1">
    <w:name w:val="标题 4 字符"/>
    <w:basedOn w:val="774"/>
    <w:link w:val="768"/>
    <w:qFormat/>
    <w:rPr>
      <w:rFonts w:eastAsiaTheme="majorEastAsia" w:cstheme="majorBidi"/>
      <w:i/>
      <w:iCs/>
      <w:color w:val="0f4761" w:themeColor="accent1" w:themeShade="BF"/>
    </w:rPr>
  </w:style>
  <w:style w:type="character" w:styleId="993" w:customStyle="1">
    <w:name w:val="标题 5 字符"/>
    <w:basedOn w:val="774"/>
    <w:link w:val="769"/>
    <w:qFormat/>
    <w:rPr>
      <w:rFonts w:eastAsiaTheme="majorEastAsia" w:cstheme="majorBidi"/>
      <w:color w:val="0f4761" w:themeColor="accent1" w:themeShade="BF"/>
    </w:rPr>
  </w:style>
  <w:style w:type="character" w:styleId="994" w:customStyle="1">
    <w:name w:val="标题 6 字符"/>
    <w:basedOn w:val="774"/>
    <w:link w:val="770"/>
    <w:qFormat/>
    <w:rPr>
      <w:rFonts w:eastAsiaTheme="majorEastAsia" w:cstheme="majorBidi"/>
      <w:i/>
      <w:iCs/>
      <w:color w:val="595959" w:themeColor="text1" w:themeTint="A6"/>
    </w:rPr>
  </w:style>
  <w:style w:type="character" w:styleId="995" w:customStyle="1">
    <w:name w:val="标题 7 字符"/>
    <w:basedOn w:val="774"/>
    <w:link w:val="771"/>
    <w:qFormat/>
    <w:rPr>
      <w:rFonts w:eastAsiaTheme="majorEastAsia" w:cstheme="majorBidi"/>
      <w:color w:val="595959" w:themeColor="text1" w:themeTint="A6"/>
    </w:rPr>
  </w:style>
  <w:style w:type="character" w:styleId="996" w:customStyle="1">
    <w:name w:val="标题 8 字符"/>
    <w:basedOn w:val="774"/>
    <w:link w:val="772"/>
    <w:qFormat/>
    <w:rPr>
      <w:rFonts w:eastAsiaTheme="majorEastAsia" w:cstheme="majorBidi"/>
      <w:i/>
      <w:iCs/>
      <w:color w:val="262626" w:themeColor="text1" w:themeTint="D9"/>
    </w:rPr>
  </w:style>
  <w:style w:type="character" w:styleId="997" w:customStyle="1">
    <w:name w:val="标题 9 字符"/>
    <w:basedOn w:val="774"/>
    <w:link w:val="773"/>
    <w:qFormat/>
    <w:rPr>
      <w:rFonts w:eastAsiaTheme="majorEastAsia" w:cstheme="majorBidi"/>
      <w:color w:val="262626" w:themeColor="text1" w:themeTint="D9"/>
    </w:rPr>
  </w:style>
  <w:style w:type="character" w:styleId="998" w:customStyle="1">
    <w:name w:val="标题 字符"/>
    <w:basedOn w:val="774"/>
    <w:link w:val="810"/>
    <w:uiPriority w:val="10"/>
    <w:qFormat/>
    <w:rPr>
      <w:rFonts w:asciiTheme="majorHAnsi" w:hAnsiTheme="majorHAnsi" w:eastAsiaTheme="majorEastAsia" w:cstheme="majorBidi"/>
      <w:spacing w:val="-10"/>
      <w:sz w:val="56"/>
      <w:szCs w:val="56"/>
    </w:rPr>
  </w:style>
  <w:style w:type="character" w:styleId="999" w:customStyle="1">
    <w:name w:val="副标题 字符"/>
    <w:basedOn w:val="774"/>
    <w:link w:val="799"/>
    <w:uiPriority w:val="11"/>
    <w:qFormat/>
    <w:rPr>
      <w:rFonts w:eastAsiaTheme="majorEastAsia" w:cstheme="majorBidi"/>
      <w:color w:val="595959" w:themeColor="text1" w:themeTint="A6"/>
      <w:spacing w:val="15"/>
      <w:sz w:val="28"/>
      <w:szCs w:val="28"/>
    </w:rPr>
  </w:style>
  <w:style w:type="paragraph" w:styleId="1000">
    <w:name w:val="Quote"/>
    <w:basedOn w:val="764"/>
    <w:next w:val="764"/>
    <w:link w:val="1001"/>
    <w:uiPriority w:val="29"/>
    <w:qFormat/>
    <w:pPr>
      <w:jc w:val="center"/>
      <w:spacing w:before="160"/>
    </w:pPr>
    <w:rPr>
      <w:i/>
      <w:iCs/>
      <w:color w:val="404040" w:themeColor="text1" w:themeTint="BF"/>
    </w:rPr>
  </w:style>
  <w:style w:type="character" w:styleId="1001" w:customStyle="1">
    <w:name w:val="引用 字符"/>
    <w:basedOn w:val="774"/>
    <w:link w:val="1000"/>
    <w:uiPriority w:val="29"/>
    <w:qFormat/>
    <w:rPr>
      <w:i/>
      <w:iCs/>
      <w:color w:val="404040" w:themeColor="text1" w:themeTint="BF"/>
    </w:rPr>
  </w:style>
  <w:style w:type="paragraph" w:styleId="1002">
    <w:name w:val="List Paragraph"/>
    <w:basedOn w:val="764"/>
    <w:qFormat/>
    <w:pPr>
      <w:contextualSpacing/>
      <w:ind w:left="720"/>
    </w:pPr>
  </w:style>
  <w:style w:type="character" w:styleId="1003" w:customStyle="1">
    <w:name w:val="明显强调1"/>
    <w:basedOn w:val="774"/>
    <w:uiPriority w:val="21"/>
    <w:qFormat/>
    <w:rPr>
      <w:i/>
      <w:iCs/>
      <w:color w:val="0f4761" w:themeColor="accent1" w:themeShade="BF"/>
    </w:rPr>
  </w:style>
  <w:style w:type="paragraph" w:styleId="1004">
    <w:name w:val="Intense Quote"/>
    <w:basedOn w:val="764"/>
    <w:next w:val="764"/>
    <w:link w:val="1005"/>
    <w:uiPriority w:val="30"/>
    <w:qFormat/>
    <w:pPr>
      <w:ind w:left="864" w:right="864"/>
      <w:jc w:val="center"/>
      <w:spacing w:before="360" w:after="360"/>
      <w:pBdr>
        <w:top w:val="single" w:color="0F4761" w:themeColor="accent1" w:themeShade="BF" w:sz="4" w:space="10"/>
        <w:bottom w:val="single" w:color="0F4761" w:themeColor="accent1" w:themeShade="BF" w:sz="4" w:space="10"/>
      </w:pBdr>
    </w:pPr>
    <w:rPr>
      <w:i/>
      <w:iCs/>
      <w:color w:val="0f4761" w:themeColor="accent1" w:themeShade="BF"/>
    </w:rPr>
  </w:style>
  <w:style w:type="character" w:styleId="1005" w:customStyle="1">
    <w:name w:val="明显引用 字符"/>
    <w:basedOn w:val="774"/>
    <w:link w:val="1004"/>
    <w:uiPriority w:val="30"/>
    <w:qFormat/>
    <w:rPr>
      <w:i/>
      <w:iCs/>
      <w:color w:val="0f4761" w:themeColor="accent1" w:themeShade="BF"/>
    </w:rPr>
  </w:style>
  <w:style w:type="character" w:styleId="1006" w:customStyle="1">
    <w:name w:val="明显参考1"/>
    <w:basedOn w:val="774"/>
    <w:uiPriority w:val="32"/>
    <w:qFormat/>
    <w:rPr>
      <w:b/>
      <w:bCs/>
      <w:smallCaps/>
      <w:color w:val="0f4761" w:themeColor="accent1" w:themeShade="BF"/>
      <w:spacing w:val="5"/>
    </w:rPr>
  </w:style>
  <w:style w:type="character" w:styleId="1007" w:customStyle="1">
    <w:name w:val="页眉 字符"/>
    <w:basedOn w:val="774"/>
    <w:link w:val="796"/>
    <w:qFormat/>
  </w:style>
  <w:style w:type="character" w:styleId="1008" w:customStyle="1">
    <w:name w:val="页脚 字符"/>
    <w:basedOn w:val="774"/>
    <w:link w:val="795"/>
    <w:uiPriority w:val="99"/>
    <w:qFormat/>
  </w:style>
  <w:style w:type="character" w:styleId="1009" w:customStyle="1">
    <w:name w:val="正文缩进 字符"/>
    <w:link w:val="779"/>
    <w:qFormat/>
    <w:rPr>
      <w:rFonts w:ascii="Times New Roman" w:hAnsi="Times New Roman" w:eastAsia="宋体" w:cs="Times New Roman"/>
      <w:sz w:val="21"/>
      <w:szCs w:val="21"/>
      <w14:ligatures w14:val="none"/>
    </w:rPr>
  </w:style>
  <w:style w:type="character" w:styleId="1010" w:customStyle="1">
    <w:name w:val="文档结构图 字符"/>
    <w:basedOn w:val="774"/>
    <w:link w:val="781"/>
    <w:semiHidden/>
    <w:qFormat/>
    <w:rPr>
      <w:rFonts w:ascii="Times New Roman" w:hAnsi="Times New Roman" w:eastAsia="宋体" w:cs="Times New Roman"/>
      <w:sz w:val="21"/>
      <w:szCs w:val="21"/>
      <w:shd w:val="clear" w:color="auto" w:fill="000080"/>
      <w14:ligatures w14:val="none"/>
    </w:rPr>
  </w:style>
  <w:style w:type="character" w:styleId="1011" w:customStyle="1">
    <w:name w:val="批注文字 字符"/>
    <w:basedOn w:val="774"/>
    <w:link w:val="782"/>
    <w:qFormat/>
    <w:rPr>
      <w:rFonts w:ascii="Times New Roman" w:hAnsi="Times New Roman" w:eastAsia="宋体" w:cs="Times New Roman"/>
      <w:sz w:val="21"/>
      <w:szCs w:val="22"/>
      <w14:ligatures w14:val="none"/>
    </w:rPr>
  </w:style>
  <w:style w:type="character" w:styleId="1012" w:customStyle="1">
    <w:name w:val="正文文本 3 字符"/>
    <w:basedOn w:val="774"/>
    <w:link w:val="783"/>
    <w:qFormat/>
    <w:rPr>
      <w:rFonts w:ascii="仿宋_GB2312" w:hAnsi="Arial" w:eastAsia="仿宋_GB2312" w:cs="Times New Roman"/>
      <w:sz w:val="32"/>
      <w:szCs w:val="32"/>
      <w14:ligatures w14:val="none"/>
    </w:rPr>
  </w:style>
  <w:style w:type="character" w:styleId="1013" w:customStyle="1">
    <w:name w:val="正文文本 字符"/>
    <w:basedOn w:val="774"/>
    <w:link w:val="784"/>
    <w:qFormat/>
    <w:rPr>
      <w:rFonts w:ascii="楷体_GB2312" w:hAnsi="Arial" w:eastAsia="楷体_GB2312" w:cs="Times New Roman"/>
      <w:sz w:val="28"/>
      <w:szCs w:val="28"/>
      <w14:ligatures w14:val="none"/>
    </w:rPr>
  </w:style>
  <w:style w:type="character" w:styleId="1014" w:customStyle="1">
    <w:name w:val="正文文本缩进 字符"/>
    <w:basedOn w:val="774"/>
    <w:link w:val="785"/>
    <w:qFormat/>
    <w:rPr>
      <w:rFonts w:ascii="Times New Roman" w:hAnsi="Times New Roman" w:eastAsia="宋体" w:cs="Times New Roman"/>
      <w:sz w:val="21"/>
      <w:szCs w:val="22"/>
      <w14:ligatures w14:val="none"/>
    </w:rPr>
  </w:style>
  <w:style w:type="character" w:styleId="1015" w:customStyle="1">
    <w:name w:val="纯文本 字符"/>
    <w:basedOn w:val="774"/>
    <w:link w:val="789"/>
    <w:qFormat/>
    <w:rPr>
      <w:rFonts w:ascii="宋体" w:hAnsi="Courier New" w:eastAsia="宋体" w:cs="Courier New"/>
      <w:sz w:val="21"/>
      <w:szCs w:val="21"/>
      <w14:ligatures w14:val="none"/>
    </w:rPr>
  </w:style>
  <w:style w:type="character" w:styleId="1016" w:customStyle="1">
    <w:name w:val="日期 字符"/>
    <w:basedOn w:val="774"/>
    <w:link w:val="791"/>
    <w:qFormat/>
    <w:rPr>
      <w:rFonts w:ascii="Times New Roman" w:hAnsi="Times New Roman" w:eastAsia="宋体" w:cs="Times New Roman"/>
      <w14:ligatures w14:val="none"/>
    </w:rPr>
  </w:style>
  <w:style w:type="character" w:styleId="1017" w:customStyle="1">
    <w:name w:val="正文文本缩进 2 字符"/>
    <w:basedOn w:val="774"/>
    <w:link w:val="792"/>
    <w:qFormat/>
    <w:rPr>
      <w:rFonts w:ascii="Arial" w:hAnsi="Arial" w:eastAsia="仿宋_GB2312" w:cs="Arial"/>
      <w:sz w:val="32"/>
      <w:szCs w:val="32"/>
      <w14:ligatures w14:val="none"/>
    </w:rPr>
  </w:style>
  <w:style w:type="character" w:styleId="1018" w:customStyle="1">
    <w:name w:val="批注框文本 字符"/>
    <w:basedOn w:val="774"/>
    <w:link w:val="794"/>
    <w:semiHidden/>
    <w:qFormat/>
    <w:rPr>
      <w:rFonts w:ascii="Times New Roman" w:hAnsi="Times New Roman" w:eastAsia="宋体" w:cs="Times New Roman"/>
      <w:sz w:val="18"/>
      <w:szCs w:val="18"/>
      <w14:ligatures w14:val="none"/>
    </w:rPr>
  </w:style>
  <w:style w:type="character" w:styleId="1019" w:customStyle="1">
    <w:name w:val="正文文本缩进 3 字符"/>
    <w:basedOn w:val="774"/>
    <w:link w:val="803"/>
    <w:qFormat/>
    <w:rPr>
      <w:rFonts w:ascii="Arial" w:hAnsi="Arial" w:eastAsia="仿宋_GB2312" w:cs="Arial"/>
      <w:color w:val="ffff00"/>
      <w:sz w:val="32"/>
      <w:szCs w:val="32"/>
      <w14:ligatures w14:val="none"/>
    </w:rPr>
  </w:style>
  <w:style w:type="character" w:styleId="1020" w:customStyle="1">
    <w:name w:val="正文文本 2 字符"/>
    <w:basedOn w:val="774"/>
    <w:link w:val="807"/>
    <w:qFormat/>
    <w:rPr>
      <w:rFonts w:ascii="楷体_GB2312" w:hAnsi="Times New Roman" w:eastAsia="楷体_GB2312" w:cs="Times New Roman"/>
      <w:sz w:val="28"/>
      <w:szCs w:val="28"/>
      <w14:ligatures w14:val="none"/>
    </w:rPr>
  </w:style>
  <w:style w:type="character" w:styleId="1021" w:customStyle="1">
    <w:name w:val="批注主题 字符"/>
    <w:basedOn w:val="1011"/>
    <w:link w:val="811"/>
    <w:semiHidden/>
    <w:qFormat/>
    <w:rPr>
      <w:rFonts w:ascii="Times New Roman" w:hAnsi="Times New Roman" w:eastAsia="宋体" w:cs="Times New Roman"/>
      <w:b/>
      <w:bCs/>
      <w:sz w:val="21"/>
      <w:szCs w:val="21"/>
      <w14:ligatures w14:val="none"/>
    </w:rPr>
  </w:style>
  <w:style w:type="character" w:styleId="1022" w:customStyle="1">
    <w:name w:val="正文文本首行缩进 字符"/>
    <w:basedOn w:val="1013"/>
    <w:link w:val="812"/>
    <w:qFormat/>
    <w:rPr>
      <w:rFonts w:ascii="仿宋_GB2312" w:hAnsi="Times New Roman" w:eastAsia="仿宋_GB2312" w:cs="Times New Roman"/>
      <w:sz w:val="30"/>
      <w:szCs w:val="30"/>
      <w14:ligatures w14:val="none"/>
    </w:rPr>
  </w:style>
  <w:style w:type="character" w:styleId="1023" w:customStyle="1">
    <w:name w:val="正文文本首行缩进 2 字符"/>
    <w:basedOn w:val="1014"/>
    <w:link w:val="813"/>
    <w:qFormat/>
    <w:rPr>
      <w:rFonts w:ascii="宋体" w:hAnsi="宋体" w:eastAsia="宋体" w:cs="Times New Roman"/>
      <w:sz w:val="21"/>
      <w:szCs w:val="20"/>
      <w14:ligatures w14:val="none"/>
    </w:rPr>
  </w:style>
  <w:style w:type="character" w:styleId="1024" w:customStyle="1">
    <w:name w:val="font5 Char"/>
    <w:qFormat/>
    <w:rPr>
      <w:rFonts w:ascii="宋体" w:hAnsi="宋体" w:eastAsia="宋体"/>
      <w:sz w:val="28"/>
      <w:szCs w:val="28"/>
      <w:lang w:val="en-US" w:eastAsia="zh-CN" w:bidi="ar-SA"/>
    </w:rPr>
  </w:style>
  <w:style w:type="character" w:styleId="1025" w:customStyle="1">
    <w:name w:val="二级目录 Char"/>
    <w:link w:val="1026"/>
    <w:qFormat/>
    <w:rPr>
      <w:b/>
      <w:sz w:val="30"/>
      <w:szCs w:val="28"/>
    </w:rPr>
  </w:style>
  <w:style w:type="paragraph" w:styleId="1026" w:customStyle="1">
    <w:name w:val="二级目录"/>
    <w:next w:val="764"/>
    <w:link w:val="1025"/>
    <w:qFormat/>
    <w:pPr>
      <w:numPr>
        <w:numId w:val="1"/>
      </w:numPr>
      <w:tabs>
        <w:tab w:val="left" w:pos="1145" w:leader="none"/>
      </w:tabs>
      <w:outlineLvl w:val="1"/>
    </w:pPr>
    <w:rPr>
      <w:rFonts w:asciiTheme="minorHAnsi" w:hAnsiTheme="minorHAnsi" w:eastAsiaTheme="minorEastAsia" w:cstheme="minorBidi"/>
      <w:b/>
      <w:sz w:val="30"/>
      <w:szCs w:val="28"/>
      <w14:ligatures w14:val="standardContextual"/>
    </w:rPr>
  </w:style>
  <w:style w:type="character" w:styleId="1027" w:customStyle="1">
    <w:name w:val="列出段落 Char"/>
    <w:link w:val="1028"/>
    <w:qFormat/>
    <w:rPr>
      <w:rFonts w:ascii="Calibri" w:hAnsi="Calibri"/>
      <w:lang w:eastAsia="en-US" w:bidi="en-US"/>
    </w:rPr>
  </w:style>
  <w:style w:type="paragraph" w:styleId="1028" w:customStyle="1">
    <w:name w:val="列出段落1"/>
    <w:basedOn w:val="764"/>
    <w:link w:val="1027"/>
    <w:qFormat/>
    <w:pPr>
      <w:contextualSpacing/>
      <w:ind w:left="720"/>
      <w:jc w:val="left"/>
      <w:widowControl/>
    </w:pPr>
    <w:rPr>
      <w:rFonts w:ascii="Calibri" w:hAnsi="Calibri" w:eastAsiaTheme="minorEastAsia" w:cstheme="minorBidi"/>
      <w:sz w:val="24"/>
      <w:szCs w:val="24"/>
      <w:lang w:eastAsia="en-US" w:bidi="en-US"/>
      <w14:ligatures w14:val="standardContextual"/>
    </w:rPr>
  </w:style>
  <w:style w:type="paragraph" w:styleId="1029" w:customStyle="1">
    <w:name w:val="Body Text(ch)"/>
    <w:basedOn w:val="764"/>
    <w:next w:val="784"/>
    <w:qFormat/>
    <w:pPr>
      <w:spacing w:after="120"/>
    </w:pPr>
    <w:rPr>
      <w:rFonts w:ascii="宋体" w:hAnsi="Arial"/>
      <w:bCs/>
      <w:iCs/>
      <w:szCs w:val="24"/>
    </w:rPr>
  </w:style>
  <w:style w:type="paragraph" w:styleId="1030" w:customStyle="1">
    <w:name w:val="xl27"/>
    <w:basedOn w:val="76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1" w:customStyle="1">
    <w:name w:val="xl26"/>
    <w:basedOn w:val="76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32" w:customStyle="1">
    <w:name w:val="Char"/>
    <w:basedOn w:val="764"/>
    <w:qFormat/>
    <w:pPr>
      <w:ind w:firstLine="200"/>
      <w:tabs>
        <w:tab w:val="left" w:pos="360" w:leader="none"/>
      </w:tabs>
    </w:pPr>
    <w:rPr>
      <w:sz w:val="28"/>
      <w:szCs w:val="30"/>
    </w:rPr>
  </w:style>
  <w:style w:type="paragraph" w:styleId="1033" w:customStyle="1">
    <w:name w:val="Char1"/>
    <w:basedOn w:val="781"/>
    <w:qFormat/>
    <w:rPr>
      <w:rFonts w:ascii="Tahoma" w:hAnsi="Tahoma"/>
      <w:sz w:val="24"/>
      <w:szCs w:val="24"/>
    </w:rPr>
  </w:style>
  <w:style w:type="paragraph" w:styleId="1034" w:customStyle="1">
    <w:name w:val="普通正文"/>
    <w:basedOn w:val="764"/>
    <w:qFormat/>
    <w:pPr>
      <w:ind w:firstLine="480"/>
      <w:jc w:val="left"/>
      <w:spacing w:before="120" w:after="120" w:line="360" w:lineRule="auto"/>
    </w:pPr>
    <w:rPr>
      <w:rFonts w:ascii="Arial" w:hAnsi="Arial"/>
      <w:sz w:val="24"/>
      <w:szCs w:val="24"/>
    </w:rPr>
  </w:style>
  <w:style w:type="paragraph" w:styleId="1035" w:customStyle="1">
    <w:name w:val="table_lines"/>
    <w:basedOn w:val="764"/>
    <w:qFormat/>
    <w:pPr>
      <w:jc w:val="left"/>
      <w:widowControl/>
    </w:pPr>
    <w:rPr>
      <w:sz w:val="20"/>
      <w:szCs w:val="20"/>
      <w:lang w:val="de-DE" w:eastAsia="de-DE"/>
    </w:rPr>
  </w:style>
  <w:style w:type="paragraph" w:styleId="1036" w:customStyle="1">
    <w:name w:val="附录1"/>
    <w:qFormat/>
    <w:pPr>
      <w:ind w:left="907" w:hanging="907"/>
      <w:spacing w:before="240" w:line="600" w:lineRule="atLeast"/>
      <w:tabs>
        <w:tab w:val="left" w:pos="907" w:leader="none"/>
      </w:tabs>
    </w:pPr>
    <w:rPr>
      <w:b/>
      <w:i/>
      <w:sz w:val="28"/>
    </w:rPr>
  </w:style>
  <w:style w:type="paragraph" w:styleId="1037" w:customStyle="1">
    <w:name w:val="font7"/>
    <w:basedOn w:val="764"/>
    <w:qFormat/>
    <w:pPr>
      <w:jc w:val="left"/>
      <w:spacing w:before="100" w:beforeAutospacing="1" w:after="100" w:afterAutospacing="1"/>
      <w:widowControl/>
    </w:pPr>
    <w:rPr>
      <w:rFonts w:hint="eastAsia" w:ascii="宋体" w:hAnsi="宋体"/>
      <w:sz w:val="18"/>
      <w:szCs w:val="18"/>
    </w:rPr>
  </w:style>
  <w:style w:type="paragraph" w:styleId="1038" w:customStyle="1">
    <w:name w:val="Char Char Char Char"/>
    <w:basedOn w:val="781"/>
    <w:qFormat/>
    <w:pPr>
      <w:spacing w:line="360" w:lineRule="auto"/>
    </w:pPr>
    <w:rPr>
      <w:rFonts w:ascii="Tahoma" w:hAnsi="Tahoma"/>
      <w:sz w:val="24"/>
      <w:szCs w:val="24"/>
    </w:rPr>
  </w:style>
  <w:style w:type="paragraph" w:styleId="1039" w:customStyle="1">
    <w:name w:val="4"/>
    <w:basedOn w:val="764"/>
    <w:next w:val="803"/>
    <w:qFormat/>
    <w:pPr>
      <w:ind w:firstLine="420"/>
      <w:spacing w:line="360" w:lineRule="auto"/>
    </w:pPr>
    <w:rPr>
      <w:color w:val="ff0000"/>
      <w:sz w:val="24"/>
      <w:szCs w:val="24"/>
    </w:rPr>
  </w:style>
  <w:style w:type="paragraph" w:styleId="1040" w:customStyle="1">
    <w:name w:val="普通 (Web)"/>
    <w:basedOn w:val="764"/>
    <w:qFormat/>
    <w:pPr>
      <w:jc w:val="left"/>
      <w:spacing w:before="100" w:beforeAutospacing="1" w:after="100" w:afterAutospacing="1"/>
      <w:widowControl/>
    </w:pPr>
    <w:rPr>
      <w:rFonts w:ascii="宋体" w:hAnsi="宋体"/>
      <w:sz w:val="24"/>
      <w:szCs w:val="24"/>
    </w:rPr>
  </w:style>
  <w:style w:type="paragraph" w:styleId="1041" w:customStyle="1">
    <w:name w:val="Char Char Char Char Char Char Char Char Char Char"/>
    <w:basedOn w:val="764"/>
    <w:qFormat/>
    <w:pPr>
      <w:spacing w:line="360" w:lineRule="auto"/>
    </w:pPr>
    <w:rPr>
      <w:sz w:val="24"/>
      <w:szCs w:val="20"/>
    </w:rPr>
  </w:style>
  <w:style w:type="paragraph" w:styleId="1042" w:customStyle="1">
    <w:name w:val="样式1"/>
    <w:basedOn w:val="764"/>
    <w:qFormat/>
    <w:pPr>
      <w:numPr>
        <w:numId w:val="2"/>
      </w:numPr>
    </w:pPr>
    <w:rPr>
      <w:rFonts w:ascii="宋体" w:hAnsi="宋体"/>
      <w:szCs w:val="21"/>
    </w:rPr>
  </w:style>
  <w:style w:type="paragraph" w:styleId="1043" w:customStyle="1">
    <w:name w:val="font6"/>
    <w:basedOn w:val="764"/>
    <w:qFormat/>
    <w:pPr>
      <w:jc w:val="left"/>
      <w:spacing w:before="100" w:beforeAutospacing="1" w:after="100" w:afterAutospacing="1"/>
      <w:widowControl/>
    </w:pPr>
    <w:rPr>
      <w:rFonts w:hint="eastAsia" w:ascii="宋体" w:hAnsi="宋体"/>
      <w:sz w:val="28"/>
      <w:szCs w:val="28"/>
      <w:u w:val="single"/>
    </w:rPr>
  </w:style>
  <w:style w:type="paragraph" w:styleId="1044" w:customStyle="1">
    <w:name w:val="xl25"/>
    <w:basedOn w:val="76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customStyle="1">
    <w:name w:val="图标"/>
    <w:basedOn w:val="764"/>
    <w:next w:val="76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6" w:customStyle="1">
    <w:name w:val="标题3"/>
    <w:basedOn w:val="764"/>
    <w:next w:val="764"/>
    <w:qFormat/>
    <w:pPr>
      <w:ind w:firstLine="624"/>
      <w:spacing w:line="590" w:lineRule="atLeast"/>
    </w:pPr>
    <w:rPr>
      <w:rFonts w:ascii="方正黑体_GBK" w:eastAsia="方正黑体_GBK"/>
      <w:sz w:val="32"/>
      <w:szCs w:val="32"/>
    </w:rPr>
  </w:style>
  <w:style w:type="paragraph" w:styleId="1047" w:customStyle="1">
    <w:name w:val="xl24"/>
    <w:basedOn w:val="76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48" w:customStyle="1">
    <w:name w:val="xl29"/>
    <w:basedOn w:val="764"/>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49" w:customStyle="1">
    <w:name w:val="Char Char Char Char Char Char Char Char"/>
    <w:basedOn w:val="764"/>
    <w:qFormat/>
    <w:pPr>
      <w:jc w:val="left"/>
      <w:spacing w:after="160" w:line="240" w:lineRule="exact"/>
      <w:widowControl/>
    </w:pPr>
    <w:rPr>
      <w:rFonts w:ascii="Verdana" w:hAnsi="Verdana"/>
      <w:sz w:val="20"/>
      <w:szCs w:val="20"/>
      <w:lang w:eastAsia="en-US"/>
    </w:rPr>
  </w:style>
  <w:style w:type="paragraph" w:styleId="1050" w:customStyle="1">
    <w:name w:val="xl28"/>
    <w:basedOn w:val="76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51" w:customStyle="1">
    <w:name w:val="Char Char Char Char Char Char Char Char1"/>
    <w:basedOn w:val="764"/>
    <w:qFormat/>
    <w:pPr>
      <w:jc w:val="left"/>
      <w:spacing w:after="160" w:line="240" w:lineRule="exact"/>
      <w:widowControl/>
    </w:pPr>
    <w:rPr>
      <w:rFonts w:ascii="Verdana" w:hAnsi="Verdana"/>
      <w:sz w:val="20"/>
      <w:szCs w:val="20"/>
      <w:lang w:eastAsia="en-US"/>
    </w:rPr>
  </w:style>
  <w:style w:type="paragraph" w:styleId="1052" w:customStyle="1">
    <w:name w:val="xl30"/>
    <w:basedOn w:val="764"/>
    <w:qFormat/>
    <w:pPr>
      <w:jc w:val="center"/>
      <w:spacing w:before="100" w:beforeAutospacing="1" w:after="100" w:afterAutospacing="1"/>
      <w:widowControl/>
    </w:pPr>
    <w:rPr>
      <w:rFonts w:ascii="宋体" w:hAnsi="宋体"/>
      <w:b/>
      <w:bCs/>
      <w:sz w:val="36"/>
      <w:szCs w:val="36"/>
    </w:rPr>
  </w:style>
  <w:style w:type="paragraph" w:styleId="1053" w:customStyle="1">
    <w:name w:val="Char Char Char Char1"/>
    <w:basedOn w:val="781"/>
    <w:qFormat/>
    <w:pPr>
      <w:spacing w:line="360" w:lineRule="auto"/>
    </w:pPr>
    <w:rPr>
      <w:rFonts w:ascii="Tahoma" w:hAnsi="Tahoma"/>
      <w:sz w:val="24"/>
      <w:szCs w:val="24"/>
    </w:rPr>
  </w:style>
  <w:style w:type="paragraph" w:styleId="1054" w:customStyle="1">
    <w:name w:val="table_1stline"/>
    <w:basedOn w:val="764"/>
    <w:qFormat/>
    <w:pPr>
      <w:jc w:val="left"/>
      <w:spacing w:before="120"/>
      <w:widowControl/>
    </w:pPr>
    <w:rPr>
      <w:bCs/>
      <w:sz w:val="20"/>
      <w:szCs w:val="20"/>
      <w:lang w:val="de-DE" w:eastAsia="de-DE"/>
    </w:rPr>
  </w:style>
  <w:style w:type="paragraph" w:styleId="1055" w:customStyle="1">
    <w:name w:val="font5"/>
    <w:basedOn w:val="764"/>
    <w:qFormat/>
    <w:pPr>
      <w:jc w:val="left"/>
      <w:spacing w:before="100" w:beforeAutospacing="1" w:after="100" w:afterAutospacing="1"/>
      <w:widowControl/>
    </w:pPr>
    <w:rPr>
      <w:rFonts w:hint="eastAsia" w:ascii="宋体" w:hAnsi="宋体"/>
      <w:sz w:val="28"/>
      <w:szCs w:val="28"/>
    </w:rPr>
  </w:style>
  <w:style w:type="paragraph" w:styleId="1056" w:customStyle="1">
    <w:name w:val="标题1"/>
    <w:basedOn w:val="764"/>
    <w:next w:val="76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7" w:customStyle="1">
    <w:name w:val="修订1"/>
    <w:uiPriority w:val="99"/>
    <w:semiHidden/>
    <w:qFormat/>
    <w:rPr>
      <w:sz w:val="21"/>
      <w:szCs w:val="21"/>
    </w:rPr>
  </w:style>
  <w:style w:type="paragraph" w:styleId="1058">
    <w:name w:val="No Spacing"/>
    <w:uiPriority w:val="99"/>
    <w:qFormat/>
    <w:pPr>
      <w:jc w:val="both"/>
      <w:widowControl w:val="off"/>
    </w:pPr>
    <w:rPr>
      <w:sz w:val="21"/>
      <w:szCs w:val="21"/>
    </w:rPr>
  </w:style>
  <w:style w:type="paragraph" w:styleId="1059" w:customStyle="1">
    <w:name w:val="AONormal"/>
    <w:qFormat/>
    <w:pPr>
      <w:ind w:firstLine="440"/>
      <w:spacing w:line="400" w:lineRule="exact"/>
    </w:pPr>
    <w:rPr>
      <w:rFonts w:ascii="华文楷体" w:hAnsi="华文楷体" w:eastAsia="华文楷体" w:cs="华文楷体"/>
      <w:sz w:val="22"/>
      <w:szCs w:val="21"/>
    </w:rPr>
  </w:style>
  <w:style w:type="paragraph" w:styleId="1060" w:customStyle="1">
    <w:name w:val="修订2"/>
    <w:hidden/>
    <w:uiPriority w:val="99"/>
    <w:unhideWhenUsed/>
    <w:qFormat/>
    <w:rPr>
      <w:sz w:val="21"/>
      <w:szCs w:val="22"/>
    </w:rPr>
  </w:style>
  <w:style w:type="paragraph" w:styleId="1061" w:customStyle="1">
    <w:name w:val="修订3"/>
    <w:hidden/>
    <w:uiPriority w:val="99"/>
    <w:unhideWhenUsed/>
    <w:qFormat/>
    <w:rPr>
      <w:sz w:val="21"/>
      <w:szCs w:val="22"/>
    </w:rPr>
  </w:style>
  <w:style w:type="paragraph" w:styleId="1062" w:customStyle="1">
    <w:name w:val="修订4"/>
    <w:hidden/>
    <w:uiPriority w:val="99"/>
    <w:unhideWhenUsed/>
    <w:qFormat/>
    <w:rPr>
      <w:sz w:val="21"/>
      <w:szCs w:val="22"/>
    </w:rPr>
  </w:style>
  <w:style w:type="paragraph" w:styleId="1063" w:customStyle="1">
    <w:name w:val="修订5"/>
    <w:hidden/>
    <w:uiPriority w:val="99"/>
    <w:unhideWhenUsed/>
    <w:qFormat/>
    <w:rPr>
      <w:sz w:val="21"/>
      <w:szCs w:val="22"/>
    </w:rPr>
  </w:style>
  <w:style w:type="paragraph" w:styleId="1064" w:customStyle="1">
    <w:name w:val="修订6"/>
    <w:hidden/>
    <w:uiPriority w:val="99"/>
    <w:unhideWhenUsed/>
    <w:qFormat/>
    <w:rPr>
      <w:sz w:val="21"/>
      <w:szCs w:val="22"/>
    </w:rPr>
  </w:style>
  <w:style w:type="paragraph" w:styleId="1065" w:customStyle="1">
    <w:name w:val="修订7"/>
    <w:hidden/>
    <w:uiPriority w:val="99"/>
    <w:unhideWhenUsed/>
    <w:qFormat/>
    <w:rPr>
      <w:sz w:val="21"/>
      <w:szCs w:val="22"/>
    </w:rPr>
  </w:style>
  <w:style w:type="paragraph" w:styleId="1066" w:customStyle="1">
    <w:name w:val="修订8"/>
    <w:hidden/>
    <w:uiPriority w:val="99"/>
    <w:unhideWhenUsed/>
    <w:qFormat/>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黑体"/>
        <a:cs typeface="Arial"/>
      </a:majorFont>
      <a:minorFont>
        <a:latin typeface="Aptos"/>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E83A5E-B784-4111-9BD2-3191E4DA6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Siemens Healthineers</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Qiao, Yang</dc:creator>
  <cp:lastModifiedBy>付钢</cp:lastModifiedBy>
  <cp:revision>27</cp:revision>
  <dcterms:created xsi:type="dcterms:W3CDTF">2026-09-16T08:11:00Z</dcterms:created>
  <dcterms:modified xsi:type="dcterms:W3CDTF">2026-10-26T03:24:14Z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eyJoZGlkIjoiNWVjNWM4N2ZlZDE5ZDJlMjg1MmRlNjI5MDdiZDdhMzgiLCJ1c2VySWQiOiIxNjMwMjIxNTI2In0=</vt:lpwstr>
  </property>
  <property fmtid="{D5CDD505-2E9C-101B-9397-08002B2CF9AE}" pid="3" name="KSOProductBuildVer">
    <vt:lpwstr>2052-12.1.0.29161</vt:lpwstr>
  </property>
  <property fmtid="{D5CDD505-2E9C-101B-9397-08002B2CF9AE}" pid="4" name="ICV">
    <vt:lpwstr>D3EFEA3936F347559A82E82B8A3DCD12_13</vt:lpwstr>
  </property>
</Properties>
</file>