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3"/>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rPr>
          <w:rFonts w:hint="eastAsia" w:ascii="宋体" w:hAnsi="宋体" w:eastAsia="宋体" w:cs="宋体"/>
          <w:bCs/>
          <w:color w:val="000000"/>
          <w:sz w:val="84"/>
          <w:szCs w:val="84"/>
          <w:highlight w:val="none"/>
        </w:rPr>
      </w:r>
      <w:r/>
    </w:p>
    <w:p>
      <w:pPr>
        <w:pStyle w:val="943"/>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rPr>
          <w:rFonts w:hint="eastAsia" w:ascii="宋体" w:hAnsi="宋体" w:eastAsia="宋体" w:cs="宋体"/>
          <w:bCs/>
          <w:color w:val="000000"/>
          <w:sz w:val="32"/>
          <w:szCs w:val="32"/>
          <w:highlight w:val="none"/>
        </w:rPr>
      </w:r>
      <w:r/>
    </w:p>
    <w:p>
      <w:pPr>
        <w:pStyle w:val="943"/>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3"/>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1364742" cy="13708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64742" cy="1370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5pt;height:107.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Cs/>
          <w:color w:val="000000"/>
          <w:sz w:val="21"/>
          <w:szCs w:val="21"/>
          <w:highlight w:val="none"/>
        </w:rPr>
      </w:r>
      <w:r/>
    </w:p>
    <w:p>
      <w:pPr>
        <w:pStyle w:val="943"/>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3"/>
        <w:ind w:firstLine="9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苏州市姑苏区教育体育和文化旅游委员会</w:t>
      </w:r>
      <w:r>
        <w:rPr>
          <w:rFonts w:hint="eastAsia" w:ascii="宋体" w:hAnsi="宋体" w:eastAsia="宋体" w:cs="宋体"/>
          <w:bCs/>
          <w:color w:val="000000"/>
          <w:sz w:val="30"/>
          <w:szCs w:val="30"/>
          <w:highlight w:val="none"/>
          <w:lang w:eastAsia="zh-CN"/>
        </w:rPr>
      </w:r>
      <w:r/>
    </w:p>
    <w:p>
      <w:pPr>
        <w:pStyle w:val="943"/>
        <w:ind w:firstLine="900"/>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eastAsia="宋体" w:cs="宋体"/>
          <w:bCs/>
          <w:color w:val="000000"/>
          <w:sz w:val="30"/>
          <w:szCs w:val="30"/>
          <w:highlight w:val="none"/>
          <w:lang w:eastAsia="zh-CN"/>
        </w:rPr>
        <w:t xml:space="preserve">JSZC-320508-SZZJ-C2026-0032</w:t>
      </w:r>
      <w:r>
        <w:rPr>
          <w:rFonts w:hint="eastAsia" w:ascii="宋体" w:hAnsi="宋体" w:eastAsia="宋体" w:cs="宋体"/>
          <w:bCs/>
          <w:color w:val="000000"/>
          <w:sz w:val="30"/>
          <w:szCs w:val="30"/>
          <w:highlight w:val="none"/>
          <w:lang w:eastAsia="zh-CN"/>
        </w:rPr>
      </w:r>
      <w:r/>
    </w:p>
    <w:p>
      <w:pPr>
        <w:pStyle w:val="943"/>
        <w:ind w:firstLine="900"/>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项目名称：2026年姑苏智慧教育云运营服务</w:t>
      </w:r>
      <w:r>
        <w:rPr>
          <w:rFonts w:hint="eastAsia" w:ascii="宋体" w:hAnsi="宋体" w:eastAsia="宋体" w:cs="宋体"/>
          <w:bCs/>
          <w:color w:val="000000"/>
          <w:sz w:val="30"/>
          <w:szCs w:val="30"/>
          <w:highlight w:val="none"/>
        </w:rPr>
      </w:r>
      <w:r/>
    </w:p>
    <w:p>
      <w:pPr>
        <w:pStyle w:val="943"/>
        <w:ind w:firstLine="9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采购类别：服务类</w:t>
      </w:r>
      <w:r>
        <w:rPr>
          <w:rFonts w:hint="eastAsia" w:ascii="宋体" w:hAnsi="宋体" w:eastAsia="宋体" w:cs="宋体"/>
          <w:bCs/>
          <w:color w:val="000000"/>
          <w:sz w:val="30"/>
          <w:szCs w:val="30"/>
          <w:highlight w:val="none"/>
        </w:rPr>
      </w:r>
      <w:r/>
    </w:p>
    <w:p>
      <w:pPr>
        <w:pStyle w:val="943"/>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3"/>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3"/>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3"/>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苏州正杰招投标咨询服务有限公司</w:t>
      </w:r>
      <w:r>
        <w:rPr>
          <w:rFonts w:hint="eastAsia" w:ascii="宋体" w:hAnsi="宋体" w:eastAsia="宋体" w:cs="宋体"/>
          <w:bCs/>
          <w:color w:val="000000"/>
          <w:sz w:val="30"/>
          <w:szCs w:val="30"/>
          <w:highlight w:val="none"/>
        </w:rPr>
      </w:r>
      <w:r/>
    </w:p>
    <w:p>
      <w:pPr>
        <w:pStyle w:val="969"/>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2026年</w:t>
      </w:r>
      <w:r>
        <w:rPr>
          <w:rFonts w:hint="eastAsia" w:ascii="宋体" w:hAnsi="宋体" w:eastAsia="宋体" w:cs="宋体"/>
          <w:bCs/>
          <w:color w:val="000000"/>
          <w:sz w:val="30"/>
          <w:szCs w:val="30"/>
          <w:highlight w:val="none"/>
          <w:lang w:val="en-US" w:eastAsia="zh-CN"/>
        </w:rPr>
        <w:t xml:space="preserve">1</w:t>
      </w:r>
      <w:r>
        <w:rPr>
          <w:rFonts w:hint="eastAsia" w:ascii="宋体" w:hAnsi="宋体" w:eastAsia="宋体" w:cs="宋体"/>
          <w:bCs/>
          <w:color w:val="000000"/>
          <w:sz w:val="30"/>
          <w:szCs w:val="30"/>
          <w:highlight w:val="none"/>
          <w:lang w:val="en-US" w:eastAsia="zh-CN"/>
        </w:rPr>
        <w:t xml:space="preserve">0</w:t>
      </w:r>
      <w:r>
        <w:rPr>
          <w:rFonts w:hint="eastAsia" w:ascii="宋体" w:hAnsi="宋体" w:eastAsia="宋体" w:cs="宋体"/>
          <w:bCs/>
          <w:color w:val="000000"/>
          <w:sz w:val="30"/>
          <w:szCs w:val="30"/>
          <w:highlight w:val="none"/>
        </w:rPr>
        <w:t xml:space="preserve">月</w:t>
      </w:r>
      <w:r>
        <w:rPr>
          <w:rFonts w:hint="eastAsia" w:ascii="宋体" w:hAnsi="宋体" w:eastAsia="宋体" w:cs="宋体"/>
          <w:bCs/>
          <w:color w:val="000000"/>
          <w:sz w:val="30"/>
          <w:szCs w:val="30"/>
          <w:highlight w:val="none"/>
        </w:rPr>
      </w:r>
      <w:r/>
    </w:p>
    <w:p>
      <w:pPr>
        <w:pStyle w:val="969"/>
        <w:ind w:firstLine="0"/>
        <w:jc w:val="center"/>
        <w:spacing w:line="360" w:lineRule="auto"/>
        <w:rPr>
          <w:rFonts w:hint="eastAsia" w:ascii="宋体" w:hAnsi="宋体" w:eastAsia="宋体" w:cs="宋体"/>
          <w:b/>
          <w:color w:val="000000"/>
          <w:sz w:val="32"/>
          <w:szCs w:val="32"/>
          <w:highlight w:val="none"/>
        </w:rPr>
        <w:sectPr>
          <w:headerReference w:type="default" r:id="rId9"/>
          <w:headerReference w:type="even" r:id="rId10"/>
          <w:footerReference w:type="default" r:id="rId11"/>
          <w:footerReference w:type="even" r:id="rId12"/>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color w:val="000000"/>
          <w:sz w:val="32"/>
          <w:szCs w:val="32"/>
          <w:highlight w:val="none"/>
        </w:rPr>
      </w:r>
      <w:r/>
    </w:p>
    <w:p>
      <w:pPr>
        <w:pStyle w:val="969"/>
        <w:ind w:firstLine="0"/>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52"/>
          <w:szCs w:val="52"/>
          <w:highlight w:val="none"/>
        </w:rPr>
      </w:r>
      <w:r/>
    </w:p>
    <w:p>
      <w:pPr>
        <w:pStyle w:val="969"/>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TOC \o "1-1"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bCs/>
          <w:color w:val="000000"/>
          <w:sz w:val="32"/>
          <w:szCs w:val="32"/>
          <w:highlight w:val="none"/>
        </w:rPr>
        <w:t xml:space="preserve">第一章 竞争性磋商邀请函</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第二章 响应须知</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第三章 响应文件格式</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第四章 采购需求</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第五章 合同文本</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第六章 评审方法及评审标准</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32"/>
          <w:szCs w:val="32"/>
          <w:highlight w:val="none"/>
        </w:rPr>
        <w:fldChar w:fldCharType="end"/>
      </w: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4"/>
        <w:jc w:val="center"/>
        <w:spacing w:line="360" w:lineRule="auto"/>
        <w:rPr>
          <w:rFonts w:hint="eastAsia" w:ascii="宋体" w:hAnsi="宋体" w:eastAsia="宋体" w:cs="宋体"/>
          <w:b w:val="0"/>
          <w:bCs/>
          <w:color w:val="000000"/>
          <w:sz w:val="52"/>
          <w:szCs w:val="52"/>
          <w:highlight w:val="none"/>
        </w:rPr>
        <w:sectPr>
          <w:footerReference w:type="default" r:id="rId13"/>
          <w:footerReference w:type="first" r:id="rId14"/>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highlight w:val="none"/>
        </w:rPr>
      </w:r>
      <w:r/>
    </w:p>
    <w:p>
      <w:pPr>
        <w:pStyle w:val="943"/>
        <w:ind w:firstLine="482"/>
        <w:jc w:val="center"/>
        <w:spacing w:line="360" w:lineRule="auto"/>
        <w:rPr>
          <w:rFonts w:hint="eastAsia" w:ascii="宋体" w:hAnsi="宋体" w:eastAsia="宋体" w:cs="宋体"/>
          <w:b/>
          <w:color w:val="000000"/>
          <w:sz w:val="24"/>
          <w:szCs w:val="24"/>
          <w:highlight w:val="none"/>
        </w:rPr>
      </w:pPr>
      <w:r/>
      <w:bookmarkEnd w:id="1"/>
      <w:r>
        <w:rPr>
          <w:rFonts w:hint="eastAsia" w:ascii="宋体" w:hAnsi="宋体" w:eastAsia="宋体" w:cs="宋体"/>
          <w:b/>
          <w:color w:val="000000"/>
          <w:sz w:val="24"/>
          <w:szCs w:val="24"/>
          <w:highlight w:val="none"/>
        </w:rPr>
        <w:t xml:space="preserve">第一章 竞争性磋商邀请函</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苏州正杰招投标咨询服务有限公司受</w:t>
      </w:r>
      <w:r>
        <w:rPr>
          <w:rFonts w:hint="eastAsia" w:ascii="宋体" w:hAnsi="宋体" w:eastAsia="宋体" w:cs="宋体"/>
          <w:color w:val="000000"/>
          <w:sz w:val="24"/>
          <w:szCs w:val="24"/>
          <w:highlight w:val="none"/>
          <w:lang w:eastAsia="zh-CN"/>
        </w:rPr>
        <w:t xml:space="preserve">苏州市姑苏区教育体育和文化旅游委员会</w:t>
      </w:r>
      <w:r>
        <w:rPr>
          <w:rFonts w:hint="eastAsia" w:ascii="宋体" w:hAnsi="宋体" w:eastAsia="宋体" w:cs="宋体"/>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2026年姑苏智慧教育云运营服务</w:t>
      </w:r>
      <w:r>
        <w:rPr>
          <w:rFonts w:hint="eastAsia" w:ascii="宋体" w:hAnsi="宋体" w:eastAsia="宋体" w:cs="宋体"/>
          <w:color w:val="000000"/>
          <w:sz w:val="24"/>
          <w:szCs w:val="24"/>
          <w:highlight w:val="none"/>
        </w:rPr>
        <w:t xml:space="preserve">项目以竞争性磋商方式组织政府采购，欢迎符合条件的供应商参加。</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JSZC-320508-SZZJ-C2026-0032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2026年姑苏智慧教育云运营服务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rPr>
        <w:t xml:space="preserve">人民币壹佰叁拾捌万捌仟伍佰元整（￥1,</w:t>
      </w:r>
      <w:r>
        <w:rPr>
          <w:rFonts w:hint="eastAsia" w:ascii="宋体" w:hAnsi="宋体" w:eastAsia="宋体" w:cs="宋体"/>
          <w:color w:val="000000"/>
          <w:sz w:val="24"/>
          <w:szCs w:val="24"/>
          <w:highlight w:val="none"/>
          <w:lang w:val="en-US" w:eastAsia="zh-CN"/>
        </w:rPr>
        <w:t xml:space="preserve">388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00.00元）。</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rPr>
        <w:t xml:space="preserve">人民币壹佰叁拾捌万捌仟伍佰元整（￥1,</w:t>
      </w:r>
      <w:r>
        <w:rPr>
          <w:rFonts w:hint="eastAsia" w:ascii="宋体" w:hAnsi="宋体" w:eastAsia="宋体" w:cs="宋体"/>
          <w:color w:val="000000"/>
          <w:sz w:val="24"/>
          <w:szCs w:val="24"/>
          <w:highlight w:val="none"/>
          <w:lang w:val="en-US" w:eastAsia="zh-CN"/>
        </w:rPr>
        <w:t xml:space="preserve">388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00.00元）。</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1、标的的名称：</w:t>
      </w:r>
      <w:r>
        <w:rPr>
          <w:rFonts w:hint="eastAsia" w:ascii="宋体" w:hAnsi="宋体" w:eastAsia="宋体" w:cs="宋体"/>
          <w:color w:val="000000"/>
          <w:sz w:val="24"/>
          <w:szCs w:val="24"/>
          <w:highlight w:val="none"/>
          <w:lang w:eastAsia="zh-CN"/>
        </w:rPr>
        <w:t xml:space="preserve">2026年姑苏智慧教育云运营服务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2、数量：1项。</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3、简要技术需求或服务要求等：</w:t>
      </w:r>
      <w:r>
        <w:rPr>
          <w:rFonts w:hint="eastAsia" w:ascii="宋体" w:hAnsi="宋体" w:eastAsia="宋体" w:cs="宋体"/>
          <w:bCs/>
          <w:color w:val="000000"/>
          <w:sz w:val="24"/>
          <w:szCs w:val="24"/>
          <w:highlight w:val="none"/>
        </w:rPr>
        <w:t xml:space="preserve">保障姑苏智慧教育云平台正常运行，提供数据中台、学业大数据及决策数据运营服务，提供平台各业务模块的阶段运营工作。具体详见采购文件采购需求。</w:t>
      </w:r>
      <w:r>
        <w:rPr>
          <w:rFonts w:hint="eastAsia" w:ascii="宋体" w:hAnsi="宋体" w:eastAsia="宋体" w:cs="宋体"/>
          <w:color w:val="000000"/>
          <w:sz w:val="24"/>
          <w:szCs w:val="24"/>
          <w:highlight w:val="none"/>
        </w:rPr>
      </w:r>
      <w:r/>
    </w:p>
    <w:p>
      <w:pPr>
        <w:pStyle w:val="96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rPr>
        <w:t xml:space="preserve">履行期限：自合同签订之日起壹年。</w:t>
      </w:r>
      <w:r>
        <w:rPr>
          <w:rFonts w:hint="eastAsia" w:ascii="宋体" w:hAnsi="宋体" w:eastAsia="宋体" w:cs="宋体"/>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t xml:space="preserve">根据《政府采购促进中小企业发展管理办法》的相关规定，本项目</w:t>
      </w:r>
      <w:r>
        <w:rPr>
          <w:rFonts w:hint="eastAsia" w:ascii="宋体" w:hAnsi="宋体" w:eastAsia="宋体" w:cs="宋体"/>
          <w:b/>
          <w:bCs/>
          <w:color w:val="000000"/>
          <w:sz w:val="24"/>
          <w:szCs w:val="24"/>
          <w:highlight w:val="none"/>
        </w:rPr>
        <w:t xml:space="preserve">专门面向中小企业</w:t>
      </w:r>
      <w:r>
        <w:rPr>
          <w:rFonts w:hint="eastAsia" w:ascii="宋体" w:hAnsi="宋体" w:eastAsia="宋体" w:cs="宋体"/>
          <w:b/>
          <w:bCs/>
          <w:color w:val="000000"/>
          <w:sz w:val="24"/>
          <w:szCs w:val="24"/>
          <w:highlight w:val="none"/>
        </w:rPr>
        <w:t xml:space="preserve">，所属行业为</w:t>
      </w:r>
      <w:r>
        <w:rPr>
          <w:rFonts w:hint="eastAsia" w:ascii="宋体" w:hAnsi="宋体" w:eastAsia="宋体" w:cs="宋体"/>
          <w:b/>
          <w:bCs/>
          <w:color w:val="000000"/>
          <w:sz w:val="24"/>
          <w:szCs w:val="24"/>
          <w:highlight w:val="none"/>
          <w:lang w:eastAsia="zh-CN"/>
        </w:rPr>
        <w:t xml:space="preserve">软件和信息技术服务业</w:t>
      </w:r>
      <w:r>
        <w:rPr>
          <w:rFonts w:hint="eastAsia" w:ascii="宋体" w:hAnsi="宋体" w:eastAsia="宋体" w:cs="宋体"/>
          <w:b/>
          <w:bCs/>
          <w:color w:val="000000"/>
          <w:sz w:val="24"/>
          <w:szCs w:val="24"/>
          <w:highlight w:val="none"/>
        </w:rPr>
        <w:t xml:space="preserve">，供应商应为中小微企业、监狱企业、残疾人福利性单位。</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3、本项目的特定资格要求：无。</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时间：自磋商文件公告发布之日起5个工作日。</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地点：“苏采云”系统自行下载采购文件。</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方式（网上报名）：</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（1）CA办理：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（2）参与采购活动：</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（3）电子投标准备：</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在系统操作过程中如有疑问，请按以下方式联系：</w:t>
      </w:r>
      <w:r>
        <w:rPr>
          <w:rFonts w:hint="eastAsia" w:ascii="宋体" w:hAnsi="宋体" w:eastAsia="宋体" w:cs="宋体"/>
          <w:color w:val="000000"/>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注册咨询：13914088964；</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售价：本项目免费下载电子采购文件。</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1、截止时间：</w:t>
      </w:r>
      <w:r>
        <w:rPr>
          <w:rFonts w:hint="eastAsia" w:ascii="宋体" w:hAnsi="宋体" w:eastAsia="宋体" w:cs="宋体"/>
          <w:b/>
          <w:bCs/>
          <w:color w:val="000000"/>
          <w:sz w:val="24"/>
          <w:szCs w:val="24"/>
          <w:highlight w:val="none"/>
        </w:rPr>
        <w:t xml:space="preserve">2026年</w:t>
      </w:r>
      <w:r>
        <w:rPr>
          <w:rFonts w:hint="eastAsia" w:ascii="宋体" w:hAnsi="宋体" w:eastAsia="宋体" w:cs="宋体"/>
          <w:b/>
          <w:bCs/>
          <w:color w:val="000000"/>
          <w:sz w:val="24"/>
          <w:szCs w:val="24"/>
          <w:highlight w:val="none"/>
        </w:rPr>
        <w:t xml:space="preserve">10月26</w:t>
      </w:r>
      <w:r>
        <w:rPr>
          <w:rFonts w:hint="eastAsia" w:ascii="宋体" w:hAnsi="宋体" w:eastAsia="宋体" w:cs="宋体"/>
          <w:b/>
          <w:bCs/>
          <w:color w:val="000000"/>
          <w:sz w:val="24"/>
          <w:szCs w:val="24"/>
          <w:highlight w:val="none"/>
        </w:rPr>
        <w:t xml:space="preserve">日13点30分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w:t>
      </w: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"http://jszfcg.jsczt.cn/）\“开标大厅\”。"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24"/>
          <w:highlight w:val="none"/>
        </w:rPr>
        <w:t xml:space="preserve">http：//jszfcg.jsczt.cn/）。</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3、方式：响应文件网上递交，不需要现场参加采购活动。</w:t>
      </w:r>
      <w:r>
        <w:rPr>
          <w:rFonts w:hint="eastAsia" w:ascii="宋体" w:hAnsi="宋体" w:eastAsia="宋体" w:cs="宋体"/>
          <w:color w:val="000000"/>
          <w:szCs w:val="24"/>
          <w:highlight w:val="none"/>
        </w:rPr>
      </w:r>
      <w:r/>
    </w:p>
    <w:p>
      <w:pPr>
        <w:pStyle w:val="969"/>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五、开启</w:t>
      </w:r>
      <w:r>
        <w:rPr>
          <w:rFonts w:hint="eastAsia" w:ascii="宋体" w:hAnsi="宋体" w:eastAsia="宋体" w:cs="宋体"/>
          <w:b/>
          <w:color w:val="000000"/>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
          <w:bCs/>
          <w:color w:val="000000"/>
          <w:sz w:val="24"/>
          <w:szCs w:val="24"/>
          <w:highlight w:val="none"/>
        </w:rPr>
        <w:t xml:space="preserve">2026年10</w:t>
      </w:r>
      <w:r>
        <w:rPr>
          <w:rFonts w:hint="eastAsia" w:ascii="宋体" w:hAnsi="宋体" w:eastAsia="宋体" w:cs="宋体"/>
          <w:b/>
          <w:bCs/>
          <w:color w:val="000000"/>
          <w:sz w:val="24"/>
          <w:szCs w:val="24"/>
          <w:highlight w:val="none"/>
        </w:rPr>
        <w:t xml:space="preserve">月26</w:t>
      </w:r>
      <w:r>
        <w:rPr>
          <w:rFonts w:hint="eastAsia" w:ascii="宋体" w:hAnsi="宋体" w:eastAsia="宋体" w:cs="宋体"/>
          <w:b/>
          <w:bCs/>
          <w:color w:val="000000"/>
          <w:sz w:val="24"/>
          <w:szCs w:val="24"/>
          <w:highlight w:val="none"/>
        </w:rPr>
        <w:t xml:space="preserve">日13点30分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3、线上参加开标（开启）会方式：供应商登录“苏采云”系统，点击“开标大厅”，选择对应项目，点击进入不见面开标系统。 </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本项目为不见面开标（开启）项目，</w:t>
      </w:r>
      <w:r>
        <w:rPr>
          <w:rFonts w:hint="eastAsia" w:ascii="宋体" w:hAnsi="宋体" w:eastAsia="宋体" w:cs="宋体"/>
          <w:b/>
          <w:bCs/>
          <w:color w:val="000000"/>
          <w:sz w:val="24"/>
          <w:szCs w:val="24"/>
          <w:highlight w:val="none"/>
        </w:rPr>
        <w:t xml:space="preserve">开启阶段供应商在【解密环节】必须使用 CA证书解密电子投标（响应）文件，如在“苏采云”系统规定的时间内未能成功解密的视为放弃参与本项目，投标无效。 </w:t>
      </w:r>
      <w:r>
        <w:rPr>
          <w:rFonts w:hint="eastAsia" w:ascii="宋体" w:hAnsi="宋体" w:eastAsia="宋体" w:cs="宋体"/>
          <w:b/>
          <w:bCs/>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请供应商确保电脑、系统及其他设备（视频输入输出设备等）无误，且开启直至项目结束始终保持系统在线状态。</w:t>
      </w:r>
      <w:r>
        <w:rPr>
          <w:rFonts w:hint="eastAsia" w:ascii="宋体" w:hAnsi="宋体" w:eastAsia="宋体" w:cs="宋体"/>
          <w:color w:val="000000"/>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七、其他补充事宜</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1、采购项目需要落实的政府采购政策：</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《关于政府采购支持监狱企业发展有关问题的通知》（财库〔2014〕68号）。</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《关于促进残疾人就业政府采购政策的通知》（财库〔2017〕141号）。</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、政府采购监督电话：0512-68616651。</w:t>
      </w:r>
      <w:r>
        <w:rPr>
          <w:rFonts w:hint="eastAsia" w:ascii="宋体" w:hAnsi="宋体" w:eastAsia="宋体" w:cs="宋体"/>
          <w:b/>
          <w:bCs/>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八、凡对本次采购提出询问，请按以下方式联系。</w:t>
      </w:r>
      <w:r>
        <w:rPr>
          <w:rFonts w:hint="eastAsia" w:ascii="宋体" w:hAnsi="宋体" w:eastAsia="宋体" w:cs="宋体"/>
          <w:b/>
          <w:bCs/>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1、采购人信息：</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rFonts w:hint="eastAsia" w:ascii="宋体" w:hAnsi="宋体" w:eastAsia="宋体"/>
          <w:color w:val="000000"/>
          <w:sz w:val="24"/>
          <w:szCs w:val="24"/>
          <w:highlight w:val="none"/>
          <w:lang w:eastAsia="zh-CN"/>
        </w:rPr>
        <w:t xml:space="preserve">苏州市姑苏区教育体育和文化旅游委员会</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hint="eastAsia" w:ascii="宋体" w:hAnsi="宋体" w:eastAsia="宋体" w:cs="Times New Roman"/>
          <w:color w:val="000000"/>
          <w:sz w:val="24"/>
          <w:szCs w:val="24"/>
          <w:highlight w:val="none"/>
          <w:lang w:eastAsia="zh-CN"/>
        </w:rPr>
        <w:t xml:space="preserve">苏州市姑苏区平川路510号</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w:t>
      </w:r>
      <w:r>
        <w:rPr>
          <w:rFonts w:hint="eastAsia" w:ascii="宋体" w:hAnsi="宋体" w:eastAsia="宋体" w:cs="Times New Roman"/>
          <w:color w:val="000000"/>
          <w:sz w:val="24"/>
          <w:szCs w:val="24"/>
          <w:highlight w:val="none"/>
          <w:lang w:eastAsia="zh-CN"/>
        </w:rPr>
        <w:t xml:space="preserve">电话13511605594。</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2、采购代理机构信息：</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名称：苏州正杰招投标咨询服务有限公司。</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地址：苏州市平泷路251号苏州城市生活广场B座1557室。</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联系方式：电话0512-62826523。</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3、项目联系方式</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w:t>
      </w:r>
      <w:r>
        <w:rPr>
          <w:rFonts w:ascii="宋体" w:hAnsi="宋体" w:eastAsia="宋体"/>
          <w:color w:val="000000"/>
          <w:sz w:val="24"/>
          <w:szCs w:val="24"/>
          <w:highlight w:val="none"/>
        </w:rPr>
      </w:r>
      <w:r/>
    </w:p>
    <w:p>
      <w:pPr>
        <w:pStyle w:val="94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项目联系人：沈敏华。</w:t>
      </w:r>
      <w:r>
        <w:rPr>
          <w:rFonts w:hint="eastAsia" w:ascii="宋体" w:hAnsi="宋体" w:eastAsia="宋体" w:cs="Times New Roman"/>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rFonts w:hint="eastAsia" w:ascii="宋体" w:hAnsi="宋体" w:eastAsia="宋体" w:cs="Times New Roman"/>
          <w:color w:val="000000"/>
          <w:sz w:val="24"/>
          <w:szCs w:val="24"/>
          <w:highlight w:val="none"/>
          <w:lang w:eastAsia="zh-CN"/>
        </w:rPr>
        <w:t xml:space="preserve">13511605594</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项目联系人：</w:t>
      </w:r>
      <w:r>
        <w:rPr>
          <w:rFonts w:hint="eastAsia" w:ascii="宋体" w:hAnsi="宋体" w:eastAsia="宋体" w:cs="宋体"/>
          <w:color w:val="000000"/>
          <w:sz w:val="24"/>
          <w:szCs w:val="24"/>
          <w:highlight w:val="none"/>
        </w:rPr>
        <w:t xml:space="preserve">沈鹰、陈晓梦、徐杰、刘木兰</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7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olor w:val="000000"/>
          <w:sz w:val="24"/>
          <w:szCs w:val="24"/>
          <w:highlight w:val="none"/>
        </w:rPr>
        <w:t xml:space="preserve">电话：0512-62826523。</w:t>
      </w: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numPr>
          <w:ilvl w:val="0"/>
          <w:numId w:val="1"/>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响应须知</w:t>
      </w:r>
      <w:r>
        <w:rPr>
          <w:rFonts w:hint="eastAsia" w:ascii="宋体" w:hAnsi="宋体" w:eastAsia="宋体" w:cs="宋体"/>
          <w:b/>
          <w:bCs/>
          <w:color w:val="000000"/>
          <w:sz w:val="24"/>
          <w:szCs w:val="24"/>
          <w:highlight w:val="none"/>
        </w:rPr>
      </w:r>
      <w:r/>
    </w:p>
    <w:p>
      <w:pPr>
        <w:pStyle w:val="97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1、总则</w:t>
      </w:r>
      <w:r>
        <w:rPr>
          <w:rFonts w:hint="eastAsia" w:ascii="宋体" w:hAnsi="宋体" w:eastAsia="宋体" w:cs="宋体"/>
          <w:b/>
          <w:bCs/>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1.1响应单位资格要求</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1.1.1详见第一章</w:t>
      </w:r>
      <w:r>
        <w:rPr>
          <w:rFonts w:hint="eastAsia" w:ascii="宋体" w:hAnsi="宋体" w:eastAsia="宋体" w:cs="宋体"/>
          <w:bCs/>
          <w:color w:val="000000"/>
          <w:sz w:val="24"/>
          <w:szCs w:val="24"/>
          <w:highlight w:val="none"/>
        </w:rPr>
        <w:t xml:space="preserve">竞争性磋商邀请函</w:t>
      </w:r>
      <w:r>
        <w:rPr>
          <w:rFonts w:hint="eastAsia" w:ascii="宋体" w:hAnsi="宋体" w:eastAsia="宋体" w:cs="宋体"/>
          <w:color w:val="000000"/>
          <w:sz w:val="24"/>
          <w:szCs w:val="24"/>
          <w:highlight w:val="none"/>
        </w:rPr>
        <w:t xml:space="preserve">中“二、申请人的资格要求”。</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1.1.2响应单位不得存在下列情形之一：</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1.1.3联合体投标：若第一章竞争性磋商邀请函规定接受联合体投标的，联合体除应符合上述资格要求外，还应遵守以下规定：</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943"/>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转包</w:t>
      </w:r>
      <w:r>
        <w:rPr>
          <w:rFonts w:hint="eastAsia" w:ascii="宋体" w:hAnsi="宋体" w:eastAsia="宋体" w:cs="宋体"/>
          <w:b/>
          <w:bCs/>
          <w:color w:val="000000"/>
          <w:sz w:val="24"/>
          <w:szCs w:val="24"/>
          <w:highlight w:val="none"/>
        </w:rPr>
      </w:r>
      <w:r/>
    </w:p>
    <w:p>
      <w:pPr>
        <w:pStyle w:val="943"/>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本项目不允许转包。</w:t>
      </w:r>
      <w:r>
        <w:rPr>
          <w:rFonts w:hint="eastAsia" w:ascii="宋体" w:hAnsi="宋体" w:eastAsia="宋体" w:cs="宋体"/>
          <w:color w:val="000000"/>
          <w:sz w:val="24"/>
          <w:szCs w:val="24"/>
          <w:highlight w:val="none"/>
        </w:rPr>
      </w:r>
      <w:r/>
    </w:p>
    <w:p>
      <w:pPr>
        <w:pStyle w:val="943"/>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1.3投标费用</w:t>
      </w:r>
      <w:r>
        <w:rPr>
          <w:rFonts w:hint="eastAsia" w:ascii="宋体" w:hAnsi="宋体" w:eastAsia="宋体" w:cs="宋体"/>
          <w:b/>
          <w:bCs/>
          <w:color w:val="000000"/>
          <w:sz w:val="24"/>
          <w:szCs w:val="24"/>
          <w:highlight w:val="none"/>
        </w:rPr>
      </w:r>
      <w:r/>
    </w:p>
    <w:p>
      <w:pPr>
        <w:pStyle w:val="943"/>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1.3.1供应商应自行承担所有准备及参加投标的相关费用。</w:t>
      </w:r>
      <w:r>
        <w:rPr>
          <w:rFonts w:hint="eastAsia" w:ascii="宋体" w:hAnsi="宋体" w:eastAsia="宋体" w:cs="宋体"/>
          <w:color w:val="000000"/>
          <w:sz w:val="24"/>
          <w:szCs w:val="24"/>
          <w:highlight w:val="none"/>
        </w:rPr>
      </w:r>
      <w:r/>
    </w:p>
    <w:p>
      <w:pPr>
        <w:pStyle w:val="943"/>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保密</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highlight w:val="none"/>
        </w:rPr>
      </w:r>
      <w:r/>
    </w:p>
    <w:p>
      <w:pPr>
        <w:pStyle w:val="943"/>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语言文字</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1.6计量单位</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1.7知识产权</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见第一章竞争性磋商邀请函。</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2.3.4采购文件的澄清、修改、补充等内容均以苏州市政府采购网上发布的内容为准。</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3.1磋商保证金：无。</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3.2.1封面；</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3.2.2开标一览表（格式见第三章）；</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3.2.3磋商响应明细报价表（格式见第三章）；</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3.2.4资格审查响应文件：</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3.2.4.1供应商的资格要求：</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（2）具有良好的商业信誉和健全的财务会计制度的材料：包括但不限于法人提供2025年度经审计的财务报告或基本开户银行在本年度内出具的资信证明复印件；</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（3）具有履行合同所必需的设备和专业技术能力的证明材料复印件或承诺；</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（5）参加政府采购活动前三年内，在经营活动中没有出现重大违法记录的书面声明函；</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3.2.4.2其他有关资格证明的文件（若有）。</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3.2.5符合性审查响应文件：</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3.2.5.1磋商响应函（格式见第三章）；</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3.2.5.2关于资格文件的声明函（格式见第三章）；</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3.2.5.3法定代表人身份证复印件；</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3.2.5.4法定代表人授权委托书及授权委托人身份证复印件（如有授权，格式见第三章）；</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3.2.5.5未被“信用中国”及“中国政府采购网”列入失信被执行人、重大税收违法案件当事人名单、政府采购严重失信行为记录名单的查询记录页面截图；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3.2.5.6对属于《节能产品政府采购品目清单》政府强制采购产品的，须提供该产品有效期内的认证等相关证明材料（若有）；</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3.2.5.7其他有关符合性证明的文件（若有）。</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3.2.6综合评审响应文件（见第六章）；</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3.2.7与本次采购相关的其他证明材料。</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以上3.2.2-3.2.3项为供应商报价的依据，响应供应商必须提供并加盖电子公章，否则，磋商响应文件将被认定为未实质性响应。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以上3.2.5.1-3.2.5.4为符合性审查必须提供的资料，响应供应商必须提供并加盖电子公章，否则，磋商响应文件将被认定为未实质性响应。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制作电子响应文件时需与响应文件制作软件目录一一对应，将相关资料上传至相应模块。</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highlight w:val="none"/>
        </w:rPr>
      </w:r>
      <w:r/>
    </w:p>
    <w:p>
      <w:pPr>
        <w:pStyle w:val="943"/>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color w:val="000000"/>
          <w:highlight w:val="none"/>
        </w:rPr>
      </w:pPr>
      <w:r>
        <w:rPr>
          <w:rFonts w:hint="eastAsia" w:ascii="宋体" w:hAnsi="宋体" w:eastAsia="宋体" w:cs="宋体"/>
          <w:b/>
          <w:color w:val="000000"/>
          <w:sz w:val="24"/>
          <w:szCs w:val="24"/>
          <w:highlight w:val="none"/>
        </w:rPr>
        <w:t xml:space="preserve">如不同供应商使用同一台电脑制作的电子响应文件的，双方“文件制作机器码”一致的，则其响应文件将被认定为无效响应。</w:t>
      </w:r>
      <w:r>
        <w:rPr>
          <w:rFonts w:hint="eastAsia" w:ascii="宋体" w:hAnsi="宋体" w:eastAsia="宋体" w:cs="宋体"/>
          <w:color w:val="000000"/>
          <w:highlight w:val="none"/>
        </w:rPr>
      </w:r>
      <w:r/>
    </w:p>
    <w:p>
      <w:pPr>
        <w:pStyle w:val="943"/>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rPr>
          <w:rFonts w:hint="eastAsia" w:ascii="宋体" w:hAnsi="宋体" w:eastAsia="宋体" w:cs="宋体"/>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3.3.3供应商应对所投项目的全部内容进行报价，只对其中部分内容报价的，其响应无效。</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3.3.4一项采购内容只允许一个报价，任何有选择性响应报价的，其响应无效。</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3.2.5响应文件报价中的单价和总价全部采用人民币表示，除非另有规定。</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3.3.6任意一次报价（包括首次报价、最后报价）超过磋商文件中规定的预算金额或者最高限价的，其响应文件按无效文件处理。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3.3.8报价的大写金额和小写金额不一致的，以大写金额为准。</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3.3.9单价金额小数点或者百分比有明显错位的，以该次报价总价为准。</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3.3.10总价金额与按单价汇总金额不一致的，以单价金额计算结果为准。</w:t>
      </w:r>
      <w:r>
        <w:rPr>
          <w:rFonts w:hint="eastAsia" w:ascii="宋体" w:hAnsi="宋体" w:eastAsia="宋体" w:cs="宋体"/>
          <w:color w:val="000000"/>
          <w:sz w:val="24"/>
          <w:szCs w:val="24"/>
          <w:highlight w:val="none"/>
        </w:rPr>
      </w:r>
      <w:r/>
    </w:p>
    <w:p>
      <w:pPr>
        <w:pStyle w:val="943"/>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rPr>
          <w:rFonts w:hint="eastAsia" w:ascii="宋体" w:hAnsi="宋体" w:eastAsia="宋体" w:cs="宋体"/>
          <w:b/>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3.4.3响应文件未按照磋商文件要求加盖CA电子公章的，响应无效。</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3.5响应文件的开启（解密）</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3.5.1线上参加（观看）开标（开启）会方式：登录苏采云系统，点击“开标大厅”，选择对应项目。</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rPr>
        <w:t xml:space="preserve">否则导致的对供应商不利的后果由供应商自行承担。</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bookmarkStart w:id="2" w:name="_Hlk154589874"/>
      <w:r>
        <w:rPr>
          <w:rFonts w:hint="eastAsia" w:ascii="宋体" w:hAnsi="宋体" w:eastAsia="宋体" w:cs="宋体"/>
          <w:b/>
          <w:bCs/>
          <w:color w:val="000000"/>
          <w:sz w:val="24"/>
          <w:szCs w:val="24"/>
          <w:highlight w:val="none"/>
        </w:rPr>
        <w:t xml:space="preserve">3.5.3供应商在苏采云系统规定的时间内未成功解密电子响应文件的，响应无效。</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bookmarkEnd w:id="2"/>
      <w:r>
        <w:rPr>
          <w:rFonts w:hint="eastAsia" w:ascii="宋体" w:hAnsi="宋体" w:eastAsia="宋体" w:cs="宋体"/>
          <w:color w:val="000000"/>
          <w:sz w:val="24"/>
          <w:szCs w:val="24"/>
          <w:highlight w:val="none"/>
        </w:rPr>
        <w:t xml:space="preserve">3.5.5 CA技术咨询服务电话：400-608-6099；</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3.6响应文件的修改和撤回</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rPr>
          <w:rFonts w:hint="eastAsia" w:ascii="宋体" w:hAnsi="宋体" w:eastAsia="宋体" w:cs="宋体"/>
          <w:b/>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rPr>
          <w:rFonts w:hint="eastAsia" w:ascii="宋体" w:hAnsi="宋体" w:eastAsia="宋体" w:cs="宋体"/>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rPr>
          <w:rFonts w:hint="eastAsia" w:ascii="宋体" w:hAnsi="宋体" w:eastAsia="宋体" w:cs="宋体"/>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（2）查询渠道：通过“信用中国”及“中国政府采购网” 上的信用信息查询供应商的信用记录。</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hint="eastAsia" w:ascii="宋体" w:hAnsi="宋体" w:eastAsia="宋体" w:cs="宋体"/>
          <w:color w:val="000000"/>
          <w:sz w:val="24"/>
          <w:szCs w:val="24"/>
          <w:highlight w:val="none"/>
        </w:rPr>
      </w:r>
      <w:r/>
    </w:p>
    <w:p>
      <w:pPr>
        <w:pStyle w:val="943"/>
        <w:ind w:firstLine="4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rPr>
        <w:t xml:space="preserve">信用记录属于应依法拒绝供应商参加政府采购的失信信息，存在此类失信信息</w:t>
      </w:r>
      <w:r>
        <w:rPr>
          <w:rFonts w:hint="eastAsia" w:ascii="宋体" w:hAnsi="宋体" w:eastAsia="宋体" w:cs="宋体"/>
          <w:b/>
          <w:color w:val="000000"/>
          <w:sz w:val="24"/>
          <w:szCs w:val="24"/>
          <w:highlight w:val="none"/>
        </w:rPr>
        <w:t xml:space="preserve">的供应商的响应文件应按无效文件处理。</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4.4.1本项目采用线上澄清。</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w:t>
      </w:r>
      <w:r>
        <w:rPr>
          <w:rFonts w:hint="eastAsia" w:ascii="宋体" w:hAnsi="宋体" w:eastAsia="宋体" w:cs="宋体"/>
          <w:color w:val="000000"/>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rPr>
      </w:r>
      <w:r/>
    </w:p>
    <w:p>
      <w:pPr>
        <w:pStyle w:val="943"/>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rPr>
          <w:rFonts w:hint="eastAsia" w:ascii="宋体" w:hAnsi="宋体" w:eastAsia="宋体" w:cs="宋体"/>
          <w:b/>
          <w:color w:val="000000"/>
          <w:sz w:val="24"/>
          <w:szCs w:val="24"/>
          <w:highlight w:val="none"/>
        </w:rPr>
      </w:r>
      <w:r/>
    </w:p>
    <w:p>
      <w:pPr>
        <w:pStyle w:val="943"/>
        <w:ind w:left="5" w:firstLine="518"/>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rPr>
          <w:rFonts w:hint="eastAsia" w:ascii="宋体" w:hAnsi="宋体" w:eastAsia="宋体" w:cs="宋体"/>
          <w:color w:val="000000"/>
          <w:sz w:val="24"/>
          <w:szCs w:val="24"/>
          <w:highlight w:val="none"/>
          <w:lang w:val="zh-CN"/>
        </w:rPr>
      </w:r>
      <w:r/>
    </w:p>
    <w:p>
      <w:pPr>
        <w:pStyle w:val="943"/>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943"/>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43"/>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w:t>
      </w:r>
      <w:r>
        <w:rPr>
          <w:rFonts w:ascii="宋体" w:hAnsi="宋体" w:eastAsia="宋体" w:cs="宋体"/>
          <w:color w:val="000000"/>
          <w:sz w:val="24"/>
          <w:szCs w:val="24"/>
          <w:highlight w:val="none"/>
        </w:rPr>
        <w:t xml:space="preserve">评审过程中出现下列情形之一的，评审委员会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应当启动异常低价投标（响应）审查程序：</w:t>
      </w:r>
      <w:r>
        <w:rPr>
          <w:rFonts w:ascii="宋体" w:hAnsi="宋体" w:eastAsia="宋体" w:cs="宋体"/>
          <w:color w:val="000000"/>
          <w:sz w:val="24"/>
          <w:szCs w:val="24"/>
          <w:highlight w:val="none"/>
        </w:rPr>
      </w:r>
      <w:r/>
    </w:p>
    <w:p>
      <w:pPr>
        <w:pStyle w:val="943"/>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43"/>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43"/>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③投标(响应)报价低于采购项目最高限价45％的，即投标(响应)报价＜采购项目最高限价×45％；</w:t>
      </w:r>
      <w:r>
        <w:rPr>
          <w:rFonts w:hint="eastAsia" w:ascii="宋体" w:hAnsi="宋体" w:eastAsia="宋体" w:cs="宋体"/>
          <w:color w:val="000000"/>
          <w:sz w:val="24"/>
          <w:szCs w:val="24"/>
          <w:highlight w:val="none"/>
        </w:rPr>
      </w:r>
      <w:r/>
    </w:p>
    <w:p>
      <w:pPr>
        <w:pStyle w:val="943"/>
        <w:ind w:left="5" w:firstLine="518"/>
        <w:spacing w:line="360" w:lineRule="auto"/>
        <w:tabs>
          <w:tab w:val="left" w:pos="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④评审委员会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基于专业判断，认为供应商报价过低，有可能影响产品质量或者不能诚信履约的其他情形</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43"/>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4.5.6异常低价投标（响应）审查的启动原因、审查意见和审查结果应当在评审报告中记录，并随供应商提供的相关书面说明及证明材料等一并归档。</w:t>
      </w:r>
      <w:r>
        <w:rPr>
          <w:rFonts w:hint="eastAsia" w:ascii="宋体" w:hAnsi="宋体" w:eastAsia="宋体" w:cs="宋体"/>
          <w:color w:val="000000"/>
          <w:sz w:val="24"/>
          <w:szCs w:val="24"/>
          <w:highlight w:val="none"/>
        </w:rPr>
      </w:r>
      <w:r/>
    </w:p>
    <w:p>
      <w:pPr>
        <w:pStyle w:val="108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color w:val="000000"/>
          <w:sz w:val="24"/>
          <w:szCs w:val="24"/>
          <w:highlight w:val="none"/>
        </w:rPr>
      </w:r>
      <w:r/>
    </w:p>
    <w:p>
      <w:pPr>
        <w:pStyle w:val="1085"/>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4.5.8未在规定时间提交最后报价的，响应文件按无效处理。</w:t>
      </w:r>
      <w:r>
        <w:rPr>
          <w:rFonts w:hint="eastAsia" w:ascii="宋体" w:hAnsi="宋体" w:eastAsia="宋体" w:cs="宋体"/>
          <w:color w:val="000000"/>
          <w:sz w:val="24"/>
          <w:szCs w:val="24"/>
          <w:highlight w:val="none"/>
        </w:rPr>
      </w:r>
      <w:r/>
    </w:p>
    <w:p>
      <w:pPr>
        <w:pStyle w:val="1085"/>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4.5.9在规定时间内提交最后报价的供应商少于3家的，项目终止。</w:t>
      </w:r>
      <w:r>
        <w:rPr>
          <w:rFonts w:hint="eastAsia" w:ascii="宋体" w:hAnsi="宋体" w:eastAsia="宋体" w:cs="宋体"/>
          <w:color w:val="000000"/>
          <w:sz w:val="24"/>
          <w:szCs w:val="24"/>
          <w:highlight w:val="none"/>
        </w:rPr>
      </w:r>
      <w:r/>
    </w:p>
    <w:p>
      <w:pPr>
        <w:pStyle w:val="108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4.5.10如磋商过程中出现本磋商文件未尽事宜，由磋商小组根据政府采购有关法律、法规讨论决定。</w:t>
      </w:r>
      <w:r>
        <w:rPr>
          <w:rFonts w:hint="eastAsia" w:ascii="宋体" w:hAnsi="宋体" w:eastAsia="宋体" w:cs="宋体"/>
          <w:color w:val="000000"/>
          <w:sz w:val="24"/>
          <w:szCs w:val="24"/>
          <w:highlight w:val="none"/>
        </w:rPr>
      </w:r>
      <w:r/>
    </w:p>
    <w:p>
      <w:pPr>
        <w:pStyle w:val="943"/>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5.成交</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rPr>
          <w:rFonts w:hint="eastAsia" w:ascii="宋体" w:hAnsi="宋体" w:eastAsia="宋体" w:cs="宋体"/>
          <w:color w:val="000000"/>
          <w:sz w:val="24"/>
          <w:szCs w:val="24"/>
          <w:highlight w:val="none"/>
        </w:rPr>
      </w:r>
      <w:r/>
    </w:p>
    <w:p>
      <w:pPr>
        <w:pStyle w:val="108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5.2本项目由采购人书面授权磋商小组直接确定成交供应商，并将结果通知所有参加磋商的供应商。</w:t>
      </w:r>
      <w:r>
        <w:rPr>
          <w:rFonts w:hint="eastAsia" w:ascii="宋体" w:hAnsi="宋体" w:eastAsia="宋体" w:cs="宋体"/>
          <w:color w:val="000000"/>
          <w:sz w:val="24"/>
          <w:szCs w:val="24"/>
          <w:highlight w:val="none"/>
        </w:rPr>
      </w:r>
      <w:r/>
    </w:p>
    <w:p>
      <w:pPr>
        <w:pStyle w:val="108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szCs w:val="24"/>
          <w:highlight w:val="none"/>
        </w:rPr>
      </w:r>
      <w:r/>
    </w:p>
    <w:p>
      <w:pPr>
        <w:pStyle w:val="108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5.4采购人或采购代理机构根据相关规定发布成交公告，成交公告发出的同时应当向成交供应商发出《成交通知书》</w:t>
      </w:r>
      <w:bookmarkStart w:id="3" w:name="_Hlk132385577"/>
      <w:r/>
      <w:bookmarkStart w:id="4" w:name="_Hlk132385599"/>
      <w:r/>
      <w:bookmarkStart w:id="5" w:name="_Hlk132389804"/>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5.5成交通知书发出后，采购人不得违法改变成交结果，成交供应商无正当理由不得放弃成交。</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6.履约保证金：</w:t>
      </w:r>
      <w:r>
        <w:rPr>
          <w:rFonts w:hint="eastAsia" w:ascii="宋体" w:hAnsi="宋体" w:eastAsia="宋体" w:cs="宋体"/>
          <w:b/>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见第五章合同文本履约保证金条款。</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8.1采购人应当自成交通知书发出之日起15日内（最迟30日内</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，按照采购文件及响应文件规定与成交单位签订书面合同。</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8.5成交供应商无正当理由不得放弃成交。</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9.1质疑及答复遵守《政府采购质疑和投诉办法》（中华人民共和国财政部令第94号）规定。</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rPr>
          <w:rFonts w:hint="eastAsia" w:ascii="宋体" w:hAnsi="宋体" w:eastAsia="宋体" w:cs="宋体"/>
          <w:b/>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highlight w:val="none"/>
        </w:rPr>
      </w:r>
      <w:r/>
    </w:p>
    <w:p>
      <w:pPr>
        <w:pStyle w:val="943"/>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11.代理服务费：本项目代理服务费</w:t>
      </w:r>
      <w:r>
        <w:rPr>
          <w:rFonts w:hint="eastAsia" w:ascii="宋体" w:hAnsi="宋体" w:eastAsia="宋体" w:cs="宋体"/>
          <w:b/>
          <w:color w:val="000000"/>
          <w:sz w:val="24"/>
          <w:szCs w:val="24"/>
          <w:highlight w:val="none"/>
          <w:lang w:val="en-US" w:eastAsia="zh-CN"/>
        </w:rPr>
        <w:t xml:space="preserve">由采购人支付。</w:t>
      </w:r>
      <w:r>
        <w:rPr>
          <w:rFonts w:hint="eastAsia" w:ascii="宋体" w:hAnsi="宋体" w:eastAsia="宋体" w:cs="宋体"/>
          <w:b/>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11.1代理服务费以采购预算金额为基数依据，按如下规定的标准和差额定率累进法进行计算</w:t>
      </w:r>
      <w:r>
        <w:rPr>
          <w:rFonts w:hint="eastAsia" w:ascii="宋体" w:hAnsi="宋体" w:eastAsia="宋体" w:cs="宋体"/>
          <w:bCs/>
          <w:color w:val="000000"/>
          <w:sz w:val="24"/>
          <w:szCs w:val="24"/>
          <w:highlight w:val="none"/>
          <w:lang w:val="en-US" w:eastAsia="zh-CN"/>
        </w:rPr>
        <w:t xml:space="preserve">折价</w:t>
      </w:r>
      <w:r>
        <w:rPr>
          <w:rFonts w:hint="eastAsia" w:ascii="宋体" w:hAnsi="宋体" w:eastAsia="宋体" w:cs="宋体"/>
          <w:bCs/>
          <w:color w:val="000000"/>
          <w:sz w:val="24"/>
          <w:szCs w:val="24"/>
          <w:highlight w:val="none"/>
        </w:rPr>
        <w:t xml:space="preserve">收取：</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1000万元部分，费率为该部分预算金额的0.8％；</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5000万元部分，费率为该部分预算金额的0.5％；</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rPr>
          <w:rFonts w:hint="eastAsia" w:ascii="宋体" w:hAnsi="宋体" w:eastAsia="宋体" w:cs="宋体"/>
          <w:bCs/>
          <w:color w:val="000000"/>
          <w:sz w:val="24"/>
          <w:szCs w:val="24"/>
          <w:highlight w:val="none"/>
        </w:rPr>
      </w:r>
      <w:r/>
    </w:p>
    <w:p>
      <w:pPr>
        <w:pStyle w:val="943"/>
        <w:ind w:firstLine="52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本项目代理服务费（人民币）：</w:t>
      </w:r>
      <w:r>
        <w:rPr>
          <w:rFonts w:hint="eastAsia" w:ascii="宋体" w:hAnsi="宋体" w:eastAsia="宋体" w:cs="宋体"/>
          <w:b/>
          <w:bCs w:val="0"/>
          <w:color w:val="000000"/>
          <w:sz w:val="24"/>
          <w:szCs w:val="24"/>
          <w:highlight w:val="none"/>
          <w:lang w:val="en-US" w:eastAsia="zh-CN"/>
        </w:rPr>
        <w:t xml:space="preserve">10000</w:t>
      </w:r>
      <w:r>
        <w:rPr>
          <w:rFonts w:hint="eastAsia" w:ascii="宋体" w:hAnsi="宋体" w:eastAsia="宋体" w:cs="宋体"/>
          <w:b/>
          <w:bCs w:val="0"/>
          <w:color w:val="000000"/>
          <w:sz w:val="24"/>
          <w:szCs w:val="24"/>
          <w:highlight w:val="none"/>
        </w:rPr>
        <w:t xml:space="preserve">.00元。</w:t>
      </w:r>
      <w:r>
        <w:rPr>
          <w:rFonts w:hint="eastAsia" w:ascii="宋体" w:hAnsi="宋体" w:eastAsia="宋体" w:cs="宋体"/>
          <w:b/>
          <w:bCs w:val="0"/>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11.2采购代理机构服务费账号如下：</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收款单位：苏州正杰招投标咨询服务有限公司。</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银行账号：89190154740002582。</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开户银行：上海浦东发展银行苏州姑苏支行。</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w:t>
      </w:r>
      <w:r>
        <w:rPr>
          <w:rFonts w:hint="eastAsia" w:ascii="宋体" w:hAnsi="宋体" w:eastAsia="宋体" w:cs="宋体"/>
          <w:color w:val="000000"/>
          <w:sz w:val="24"/>
          <w:szCs w:val="24"/>
          <w:highlight w:val="none"/>
        </w:rPr>
        <w:t xml:space="preserve">代理服务费由成交供应商在领取成交通知书时一次性付清并含在其响应报价中。</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11.4成交单位如果未按上述规定缴纳成交服务费，采购代理机构将保留诉讼的权利。</w:t>
      </w:r>
      <w:r>
        <w:rPr>
          <w:rFonts w:hint="eastAsia" w:ascii="宋体" w:hAnsi="宋体" w:eastAsia="宋体" w:cs="宋体"/>
          <w:bCs/>
          <w:color w:val="000000"/>
          <w:sz w:val="24"/>
          <w:szCs w:val="24"/>
          <w:highlight w:val="none"/>
        </w:rPr>
      </w:r>
      <w:r/>
    </w:p>
    <w:p>
      <w:pPr>
        <w:pStyle w:val="943"/>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专家评审费：本项目</w:t>
      </w:r>
      <w:r>
        <w:rPr>
          <w:rFonts w:hint="eastAsia" w:ascii="宋体" w:hAnsi="宋体" w:eastAsia="宋体" w:cs="宋体"/>
          <w:b/>
          <w:bCs w:val="0"/>
          <w:color w:val="000000"/>
          <w:sz w:val="24"/>
          <w:szCs w:val="24"/>
          <w:highlight w:val="none"/>
        </w:rPr>
        <w:t xml:space="preserve">专家评审费</w:t>
      </w:r>
      <w:r>
        <w:rPr>
          <w:rFonts w:hint="eastAsia" w:ascii="宋体" w:hAnsi="宋体" w:eastAsia="宋体" w:cs="宋体"/>
          <w:b/>
          <w:bCs w:val="0"/>
          <w:color w:val="000000"/>
          <w:sz w:val="24"/>
          <w:szCs w:val="24"/>
          <w:highlight w:val="none"/>
          <w:lang w:val="en-US" w:eastAsia="zh-CN"/>
        </w:rPr>
        <w:t xml:space="preserve">由采购人承担。</w:t>
      </w:r>
      <w:r>
        <w:rPr>
          <w:rFonts w:hint="eastAsia" w:ascii="宋体" w:hAnsi="宋体" w:eastAsia="宋体" w:cs="宋体"/>
          <w:b/>
          <w:color w:val="000000"/>
          <w:sz w:val="24"/>
          <w:szCs w:val="24"/>
          <w:highlight w:val="none"/>
        </w:rPr>
      </w:r>
      <w:r/>
    </w:p>
    <w:p>
      <w:pPr>
        <w:pStyle w:val="943"/>
        <w:ind w:firstLine="52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其他事项</w:t>
      </w:r>
      <w:r>
        <w:rPr>
          <w:rFonts w:ascii="宋体" w:hAnsi="宋体" w:eastAsia="宋体" w:cs="宋体"/>
          <w:b/>
          <w:color w:val="000000"/>
          <w:sz w:val="24"/>
          <w:szCs w:val="24"/>
          <w:highlight w:val="none"/>
        </w:rPr>
      </w:r>
      <w:r/>
    </w:p>
    <w:p>
      <w:pPr>
        <w:pStyle w:val="943"/>
        <w:ind w:firstLine="51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按《中华人民共和国政府采购法》及其他有关法律法规的规定执行。</w:t>
      </w:r>
      <w:r>
        <w:rPr>
          <w:rFonts w:ascii="宋体" w:hAnsi="宋体" w:eastAsia="宋体" w:cs="宋体"/>
          <w:color w:val="000000"/>
          <w:sz w:val="24"/>
          <w:szCs w:val="24"/>
          <w:highlight w:val="none"/>
        </w:rPr>
      </w:r>
      <w:r/>
    </w:p>
    <w:p>
      <w:pPr>
        <w:pStyle w:val="969"/>
        <w:ind w:firstLine="0"/>
        <w:jc w:val="center"/>
        <w:spacing w:line="360" w:lineRule="auto"/>
        <w:rPr>
          <w:rFonts w:hint="eastAsia" w:ascii="宋体" w:hAnsi="宋体" w:eastAsia="宋体" w:cs="宋体"/>
          <w:b/>
          <w:color w:val="000000"/>
          <w:szCs w:val="24"/>
          <w:highlight w:val="none"/>
        </w:rPr>
        <w:sectPr>
          <w:footerReference w:type="default" r:id="rId15"/>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color w:val="000000"/>
          <w:szCs w:val="24"/>
          <w:highlight w:val="none"/>
        </w:rPr>
      </w:r>
      <w:r/>
    </w:p>
    <w:p>
      <w:pPr>
        <w:pStyle w:val="969"/>
        <w:ind w:firstLine="0"/>
        <w:jc w:val="center"/>
        <w:spacing w:line="360" w:lineRule="auto"/>
        <w:rPr>
          <w:rFonts w:hint="eastAsia" w:ascii="宋体" w:hAnsi="宋体" w:eastAsia="宋体" w:cs="宋体"/>
          <w:b/>
          <w:color w:val="000000"/>
          <w:szCs w:val="24"/>
          <w:highlight w:val="none"/>
          <w:lang w:val="zh-CN"/>
        </w:rPr>
      </w:pPr>
      <w:r>
        <w:rPr>
          <w:rFonts w:hint="eastAsia" w:ascii="宋体" w:hAnsi="宋体" w:eastAsia="宋体" w:cs="宋体"/>
          <w:b/>
          <w:color w:val="000000"/>
          <w:szCs w:val="24"/>
          <w:highlight w:val="none"/>
        </w:rPr>
        <w:t xml:space="preserve">第三章  </w:t>
      </w:r>
      <w:r>
        <w:rPr>
          <w:rFonts w:hint="eastAsia" w:ascii="宋体" w:hAnsi="宋体" w:eastAsia="宋体" w:cs="宋体"/>
          <w:b/>
          <w:color w:val="000000"/>
          <w:szCs w:val="24"/>
          <w:highlight w:val="none"/>
          <w:lang w:val="zh-CN"/>
        </w:rPr>
        <w:t xml:space="preserve">响应文件格式</w:t>
      </w:r>
      <w:r>
        <w:rPr>
          <w:rFonts w:hint="eastAsia" w:ascii="宋体" w:hAnsi="宋体" w:eastAsia="宋体" w:cs="宋体"/>
          <w:b/>
          <w:color w:val="000000"/>
          <w:szCs w:val="24"/>
          <w:highlight w:val="none"/>
          <w:lang w:val="zh-CN"/>
        </w:rPr>
      </w:r>
      <w:r/>
    </w:p>
    <w:p>
      <w:pPr>
        <w:pStyle w:val="969"/>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1、磋商响应函</w:t>
      </w:r>
      <w:r>
        <w:rPr>
          <w:rFonts w:hint="eastAsia" w:ascii="宋体" w:hAnsi="宋体" w:eastAsia="宋体" w:cs="宋体"/>
          <w:b/>
          <w:bCs/>
          <w:color w:val="000000"/>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苏州正杰招投标咨询服务有限公司：</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我们收到贵公司</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号采购文件，经仔细阅读和研究，我们决定参加采购活动。</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rPr>
        <w:t xml:space="preserve">1、我们愿意按照采购文件的一切要求，提供完成该项目的全部内容，我们的报价包括</w:t>
      </w:r>
      <w:r>
        <w:rPr>
          <w:rFonts w:hint="eastAsia" w:hAnsi="宋体" w:eastAsia="宋体" w:cs="宋体"/>
          <w:color w:val="000000"/>
          <w:sz w:val="24"/>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rPr>
      </w:r>
      <w:r/>
    </w:p>
    <w:p>
      <w:pPr>
        <w:pStyle w:val="1051"/>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2、如果我们的响应文件被接受，我们将严格履行采购文件中规定的每一项要求，按期、按质、按量履行合同的义务。</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3、我们同意按采购文件规定，响应文件有效期限为自</w:t>
      </w:r>
      <w:r>
        <w:rPr>
          <w:rFonts w:hint="eastAsia" w:hAnsi="宋体" w:eastAsia="宋体" w:cs="宋体"/>
          <w:bCs/>
          <w:color w:val="000000"/>
          <w:sz w:val="24"/>
          <w:szCs w:val="24"/>
          <w:highlight w:val="none"/>
          <w:lang w:val="zh-CN"/>
        </w:rPr>
        <w:t xml:space="preserve">响应文件提交截止之日</w:t>
      </w:r>
      <w:r>
        <w:rPr>
          <w:rFonts w:hint="eastAsia" w:hAnsi="宋体" w:eastAsia="宋体" w:cs="宋体"/>
          <w:color w:val="000000"/>
          <w:sz w:val="24"/>
          <w:szCs w:val="24"/>
          <w:highlight w:val="none"/>
        </w:rPr>
        <w:t xml:space="preserve">起</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天。如果我们在开标后规定的有效期内撤回，我们愿承担一切责任。</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5、我们认为你们有权决定供应商，还认为你们有权接受或拒绝所有的供应商。</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6、我们愿意遵守采购文件中所列的收费标准。</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7、我们承诺本响应文件在磋商开始后的全过程中保持有效，不作任何更改和变动。我们同意</w:t>
      </w:r>
      <w:r>
        <w:rPr>
          <w:rFonts w:hint="eastAsia" w:hAnsi="宋体" w:eastAsia="宋体" w:cs="宋体"/>
          <w:color w:val="000000"/>
          <w:sz w:val="24"/>
          <w:szCs w:val="24"/>
          <w:highlight w:val="none"/>
          <w:lang w:val="zh-CN"/>
        </w:rPr>
        <w:t xml:space="preserve">成交</w:t>
      </w:r>
      <w:r>
        <w:rPr>
          <w:rFonts w:hint="eastAsia" w:hAnsi="宋体" w:eastAsia="宋体" w:cs="宋体"/>
          <w:color w:val="000000"/>
          <w:sz w:val="24"/>
          <w:szCs w:val="24"/>
          <w:highlight w:val="none"/>
        </w:rPr>
        <w:t xml:space="preserve">后若不履行响应文件的内容要求和各项承诺及义务的即被视为违约，我们愿承担一切责任。</w:t>
      </w:r>
      <w:r>
        <w:rPr>
          <w:rFonts w:hint="eastAsia" w:hAnsi="宋体" w:eastAsia="宋体" w:cs="宋体"/>
          <w:color w:val="000000"/>
          <w:sz w:val="24"/>
          <w:szCs w:val="24"/>
          <w:highlight w:val="none"/>
        </w:rPr>
      </w:r>
      <w:r/>
    </w:p>
    <w:p>
      <w:pPr>
        <w:pStyle w:val="1051"/>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8、如果我们成交，我们愿意在签订合同时按采购文件的规定支付成交服务费。</w:t>
      </w:r>
      <w:r>
        <w:rPr>
          <w:rFonts w:hint="eastAsia" w:hAnsi="宋体" w:eastAsia="宋体" w:cs="宋体"/>
          <w:color w:val="000000"/>
          <w:sz w:val="24"/>
          <w:szCs w:val="24"/>
          <w:highlight w:val="none"/>
        </w:rPr>
      </w:r>
      <w:r/>
    </w:p>
    <w:p>
      <w:pPr>
        <w:pStyle w:val="1051"/>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10、与本次磋商有关的通讯地址：</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单位名称：                                 联系人员：</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单位地址：                                 邮政编码：</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联系电话：                                 传真号码：</w:t>
      </w:r>
      <w:r>
        <w:rPr>
          <w:rFonts w:hint="eastAsia" w:hAnsi="宋体" w:eastAsia="宋体" w:cs="宋体"/>
          <w:color w:val="000000"/>
          <w:sz w:val="24"/>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供应商：（单位盖章）                       电子邮箱：</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43"/>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2、</w:t>
      </w:r>
      <w:r>
        <w:rPr>
          <w:rFonts w:hint="eastAsia" w:ascii="宋体" w:hAnsi="宋体" w:eastAsia="宋体" w:cs="宋体"/>
          <w:b/>
          <w:color w:val="000000"/>
          <w:sz w:val="24"/>
          <w:szCs w:val="24"/>
          <w:highlight w:val="none"/>
          <w:lang w:val="zh-CN"/>
        </w:rPr>
        <w:t xml:space="preserve">法定代表人授权委托书</w:t>
      </w:r>
      <w:r>
        <w:rPr>
          <w:rFonts w:hint="eastAsia" w:ascii="宋体" w:hAnsi="宋体" w:eastAsia="宋体" w:cs="宋体"/>
          <w:b/>
          <w:color w:val="000000"/>
          <w:sz w:val="24"/>
          <w:szCs w:val="24"/>
          <w:highlight w:val="none"/>
          <w:lang w:val="zh-CN"/>
        </w:rPr>
      </w:r>
      <w:r/>
    </w:p>
    <w:p>
      <w:pPr>
        <w:pStyle w:val="969"/>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4"/>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本授权委托书声明：我</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（姓名）系</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（供应商名称）的法定代表人，现授权委托</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（姓名为我公司代理人，以本公司的名义参加</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（采购人名称）组织实施的编号为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rPr>
          <w:rFonts w:hint="eastAsia" w:hAnsi="宋体" w:eastAsia="宋体" w:cs="宋体"/>
          <w:color w:val="000000"/>
          <w:sz w:val="24"/>
          <w:szCs w:val="24"/>
          <w:highlight w:val="none"/>
        </w:rPr>
      </w:r>
      <w:r/>
    </w:p>
    <w:p>
      <w:pPr>
        <w:pStyle w:val="1074"/>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hAnsi="宋体" w:eastAsia="宋体" w:cs="宋体"/>
          <w:color w:val="000000"/>
          <w:sz w:val="24"/>
          <w:szCs w:val="24"/>
          <w:highlight w:val="none"/>
        </w:rPr>
      </w:r>
      <w:r/>
    </w:p>
    <w:p>
      <w:pPr>
        <w:pStyle w:val="1074"/>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代理人无转委托权。特此委托。</w:t>
      </w:r>
      <w:r>
        <w:rPr>
          <w:rFonts w:hint="eastAsia" w:hAnsi="宋体" w:eastAsia="宋体" w:cs="宋体"/>
          <w:color w:val="000000"/>
          <w:sz w:val="24"/>
          <w:szCs w:val="24"/>
          <w:highlight w:val="none"/>
        </w:rPr>
      </w:r>
      <w:r/>
    </w:p>
    <w:p>
      <w:pPr>
        <w:pStyle w:val="1074"/>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rPr>
      </w:r>
      <w:r/>
    </w:p>
    <w:p>
      <w:pPr>
        <w:pStyle w:val="1015"/>
        <w:ind w:firstLine="480"/>
        <w:jc w:val="both"/>
        <w:spacing w:line="360" w:lineRule="auto"/>
        <w:rPr>
          <w:rFonts w:cs="宋体"/>
          <w:color w:val="000000"/>
          <w:highlight w:val="none"/>
        </w:rPr>
      </w:pPr>
      <w:r>
        <w:rPr>
          <w:rFonts w:cs="宋体"/>
          <w:color w:val="000000"/>
          <w:highlight w:val="none"/>
        </w:rPr>
        <w:t xml:space="preserve">供应商（单位盖章）：</w:t>
      </w:r>
      <w:r>
        <w:rPr>
          <w:rFonts w:cs="宋体"/>
          <w:color w:val="000000"/>
          <w:highlight w:val="none"/>
        </w:rPr>
      </w:r>
      <w:r/>
    </w:p>
    <w:p>
      <w:pPr>
        <w:pStyle w:val="1015"/>
        <w:ind w:firstLine="480"/>
        <w:jc w:val="both"/>
        <w:spacing w:line="360" w:lineRule="auto"/>
        <w:rPr>
          <w:rFonts w:cs="宋体"/>
          <w:color w:val="000000"/>
          <w:highlight w:val="none"/>
        </w:rPr>
      </w:pPr>
      <w:r>
        <w:rPr>
          <w:rFonts w:cs="宋体"/>
          <w:color w:val="000000"/>
          <w:highlight w:val="none"/>
        </w:rPr>
        <w:t xml:space="preserve">法定代表人（签字或盖章）：</w:t>
      </w:r>
      <w:r>
        <w:rPr>
          <w:rFonts w:cs="宋体"/>
          <w:color w:val="000000"/>
          <w:highlight w:val="none"/>
        </w:rPr>
      </w:r>
      <w:r/>
    </w:p>
    <w:p>
      <w:pPr>
        <w:pStyle w:val="1015"/>
        <w:ind w:firstLine="480"/>
        <w:jc w:val="both"/>
        <w:spacing w:line="360" w:lineRule="auto"/>
        <w:rPr>
          <w:rFonts w:cs="宋体"/>
          <w:color w:val="000000"/>
          <w:highlight w:val="none"/>
        </w:rPr>
      </w:pPr>
      <w:r>
        <w:rPr>
          <w:rFonts w:cs="宋体"/>
          <w:color w:val="000000"/>
          <w:highlight w:val="none"/>
        </w:rPr>
        <w:t xml:space="preserve">代理人（签字或盖章）：</w:t>
      </w:r>
      <w:r>
        <w:rPr>
          <w:rFonts w:cs="宋体"/>
          <w:color w:val="000000"/>
          <w:highlight w:val="none"/>
        </w:rPr>
      </w:r>
      <w:r/>
    </w:p>
    <w:p>
      <w:pPr>
        <w:pStyle w:val="1015"/>
        <w:ind w:firstLine="480"/>
        <w:jc w:val="both"/>
        <w:spacing w:line="360" w:lineRule="auto"/>
        <w:rPr>
          <w:rFonts w:cs="宋体"/>
          <w:color w:val="000000"/>
          <w:highlight w:val="none"/>
        </w:rPr>
      </w:pPr>
      <w:r>
        <w:rPr>
          <w:rFonts w:cs="宋体"/>
          <w:color w:val="000000"/>
          <w:highlight w:val="none"/>
        </w:rPr>
        <w:t xml:space="preserve">日 期： </w:t>
      </w:r>
      <w:r>
        <w:rPr>
          <w:rFonts w:cs="宋体"/>
          <w:color w:val="000000"/>
          <w:highlight w:val="none"/>
        </w:rPr>
      </w:r>
      <w:r/>
    </w:p>
    <w:p>
      <w:pPr>
        <w:pStyle w:val="943"/>
        <w:ind w:firstLine="5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9"/>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注：本授权委托书仅限于法人性质供应商投标，响应文件中必须提供法定代表人和代理人身份证复印件。非法人性质供应商投标，授权委托书格式自拟，但必须同时提供受托双方身份证复印件。</w:t>
      </w:r>
      <w:r>
        <w:rPr>
          <w:rFonts w:hint="eastAsia" w:ascii="宋体" w:hAnsi="宋体" w:eastAsia="宋体" w:cs="宋体"/>
          <w:b/>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t xml:space="preserve">3、关于资格文件的声明函</w:t>
      </w:r>
      <w:r>
        <w:rPr>
          <w:rFonts w:hint="eastAsia" w:ascii="宋体" w:hAnsi="宋体" w:eastAsia="宋体" w:cs="宋体"/>
          <w:b/>
          <w:bCs/>
          <w:color w:val="000000"/>
          <w:szCs w:val="24"/>
          <w:highlight w:val="none"/>
        </w:rPr>
      </w:r>
      <w:r/>
    </w:p>
    <w:p>
      <w:pPr>
        <w:pStyle w:val="969"/>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苏州正杰招投标咨询服务有限公司：</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项目编号为_________号的采购活动进行响应。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69"/>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4、开标一览表</w:t>
      </w:r>
      <w:r>
        <w:rPr>
          <w:rFonts w:hint="eastAsia" w:ascii="宋体" w:hAnsi="宋体" w:eastAsia="宋体" w:cs="宋体"/>
          <w:b/>
          <w:bCs/>
          <w:color w:val="000000"/>
          <w:szCs w:val="24"/>
          <w:highlight w:val="none"/>
        </w:rPr>
      </w:r>
      <w:r/>
    </w:p>
    <w:p>
      <w:pPr>
        <w:pStyle w:val="94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开标一览表（投标总价）</w:t>
      </w:r>
      <w:r>
        <w:rPr>
          <w:rFonts w:hint="eastAsia" w:ascii="宋体" w:hAnsi="宋体" w:eastAsia="宋体" w:cs="宋体"/>
          <w:b/>
          <w:color w:val="000000"/>
          <w:sz w:val="24"/>
          <w:szCs w:val="24"/>
          <w:highlight w:val="none"/>
        </w:rPr>
      </w:r>
      <w:r/>
    </w:p>
    <w:tbl>
      <w:tblPr>
        <w:tblW w:w="495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投标总价</w:t>
            </w:r>
            <w:r>
              <w:rPr>
                <w:rFonts w:hint="eastAsia" w:ascii="宋体" w:hAnsi="宋体" w:eastAsia="宋体" w:cs="宋体"/>
                <w:color w:val="000000"/>
                <w:sz w:val="24"/>
                <w:szCs w:val="24"/>
                <w:highlight w:val="none"/>
              </w:rPr>
            </w:r>
            <w:r/>
          </w:p>
        </w:tc>
      </w:tr>
      <w:tr>
        <w:trPr>
          <w:cantSplit/>
          <w:trHeight w:val="960"/>
        </w:trPr>
        <w:tc>
          <w:tcPr>
            <w:tcW w:w="1361" w:type="dxa"/>
            <w:vAlign w:val="center"/>
            <w:textDirection w:val="lrTb"/>
            <w:noWrap w:val="false"/>
          </w:tcPr>
          <w:p>
            <w:pPr>
              <w:pStyle w:val="943"/>
              <w:spacing w:line="360" w:lineRule="auto"/>
              <w:rPr>
                <w:rFonts w:hint="eastAsia" w:ascii="宋体" w:hAnsi="宋体" w:eastAsia="宋体" w:cs="宋体"/>
                <w:color w:val="000000"/>
                <w:sz w:val="24"/>
                <w:szCs w:val="24"/>
                <w:highlight w:val="none"/>
              </w:rPr>
            </w:pPr>
            <w:r/>
            <w:bookmarkStart w:id="6" w:name="XMMC"/>
            <w:r/>
            <w:bookmarkEnd w:id="6"/>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4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人民币小写：</w:t>
            </w:r>
            <w:bookmarkStart w:id="7" w:name="JEXX"/>
            <w:r/>
            <w:bookmarkEnd w:id="7"/>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bl>
    <w:p>
      <w:pPr>
        <w:pStyle w:val="94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供应商（单位盖章）：</w:t>
      </w:r>
      <w:r>
        <w:rPr>
          <w:rFonts w:hint="eastAsia" w:hAnsi="宋体" w:eastAsia="宋体" w:cs="宋体"/>
          <w:color w:val="000000"/>
          <w:sz w:val="24"/>
          <w:szCs w:val="24"/>
          <w:highlight w:val="none"/>
        </w:rPr>
      </w:r>
      <w:r/>
    </w:p>
    <w:p>
      <w:pPr>
        <w:pStyle w:val="984"/>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984"/>
        <w:ind w:firstLine="480"/>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lang w:val="zh-CN"/>
        </w:rPr>
      </w:r>
      <w:r/>
    </w:p>
    <w:p>
      <w:pPr>
        <w:pStyle w:val="1082"/>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2"/>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2"/>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2"/>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br w:type="page" w:clear="all"/>
      </w:r>
      <w:r>
        <w:rPr>
          <w:rFonts w:hint="eastAsia" w:hAnsi="宋体" w:eastAsia="宋体" w:cs="宋体"/>
          <w:b/>
          <w:bCs/>
          <w:color w:val="000000"/>
          <w:sz w:val="24"/>
          <w:szCs w:val="24"/>
          <w:highlight w:val="none"/>
        </w:rPr>
        <w:t xml:space="preserve">5、磋商响应明细报价表</w:t>
      </w:r>
      <w:r>
        <w:rPr>
          <w:rFonts w:hint="eastAsia" w:hAnsi="宋体" w:eastAsia="宋体" w:cs="宋体"/>
          <w:b/>
          <w:bCs/>
          <w:color w:val="000000"/>
          <w:sz w:val="24"/>
          <w:szCs w:val="24"/>
          <w:highlight w:val="none"/>
        </w:rPr>
      </w:r>
      <w:r/>
    </w:p>
    <w:p>
      <w:pPr>
        <w:pStyle w:val="1082"/>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项目磋商响应明细报价表</w:t>
      </w:r>
      <w:r>
        <w:rPr>
          <w:rFonts w:hint="eastAsia" w:hAnsi="宋体" w:eastAsia="宋体" w:cs="宋体"/>
          <w:color w:val="000000"/>
          <w:sz w:val="24"/>
          <w:szCs w:val="24"/>
          <w:highlight w:val="none"/>
        </w:rPr>
      </w:r>
      <w:r/>
    </w:p>
    <w:tbl>
      <w:tblPr>
        <w:tblW w:w="96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3780"/>
        <w:gridCol w:w="870"/>
        <w:gridCol w:w="810"/>
        <w:gridCol w:w="990"/>
        <w:gridCol w:w="1050"/>
        <w:gridCol w:w="1189"/>
      </w:tblGrid>
      <w:tr>
        <w:trPr>
          <w:trHeight w:val="567"/>
        </w:trPr>
        <w:tc>
          <w:tcPr>
            <w:tcW w:w="965"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费用条目</w:t>
            </w:r>
            <w:r>
              <w:rPr>
                <w:rFonts w:hint="eastAsia" w:ascii="宋体" w:hAnsi="宋体" w:eastAsia="宋体" w:cs="宋体"/>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单价</w:t>
            </w: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总价</w:t>
            </w: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gridSpan w:val="2"/>
            <w:tcW w:w="4745" w:type="dxa"/>
            <w:vAlign w:val="center"/>
            <w:textDirection w:val="lrTb"/>
            <w:noWrap w:val="false"/>
          </w:tcPr>
          <w:p>
            <w:pPr>
              <w:pStyle w:val="969"/>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合计金额</w:t>
            </w:r>
            <w:r>
              <w:rPr>
                <w:rFonts w:hint="eastAsia" w:ascii="宋体" w:hAnsi="宋体" w:eastAsia="宋体" w:cs="宋体"/>
                <w:color w:val="000000"/>
                <w:szCs w:val="24"/>
                <w:highlight w:val="none"/>
              </w:rPr>
            </w:r>
            <w:r/>
          </w:p>
        </w:tc>
        <w:tc>
          <w:tcPr>
            <w:gridSpan w:val="5"/>
            <w:tcW w:w="4909" w:type="dxa"/>
            <w:vAlign w:val="center"/>
            <w:textDirection w:val="lrTb"/>
            <w:noWrap w:val="false"/>
          </w:tcPr>
          <w:p>
            <w:pPr>
              <w:pStyle w:val="969"/>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人民币</w:t>
            </w:r>
            <w:r>
              <w:rPr>
                <w:rFonts w:hint="eastAsia" w:ascii="宋体" w:hAnsi="宋体" w:eastAsia="宋体" w:cs="宋体"/>
                <w:color w:val="000000"/>
                <w:szCs w:val="24"/>
                <w:highlight w:val="none"/>
                <w:u w:val="single"/>
              </w:rPr>
              <w:t xml:space="preserve">（大写）</w:t>
            </w:r>
            <w:r>
              <w:rPr>
                <w:rFonts w:hint="eastAsia" w:ascii="宋体" w:hAnsi="宋体" w:eastAsia="宋体" w:cs="宋体"/>
                <w:color w:val="000000"/>
                <w:szCs w:val="24"/>
                <w:highlight w:val="none"/>
              </w:rPr>
              <w:t xml:space="preserve">元（¥</w:t>
            </w:r>
            <w:r>
              <w:rPr>
                <w:rFonts w:hint="eastAsia" w:ascii="宋体" w:hAnsi="宋体" w:eastAsia="宋体" w:cs="宋体"/>
                <w:color w:val="000000"/>
                <w:szCs w:val="24"/>
                <w:highlight w:val="none"/>
                <w:u w:val="single"/>
              </w:rPr>
              <w:t xml:space="preserve">（小写）</w:t>
            </w:r>
            <w:r>
              <w:rPr>
                <w:rFonts w:hint="eastAsia" w:ascii="宋体" w:hAnsi="宋体" w:eastAsia="宋体" w:cs="宋体"/>
                <w:color w:val="000000"/>
                <w:szCs w:val="24"/>
                <w:highlight w:val="none"/>
              </w:rPr>
              <w:t xml:space="preserve">元）</w:t>
            </w:r>
            <w:r>
              <w:rPr>
                <w:rFonts w:hint="eastAsia" w:ascii="宋体" w:hAnsi="宋体" w:eastAsia="宋体" w:cs="宋体"/>
                <w:color w:val="000000"/>
                <w:szCs w:val="24"/>
                <w:highlight w:val="none"/>
              </w:rPr>
            </w:r>
            <w:r/>
          </w:p>
        </w:tc>
      </w:tr>
    </w:tbl>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1、供应商应根据此表格式按项目分别填写报价详细清单，如表格内容不够，可自行添加。</w:t>
      </w:r>
      <w:r>
        <w:rPr>
          <w:rFonts w:hint="eastAsia" w:ascii="宋体" w:hAnsi="宋体" w:eastAsia="宋体" w:cs="宋体"/>
          <w:color w:val="000000"/>
          <w:szCs w:val="24"/>
          <w:highlight w:val="none"/>
        </w:rPr>
      </w:r>
      <w:r/>
    </w:p>
    <w:p>
      <w:pPr>
        <w:pStyle w:val="969"/>
        <w:ind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2、供应商须对全部采购内容进行报价。本表中合计金额应与“开标一览表”投标总价一致，否则，以《开标一览表》为准。</w:t>
      </w:r>
      <w:r>
        <w:rPr>
          <w:rFonts w:hint="eastAsia" w:ascii="宋体" w:hAnsi="宋体" w:eastAsia="宋体" w:cs="宋体"/>
          <w:color w:val="000000"/>
          <w:szCs w:val="24"/>
          <w:highlight w:val="none"/>
        </w:rPr>
      </w:r>
      <w:r/>
    </w:p>
    <w:p>
      <w:pPr>
        <w:pStyle w:val="969"/>
        <w:ind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3、报价包括</w:t>
      </w:r>
      <w:r>
        <w:rPr>
          <w:rFonts w:hint="eastAsia" w:ascii="宋体" w:hAnsi="宋体" w:eastAsia="宋体" w:cs="宋体"/>
          <w:color w:val="000000"/>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84"/>
        <w:ind w:firstLine="480"/>
        <w:jc w:val="left"/>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r>
      <w:r/>
    </w:p>
    <w:p>
      <w:pPr>
        <w:pStyle w:val="984"/>
        <w:jc w:val="left"/>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984"/>
        <w:jc w:val="left"/>
        <w:spacing w:line="360" w:lineRule="auto"/>
        <w:rPr>
          <w:rFonts w:hint="eastAsia" w:hAnsi="宋体" w:eastAsia="宋体" w:cs="宋体"/>
          <w:b/>
          <w:bCs/>
          <w:color w:val="000000"/>
          <w:sz w:val="24"/>
          <w:szCs w:val="24"/>
          <w:highlight w:val="none"/>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hAnsi="宋体" w:eastAsia="宋体" w:cs="宋体"/>
          <w:b/>
          <w:bCs/>
          <w:color w:val="000000"/>
          <w:sz w:val="24"/>
          <w:szCs w:val="24"/>
          <w:highlight w:val="none"/>
        </w:rPr>
      </w:r>
      <w:r/>
    </w:p>
    <w:p>
      <w:pPr>
        <w:pStyle w:val="984"/>
        <w:jc w:val="left"/>
        <w:spacing w:line="360" w:lineRule="auto"/>
        <w:rPr>
          <w:rFonts w:hint="eastAsia" w:hAnsi="宋体" w:eastAsia="宋体" w:cs="宋体"/>
          <w:b/>
          <w:color w:val="000000"/>
          <w:sz w:val="24"/>
          <w:szCs w:val="24"/>
          <w:highlight w:val="none"/>
          <w:lang w:val="zh-CN"/>
        </w:rPr>
      </w:pPr>
      <w:r>
        <w:rPr>
          <w:rFonts w:hint="eastAsia" w:hAnsi="宋体" w:eastAsia="宋体" w:cs="宋体"/>
          <w:b/>
          <w:color w:val="000000"/>
          <w:sz w:val="24"/>
          <w:szCs w:val="24"/>
          <w:highlight w:val="none"/>
        </w:rPr>
        <w:t xml:space="preserve">6</w:t>
      </w:r>
      <w:r>
        <w:rPr>
          <w:rFonts w:hint="eastAsia" w:hAnsi="宋体" w:eastAsia="宋体" w:cs="宋体"/>
          <w:b/>
          <w:color w:val="000000"/>
          <w:sz w:val="24"/>
          <w:szCs w:val="24"/>
          <w:highlight w:val="none"/>
          <w:lang w:val="zh-CN"/>
        </w:rPr>
        <w:t xml:space="preserve">、中小企业声明函</w:t>
      </w:r>
      <w:r>
        <w:rPr>
          <w:rFonts w:hint="eastAsia" w:hAnsi="宋体" w:eastAsia="宋体" w:cs="宋体"/>
          <w:b/>
          <w:color w:val="000000"/>
          <w:sz w:val="24"/>
          <w:szCs w:val="24"/>
          <w:highlight w:val="none"/>
          <w:lang w:val="zh-CN"/>
        </w:rPr>
      </w:r>
      <w:r/>
    </w:p>
    <w:p>
      <w:pPr>
        <w:pStyle w:val="943"/>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苏州正杰招投标咨询服务有限公司</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lang w:val="zh-CN"/>
        </w:rPr>
        <w:t xml:space="preserve">（单位名称）</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3"/>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3"/>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lang w:val="zh-CN"/>
        </w:rPr>
      </w:r>
      <w:r/>
    </w:p>
    <w:p>
      <w:pPr>
        <w:pStyle w:val="943"/>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hint="eastAsia" w:ascii="宋体" w:hAnsi="宋体" w:eastAsia="宋体" w:cs="宋体"/>
          <w:color w:val="000000"/>
          <w:sz w:val="24"/>
          <w:szCs w:val="24"/>
          <w:highlight w:val="none"/>
          <w:lang w:val="zh-CN"/>
        </w:rPr>
      </w:r>
      <w:r/>
    </w:p>
    <w:p>
      <w:pPr>
        <w:pStyle w:val="943"/>
        <w:ind w:firstLine="49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企业名称（盖章）：</w:t>
      </w:r>
      <w:r>
        <w:rPr>
          <w:rFonts w:hint="eastAsia" w:ascii="宋体" w:hAnsi="宋体" w:eastAsia="宋体" w:cs="宋体"/>
          <w:color w:val="000000"/>
          <w:sz w:val="24"/>
          <w:szCs w:val="24"/>
          <w:highlight w:val="none"/>
          <w:lang w:val="zh-CN"/>
        </w:rPr>
      </w:r>
      <w:r/>
    </w:p>
    <w:p>
      <w:pPr>
        <w:pStyle w:val="943"/>
        <w:ind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r>
      <w:r/>
    </w:p>
    <w:p>
      <w:pPr>
        <w:pStyle w:val="943"/>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943"/>
        <w:ind w:firstLine="480"/>
        <w:spacing w:line="44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5、成交供应商为中小企业的，《中小企业声明函》将随成交结果同时公告。</w:t>
      </w: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附：中小企业划型标准规定</w:t>
      </w:r>
      <w:r>
        <w:rPr>
          <w:rFonts w:hint="eastAsia" w:ascii="宋体" w:hAnsi="宋体" w:eastAsia="宋体" w:cs="宋体"/>
          <w:b/>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94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43"/>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7、残疾人福利性单位声明函</w:t>
      </w:r>
      <w:r>
        <w:rPr>
          <w:rFonts w:hint="eastAsia" w:ascii="宋体" w:hAnsi="宋体" w:eastAsia="宋体" w:cs="宋体"/>
          <w:b/>
          <w:bCs/>
          <w:color w:val="000000"/>
          <w:sz w:val="24"/>
          <w:szCs w:val="24"/>
          <w:highlight w:val="none"/>
        </w:rPr>
      </w:r>
      <w:r/>
    </w:p>
    <w:p>
      <w:pPr>
        <w:pStyle w:val="94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4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本单位对上述声明的真实性负责。如有虚假，将依法承担相应责任。</w:t>
      </w:r>
      <w:r>
        <w:rPr>
          <w:rFonts w:hint="eastAsia" w:ascii="宋体" w:hAnsi="宋体" w:eastAsia="宋体" w:cs="宋体"/>
          <w:color w:val="000000"/>
          <w:sz w:val="24"/>
          <w:szCs w:val="24"/>
          <w:highlight w:val="none"/>
        </w:rPr>
      </w:r>
      <w:r/>
    </w:p>
    <w:p>
      <w:pPr>
        <w:pStyle w:val="94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第四章 采购需求</w:t>
      </w:r>
      <w:r>
        <w:rPr>
          <w:rFonts w:hint="eastAsia" w:ascii="宋体" w:hAnsi="宋体" w:eastAsia="宋体" w:cs="宋体"/>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bookmarkStart w:id="8" w:name="_Toc13642116"/>
      <w:r>
        <w:rPr>
          <w:rFonts w:hint="eastAsia" w:ascii="宋体" w:hAnsi="宋体" w:eastAsia="宋体" w:cs="宋体"/>
          <w:bCs/>
          <w:color w:val="000000"/>
          <w:sz w:val="24"/>
          <w:szCs w:val="24"/>
          <w:highlight w:val="none"/>
        </w:rPr>
        <w:t xml:space="preserve">苏州正杰招投标咨询服务有限公司受</w:t>
      </w:r>
      <w:r>
        <w:rPr>
          <w:rFonts w:hint="eastAsia" w:ascii="宋体" w:hAnsi="宋体" w:eastAsia="宋体" w:cs="宋体"/>
          <w:bCs/>
          <w:color w:val="000000"/>
          <w:sz w:val="24"/>
          <w:szCs w:val="24"/>
          <w:highlight w:val="none"/>
          <w:lang w:eastAsia="zh-CN"/>
        </w:rPr>
        <w:t xml:space="preserve">苏州市姑苏区教育体育和文化旅游委员会</w:t>
      </w:r>
      <w:r>
        <w:rPr>
          <w:rFonts w:hint="eastAsia" w:ascii="宋体" w:hAnsi="宋体" w:eastAsia="宋体" w:cs="宋体"/>
          <w:bCs/>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2026年姑苏智慧教育云运营服务</w:t>
      </w:r>
      <w:r>
        <w:rPr>
          <w:rFonts w:hint="eastAsia" w:ascii="宋体" w:hAnsi="宋体" w:eastAsia="宋体" w:cs="宋体"/>
          <w:color w:val="000000"/>
          <w:sz w:val="24"/>
          <w:szCs w:val="24"/>
          <w:highlight w:val="none"/>
        </w:rPr>
        <w:t xml:space="preserve">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一、项目编号：</w:t>
      </w:r>
      <w:r>
        <w:rPr>
          <w:rFonts w:hint="eastAsia" w:ascii="宋体" w:hAnsi="宋体" w:eastAsia="宋体" w:cs="宋体"/>
          <w:b/>
          <w:bCs/>
          <w:color w:val="000000"/>
          <w:sz w:val="24"/>
          <w:szCs w:val="24"/>
          <w:highlight w:val="none"/>
          <w:lang w:eastAsia="zh-CN"/>
        </w:rPr>
        <w:t xml:space="preserve">JSZC-320508-SZZJ-C2026-0032</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943"/>
        <w:ind w:firstLine="472"/>
        <w:spacing w:line="360" w:lineRule="auto"/>
        <w:rPr>
          <w:rFonts w:hint="eastAsia" w:ascii="宋体" w:hAnsi="宋体" w:eastAsia="宋体" w:cs="宋体"/>
          <w:b/>
          <w:bCs/>
          <w:color w:val="000000"/>
          <w:sz w:val="24"/>
          <w:szCs w:val="24"/>
          <w:highlight w:val="none"/>
        </w:rPr>
      </w:pPr>
      <w:r/>
      <w:bookmarkEnd w:id="8"/>
      <w:r>
        <w:rPr>
          <w:rFonts w:hint="eastAsia" w:ascii="宋体" w:hAnsi="宋体" w:eastAsia="宋体" w:cs="宋体"/>
          <w:b/>
          <w:bCs/>
          <w:color w:val="000000"/>
          <w:sz w:val="24"/>
          <w:szCs w:val="24"/>
          <w:highlight w:val="none"/>
        </w:rPr>
        <w:t xml:space="preserve">二、采购需求：</w:t>
      </w:r>
      <w:r>
        <w:rPr>
          <w:rFonts w:hint="eastAsia" w:ascii="宋体" w:hAnsi="宋体" w:eastAsia="宋体" w:cs="宋体"/>
          <w:b/>
          <w:bCs/>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（一）采购内容</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姑苏区智慧教育大数据运营服务项目旨在，为姑苏智慧教育往期、苏慧教育教学资源管理、智慧体育综合监管等系统提供运维保障，对学业大数据、教育决策大数据、教师招聘、职称评定、人才考核、幼儿招生等业务平台提供运营服务，提供姑苏区老年大学在线报名平台项目租赁服务，实现教育数据价值最大化利用，满足教育决策、教学改进和教育研究的需求，提升教育质量和效果。</w:t>
      </w:r>
      <w:r>
        <w:rPr>
          <w:rFonts w:hint="eastAsia" w:ascii="宋体" w:hAnsi="宋体" w:eastAsia="宋体" w:cs="宋体"/>
          <w:color w:val="000000"/>
          <w:sz w:val="24"/>
          <w:szCs w:val="24"/>
          <w:highlight w:val="none"/>
          <w:lang w:val="en-US"/>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（二）服务对象</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姑苏区义务教育阶段中小学师生</w:t>
      </w:r>
      <w:r>
        <w:rPr>
          <w:rFonts w:hint="eastAsia" w:ascii="宋体" w:hAnsi="宋体" w:eastAsia="宋体" w:cs="宋体"/>
          <w:color w:val="000000"/>
          <w:sz w:val="24"/>
          <w:szCs w:val="24"/>
          <w:highlight w:val="none"/>
          <w:lang w:val="en-US" w:eastAsia="zh-CN"/>
        </w:rPr>
        <w:t xml:space="preserve">、老年大学师生及教体文旅管理者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（三）采购清单</w:t>
      </w:r>
      <w:r>
        <w:rPr>
          <w:rFonts w:hint="eastAsia" w:ascii="宋体" w:hAnsi="宋体" w:eastAsia="宋体" w:cs="宋体"/>
          <w:color w:val="000000"/>
          <w:sz w:val="24"/>
          <w:szCs w:val="24"/>
          <w:highlight w:val="none"/>
          <w:lang w:val="en-US"/>
        </w:rPr>
      </w:r>
      <w:r/>
    </w:p>
    <w:tbl>
      <w:tblPr>
        <w:tblW w:w="4999" w:type="pct"/>
        <w:tblInd w:w="-108" w:type="dxa"/>
        <w:tblLayout w:type="fixed"/>
        <w:tblCellMar>
          <w:left w:w="108" w:type="dxa"/>
          <w:top w:w="0" w:type="dxa"/>
          <w:right w:w="108" w:type="dxa"/>
          <w:bottom w:w="0" w:type="dxa"/>
        </w:tblCellMar>
        <w:tblLook w:val="04A0" w:firstRow="1" w:lastRow="0" w:firstColumn="1" w:lastColumn="0" w:noHBand="0" w:noVBand="1"/>
      </w:tblPr>
      <w:tblGrid>
        <w:gridCol w:w="852"/>
        <w:gridCol w:w="3650"/>
        <w:gridCol w:w="4476"/>
        <w:gridCol w:w="875"/>
      </w:tblGrid>
      <w:tr>
        <w:trPr>
          <w:trHeight w:val="312"/>
        </w:trPr>
        <w:tc>
          <w:tcPr>
            <w:shd w:val="clear" w:color="000000" w:fill="d9d9d9"/>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val="false"/>
          </w:tcPr>
          <w:p>
            <w:pPr>
              <w:pStyle w:val="94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shd w:val="clear" w:color="000000" w:fill="d9d9d9"/>
            <w:tcBorders>
              <w:top w:val="single" w:color="000000" w:sz="4" w:space="0"/>
              <w:left w:val="single" w:color="000000" w:sz="4" w:space="0"/>
              <w:bottom w:val="single" w:color="000000" w:sz="4" w:space="0"/>
              <w:right w:val="single" w:color="000000" w:sz="4" w:space="0"/>
            </w:tcBorders>
            <w:tcW w:w="1852" w:type="dxa"/>
            <w:vAlign w:val="center"/>
            <w:vMerge w:val="restart"/>
            <w:textDirection w:val="lrTb"/>
            <w:noWrap w:val="false"/>
          </w:tcPr>
          <w:p>
            <w:pPr>
              <w:pStyle w:val="94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rPr>
            </w:r>
            <w:r/>
          </w:p>
        </w:tc>
        <w:tc>
          <w:tcPr>
            <w:shd w:val="clear" w:color="000000" w:fill="d9d9d9"/>
            <w:tcBorders>
              <w:top w:val="single" w:color="000000" w:sz="4" w:space="0"/>
              <w:left w:val="single" w:color="000000" w:sz="4" w:space="0"/>
              <w:bottom w:val="single" w:color="000000" w:sz="4" w:space="0"/>
              <w:right w:val="single" w:color="000000" w:sz="4" w:space="0"/>
            </w:tcBorders>
            <w:tcW w:w="2271" w:type="dxa"/>
            <w:vAlign w:val="center"/>
            <w:vMerge w:val="restart"/>
            <w:textDirection w:val="lrTb"/>
            <w:noWrap w:val="false"/>
          </w:tcPr>
          <w:p>
            <w:pPr>
              <w:pStyle w:val="94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shd w:val="clear" w:color="000000" w:fill="d9d9d9"/>
            <w:tcBorders>
              <w:top w:val="single" w:color="000000" w:sz="4" w:space="0"/>
              <w:left w:val="single" w:color="000000" w:sz="4" w:space="0"/>
              <w:bottom w:val="single" w:color="000000" w:sz="4" w:space="0"/>
              <w:right w:val="single" w:color="000000" w:sz="4" w:space="0"/>
            </w:tcBorders>
            <w:tcW w:w="444" w:type="dxa"/>
            <w:vAlign w:val="center"/>
            <w:vMerge w:val="restart"/>
            <w:textDirection w:val="lrTb"/>
            <w:noWrap w:val="false"/>
          </w:tcPr>
          <w:p>
            <w:pPr>
              <w:pStyle w:val="94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94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tcPr>
          <w:p>
            <w:pPr>
              <w:pStyle w:val="969"/>
              <w:ind w:left="0"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2026年姑苏智慧教育云运营服务</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271" w:type="dxa"/>
            <w:vAlign w:val="center"/>
            <w:textDirection w:val="lrTb"/>
            <w:noWrap w:val="false"/>
          </w:tcPr>
          <w:p>
            <w:pPr>
              <w:pStyle w:val="969"/>
              <w:ind w:left="0"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姑苏区姑苏智慧</w:t>
            </w:r>
            <w:r>
              <w:rPr>
                <w:rFonts w:hint="eastAsia" w:ascii="宋体" w:hAnsi="宋体" w:eastAsia="宋体" w:cs="宋体"/>
                <w:color w:val="000000"/>
                <w:sz w:val="24"/>
                <w:szCs w:val="24"/>
                <w:highlight w:val="none"/>
                <w:lang w:val="en-US" w:eastAsia="zh-CN"/>
              </w:rPr>
              <w:t xml:space="preserve">教育往</w:t>
            </w:r>
            <w:r>
              <w:rPr>
                <w:rFonts w:hint="eastAsia" w:ascii="宋体" w:hAnsi="宋体" w:eastAsia="宋体" w:cs="宋体"/>
                <w:color w:val="000000"/>
                <w:sz w:val="24"/>
                <w:szCs w:val="24"/>
                <w:highlight w:val="none"/>
              </w:rPr>
              <w:t xml:space="preserve">期、苏慧教育教学资源管理、智慧体育综合监管等系统</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运维保障；</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学业大数据、决策大数据、教师招聘、职称评定、人才考核、幼儿招生相关业务平台运营</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；提供姑苏区老年大学在线报名平台项目租赁服务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43"/>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1年</w:t>
            </w:r>
            <w:r>
              <w:rPr>
                <w:rFonts w:hint="eastAsia" w:ascii="宋体" w:hAnsi="宋体" w:eastAsia="宋体" w:cs="宋体"/>
                <w:color w:val="000000"/>
                <w:sz w:val="24"/>
                <w:szCs w:val="24"/>
                <w:highlight w:val="none"/>
              </w:rPr>
            </w:r>
            <w:r/>
          </w:p>
        </w:tc>
      </w:tr>
    </w:tbl>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（四）详细要求</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1、技术客服服务</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1.1服务内容</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智慧教育</w:t>
      </w:r>
      <w:r>
        <w:rPr>
          <w:rFonts w:hint="eastAsia" w:ascii="宋体" w:hAnsi="宋体" w:eastAsia="宋体" w:cs="宋体"/>
          <w:color w:val="000000"/>
          <w:sz w:val="24"/>
          <w:szCs w:val="24"/>
          <w:highlight w:val="none"/>
          <w:lang w:val="en-US" w:eastAsia="zh-CN"/>
        </w:rPr>
        <w:t xml:space="preserve">往期</w:t>
      </w:r>
      <w:r>
        <w:rPr>
          <w:rFonts w:hint="eastAsia" w:ascii="宋体" w:hAnsi="宋体" w:eastAsia="宋体" w:cs="宋体"/>
          <w:color w:val="000000"/>
          <w:sz w:val="24"/>
          <w:szCs w:val="24"/>
          <w:highlight w:val="none"/>
        </w:rPr>
        <w:t xml:space="preserve">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苏慧教育教学资源管理、智慧体育综合监管</w:t>
      </w:r>
      <w:r>
        <w:rPr>
          <w:rFonts w:hint="eastAsia" w:ascii="宋体" w:hAnsi="宋体" w:eastAsia="宋体" w:cs="宋体"/>
          <w:color w:val="000000"/>
          <w:sz w:val="24"/>
          <w:szCs w:val="24"/>
          <w:highlight w:val="none"/>
          <w:lang w:val="en-US" w:eastAsia="zh-CN"/>
        </w:rPr>
        <w:t xml:space="preserve">等系统提供必须的常态化系统运维服务。</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按需提供数据运营工程师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开展区域教育教学资源专项指导服务</w:t>
      </w:r>
      <w:r>
        <w:rPr>
          <w:rFonts w:hint="eastAsia" w:ascii="宋体" w:hAnsi="宋体" w:eastAsia="宋体" w:cs="宋体"/>
          <w:color w:val="000000"/>
          <w:sz w:val="24"/>
          <w:szCs w:val="24"/>
          <w:highlight w:val="none"/>
          <w:lang w:eastAsia="zh-CN"/>
        </w:rPr>
        <w:t xml:space="preserve">，为教师</w:t>
      </w:r>
      <w:r>
        <w:rPr>
          <w:rFonts w:hint="eastAsia" w:ascii="宋体" w:hAnsi="宋体" w:eastAsia="宋体" w:cs="宋体"/>
          <w:color w:val="000000"/>
          <w:sz w:val="24"/>
          <w:szCs w:val="24"/>
          <w:highlight w:val="none"/>
          <w:lang w:val="en-US" w:eastAsia="zh-CN"/>
        </w:rPr>
        <w:t xml:space="preserve">习题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练习卷</w:t>
      </w:r>
      <w:r>
        <w:rPr>
          <w:rFonts w:hint="eastAsia" w:ascii="宋体" w:hAnsi="宋体" w:eastAsia="宋体" w:cs="宋体"/>
          <w:color w:val="000000"/>
          <w:sz w:val="24"/>
          <w:szCs w:val="24"/>
          <w:highlight w:val="none"/>
          <w:lang w:eastAsia="zh-CN"/>
        </w:rPr>
        <w:t xml:space="preserve">、教学资源</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eastAsia="zh-CN"/>
        </w:rPr>
        <w:t xml:space="preserve">上传</w:t>
      </w:r>
      <w:r>
        <w:rPr>
          <w:rFonts w:hint="eastAsia" w:ascii="宋体" w:hAnsi="宋体" w:eastAsia="宋体" w:cs="宋体"/>
          <w:color w:val="000000"/>
          <w:sz w:val="24"/>
          <w:szCs w:val="24"/>
          <w:highlight w:val="none"/>
          <w:lang w:val="en-US" w:eastAsia="zh-CN"/>
        </w:rPr>
        <w:t xml:space="preserve">应用</w:t>
      </w:r>
      <w:r>
        <w:rPr>
          <w:rFonts w:hint="eastAsia" w:ascii="宋体" w:hAnsi="宋体" w:eastAsia="宋体" w:cs="宋体"/>
          <w:color w:val="000000"/>
          <w:sz w:val="24"/>
          <w:szCs w:val="24"/>
          <w:highlight w:val="none"/>
          <w:lang w:eastAsia="zh-CN"/>
        </w:rPr>
        <w:t xml:space="preserve">提供咨询答疑，</w:t>
      </w:r>
      <w:r>
        <w:rPr>
          <w:rFonts w:hint="eastAsia" w:ascii="宋体" w:hAnsi="宋体" w:eastAsia="宋体" w:cs="宋体"/>
          <w:color w:val="000000"/>
          <w:sz w:val="24"/>
          <w:szCs w:val="24"/>
          <w:highlight w:val="none"/>
        </w:rPr>
        <w:t xml:space="preserve">为学校学业大数据</w:t>
      </w:r>
      <w:r>
        <w:rPr>
          <w:rFonts w:hint="eastAsia" w:ascii="宋体" w:hAnsi="宋体" w:eastAsia="宋体" w:cs="宋体"/>
          <w:color w:val="000000"/>
          <w:sz w:val="24"/>
          <w:szCs w:val="24"/>
          <w:highlight w:val="none"/>
          <w:lang w:val="en-US" w:eastAsia="zh-CN"/>
        </w:rPr>
        <w:t xml:space="preserve">应用</w:t>
      </w:r>
      <w:r>
        <w:rPr>
          <w:rFonts w:hint="eastAsia" w:ascii="宋体" w:hAnsi="宋体" w:eastAsia="宋体" w:cs="宋体"/>
          <w:color w:val="000000"/>
          <w:sz w:val="24"/>
          <w:szCs w:val="24"/>
          <w:highlight w:val="none"/>
        </w:rPr>
        <w:t xml:space="preserve">提供必要的线下服务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解决处理数据中台与决策大数据平台日常使用过程中的数据分析与处理工作，辅助日常教育管理工作和决策支持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完成年度教师招聘、职称评定、人才考核、幼儿招生业务平台</w:t>
      </w:r>
      <w:r>
        <w:rPr>
          <w:rFonts w:hint="eastAsia" w:ascii="宋体" w:hAnsi="宋体" w:eastAsia="宋体" w:cs="宋体"/>
          <w:color w:val="000000"/>
          <w:sz w:val="24"/>
          <w:szCs w:val="24"/>
          <w:highlight w:val="none"/>
          <w:lang w:val="en-US" w:eastAsia="zh-CN"/>
        </w:rPr>
        <w:t xml:space="preserve">运营支撑服务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姑苏区老年大学在线报名平台项目租赁服务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color w:val="000000"/>
          <w:sz w:val="24"/>
          <w:szCs w:val="24"/>
          <w:highlight w:val="none"/>
        </w:rPr>
        <w:t xml:space="preserve">平台配套技术保障</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w:t>
      </w:r>
      <w:r>
        <w:rPr>
          <w:rFonts w:hint="eastAsia" w:ascii="宋体" w:hAnsi="宋体" w:eastAsia="宋体" w:cs="宋体"/>
          <w:color w:val="000000"/>
          <w:sz w:val="24"/>
          <w:szCs w:val="24"/>
          <w:highlight w:val="none"/>
          <w:lang w:val="en-US" w:eastAsia="zh-CN"/>
        </w:rPr>
        <w:t xml:space="preserve">为姑苏智慧教育</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必要的</w:t>
      </w:r>
      <w:r>
        <w:rPr>
          <w:rFonts w:hint="eastAsia" w:ascii="宋体" w:hAnsi="宋体" w:eastAsia="宋体" w:cs="宋体"/>
          <w:color w:val="000000"/>
          <w:sz w:val="24"/>
          <w:szCs w:val="24"/>
          <w:highlight w:val="none"/>
        </w:rPr>
        <w:t xml:space="preserve">现场技术培训支持及相关系统巡检工作。</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1.2服务方式</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①服务方式包括现场技术服务和线上咨询服务。</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②现场技术服务包括基于需求进行数据的采集、汇聚、分析等，最终达到补充完善学业大数据平台和决策平台的目的，并进行现场日常平台协助使用。</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③技术服务人员要求二年以上教育信息化相关服务经验，具有对这些系统的服务经验，能够熟练解决业务、技术和操作上的相关问题；</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④技术服务人员必须具备大数据分析与建模能力，参与教育行业产品线至少二年及以上，能够具备需求转化为具体落地方案的能力，并按流程进行数据采集、汇聚、计算、决策全流程服务。</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⑤设立本地服务负责人，制定适合姑苏区教育服务工作特点的详细工作服务流程与方案，制定对服务人员的考核办法。</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⑥服务团队人员必须具备相应的技术能力。</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⑦加强对服务人员的管理与培训，并保证核心服务人员的稳定性，未经教育局允许不得擅自更换从事核心服务的人员。</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⑧服务人员要遵守教育局的劳动纪律及其它相关规章制度，接受教育局的工作安排与指导，做好本职工作。</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⑨服务人员必须做好相关信息保密工作，不得对外透露在工作中接触到的涉密信息用户个人隐私信息。</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2、其他要求</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提供日常的线上咨询服务，包括平台使用过程中的常态化应用问题的反馈响应与处理，总服务人员不少于12人。现场技术服务人员不少于1人，具体工作时间根据各业务处室和部门实际需求而定。</w:t>
      </w:r>
      <w:r>
        <w:rPr>
          <w:rFonts w:hint="eastAsia" w:ascii="宋体" w:hAnsi="宋体" w:eastAsia="宋体" w:cs="宋体"/>
          <w:color w:val="000000"/>
          <w:sz w:val="24"/>
          <w:szCs w:val="24"/>
          <w:highlight w:val="none"/>
        </w:rPr>
      </w:r>
      <w:r/>
    </w:p>
    <w:p>
      <w:pPr>
        <w:pStyle w:val="943"/>
        <w:ind w:firstLine="482"/>
        <w:spacing w:line="360" w:lineRule="auto"/>
        <w:tabs>
          <w:tab w:val="left" w:pos="567"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三、有关说明：</w:t>
      </w:r>
      <w:r>
        <w:rPr>
          <w:rFonts w:ascii="宋体" w:hAnsi="宋体" w:eastAsia="宋体" w:cs="宋体"/>
          <w:b/>
          <w:bCs/>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2、供应商须在项目实施前把详细的实施方案报送采购人审批，经批准同意后方可以组织实施。在项目实施期间供应商应遵守项目现场及采购人的各项规章制度。</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3、供应商在项目实施期间应无条件的接受采购人的监督管理，提出的质量问题要及时整改，整改完毕后通知采购人检查验收，合格后书面报送采购人备案。</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人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5、与本次采购项目有关的质量、安全问题均由供应商负责，相关的人员、财产责任风险均由供应商承担。</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次采购人拟采购的产品均不属于《节能产品政府采购品目清单》范围内的政府强制采购产品，也均不属于《节能产品政府采购品目清单》、《环境标志产品政府采购品目清单》范围内优先采购的产品（不包含政府强制采购产品）。</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响应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rPr>
          <w:rFonts w:ascii="宋体" w:hAnsi="宋体" w:eastAsia="宋体" w:cs="宋体"/>
          <w:color w:val="000000"/>
          <w:sz w:val="24"/>
          <w:szCs w:val="24"/>
          <w:highlight w:val="none"/>
        </w:rPr>
      </w:r>
      <w:r/>
    </w:p>
    <w:p>
      <w:pPr>
        <w:pStyle w:val="943"/>
        <w:ind w:firstLine="482"/>
        <w:spacing w:line="360" w:lineRule="auto"/>
        <w:tabs>
          <w:tab w:val="left" w:pos="567"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四、综合要求：</w:t>
      </w:r>
      <w:r>
        <w:rPr>
          <w:rFonts w:ascii="宋体" w:hAnsi="宋体" w:eastAsia="宋体" w:cs="宋体"/>
          <w:b/>
          <w:bCs/>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、若采购文件中涉及品牌或品牌导向，则仅作参考。</w:t>
      </w:r>
      <w:r>
        <w:rPr>
          <w:rFonts w:ascii="宋体" w:hAnsi="宋体" w:eastAsia="宋体" w:cs="宋体"/>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、响应文件须如实进行响应，量化指标必须列明具体数值。供应商在其响应文件中对于采购文件要求提供的货物或服务情况均须进行完整的阐述和说明。</w:t>
      </w:r>
      <w:r>
        <w:rPr>
          <w:rFonts w:ascii="宋体" w:hAnsi="宋体" w:eastAsia="宋体" w:cs="宋体"/>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rPr>
          <w:rFonts w:ascii="宋体" w:hAnsi="宋体" w:eastAsia="宋体" w:cs="宋体"/>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、供应商须在响应报价中对所要采购的全部内容进行报价，只投其中部分内容者，其响应文件将被拒绝，采购人除支付本次采购项目的成交金额外不再</w:t>
      </w:r>
      <w:r>
        <w:rPr>
          <w:rFonts w:hint="eastAsia" w:ascii="宋体" w:hAnsi="宋体" w:eastAsia="宋体" w:cs="宋体"/>
          <w:color w:val="000000"/>
          <w:sz w:val="24"/>
          <w:szCs w:val="24"/>
          <w:highlight w:val="none"/>
          <w:lang w:val="en-US" w:eastAsia="zh-CN"/>
        </w:rPr>
        <w:t xml:space="preserve">对供应商</w:t>
      </w:r>
      <w:r>
        <w:rPr>
          <w:rFonts w:hint="eastAsia" w:ascii="宋体" w:hAnsi="宋体" w:eastAsia="宋体" w:cs="宋体"/>
          <w:color w:val="000000"/>
          <w:sz w:val="24"/>
          <w:szCs w:val="24"/>
          <w:highlight w:val="none"/>
        </w:rPr>
        <w:t xml:space="preserve">承担其他任何费用。</w:t>
      </w:r>
      <w:r>
        <w:rPr>
          <w:rFonts w:ascii="宋体" w:hAnsi="宋体" w:eastAsia="宋体" w:cs="宋体"/>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5、项目地点：采购人指定地点（苏州大市范围内）。</w:t>
      </w:r>
      <w:r>
        <w:rPr>
          <w:rFonts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val="zh-CN"/>
        </w:rPr>
      </w:pPr>
      <w:r>
        <w:rPr>
          <w:rFonts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rPr>
        <w:t xml:space="preserve">在接到采购人修正报告的服务要求时，须及时响应和解决。在</w:t>
      </w:r>
      <w:r>
        <w:rPr>
          <w:rFonts w:hint="eastAsia" w:ascii="宋体" w:hAnsi="宋体" w:eastAsia="宋体" w:cs="宋体"/>
          <w:color w:val="000000"/>
          <w:sz w:val="24"/>
          <w:szCs w:val="24"/>
          <w:highlight w:val="none"/>
          <w:lang w:val="zh-CN"/>
        </w:rPr>
        <w:t xml:space="preserve">2小时内必须响应（电话或远程服务），紧急情况下按照采购人需求，予以修正和解决采购人提出的服务要求。</w:t>
      </w:r>
      <w:r>
        <w:rPr>
          <w:rFonts w:hint="eastAsia" w:ascii="宋体" w:hAnsi="宋体" w:eastAsia="宋体" w:cs="宋体"/>
          <w:color w:val="000000"/>
          <w:sz w:val="24"/>
          <w:szCs w:val="24"/>
          <w:highlight w:val="none"/>
          <w:lang w:val="zh-CN"/>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t xml:space="preserve">验收要求：按国家相关法律法规、行业相关标准及采购文件要求和成交单位的承诺进行验收。</w:t>
      </w:r>
      <w:r>
        <w:rPr>
          <w:rFonts w:ascii="宋体" w:hAnsi="宋体" w:eastAsia="宋体" w:cs="宋体"/>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、凡涉及本项目的补充说明和修改，均以苏州政府采购网上发布的信息为准。</w:t>
      </w:r>
      <w:r>
        <w:rPr>
          <w:rFonts w:ascii="宋体" w:hAnsi="宋体" w:eastAsia="宋体" w:cs="宋体"/>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第五章 合同主要条款</w:t>
      </w:r>
      <w:r>
        <w:rPr>
          <w:rFonts w:hint="eastAsia" w:ascii="宋体" w:hAnsi="宋体" w:eastAsia="宋体" w:cs="宋体"/>
          <w:b/>
          <w:color w:val="000000"/>
          <w:sz w:val="24"/>
          <w:szCs w:val="24"/>
          <w:highlight w:val="none"/>
        </w:rPr>
      </w:r>
      <w:r/>
    </w:p>
    <w:p>
      <w:pPr>
        <w:pStyle w:val="94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                       </w:t>
      </w:r>
      <w:r>
        <w:rPr>
          <w:rFonts w:hint="eastAsia" w:ascii="宋体" w:hAnsi="宋体" w:eastAsia="宋体" w:cs="宋体"/>
          <w:b/>
          <w:color w:val="000000"/>
          <w:sz w:val="24"/>
          <w:szCs w:val="24"/>
          <w:highlight w:val="none"/>
        </w:rPr>
      </w:r>
      <w:r/>
    </w:p>
    <w:p>
      <w:pPr>
        <w:pStyle w:val="94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943"/>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3"/>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甲方（项目采购人）：</w:t>
      </w:r>
      <w:r>
        <w:rPr>
          <w:rFonts w:hint="eastAsia" w:ascii="宋体" w:hAnsi="宋体" w:eastAsia="宋体" w:cs="宋体"/>
          <w:b/>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43"/>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3"/>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乙方（成交供应商）：</w:t>
      </w:r>
      <w:r>
        <w:rPr>
          <w:rFonts w:hint="eastAsia" w:ascii="宋体" w:hAnsi="宋体" w:eastAsia="宋体" w:cs="宋体"/>
          <w:b/>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43"/>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一、定义</w:t>
      </w:r>
      <w:r>
        <w:rPr>
          <w:rFonts w:hint="eastAsia" w:ascii="宋体" w:hAnsi="宋体" w:eastAsia="宋体" w:cs="宋体"/>
          <w:b/>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以下术语有特定的含义：</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服务是指根据合同规定乙方应承担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等工作和合同中规定乙方应承担的其它义务。</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合同价款是指根据成交单位的</w:t>
      </w:r>
      <w:r>
        <w:rPr>
          <w:rFonts w:hint="eastAsia" w:ascii="宋体" w:hAnsi="宋体" w:eastAsia="宋体" w:cs="宋体"/>
          <w:color w:val="000000"/>
          <w:sz w:val="24"/>
          <w:szCs w:val="24"/>
          <w:highlight w:val="none"/>
        </w:rPr>
        <w:t xml:space="preserve">响应文</w:t>
      </w:r>
      <w:r>
        <w:rPr>
          <w:rFonts w:hint="eastAsia" w:ascii="宋体" w:hAnsi="宋体" w:eastAsia="宋体" w:cs="宋体"/>
          <w:color w:val="000000"/>
          <w:sz w:val="24"/>
          <w:szCs w:val="24"/>
          <w:highlight w:val="none"/>
        </w:rPr>
        <w:t xml:space="preserve">件和合同规定，乙方在正确地履行合同义务后甲方应支付给乙方的价款。</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甲方是指合同中明确规定的实际购买和接受服务的单位。</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乙方是指合同中规定的提供服务的单位。</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b/>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二、合同项目及期限</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2.1乙方负责</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的服务工作。</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2.2服务期限：</w:t>
      </w:r>
      <w:r>
        <w:rPr>
          <w:rFonts w:hint="eastAsia" w:ascii="宋体" w:hAnsi="宋体" w:eastAsia="宋体" w:cs="宋体"/>
          <w:color w:val="000000"/>
          <w:sz w:val="24"/>
          <w:szCs w:val="24"/>
          <w:highlight w:val="none"/>
        </w:rPr>
        <w:t xml:space="preserve">自合同签订之日起壹年。</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2.3服务地点：根据甲方指定地点。</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三、合同总价款：</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四、付款方式</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1.付款步骤：</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（1）本项目使用数字人民币支付</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1）合同签订后的30天内，采购人向中标人支付合同总价的30%作为预付款。</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2）服务期满半年后，经甲方确认考核合格后（月度考核合格线为90分，含90分，90分以下为不合格，考核不合格，甲方有权终止支付合同余款），30天内采购人向中标人支付合同总价的40%。（考核表详见合同附件）</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3）余款30%待项目验收通过后经甲方确认服务期内无重大问题发生，并持甲方的确认单一次性付清。</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3.支付方式：本次货款以数字人民币形式支付。乙方账户信息如下：</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数字人民币账户（数币钱包ID）：</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五、甲、乙双方的责任</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1.1依本合同约定按期支付合同款项；</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1.2依本合同约定及时组织验收；</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1.3协助乙方进行项目的相关协调工作及约定期限内提供相关资料以利于开展项目。</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六、履约验收标准</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1.甲方负责组织验收小组，负责整个验收工作，乙方在验收小组指导监督下开展验收工作。</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任一项验收不合格的，乙方应负责在甲方限定的期限内完成整改，因整改而导致的费用和损失由乙方自行承担，整改后仍不能通过验收的，甲方有权聘请第三方进行整改，由此产生的费用由乙方承担，若导致项目逾期，乙方承担逾期违约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3.除非甲方书面明示通过验收，否则任何其他行为均不代表甲方已验收合格，当项目验收不合格，甲方有权终止支付合同余款，且不承担任何违约责任。</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七、违约责任</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1.甲方违约责任：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1.1在合同生效后，甲方无故要求解除合同的，应向乙方偿付合同总价款5%的违约金，违约金不足以补偿损失的，乙方有权要求甲方补足。</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1.2甲方逾期付款的应按照逾期付款金额的每天万分之四支付逾期付款违约金，总额不超总价款的5%。</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2.乙方的违约责任：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在合同生效后，乙方无故要求解除合同的，应向甲方偿付合同总价款5%的违约金，违约金不足以补偿损失的，甲方有权要求乙方补足。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2.3乙方必须自己完成合同内容，不得自行分包，否则，甲方有权按乙方不能完成合同处理。</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2.4乙方应执行国家有关规定（如苏州最低工资标准和其他规定），负责乙方员工的生病、事故、伤残、死亡和劳务纠纷，甲方不承担任何相关责任。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2.5乙方负有对自己员工的安全责任，甲方不承担任何相关责任。</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八、不可抗力</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九、争端的解决 </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2.如果调解不成，双方中的任何一方可向人民法院提起诉讼。诉讼由合同签订地人民法院管辖。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3.诉讼费由败诉方负担。</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4.因合同部分履行引发诉讼的，在诉讼期间，除正在进行诉讼的部分外，本合同的其它部分应继续执行。</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十、违约终止合同</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如果乙方未能在合同规定的限期或甲方同意延长的限期内提供部分或全部服务。</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如果乙方未能履行合同规定的其它任何义务。</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3.如果甲方违约，应承担相应的违约责任。 </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十一、破产终止合同：</w:t>
      </w:r>
      <w:r>
        <w:rPr>
          <w:rFonts w:hint="eastAsia" w:ascii="宋体" w:hAnsi="宋体" w:eastAsia="宋体" w:cs="宋体"/>
          <w:color w:val="000000"/>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十二、政府采购法对政府采购合同变更终止的规定：</w:t>
      </w:r>
      <w:r>
        <w:rPr>
          <w:rFonts w:hint="eastAsia" w:ascii="宋体" w:hAnsi="宋体" w:eastAsia="宋体" w:cs="宋体"/>
          <w:color w:val="000000"/>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十三、合同转让和分包：</w:t>
      </w:r>
      <w:r>
        <w:rPr>
          <w:rFonts w:hint="eastAsia" w:ascii="宋体" w:hAnsi="宋体" w:eastAsia="宋体" w:cs="宋体"/>
          <w:color w:val="000000"/>
          <w:sz w:val="24"/>
          <w:szCs w:val="24"/>
          <w:highlight w:val="none"/>
        </w:rPr>
        <w:t xml:space="preserve">本项目不得转让和分包。</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十四、需要补充的合同条款：</w:t>
      </w:r>
      <w:r>
        <w:rPr>
          <w:rFonts w:hint="eastAsia" w:ascii="宋体" w:hAnsi="宋体" w:eastAsia="宋体" w:cs="宋体"/>
          <w:color w:val="000000"/>
          <w:sz w:val="24"/>
          <w:szCs w:val="24"/>
          <w:highlight w:val="none"/>
        </w:rPr>
        <w:t xml:space="preserve">（根据评审过程中或者商务谈判时商定的条款和条件在订立合同时标明）。</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十五、合同生效</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1.双方签约人为各自法定代表人或被授权代表。</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3.本合同自甲乙双方签字盖章之日起生效。</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4.本合同壹式</w:t>
      </w:r>
      <w:r>
        <w:rPr>
          <w:rFonts w:hint="eastAsia" w:ascii="宋体" w:hAnsi="宋体" w:eastAsia="宋体" w:cs="宋体"/>
          <w:b/>
          <w:color w:val="000000"/>
          <w:sz w:val="24"/>
          <w:szCs w:val="24"/>
          <w:highlight w:val="none"/>
        </w:rPr>
        <w:t xml:space="preserve">肆</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b/>
          <w:color w:val="000000"/>
          <w:sz w:val="24"/>
          <w:szCs w:val="24"/>
          <w:highlight w:val="none"/>
        </w:rPr>
        <w:t xml:space="preserve">贰</w:t>
      </w:r>
      <w:r>
        <w:rPr>
          <w:rFonts w:hint="eastAsia" w:ascii="宋体" w:hAnsi="宋体" w:eastAsia="宋体" w:cs="宋体"/>
          <w:color w:val="000000"/>
          <w:sz w:val="24"/>
          <w:szCs w:val="24"/>
          <w:highlight w:val="none"/>
        </w:rPr>
        <w:t xml:space="preserve">份，各份具有同等法律效力。</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5.本合同应按照中华人民共和国的现行法律进行解释。</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6.合同修改：除甲乙双方签署书面修改、补充协议，并成为本合同不可分割的一部分之外，本合同条件不得有任何变化或修改。 </w:t>
      </w:r>
      <w:r>
        <w:rPr>
          <w:rFonts w:hint="eastAsia" w:ascii="宋体" w:hAnsi="宋体" w:eastAsia="宋体" w:cs="宋体"/>
          <w:color w:val="000000"/>
          <w:sz w:val="24"/>
          <w:szCs w:val="24"/>
          <w:highlight w:val="none"/>
        </w:rPr>
      </w:r>
      <w:r/>
    </w:p>
    <w:p>
      <w:pPr>
        <w:pStyle w:val="943"/>
        <w:ind w:left="400" w:firstLine="420"/>
        <w:spacing w:after="12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甲方（公章）：                              乙方（公章）：</w:t>
      </w:r>
      <w:r>
        <w:rPr>
          <w:rFonts w:hint="eastAsia" w:ascii="宋体" w:hAnsi="宋体" w:eastAsia="宋体" w:cs="宋体"/>
          <w:color w:val="000000"/>
          <w:sz w:val="24"/>
          <w:szCs w:val="24"/>
          <w:highlight w:val="none"/>
        </w:rPr>
      </w:r>
      <w:r/>
    </w:p>
    <w:p>
      <w:pPr>
        <w:pStyle w:val="943"/>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        法定代表人或授权代表（签字或盖章）： </w:t>
      </w:r>
      <w:r>
        <w:rPr>
          <w:rFonts w:hint="eastAsia" w:ascii="宋体" w:hAnsi="宋体" w:eastAsia="宋体" w:cs="宋体"/>
          <w:color w:val="000000"/>
          <w:sz w:val="24"/>
          <w:szCs w:val="24"/>
          <w:highlight w:val="none"/>
        </w:rPr>
      </w:r>
      <w:r/>
    </w:p>
    <w:p>
      <w:pPr>
        <w:pStyle w:val="943"/>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                                  签约日期： </w:t>
      </w:r>
      <w:r>
        <w:rPr>
          <w:rFonts w:hint="eastAsia" w:ascii="宋体" w:hAnsi="宋体" w:eastAsia="宋体" w:cs="宋体"/>
          <w:color w:val="000000"/>
          <w:sz w:val="24"/>
          <w:szCs w:val="24"/>
          <w:highlight w:val="none"/>
        </w:rPr>
      </w:r>
      <w:r/>
    </w:p>
    <w:p>
      <w:pPr>
        <w:pStyle w:val="943"/>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合同签定地：</w:t>
      </w:r>
      <w:r>
        <w:rPr>
          <w:rFonts w:hint="eastAsia" w:ascii="宋体" w:hAnsi="宋体" w:eastAsia="宋体" w:cs="宋体"/>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3"/>
        <w:ind w:left="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附件：考核表</w:t>
      </w:r>
      <w:r>
        <w:rPr>
          <w:rFonts w:hint="eastAsia" w:ascii="宋体" w:hAnsi="宋体" w:eastAsia="宋体" w:cs="宋体"/>
          <w:b/>
          <w:color w:val="000000"/>
          <w:sz w:val="24"/>
          <w:szCs w:val="24"/>
          <w:highlight w:val="none"/>
        </w:rPr>
      </w:r>
      <w:r/>
    </w:p>
    <w:p>
      <w:pPr>
        <w:pStyle w:val="943"/>
        <w:ind w:left="0"/>
        <w:jc w:val="center"/>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2026年姑苏智慧教育云运营服务项目</w:t>
      </w:r>
      <w:r>
        <w:rPr>
          <w:rFonts w:hint="eastAsia" w:ascii="宋体" w:hAnsi="宋体" w:eastAsia="宋体" w:cs="宋体"/>
          <w:b/>
          <w:color w:val="000000"/>
          <w:sz w:val="24"/>
          <w:szCs w:val="24"/>
          <w:highlight w:val="none"/>
        </w:rPr>
      </w:r>
      <w:r/>
    </w:p>
    <w:tbl>
      <w:tblPr>
        <w:tblStyle w:val="1022"/>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7"/>
        <w:gridCol w:w="2840"/>
        <w:gridCol w:w="565"/>
        <w:gridCol w:w="1703"/>
        <w:gridCol w:w="587"/>
        <w:gridCol w:w="788"/>
        <w:gridCol w:w="888"/>
      </w:tblGrid>
      <w:tr>
        <w:trPr>
          <w:trHeight w:val="630"/>
        </w:trPr>
        <w:tc>
          <w:tcPr>
            <w:shd w:val="clear" w:color="auto" w:fill="d8d8d8"/>
            <w:tcW w:w="2547"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服务运维单位</w:t>
            </w:r>
            <w:r>
              <w:rPr>
                <w:rFonts w:hint="eastAsia" w:ascii="宋体" w:hAnsi="宋体" w:eastAsia="宋体" w:cs="宋体"/>
                <w:b/>
                <w:bCs/>
                <w:color w:val="000000"/>
                <w:sz w:val="24"/>
                <w:szCs w:val="24"/>
                <w:highlight w:val="none"/>
              </w:rPr>
            </w:r>
            <w:r/>
          </w:p>
        </w:tc>
        <w:tc>
          <w:tcPr>
            <w:gridSpan w:val="2"/>
            <w:tcW w:w="3405"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shd w:val="clear" w:color="auto" w:fill="d8d8d8"/>
            <w:tcW w:w="1703"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对接负责人</w:t>
            </w:r>
            <w:r>
              <w:rPr>
                <w:rFonts w:hint="eastAsia" w:ascii="宋体" w:hAnsi="宋体" w:eastAsia="宋体" w:cs="宋体"/>
                <w:b/>
                <w:bCs/>
                <w:color w:val="000000"/>
                <w:sz w:val="24"/>
                <w:szCs w:val="24"/>
                <w:highlight w:val="none"/>
              </w:rPr>
            </w:r>
            <w:r/>
          </w:p>
        </w:tc>
        <w:tc>
          <w:tcPr>
            <w:gridSpan w:val="3"/>
            <w:tcW w:w="2263"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630"/>
        </w:trPr>
        <w:tc>
          <w:tcPr>
            <w:shd w:val="clear" w:color="auto" w:fill="d8d8d8"/>
            <w:tcW w:w="2547"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阶段考核周期</w:t>
            </w:r>
            <w:r>
              <w:rPr>
                <w:rFonts w:hint="eastAsia" w:ascii="宋体" w:hAnsi="宋体" w:eastAsia="宋体" w:cs="宋体"/>
                <w:b/>
                <w:bCs/>
                <w:color w:val="000000"/>
                <w:sz w:val="24"/>
                <w:szCs w:val="24"/>
                <w:highlight w:val="none"/>
              </w:rPr>
            </w:r>
            <w:r/>
          </w:p>
        </w:tc>
        <w:tc>
          <w:tcPr>
            <w:gridSpan w:val="6"/>
            <w:tcW w:w="7371"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688"/>
        </w:trPr>
        <w:tc>
          <w:tcPr>
            <w:shd w:val="clear" w:color="auto" w:fill="d8d8d8"/>
            <w:tcW w:w="2547"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考核类别及标准分</w:t>
            </w:r>
            <w:r>
              <w:rPr>
                <w:rFonts w:hint="eastAsia" w:ascii="宋体" w:hAnsi="宋体" w:eastAsia="宋体" w:cs="宋体"/>
                <w:b/>
                <w:bCs/>
                <w:color w:val="000000"/>
                <w:sz w:val="24"/>
                <w:szCs w:val="24"/>
                <w:highlight w:val="none"/>
              </w:rPr>
            </w:r>
            <w:r/>
          </w:p>
        </w:tc>
        <w:tc>
          <w:tcPr>
            <w:gridSpan w:val="4"/>
            <w:shd w:val="clear" w:color="auto" w:fill="d8d8d8"/>
            <w:tcW w:w="5695"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考核评分项</w:t>
            </w:r>
            <w:r>
              <w:rPr>
                <w:rFonts w:hint="eastAsia" w:ascii="宋体" w:hAnsi="宋体" w:eastAsia="宋体" w:cs="宋体"/>
                <w:b/>
                <w:bCs/>
                <w:color w:val="000000"/>
                <w:sz w:val="24"/>
                <w:szCs w:val="24"/>
                <w:highlight w:val="none"/>
              </w:rPr>
            </w:r>
            <w:r/>
          </w:p>
        </w:tc>
        <w:tc>
          <w:tcPr>
            <w:shd w:val="clear" w:color="auto" w:fill="d8d8d8"/>
            <w:tcW w:w="788"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shd w:val="clear" w:color="auto" w:fill="d8d8d8"/>
            <w:tcW w:w="888"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rPr>
                <w:rFonts w:hint="eastAsia" w:ascii="宋体" w:hAnsi="宋体" w:eastAsia="宋体" w:cs="宋体"/>
                <w:b/>
                <w:bCs/>
                <w:color w:val="000000"/>
                <w:sz w:val="24"/>
                <w:szCs w:val="24"/>
                <w:highlight w:val="none"/>
              </w:rPr>
            </w:r>
            <w:r/>
          </w:p>
        </w:tc>
      </w:tr>
      <w:tr>
        <w:trPr>
          <w:trHeight w:val="709"/>
        </w:trPr>
        <w:tc>
          <w:tcPr>
            <w:tcW w:w="2547" w:type="dxa"/>
            <w:vAlign w:val="center"/>
            <w:vMerge w:val="restart"/>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2026年姑苏智慧教育云运营服务项目</w:t>
            </w: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1.姑苏智慧教育往期平台运维保障</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2.学校及相关用户的</w:t>
            </w:r>
            <w:r>
              <w:rPr>
                <w:rFonts w:hint="eastAsia" w:ascii="宋体" w:hAnsi="宋体" w:eastAsia="宋体" w:cs="宋体"/>
                <w:color w:val="000000"/>
                <w:sz w:val="24"/>
                <w:szCs w:val="24"/>
                <w:highlight w:val="none"/>
                <w:lang w:val="en-US" w:eastAsia="zh-CN"/>
              </w:rPr>
              <w:t xml:space="preserve">业务系统</w:t>
            </w:r>
            <w:r>
              <w:rPr>
                <w:rFonts w:hint="eastAsia" w:ascii="宋体" w:hAnsi="宋体" w:eastAsia="宋体" w:cs="宋体"/>
                <w:color w:val="000000"/>
                <w:sz w:val="24"/>
                <w:szCs w:val="24"/>
                <w:highlight w:val="none"/>
              </w:rPr>
              <w:t xml:space="preserve">操作培训</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3.配合业务进行日常操作问题处理和答疑</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学业大数据教学资源数据准备服务</w:t>
            </w:r>
            <w:r>
              <w:rPr>
                <w:rFonts w:hint="eastAsia" w:ascii="宋体" w:hAnsi="宋体" w:eastAsia="宋体" w:cs="宋体"/>
                <w:color w:val="000000"/>
                <w:sz w:val="24"/>
                <w:szCs w:val="24"/>
                <w:highlight w:val="none"/>
                <w:lang w:val="en-US" w:eastAsia="zh-CN"/>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.学业大数据业务</w:t>
            </w:r>
            <w:r>
              <w:rPr>
                <w:rFonts w:hint="eastAsia" w:ascii="宋体" w:hAnsi="宋体" w:eastAsia="宋体" w:cs="宋体"/>
                <w:color w:val="000000"/>
                <w:sz w:val="24"/>
                <w:szCs w:val="24"/>
                <w:highlight w:val="none"/>
                <w:lang w:val="en-US" w:eastAsia="zh-CN"/>
              </w:rPr>
              <w:t xml:space="preserve">支撑</w:t>
            </w:r>
            <w:r>
              <w:rPr>
                <w:rFonts w:hint="eastAsia" w:ascii="宋体" w:hAnsi="宋体" w:eastAsia="宋体" w:cs="宋体"/>
                <w:color w:val="000000"/>
                <w:sz w:val="24"/>
                <w:szCs w:val="24"/>
                <w:highlight w:val="none"/>
              </w:rPr>
              <w:t xml:space="preserve">及数据回流服务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.系统数据对接、教育部门各业务条线数据汇聚</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.各业务条线数据采集、汇聚与分析服务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初中校教育决策分析技术支持服务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.学生生源分析服务</w:t>
            </w:r>
            <w:r>
              <w:rPr>
                <w:rFonts w:hint="eastAsia" w:ascii="宋体" w:hAnsi="宋体" w:eastAsia="宋体" w:cs="宋体"/>
                <w:color w:val="000000"/>
                <w:sz w:val="24"/>
                <w:szCs w:val="24"/>
                <w:highlight w:val="none"/>
                <w:lang w:val="en-US" w:eastAsia="zh-CN"/>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.教师招聘系统技术支持服务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.职称评定技术支持服务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.人才考核技术支持服务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幼儿</w:t>
            </w:r>
            <w:r>
              <w:rPr>
                <w:rFonts w:hint="eastAsia" w:ascii="宋体" w:hAnsi="宋体" w:eastAsia="宋体" w:cs="宋体"/>
                <w:color w:val="000000"/>
                <w:sz w:val="24"/>
                <w:szCs w:val="24"/>
                <w:highlight w:val="none"/>
              </w:rPr>
              <w:t xml:space="preserve">招生运营技术支持服务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姑苏区老年大学在线报名平台项目租赁服务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5"/>
        </w:trPr>
        <w:tc>
          <w:tcPr>
            <w:gridSpan w:val="5"/>
            <w:tcW w:w="8242"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评分合计</w:t>
            </w:r>
            <w:r>
              <w:rPr>
                <w:rFonts w:hint="eastAsia" w:ascii="宋体" w:hAnsi="宋体" w:eastAsia="宋体" w:cs="宋体"/>
                <w:b/>
                <w:bCs/>
                <w:color w:val="000000"/>
                <w:sz w:val="24"/>
                <w:szCs w:val="24"/>
                <w:highlight w:val="none"/>
              </w:rPr>
            </w:r>
            <w:r/>
          </w:p>
        </w:tc>
        <w:tc>
          <w:tcPr>
            <w:tcW w:w="788" w:type="dxa"/>
            <w:vAlign w:val="center"/>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5"/>
        </w:trPr>
        <w:tc>
          <w:tcPr>
            <w:gridSpan w:val="2"/>
            <w:shd w:val="clear" w:color="auto" w:fill="d8d8d8"/>
            <w:tcW w:w="5387"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客户</w:t>
            </w:r>
            <w:r>
              <w:rPr>
                <w:rFonts w:hint="eastAsia" w:ascii="宋体" w:hAnsi="宋体" w:eastAsia="宋体" w:cs="宋体"/>
                <w:b/>
                <w:bCs/>
                <w:color w:val="000000"/>
                <w:sz w:val="24"/>
                <w:szCs w:val="24"/>
                <w:highlight w:val="none"/>
                <w:lang w:val="en-US" w:eastAsia="zh-CN"/>
              </w:rPr>
              <w:t xml:space="preserve">联系</w:t>
            </w:r>
            <w:r>
              <w:rPr>
                <w:rFonts w:hint="eastAsia" w:ascii="宋体" w:hAnsi="宋体" w:eastAsia="宋体" w:cs="宋体"/>
                <w:b/>
                <w:bCs/>
                <w:color w:val="000000"/>
                <w:sz w:val="24"/>
                <w:szCs w:val="24"/>
                <w:highlight w:val="none"/>
              </w:rPr>
              <w:t xml:space="preserve">人（签字盖章）</w:t>
            </w:r>
            <w:r>
              <w:rPr>
                <w:rFonts w:hint="eastAsia" w:ascii="宋体" w:hAnsi="宋体" w:eastAsia="宋体" w:cs="宋体"/>
                <w:b/>
                <w:bCs/>
                <w:color w:val="000000"/>
                <w:sz w:val="24"/>
                <w:szCs w:val="24"/>
                <w:highlight w:val="none"/>
              </w:rPr>
            </w:r>
            <w:r/>
          </w:p>
        </w:tc>
        <w:tc>
          <w:tcPr>
            <w:gridSpan w:val="5"/>
            <w:tcW w:w="4531" w:type="dxa"/>
            <w:vAlign w:val="center"/>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第六章 评审方法及评审标准</w:t>
      </w:r>
      <w:r>
        <w:rPr>
          <w:rFonts w:hint="eastAsia" w:ascii="宋体" w:hAnsi="宋体" w:eastAsia="宋体" w:cs="宋体"/>
          <w:b/>
          <w:bCs/>
          <w:color w:val="000000"/>
          <w:sz w:val="24"/>
          <w:szCs w:val="24"/>
          <w:highlight w:val="none"/>
        </w:rPr>
      </w:r>
      <w:r/>
    </w:p>
    <w:p>
      <w:pPr>
        <w:pStyle w:val="94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一、评审方法</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1、本次评审方法采用综合评分法，即在满足磋商文件实质性要求前提下，按照磋商文件中规定的评审标准和各项因素进行综合评审，以评审总得分最高的供应商作为成交候选人。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％（权重），技术与质量及其它占</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6、磋商小组对最后报价进行复核，报价以大写为准。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评分标准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t xml:space="preserve">技术及其他分值占总分值的比重为</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（一）价格得分（</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第一步：响应报价（最终报价）不超过采购预算价格及最高限价的为有效报价，超出此范围的响应报价视为无效，其响应文件不进行评审，也不得标。</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响应报价得分＝（评标基准价/最终报价）×价格权值×100％。</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（二）项目需求理解（</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能准确理解姑苏智慧教育往期、苏慧教育教学资源管理、智慧体育综合监管等系统建设现状，能准确理解各层级业务需求，熟悉姑苏智慧教育往期、苏慧教育教学资源管理、智慧体育综合监管等系统应用情况、业务流程、数据流转和业务使用场景等相关详情。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分；综合评定一般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方案理解缺乏，可操作性一般得4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（三）技术方案：</w:t>
      </w:r>
      <w:r>
        <w:rPr>
          <w:rFonts w:hint="eastAsia" w:ascii="宋体" w:hAnsi="宋体" w:eastAsia="宋体" w:cs="宋体"/>
          <w:b/>
          <w:bCs/>
          <w:color w:val="000000"/>
          <w:sz w:val="24"/>
          <w:szCs w:val="24"/>
          <w:highlight w:val="none"/>
          <w:lang w:val="en-US" w:eastAsia="zh-CN"/>
        </w:rPr>
        <w:t xml:space="preserve">46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val="en-US" w:eastAsia="zh-CN"/>
        </w:rPr>
        <w:outlineLvl w:val="2"/>
      </w:pPr>
      <w:r/>
      <w:bookmarkStart w:id="9" w:name="_Hlk106108656"/>
      <w:r>
        <w:rPr>
          <w:rFonts w:hint="eastAsia" w:ascii="宋体" w:hAnsi="宋体" w:eastAsia="宋体" w:cs="宋体"/>
          <w:color w:val="000000"/>
          <w:sz w:val="24"/>
          <w:szCs w:val="24"/>
          <w:highlight w:val="none"/>
        </w:rPr>
        <w:t xml:space="preserve">1、智慧</w:t>
      </w:r>
      <w:r>
        <w:rPr>
          <w:rFonts w:hint="eastAsia" w:ascii="宋体" w:hAnsi="宋体" w:eastAsia="宋体" w:cs="宋体"/>
          <w:color w:val="000000"/>
          <w:sz w:val="24"/>
          <w:szCs w:val="24"/>
          <w:highlight w:val="none"/>
          <w:lang w:val="en-US" w:eastAsia="zh-CN"/>
        </w:rPr>
        <w:t xml:space="preserve">教育往</w:t>
      </w:r>
      <w:r>
        <w:rPr>
          <w:rFonts w:hint="eastAsia" w:ascii="宋体" w:hAnsi="宋体" w:eastAsia="宋体" w:cs="宋体"/>
          <w:color w:val="000000"/>
          <w:sz w:val="24"/>
          <w:szCs w:val="24"/>
          <w:highlight w:val="none"/>
        </w:rPr>
        <w:t xml:space="preserve">期、苏慧教育教学资源管理、智慧体育综合监管等系统运维</w:t>
      </w:r>
      <w:r>
        <w:rPr>
          <w:rFonts w:hint="eastAsia" w:ascii="宋体" w:hAnsi="宋体" w:eastAsia="宋体" w:cs="宋体"/>
          <w:color w:val="000000"/>
          <w:sz w:val="24"/>
          <w:szCs w:val="24"/>
          <w:highlight w:val="none"/>
          <w:lang w:val="en-US" w:eastAsia="zh-CN"/>
        </w:rPr>
        <w:t xml:space="preserve">方案：6分</w:t>
      </w:r>
      <w:r>
        <w:rPr>
          <w:rFonts w:hint="eastAsia" w:ascii="宋体" w:hAnsi="宋体" w:eastAsia="宋体" w:cs="宋体"/>
          <w:color w:val="000000"/>
          <w:sz w:val="24"/>
          <w:szCs w:val="24"/>
          <w:highlight w:val="none"/>
          <w:lang w:val="en-US" w:eastAsia="zh-CN"/>
        </w:rPr>
      </w:r>
      <w:r/>
    </w:p>
    <w:p>
      <w:pPr>
        <w:pStyle w:val="943"/>
        <w:ind w:firstLine="48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响应供应商能够准确理解智慧教育往期、苏慧教育教学资源管理、智慧体育综合监管等系统</w:t>
      </w:r>
      <w:r>
        <w:rPr>
          <w:rFonts w:hint="eastAsia" w:ascii="宋体" w:hAnsi="宋体" w:eastAsia="宋体" w:cs="宋体"/>
          <w:color w:val="000000"/>
          <w:sz w:val="24"/>
          <w:szCs w:val="24"/>
          <w:highlight w:val="none"/>
          <w:lang w:val="en-US" w:eastAsia="zh-CN"/>
        </w:rPr>
        <w:t xml:space="preserve">运维情况</w:t>
      </w:r>
      <w:r>
        <w:rPr>
          <w:rFonts w:hint="eastAsia" w:ascii="宋体" w:hAnsi="宋体" w:eastAsia="宋体" w:cs="宋体"/>
          <w:color w:val="000000"/>
          <w:sz w:val="24"/>
          <w:szCs w:val="24"/>
          <w:highlight w:val="none"/>
        </w:rPr>
        <w:t xml:space="preserve">，方案中系统日常运行保障方案设计详细</w:t>
      </w:r>
      <w:r>
        <w:rPr>
          <w:rFonts w:hint="eastAsia" w:ascii="宋体" w:hAnsi="宋体" w:eastAsia="宋体" w:cs="宋体"/>
          <w:color w:val="000000"/>
          <w:sz w:val="24"/>
          <w:szCs w:val="24"/>
          <w:highlight w:val="none"/>
          <w:lang w:eastAsia="zh-CN"/>
        </w:rPr>
        <w:t xml:space="preserve">，系统业务支撑方案</w:t>
      </w:r>
      <w:r>
        <w:rPr>
          <w:rFonts w:hint="eastAsia" w:ascii="宋体" w:hAnsi="宋体" w:eastAsia="宋体" w:cs="宋体"/>
          <w:color w:val="000000"/>
          <w:sz w:val="24"/>
          <w:szCs w:val="24"/>
          <w:highlight w:val="none"/>
        </w:rPr>
        <w:t xml:space="preserve">设计合理，提供科学合理的系统运维过程管理方案。综合评定优秀：方案理解准确，分析透彻，方案详细，可操作性好的得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lang w:val="en-US"/>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学业大数据运营服务方案：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bookmarkEnd w:id="9"/>
      <w:r>
        <w:rPr>
          <w:rFonts w:hint="eastAsia" w:ascii="宋体" w:hAnsi="宋体" w:eastAsia="宋体" w:cs="宋体"/>
          <w:color w:val="000000"/>
          <w:sz w:val="24"/>
          <w:szCs w:val="24"/>
          <w:highlight w:val="none"/>
        </w:rPr>
        <w:t xml:space="preserve">响应供应商能够准确理解学业大数据</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系统业务流程、使用场景等详细情况，方案中学业大数据教学资源数据准备服务方案设计详细</w:t>
      </w:r>
      <w:r>
        <w:rPr>
          <w:rFonts w:hint="eastAsia" w:ascii="宋体" w:hAnsi="宋体" w:eastAsia="宋体" w:cs="宋体"/>
          <w:color w:val="000000"/>
          <w:sz w:val="24"/>
          <w:szCs w:val="24"/>
          <w:highlight w:val="none"/>
          <w:lang w:eastAsia="zh-CN"/>
        </w:rPr>
        <w:t xml:space="preserve">，学业</w:t>
      </w:r>
      <w:r>
        <w:rPr>
          <w:rFonts w:hint="eastAsia" w:ascii="宋体" w:hAnsi="宋体" w:eastAsia="宋体" w:cs="宋体"/>
          <w:color w:val="000000"/>
          <w:sz w:val="24"/>
          <w:szCs w:val="24"/>
          <w:highlight w:val="none"/>
          <w:lang w:val="en-US" w:eastAsia="zh-CN"/>
        </w:rPr>
        <w:t xml:space="preserve">大数据</w:t>
      </w:r>
      <w:r>
        <w:rPr>
          <w:rFonts w:hint="eastAsia" w:ascii="宋体" w:hAnsi="宋体" w:eastAsia="宋体" w:cs="宋体"/>
          <w:color w:val="000000"/>
          <w:sz w:val="24"/>
          <w:szCs w:val="24"/>
          <w:highlight w:val="none"/>
          <w:lang w:eastAsia="zh-CN"/>
        </w:rPr>
        <w:t xml:space="preserve">业务支撑和数据运营等服务方案</w:t>
      </w:r>
      <w:r>
        <w:rPr>
          <w:rFonts w:hint="eastAsia" w:ascii="宋体" w:hAnsi="宋体" w:eastAsia="宋体" w:cs="宋体"/>
          <w:color w:val="000000"/>
          <w:sz w:val="24"/>
          <w:szCs w:val="24"/>
          <w:highlight w:val="none"/>
        </w:rPr>
        <w:t xml:space="preserve">设计合理，提供科学合理的学业数据回流决策平台数据分析服务方案。综合评定优秀：方案理解准确，分析透彻，方案详细，可操作性好的得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、教育决策大数据运营服务方案：</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响应供应商能准确掌握教育场景下各层级业务决策需求和各业务条线数据流转情况，方案中教育场景下各层级平台数据互通方案设计详细，各业务条线数据采集、汇聚与分析服务方案设计</w:t>
      </w:r>
      <w:r>
        <w:rPr>
          <w:rFonts w:hint="eastAsia" w:ascii="宋体" w:hAnsi="宋体" w:eastAsia="宋体" w:cs="宋体"/>
          <w:color w:val="000000"/>
          <w:sz w:val="24"/>
          <w:szCs w:val="24"/>
          <w:highlight w:val="none"/>
          <w:lang w:val="en-US" w:eastAsia="zh-CN"/>
        </w:rPr>
        <w:t xml:space="preserve">合理，初中校教育决策分析服务方案设计详细，</w:t>
      </w:r>
      <w:r>
        <w:rPr>
          <w:rFonts w:hint="eastAsia" w:ascii="宋体" w:hAnsi="宋体" w:eastAsia="宋体" w:cs="宋体"/>
          <w:color w:val="000000"/>
          <w:sz w:val="24"/>
          <w:szCs w:val="24"/>
          <w:highlight w:val="none"/>
        </w:rPr>
        <w:t xml:space="preserve">提供科学合理的</w:t>
      </w:r>
      <w:r>
        <w:rPr>
          <w:rFonts w:hint="eastAsia" w:ascii="宋体" w:hAnsi="宋体" w:eastAsia="宋体" w:cs="宋体"/>
          <w:color w:val="000000"/>
          <w:sz w:val="24"/>
          <w:szCs w:val="24"/>
          <w:highlight w:val="none"/>
          <w:lang w:val="en-US" w:eastAsia="zh-CN"/>
        </w:rPr>
        <w:t xml:space="preserve">学生生源分析服务方案。</w:t>
      </w:r>
      <w:r>
        <w:rPr>
          <w:rFonts w:hint="eastAsia" w:ascii="宋体" w:hAnsi="宋体" w:eastAsia="宋体" w:cs="宋体"/>
          <w:color w:val="000000"/>
          <w:sz w:val="24"/>
          <w:szCs w:val="24"/>
          <w:highlight w:val="none"/>
        </w:rPr>
        <w:t xml:space="preserve">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、教师招聘、职称评定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人才考核</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val="en-US" w:eastAsia="zh-CN"/>
        </w:rPr>
        <w:t xml:space="preserve">幼儿</w:t>
      </w:r>
      <w:r>
        <w:rPr>
          <w:rFonts w:hint="eastAsia" w:ascii="宋体" w:hAnsi="宋体" w:eastAsia="宋体" w:cs="宋体"/>
          <w:color w:val="000000"/>
          <w:sz w:val="24"/>
          <w:szCs w:val="24"/>
          <w:highlight w:val="none"/>
        </w:rPr>
        <w:t xml:space="preserve">招生运营服务方案：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响应供应商能准确掌握教师招聘、职称评定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人才考核</w:t>
      </w:r>
      <w:r>
        <w:rPr>
          <w:rFonts w:hint="eastAsia" w:ascii="宋体" w:hAnsi="宋体" w:eastAsia="宋体" w:cs="宋体"/>
          <w:color w:val="000000"/>
          <w:sz w:val="24"/>
          <w:szCs w:val="24"/>
          <w:highlight w:val="none"/>
        </w:rPr>
        <w:t xml:space="preserve">和幼儿招生平台建设情况，方案中教师招聘过程环节详细服务方案设计详细，职称评定与人才考核过程环节详细服务方案</w:t>
      </w:r>
      <w:r>
        <w:rPr>
          <w:rFonts w:hint="eastAsia" w:ascii="宋体" w:hAnsi="宋体" w:eastAsia="宋体" w:cs="宋体"/>
          <w:color w:val="000000"/>
          <w:sz w:val="24"/>
          <w:szCs w:val="24"/>
          <w:highlight w:val="none"/>
          <w:lang w:val="en-US" w:eastAsia="zh-CN"/>
        </w:rPr>
        <w:t xml:space="preserve">设计合理，提供科学合理的幼儿招生过程环节详细服务方案</w:t>
      </w:r>
      <w:r>
        <w:rPr>
          <w:rFonts w:hint="eastAsia" w:ascii="宋体" w:hAnsi="宋体" w:eastAsia="宋体" w:cs="宋体"/>
          <w:color w:val="000000"/>
          <w:sz w:val="24"/>
          <w:szCs w:val="24"/>
          <w:highlight w:val="none"/>
        </w:rPr>
        <w:t xml:space="preserve">。综合评定优秀：方案理解准确，分析透彻，方案详细，可操作性好的得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、姑苏区老年大学在线报名平台项目租赁服务方案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val="en-US" w:eastAsia="zh-CN"/>
        </w:rPr>
      </w:r>
      <w:r/>
    </w:p>
    <w:p>
      <w:pPr>
        <w:pStyle w:val="94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响应供应商能提供详细全面的平台业务支撑和数据运营服务方案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提供科学合理的平台运行情况监控和培训服务方案</w:t>
      </w:r>
      <w:r>
        <w:rPr>
          <w:rFonts w:hint="eastAsia" w:ascii="宋体" w:hAnsi="宋体" w:eastAsia="宋体" w:cs="宋体"/>
          <w:color w:val="000000"/>
          <w:sz w:val="24"/>
          <w:szCs w:val="24"/>
          <w:highlight w:val="none"/>
        </w:rPr>
        <w:t xml:space="preserve">。综合评定优秀：方案理解准确，分析透彻，方案详细，可操作性好的得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lang w:val="en-US" w:eastAsia="zh-CN"/>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响应供应商能提供的详细全面的项目计划与进度安排、实施方案、培训方案和</w:t>
      </w:r>
      <w:r>
        <w:rPr>
          <w:rFonts w:hint="eastAsia" w:ascii="宋体" w:hAnsi="宋体" w:eastAsia="宋体" w:cs="宋体"/>
          <w:color w:val="000000"/>
          <w:sz w:val="24"/>
          <w:szCs w:val="24"/>
          <w:highlight w:val="none"/>
          <w:lang w:val="en-US" w:eastAsia="zh-CN"/>
        </w:rPr>
        <w:t xml:space="preserve">运营质量控制</w:t>
      </w:r>
      <w:r>
        <w:rPr>
          <w:rFonts w:hint="eastAsia" w:ascii="宋体" w:hAnsi="宋体" w:eastAsia="宋体" w:cs="宋体"/>
          <w:color w:val="000000"/>
          <w:sz w:val="24"/>
          <w:szCs w:val="24"/>
          <w:highlight w:val="none"/>
        </w:rPr>
        <w:t xml:space="preserve">方案。综合评定优秀：方案理解准确，分析透彻，方案详细，可操作性好的得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项目维护方案（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响应供应商能够针对本项目提供详细的平台维护和</w:t>
      </w:r>
      <w:r>
        <w:rPr>
          <w:rFonts w:hint="eastAsia" w:ascii="宋体" w:hAnsi="宋体" w:eastAsia="宋体" w:cs="宋体"/>
          <w:color w:val="000000"/>
          <w:sz w:val="24"/>
          <w:szCs w:val="24"/>
          <w:highlight w:val="none"/>
          <w:lang w:val="en-US" w:eastAsia="zh-CN"/>
        </w:rPr>
        <w:t xml:space="preserve">安全实施</w:t>
      </w:r>
      <w:r>
        <w:rPr>
          <w:rFonts w:hint="eastAsia" w:ascii="宋体" w:hAnsi="宋体" w:eastAsia="宋体" w:cs="宋体"/>
          <w:color w:val="000000"/>
          <w:sz w:val="24"/>
          <w:szCs w:val="24"/>
          <w:highlight w:val="none"/>
        </w:rPr>
        <w:t xml:space="preserve">方案。综合评定优秀：方案理解准确，分析透彻，方案详细，可操作性好的得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、应急保障方案（</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根据响应供应商制定的应急保障方案，包括响应时间、故障处理、应急方案等进行评分；综合评定优秀：方案理解准确，分析透彻，方案详细，可操作性好的得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outlineLvl w:val="1"/>
      </w:pPr>
      <w:r/>
      <w:bookmarkStart w:id="10" w:name="_Toc102811854"/>
      <w:r>
        <w:rPr>
          <w:rFonts w:hint="eastAsia" w:ascii="宋体" w:hAnsi="宋体" w:eastAsia="宋体" w:cs="宋体"/>
          <w:b/>
          <w:bCs/>
          <w:color w:val="000000"/>
          <w:sz w:val="24"/>
          <w:szCs w:val="24"/>
          <w:highlight w:val="none"/>
        </w:rPr>
        <w:t xml:space="preserve">（四）投入本项目人员综合配置（</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bookmarkEnd w:id="10"/>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1、项目负责人（</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本项目配备的项目核心团队成员具有与项目相关系统集成项目管理工程师、信息系统管理工程师，具备一个得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分。不具备不得分。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（注：响应文件中须提供相关人员证书、证明复印件以及响应单位为其缴纳的最近一期社保证明复印件并加盖投标单位公章，未提供不得分。）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（五）投标单位体系认证情况（</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投标单位具备有效期内的质量管理体系认证证书、环境管理体系认证证书、职业健康安全管理体系认证证书，每提供一个得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响应单位具备有效期内的信息安全管理体系认证证书得2分。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（注：投标文件中须提供以上证书复印件并加盖投标单位公章或中国国家认证认可监督管理委员会网站上查询的完整页面截图并加盖投标单位公章，未提供不得分。）</w:t>
      </w:r>
      <w:r>
        <w:rPr>
          <w:rFonts w:hint="eastAsia" w:ascii="宋体" w:hAnsi="宋体" w:eastAsia="宋体" w:cs="宋体"/>
          <w:b/>
          <w:bCs/>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（六）类似项目业绩（6分）</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投标单位提供项目业绩案例，每提供一个得2分，最高6分。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（注：投标文件中须提供合同复印件并加盖投标单位公章，不提供不得分。类似业绩日期认定：以签订合同日期为准）</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备注：</w:t>
      </w:r>
      <w:r>
        <w:rPr>
          <w:rFonts w:hint="eastAsia" w:ascii="宋体" w:hAnsi="宋体" w:eastAsia="宋体" w:cs="宋体"/>
          <w:b w:val="0"/>
          <w:bCs/>
          <w:color w:val="000000"/>
          <w:sz w:val="24"/>
          <w:szCs w:val="24"/>
          <w:highlight w:val="none"/>
        </w:rPr>
      </w:r>
      <w:r/>
    </w:p>
    <w:p>
      <w:pPr>
        <w:pStyle w:val="94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1.针对评分标准中评分的每一条，供应商均应提供相关资料并作出相应说明供评委评判，不提供相关资料的视为不具备该项得分的条件。</w:t>
      </w:r>
      <w:r>
        <w:rPr>
          <w:rFonts w:hint="eastAsia" w:ascii="宋体" w:hAnsi="宋体" w:eastAsia="宋体" w:cs="宋体"/>
          <w:b w:val="0"/>
          <w:bCs/>
          <w:color w:val="000000"/>
          <w:sz w:val="24"/>
          <w:szCs w:val="24"/>
          <w:highlight w:val="none"/>
        </w:rPr>
      </w:r>
      <w:r/>
    </w:p>
    <w:p>
      <w:pPr>
        <w:pStyle w:val="94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2.响应文件中如出现前后不一致时，评委有权请供应商澄清说明，澄清说明事项涉及评分时，评委有权酌情扣分。</w:t>
      </w:r>
      <w:r>
        <w:rPr>
          <w:rFonts w:hint="eastAsia" w:ascii="宋体" w:hAnsi="宋体" w:eastAsia="宋体" w:cs="宋体"/>
          <w:b w:val="0"/>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评审说明：其他评审未尽事宜由评审委员会根据有关规定讨论决定。</w:t>
      </w:r>
      <w:r>
        <w:rPr>
          <w:rFonts w:hint="eastAsia" w:ascii="宋体" w:hAnsi="宋体" w:eastAsia="宋体" w:cs="宋体"/>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ind w:firstLine="482"/>
        <w:spacing w:line="360" w:lineRule="auto"/>
        <w:rPr>
          <w:rStyle w:val="1130"/>
          <w:rFonts w:hint="eastAsia" w:ascii="宋体" w:hAnsi="宋体" w:eastAsia="宋体" w:cs="宋体"/>
          <w:b/>
          <w:color w:val="000000"/>
          <w:sz w:val="24"/>
          <w:szCs w:val="24"/>
          <w:highlight w:val="none"/>
        </w:rPr>
      </w:pPr>
      <w:r>
        <w:rPr>
          <w:rStyle w:val="1130"/>
          <w:rFonts w:hint="eastAsia" w:ascii="宋体" w:hAnsi="宋体" w:eastAsia="宋体" w:cs="宋体"/>
          <w:b/>
          <w:color w:val="000000"/>
          <w:sz w:val="24"/>
          <w:szCs w:val="24"/>
          <w:highlight w:val="none"/>
        </w:rPr>
        <w:t xml:space="preserve">三、政府采购政策： </w:t>
      </w:r>
      <w:r>
        <w:rPr>
          <w:rStyle w:val="1130"/>
          <w:rFonts w:hint="eastAsia" w:ascii="宋体" w:hAnsi="宋体" w:eastAsia="宋体" w:cs="宋体"/>
          <w:b/>
          <w:color w:val="000000"/>
          <w:sz w:val="24"/>
          <w:szCs w:val="24"/>
          <w:highlight w:val="none"/>
        </w:rPr>
      </w:r>
      <w:r/>
    </w:p>
    <w:p>
      <w:pPr>
        <w:pStyle w:val="943"/>
        <w:ind w:firstLine="480"/>
        <w:spacing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1、针对中小型企业的评审：</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（1）本项目专门面向中小企业采购。</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943"/>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（3）本项目采购标的对应的中小企业划型标准规定所属行业为：</w:t>
      </w:r>
      <w:r>
        <w:rPr>
          <w:rFonts w:hint="eastAsia" w:ascii="宋体" w:hAnsi="宋体" w:eastAsia="宋体" w:cs="宋体"/>
          <w:b/>
          <w:bCs/>
          <w:color w:val="000000"/>
          <w:sz w:val="24"/>
          <w:szCs w:val="24"/>
          <w:highlight w:val="none"/>
          <w:lang w:eastAsia="zh-CN"/>
        </w:rPr>
        <w:t xml:space="preserve">软件和信息技术服务业</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Style w:val="1130"/>
          <w:rFonts w:hint="eastAsia" w:ascii="宋体" w:hAnsi="宋体" w:eastAsia="宋体" w:cs="宋体"/>
          <w:bCs/>
          <w:color w:val="000000"/>
          <w:sz w:val="24"/>
          <w:szCs w:val="24"/>
          <w:highlight w:val="none"/>
        </w:rPr>
        <w:t xml:space="preserve">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highlight w:val="none"/>
        </w:rPr>
      </w:r>
      <w:r/>
    </w:p>
    <w:p>
      <w:pPr>
        <w:pStyle w:val="94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未按本项目采购标的对应的中小企业划型标准规定所属行业承诺的《中小企业声明函》为无效《中小企业声明函》。</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3、针对监狱企业的评审：</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根据财政部、司法部《关于政府采购支持监狱企业发展有关问题的通知》（财库〔2014〕68号）的规定，对属于监狱企业的供应商给予评审：</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4、针对残疾人福利性单位的评审：</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000000"/>
          <w:sz w:val="24"/>
          <w:szCs w:val="24"/>
          <w:highlight w:val="none"/>
        </w:rPr>
        <w:t xml:space="preserve">的规定</w:t>
      </w:r>
      <w:r>
        <w:rPr>
          <w:rFonts w:hint="eastAsia" w:ascii="宋体" w:hAnsi="宋体" w:eastAsia="宋体" w:cs="宋体"/>
          <w:color w:val="000000"/>
          <w:sz w:val="24"/>
          <w:szCs w:val="24"/>
          <w:highlight w:val="none"/>
        </w:rPr>
        <w:t xml:space="preserve">，对属于残疾人福利性单位的供应商给予评审：</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根据供应商提供的《残疾人福利性单位声明函》。</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（1）供应商对上述声明的真实性负责，若供应商提供的《残疾人福利性单位声明函》与事实不符的，依照《政府采购法》第七十七条第一款的规定追究法律责任。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5、上述针对中小型企业、监狱企业和残疾人福利性单位的评审政策不重复享受</w:t>
      </w:r>
      <w:r>
        <w:rPr>
          <w:rFonts w:hint="eastAsia" w:ascii="宋体" w:hAnsi="宋体" w:eastAsia="宋体" w:cs="宋体"/>
          <w:color w:val="000000"/>
          <w:sz w:val="24"/>
          <w:szCs w:val="24"/>
          <w:highlight w:val="none"/>
          <w:lang w:eastAsia="zh-CN"/>
        </w:rPr>
        <w:t xml:space="preserve">。</w:t>
      </w:r>
      <w:r/>
    </w:p>
    <w:sectPr>
      <w:footnotePr/>
      <w:endnotePr/>
      <w:type w:val="nextPage"/>
      <w:pgSz w:w="11906" w:h="16838" w:orient="portrait"/>
      <w:pgMar w:top="1134" w:right="1134" w:bottom="1134" w:left="1134" w:header="851"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Batang">
    <w:panose1 w:val="02010600040101010101"/>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right="360"/>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left"/>
      <w:tabs>
        <w:tab w:val="center" w:pos="4153" w:leader="none"/>
        <w:tab w:val="right" w:pos="8306" w:leader="none"/>
      </w:tabs>
      <w:rPr>
        <w:rFonts w:hint="eastAsia" w:ascii="宋体" w:hAnsi="宋体" w:eastAsia="宋体" w:cs="宋体"/>
        <w:lang w:eastAsia="zh-CN"/>
      </w:rPr>
    </w:pPr>
    <w:r>
      <w:rPr>
        <w:rFonts w:hint="eastAsia" w:ascii="宋体" w:hAnsi="宋体" w:cs="宋体"/>
      </w:rPr>
      <w:t xml:space="preserve">政府采购文件                                                        </w:t>
    </w:r>
    <w:r>
      <w:rPr>
        <w:rFonts w:ascii="宋体" w:hAnsi="宋体"/>
      </w:rPr>
      <w:t xml:space="preserve"> </w:t>
    </w:r>
    <w:r>
      <w:rPr>
        <w:rFonts w:hint="eastAsia" w:ascii="宋体" w:hAnsi="宋体"/>
      </w:rPr>
      <w:t xml:space="preserve">项目编号：</w:t>
    </w:r>
    <w:r>
      <w:rPr>
        <w:rFonts w:hint="eastAsia" w:ascii="宋体" w:hAnsi="宋体" w:cs="宋体"/>
        <w:lang w:eastAsia="zh-CN"/>
      </w:rPr>
      <w:t xml:space="preserve">JSZC-320508-SZZJ-C2026-0032</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9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43"/>
    <w:next w:val="943"/>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43"/>
    <w:next w:val="943"/>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43"/>
    <w:next w:val="943"/>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3"/>
    <w:next w:val="943"/>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3"/>
    <w:next w:val="943"/>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3"/>
    <w:next w:val="943"/>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3"/>
    <w:next w:val="943"/>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3"/>
    <w:next w:val="943"/>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3"/>
    <w:next w:val="943"/>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No Spacing"/>
    <w:uiPriority w:val="1"/>
    <w:qFormat/>
    <w:pPr>
      <w:spacing w:before="0" w:after="0" w:line="240" w:lineRule="auto"/>
    </w:pPr>
  </w:style>
  <w:style w:type="paragraph" w:styleId="785">
    <w:name w:val="Title"/>
    <w:basedOn w:val="943"/>
    <w:next w:val="943"/>
    <w:link w:val="786"/>
    <w:uiPriority w:val="10"/>
    <w:qFormat/>
    <w:pPr>
      <w:contextualSpacing/>
      <w:spacing w:before="300" w:after="200"/>
    </w:pPr>
    <w:rPr>
      <w:sz w:val="48"/>
      <w:szCs w:val="48"/>
    </w:rPr>
  </w:style>
  <w:style w:type="character" w:styleId="786">
    <w:name w:val="Title Char"/>
    <w:link w:val="785"/>
    <w:uiPriority w:val="10"/>
    <w:rPr>
      <w:sz w:val="48"/>
      <w:szCs w:val="48"/>
    </w:rPr>
  </w:style>
  <w:style w:type="paragraph" w:styleId="787">
    <w:name w:val="Subtitle"/>
    <w:basedOn w:val="943"/>
    <w:next w:val="943"/>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3"/>
    <w:next w:val="943"/>
    <w:link w:val="790"/>
    <w:uiPriority w:val="29"/>
    <w:qFormat/>
    <w:pPr>
      <w:ind w:left="720" w:right="720"/>
    </w:pPr>
    <w:rPr>
      <w:i/>
    </w:rPr>
  </w:style>
  <w:style w:type="character" w:styleId="790">
    <w:name w:val="Quote Char"/>
    <w:link w:val="789"/>
    <w:uiPriority w:val="29"/>
    <w:rPr>
      <w:i/>
    </w:rPr>
  </w:style>
  <w:style w:type="paragraph" w:styleId="791">
    <w:name w:val="Intense Quote"/>
    <w:basedOn w:val="943"/>
    <w:next w:val="943"/>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3"/>
    <w:link w:val="794"/>
    <w:uiPriority w:val="99"/>
    <w:unhideWhenUsed/>
    <w:pPr>
      <w:spacing w:after="0" w:line="240" w:lineRule="auto"/>
      <w:tabs>
        <w:tab w:val="center" w:pos="7143" w:leader="none"/>
        <w:tab w:val="right" w:pos="14287" w:leader="none"/>
      </w:tabs>
    </w:pPr>
  </w:style>
  <w:style w:type="character" w:styleId="794">
    <w:name w:val="Header Char"/>
    <w:link w:val="793"/>
    <w:uiPriority w:val="99"/>
  </w:style>
  <w:style w:type="paragraph" w:styleId="795">
    <w:name w:val="Footer"/>
    <w:basedOn w:val="943"/>
    <w:link w:val="798"/>
    <w:uiPriority w:val="99"/>
    <w:unhideWhenUsed/>
    <w:pPr>
      <w:spacing w:after="0" w:line="240" w:lineRule="auto"/>
      <w:tabs>
        <w:tab w:val="center" w:pos="7143" w:leader="none"/>
        <w:tab w:val="right" w:pos="14287" w:leader="none"/>
      </w:tabs>
    </w:pPr>
  </w:style>
  <w:style w:type="character" w:styleId="796">
    <w:name w:val="Footer Char"/>
    <w:link w:val="795"/>
    <w:uiPriority w:val="99"/>
  </w:style>
  <w:style w:type="paragraph" w:styleId="797">
    <w:name w:val="Caption"/>
    <w:basedOn w:val="943"/>
    <w:next w:val="943"/>
    <w:uiPriority w:val="35"/>
    <w:semiHidden/>
    <w:unhideWhenUsed/>
    <w:qFormat/>
    <w:pPr>
      <w:spacing w:line="276" w:lineRule="auto"/>
    </w:pPr>
    <w:rPr>
      <w:b/>
      <w:bCs/>
      <w:color w:val="4f81bd" w:themeColor="accent1"/>
      <w:sz w:val="18"/>
      <w:szCs w:val="18"/>
    </w:rPr>
  </w:style>
  <w:style w:type="character" w:styleId="798">
    <w:name w:val="Caption Char"/>
    <w:basedOn w:val="797"/>
    <w:link w:val="795"/>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3"/>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1"/>
    <w:basedOn w:val="943"/>
    <w:next w:val="943"/>
    <w:uiPriority w:val="39"/>
    <w:unhideWhenUsed/>
    <w:pPr>
      <w:ind w:left="0" w:right="0" w:firstLine="0"/>
      <w:spacing w:after="57"/>
    </w:p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55"/>
    <w:link w:val="943"/>
    <w:qFormat/>
    <w:pPr>
      <w:jc w:val="both"/>
      <w:widowControl w:val="off"/>
    </w:pPr>
    <w:rPr>
      <w:rFonts w:eastAsia="楷体_GB2312"/>
      <w:sz w:val="26"/>
      <w:lang w:val="en-US" w:eastAsia="zh-CN" w:bidi="ar-SA"/>
    </w:rPr>
  </w:style>
  <w:style w:type="paragraph" w:styleId="944">
    <w:name w:val="标题 1"/>
    <w:basedOn w:val="943"/>
    <w:next w:val="943"/>
    <w:link w:val="957"/>
    <w:qFormat/>
    <w:pPr>
      <w:keepLines/>
      <w:keepNext/>
      <w:spacing w:before="340" w:after="330" w:line="578" w:lineRule="auto"/>
      <w:outlineLvl w:val="0"/>
    </w:pPr>
    <w:rPr>
      <w:b/>
      <w:sz w:val="44"/>
    </w:rPr>
  </w:style>
  <w:style w:type="paragraph" w:styleId="945">
    <w:name w:val="标题 2"/>
    <w:basedOn w:val="943"/>
    <w:next w:val="943"/>
    <w:link w:val="958"/>
    <w:qFormat/>
    <w:pPr>
      <w:jc w:val="left"/>
      <w:keepLines/>
      <w:keepNext/>
      <w:outlineLvl w:val="1"/>
    </w:pPr>
    <w:rPr>
      <w:rFonts w:ascii="宋体" w:hAnsi="宋体"/>
      <w:b/>
    </w:rPr>
  </w:style>
  <w:style w:type="paragraph" w:styleId="946">
    <w:name w:val="标题 3"/>
    <w:basedOn w:val="943"/>
    <w:next w:val="943"/>
    <w:link w:val="959"/>
    <w:qFormat/>
    <w:pPr>
      <w:jc w:val="left"/>
      <w:keepLines/>
      <w:keepNext/>
      <w:outlineLvl w:val="2"/>
    </w:pPr>
    <w:rPr>
      <w:b/>
    </w:rPr>
  </w:style>
  <w:style w:type="paragraph" w:styleId="947">
    <w:name w:val="标题 4"/>
    <w:basedOn w:val="943"/>
    <w:next w:val="943"/>
    <w:link w:val="960"/>
    <w:qFormat/>
    <w:pPr>
      <w:keepLines/>
      <w:keepNext/>
      <w:spacing w:before="280" w:after="290" w:line="376" w:lineRule="auto"/>
      <w:outlineLvl w:val="3"/>
    </w:pPr>
    <w:rPr>
      <w:rFonts w:ascii="Arial" w:hAnsi="Arial" w:eastAsia="黑体"/>
      <w:b/>
      <w:bCs/>
      <w:sz w:val="28"/>
      <w:szCs w:val="28"/>
    </w:rPr>
  </w:style>
  <w:style w:type="paragraph" w:styleId="948">
    <w:name w:val="标题 5"/>
    <w:basedOn w:val="943"/>
    <w:next w:val="943"/>
    <w:link w:val="961"/>
    <w:qFormat/>
    <w:pPr>
      <w:jc w:val="left"/>
      <w:keepLines/>
      <w:keepNext/>
      <w:spacing w:before="280" w:after="290" w:line="376" w:lineRule="atLeast"/>
      <w:outlineLvl w:val="4"/>
    </w:pPr>
    <w:rPr>
      <w:rFonts w:ascii="宋体" w:hAnsi="Tms Rmn" w:eastAsia="宋体"/>
      <w:b/>
      <w:sz w:val="28"/>
    </w:rPr>
  </w:style>
  <w:style w:type="paragraph" w:styleId="949">
    <w:name w:val="标题 6"/>
    <w:basedOn w:val="943"/>
    <w:next w:val="943"/>
    <w:link w:val="962"/>
    <w:qFormat/>
    <w:pPr>
      <w:jc w:val="left"/>
      <w:keepLines/>
      <w:keepNext/>
      <w:spacing w:before="240" w:after="64" w:line="320" w:lineRule="atLeast"/>
      <w:outlineLvl w:val="5"/>
    </w:pPr>
    <w:rPr>
      <w:rFonts w:ascii="黑体" w:hAnsi="Tms Rmn" w:eastAsia="黑体"/>
      <w:b/>
      <w:sz w:val="24"/>
    </w:rPr>
  </w:style>
  <w:style w:type="paragraph" w:styleId="950">
    <w:name w:val="标题 7"/>
    <w:basedOn w:val="943"/>
    <w:next w:val="943"/>
    <w:link w:val="963"/>
    <w:qFormat/>
    <w:pPr>
      <w:jc w:val="left"/>
      <w:keepLines/>
      <w:keepNext/>
      <w:spacing w:before="240" w:after="64" w:line="320" w:lineRule="atLeast"/>
      <w:outlineLvl w:val="6"/>
    </w:pPr>
    <w:rPr>
      <w:rFonts w:ascii="宋体" w:hAnsi="Tms Rmn" w:eastAsia="宋体"/>
      <w:b/>
      <w:sz w:val="24"/>
    </w:rPr>
  </w:style>
  <w:style w:type="paragraph" w:styleId="951">
    <w:name w:val="标题 8"/>
    <w:basedOn w:val="943"/>
    <w:next w:val="943"/>
    <w:link w:val="964"/>
    <w:qFormat/>
    <w:pPr>
      <w:keepLines/>
      <w:keepNext/>
      <w:spacing w:before="240" w:after="64" w:line="320" w:lineRule="auto"/>
      <w:outlineLvl w:val="7"/>
    </w:pPr>
    <w:rPr>
      <w:rFonts w:ascii="Arial" w:hAnsi="Arial" w:eastAsia="黑体"/>
      <w:sz w:val="24"/>
      <w:szCs w:val="24"/>
    </w:rPr>
  </w:style>
  <w:style w:type="paragraph" w:styleId="952">
    <w:name w:val="标题 9"/>
    <w:basedOn w:val="943"/>
    <w:next w:val="943"/>
    <w:link w:val="965"/>
    <w:qFormat/>
    <w:pPr>
      <w:keepLines/>
      <w:keepNext/>
      <w:spacing w:before="240" w:after="64" w:line="320" w:lineRule="auto"/>
      <w:outlineLvl w:val="8"/>
    </w:pPr>
    <w:rPr>
      <w:rFonts w:ascii="Arial" w:hAnsi="Arial" w:eastAsia="黑体"/>
      <w:sz w:val="24"/>
      <w:szCs w:val="21"/>
    </w:rPr>
  </w:style>
  <w:style w:type="character" w:styleId="953">
    <w:name w:val="默认段落字体"/>
    <w:next w:val="953"/>
    <w:link w:val="943"/>
    <w:rPr>
      <w:rFonts w:ascii="Tahoma" w:hAnsi="Tahoma" w:eastAsia="宋体"/>
      <w:sz w:val="24"/>
    </w:rPr>
  </w:style>
  <w:style w:type="table" w:styleId="954">
    <w:name w:val="普通表格"/>
    <w:next w:val="954"/>
    <w:link w:val="943"/>
    <w:uiPriority w:val="99"/>
    <w:unhideWhenUsed/>
    <w:tblPr/>
  </w:style>
  <w:style w:type="paragraph" w:styleId="955">
    <w:name w:val="正文文本缩进"/>
    <w:basedOn w:val="943"/>
    <w:next w:val="943"/>
    <w:link w:val="956"/>
    <w:pPr>
      <w:ind w:left="570"/>
      <w:spacing w:line="520" w:lineRule="exact"/>
    </w:pPr>
    <w:rPr>
      <w:rFonts w:ascii="方正仿宋简体" w:hAnsi="创艺简仿宋" w:eastAsia="方正仿宋简体"/>
      <w:sz w:val="24"/>
    </w:rPr>
  </w:style>
  <w:style w:type="character" w:styleId="956">
    <w:name w:val="正文文本缩进 字符"/>
    <w:next w:val="956"/>
    <w:link w:val="955"/>
    <w:rPr>
      <w:rFonts w:ascii="方正仿宋简体" w:hAnsi="创艺简仿宋" w:eastAsia="方正仿宋简体" w:cs="Times New Roman"/>
      <w:sz w:val="24"/>
      <w:szCs w:val="20"/>
    </w:rPr>
  </w:style>
  <w:style w:type="character" w:styleId="957">
    <w:name w:val="标题 1 字符"/>
    <w:next w:val="957"/>
    <w:link w:val="944"/>
    <w:rPr>
      <w:rFonts w:ascii="Times New Roman" w:hAnsi="Times New Roman" w:eastAsia="楷体_GB2312" w:cs="Times New Roman"/>
      <w:b/>
      <w:sz w:val="44"/>
      <w:szCs w:val="20"/>
    </w:rPr>
  </w:style>
  <w:style w:type="character" w:styleId="958">
    <w:name w:val="标题 2 字符"/>
    <w:next w:val="958"/>
    <w:link w:val="945"/>
    <w:rPr>
      <w:rFonts w:ascii="宋体" w:hAnsi="宋体" w:eastAsia="楷体_GB2312" w:cs="Times New Roman"/>
      <w:b/>
      <w:sz w:val="26"/>
      <w:szCs w:val="20"/>
    </w:rPr>
  </w:style>
  <w:style w:type="character" w:styleId="959">
    <w:name w:val="标题 3 字符"/>
    <w:next w:val="959"/>
    <w:link w:val="946"/>
    <w:rPr>
      <w:rFonts w:ascii="Times New Roman" w:hAnsi="Times New Roman" w:eastAsia="楷体_GB2312" w:cs="Times New Roman"/>
      <w:b/>
      <w:sz w:val="26"/>
      <w:szCs w:val="20"/>
    </w:rPr>
  </w:style>
  <w:style w:type="character" w:styleId="960">
    <w:name w:val="标题 4 字符"/>
    <w:next w:val="960"/>
    <w:link w:val="947"/>
    <w:rPr>
      <w:rFonts w:ascii="Arial" w:hAnsi="Arial" w:eastAsia="黑体" w:cs="Times New Roman"/>
      <w:b/>
      <w:bCs/>
      <w:sz w:val="28"/>
      <w:szCs w:val="28"/>
    </w:rPr>
  </w:style>
  <w:style w:type="character" w:styleId="961">
    <w:name w:val="标题 5 字符"/>
    <w:next w:val="961"/>
    <w:link w:val="948"/>
    <w:rPr>
      <w:rFonts w:ascii="宋体" w:hAnsi="Tms Rmn" w:eastAsia="宋体" w:cs="Times New Roman"/>
      <w:b/>
      <w:sz w:val="28"/>
      <w:szCs w:val="20"/>
    </w:rPr>
  </w:style>
  <w:style w:type="character" w:styleId="962">
    <w:name w:val="标题 6 字符"/>
    <w:next w:val="962"/>
    <w:link w:val="949"/>
    <w:rPr>
      <w:rFonts w:ascii="黑体" w:hAnsi="Tms Rmn" w:eastAsia="黑体" w:cs="Times New Roman"/>
      <w:b/>
      <w:sz w:val="24"/>
      <w:szCs w:val="20"/>
    </w:rPr>
  </w:style>
  <w:style w:type="character" w:styleId="963">
    <w:name w:val="标题 7 字符"/>
    <w:next w:val="963"/>
    <w:link w:val="950"/>
    <w:rPr>
      <w:rFonts w:ascii="宋体" w:hAnsi="Tms Rmn" w:eastAsia="宋体" w:cs="Times New Roman"/>
      <w:b/>
      <w:sz w:val="24"/>
      <w:szCs w:val="20"/>
    </w:rPr>
  </w:style>
  <w:style w:type="character" w:styleId="964">
    <w:name w:val="标题 8 字符"/>
    <w:next w:val="964"/>
    <w:link w:val="951"/>
    <w:rPr>
      <w:rFonts w:ascii="Arial" w:hAnsi="Arial" w:eastAsia="黑体" w:cs="Times New Roman"/>
      <w:sz w:val="24"/>
      <w:szCs w:val="24"/>
    </w:rPr>
  </w:style>
  <w:style w:type="character" w:styleId="965">
    <w:name w:val="标题 9 字符"/>
    <w:next w:val="965"/>
    <w:link w:val="952"/>
    <w:rPr>
      <w:rFonts w:ascii="Arial" w:hAnsi="Arial" w:eastAsia="黑体" w:cs="Times New Roman"/>
      <w:sz w:val="24"/>
      <w:szCs w:val="21"/>
    </w:rPr>
  </w:style>
  <w:style w:type="paragraph" w:styleId="966">
    <w:name w:val="目录 7"/>
    <w:basedOn w:val="944"/>
    <w:next w:val="943"/>
    <w:link w:val="943"/>
    <w:pPr>
      <w:ind w:left="2520"/>
    </w:pPr>
  </w:style>
  <w:style w:type="paragraph" w:styleId="967">
    <w:name w:val="索引 8"/>
    <w:basedOn w:val="943"/>
    <w:next w:val="943"/>
    <w:link w:val="943"/>
    <w:pPr>
      <w:ind w:left="2940"/>
    </w:pPr>
  </w:style>
  <w:style w:type="paragraph" w:styleId="968">
    <w:name w:val="列表编号"/>
    <w:basedOn w:val="943"/>
    <w:next w:val="968"/>
    <w:link w:val="943"/>
    <w:pPr>
      <w:ind w:left="1125" w:hanging="555"/>
      <w:tabs>
        <w:tab w:val="left" w:pos="1125" w:leader="none"/>
      </w:tabs>
    </w:pPr>
    <w:rPr>
      <w:rFonts w:eastAsia="宋体"/>
      <w:sz w:val="21"/>
      <w:szCs w:val="24"/>
    </w:rPr>
  </w:style>
  <w:style w:type="paragraph" w:styleId="969">
    <w:name w:val="正文缩进"/>
    <w:basedOn w:val="943"/>
    <w:next w:val="943"/>
    <w:link w:val="970"/>
    <w:qFormat/>
    <w:pPr>
      <w:ind w:firstLine="420"/>
      <w:jc w:val="left"/>
    </w:pPr>
    <w:rPr>
      <w:sz w:val="24"/>
    </w:rPr>
  </w:style>
  <w:style w:type="character" w:styleId="970">
    <w:name w:val="正文缩进 字符"/>
    <w:next w:val="970"/>
    <w:link w:val="969"/>
    <w:qFormat/>
    <w:rPr>
      <w:rFonts w:eastAsia="楷体_GB2312"/>
      <w:sz w:val="24"/>
    </w:rPr>
  </w:style>
  <w:style w:type="paragraph" w:styleId="971">
    <w:name w:val="索引 5"/>
    <w:basedOn w:val="943"/>
    <w:next w:val="943"/>
    <w:link w:val="943"/>
    <w:pPr>
      <w:ind w:left="1680"/>
    </w:pPr>
  </w:style>
  <w:style w:type="paragraph" w:styleId="972">
    <w:name w:val="文档结构图"/>
    <w:basedOn w:val="943"/>
    <w:next w:val="972"/>
    <w:link w:val="973"/>
    <w:pPr>
      <w:shd w:val="clear" w:color="auto" w:fill="000080"/>
    </w:pPr>
    <w:rPr>
      <w:rFonts w:eastAsia="宋体"/>
      <w:sz w:val="24"/>
      <w:shd w:val="clear" w:color="auto" w:fill="000080"/>
    </w:rPr>
  </w:style>
  <w:style w:type="character" w:styleId="973">
    <w:name w:val="文档结构图 字符"/>
    <w:next w:val="973"/>
    <w:link w:val="972"/>
    <w:rPr>
      <w:rFonts w:ascii="Times New Roman" w:hAnsi="Times New Roman" w:eastAsia="宋体" w:cs="Times New Roman"/>
      <w:sz w:val="24"/>
      <w:szCs w:val="20"/>
      <w:shd w:val="clear" w:color="auto" w:fill="000080"/>
    </w:rPr>
  </w:style>
  <w:style w:type="paragraph" w:styleId="974">
    <w:name w:val="批注文字"/>
    <w:basedOn w:val="943"/>
    <w:next w:val="974"/>
    <w:link w:val="975"/>
    <w:pPr>
      <w:jc w:val="left"/>
    </w:pPr>
  </w:style>
  <w:style w:type="character" w:styleId="975">
    <w:name w:val="批注文字 字符1"/>
    <w:next w:val="975"/>
    <w:link w:val="974"/>
    <w:rPr>
      <w:rFonts w:ascii="Times New Roman" w:hAnsi="Times New Roman" w:eastAsia="楷体_GB2312" w:cs="Times New Roman"/>
      <w:sz w:val="26"/>
      <w:szCs w:val="20"/>
    </w:rPr>
  </w:style>
  <w:style w:type="paragraph" w:styleId="976">
    <w:name w:val="索引 6"/>
    <w:basedOn w:val="943"/>
    <w:next w:val="943"/>
    <w:link w:val="943"/>
    <w:pPr>
      <w:ind w:left="2100"/>
    </w:pPr>
  </w:style>
  <w:style w:type="paragraph" w:styleId="977">
    <w:name w:val="正文文本"/>
    <w:basedOn w:val="943"/>
    <w:next w:val="977"/>
    <w:link w:val="978"/>
    <w:pPr>
      <w:spacing w:line="400" w:lineRule="exact"/>
    </w:pPr>
    <w:rPr>
      <w:rFonts w:ascii="楷体_GB2312"/>
      <w:sz w:val="28"/>
    </w:rPr>
  </w:style>
  <w:style w:type="character" w:styleId="978">
    <w:name w:val="正文文本 字符"/>
    <w:next w:val="978"/>
    <w:link w:val="977"/>
    <w:rPr>
      <w:rFonts w:ascii="楷体_GB2312" w:hAnsi="Times New Roman" w:eastAsia="楷体_GB2312" w:cs="Times New Roman"/>
      <w:sz w:val="28"/>
      <w:szCs w:val="20"/>
    </w:rPr>
  </w:style>
  <w:style w:type="paragraph" w:styleId="979">
    <w:name w:val="列表 2"/>
    <w:basedOn w:val="944"/>
    <w:next w:val="966"/>
    <w:link w:val="943"/>
    <w:qFormat/>
    <w:pPr>
      <w:ind w:left="100" w:firstLine="3640"/>
      <w:spacing w:before="0" w:after="0" w:line="240" w:lineRule="auto"/>
    </w:pPr>
    <w:rPr>
      <w:rFonts w:ascii="Times New Roman" w:hAnsi="Times New Roman" w:cs="Times New Roman"/>
    </w:rPr>
  </w:style>
  <w:style w:type="paragraph" w:styleId="980">
    <w:name w:val="文本块"/>
    <w:basedOn w:val="943"/>
    <w:next w:val="980"/>
    <w:link w:val="943"/>
    <w:pPr>
      <w:ind w:left="630" w:right="-609" w:firstLine="420"/>
      <w:spacing w:line="360" w:lineRule="auto"/>
    </w:pPr>
    <w:rPr>
      <w:rFonts w:ascii="仿宋_GB2312" w:eastAsia="仿宋_GB2312"/>
      <w:sz w:val="21"/>
    </w:rPr>
  </w:style>
  <w:style w:type="paragraph" w:styleId="981">
    <w:name w:val="索引 4"/>
    <w:basedOn w:val="943"/>
    <w:next w:val="943"/>
    <w:link w:val="943"/>
    <w:pPr>
      <w:ind w:left="1260"/>
    </w:pPr>
  </w:style>
  <w:style w:type="paragraph" w:styleId="982">
    <w:name w:val="目录 5"/>
    <w:basedOn w:val="943"/>
    <w:next w:val="943"/>
    <w:link w:val="943"/>
    <w:pPr>
      <w:ind w:left="1680"/>
    </w:pPr>
  </w:style>
  <w:style w:type="paragraph" w:styleId="983">
    <w:name w:val="目录 3"/>
    <w:basedOn w:val="943"/>
    <w:next w:val="943"/>
    <w:link w:val="943"/>
    <w:pPr>
      <w:ind w:left="840"/>
    </w:pPr>
  </w:style>
  <w:style w:type="paragraph" w:styleId="984">
    <w:name w:val="纯文本"/>
    <w:basedOn w:val="943"/>
    <w:next w:val="984"/>
    <w:link w:val="985"/>
    <w:qFormat/>
    <w:rPr>
      <w:rFonts w:ascii="宋体" w:hAnsi="Courier New"/>
    </w:rPr>
  </w:style>
  <w:style w:type="character" w:styleId="985">
    <w:name w:val="纯文本 字符"/>
    <w:next w:val="985"/>
    <w:link w:val="984"/>
    <w:qFormat/>
    <w:rPr>
      <w:rFonts w:ascii="宋体" w:hAnsi="Courier New" w:eastAsia="楷体_GB2312"/>
      <w:sz w:val="26"/>
    </w:rPr>
  </w:style>
  <w:style w:type="paragraph" w:styleId="986">
    <w:name w:val="目录 8"/>
    <w:basedOn w:val="943"/>
    <w:next w:val="943"/>
    <w:link w:val="943"/>
    <w:pPr>
      <w:ind w:left="2940"/>
    </w:pPr>
  </w:style>
  <w:style w:type="paragraph" w:styleId="987">
    <w:name w:val="索引 3"/>
    <w:basedOn w:val="943"/>
    <w:next w:val="943"/>
    <w:link w:val="943"/>
    <w:pPr>
      <w:ind w:left="840"/>
    </w:pPr>
  </w:style>
  <w:style w:type="paragraph" w:styleId="988">
    <w:name w:val="日期"/>
    <w:basedOn w:val="943"/>
    <w:next w:val="943"/>
    <w:link w:val="989"/>
    <w:rPr>
      <w:rFonts w:ascii="宋体" w:hAnsi="宋体"/>
      <w:sz w:val="24"/>
    </w:rPr>
  </w:style>
  <w:style w:type="character" w:styleId="989">
    <w:name w:val="日期 字符"/>
    <w:next w:val="989"/>
    <w:link w:val="988"/>
    <w:rPr>
      <w:rFonts w:ascii="宋体" w:hAnsi="宋体" w:eastAsia="楷体_GB2312" w:cs="Times New Roman"/>
      <w:sz w:val="24"/>
      <w:szCs w:val="20"/>
    </w:rPr>
  </w:style>
  <w:style w:type="paragraph" w:styleId="990">
    <w:name w:val="正文文本缩进 2"/>
    <w:basedOn w:val="943"/>
    <w:next w:val="990"/>
    <w:link w:val="991"/>
    <w:pPr>
      <w:ind w:firstLine="502"/>
      <w:spacing w:line="360" w:lineRule="auto"/>
      <w:tabs>
        <w:tab w:val="left" w:pos="0" w:leader="none"/>
      </w:tabs>
    </w:pPr>
    <w:rPr>
      <w:rFonts w:ascii="宋体" w:eastAsia="宋体"/>
      <w:b/>
      <w:bCs/>
      <w:sz w:val="24"/>
    </w:rPr>
  </w:style>
  <w:style w:type="character" w:styleId="991">
    <w:name w:val="正文文本缩进 2 字符"/>
    <w:next w:val="991"/>
    <w:link w:val="990"/>
    <w:rPr>
      <w:rFonts w:ascii="宋体" w:hAnsi="Times New Roman" w:eastAsia="宋体" w:cs="Times New Roman"/>
      <w:b/>
      <w:bCs/>
      <w:sz w:val="24"/>
      <w:szCs w:val="20"/>
    </w:rPr>
  </w:style>
  <w:style w:type="paragraph" w:styleId="992">
    <w:name w:val="批注框文本"/>
    <w:basedOn w:val="943"/>
    <w:next w:val="992"/>
    <w:link w:val="993"/>
    <w:rPr>
      <w:sz w:val="18"/>
      <w:szCs w:val="18"/>
    </w:rPr>
  </w:style>
  <w:style w:type="character" w:styleId="993">
    <w:name w:val="批注框文本 字符"/>
    <w:next w:val="993"/>
    <w:link w:val="992"/>
    <w:rPr>
      <w:rFonts w:ascii="Times New Roman" w:hAnsi="Times New Roman" w:eastAsia="楷体_GB2312" w:cs="Times New Roman"/>
      <w:sz w:val="18"/>
      <w:szCs w:val="18"/>
    </w:rPr>
  </w:style>
  <w:style w:type="paragraph" w:styleId="994">
    <w:name w:val="页脚"/>
    <w:basedOn w:val="943"/>
    <w:next w:val="994"/>
    <w:link w:val="995"/>
    <w:uiPriority w:val="99"/>
    <w:pPr>
      <w:jc w:val="left"/>
      <w:tabs>
        <w:tab w:val="center" w:pos="4153" w:leader="none"/>
        <w:tab w:val="right" w:pos="8306" w:leader="none"/>
      </w:tabs>
    </w:pPr>
    <w:rPr>
      <w:rFonts w:ascii="Tahoma" w:hAnsi="Tahoma" w:eastAsia="宋体"/>
      <w:sz w:val="18"/>
      <w:szCs w:val="18"/>
    </w:rPr>
  </w:style>
  <w:style w:type="character" w:styleId="995">
    <w:name w:val="页脚 字符"/>
    <w:next w:val="995"/>
    <w:link w:val="994"/>
    <w:uiPriority w:val="99"/>
    <w:rPr>
      <w:rFonts w:ascii="Tahoma" w:hAnsi="Tahoma" w:eastAsia="宋体"/>
      <w:sz w:val="18"/>
      <w:szCs w:val="18"/>
    </w:rPr>
  </w:style>
  <w:style w:type="paragraph" w:styleId="996">
    <w:name w:val="寄信人地址"/>
    <w:basedOn w:val="943"/>
    <w:next w:val="996"/>
    <w:link w:val="943"/>
    <w:qFormat/>
    <w:rPr>
      <w:rFonts w:ascii="Arial" w:hAnsi="Arial"/>
    </w:rPr>
  </w:style>
  <w:style w:type="paragraph" w:styleId="997">
    <w:name w:val="页眉"/>
    <w:basedOn w:val="943"/>
    <w:next w:val="997"/>
    <w:link w:val="998"/>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998">
    <w:name w:val="页眉 字符"/>
    <w:next w:val="998"/>
    <w:link w:val="997"/>
    <w:qFormat/>
    <w:rPr>
      <w:rFonts w:ascii="Tahoma" w:hAnsi="Tahoma" w:eastAsia="宋体"/>
      <w:sz w:val="18"/>
      <w:szCs w:val="18"/>
    </w:rPr>
  </w:style>
  <w:style w:type="paragraph" w:styleId="999">
    <w:name w:val="目录 1"/>
    <w:basedOn w:val="943"/>
    <w:next w:val="943"/>
    <w:link w:val="943"/>
    <w:pPr>
      <w:ind w:firstLine="751"/>
      <w:jc w:val="left"/>
      <w:spacing w:line="360" w:lineRule="auto"/>
      <w:tabs>
        <w:tab w:val="right" w:pos="9538" w:leader="dot"/>
      </w:tabs>
    </w:pPr>
    <w:rPr>
      <w:sz w:val="24"/>
    </w:rPr>
  </w:style>
  <w:style w:type="paragraph" w:styleId="1000">
    <w:name w:val="目录 4"/>
    <w:basedOn w:val="943"/>
    <w:next w:val="943"/>
    <w:link w:val="943"/>
    <w:pPr>
      <w:ind w:left="1260"/>
    </w:pPr>
  </w:style>
  <w:style w:type="paragraph" w:styleId="1001">
    <w:name w:val="索引标题"/>
    <w:basedOn w:val="943"/>
    <w:next w:val="1002"/>
    <w:link w:val="943"/>
  </w:style>
  <w:style w:type="paragraph" w:styleId="1002">
    <w:name w:val="索引 1"/>
    <w:basedOn w:val="943"/>
    <w:next w:val="943"/>
    <w:link w:val="943"/>
  </w:style>
  <w:style w:type="paragraph" w:styleId="1003">
    <w:name w:val="脚注文本"/>
    <w:basedOn w:val="943"/>
    <w:next w:val="1003"/>
    <w:link w:val="1004"/>
    <w:pPr>
      <w:jc w:val="left"/>
    </w:pPr>
    <w:rPr>
      <w:sz w:val="18"/>
    </w:rPr>
  </w:style>
  <w:style w:type="character" w:styleId="1004">
    <w:name w:val="脚注文本 字符"/>
    <w:next w:val="1004"/>
    <w:link w:val="1003"/>
    <w:rPr>
      <w:rFonts w:ascii="Times New Roman" w:hAnsi="Times New Roman" w:eastAsia="楷体_GB2312" w:cs="Times New Roman"/>
      <w:sz w:val="18"/>
      <w:szCs w:val="20"/>
    </w:rPr>
  </w:style>
  <w:style w:type="paragraph" w:styleId="1005">
    <w:name w:val="目录 6"/>
    <w:basedOn w:val="943"/>
    <w:next w:val="943"/>
    <w:link w:val="943"/>
    <w:pPr>
      <w:ind w:left="2100"/>
    </w:pPr>
  </w:style>
  <w:style w:type="paragraph" w:styleId="1006">
    <w:name w:val="正文文本缩进 3"/>
    <w:basedOn w:val="943"/>
    <w:next w:val="1006"/>
    <w:link w:val="1007"/>
    <w:pPr>
      <w:ind w:firstLine="617"/>
      <w:spacing w:line="360" w:lineRule="auto"/>
    </w:pPr>
    <w:rPr>
      <w:rFonts w:eastAsia="宋体"/>
      <w:sz w:val="24"/>
      <w:szCs w:val="24"/>
    </w:rPr>
  </w:style>
  <w:style w:type="character" w:styleId="1007">
    <w:name w:val="正文文本缩进 3 字符"/>
    <w:next w:val="1007"/>
    <w:link w:val="1006"/>
    <w:rPr>
      <w:rFonts w:ascii="Times New Roman" w:hAnsi="Times New Roman" w:eastAsia="宋体" w:cs="Times New Roman"/>
      <w:sz w:val="24"/>
      <w:szCs w:val="24"/>
    </w:rPr>
  </w:style>
  <w:style w:type="paragraph" w:styleId="1008">
    <w:name w:val="索引 7"/>
    <w:basedOn w:val="943"/>
    <w:next w:val="943"/>
    <w:link w:val="943"/>
    <w:pPr>
      <w:ind w:left="2520"/>
    </w:pPr>
  </w:style>
  <w:style w:type="paragraph" w:styleId="1009">
    <w:name w:val="索引 9"/>
    <w:basedOn w:val="943"/>
    <w:next w:val="943"/>
    <w:link w:val="943"/>
    <w:pPr>
      <w:ind w:left="3360"/>
    </w:pPr>
  </w:style>
  <w:style w:type="paragraph" w:styleId="1010">
    <w:name w:val="图表目录"/>
    <w:basedOn w:val="943"/>
    <w:next w:val="943"/>
    <w:link w:val="943"/>
    <w:pPr>
      <w:ind w:left="420" w:hanging="420"/>
      <w:jc w:val="left"/>
    </w:pPr>
    <w:rPr>
      <w:smallCaps/>
      <w:sz w:val="24"/>
    </w:rPr>
  </w:style>
  <w:style w:type="paragraph" w:styleId="1011">
    <w:name w:val="目录 2"/>
    <w:basedOn w:val="943"/>
    <w:next w:val="943"/>
    <w:link w:val="943"/>
    <w:pPr>
      <w:ind w:left="420"/>
    </w:pPr>
  </w:style>
  <w:style w:type="paragraph" w:styleId="1012">
    <w:name w:val="目录 9"/>
    <w:basedOn w:val="943"/>
    <w:next w:val="943"/>
    <w:link w:val="943"/>
    <w:pPr>
      <w:ind w:left="3360"/>
    </w:pPr>
  </w:style>
  <w:style w:type="paragraph" w:styleId="1013">
    <w:name w:val="HTML 预设格式"/>
    <w:basedOn w:val="943"/>
    <w:next w:val="1013"/>
    <w:link w:val="101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14">
    <w:name w:val="HTML 预设格式 字符"/>
    <w:next w:val="1014"/>
    <w:link w:val="1013"/>
    <w:rPr>
      <w:rFonts w:ascii="黑体" w:hAnsi="Courier New" w:eastAsia="黑体" w:cs="楷体_GB2312"/>
      <w:sz w:val="20"/>
      <w:szCs w:val="20"/>
    </w:rPr>
  </w:style>
  <w:style w:type="paragraph" w:styleId="1015">
    <w:name w:val="普通(网站)"/>
    <w:basedOn w:val="943"/>
    <w:next w:val="979"/>
    <w:link w:val="943"/>
    <w:uiPriority w:val="99"/>
    <w:qFormat/>
    <w:pPr>
      <w:jc w:val="left"/>
      <w:spacing w:before="100" w:beforeAutospacing="1" w:after="100" w:afterAutospacing="1"/>
      <w:widowControl/>
    </w:pPr>
    <w:rPr>
      <w:rFonts w:hint="eastAsia" w:ascii="宋体" w:hAnsi="宋体" w:eastAsia="宋体"/>
      <w:sz w:val="24"/>
      <w:szCs w:val="24"/>
    </w:rPr>
  </w:style>
  <w:style w:type="paragraph" w:styleId="1016">
    <w:name w:val="索引 2"/>
    <w:basedOn w:val="943"/>
    <w:next w:val="943"/>
    <w:link w:val="943"/>
    <w:pPr>
      <w:ind w:left="420"/>
    </w:pPr>
  </w:style>
  <w:style w:type="paragraph" w:styleId="1017">
    <w:name w:val="批注主题"/>
    <w:basedOn w:val="974"/>
    <w:next w:val="974"/>
    <w:link w:val="1018"/>
    <w:rPr>
      <w:b/>
      <w:bCs/>
    </w:rPr>
  </w:style>
  <w:style w:type="character" w:styleId="1018">
    <w:name w:val="批注主题 字符"/>
    <w:next w:val="1018"/>
    <w:link w:val="1017"/>
    <w:rPr>
      <w:rFonts w:ascii="Times New Roman" w:hAnsi="Times New Roman" w:eastAsia="楷体_GB2312" w:cs="Times New Roman"/>
      <w:b/>
      <w:bCs/>
      <w:sz w:val="26"/>
      <w:szCs w:val="20"/>
    </w:rPr>
  </w:style>
  <w:style w:type="paragraph" w:styleId="1019">
    <w:name w:val="正文首行缩进"/>
    <w:basedOn w:val="977"/>
    <w:next w:val="1019"/>
    <w:link w:val="1020"/>
    <w:pPr>
      <w:ind w:firstLine="420"/>
      <w:spacing w:after="120" w:line="240" w:lineRule="auto"/>
    </w:pPr>
    <w:rPr>
      <w:rFonts w:ascii="Times New Roman"/>
      <w:sz w:val="26"/>
    </w:rPr>
  </w:style>
  <w:style w:type="character" w:styleId="1020">
    <w:name w:val="正文文本首行缩进 字符"/>
    <w:next w:val="1020"/>
    <w:link w:val="1019"/>
    <w:rPr>
      <w:rFonts w:ascii="Times New Roman" w:hAnsi="Times New Roman" w:eastAsia="楷体_GB2312" w:cs="Times New Roman"/>
      <w:sz w:val="26"/>
      <w:szCs w:val="20"/>
    </w:rPr>
  </w:style>
  <w:style w:type="paragraph" w:styleId="1021">
    <w:name w:val="正文首行缩进 2"/>
    <w:basedOn w:val="955"/>
    <w:next w:val="1021"/>
    <w:link w:val="943"/>
    <w:qFormat/>
    <w:pPr>
      <w:ind w:firstLine="420"/>
    </w:pPr>
  </w:style>
  <w:style w:type="table" w:styleId="1022">
    <w:name w:val="网格型"/>
    <w:basedOn w:val="954"/>
    <w:next w:val="1022"/>
    <w:link w:val="943"/>
    <w:uiPriority w:val="59"/>
    <w:unhideWhenUsed/>
    <w:qFormat/>
    <w:pPr>
      <w:jc w:val="both"/>
      <w:widowControl w:val="off"/>
    </w:pPr>
    <w:tblPr/>
  </w:style>
  <w:style w:type="character" w:styleId="1023">
    <w:name w:val="要点"/>
    <w:next w:val="1023"/>
    <w:link w:val="943"/>
    <w:qFormat/>
    <w:rPr>
      <w:rFonts w:ascii="Tahoma" w:hAnsi="Tahoma" w:eastAsia="宋体"/>
      <w:b/>
      <w:sz w:val="24"/>
    </w:rPr>
  </w:style>
  <w:style w:type="character" w:styleId="1024">
    <w:name w:val="页码"/>
    <w:next w:val="1024"/>
    <w:link w:val="943"/>
  </w:style>
  <w:style w:type="character" w:styleId="1025">
    <w:name w:val="强调"/>
    <w:next w:val="1025"/>
    <w:link w:val="943"/>
    <w:uiPriority w:val="20"/>
    <w:qFormat/>
    <w:rPr>
      <w:b/>
      <w:bCs/>
      <w:i w:val="0"/>
      <w:iCs w:val="0"/>
    </w:rPr>
  </w:style>
  <w:style w:type="character" w:styleId="1026">
    <w:name w:val="HTML 定义"/>
    <w:next w:val="1026"/>
    <w:link w:val="943"/>
    <w:uiPriority w:val="99"/>
    <w:unhideWhenUsed/>
    <w:rPr>
      <w:i w:val="0"/>
      <w:iCs w:val="0"/>
    </w:rPr>
  </w:style>
  <w:style w:type="character" w:styleId="1027">
    <w:name w:val="HTML 打字机"/>
    <w:next w:val="1027"/>
    <w:link w:val="943"/>
    <w:uiPriority w:val="99"/>
    <w:unhideWhenUsed/>
    <w:rPr>
      <w:rFonts w:ascii="monospace" w:hAnsi="monospace" w:eastAsia="monospace" w:cs="monospace"/>
      <w:sz w:val="20"/>
    </w:rPr>
  </w:style>
  <w:style w:type="character" w:styleId="1028">
    <w:name w:val="HTML 缩写"/>
    <w:next w:val="1028"/>
    <w:link w:val="943"/>
    <w:uiPriority w:val="99"/>
    <w:unhideWhenUsed/>
  </w:style>
  <w:style w:type="character" w:styleId="1029">
    <w:name w:val="HTML 变量"/>
    <w:next w:val="1029"/>
    <w:link w:val="943"/>
    <w:uiPriority w:val="99"/>
    <w:unhideWhenUsed/>
    <w:rPr>
      <w:i w:val="0"/>
      <w:iCs w:val="0"/>
    </w:rPr>
  </w:style>
  <w:style w:type="character" w:styleId="1030">
    <w:name w:val="超链接"/>
    <w:next w:val="1030"/>
    <w:link w:val="943"/>
    <w:rPr>
      <w:color w:val="0000ff"/>
      <w:u w:val="none"/>
    </w:rPr>
  </w:style>
  <w:style w:type="character" w:styleId="1031">
    <w:name w:val="HTML 代码"/>
    <w:next w:val="1031"/>
    <w:link w:val="943"/>
    <w:uiPriority w:val="99"/>
    <w:unhideWhenUsed/>
    <w:rPr>
      <w:rFonts w:ascii="monospace" w:hAnsi="monospace" w:eastAsia="monospace" w:cs="monospace"/>
      <w:i w:val="0"/>
      <w:iCs w:val="0"/>
      <w:sz w:val="20"/>
    </w:rPr>
  </w:style>
  <w:style w:type="character" w:styleId="1032">
    <w:name w:val="批注引用"/>
    <w:next w:val="1032"/>
    <w:link w:val="943"/>
    <w:rPr>
      <w:sz w:val="21"/>
      <w:szCs w:val="21"/>
    </w:rPr>
  </w:style>
  <w:style w:type="character" w:styleId="1033">
    <w:name w:val="HTML 引文"/>
    <w:next w:val="1033"/>
    <w:link w:val="943"/>
    <w:uiPriority w:val="99"/>
    <w:unhideWhenUsed/>
    <w:rPr>
      <w:i w:val="0"/>
      <w:iCs w:val="0"/>
    </w:rPr>
  </w:style>
  <w:style w:type="character" w:styleId="1034">
    <w:name w:val="脚注引用"/>
    <w:next w:val="1034"/>
    <w:link w:val="943"/>
    <w:rPr>
      <w:vertAlign w:val="superscript"/>
    </w:rPr>
  </w:style>
  <w:style w:type="character" w:styleId="1035">
    <w:name w:val="HTML 键盘"/>
    <w:next w:val="1035"/>
    <w:link w:val="943"/>
    <w:uiPriority w:val="99"/>
    <w:unhideWhenUsed/>
    <w:rPr>
      <w:rFonts w:ascii="monospace" w:hAnsi="monospace" w:eastAsia="monospace" w:cs="monospace"/>
      <w:sz w:val="20"/>
    </w:rPr>
  </w:style>
  <w:style w:type="character" w:styleId="1036">
    <w:name w:val="HTML 样本"/>
    <w:next w:val="1036"/>
    <w:link w:val="943"/>
    <w:uiPriority w:val="99"/>
    <w:unhideWhenUsed/>
    <w:rPr>
      <w:rFonts w:ascii="monospace" w:hAnsi="monospace" w:eastAsia="monospace" w:cs="monospace"/>
    </w:rPr>
  </w:style>
  <w:style w:type="paragraph" w:styleId="1037">
    <w:name w:val="正文首行缩进 211"/>
    <w:basedOn w:val="1038"/>
    <w:next w:val="1037"/>
    <w:link w:val="943"/>
    <w:qFormat/>
    <w:pPr>
      <w:ind w:left="420"/>
      <w:spacing w:after="120" w:line="240" w:lineRule="auto"/>
    </w:pPr>
    <w:rPr>
      <w:rFonts w:ascii="Times New Roman" w:hAnsi="Times New Roman"/>
      <w:sz w:val="21"/>
      <w:szCs w:val="20"/>
      <w:lang w:val="en-US" w:eastAsia="zh-CN"/>
    </w:rPr>
  </w:style>
  <w:style w:type="paragraph" w:styleId="1038">
    <w:name w:val="正文文本缩进11"/>
    <w:basedOn w:val="943"/>
    <w:next w:val="943"/>
    <w:link w:val="943"/>
    <w:qFormat/>
    <w:pPr>
      <w:ind w:firstLine="420"/>
      <w:spacing w:line="360" w:lineRule="exact"/>
    </w:pPr>
    <w:rPr>
      <w:sz w:val="24"/>
    </w:rPr>
  </w:style>
  <w:style w:type="paragraph" w:styleId="1039">
    <w:name w:val="段"/>
    <w:next w:val="943"/>
    <w:link w:val="943"/>
    <w:uiPriority w:val="99"/>
    <w:pPr>
      <w:ind w:firstLine="200"/>
      <w:jc w:val="both"/>
      <w:spacing w:line="360" w:lineRule="auto"/>
    </w:pPr>
    <w:rPr>
      <w:rFonts w:ascii="宋体" w:hAnsi="Calibri"/>
      <w:sz w:val="24"/>
      <w:szCs w:val="22"/>
      <w:lang w:val="en-US" w:eastAsia="zh-CN" w:bidi="ar-SA"/>
    </w:rPr>
  </w:style>
  <w:style w:type="character" w:styleId="1040">
    <w:name w:val="font121"/>
    <w:next w:val="1040"/>
    <w:link w:val="943"/>
    <w:rPr>
      <w:rFonts w:ascii="微软雅黑" w:hAnsi="微软雅黑" w:eastAsia="微软雅黑" w:cs="微软雅黑"/>
      <w:i w:val="0"/>
      <w:color w:val="000000"/>
      <w:sz w:val="21"/>
      <w:szCs w:val="21"/>
      <w:u w:val="none"/>
    </w:rPr>
  </w:style>
  <w:style w:type="character" w:styleId="1041">
    <w:name w:val="font91"/>
    <w:next w:val="1041"/>
    <w:link w:val="943"/>
    <w:rPr>
      <w:rFonts w:ascii="微软雅黑" w:hAnsi="微软雅黑" w:eastAsia="微软雅黑" w:cs="微软雅黑"/>
      <w:i w:val="0"/>
      <w:color w:val="ff0000"/>
      <w:sz w:val="21"/>
      <w:szCs w:val="21"/>
      <w:u w:val="none"/>
    </w:rPr>
  </w:style>
  <w:style w:type="character" w:styleId="1042">
    <w:name w:val="font191"/>
    <w:next w:val="1042"/>
    <w:link w:val="943"/>
    <w:rPr>
      <w:rFonts w:hint="eastAsia" w:ascii="宋体" w:hAnsi="宋体" w:eastAsia="宋体" w:cs="宋体"/>
      <w:i w:val="0"/>
      <w:color w:val="000000"/>
      <w:sz w:val="21"/>
      <w:szCs w:val="21"/>
      <w:u w:val="none"/>
    </w:rPr>
  </w:style>
  <w:style w:type="character" w:styleId="1043">
    <w:name w:val="纯文本 Char1"/>
    <w:next w:val="1043"/>
    <w:link w:val="943"/>
    <w:rPr>
      <w:rFonts w:ascii="宋体" w:hAnsi="Courier New" w:eastAsia="宋体" w:cs="Courier New"/>
      <w:sz w:val="24"/>
      <w:szCs w:val="21"/>
    </w:rPr>
  </w:style>
  <w:style w:type="character" w:styleId="1044">
    <w:name w:val="font161"/>
    <w:next w:val="1044"/>
    <w:link w:val="943"/>
    <w:rPr>
      <w:rFonts w:hint="eastAsia" w:ascii="宋体" w:hAnsi="宋体" w:eastAsia="宋体" w:cs="宋体"/>
      <w:i w:val="0"/>
      <w:color w:val="333333"/>
      <w:sz w:val="20"/>
      <w:szCs w:val="20"/>
      <w:u w:val="none"/>
    </w:rPr>
  </w:style>
  <w:style w:type="character" w:styleId="1045">
    <w:name w:val="font51"/>
    <w:next w:val="1045"/>
    <w:link w:val="943"/>
    <w:rPr>
      <w:rFonts w:ascii="Times New Roman" w:hAnsi="Times New Roman" w:eastAsia="宋体" w:cs="Times New Roman"/>
      <w:i w:val="0"/>
      <w:color w:val="000000"/>
      <w:sz w:val="21"/>
      <w:szCs w:val="21"/>
      <w:u w:val="none"/>
    </w:rPr>
  </w:style>
  <w:style w:type="character" w:styleId="1046">
    <w:name w:val="font101"/>
    <w:next w:val="1046"/>
    <w:link w:val="943"/>
    <w:rPr>
      <w:rFonts w:hint="eastAsia" w:ascii="宋体" w:hAnsi="宋体" w:eastAsia="宋体" w:cs="宋体"/>
      <w:i w:val="0"/>
      <w:color w:val="000000"/>
      <w:sz w:val="21"/>
      <w:szCs w:val="21"/>
      <w:u w:val="none"/>
    </w:rPr>
  </w:style>
  <w:style w:type="character" w:styleId="1047">
    <w:name w:val="font151"/>
    <w:next w:val="1047"/>
    <w:link w:val="943"/>
    <w:rPr>
      <w:rFonts w:ascii="Times New Roman" w:hAnsi="Times New Roman" w:eastAsia="宋体" w:cs="Times New Roman"/>
      <w:i w:val="0"/>
      <w:color w:val="dd0806"/>
      <w:sz w:val="21"/>
      <w:szCs w:val="21"/>
      <w:u w:val="none"/>
    </w:rPr>
  </w:style>
  <w:style w:type="character" w:styleId="1048">
    <w:name w:val="font31"/>
    <w:next w:val="1048"/>
    <w:link w:val="943"/>
    <w:rPr>
      <w:rFonts w:ascii="微软雅黑" w:hAnsi="微软雅黑" w:eastAsia="微软雅黑" w:cs="微软雅黑"/>
      <w:i w:val="0"/>
      <w:color w:val="000000"/>
      <w:sz w:val="21"/>
      <w:szCs w:val="21"/>
      <w:u w:val="none"/>
    </w:rPr>
  </w:style>
  <w:style w:type="character" w:styleId="1049">
    <w:name w:val="mini-outputtext1"/>
    <w:next w:val="1049"/>
    <w:link w:val="943"/>
  </w:style>
  <w:style w:type="character" w:styleId="1050">
    <w:name w:val="Plain Text Char1"/>
    <w:next w:val="1050"/>
    <w:link w:val="1051"/>
    <w:qFormat/>
    <w:rPr>
      <w:rFonts w:ascii="宋体" w:hAnsi="Courier New" w:eastAsia="楷体_GB2312"/>
      <w:sz w:val="26"/>
    </w:rPr>
  </w:style>
  <w:style w:type="paragraph" w:styleId="1051">
    <w:name w:val="纯文本1"/>
    <w:basedOn w:val="943"/>
    <w:next w:val="1051"/>
    <w:link w:val="1050"/>
    <w:qFormat/>
    <w:rPr>
      <w:rFonts w:ascii="宋体" w:hAnsi="Courier New"/>
    </w:rPr>
  </w:style>
  <w:style w:type="character" w:styleId="1052">
    <w:name w:val="font71"/>
    <w:next w:val="1052"/>
    <w:link w:val="943"/>
    <w:rPr>
      <w:rFonts w:ascii="Times New Roman" w:hAnsi="Times New Roman" w:eastAsia="宋体" w:cs="Times New Roman"/>
      <w:i w:val="0"/>
      <w:color w:val="000000"/>
      <w:sz w:val="21"/>
      <w:szCs w:val="21"/>
      <w:u w:val="none"/>
    </w:rPr>
  </w:style>
  <w:style w:type="character" w:styleId="1053">
    <w:name w:val="批注文字 字符"/>
    <w:next w:val="1053"/>
    <w:link w:val="943"/>
    <w:rPr>
      <w:rFonts w:ascii="Times New Roman" w:hAnsi="Times New Roman" w:eastAsia="楷体_GB2312" w:cs="Times New Roman"/>
      <w:sz w:val="26"/>
      <w:szCs w:val="20"/>
    </w:rPr>
  </w:style>
  <w:style w:type="character" w:styleId="1054">
    <w:name w:val="font81"/>
    <w:next w:val="1054"/>
    <w:link w:val="943"/>
    <w:rPr>
      <w:rFonts w:ascii="微软雅黑" w:hAnsi="微软雅黑" w:eastAsia="微软雅黑" w:cs="微软雅黑"/>
      <w:i w:val="0"/>
      <w:color w:val="000000"/>
      <w:sz w:val="21"/>
      <w:szCs w:val="21"/>
      <w:u w:val="none"/>
    </w:rPr>
  </w:style>
  <w:style w:type="character" w:styleId="1055">
    <w:name w:val="font181"/>
    <w:next w:val="1055"/>
    <w:link w:val="943"/>
    <w:rPr>
      <w:rFonts w:ascii="Times New Roman" w:hAnsi="Times New Roman" w:eastAsia="宋体" w:cs="Times New Roman"/>
      <w:i w:val="0"/>
      <w:color w:val="000000"/>
      <w:sz w:val="21"/>
      <w:szCs w:val="21"/>
      <w:u w:val="none"/>
      <w:vertAlign w:val="subscript"/>
    </w:rPr>
  </w:style>
  <w:style w:type="character" w:styleId="1056">
    <w:name w:val="apple-style-span"/>
    <w:next w:val="1056"/>
    <w:link w:val="943"/>
  </w:style>
  <w:style w:type="character" w:styleId="1057">
    <w:name w:val="font21"/>
    <w:next w:val="1057"/>
    <w:link w:val="943"/>
    <w:rPr>
      <w:rFonts w:hint="eastAsia" w:ascii="宋体" w:hAnsi="宋体" w:eastAsia="宋体" w:cs="宋体"/>
      <w:b/>
      <w:i w:val="0"/>
      <w:color w:val="000000"/>
      <w:sz w:val="22"/>
      <w:szCs w:val="22"/>
      <w:u w:val="none"/>
    </w:rPr>
  </w:style>
  <w:style w:type="character" w:styleId="1058">
    <w:name w:val="hover2"/>
    <w:next w:val="1058"/>
    <w:link w:val="943"/>
    <w:rPr>
      <w:color w:val="2590eb"/>
    </w:rPr>
  </w:style>
  <w:style w:type="character" w:styleId="1059">
    <w:name w:val="font171"/>
    <w:next w:val="1059"/>
    <w:link w:val="943"/>
    <w:rPr>
      <w:rFonts w:ascii="微软雅黑" w:hAnsi="微软雅黑" w:eastAsia="微软雅黑" w:cs="微软雅黑"/>
      <w:i w:val="0"/>
      <w:color w:val="000000"/>
      <w:sz w:val="21"/>
      <w:szCs w:val="21"/>
      <w:u w:val="none"/>
    </w:rPr>
  </w:style>
  <w:style w:type="character" w:styleId="1060">
    <w:name w:val="font01"/>
    <w:next w:val="1060"/>
    <w:link w:val="943"/>
    <w:rPr>
      <w:rFonts w:hint="eastAsia" w:ascii="宋体" w:hAnsi="宋体" w:eastAsia="宋体" w:cs="宋体"/>
      <w:i w:val="0"/>
      <w:color w:val="333333"/>
      <w:sz w:val="24"/>
      <w:szCs w:val="24"/>
      <w:u w:val="none"/>
    </w:rPr>
  </w:style>
  <w:style w:type="character" w:styleId="1061">
    <w:name w:val="font131"/>
    <w:next w:val="1061"/>
    <w:link w:val="943"/>
    <w:rPr>
      <w:rFonts w:ascii="Times New Roman" w:hAnsi="Times New Roman" w:eastAsia="宋体" w:cs="Times New Roman"/>
      <w:i w:val="0"/>
      <w:color w:val="333333"/>
      <w:sz w:val="20"/>
      <w:szCs w:val="20"/>
      <w:u w:val="none"/>
    </w:rPr>
  </w:style>
  <w:style w:type="character" w:styleId="1062">
    <w:name w:val="font11"/>
    <w:next w:val="1062"/>
    <w:link w:val="943"/>
    <w:rPr>
      <w:rFonts w:hint="eastAsia" w:ascii="宋体" w:hAnsi="宋体" w:eastAsia="宋体" w:cs="宋体"/>
      <w:i w:val="0"/>
      <w:color w:val="000000"/>
      <w:sz w:val="24"/>
      <w:szCs w:val="24"/>
      <w:u w:val="none"/>
    </w:rPr>
  </w:style>
  <w:style w:type="character" w:styleId="1063">
    <w:name w:val="hover1"/>
    <w:next w:val="1063"/>
    <w:link w:val="943"/>
    <w:rPr>
      <w:color w:val="2590eb"/>
    </w:rPr>
  </w:style>
  <w:style w:type="character" w:styleId="1064">
    <w:name w:val="无间隔 字符"/>
    <w:next w:val="1064"/>
    <w:link w:val="1065"/>
    <w:rPr>
      <w:sz w:val="22"/>
      <w:szCs w:val="22"/>
      <w:lang w:val="en-US" w:eastAsia="en-US" w:bidi="ar-SA"/>
    </w:rPr>
  </w:style>
  <w:style w:type="paragraph" w:styleId="1065">
    <w:name w:val="无间隔"/>
    <w:next w:val="1065"/>
    <w:link w:val="1064"/>
    <w:qFormat/>
    <w:rPr>
      <w:sz w:val="22"/>
      <w:szCs w:val="22"/>
      <w:lang w:val="en-US" w:eastAsia="en-US" w:bidi="ar-SA"/>
    </w:rPr>
  </w:style>
  <w:style w:type="character" w:styleId="1066">
    <w:name w:val="hover"/>
    <w:next w:val="1066"/>
    <w:link w:val="943"/>
  </w:style>
  <w:style w:type="character" w:styleId="1067">
    <w:name w:val="font61"/>
    <w:next w:val="1067"/>
    <w:link w:val="943"/>
    <w:rPr>
      <w:rFonts w:ascii="Batang" w:hAnsi="Batang" w:eastAsia="Batang" w:cs="Batang"/>
      <w:i w:val="0"/>
      <w:color w:val="000000"/>
      <w:sz w:val="21"/>
      <w:szCs w:val="21"/>
      <w:u w:val="none"/>
    </w:rPr>
  </w:style>
  <w:style w:type="character" w:styleId="1068">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1068"/>
    <w:link w:val="943"/>
    <w:qFormat/>
    <w:rPr>
      <w:rFonts w:ascii="楷体_GB2312" w:hAnsi="Tahoma" w:eastAsia="宋体"/>
      <w:sz w:val="21"/>
      <w:lang w:val="en-US" w:eastAsia="zh-CN" w:bidi="ar-SA"/>
    </w:rPr>
  </w:style>
  <w:style w:type="character" w:styleId="1069">
    <w:name w:val="font141"/>
    <w:next w:val="1069"/>
    <w:link w:val="943"/>
    <w:rPr>
      <w:rFonts w:ascii="Times New Roman" w:hAnsi="Times New Roman" w:eastAsia="宋体" w:cs="Times New Roman"/>
      <w:i w:val="0"/>
      <w:color w:val="000000"/>
      <w:sz w:val="21"/>
      <w:szCs w:val="21"/>
      <w:u w:val="none"/>
      <w:vertAlign w:val="superscript"/>
    </w:rPr>
  </w:style>
  <w:style w:type="character" w:styleId="1070">
    <w:name w:val="font111"/>
    <w:next w:val="1070"/>
    <w:link w:val="943"/>
    <w:rPr>
      <w:rFonts w:ascii="Times New Roman" w:hAnsi="Times New Roman" w:eastAsia="宋体" w:cs="Times New Roman"/>
      <w:i w:val="0"/>
      <w:color w:val="000000"/>
      <w:sz w:val="21"/>
      <w:szCs w:val="21"/>
      <w:u w:val="none"/>
      <w:vertAlign w:val="subscript"/>
    </w:rPr>
  </w:style>
  <w:style w:type="character" w:styleId="1071">
    <w:name w:val="font41"/>
    <w:next w:val="1071"/>
    <w:link w:val="943"/>
    <w:qFormat/>
    <w:rPr>
      <w:rFonts w:hint="eastAsia" w:ascii="宋体" w:hAnsi="宋体" w:eastAsia="宋体" w:cs="宋体"/>
      <w:color w:val="000000"/>
      <w:sz w:val="18"/>
      <w:szCs w:val="18"/>
      <w:u w:val="none"/>
    </w:rPr>
  </w:style>
  <w:style w:type="paragraph" w:styleId="1072">
    <w:name w:val="xl54"/>
    <w:basedOn w:val="943"/>
    <w:next w:val="1072"/>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3">
    <w:name w:val="Char Char Char1 Char Char Char Char"/>
    <w:basedOn w:val="943"/>
    <w:next w:val="1073"/>
    <w:link w:val="943"/>
    <w:pPr>
      <w:jc w:val="left"/>
      <w:spacing w:after="160" w:line="240" w:lineRule="exact"/>
      <w:widowControl/>
    </w:pPr>
    <w:rPr>
      <w:rFonts w:eastAsia="宋体"/>
      <w:sz w:val="24"/>
      <w:szCs w:val="24"/>
    </w:rPr>
  </w:style>
  <w:style w:type="paragraph" w:styleId="1074">
    <w:name w:val="纯文本4"/>
    <w:basedOn w:val="943"/>
    <w:next w:val="1074"/>
    <w:link w:val="943"/>
    <w:qFormat/>
    <w:rPr>
      <w:rFonts w:ascii="宋体" w:hAnsi="Courier New" w:eastAsia="楷体_GB2312"/>
      <w:sz w:val="26"/>
      <w:szCs w:val="20"/>
    </w:rPr>
  </w:style>
  <w:style w:type="paragraph" w:styleId="1075">
    <w:name w:val="Char Char1 Char Char Char Char Char Char Char Char Char Char Char Char Char Char Char Char"/>
    <w:basedOn w:val="943"/>
    <w:next w:val="1075"/>
    <w:link w:val="943"/>
    <w:pPr>
      <w:jc w:val="left"/>
      <w:spacing w:after="160" w:line="240" w:lineRule="exact"/>
      <w:widowControl/>
    </w:pPr>
    <w:rPr>
      <w:rFonts w:ascii="Verdana" w:hAnsi="Verdana" w:eastAsia="宋体"/>
      <w:sz w:val="20"/>
      <w:lang w:eastAsia="en-US"/>
    </w:rPr>
  </w:style>
  <w:style w:type="paragraph" w:styleId="1076">
    <w:name w:val="msolistparagraph"/>
    <w:basedOn w:val="943"/>
    <w:next w:val="1076"/>
    <w:link w:val="943"/>
    <w:qFormat/>
    <w:pPr>
      <w:ind w:firstLine="420"/>
    </w:pPr>
    <w:rPr>
      <w:szCs w:val="21"/>
    </w:rPr>
  </w:style>
  <w:style w:type="paragraph" w:styleId="1077">
    <w:name w:val="xl66"/>
    <w:basedOn w:val="943"/>
    <w:next w:val="1077"/>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8">
    <w:name w:val="xl65"/>
    <w:basedOn w:val="943"/>
    <w:next w:val="1078"/>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9">
    <w:name w:val="Plain Text"/>
    <w:basedOn w:val="943"/>
    <w:next w:val="1079"/>
    <w:link w:val="943"/>
    <w:rPr>
      <w:rFonts w:ascii="宋体" w:hAnsi="Courier New"/>
      <w:sz w:val="28"/>
    </w:rPr>
  </w:style>
  <w:style w:type="paragraph" w:styleId="1080">
    <w:name w:val="分标题"/>
    <w:basedOn w:val="943"/>
    <w:next w:val="969"/>
    <w:link w:val="943"/>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81">
    <w:name w:val="xl47"/>
    <w:basedOn w:val="943"/>
    <w:next w:val="1081"/>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82">
    <w:name w:val="纯文本2"/>
    <w:basedOn w:val="943"/>
    <w:next w:val="1082"/>
    <w:link w:val="943"/>
    <w:qFormat/>
    <w:rPr>
      <w:rFonts w:ascii="宋体" w:hAnsi="Courier New"/>
      <w:sz w:val="28"/>
    </w:rPr>
  </w:style>
  <w:style w:type="paragraph" w:styleId="1083">
    <w:name w:val="+正文"/>
    <w:basedOn w:val="943"/>
    <w:next w:val="1083"/>
    <w:link w:val="943"/>
    <w:pPr>
      <w:ind w:firstLine="200"/>
      <w:spacing w:line="360" w:lineRule="auto"/>
    </w:pPr>
    <w:rPr>
      <w:rFonts w:eastAsia="宋体"/>
      <w:sz w:val="24"/>
      <w:szCs w:val="28"/>
    </w:rPr>
  </w:style>
  <w:style w:type="paragraph" w:styleId="1084">
    <w:name w:val="000左齐平"/>
    <w:basedOn w:val="943"/>
    <w:next w:val="1084"/>
    <w:link w:val="943"/>
    <w:qFormat/>
    <w:pPr>
      <w:ind w:firstLine="0"/>
      <w:jc w:val="left"/>
    </w:pPr>
    <w:rPr>
      <w:color w:val="000000"/>
    </w:rPr>
  </w:style>
  <w:style w:type="paragraph" w:styleId="1085">
    <w:name w:val="列表段落"/>
    <w:basedOn w:val="943"/>
    <w:next w:val="1085"/>
    <w:link w:val="943"/>
    <w:qFormat/>
    <w:pPr>
      <w:ind w:firstLine="420"/>
    </w:pPr>
  </w:style>
  <w:style w:type="paragraph" w:styleId="1086">
    <w:name w:val="xl52"/>
    <w:basedOn w:val="943"/>
    <w:next w:val="1086"/>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7">
    <w:name w:val="xl62"/>
    <w:basedOn w:val="943"/>
    <w:next w:val="1087"/>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8">
    <w:name w:val="并列样式"/>
    <w:basedOn w:val="943"/>
    <w:next w:val="943"/>
    <w:link w:val="943"/>
    <w:pPr>
      <w:ind w:left="839" w:hanging="419"/>
      <w:spacing w:before="120" w:after="120" w:line="360" w:lineRule="exact"/>
      <w:tabs>
        <w:tab w:val="left" w:pos="839" w:leader="none"/>
      </w:tabs>
    </w:pPr>
    <w:rPr>
      <w:rFonts w:eastAsia="宋体"/>
      <w:sz w:val="24"/>
    </w:rPr>
  </w:style>
  <w:style w:type="paragraph" w:styleId="1089">
    <w:name w:val="xl61"/>
    <w:basedOn w:val="943"/>
    <w:next w:val="1089"/>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0">
    <w:name w:val="正文 A"/>
    <w:next w:val="1090"/>
    <w:link w:val="943"/>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91">
    <w:name w:val="Char Char1 Char Char Char Char Char Char Char"/>
    <w:basedOn w:val="943"/>
    <w:next w:val="1091"/>
    <w:link w:val="943"/>
  </w:style>
  <w:style w:type="paragraph" w:styleId="1092">
    <w:name w:val="小四 段落 宋体 Char Char Char Char Char Char"/>
    <w:next w:val="1092"/>
    <w:link w:val="943"/>
    <w:pPr>
      <w:ind w:firstLine="480"/>
    </w:pPr>
    <w:rPr>
      <w:rFonts w:ascii="宋体" w:hAnsi="宋体"/>
      <w:lang w:val="en-US" w:eastAsia="zh-CN" w:bidi="ar-SA"/>
    </w:rPr>
  </w:style>
  <w:style w:type="paragraph" w:styleId="1093">
    <w:name w:val="xl45"/>
    <w:basedOn w:val="943"/>
    <w:next w:val="1093"/>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4">
    <w:name w:val="xl53"/>
    <w:basedOn w:val="943"/>
    <w:next w:val="1094"/>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5">
    <w:name w:val="节标题"/>
    <w:basedOn w:val="943"/>
    <w:next w:val="969"/>
    <w:link w:val="943"/>
    <w:pPr>
      <w:ind w:left="420" w:hanging="420"/>
      <w:spacing w:before="120" w:after="120" w:line="360" w:lineRule="exact"/>
      <w:tabs>
        <w:tab w:val="left" w:pos="420" w:leader="none"/>
      </w:tabs>
      <w:outlineLvl w:val="1"/>
    </w:pPr>
    <w:rPr>
      <w:rFonts w:eastAsia="宋体"/>
      <w:b/>
      <w:bCs/>
      <w:sz w:val="28"/>
    </w:rPr>
  </w:style>
  <w:style w:type="paragraph" w:styleId="1096">
    <w:name w:val="Andy_正文"/>
    <w:basedOn w:val="943"/>
    <w:next w:val="1096"/>
    <w:link w:val="943"/>
    <w:qFormat/>
    <w:pPr>
      <w:ind w:firstLine="480"/>
      <w:spacing w:line="360" w:lineRule="auto"/>
    </w:pPr>
    <w:rPr>
      <w:rFonts w:ascii="Calibri" w:hAnsi="Calibri" w:eastAsia="宋体"/>
      <w:sz w:val="24"/>
      <w:szCs w:val="24"/>
    </w:rPr>
  </w:style>
  <w:style w:type="paragraph" w:styleId="1097">
    <w:name w:val="xl51"/>
    <w:basedOn w:val="943"/>
    <w:next w:val="1097"/>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8">
    <w:name w:val="_Style 12"/>
    <w:basedOn w:val="972"/>
    <w:next w:val="1098"/>
    <w:link w:val="943"/>
    <w:pPr>
      <w:jc w:val="left"/>
      <w:spacing w:line="360" w:lineRule="auto"/>
      <w:widowControl/>
    </w:pPr>
    <w:rPr>
      <w:sz w:val="24"/>
    </w:rPr>
  </w:style>
  <w:style w:type="paragraph" w:styleId="1099">
    <w:name w:val="修订"/>
    <w:next w:val="1099"/>
    <w:link w:val="943"/>
    <w:uiPriority w:val="99"/>
    <w:unhideWhenUsed/>
    <w:rPr>
      <w:rFonts w:eastAsia="楷体_GB2312"/>
      <w:sz w:val="26"/>
      <w:lang w:val="en-US" w:eastAsia="zh-CN" w:bidi="ar-SA"/>
    </w:rPr>
  </w:style>
  <w:style w:type="paragraph" w:styleId="1100">
    <w:name w:val="Default"/>
    <w:next w:val="1100"/>
    <w:link w:val="943"/>
    <w:qFormat/>
    <w:pPr>
      <w:widowControl w:val="off"/>
    </w:pPr>
    <w:rPr>
      <w:rFonts w:ascii="宋体" w:hAnsi="Calibri" w:cs="宋体"/>
      <w:color w:val="000000"/>
      <w:sz w:val="24"/>
      <w:szCs w:val="24"/>
      <w:lang w:val="en-US" w:eastAsia="zh-CN" w:bidi="ar-SA"/>
    </w:rPr>
  </w:style>
  <w:style w:type="paragraph" w:styleId="1101">
    <w:name w:val="xl57"/>
    <w:basedOn w:val="943"/>
    <w:next w:val="1101"/>
    <w:link w:val="94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2">
    <w:name w:val="xl49"/>
    <w:basedOn w:val="943"/>
    <w:next w:val="1102"/>
    <w:link w:val="943"/>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03">
    <w:name w:val="Char Char Char"/>
    <w:basedOn w:val="943"/>
    <w:next w:val="1103"/>
    <w:link w:val="943"/>
    <w:rPr>
      <w:rFonts w:ascii="Tahoma" w:hAnsi="Tahoma" w:eastAsia="宋体"/>
      <w:sz w:val="24"/>
    </w:rPr>
  </w:style>
  <w:style w:type="paragraph" w:styleId="1104">
    <w:name w:val="xl59"/>
    <w:basedOn w:val="943"/>
    <w:next w:val="1104"/>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5">
    <w:name w:val="xl63"/>
    <w:basedOn w:val="943"/>
    <w:next w:val="1105"/>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06">
    <w:name w:val="Char Char Char Char Char Char Char"/>
    <w:basedOn w:val="943"/>
    <w:next w:val="1106"/>
    <w:link w:val="943"/>
    <w:pPr>
      <w:ind w:left="432" w:hanging="432"/>
      <w:tabs>
        <w:tab w:val="left" w:pos="432" w:leader="none"/>
      </w:tabs>
    </w:pPr>
    <w:rPr>
      <w:rFonts w:ascii="Tahoma" w:hAnsi="Tahoma" w:eastAsia="宋体"/>
      <w:sz w:val="24"/>
    </w:rPr>
  </w:style>
  <w:style w:type="paragraph" w:styleId="1107">
    <w:name w:val="font5"/>
    <w:basedOn w:val="943"/>
    <w:next w:val="1107"/>
    <w:link w:val="943"/>
    <w:pPr>
      <w:jc w:val="left"/>
      <w:spacing w:before="100" w:beforeAutospacing="1" w:after="100" w:afterAutospacing="1"/>
      <w:widowControl/>
    </w:pPr>
    <w:rPr>
      <w:rFonts w:hint="eastAsia" w:ascii="宋体" w:hAnsi="宋体" w:eastAsia="宋体"/>
      <w:sz w:val="18"/>
      <w:szCs w:val="18"/>
    </w:rPr>
  </w:style>
  <w:style w:type="paragraph" w:styleId="1108">
    <w:name w:val="Char"/>
    <w:basedOn w:val="943"/>
    <w:next w:val="1108"/>
    <w:link w:val="943"/>
    <w:rPr>
      <w:rFonts w:ascii="Tahoma" w:hAnsi="Tahoma" w:eastAsia="宋体"/>
      <w:sz w:val="24"/>
    </w:rPr>
  </w:style>
  <w:style w:type="paragraph" w:styleId="1109">
    <w:name w:val="Blockquote"/>
    <w:basedOn w:val="943"/>
    <w:next w:val="1109"/>
    <w:link w:val="943"/>
    <w:qFormat/>
    <w:pPr>
      <w:ind w:left="360" w:right="360"/>
      <w:jc w:val="left"/>
      <w:spacing w:before="100" w:after="100"/>
    </w:pPr>
    <w:rPr>
      <w:sz w:val="24"/>
    </w:rPr>
  </w:style>
  <w:style w:type="paragraph" w:styleId="1110">
    <w:name w:val="Char Char Char Char Char Char Char Char Char1 Char"/>
    <w:basedOn w:val="972"/>
    <w:next w:val="1110"/>
    <w:link w:val="943"/>
    <w:pPr>
      <w:spacing w:line="360" w:lineRule="auto"/>
    </w:pPr>
    <w:rPr>
      <w:rFonts w:ascii="Tahoma" w:hAnsi="Tahoma"/>
      <w:sz w:val="24"/>
      <w:szCs w:val="24"/>
    </w:rPr>
  </w:style>
  <w:style w:type="paragraph" w:styleId="1111">
    <w:name w:val="font6"/>
    <w:basedOn w:val="943"/>
    <w:next w:val="1111"/>
    <w:link w:val="943"/>
    <w:pPr>
      <w:jc w:val="left"/>
      <w:spacing w:before="100" w:beforeAutospacing="1" w:after="100" w:afterAutospacing="1"/>
      <w:widowControl/>
    </w:pPr>
    <w:rPr>
      <w:rFonts w:hint="eastAsia" w:ascii="宋体" w:hAnsi="宋体" w:eastAsia="宋体" w:cs="Arial Unicode MS"/>
      <w:b/>
      <w:bCs/>
      <w:sz w:val="18"/>
      <w:szCs w:val="18"/>
    </w:rPr>
  </w:style>
  <w:style w:type="paragraph" w:styleId="1112">
    <w:name w:val="xl46"/>
    <w:basedOn w:val="943"/>
    <w:next w:val="1112"/>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3">
    <w:name w:val="xl58"/>
    <w:basedOn w:val="943"/>
    <w:next w:val="1113"/>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4">
    <w:name w:val="_Style 1"/>
    <w:basedOn w:val="943"/>
    <w:next w:val="1114"/>
    <w:link w:val="943"/>
    <w:uiPriority w:val="34"/>
    <w:qFormat/>
    <w:pPr>
      <w:ind w:firstLine="420"/>
    </w:pPr>
    <w:rPr>
      <w:rFonts w:ascii="Calibri" w:hAnsi="Calibri"/>
      <w:szCs w:val="22"/>
    </w:rPr>
  </w:style>
  <w:style w:type="paragraph" w:styleId="1115">
    <w:name w:val="xl64"/>
    <w:basedOn w:val="943"/>
    <w:next w:val="1115"/>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16">
    <w:name w:val="List Paragraph"/>
    <w:basedOn w:val="943"/>
    <w:next w:val="1116"/>
    <w:link w:val="943"/>
    <w:qFormat/>
    <w:pPr>
      <w:ind w:firstLine="420"/>
    </w:pPr>
  </w:style>
  <w:style w:type="paragraph" w:styleId="1117">
    <w:name w:val="xl55"/>
    <w:basedOn w:val="943"/>
    <w:next w:val="1117"/>
    <w:link w:val="94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8">
    <w:name w:val="xl56"/>
    <w:basedOn w:val="943"/>
    <w:next w:val="1118"/>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9">
    <w:name w:val="xl60"/>
    <w:basedOn w:val="943"/>
    <w:next w:val="1119"/>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0">
    <w:name w:val="分层标题"/>
    <w:basedOn w:val="943"/>
    <w:next w:val="969"/>
    <w:link w:val="943"/>
    <w:pPr>
      <w:ind w:left="709" w:hanging="709"/>
      <w:spacing w:before="120" w:after="120" w:line="360" w:lineRule="exact"/>
      <w:tabs>
        <w:tab w:val="left" w:pos="1080" w:leader="none"/>
      </w:tabs>
      <w:outlineLvl w:val="4"/>
    </w:pPr>
    <w:rPr>
      <w:rFonts w:eastAsia="宋体"/>
      <w:b/>
      <w:sz w:val="24"/>
      <w:szCs w:val="24"/>
    </w:rPr>
  </w:style>
  <w:style w:type="paragraph" w:styleId="1121">
    <w:name w:val="xl50"/>
    <w:basedOn w:val="943"/>
    <w:next w:val="1121"/>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22">
    <w:name w:val="xl48"/>
    <w:basedOn w:val="943"/>
    <w:next w:val="1122"/>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23">
    <w:name w:val="正文样式"/>
    <w:basedOn w:val="943"/>
    <w:next w:val="1123"/>
    <w:link w:val="943"/>
    <w:qFormat/>
    <w:pPr>
      <w:ind w:firstLine="584"/>
    </w:pPr>
    <w:rPr>
      <w:rFonts w:ascii="仿宋_GB2312" w:eastAsia="仿宋_GB2312"/>
      <w:spacing w:val="-4"/>
      <w:sz w:val="30"/>
      <w:szCs w:val="30"/>
    </w:rPr>
  </w:style>
  <w:style w:type="paragraph" w:styleId="1124">
    <w:name w:val="纯文本11"/>
    <w:basedOn w:val="943"/>
    <w:next w:val="1124"/>
    <w:link w:val="943"/>
    <w:uiPriority w:val="99"/>
    <w:qFormat/>
    <w:rPr>
      <w:rFonts w:ascii="宋体" w:hAnsi="Courier New" w:eastAsia="宋体"/>
      <w:sz w:val="21"/>
      <w:szCs w:val="22"/>
    </w:rPr>
  </w:style>
  <w:style w:type="paragraph" w:styleId="1125">
    <w:name w:val="首行缩进"/>
    <w:basedOn w:val="943"/>
    <w:next w:val="1125"/>
    <w:link w:val="943"/>
    <w:qFormat/>
    <w:pPr>
      <w:ind w:firstLine="480"/>
    </w:pPr>
    <w:rPr>
      <w:rFonts w:ascii="Times New Roman" w:hAnsi="Times New Roman"/>
      <w:szCs w:val="20"/>
      <w:lang w:val="zh-CN"/>
    </w:rPr>
  </w:style>
  <w:style w:type="paragraph" w:styleId="1126">
    <w:name w:val="默认段落字体 Para Char Char Char Char Char Char Char"/>
    <w:basedOn w:val="943"/>
    <w:next w:val="1126"/>
    <w:link w:val="943"/>
    <w:pPr>
      <w:spacing w:line="360" w:lineRule="auto"/>
    </w:pPr>
    <w:rPr>
      <w:rFonts w:ascii="Tahoma" w:hAnsi="Tahoma" w:eastAsia="宋体"/>
      <w:sz w:val="24"/>
    </w:rPr>
  </w:style>
  <w:style w:type="paragraph" w:styleId="1127">
    <w:name w:val="批注框文本1"/>
    <w:basedOn w:val="943"/>
    <w:next w:val="1127"/>
    <w:link w:val="943"/>
    <w:uiPriority w:val="1668"/>
    <w:semiHidden/>
    <w:qFormat/>
    <w:rPr>
      <w:sz w:val="18"/>
      <w:szCs w:val="18"/>
    </w:rPr>
  </w:style>
  <w:style w:type="paragraph" w:styleId="1128">
    <w:name w:val="p0"/>
    <w:basedOn w:val="943"/>
    <w:next w:val="1128"/>
    <w:link w:val="943"/>
    <w:qFormat/>
    <w:rPr>
      <w:rFonts w:hint="eastAsia"/>
    </w:rPr>
  </w:style>
  <w:style w:type="paragraph" w:styleId="1129">
    <w:name w:val="小四 段落 宋体 Char"/>
    <w:basedOn w:val="968"/>
    <w:next w:val="1129"/>
    <w:link w:val="943"/>
    <w:pPr>
      <w:ind w:left="0" w:right="-33" w:firstLine="480"/>
      <w:jc w:val="left"/>
      <w:spacing w:line="360" w:lineRule="auto"/>
      <w:tabs>
        <w:tab w:val="clear" w:pos="1125" w:leader="none"/>
      </w:tabs>
    </w:pPr>
    <w:rPr>
      <w:sz w:val="24"/>
    </w:rPr>
  </w:style>
  <w:style w:type="character" w:styleId="1130">
    <w:name w:val="NormalCharacter1"/>
    <w:next w:val="1130"/>
    <w:link w:val="1131"/>
    <w:semiHidden/>
    <w:qFormat/>
    <w:rPr>
      <w:sz w:val="20"/>
    </w:rPr>
  </w:style>
  <w:style w:type="paragraph" w:styleId="1131">
    <w:name w:val="UserStyle_4"/>
    <w:basedOn w:val="943"/>
    <w:next w:val="1131"/>
    <w:link w:val="1130"/>
    <w:qFormat/>
    <w:rPr>
      <w:rFonts w:eastAsia="宋体"/>
      <w:sz w:val="20"/>
    </w:rPr>
  </w:style>
  <w:style w:type="paragraph" w:styleId="1132">
    <w:name w:val="纯文本3"/>
    <w:basedOn w:val="943"/>
    <w:next w:val="1132"/>
    <w:link w:val="943"/>
    <w:qFormat/>
    <w:pPr>
      <w:jc w:val="both"/>
      <w:widowControl w:val="off"/>
    </w:pPr>
    <w:rPr>
      <w:rFonts w:ascii="宋体" w:hAnsi="Courier New"/>
      <w:sz w:val="21"/>
    </w:rPr>
  </w:style>
  <w:style w:type="paragraph" w:styleId="1133">
    <w:name w:val="列出段落2"/>
    <w:basedOn w:val="943"/>
    <w:next w:val="1133"/>
    <w:link w:val="943"/>
    <w:uiPriority w:val="34"/>
    <w:qFormat/>
    <w:pPr>
      <w:ind w:firstLine="420"/>
    </w:pPr>
    <w:rPr>
      <w:rFonts w:ascii="宋体" w:hAnsi="宋体"/>
      <w:sz w:val="24"/>
      <w:szCs w:val="24"/>
    </w:rPr>
  </w:style>
  <w:style w:type="paragraph" w:styleId="1134">
    <w:name w:val="表格正文"/>
    <w:next w:val="1134"/>
    <w:link w:val="943"/>
    <w:qFormat/>
    <w:pPr>
      <w:spacing w:before="20" w:after="20"/>
    </w:pPr>
    <w:rPr>
      <w:i/>
      <w:iCs/>
      <w:color w:val="0070c0"/>
      <w:sz w:val="24"/>
      <w:szCs w:val="22"/>
      <w:lang w:val="en-US" w:eastAsia="zh-CN" w:bidi="ar-SA"/>
    </w:rPr>
  </w:style>
  <w:style w:type="paragraph" w:styleId="1135">
    <w:name w:val="A 正文内容"/>
    <w:basedOn w:val="943"/>
    <w:next w:val="1135"/>
    <w:link w:val="943"/>
    <w:qFormat/>
    <w:pPr>
      <w:ind w:firstLine="480"/>
    </w:pPr>
    <w:rPr>
      <w:rFonts w:ascii="宋体" w:hAnsi="宋体"/>
    </w:rPr>
  </w:style>
  <w:style w:type="paragraph" w:styleId="1136">
    <w:name w:val="正文1"/>
    <w:next w:val="943"/>
    <w:link w:val="943"/>
    <w:qFormat/>
    <w:pPr>
      <w:jc w:val="both"/>
      <w:spacing w:line="360" w:lineRule="atLeast"/>
      <w:widowControl w:val="off"/>
    </w:pPr>
    <w:rPr>
      <w:lang w:val="en-US" w:eastAsia="zh-CN" w:bidi="ar-SA"/>
    </w:rPr>
  </w:style>
  <w:style w:type="paragraph" w:styleId="1137">
    <w:name w:val="Table Paragraph"/>
    <w:basedOn w:val="943"/>
    <w:next w:val="1137"/>
    <w:link w:val="943"/>
    <w:uiPriority w:val="1"/>
    <w:qFormat/>
    <w:rPr>
      <w:rFonts w:ascii="仿宋" w:hAnsi="仿宋" w:eastAsia="仿宋" w:cs="仿宋"/>
      <w:lang w:val="zh-CN" w:bidi="zh-CN"/>
    </w:rPr>
  </w:style>
  <w:style w:type="character" w:styleId="1138" w:default="1">
    <w:name w:val="Default Paragraph Font"/>
    <w:uiPriority w:val="1"/>
    <w:semiHidden/>
    <w:unhideWhenUsed/>
  </w:style>
  <w:style w:type="numbering" w:styleId="1139" w:default="1">
    <w:name w:val="No List"/>
    <w:uiPriority w:val="99"/>
    <w:semiHidden/>
    <w:unhideWhenUsed/>
  </w:style>
  <w:style w:type="table" w:styleId="11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5</cp:revision>
  <dcterms:created xsi:type="dcterms:W3CDTF">2023-04-15T01:25:00Z</dcterms:created>
  <dcterms:modified xsi:type="dcterms:W3CDTF">2026-10-15T03:38:53Z</dcterms:modified>
</cp:coreProperties>
</file>