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400" w:lineRule="exact"/>
        <w:rPr>
          <w:rFonts w:hint="eastAsia" w:ascii="方正小标宋_GBK" w:hAnsi="方正小标宋_GBK" w:eastAsia="方正小标宋_GBK" w:cs="方正小标宋_GBK"/>
          <w:sz w:val="28"/>
          <w:szCs w:val="28"/>
        </w:rPr>
      </w:pPr>
      <w:r>
        <w:rPr>
          <w:rFonts w:hint="eastAsia" w:ascii="方正小标宋_GBK" w:hAnsi="方正小标宋_GBK" w:eastAsia="方正小标宋_GBK" w:cs="方正小标宋_GBK"/>
          <w:sz w:val="28"/>
          <w:szCs w:val="28"/>
        </w:rPr>
      </w:r>
      <w:r/>
    </w:p>
    <w:p>
      <w:pPr>
        <w:jc w:val="center"/>
        <w:spacing w:before="120" w:after="120" w:line="400" w:lineRule="exact"/>
        <w:rPr>
          <w:rFonts w:hint="eastAsia" w:ascii="方正小标宋_GBK" w:hAnsi="方正小标宋_GBK" w:eastAsia="方正小标宋_GBK" w:cs="方正小标宋_GBK"/>
          <w:sz w:val="28"/>
          <w:szCs w:val="28"/>
        </w:rPr>
      </w:pPr>
      <w:r>
        <w:rPr>
          <w:rFonts w:hint="eastAsia" w:ascii="方正小标宋_GBK" w:hAnsi="方正小标宋_GBK" w:eastAsia="方正小标宋_GBK" w:cs="方正小标宋_GBK"/>
          <w:sz w:val="28"/>
          <w:szCs w:val="28"/>
        </w:rPr>
      </w:r>
      <w:r/>
    </w:p>
    <w:p>
      <w:pPr>
        <w:jc w:val="center"/>
        <w:spacing w:before="120" w:after="120" w:line="400" w:lineRule="exact"/>
        <w:rPr>
          <w:rFonts w:hint="eastAsia" w:ascii="方正小标宋_GBK" w:hAnsi="方正小标宋_GBK" w:eastAsia="方正小标宋_GBK" w:cs="方正小标宋_GBK"/>
          <w:sz w:val="28"/>
          <w:szCs w:val="28"/>
        </w:rPr>
      </w:pPr>
      <w:r>
        <w:rPr>
          <w:rFonts w:hint="eastAsia" w:ascii="方正小标宋_GBK" w:hAnsi="方正小标宋_GBK" w:eastAsia="方正小标宋_GBK" w:cs="方正小标宋_GBK"/>
          <w:sz w:val="28"/>
          <w:szCs w:val="28"/>
        </w:rPr>
      </w:r>
      <w:r/>
    </w:p>
    <w:p>
      <w:pPr>
        <w:jc w:val="center"/>
        <w:spacing w:before="120" w:after="120" w:line="590" w:lineRule="exact"/>
        <w:rPr>
          <w:rFonts w:hint="eastAsia" w:ascii="方正小标宋_GBK" w:hAnsi="方正小标宋_GBK" w:eastAsia="方正小标宋_GBK" w:cs="方正小标宋_GBK"/>
          <w:sz w:val="28"/>
          <w:szCs w:val="28"/>
        </w:rPr>
      </w:pPr>
      <w:r>
        <w:rPr>
          <w:rFonts w:hint="eastAsia" w:ascii="方正小标宋_GBK" w:hAnsi="方正小标宋_GBK" w:eastAsia="方正小标宋_GBK" w:cs="方正小标宋_GBK"/>
          <w:sz w:val="28"/>
          <w:szCs w:val="28"/>
        </w:rPr>
      </w:r>
      <w:r/>
    </w:p>
    <w:p>
      <w:pPr>
        <w:jc w:val="center"/>
        <w:spacing w:before="120" w:after="120" w:line="1000" w:lineRule="exact"/>
        <w:rPr>
          <w:rFonts w:hint="eastAsia" w:ascii="方正小标宋_GBK" w:hAnsi="方正小标宋_GBK" w:eastAsia="方正小标宋_GBK" w:cs="方正小标宋_GBK"/>
          <w:sz w:val="52"/>
          <w:szCs w:val="52"/>
        </w:rPr>
      </w:pPr>
      <w:r>
        <w:rPr>
          <w:rFonts w:hint="eastAsia" w:ascii="方正小标宋_GBK" w:hAnsi="方正小标宋_GBK" w:eastAsia="方正小标宋_GBK" w:cs="方正小标宋_GBK"/>
          <w:sz w:val="52"/>
          <w:szCs w:val="52"/>
        </w:rPr>
        <w:t xml:space="preserve">招　标　文　件</w:t>
      </w:r>
      <w:r/>
    </w:p>
    <w:p>
      <w:pPr>
        <w:jc w:val="center"/>
        <w:spacing w:before="120" w:after="120" w:line="1000" w:lineRule="exact"/>
        <w:rPr>
          <w:rFonts w:hint="eastAsia" w:ascii="方正小标宋_GBK" w:hAnsi="方正小标宋_GBK" w:eastAsia="方正小标宋_GBK" w:cs="方正小标宋_GBK"/>
          <w:sz w:val="52"/>
          <w:szCs w:val="52"/>
        </w:rPr>
      </w:pPr>
      <w:r>
        <w:rPr>
          <w:rFonts w:hint="eastAsia" w:ascii="方正小标宋_GBK" w:hAnsi="方正小标宋_GBK" w:eastAsia="方正小标宋_GBK" w:cs="方正小标宋_GBK"/>
          <w:sz w:val="52"/>
          <w:szCs w:val="52"/>
        </w:rPr>
      </w:r>
      <w:r/>
    </w:p>
    <w:p>
      <w:pPr>
        <w:ind w:firstLine="562"/>
        <w:jc w:val="left"/>
        <w:spacing w:before="120" w:after="120" w:line="400" w:lineRule="exact"/>
        <w:rPr>
          <w:rFonts w:ascii="Arial" w:hAnsi="Arial"/>
          <w:b/>
          <w:bCs/>
          <w:sz w:val="28"/>
          <w:szCs w:val="28"/>
        </w:rPr>
      </w:pPr>
      <w:r>
        <w:rPr>
          <w:rFonts w:ascii="Arial" w:hAnsi="Arial"/>
          <w:b/>
          <w:bCs/>
          <w:sz w:val="28"/>
          <w:szCs w:val="28"/>
        </w:rPr>
      </w:r>
      <w:r/>
    </w:p>
    <w:p>
      <w:pPr>
        <w:ind w:firstLine="560"/>
        <w:jc w:val="left"/>
        <w:spacing w:before="120" w:after="120" w:line="400" w:lineRule="exact"/>
        <w:rPr>
          <w:rFonts w:hint="eastAsia" w:ascii="方正公文黑体" w:hAnsi="方正公文黑体" w:eastAsia="黑体" w:cs="方正公文黑体"/>
          <w:sz w:val="28"/>
          <w:szCs w:val="28"/>
          <w:u w:val="single"/>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江苏省2025年县域医共体设备更新项目</w:t>
      </w:r>
      <w:r>
        <w:rPr>
          <w:rFonts w:hint="eastAsia" w:ascii="黑体" w:hAnsi="黑体" w:eastAsia="黑体" w:cs="黑体"/>
          <w:sz w:val="28"/>
          <w:szCs w:val="28"/>
          <w:u w:val="single"/>
        </w:rPr>
        <w:t xml:space="preserve">仪征市人民医院医用直线加速器采购</w:t>
      </w:r>
      <w:r/>
    </w:p>
    <w:p>
      <w:pPr>
        <w:ind w:firstLine="560"/>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采购编号：</w:t>
      </w:r>
      <w:r>
        <w:rPr>
          <w:rFonts w:eastAsia="方正黑体_GBK"/>
          <w:sz w:val="28"/>
          <w:szCs w:val="28"/>
        </w:rPr>
        <w:t xml:space="preserve">JSZC-320000-SCZX-G2026-0458</w:t>
      </w:r>
      <w:r/>
    </w:p>
    <w:p>
      <w:pPr>
        <w:jc w:val="left"/>
        <w:spacing w:line="360" w:lineRule="auto"/>
        <w:rPr>
          <w:rFonts w:hint="eastAsia" w:ascii="宋体" w:hAnsi="宋体"/>
          <w:sz w:val="28"/>
          <w:szCs w:val="28"/>
        </w:rPr>
      </w:pPr>
      <w:r>
        <w:rPr>
          <w:rFonts w:hint="eastAsia" w:ascii="宋体" w:hAnsi="宋体"/>
          <w:sz w:val="28"/>
          <w:szCs w:val="28"/>
        </w:rPr>
      </w:r>
      <w:r/>
    </w:p>
    <w:p>
      <w:pPr>
        <w:jc w:val="left"/>
        <w:spacing w:line="360" w:lineRule="auto"/>
        <w:rPr>
          <w:rFonts w:hint="eastAsia" w:ascii="宋体" w:hAnsi="宋体"/>
          <w:sz w:val="28"/>
          <w:szCs w:val="28"/>
        </w:rPr>
      </w:pPr>
      <w:r>
        <w:rPr>
          <w:rFonts w:hint="eastAsia" w:ascii="宋体" w:hAnsi="宋体"/>
          <w:sz w:val="28"/>
          <w:szCs w:val="28"/>
        </w:rPr>
      </w:r>
      <w:r/>
    </w:p>
    <w:p>
      <w:pPr>
        <w:jc w:val="left"/>
        <w:spacing w:line="360" w:lineRule="auto"/>
        <w:rPr>
          <w:rFonts w:hint="eastAsia" w:ascii="宋体" w:hAnsi="宋体"/>
          <w:sz w:val="28"/>
          <w:szCs w:val="28"/>
        </w:rPr>
      </w:pPr>
      <w:r>
        <w:rPr>
          <w:rFonts w:hint="eastAsia" w:ascii="宋体" w:hAnsi="宋体"/>
          <w:sz w:val="28"/>
          <w:szCs w:val="28"/>
        </w:rPr>
      </w:r>
      <w:r/>
    </w:p>
    <w:p>
      <w:pPr>
        <w:jc w:val="left"/>
        <w:spacing w:line="360" w:lineRule="auto"/>
        <w:rPr>
          <w:rFonts w:hint="eastAsia" w:ascii="宋体" w:hAnsi="宋体"/>
          <w:sz w:val="28"/>
          <w:szCs w:val="28"/>
        </w:rPr>
      </w:pPr>
      <w:r>
        <w:rPr>
          <w:rFonts w:hint="eastAsia" w:ascii="宋体" w:hAnsi="宋体"/>
          <w:sz w:val="28"/>
          <w:szCs w:val="28"/>
        </w:rPr>
      </w:r>
      <w:r/>
    </w:p>
    <w:p>
      <w:pPr>
        <w:jc w:val="left"/>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江苏省政府采购中心</w:t>
      </w:r>
      <w:r/>
    </w:p>
    <w:p>
      <w:pPr>
        <w:pStyle w:val="1008"/>
        <w:ind w:firstLine="0"/>
        <w:jc w:val="center"/>
        <w:rPr>
          <w:b/>
          <w:bCs/>
          <w:sz w:val="32"/>
        </w:rPr>
      </w:pPr>
      <w:r>
        <w:rPr>
          <w:rFonts w:hint="eastAsia"/>
          <w:b/>
          <w:bCs/>
          <w:sz w:val="32"/>
        </w:rPr>
        <w:t xml:space="preserve">2026</w:t>
      </w:r>
      <w:r>
        <w:rPr>
          <w:rFonts w:hint="eastAsia"/>
          <w:b/>
          <w:bCs/>
          <w:sz w:val="32"/>
        </w:rPr>
        <w:t xml:space="preserve">年</w:t>
      </w:r>
      <w:r>
        <w:rPr>
          <w:rFonts w:hint="eastAsia"/>
          <w:b/>
          <w:bCs/>
          <w:sz w:val="32"/>
        </w:rPr>
        <w:t xml:space="preserve">9</w:t>
      </w:r>
      <w:r>
        <w:rPr>
          <w:rFonts w:hint="eastAsia"/>
          <w:b/>
          <w:bCs/>
          <w:sz w:val="32"/>
        </w:rPr>
        <w:t xml:space="preserve">月</w:t>
      </w:r>
      <w:r/>
    </w:p>
    <w:p>
      <w:pPr>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center"/>
        <w:spacing w:line="660" w:lineRule="exact"/>
        <w:rPr>
          <w:rFonts w:ascii="黑体" w:hAnsi="Arial" w:eastAsia="黑体"/>
          <w:b/>
          <w:sz w:val="28"/>
          <w:szCs w:val="28"/>
        </w:rPr>
        <w:outlineLvl w:val="0"/>
      </w:pPr>
      <w:r>
        <w:rPr>
          <w:szCs w:val="21"/>
        </w:rPr>
        <w:br w:type="page" w:clear="all"/>
      </w:r>
      <w:bookmarkStart w:id="0" w:name="_Toc240275209"/>
      <w:r/>
      <w:bookmarkStart w:id="1" w:name="_Toc120614210"/>
      <w:r/>
      <w:bookmarkStart w:id="2" w:name="_Toc16938516"/>
      <w:r/>
      <w:bookmarkStart w:id="3" w:name="_Toc513029200"/>
      <w:r/>
      <w:bookmarkStart w:id="4" w:name="_Toc20823272"/>
      <w:r/>
      <w:bookmarkStart w:id="5" w:name="_Toc523127445"/>
      <w:r/>
      <w:bookmarkStart w:id="6" w:name="_Toc479757206"/>
      <w:r>
        <w:rPr>
          <w:rFonts w:hint="eastAsia" w:ascii="方正黑体_GBK" w:hAnsi="方正黑体_GBK" w:eastAsia="方正黑体_GBK" w:cs="方正黑体_GBK"/>
          <w:bCs/>
          <w:sz w:val="28"/>
          <w:szCs w:val="28"/>
        </w:rPr>
        <w:t xml:space="preserve">总  目</w:t>
      </w:r>
      <w:r>
        <w:rPr>
          <w:rFonts w:hint="eastAsia" w:ascii="方正黑体_GBK" w:hAnsi="方正黑体_GBK" w:eastAsia="方正黑体_GBK" w:cs="方正黑体_GBK"/>
          <w:bCs/>
          <w:sz w:val="28"/>
          <w:szCs w:val="28"/>
        </w:rPr>
        <w:t xml:space="preserve">  录</w:t>
      </w:r>
      <w:bookmarkEnd w:id="0"/>
      <w:r/>
      <w:r/>
    </w:p>
    <w:p>
      <w:pPr>
        <w:pStyle w:val="940"/>
        <w:rPr>
          <w:rFonts w:asciiTheme="minorHAnsi" w:hAnsiTheme="minorHAnsi" w:eastAsiaTheme="minorEastAsia" w:cstheme="minorBidi"/>
          <w:caps w:val="0"/>
          <w:sz w:val="22"/>
          <w14:ligatures w14:val="standardContextual"/>
        </w:rPr>
      </w:pPr>
      <w:r>
        <w:rPr>
          <w:rFonts w:hAnsi="Times New Roman"/>
          <w:b/>
          <w:bCs/>
          <w:sz w:val="36"/>
          <w:szCs w:val="36"/>
        </w:rPr>
        <w:fldChar w:fldCharType="begin"/>
      </w:r>
      <w:r>
        <w:rPr>
          <w:b/>
          <w:bCs/>
          <w:sz w:val="36"/>
          <w:szCs w:val="36"/>
        </w:rPr>
        <w:instrText xml:space="preserve"> TOC \o "1-1" \u </w:instrText>
      </w:r>
      <w:r>
        <w:rPr>
          <w:rFonts w:hAnsi="Times New Roman"/>
          <w:b/>
          <w:bCs/>
          <w:sz w:val="36"/>
          <w:szCs w:val="36"/>
        </w:rPr>
        <w:fldChar w:fldCharType="separate"/>
      </w:r>
      <w:r>
        <w:rPr>
          <w:rFonts w:hint="eastAsia" w:ascii="方正黑体_GBK" w:hAnsi="方正黑体_GBK" w:eastAsia="方正黑体_GBK" w:cs="方正黑体_GBK"/>
          <w:bCs/>
        </w:rPr>
        <w:t xml:space="preserve">总  目  录</w:t>
      </w:r>
      <w:r>
        <w:rPr>
          <w:rFonts w:hint="eastAsia"/>
        </w:rPr>
        <w:tab/>
      </w:r>
      <w:r>
        <w:rPr>
          <w:rFonts w:hint="eastAsia"/>
        </w:rPr>
        <w:fldChar w:fldCharType="begin"/>
      </w:r>
      <w:r>
        <w:rPr>
          <w:rFonts w:hint="eastAsia"/>
        </w:rPr>
        <w:instrText xml:space="preserve"> </w:instrText>
      </w:r>
      <w:r>
        <w:instrText xml:space="preserve">PAGEREF _Toc240275209 \h</w:instrText>
      </w:r>
      <w:r>
        <w:rPr>
          <w:rFonts w:hint="eastAsia"/>
        </w:rPr>
        <w:instrText xml:space="preserve"> </w:instrText>
      </w:r>
      <w:r>
        <w:rPr>
          <w:rFonts w:hint="eastAsia"/>
        </w:rPr>
        <w:fldChar w:fldCharType="separate"/>
      </w:r>
      <w:r>
        <w:rPr>
          <w:rFonts w:hint="eastAsia"/>
        </w:rPr>
        <w:t xml:space="preserve">2</w:t>
      </w:r>
      <w:r>
        <w:rPr>
          <w:rFonts w:hint="eastAsia"/>
        </w:rPr>
        <w:fldChar w:fldCharType="end"/>
      </w:r>
      <w:r/>
    </w:p>
    <w:p>
      <w:pPr>
        <w:pStyle w:val="940"/>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_Toc240275210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p>
    <w:p>
      <w:pPr>
        <w:pStyle w:val="940"/>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_Toc240275211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p>
    <w:p>
      <w:pPr>
        <w:pStyle w:val="940"/>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_Toc240275212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p>
    <w:p>
      <w:pPr>
        <w:pStyle w:val="940"/>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_Toc240275213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p>
    <w:p>
      <w:pPr>
        <w:pStyle w:val="940"/>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_Toc240275214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p>
    <w:p>
      <w:pPr>
        <w:pStyle w:val="940"/>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五、公告期限</w:t>
      </w:r>
      <w:r>
        <w:rPr>
          <w:rFonts w:hint="eastAsia"/>
        </w:rPr>
        <w:tab/>
      </w:r>
      <w:r>
        <w:rPr>
          <w:rFonts w:hint="eastAsia"/>
        </w:rPr>
        <w:fldChar w:fldCharType="begin"/>
      </w:r>
      <w:r>
        <w:rPr>
          <w:rFonts w:hint="eastAsia"/>
        </w:rPr>
        <w:instrText xml:space="preserve"> </w:instrText>
      </w:r>
      <w:r>
        <w:instrText xml:space="preserve">PAGEREF _Toc240275215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p>
    <w:p>
      <w:pPr>
        <w:pStyle w:val="940"/>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_Toc240275216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p>
    <w:p>
      <w:pPr>
        <w:pStyle w:val="940"/>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_Toc240275217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p>
    <w:p>
      <w:pPr>
        <w:pStyle w:val="940"/>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八、其他</w:t>
      </w:r>
      <w:r>
        <w:rPr>
          <w:rFonts w:hint="eastAsia"/>
        </w:rPr>
        <w:tab/>
      </w:r>
      <w:r>
        <w:rPr>
          <w:rFonts w:hint="eastAsia"/>
        </w:rPr>
        <w:fldChar w:fldCharType="begin"/>
      </w:r>
      <w:r>
        <w:rPr>
          <w:rFonts w:hint="eastAsia"/>
        </w:rPr>
        <w:instrText xml:space="preserve"> </w:instrText>
      </w:r>
      <w:r>
        <w:instrText xml:space="preserve">PAGEREF _Toc240275218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p>
    <w:p>
      <w:pPr>
        <w:pStyle w:val="940"/>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_Toc240275219 \h</w:instrText>
      </w:r>
      <w:r>
        <w:rPr>
          <w:rFonts w:hint="eastAsia"/>
        </w:rPr>
        <w:instrText xml:space="preserve"> </w:instrText>
      </w:r>
      <w:r>
        <w:rPr>
          <w:rFonts w:hint="eastAsia"/>
        </w:rPr>
        <w:fldChar w:fldCharType="separate"/>
      </w:r>
      <w:r>
        <w:rPr>
          <w:rFonts w:hint="eastAsia"/>
        </w:rPr>
        <w:t xml:space="preserve">6</w:t>
      </w:r>
      <w:r>
        <w:rPr>
          <w:rFonts w:hint="eastAsia"/>
        </w:rPr>
        <w:fldChar w:fldCharType="end"/>
      </w:r>
      <w:r/>
    </w:p>
    <w:p>
      <w:pPr>
        <w:pStyle w:val="940"/>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一、总则</w:t>
      </w:r>
      <w:r>
        <w:rPr>
          <w:rFonts w:hint="eastAsia"/>
        </w:rPr>
        <w:tab/>
      </w:r>
      <w:r>
        <w:rPr>
          <w:rFonts w:hint="eastAsia"/>
        </w:rPr>
        <w:fldChar w:fldCharType="begin"/>
      </w:r>
      <w:r>
        <w:rPr>
          <w:rFonts w:hint="eastAsia"/>
        </w:rPr>
        <w:instrText xml:space="preserve"> </w:instrText>
      </w:r>
      <w:r>
        <w:instrText xml:space="preserve">PAGEREF _Toc240275220 \h</w:instrText>
      </w:r>
      <w:r>
        <w:rPr>
          <w:rFonts w:hint="eastAsia"/>
        </w:rPr>
        <w:instrText xml:space="preserve"> </w:instrText>
      </w:r>
      <w:r>
        <w:rPr>
          <w:rFonts w:hint="eastAsia"/>
        </w:rPr>
        <w:fldChar w:fldCharType="separate"/>
      </w:r>
      <w:r>
        <w:rPr>
          <w:rFonts w:hint="eastAsia"/>
        </w:rPr>
        <w:t xml:space="preserve">6</w:t>
      </w:r>
      <w:r>
        <w:rPr>
          <w:rFonts w:hint="eastAsia"/>
        </w:rPr>
        <w:fldChar w:fldCharType="end"/>
      </w:r>
      <w:r/>
    </w:p>
    <w:p>
      <w:pPr>
        <w:pStyle w:val="940"/>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二、招标文件</w:t>
      </w:r>
      <w:r>
        <w:rPr>
          <w:rFonts w:hint="eastAsia"/>
        </w:rPr>
        <w:tab/>
      </w:r>
      <w:r>
        <w:rPr>
          <w:rFonts w:hint="eastAsia"/>
        </w:rPr>
        <w:fldChar w:fldCharType="begin"/>
      </w:r>
      <w:r>
        <w:rPr>
          <w:rFonts w:hint="eastAsia"/>
        </w:rPr>
        <w:instrText xml:space="preserve"> </w:instrText>
      </w:r>
      <w:r>
        <w:instrText xml:space="preserve">PAGEREF _Toc240275221 \h</w:instrText>
      </w:r>
      <w:r>
        <w:rPr>
          <w:rFonts w:hint="eastAsia"/>
        </w:rPr>
        <w:instrText xml:space="preserve"> </w:instrText>
      </w:r>
      <w:r>
        <w:rPr>
          <w:rFonts w:hint="eastAsia"/>
        </w:rPr>
        <w:fldChar w:fldCharType="separate"/>
      </w:r>
      <w:r>
        <w:rPr>
          <w:rFonts w:hint="eastAsia"/>
        </w:rPr>
        <w:t xml:space="preserve">6</w:t>
      </w:r>
      <w:r>
        <w:rPr>
          <w:rFonts w:hint="eastAsia"/>
        </w:rPr>
        <w:fldChar w:fldCharType="end"/>
      </w:r>
      <w:r/>
    </w:p>
    <w:p>
      <w:pPr>
        <w:pStyle w:val="940"/>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_Toc240275222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p>
    <w:p>
      <w:pPr>
        <w:pStyle w:val="940"/>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_Toc240275223 \h</w:instrText>
      </w:r>
      <w:r>
        <w:rPr>
          <w:rFonts w:hint="eastAsia"/>
        </w:rPr>
        <w:instrText xml:space="preserve"> </w:instrText>
      </w:r>
      <w:r>
        <w:rPr>
          <w:rFonts w:hint="eastAsia"/>
        </w:rPr>
        <w:fldChar w:fldCharType="separate"/>
      </w:r>
      <w:r>
        <w:rPr>
          <w:rFonts w:hint="eastAsia"/>
        </w:rPr>
        <w:t xml:space="preserve">8</w:t>
      </w:r>
      <w:r>
        <w:rPr>
          <w:rFonts w:hint="eastAsia"/>
        </w:rPr>
        <w:fldChar w:fldCharType="end"/>
      </w:r>
      <w:r/>
    </w:p>
    <w:p>
      <w:pPr>
        <w:pStyle w:val="940"/>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五、开标与评标</w:t>
      </w:r>
      <w:r>
        <w:rPr>
          <w:rFonts w:hint="eastAsia"/>
        </w:rPr>
        <w:tab/>
      </w:r>
      <w:r>
        <w:rPr>
          <w:rFonts w:hint="eastAsia"/>
        </w:rPr>
        <w:fldChar w:fldCharType="begin"/>
      </w:r>
      <w:r>
        <w:rPr>
          <w:rFonts w:hint="eastAsia"/>
        </w:rPr>
        <w:instrText xml:space="preserve"> </w:instrText>
      </w:r>
      <w:r>
        <w:instrText xml:space="preserve">PAGEREF _Toc240275224 \h</w:instrText>
      </w:r>
      <w:r>
        <w:rPr>
          <w:rFonts w:hint="eastAsia"/>
        </w:rPr>
        <w:instrText xml:space="preserve"> </w:instrText>
      </w:r>
      <w:r>
        <w:rPr>
          <w:rFonts w:hint="eastAsia"/>
        </w:rPr>
        <w:fldChar w:fldCharType="separate"/>
      </w:r>
      <w:r>
        <w:rPr>
          <w:rFonts w:hint="eastAsia"/>
        </w:rPr>
        <w:t xml:space="preserve">9</w:t>
      </w:r>
      <w:r>
        <w:rPr>
          <w:rFonts w:hint="eastAsia"/>
        </w:rPr>
        <w:fldChar w:fldCharType="end"/>
      </w:r>
      <w:r/>
    </w:p>
    <w:p>
      <w:pPr>
        <w:pStyle w:val="940"/>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六、定标</w:t>
      </w:r>
      <w:r>
        <w:rPr>
          <w:rFonts w:hint="eastAsia"/>
        </w:rPr>
        <w:tab/>
      </w:r>
      <w:r>
        <w:rPr>
          <w:rFonts w:hint="eastAsia"/>
        </w:rPr>
        <w:fldChar w:fldCharType="begin"/>
      </w:r>
      <w:r>
        <w:rPr>
          <w:rFonts w:hint="eastAsia"/>
        </w:rPr>
        <w:instrText xml:space="preserve"> </w:instrText>
      </w:r>
      <w:r>
        <w:instrText xml:space="preserve">PAGEREF _Toc240275225 \h</w:instrText>
      </w:r>
      <w:r>
        <w:rPr>
          <w:rFonts w:hint="eastAsia"/>
        </w:rPr>
        <w:instrText xml:space="preserve"> </w:instrText>
      </w:r>
      <w:r>
        <w:rPr>
          <w:rFonts w:hint="eastAsia"/>
        </w:rPr>
        <w:fldChar w:fldCharType="separate"/>
      </w:r>
      <w:r>
        <w:rPr>
          <w:rFonts w:hint="eastAsia"/>
        </w:rPr>
        <w:t xml:space="preserve">14</w:t>
      </w:r>
      <w:r>
        <w:rPr>
          <w:rFonts w:hint="eastAsia"/>
        </w:rPr>
        <w:fldChar w:fldCharType="end"/>
      </w:r>
      <w:r/>
    </w:p>
    <w:p>
      <w:pPr>
        <w:pStyle w:val="940"/>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七、授予合同</w:t>
      </w:r>
      <w:r>
        <w:rPr>
          <w:rFonts w:hint="eastAsia"/>
        </w:rPr>
        <w:tab/>
      </w:r>
      <w:r>
        <w:rPr>
          <w:rFonts w:hint="eastAsia"/>
        </w:rPr>
        <w:fldChar w:fldCharType="begin"/>
      </w:r>
      <w:r>
        <w:rPr>
          <w:rFonts w:hint="eastAsia"/>
        </w:rPr>
        <w:instrText xml:space="preserve"> </w:instrText>
      </w:r>
      <w:r>
        <w:instrText xml:space="preserve">PAGEREF _Toc240275226 \h</w:instrText>
      </w:r>
      <w:r>
        <w:rPr>
          <w:rFonts w:hint="eastAsia"/>
        </w:rPr>
        <w:instrText xml:space="preserve"> </w:instrText>
      </w:r>
      <w:r>
        <w:rPr>
          <w:rFonts w:hint="eastAsia"/>
        </w:rPr>
        <w:fldChar w:fldCharType="separate"/>
      </w:r>
      <w:r>
        <w:rPr>
          <w:rFonts w:hint="eastAsia"/>
        </w:rPr>
        <w:t xml:space="preserve">16</w:t>
      </w:r>
      <w:r>
        <w:rPr>
          <w:rFonts w:hint="eastAsia"/>
        </w:rPr>
        <w:fldChar w:fldCharType="end"/>
      </w:r>
      <w:r/>
    </w:p>
    <w:p>
      <w:pPr>
        <w:pStyle w:val="940"/>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bCs/>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_Toc240275227 \h</w:instrText>
      </w:r>
      <w:r>
        <w:rPr>
          <w:rFonts w:hint="eastAsia"/>
        </w:rPr>
        <w:instrText xml:space="preserve"> </w:instrText>
      </w:r>
      <w:r>
        <w:rPr>
          <w:rFonts w:hint="eastAsia"/>
        </w:rPr>
        <w:fldChar w:fldCharType="separate"/>
      </w:r>
      <w:r>
        <w:rPr>
          <w:rFonts w:hint="eastAsia"/>
        </w:rPr>
        <w:t xml:space="preserve">18</w:t>
      </w:r>
      <w:r>
        <w:rPr>
          <w:rFonts w:hint="eastAsia"/>
        </w:rPr>
        <w:fldChar w:fldCharType="end"/>
      </w:r>
      <w:r/>
    </w:p>
    <w:p>
      <w:pPr>
        <w:pStyle w:val="940"/>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bCs/>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_Toc240275228 \h</w:instrText>
      </w:r>
      <w:r>
        <w:rPr>
          <w:rFonts w:hint="eastAsia"/>
        </w:rPr>
        <w:instrText xml:space="preserve"> </w:instrText>
      </w:r>
      <w:r>
        <w:rPr>
          <w:rFonts w:hint="eastAsia"/>
        </w:rPr>
        <w:fldChar w:fldCharType="separate"/>
      </w:r>
      <w:r>
        <w:rPr>
          <w:rFonts w:hint="eastAsia"/>
        </w:rPr>
        <w:t xml:space="preserve">37</w:t>
      </w:r>
      <w:r>
        <w:rPr>
          <w:rFonts w:hint="eastAsia"/>
        </w:rPr>
        <w:fldChar w:fldCharType="end"/>
      </w:r>
      <w:r/>
    </w:p>
    <w:p>
      <w:pPr>
        <w:pStyle w:val="940"/>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bCs/>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_Toc240275229 \h</w:instrText>
      </w:r>
      <w:r>
        <w:rPr>
          <w:rFonts w:hint="eastAsia"/>
        </w:rPr>
        <w:instrText xml:space="preserve"> </w:instrText>
      </w:r>
      <w:r>
        <w:rPr>
          <w:rFonts w:hint="eastAsia"/>
        </w:rPr>
        <w:fldChar w:fldCharType="separate"/>
      </w:r>
      <w:r>
        <w:rPr>
          <w:rFonts w:hint="eastAsia"/>
        </w:rPr>
        <w:t xml:space="preserve">52</w:t>
      </w:r>
      <w:r>
        <w:rPr>
          <w:rFonts w:hint="eastAsia"/>
        </w:rPr>
        <w:fldChar w:fldCharType="end"/>
      </w:r>
      <w:r/>
    </w:p>
    <w:p>
      <w:pPr>
        <w:pStyle w:val="940"/>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bCs/>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_Toc240275230 \h</w:instrText>
      </w:r>
      <w:r>
        <w:rPr>
          <w:rFonts w:hint="eastAsia"/>
        </w:rPr>
        <w:instrText xml:space="preserve"> </w:instrText>
      </w:r>
      <w:r>
        <w:rPr>
          <w:rFonts w:hint="eastAsia"/>
        </w:rPr>
        <w:fldChar w:fldCharType="separate"/>
      </w:r>
      <w:r>
        <w:rPr>
          <w:rFonts w:hint="eastAsia"/>
        </w:rPr>
        <w:t xml:space="preserve">58</w:t>
      </w:r>
      <w:r>
        <w:rPr>
          <w:rFonts w:hint="eastAsia"/>
        </w:rPr>
        <w:fldChar w:fldCharType="end"/>
      </w:r>
      <w:r/>
    </w:p>
    <w:p>
      <w:r>
        <w:rPr>
          <w:rFonts w:hAnsi="宋体"/>
          <w:bCs/>
          <w:szCs w:val="36"/>
        </w:rPr>
        <w:fldChar w:fldCharType="end"/>
      </w:r>
      <w:r/>
    </w:p>
    <w:p>
      <w:r/>
      <w:r/>
    </w:p>
    <w:p>
      <w:pPr>
        <w:jc w:val="left"/>
        <w:widowControl/>
      </w:pPr>
      <w:r>
        <w:br w:type="page" w:clear="all"/>
      </w:r>
      <w:r/>
    </w:p>
    <w:p>
      <w:pPr>
        <w:rPr>
          <w:szCs w:val="21"/>
        </w:rPr>
      </w:pPr>
      <w:r>
        <w:rPr>
          <w:szCs w:val="21"/>
        </w:rPr>
      </w:r>
      <w:r/>
    </w:p>
    <w:p>
      <w:pPr>
        <w:jc w:val="center"/>
        <w:keepNext/>
        <w:spacing w:line="400" w:lineRule="exact"/>
        <w:rPr>
          <w:rFonts w:hint="eastAsia" w:ascii="方正黑体_GBK" w:hAnsi="方正黑体_GBK" w:eastAsia="方正黑体_GBK" w:cs="方正黑体_GBK"/>
          <w:bCs/>
          <w:sz w:val="28"/>
          <w:szCs w:val="28"/>
        </w:rPr>
        <w:outlineLvl w:val="0"/>
      </w:pPr>
      <w:r/>
      <w:bookmarkStart w:id="7" w:name="_Toc240275210"/>
      <w:r>
        <w:rPr>
          <w:rFonts w:hint="eastAsia" w:ascii="方正黑体_GBK" w:hAnsi="方正黑体_GBK" w:eastAsia="方正黑体_GBK" w:cs="方正黑体_GBK"/>
          <w:sz w:val="28"/>
          <w:szCs w:val="28"/>
        </w:rPr>
        <w:t xml:space="preserve">第一章  </w:t>
      </w:r>
      <w:bookmarkEnd w:id="1"/>
      <w:r>
        <w:rPr>
          <w:rFonts w:hint="eastAsia" w:ascii="方正黑体_GBK" w:hAnsi="方正黑体_GBK" w:eastAsia="方正黑体_GBK" w:cs="方正黑体_GBK"/>
          <w:sz w:val="28"/>
          <w:szCs w:val="28"/>
        </w:rPr>
        <w:t xml:space="preserve">投标邀请</w:t>
      </w:r>
      <w:bookmarkEnd w:id="7"/>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受仪征市人民医院的委托，江苏省政府采购中心就江苏省2025年县域医共体设备更新项目仪征市人民医院医用直线加速器采购(</w:t>
      </w:r>
      <w:r>
        <w:rPr>
          <w:rFonts w:ascii="方正仿宋_GBK" w:hAnsi="方正仿宋_GBK" w:eastAsia="方正仿宋_GBK" w:cs="方正仿宋_GBK"/>
          <w:sz w:val="28"/>
          <w:szCs w:val="28"/>
        </w:rPr>
        <w:t xml:space="preserve">JSZC-320000-SCZX-G2026</w:t>
      </w:r>
      <w:r>
        <w:rPr>
          <w:rFonts w:ascii="方正仿宋_GBK" w:hAnsi="方正仿宋_GBK" w:eastAsia="方正仿宋_GBK" w:cs="方正仿宋_GBK"/>
          <w:sz w:val="28"/>
          <w:szCs w:val="28"/>
        </w:rPr>
        <w:t xml:space="preserve">-0458</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项目进行公开招标采购，欢迎符合条件的供应商投标。</w:t>
      </w:r>
      <w:r/>
    </w:p>
    <w:p>
      <w:pPr>
        <w:ind w:firstLine="560"/>
        <w:spacing w:line="400" w:lineRule="exact"/>
        <w:rPr>
          <w:rFonts w:hint="eastAsia" w:ascii="方正仿宋_GBK" w:hAnsi="方正仿宋_GBK" w:eastAsia="方正仿宋_GBK" w:cs="方正仿宋_GBK"/>
          <w:sz w:val="28"/>
          <w:szCs w:val="28"/>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sz w:val="28"/>
          <w:szCs w:val="28"/>
        </w:rPr>
        <w:t xml:space="preserve">项目概况</w:t>
      </w:r>
      <w:r/>
    </w:p>
    <w:p>
      <w:pPr>
        <w:ind w:firstLine="560"/>
        <w:spacing w:line="400" w:lineRule="exact"/>
        <w:rPr>
          <w:rFonts w:hint="eastAsia" w:ascii="方正仿宋_GBK" w:hAnsi="方正仿宋_GBK" w:eastAsia="方正仿宋_GBK" w:cs="方正仿宋_GBK"/>
          <w:sz w:val="28"/>
          <w:szCs w:val="28"/>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(江苏省</w:t>
      </w:r>
      <w:r>
        <w:rPr>
          <w:rFonts w:hint="eastAsia" w:ascii="方正仿宋_GBK" w:hAnsi="方正仿宋_GBK" w:eastAsia="方正仿宋_GBK" w:cs="方正仿宋_GBK"/>
          <w:sz w:val="28"/>
          <w:szCs w:val="28"/>
          <w:u w:val="single"/>
        </w:rPr>
        <w:t xml:space="preserve">2025年县域医共体设备更新项目仪征市人民医院医用直线加速器</w:t>
      </w:r>
      <w:r>
        <w:rPr>
          <w:rFonts w:hint="eastAsia" w:ascii="方正仿宋_GBK" w:hAnsi="方正仿宋_GBK" w:eastAsia="方正仿宋_GBK" w:cs="方正仿宋_GBK"/>
          <w:sz w:val="28"/>
          <w:szCs w:val="28"/>
          <w:u w:val="single"/>
        </w:rPr>
        <w:t xml:space="preserve">采购)</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招标文件，并于2026</w:t>
      </w:r>
      <w:r>
        <w:rPr>
          <w:rFonts w:hint="eastAsia" w:ascii="方正仿宋_GBK" w:hAnsi="方正仿宋_GBK" w:eastAsia="方正仿宋_GBK" w:cs="方正仿宋_GBK"/>
          <w:bCs/>
          <w:sz w:val="28"/>
          <w:szCs w:val="28"/>
        </w:rPr>
        <w:t xml:space="preserve">年10</w:t>
      </w:r>
      <w:r>
        <w:rPr>
          <w:rFonts w:hint="eastAsia" w:ascii="方正仿宋_GBK" w:hAnsi="方正仿宋_GBK" w:eastAsia="方正仿宋_GBK" w:cs="方正仿宋_GBK"/>
          <w:bCs/>
          <w:sz w:val="28"/>
          <w:szCs w:val="28"/>
        </w:rPr>
        <w:t xml:space="preserve">月12</w:t>
      </w:r>
      <w:r>
        <w:rPr>
          <w:rFonts w:hint="eastAsia" w:ascii="方正仿宋_GBK" w:hAnsi="方正仿宋_GBK" w:eastAsia="方正仿宋_GBK" w:cs="方正仿宋_GBK"/>
          <w:bCs/>
          <w:sz w:val="28"/>
          <w:szCs w:val="28"/>
        </w:rPr>
        <w:t xml:space="preserve">日14</w:t>
      </w:r>
      <w:r>
        <w:rPr>
          <w:rFonts w:hint="eastAsia" w:ascii="方正仿宋_GBK" w:hAnsi="方正仿宋_GBK" w:eastAsia="方正仿宋_GBK" w:cs="方正仿宋_GBK"/>
          <w:sz w:val="28"/>
          <w:szCs w:val="28"/>
        </w:rPr>
        <w:t xml:space="preserve">时30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8" w:name="_Toc28359002"/>
      <w:r/>
      <w:bookmarkStart w:id="9" w:name="_Toc38985263"/>
      <w:r/>
      <w:bookmarkStart w:id="10" w:name="_Toc35393621"/>
      <w:r/>
      <w:bookmarkStart w:id="11" w:name="_Toc28359079"/>
      <w:r/>
      <w:bookmarkStart w:id="12" w:name="_Toc240275211"/>
      <w:r/>
      <w:bookmarkStart w:id="13" w:name="_Toc35393790"/>
      <w:r/>
      <w:bookmarkStart w:id="14" w:name="_Hlk24379207"/>
      <w:r>
        <w:rPr>
          <w:rFonts w:hint="eastAsia" w:ascii="方正黑体_GBK" w:hAnsi="方正黑体_GBK" w:eastAsia="方正黑体_GBK" w:cs="方正黑体_GBK"/>
          <w:sz w:val="28"/>
          <w:szCs w:val="28"/>
        </w:rPr>
        <w:t xml:space="preserve">一、项目基本情况</w:t>
      </w:r>
      <w:bookmarkEnd w:id="8"/>
      <w:r/>
      <w:bookmarkEnd w:id="9"/>
      <w:r/>
      <w:bookmarkEnd w:id="10"/>
      <w:r/>
      <w:bookmarkEnd w:id="11"/>
      <w:r/>
      <w:bookmarkEnd w:id="12"/>
      <w:r/>
      <w:bookmarkEnd w:id="13"/>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1.采购编号：</w:t>
      </w:r>
      <w:r>
        <w:rPr>
          <w:rFonts w:eastAsia="方正仿宋_GBK"/>
          <w:sz w:val="28"/>
          <w:szCs w:val="28"/>
        </w:rPr>
        <w:t xml:space="preserve">JSZC-320000-SCZX-G2026-0458</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2.项目名称：</w:t>
      </w:r>
      <w:r>
        <w:rPr>
          <w:rFonts w:eastAsia="方正仿宋_GBK"/>
          <w:sz w:val="28"/>
          <w:szCs w:val="28"/>
        </w:rPr>
        <w:t xml:space="preserve">江苏省</w:t>
      </w:r>
      <w:r>
        <w:rPr>
          <w:rFonts w:eastAsia="方正仿宋_GBK"/>
          <w:sz w:val="28"/>
          <w:szCs w:val="28"/>
        </w:rPr>
        <w:t xml:space="preserve">2025</w:t>
      </w:r>
      <w:r>
        <w:rPr>
          <w:rFonts w:eastAsia="方正仿宋_GBK"/>
          <w:sz w:val="28"/>
          <w:szCs w:val="28"/>
        </w:rPr>
        <w:t xml:space="preserve">年县域医共体设备更新项目仪征市人民医院医用直线加速器采购</w:t>
      </w:r>
      <w:bookmarkEnd w:id="14"/>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3.预算金额</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65"/>
        <w:gridCol w:w="5354"/>
      </w:tblGrid>
      <w:tr>
        <w:trPr>
          <w:trHeight w:val="789"/>
        </w:trPr>
        <w:tc>
          <w:tcPr>
            <w:tcW w:w="176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354"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rHeight w:val="410"/>
        </w:trPr>
        <w:tc>
          <w:tcPr>
            <w:tcW w:w="176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354"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eastAsia="方正仿宋_GBK"/>
                <w:sz w:val="28"/>
                <w:szCs w:val="28"/>
              </w:rPr>
              <w:t xml:space="preserve">3000</w:t>
            </w:r>
            <w:r/>
          </w:p>
        </w:tc>
      </w:tr>
    </w:tbl>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58"/>
        <w:gridCol w:w="5341"/>
      </w:tblGrid>
      <w:tr>
        <w:trPr>
          <w:trHeight w:val="709"/>
        </w:trPr>
        <w:tc>
          <w:tcPr>
            <w:tcW w:w="175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34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rHeight w:val="347"/>
        </w:trPr>
        <w:tc>
          <w:tcPr>
            <w:tcW w:w="175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341"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3000</w:t>
            </w:r>
            <w:r/>
          </w:p>
        </w:tc>
      </w:tr>
    </w:tbl>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5.采购需求</w:t>
      </w:r>
      <w:r>
        <w:rPr>
          <w:rFonts w:hint="eastAsia" w:ascii="方正仿宋_GBK" w:hAnsi="方正仿宋_GBK" w:eastAsia="方正仿宋_GBK" w:cs="方正仿宋_GBK"/>
          <w:sz w:val="28"/>
          <w:szCs w:val="28"/>
        </w:rPr>
        <w:t xml:space="preserve">(简介)</w:t>
      </w:r>
      <w:r>
        <w:rPr>
          <w:rFonts w:hint="eastAsia" w:ascii="方正仿宋_GBK" w:hAnsi="方正仿宋_GBK" w:eastAsia="方正仿宋_GBK" w:cs="方正仿宋_GBK"/>
          <w:sz w:val="28"/>
          <w:szCs w:val="28"/>
        </w:rPr>
        <w:t xml:space="preserve">：</w:t>
      </w:r>
      <w:r>
        <w:rPr>
          <w:rFonts w:hint="eastAsia" w:eastAsia="方正仿宋_GBK"/>
          <w:sz w:val="28"/>
          <w:szCs w:val="28"/>
        </w:rPr>
        <w:t xml:space="preserve">根据医院设备使用需求，拟购置医用直线加速器</w:t>
      </w:r>
      <w:r>
        <w:rPr>
          <w:rFonts w:hint="eastAsia" w:eastAsia="方正仿宋_GBK"/>
          <w:sz w:val="28"/>
          <w:szCs w:val="28"/>
        </w:rPr>
        <w:t xml:space="preserve">1</w:t>
      </w:r>
      <w:r>
        <w:rPr>
          <w:rFonts w:hint="eastAsia" w:eastAsia="方正仿宋_GBK"/>
          <w:sz w:val="28"/>
          <w:szCs w:val="28"/>
        </w:rPr>
        <w:t xml:space="preserve">台，该设备将有助于提高本院肿瘤放疗水平。</w:t>
      </w:r>
      <w:r>
        <w:rPr>
          <w:rFonts w:hint="eastAsia" w:ascii="方正仿宋_GBK" w:hAnsi="方正仿宋_GBK" w:eastAsia="方正仿宋_GBK" w:cs="方正仿宋_GBK"/>
          <w:sz w:val="28"/>
          <w:szCs w:val="28"/>
        </w:rPr>
        <w:t xml:space="preserve">（详细内容见本招标文件第四章）</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6.合同履行期限：</w:t>
      </w:r>
      <w:r>
        <w:rPr>
          <w:rFonts w:hint="eastAsia" w:eastAsia="方正仿宋_GBK"/>
          <w:sz w:val="28"/>
          <w:szCs w:val="28"/>
        </w:rPr>
        <w:t xml:space="preserve">合同签订后</w:t>
      </w:r>
      <w:r>
        <w:rPr>
          <w:rFonts w:hint="eastAsia" w:eastAsia="方正仿宋_GBK"/>
          <w:sz w:val="28"/>
          <w:szCs w:val="28"/>
        </w:rPr>
        <w:t xml:space="preserve">1</w:t>
      </w:r>
      <w:r>
        <w:rPr>
          <w:rFonts w:hint="eastAsia" w:eastAsia="方正仿宋_GBK"/>
          <w:sz w:val="28"/>
          <w:szCs w:val="28"/>
        </w:rPr>
        <w:t xml:space="preserve">年内。 </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15" w:name="_Toc28359003"/>
      <w:r/>
      <w:bookmarkStart w:id="16" w:name="_Toc28359080"/>
      <w:r/>
      <w:bookmarkStart w:id="17" w:name="_Toc35393622"/>
      <w:r/>
      <w:bookmarkStart w:id="18" w:name="_Toc240275212"/>
      <w:r/>
      <w:bookmarkStart w:id="19" w:name="_Toc38985264"/>
      <w:r/>
      <w:bookmarkStart w:id="20" w:name="_Toc35393791"/>
      <w:r>
        <w:rPr>
          <w:rFonts w:hint="eastAsia" w:ascii="方正黑体_GBK" w:hAnsi="方正黑体_GBK" w:eastAsia="方正黑体_GBK" w:cs="方正黑体_GBK"/>
          <w:sz w:val="28"/>
          <w:szCs w:val="28"/>
        </w:rPr>
        <w:t xml:space="preserve">二、申请人的资格要求</w:t>
      </w:r>
      <w:bookmarkEnd w:id="15"/>
      <w:r/>
      <w:bookmarkEnd w:id="16"/>
      <w:r/>
      <w:bookmarkEnd w:id="17"/>
      <w:r/>
      <w:bookmarkEnd w:id="18"/>
      <w:r/>
      <w:bookmarkEnd w:id="19"/>
      <w:r/>
      <w:bookmarkEnd w:id="20"/>
      <w:r/>
      <w:r/>
    </w:p>
    <w:p>
      <w:pPr>
        <w:ind w:firstLine="560"/>
        <w:spacing w:line="400" w:lineRule="exact"/>
        <w:rPr>
          <w:rFonts w:hint="eastAsia" w:ascii="方正楷体_GBK" w:hAnsi="方正楷体_GBK" w:eastAsia="方正楷体_GBK" w:cs="方正楷体_GBK"/>
          <w:sz w:val="28"/>
          <w:szCs w:val="28"/>
        </w:rPr>
      </w:pPr>
      <w:r/>
      <w:bookmarkStart w:id="21" w:name="_Toc28359004"/>
      <w:r/>
      <w:bookmarkStart w:id="22" w:name="_Toc28359081"/>
      <w:r/>
      <w:bookmarkStart w:id="23" w:name="_Toc35393623"/>
      <w:r/>
      <w:bookmarkStart w:id="24" w:name="_Toc35393792"/>
      <w:r/>
      <w:bookmarkStart w:id="25" w:name="_Toc38985265"/>
      <w:r>
        <w:rPr>
          <w:rFonts w:hint="eastAsia" w:ascii="方正楷体_GBK" w:hAnsi="方正楷体_GBK" w:eastAsia="方正楷体_GBK" w:cs="方正楷体_GBK"/>
          <w:sz w:val="28"/>
          <w:szCs w:val="28"/>
        </w:rPr>
        <w:t xml:space="preserve">（一）通用资格要求</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w:t>
      </w:r>
      <w:r>
        <w:rPr>
          <w:rFonts w:hint="eastAsia" w:ascii="方正仿宋_GBK" w:hAnsi="方正仿宋_GBK" w:eastAsia="方正仿宋_GBK" w:cs="方正仿宋_GBK"/>
          <w:sz w:val="28"/>
          <w:szCs w:val="28"/>
        </w:rPr>
        <w:t xml:space="preserve">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3.落实政府采购政策需满足的资格要求：无/本项目</w:t>
      </w:r>
      <w:r>
        <w:rPr>
          <w:rFonts w:hint="eastAsia" w:ascii="方正仿宋_GBK" w:hAnsi="方正仿宋_GBK" w:eastAsia="方正仿宋_GBK" w:cs="方正仿宋_GBK"/>
          <w:sz w:val="28"/>
          <w:szCs w:val="28"/>
        </w:rPr>
        <w:t xml:space="preserve">采购包</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专门面向中小微型企业采购。残疾人福利性单位、监狱和戒毒企业（简称监狱企业）视同小型、微型企业。（供应商按要求填写并提供《中小微企业声明函》或《残疾人福利性单位声明函》，或提供由省级以上监狱管理局、戒毒管理局</w:t>
      </w:r>
      <w:r>
        <w:rPr>
          <w:rFonts w:hint="eastAsia" w:ascii="方正仿宋_GBK" w:hAnsi="方正仿宋_GBK" w:eastAsia="方正仿宋_GBK" w:cs="方正仿宋_GBK"/>
          <w:sz w:val="28"/>
          <w:szCs w:val="28"/>
        </w:rPr>
        <w:t xml:space="preserve">(含新疆生产建设兵团)</w:t>
      </w:r>
      <w:r>
        <w:rPr>
          <w:rFonts w:hint="eastAsia" w:ascii="方正仿宋_GBK" w:hAnsi="方正仿宋_GBK" w:eastAsia="方正仿宋_GBK" w:cs="方正仿宋_GBK"/>
          <w:sz w:val="28"/>
          <w:szCs w:val="28"/>
        </w:rPr>
        <w:t xml:space="preserve">出具的属于监狱企业的证明文件。）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8"/>
        <w:gridCol w:w="2968"/>
        <w:gridCol w:w="2967"/>
      </w:tblGrid>
      <w:tr>
        <w:trPr/>
        <w:tc>
          <w:tcPr>
            <w:tcW w:w="114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296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p>
        </w:tc>
        <w:tc>
          <w:tcPr>
            <w:tcW w:w="296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p>
        </w:tc>
      </w:tr>
      <w:tr>
        <w:trPr/>
        <w:tc>
          <w:tcPr>
            <w:tcW w:w="114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96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c>
          <w:tcPr>
            <w:tcW w:w="296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r>
    </w:tbl>
    <w:p>
      <w:pPr>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53"/>
        <w:gridCol w:w="6466"/>
      </w:tblGrid>
      <w:tr>
        <w:trPr>
          <w:trHeight w:val="746"/>
        </w:trPr>
        <w:tc>
          <w:tcPr>
            <w:tcW w:w="125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646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p>
        </w:tc>
      </w:tr>
      <w:tr>
        <w:trPr>
          <w:trHeight w:val="983"/>
        </w:trPr>
        <w:tc>
          <w:tcPr>
            <w:tcW w:w="125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宋体" w:hAnsi="宋体"/>
                <w:sz w:val="24"/>
                <w:szCs w:val="24"/>
              </w:rPr>
              <w:t xml:space="preserve">1</w:t>
            </w:r>
            <w:r/>
          </w:p>
        </w:tc>
        <w:tc>
          <w:tcPr>
            <w:tcW w:w="6466" w:type="dxa"/>
            <w:textDirection w:val="lrTb"/>
            <w:noWrap w:val="false"/>
          </w:tcPr>
          <w:p>
            <w:pPr>
              <w:jc w:val="left"/>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（1）投标人须提供所投产品有效的《医疗器械注册证》及附件（证书上的型号必须与所投型号一致，否则将导致无效投标）。</w:t>
            </w:r>
            <w:r/>
          </w:p>
          <w:p>
            <w:pPr>
              <w:jc w:val="center"/>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（2）投标人须提供投标人的《医疗器械经营许可证》或《医疗器械经营备案凭证》（复印件）和制造商的《医疗器械生产许可证》或《医疗器械生产备案凭证》（复印件）；</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zh-CN"/>
              </w:rPr>
              <w:t xml:space="preserve">（3）投标人须提供投标人以及制造商出具的《辐射安全许可证》（复印件）</w:t>
            </w:r>
            <w:r/>
          </w:p>
        </w:tc>
      </w:tr>
    </w:tbl>
    <w:p>
      <w:pPr>
        <w:ind w:firstLine="560"/>
        <w:jc w:val="left"/>
        <w:keepNext/>
        <w:spacing w:line="400" w:lineRule="exact"/>
        <w:rPr>
          <w:rFonts w:hint="eastAsia" w:ascii="方正黑体_GBK" w:hAnsi="方正黑体_GBK" w:eastAsia="方正黑体_GBK" w:cs="方正黑体_GBK"/>
          <w:sz w:val="28"/>
          <w:szCs w:val="28"/>
        </w:rPr>
        <w:outlineLvl w:val="0"/>
      </w:pPr>
      <w:r/>
      <w:bookmarkStart w:id="26" w:name="_Toc240275213"/>
      <w:r>
        <w:rPr>
          <w:rFonts w:hint="eastAsia" w:ascii="方正黑体_GBK" w:hAnsi="方正黑体_GBK" w:eastAsia="方正黑体_GBK" w:cs="方正黑体_GBK"/>
          <w:sz w:val="28"/>
          <w:szCs w:val="28"/>
        </w:rPr>
        <w:t xml:space="preserve">三、获取招标文件</w:t>
      </w:r>
      <w:bookmarkEnd w:id="26"/>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27" w:name="_Toc28359005"/>
      <w:r/>
      <w:bookmarkStart w:id="28" w:name="_Toc28359082"/>
      <w:r/>
      <w:bookmarkStart w:id="29" w:name="_Toc35393793"/>
      <w:r/>
      <w:bookmarkStart w:id="30" w:name="_Toc240275214"/>
      <w:r/>
      <w:bookmarkStart w:id="31" w:name="_Toc38985266"/>
      <w:r/>
      <w:bookmarkStart w:id="32" w:name="_Toc35393624"/>
      <w:r/>
      <w:bookmarkEnd w:id="21"/>
      <w:r/>
      <w:bookmarkEnd w:id="22"/>
      <w:r/>
      <w:bookmarkEnd w:id="23"/>
      <w:r/>
      <w:bookmarkEnd w:id="24"/>
      <w:r/>
      <w:bookmarkEnd w:id="25"/>
      <w:r>
        <w:rPr>
          <w:rFonts w:hint="eastAsia" w:ascii="方正黑体_GBK" w:hAnsi="方正黑体_GBK" w:eastAsia="方正黑体_GBK" w:cs="方正黑体_GBK"/>
          <w:sz w:val="28"/>
          <w:szCs w:val="28"/>
        </w:rPr>
        <w:t xml:space="preserve">四、提交投标文件</w:t>
      </w:r>
      <w:bookmarkEnd w:id="27"/>
      <w:r/>
      <w:bookmarkEnd w:id="28"/>
      <w:r>
        <w:rPr>
          <w:rFonts w:hint="eastAsia" w:ascii="方正黑体_GBK" w:hAnsi="方正黑体_GBK" w:eastAsia="方正黑体_GBK" w:cs="方正黑体_GBK"/>
          <w:sz w:val="28"/>
          <w:szCs w:val="28"/>
        </w:rPr>
        <w:t xml:space="preserve">截止时间、开标时间和地点</w:t>
      </w:r>
      <w:bookmarkEnd w:id="29"/>
      <w:r/>
      <w:bookmarkEnd w:id="30"/>
      <w:r/>
      <w:bookmarkEnd w:id="31"/>
      <w:r/>
      <w:bookmarkEnd w:id="32"/>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t xml:space="preserve">2026</w:t>
      </w:r>
      <w:r>
        <w:rPr>
          <w:rFonts w:hint="eastAsia" w:ascii="方正仿宋_GBK" w:hAnsi="方正仿宋_GBK" w:eastAsia="方正仿宋_GBK" w:cs="方正仿宋_GBK"/>
          <w:bCs/>
          <w:sz w:val="28"/>
          <w:szCs w:val="28"/>
        </w:rPr>
        <w:t xml:space="preserve">年10</w:t>
      </w:r>
      <w:r>
        <w:rPr>
          <w:rFonts w:hint="eastAsia" w:ascii="方正仿宋_GBK" w:hAnsi="方正仿宋_GBK" w:eastAsia="方正仿宋_GBK" w:cs="方正仿宋_GBK"/>
          <w:bCs/>
          <w:sz w:val="28"/>
          <w:szCs w:val="28"/>
        </w:rPr>
        <w:t xml:space="preserve">月12</w:t>
      </w:r>
      <w:r>
        <w:rPr>
          <w:rFonts w:hint="eastAsia" w:ascii="方正仿宋_GBK" w:hAnsi="方正仿宋_GBK" w:eastAsia="方正仿宋_GBK" w:cs="方正仿宋_GBK"/>
          <w:bCs/>
          <w:sz w:val="28"/>
          <w:szCs w:val="28"/>
        </w:rPr>
        <w:t xml:space="preserve">日14</w:t>
      </w:r>
      <w:r>
        <w:rPr>
          <w:rFonts w:hint="eastAsia" w:ascii="方正仿宋_GBK" w:hAnsi="方正仿宋_GBK" w:eastAsia="方正仿宋_GBK" w:cs="方正仿宋_GBK"/>
          <w:sz w:val="28"/>
          <w:szCs w:val="28"/>
        </w:rPr>
        <w:t xml:space="preserve">时30</w:t>
      </w:r>
      <w:r>
        <w:rPr>
          <w:rFonts w:hint="eastAsia" w:ascii="方正仿宋_GBK" w:hAnsi="方正仿宋_GBK" w:eastAsia="方正仿宋_GBK" w:cs="方正仿宋_GBK"/>
          <w:bCs/>
          <w:sz w:val="28"/>
          <w:szCs w:val="28"/>
        </w:rPr>
        <w:t xml:space="preserve">分</w:t>
      </w:r>
      <w:r>
        <w:rPr>
          <w:rFonts w:hint="eastAsia" w:ascii="方正仿宋_GBK" w:hAnsi="方正仿宋_GBK" w:eastAsia="方正仿宋_GBK" w:cs="方正仿宋_GBK"/>
          <w:bCs/>
          <w:sz w:val="28"/>
          <w:szCs w:val="28"/>
        </w:rPr>
        <w:t xml:space="preserve">（北京时间）</w:t>
      </w: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33" w:name="_Toc35393625"/>
      <w:r/>
      <w:bookmarkStart w:id="34" w:name="_Toc28359084"/>
      <w:r/>
      <w:bookmarkStart w:id="35" w:name="_Toc240275215"/>
      <w:r/>
      <w:bookmarkStart w:id="36" w:name="_Toc28359007"/>
      <w:r/>
      <w:bookmarkStart w:id="37" w:name="_Toc38985267"/>
      <w:r/>
      <w:bookmarkStart w:id="38" w:name="_Toc35393794"/>
      <w:r>
        <w:rPr>
          <w:rFonts w:hint="eastAsia" w:ascii="方正黑体_GBK" w:hAnsi="方正黑体_GBK" w:eastAsia="方正黑体_GBK" w:cs="方正黑体_GBK"/>
          <w:sz w:val="28"/>
          <w:szCs w:val="28"/>
        </w:rPr>
        <w:t xml:space="preserve">五、公告期限</w:t>
      </w:r>
      <w:bookmarkEnd w:id="33"/>
      <w:r/>
      <w:bookmarkEnd w:id="34"/>
      <w:r/>
      <w:bookmarkEnd w:id="35"/>
      <w:r/>
      <w:bookmarkEnd w:id="36"/>
      <w:r/>
      <w:bookmarkEnd w:id="37"/>
      <w:r/>
      <w:bookmarkEnd w:id="38"/>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39" w:name="_Toc35393795"/>
      <w:r/>
      <w:bookmarkStart w:id="40" w:name="_Toc240275216"/>
      <w:r/>
      <w:bookmarkStart w:id="41" w:name="_Toc38985268"/>
      <w:r/>
      <w:bookmarkStart w:id="42" w:name="_Toc35393626"/>
      <w:r>
        <w:rPr>
          <w:rFonts w:hint="eastAsia" w:ascii="方正黑体_GBK" w:hAnsi="方正黑体_GBK" w:eastAsia="方正黑体_GBK" w:cs="方正黑体_GBK"/>
          <w:sz w:val="28"/>
          <w:szCs w:val="28"/>
        </w:rPr>
        <w:t xml:space="preserve">六、其他补充事宜</w:t>
      </w:r>
      <w:bookmarkEnd w:id="39"/>
      <w:r/>
      <w:bookmarkEnd w:id="40"/>
      <w:r/>
      <w:bookmarkEnd w:id="41"/>
      <w:r/>
      <w:bookmarkEnd w:id="42"/>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43" w:name="_Toc240275217"/>
      <w:r/>
      <w:bookmarkStart w:id="44" w:name="_Toc28359085"/>
      <w:r/>
      <w:bookmarkStart w:id="45" w:name="_Toc35393627"/>
      <w:r/>
      <w:bookmarkStart w:id="46" w:name="_Toc28359008"/>
      <w:r/>
      <w:bookmarkStart w:id="47" w:name="_Toc38985269"/>
      <w:r/>
      <w:bookmarkStart w:id="48" w:name="_Toc35393796"/>
      <w:r>
        <w:rPr>
          <w:rFonts w:hint="eastAsia" w:ascii="方正黑体_GBK" w:hAnsi="方正黑体_GBK" w:eastAsia="方正黑体_GBK" w:cs="方正黑体_GBK"/>
          <w:sz w:val="28"/>
          <w:szCs w:val="28"/>
        </w:rPr>
        <w:t xml:space="preserve">七、本次招标联系方式</w:t>
      </w:r>
      <w:bookmarkEnd w:id="43"/>
      <w:r/>
      <w:bookmarkEnd w:id="44"/>
      <w:r/>
      <w:bookmarkEnd w:id="45"/>
      <w:r/>
      <w:bookmarkEnd w:id="46"/>
      <w:r/>
      <w:bookmarkEnd w:id="47"/>
      <w:r/>
      <w:bookmarkEnd w:id="48"/>
      <w:r/>
      <w:r/>
    </w:p>
    <w:p>
      <w:pPr>
        <w:jc w:val="left"/>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1.采购人信息</w:t>
      </w:r>
      <w:r/>
    </w:p>
    <w:p>
      <w:pPr>
        <w:ind w:firstLine="56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　江苏省卫生健康委员会</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　南京市中央路42号　　　　</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石亚军、 王荣香                   </w:t>
      </w:r>
      <w:r/>
    </w:p>
    <w:p>
      <w:pPr>
        <w:ind w:firstLine="56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025-83620897、13852525909　　</w:t>
      </w:r>
      <w:bookmarkStart w:id="49" w:name="_Toc28359086"/>
      <w:r/>
      <w:bookmarkStart w:id="50" w:name="_Toc28359009"/>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9"/>
      <w:r/>
      <w:bookmarkEnd w:id="50"/>
      <w:r/>
      <w:r/>
    </w:p>
    <w:p>
      <w:pPr>
        <w:ind w:firstLine="560"/>
        <w:spacing w:line="400" w:lineRule="exact"/>
        <w:rPr>
          <w:rFonts w:hint="eastAsia" w:ascii="方正仿宋_GBK" w:hAnsi="方正仿宋_GBK" w:eastAsia="方正仿宋_GBK" w:cs="方正仿宋_GBK"/>
          <w:sz w:val="28"/>
          <w:szCs w:val="28"/>
        </w:rPr>
      </w:pPr>
      <w:r/>
      <w:bookmarkStart w:id="51" w:name="_Toc28359010"/>
      <w:r/>
      <w:bookmarkStart w:id="52" w:name="_Toc28359087"/>
      <w:r>
        <w:rPr>
          <w:rFonts w:hint="eastAsia" w:ascii="方正仿宋_GBK" w:hAnsi="方正仿宋_GBK" w:eastAsia="方正仿宋_GBK" w:cs="方正仿宋_GBK"/>
          <w:sz w:val="28"/>
          <w:szCs w:val="28"/>
        </w:rPr>
        <w:t xml:space="preserve">地址：南京市建邺区汉中门大街145号三楼</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联系人：付钢、唐文</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联系方式：025-83668520、83668519</w:t>
      </w:r>
      <w:r>
        <w:rPr>
          <w:rFonts w:hint="eastAsia" w:ascii="方正仿宋_GBK" w:hAnsi="方正仿宋_GBK" w:eastAsia="方正仿宋_GBK" w:cs="方正仿宋_GBK"/>
          <w:sz w:val="28"/>
          <w:szCs w:val="28"/>
          <w:u w:val="single"/>
        </w:rPr>
        <w:t xml:space="preserve">　　　　　　　　　　　　</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53" w:name="_Toc240275218"/>
      <w:r/>
      <w:bookmarkEnd w:id="51"/>
      <w:r/>
      <w:bookmarkEnd w:id="52"/>
      <w:r>
        <w:rPr>
          <w:rFonts w:hint="eastAsia" w:ascii="方正黑体_GBK" w:hAnsi="方正黑体_GBK" w:eastAsia="方正黑体_GBK" w:cs="方正黑体_GBK"/>
          <w:sz w:val="28"/>
          <w:szCs w:val="28"/>
        </w:rPr>
        <w:t xml:space="preserve">八、其他</w:t>
      </w:r>
      <w:bookmarkEnd w:id="53"/>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sz w:val="28"/>
          <w:szCs w:val="28"/>
        </w:rPr>
        <w:t xml:space="preserve">http://www.ccgp-jiangsu.gov.cn/jiangsu/zlxz/ee/ee3a4bc5a3454aa2b0d9312230633ce9.html</w:t>
      </w:r>
      <w:r>
        <w:rPr>
          <w:rFonts w:hint="eastAsia" w:eastAsia="方正仿宋_GBK"/>
          <w:sz w:val="28"/>
          <w:szCs w:val="28"/>
        </w:rPr>
        <w:t xml:space="preserve">。</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w:t>
      </w:r>
      <w:r>
        <w:rPr>
          <w:rFonts w:hint="eastAsia" w:ascii="方正仿宋_GBK" w:hAnsi="方正仿宋_GBK" w:eastAsia="方正仿宋_GBK" w:cs="方正仿宋_GBK"/>
          <w:bCs/>
          <w:sz w:val="28"/>
          <w:szCs w:val="28"/>
        </w:rPr>
        <w:t xml:space="preserve">《操作手册》要求制作、上传电子投标文件。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jc w:val="center"/>
        <w:keepNext/>
        <w:spacing w:line="400" w:lineRule="exact"/>
        <w:rPr>
          <w:rFonts w:hint="eastAsia" w:ascii="方正黑体_GBK" w:hAnsi="方正黑体_GBK" w:eastAsia="方正黑体_GBK" w:cs="方正黑体_GBK"/>
          <w:sz w:val="28"/>
          <w:szCs w:val="28"/>
        </w:rPr>
        <w:outlineLvl w:val="0"/>
      </w:pPr>
      <w:r/>
      <w:bookmarkStart w:id="54" w:name="_Toc120614211"/>
      <w:r/>
      <w:bookmarkStart w:id="55" w:name="_Toc240275219"/>
      <w:r>
        <w:rPr>
          <w:rFonts w:hint="eastAsia" w:ascii="方正黑体_GBK" w:hAnsi="方正黑体_GBK" w:eastAsia="方正黑体_GBK" w:cs="方正黑体_GBK"/>
          <w:sz w:val="28"/>
          <w:szCs w:val="28"/>
        </w:rPr>
        <w:t xml:space="preserve">第二章  </w:t>
      </w:r>
      <w:bookmarkStart w:id="56" w:name="_Toc20823274"/>
      <w:r/>
      <w:bookmarkStart w:id="57" w:name="_Toc120614213"/>
      <w:r/>
      <w:bookmarkStart w:id="58" w:name="_Toc16938518"/>
      <w:r/>
      <w:bookmarkStart w:id="59" w:name="_Toc513029202"/>
      <w:r/>
      <w:bookmarkEnd w:id="2"/>
      <w:r/>
      <w:bookmarkEnd w:id="3"/>
      <w:r/>
      <w:bookmarkEnd w:id="4"/>
      <w:r/>
      <w:bookmarkEnd w:id="5"/>
      <w:r/>
      <w:bookmarkEnd w:id="6"/>
      <w:r/>
      <w:bookmarkEnd w:id="54"/>
      <w:r>
        <w:rPr>
          <w:rFonts w:hint="eastAsia" w:ascii="方正黑体_GBK" w:hAnsi="方正黑体_GBK" w:eastAsia="方正黑体_GBK" w:cs="方正黑体_GBK"/>
          <w:sz w:val="28"/>
          <w:szCs w:val="28"/>
        </w:rPr>
        <w:t xml:space="preserve">投标人须知</w:t>
      </w:r>
      <w:bookmarkEnd w:id="55"/>
      <w:r/>
      <w:bookmarkEnd w:id="56"/>
      <w:r/>
      <w:bookmarkEnd w:id="57"/>
      <w:r/>
      <w:bookmarkEnd w:id="58"/>
      <w:r/>
      <w:bookmarkEnd w:id="59"/>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60" w:name="_Toc16938519"/>
      <w:r/>
      <w:bookmarkStart w:id="61" w:name="_Toc120614214"/>
      <w:r/>
      <w:bookmarkStart w:id="62" w:name="_Toc513029203"/>
      <w:r/>
      <w:bookmarkStart w:id="63" w:name="_Toc240275220"/>
      <w:r/>
      <w:bookmarkStart w:id="64" w:name="_Toc20823275"/>
      <w:r>
        <w:rPr>
          <w:rFonts w:hint="eastAsia" w:ascii="方正黑体_GBK" w:hAnsi="方正黑体_GBK" w:eastAsia="方正黑体_GBK" w:cs="方正黑体_GBK"/>
          <w:sz w:val="28"/>
          <w:szCs w:val="28"/>
        </w:rPr>
        <w:t xml:space="preserve">一、总则</w:t>
      </w:r>
      <w:bookmarkEnd w:id="60"/>
      <w:r/>
      <w:bookmarkEnd w:id="61"/>
      <w:r/>
      <w:bookmarkEnd w:id="62"/>
      <w:r/>
      <w:bookmarkEnd w:id="63"/>
      <w:r/>
      <w:bookmarkEnd w:id="64"/>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65" w:name="_Hlt16619475"/>
      <w:r/>
      <w:bookmarkStart w:id="66" w:name="_Toc458694821"/>
      <w:r/>
      <w:bookmarkStart w:id="67" w:name="_Toc513029204"/>
      <w:r/>
      <w:bookmarkStart w:id="68" w:name="_Toc16938520"/>
      <w:r/>
      <w:bookmarkStart w:id="69" w:name="_Toc20823276"/>
      <w:r/>
      <w:bookmarkEnd w:id="65"/>
      <w:r>
        <w:rPr>
          <w:rFonts w:hint="eastAsia" w:ascii="方正仿宋_GBK" w:hAnsi="方正仿宋_GBK" w:eastAsia="方正仿宋_GBK" w:cs="方正仿宋_GBK"/>
          <w:bCs/>
          <w:sz w:val="28"/>
          <w:szCs w:val="28"/>
        </w:rPr>
        <w:t xml:space="preserve">1</w:t>
      </w:r>
      <w:bookmarkEnd w:id="66"/>
      <w:r>
        <w:rPr>
          <w:rFonts w:hint="eastAsia" w:ascii="方正仿宋_GBK" w:hAnsi="方正仿宋_GBK" w:eastAsia="方正仿宋_GBK" w:cs="方正仿宋_GBK"/>
          <w:bCs/>
          <w:sz w:val="28"/>
          <w:szCs w:val="28"/>
        </w:rPr>
        <w:t xml:space="preserve">.招标方式</w:t>
      </w:r>
      <w:bookmarkEnd w:id="67"/>
      <w:r/>
      <w:bookmarkEnd w:id="68"/>
      <w:r/>
      <w:bookmarkEnd w:id="69"/>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70" w:name="_Toc20823277"/>
      <w:r/>
      <w:bookmarkStart w:id="71" w:name="_Toc513029205"/>
      <w:r/>
      <w:bookmarkStart w:id="72" w:name="_Toc16938521"/>
      <w:r>
        <w:rPr>
          <w:rFonts w:hint="eastAsia" w:ascii="方正仿宋_GBK" w:hAnsi="方正仿宋_GBK" w:eastAsia="方正仿宋_GBK" w:cs="方正仿宋_GBK"/>
          <w:bCs/>
          <w:sz w:val="28"/>
          <w:szCs w:val="28"/>
        </w:rPr>
        <w:t xml:space="preserve">2.合格的投标人</w:t>
      </w:r>
      <w:bookmarkEnd w:id="70"/>
      <w:r/>
      <w:bookmarkEnd w:id="71"/>
      <w:r/>
      <w:bookmarkEnd w:id="72"/>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73" w:name="_Toc513029206"/>
      <w:r/>
      <w:bookmarkStart w:id="74" w:name="_Toc20823278"/>
      <w:r/>
      <w:bookmarkStart w:id="75" w:name="_Toc16938522"/>
      <w:r>
        <w:rPr>
          <w:rFonts w:hint="eastAsia" w:ascii="方正仿宋_GBK" w:hAnsi="方正仿宋_GBK" w:eastAsia="方正仿宋_GBK" w:cs="方正仿宋_GBK"/>
          <w:bCs/>
          <w:sz w:val="28"/>
          <w:szCs w:val="28"/>
        </w:rPr>
        <w:t xml:space="preserve">3.适用法律</w:t>
      </w:r>
      <w:bookmarkEnd w:id="73"/>
      <w:r/>
      <w:bookmarkEnd w:id="74"/>
      <w:r/>
      <w:bookmarkEnd w:id="75"/>
      <w:r>
        <w:rPr>
          <w:rFonts w:hint="eastAsia" w:ascii="方正仿宋_GBK" w:hAnsi="方正仿宋_GBK" w:eastAsia="方正仿宋_GBK" w:cs="方正仿宋_GBK"/>
          <w:bCs/>
          <w:sz w:val="28"/>
          <w:szCs w:val="28"/>
        </w:rPr>
        <w:t xml:space="preserve">和标准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76" w:name="_Toc20823279"/>
      <w:r/>
      <w:bookmarkStart w:id="77" w:name="_Toc462564067"/>
      <w:r/>
      <w:bookmarkStart w:id="78" w:name="_Toc513029207"/>
      <w:r/>
      <w:bookmarkStart w:id="79" w:name="_Toc16938523"/>
      <w:r>
        <w:rPr>
          <w:rFonts w:hint="eastAsia" w:ascii="方正仿宋_GBK" w:hAnsi="方正仿宋_GBK" w:eastAsia="方正仿宋_GBK" w:cs="方正仿宋_GBK"/>
          <w:bCs/>
          <w:sz w:val="28"/>
          <w:szCs w:val="28"/>
        </w:rPr>
        <w:t xml:space="preserve">4.投标费用</w:t>
      </w:r>
      <w:bookmarkEnd w:id="76"/>
      <w:r/>
      <w:bookmarkEnd w:id="77"/>
      <w:r/>
      <w:bookmarkEnd w:id="78"/>
      <w:r/>
      <w:bookmarkEnd w:id="79"/>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80" w:name="_Toc240275221"/>
      <w:r/>
      <w:bookmarkStart w:id="81" w:name="_Toc513029209"/>
      <w:r/>
      <w:bookmarkStart w:id="82" w:name="_Toc16938525"/>
      <w:r/>
      <w:bookmarkStart w:id="83" w:name="_Toc120614215"/>
      <w:r/>
      <w:bookmarkStart w:id="84" w:name="_Toc20823281"/>
      <w:r>
        <w:rPr>
          <w:rFonts w:hint="eastAsia" w:ascii="方正黑体_GBK" w:hAnsi="方正黑体_GBK" w:eastAsia="方正黑体_GBK" w:cs="方正黑体_GBK"/>
          <w:sz w:val="28"/>
          <w:szCs w:val="28"/>
        </w:rPr>
        <w:t xml:space="preserve">二、招标文件</w:t>
      </w:r>
      <w:bookmarkEnd w:id="80"/>
      <w:r/>
      <w:bookmarkEnd w:id="81"/>
      <w:r/>
      <w:bookmarkEnd w:id="82"/>
      <w:r/>
      <w:bookmarkEnd w:id="83"/>
      <w:r/>
      <w:bookmarkEnd w:id="84"/>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85" w:name="_Toc20823282"/>
      <w:r/>
      <w:bookmarkStart w:id="86" w:name="_Toc16938526"/>
      <w:r/>
      <w:bookmarkStart w:id="87" w:name="_Toc513029210"/>
      <w:r>
        <w:rPr>
          <w:rFonts w:hint="eastAsia" w:ascii="方正仿宋_GBK" w:hAnsi="方正仿宋_GBK" w:eastAsia="方正仿宋_GBK" w:cs="方正仿宋_GBK"/>
          <w:bCs/>
          <w:sz w:val="28"/>
          <w:szCs w:val="28"/>
        </w:rPr>
        <w:t xml:space="preserve">6.招标文件构成</w:t>
      </w:r>
      <w:bookmarkEnd w:id="85"/>
      <w:r/>
      <w:bookmarkEnd w:id="86"/>
      <w:r/>
      <w:bookmarkEnd w:id="87"/>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88" w:name="_Toc20823284"/>
      <w:r/>
      <w:bookmarkStart w:id="89" w:name="_Toc462564071"/>
      <w:r/>
      <w:bookmarkStart w:id="90" w:name="_Toc16938528"/>
      <w:r/>
      <w:bookmarkStart w:id="91" w:name="_Toc513029212"/>
      <w:r>
        <w:rPr>
          <w:rFonts w:hint="eastAsia" w:ascii="方正仿宋_GBK" w:hAnsi="方正仿宋_GBK" w:eastAsia="方正仿宋_GBK" w:cs="方正仿宋_GBK"/>
          <w:bCs/>
          <w:sz w:val="28"/>
          <w:szCs w:val="28"/>
        </w:rPr>
        <w:t xml:space="preserve">7.招标文件的修改</w:t>
      </w:r>
      <w:bookmarkEnd w:id="88"/>
      <w:r/>
      <w:bookmarkEnd w:id="89"/>
      <w:r/>
      <w:bookmarkEnd w:id="90"/>
      <w:r/>
      <w:bookmarkEnd w:id="91"/>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92" w:name="_Toc120614216"/>
      <w:r/>
      <w:bookmarkStart w:id="93" w:name="_Toc462564072"/>
      <w:r/>
      <w:bookmarkStart w:id="94" w:name="_Toc513029213"/>
      <w:r/>
      <w:bookmarkStart w:id="95" w:name="_Toc16938529"/>
      <w:r/>
      <w:bookmarkStart w:id="96" w:name="_Toc240275222"/>
      <w:r/>
      <w:bookmarkStart w:id="97" w:name="_Toc20823285"/>
      <w:r>
        <w:rPr>
          <w:rFonts w:hint="eastAsia" w:ascii="方正黑体_GBK" w:hAnsi="方正黑体_GBK" w:eastAsia="方正黑体_GBK" w:cs="方正黑体_GBK"/>
          <w:sz w:val="28"/>
          <w:szCs w:val="28"/>
        </w:rPr>
        <w:t xml:space="preserve">三、投标文件的编制</w:t>
      </w:r>
      <w:bookmarkEnd w:id="92"/>
      <w:r/>
      <w:bookmarkEnd w:id="93"/>
      <w:r/>
      <w:bookmarkEnd w:id="94"/>
      <w:r/>
      <w:bookmarkEnd w:id="95"/>
      <w:r/>
      <w:bookmarkEnd w:id="96"/>
      <w:r/>
      <w:bookmarkEnd w:id="97"/>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98" w:name="_Toc16938530"/>
      <w:r/>
      <w:bookmarkStart w:id="99" w:name="_Toc513029214"/>
      <w:r/>
      <w:bookmarkStart w:id="100" w:name="_Toc462564073"/>
      <w:r/>
      <w:bookmarkStart w:id="101" w:name="_Toc20823286"/>
      <w:r>
        <w:rPr>
          <w:rFonts w:hint="eastAsia" w:ascii="方正仿宋_GBK" w:hAnsi="方正仿宋_GBK" w:eastAsia="方正仿宋_GBK" w:cs="方正仿宋_GBK"/>
          <w:bCs/>
          <w:sz w:val="28"/>
          <w:szCs w:val="28"/>
        </w:rPr>
        <w:t xml:space="preserve">8.投标文件的语言及度量衡单位</w:t>
      </w:r>
      <w:bookmarkEnd w:id="98"/>
      <w:r/>
      <w:bookmarkEnd w:id="99"/>
      <w:r/>
      <w:bookmarkEnd w:id="100"/>
      <w:r/>
      <w:bookmarkEnd w:id="101"/>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 投标人提交的投标文件以及投标人与采购中心就有关投标的所有来往通知、函件和文件均应使用简体中文。</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除技术性能另有规定外，投标文件所使用的度量衡单位，均须采用国家法定计量单位。</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2" w:name="_Toc462564074"/>
      <w:r/>
      <w:bookmarkStart w:id="103" w:name="_Toc513029215"/>
      <w:r/>
      <w:bookmarkStart w:id="104" w:name="_Toc16938531"/>
      <w:r/>
      <w:bookmarkStart w:id="105" w:name="_Toc20823287"/>
      <w:r>
        <w:rPr>
          <w:rFonts w:hint="eastAsia" w:ascii="方正仿宋_GBK" w:hAnsi="方正仿宋_GBK" w:eastAsia="方正仿宋_GBK" w:cs="方正仿宋_GBK"/>
          <w:bCs/>
          <w:sz w:val="28"/>
          <w:szCs w:val="28"/>
        </w:rPr>
        <w:t xml:space="preserve">9.投标文件构成</w:t>
      </w:r>
      <w:bookmarkEnd w:id="102"/>
      <w:r/>
      <w:bookmarkEnd w:id="103"/>
      <w:r/>
      <w:bookmarkEnd w:id="104"/>
      <w:r/>
      <w:bookmarkEnd w:id="105"/>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 投标人编写的投标文件应包括资格证明文件、实质性要求响应及偏离表、投标分项报价表、技术要求响应及偏离表、商务要求响应及偏离表、其他证明文件、投标函、开标一览表等部分。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如标书制作工具中格式和内容与“江苏政府采购网”发布的招标文件不一致，请以“江苏政府采购网”发布的招标文件为准。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6" w:name="_Hlt26670360"/>
      <w:r/>
      <w:bookmarkStart w:id="107" w:name="_Hlt26954838"/>
      <w:r/>
      <w:bookmarkStart w:id="108" w:name="_Hlt26668975"/>
      <w:r/>
      <w:bookmarkStart w:id="109" w:name="_Toc49090509"/>
      <w:r/>
      <w:bookmarkStart w:id="110" w:name="_Toc513029219"/>
      <w:r/>
      <w:bookmarkStart w:id="111" w:name="_Toc14577357"/>
      <w:r/>
      <w:bookmarkStart w:id="112" w:name="_Toc14577354"/>
      <w:r/>
      <w:bookmarkStart w:id="113" w:name="_Toc513029216"/>
      <w:r/>
      <w:bookmarkStart w:id="114" w:name="_Toc49090507"/>
      <w:r/>
      <w:bookmarkStart w:id="115" w:name="_Toc49090508"/>
      <w:r/>
      <w:bookmarkStart w:id="116" w:name="_Toc14577355"/>
      <w:r/>
      <w:bookmarkEnd w:id="106"/>
      <w:r/>
      <w:bookmarkEnd w:id="107"/>
      <w:r/>
      <w:bookmarkEnd w:id="108"/>
      <w:r>
        <w:rPr>
          <w:rFonts w:hint="eastAsia" w:ascii="方正仿宋_GBK" w:hAnsi="方正仿宋_GBK" w:eastAsia="方正仿宋_GBK" w:cs="方正仿宋_GBK"/>
          <w:bCs/>
          <w:sz w:val="28"/>
          <w:szCs w:val="28"/>
        </w:rPr>
        <w:t xml:space="preserve">10.证明投标人及投标标的符合招标文件规定的文件</w:t>
      </w:r>
      <w:bookmarkEnd w:id="109"/>
      <w:r/>
      <w:bookmarkEnd w:id="110"/>
      <w:r/>
      <w:bookmarkEnd w:id="111"/>
      <w:r/>
      <w:bookmarkEnd w:id="112"/>
      <w:r/>
      <w:bookmarkEnd w:id="113"/>
      <w:r/>
      <w:bookmarkEnd w:id="114"/>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投标人应按照招标文件要求提交证明文件，证明其及投标标的符合招标文件规定。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10.2招标文件对证明文件无明确形式要求的，证明文件可以以文字资料、图纸和数据等形式提交。</w:t>
      </w:r>
      <w:bookmarkEnd w:id="115"/>
      <w:r/>
      <w:bookmarkEnd w:id="116"/>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11.投标分项报价表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投</w:t>
      </w:r>
      <w:bookmarkStart w:id="117" w:name="_Hlt26954840"/>
      <w:r/>
      <w:bookmarkEnd w:id="117"/>
      <w:r>
        <w:rPr>
          <w:rFonts w:hint="eastAsia" w:ascii="方正仿宋_GBK" w:hAnsi="方正仿宋_GBK" w:eastAsia="方正仿宋_GBK" w:cs="方正仿宋_GBK"/>
          <w:bCs/>
          <w:sz w:val="28"/>
          <w:szCs w:val="28"/>
        </w:rPr>
        <w:t xml:space="preserve">标人按照招标文件规定格式填报投标分项报价表</w:t>
      </w:r>
      <w:bookmarkStart w:id="118" w:name="_Hlt26670399"/>
      <w:r/>
      <w:bookmarkEnd w:id="118"/>
      <w:r>
        <w:rPr>
          <w:rFonts w:hint="eastAsia" w:ascii="方正仿宋_GBK" w:hAnsi="方正仿宋_GBK" w:eastAsia="方正仿宋_GBK" w:cs="方正仿宋_GBK"/>
          <w:bCs/>
          <w:sz w:val="28"/>
          <w:szCs w:val="28"/>
        </w:rPr>
        <w:t xml:space="preserve">。</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11.2投标货币。投标文件中的单价和总价无特殊规定的采用人</w:t>
      </w:r>
      <w:r>
        <w:rPr>
          <w:rFonts w:hint="eastAsia" w:ascii="方正仿宋_GBK" w:hAnsi="方正仿宋_GBK" w:eastAsia="方正仿宋_GBK" w:cs="方正仿宋_GBK"/>
          <w:bCs/>
          <w:sz w:val="28"/>
          <w:szCs w:val="28"/>
        </w:rPr>
        <w:t xml:space="preserve">民币报价，以元为单位标注。招标文件中另有规定的按规定执行。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9" w:name="_Hlt26954846"/>
      <w:r/>
      <w:bookmarkStart w:id="120" w:name="_Hlt26954848"/>
      <w:r/>
      <w:bookmarkStart w:id="121" w:name="_Hlt26954731"/>
      <w:r/>
      <w:bookmarkStart w:id="122" w:name="_Hlt26670482"/>
      <w:r/>
      <w:bookmarkStart w:id="123" w:name="_Hlt26670486"/>
      <w:r/>
      <w:bookmarkEnd w:id="119"/>
      <w:r/>
      <w:bookmarkEnd w:id="120"/>
      <w:r/>
      <w:bookmarkEnd w:id="121"/>
      <w:r/>
      <w:bookmarkEnd w:id="122"/>
      <w:r/>
      <w:bookmarkEnd w:id="123"/>
      <w:r>
        <w:rPr>
          <w:rFonts w:hint="eastAsia" w:ascii="方正仿宋_GBK" w:hAnsi="方正仿宋_GBK" w:eastAsia="方正仿宋_GBK" w:cs="方正仿宋_GBK"/>
          <w:bCs/>
          <w:sz w:val="28"/>
          <w:szCs w:val="28"/>
        </w:rPr>
        <w:t xml:space="preserve">12.技术要求响应及偏离表、商务要求响应及偏离表</w:t>
      </w:r>
      <w:r/>
    </w:p>
    <w:p>
      <w:pPr>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 投标人需对招标文件中的技术要求与商务要求逐项作出响应或偏离，并说明原因。</w:t>
      </w:r>
      <w:r/>
    </w:p>
    <w:p>
      <w:pPr>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 投标人需按照招标文件要求，在投标文件中提供与技术要求和商务要求相关的证明材料。</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 投标人需根据招标文件要求提供有关售后服务的管理制度，售后服务机构的分布情况，售后服务人员的数量、素质、技术水平及售后服务的反应能力等。</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 投标人需根据招标文件要求提供培训计划。</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 投标人需根据招标文件要求提供</w:t>
      </w:r>
      <w:r>
        <w:rPr>
          <w:rFonts w:hint="eastAsia" w:ascii="方正仿宋_GBK" w:hAnsi="方正仿宋_GBK" w:eastAsia="方正仿宋_GBK" w:cs="方正仿宋_GBK"/>
          <w:bCs/>
          <w:sz w:val="28"/>
          <w:szCs w:val="28"/>
          <w:lang w:val="zh-CN"/>
        </w:rPr>
        <w:t xml:space="preserve">所投标</w:t>
      </w:r>
      <w:r>
        <w:rPr>
          <w:rFonts w:hint="eastAsia" w:ascii="方正仿宋_GBK" w:hAnsi="方正仿宋_GBK" w:eastAsia="方正仿宋_GBK" w:cs="方正仿宋_GBK"/>
          <w:bCs/>
          <w:sz w:val="28"/>
          <w:szCs w:val="28"/>
          <w:lang w:val="zh-CN"/>
        </w:rPr>
        <w:t xml:space="preserve">的的</w:t>
      </w:r>
      <w:r>
        <w:rPr>
          <w:rFonts w:hint="eastAsia" w:ascii="方正仿宋_GBK" w:hAnsi="方正仿宋_GBK" w:eastAsia="方正仿宋_GBK" w:cs="方正仿宋_GBK"/>
          <w:bCs/>
          <w:sz w:val="28"/>
          <w:szCs w:val="28"/>
          <w:lang w:val="zh-CN"/>
        </w:rPr>
        <w:t xml:space="preserve">主要组成部分、功能设计、实现思路及关键技术等。</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4" w:name="_Toc49090510"/>
      <w:r/>
      <w:bookmarkStart w:id="125" w:name="_Toc14577359"/>
      <w:r>
        <w:rPr>
          <w:rFonts w:hint="eastAsia" w:ascii="方正仿宋_GBK" w:hAnsi="方正仿宋_GBK" w:eastAsia="方正仿宋_GBK" w:cs="方正仿宋_GBK"/>
          <w:bCs/>
          <w:sz w:val="28"/>
          <w:szCs w:val="28"/>
        </w:rPr>
        <w:t xml:space="preserve">14.投标函和开标一览表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投标人应按照招标文件中提供的格式完整、正确填写投标函、开标一览表。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 对于采用货币报价的项目，开标一览表中的投标总报价应与投标分项报价表中的投标总报价一致，如不一致，不作为无效投标处理，但评标时按开标一览表中价格为准。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6" w:name="_Toc14577360"/>
      <w:r/>
      <w:bookmarkStart w:id="127" w:name="_Toc49090511"/>
      <w:r/>
      <w:bookmarkEnd w:id="124"/>
      <w:r/>
      <w:bookmarkEnd w:id="125"/>
      <w:r>
        <w:rPr>
          <w:rFonts w:hint="eastAsia" w:ascii="方正仿宋_GBK" w:hAnsi="方正仿宋_GBK" w:eastAsia="方正仿宋_GBK" w:cs="方正仿宋_GBK"/>
          <w:bCs/>
          <w:sz w:val="28"/>
          <w:szCs w:val="28"/>
        </w:rPr>
        <w:t xml:space="preserve">15.投标有效期</w:t>
      </w:r>
      <w:bookmarkEnd w:id="126"/>
      <w:r/>
      <w:bookmarkEnd w:id="127"/>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15.1投标有效期为采购中心规定的开标之日后六十（60）天。投标有效期比规定短的将被视为未实质性响应招标文件而予以拒绝。</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16.投标有效期的延长</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128" w:name="_Hlt26954852"/>
      <w:r/>
      <w:bookmarkStart w:id="129" w:name="_Hlt26954739"/>
      <w:r/>
      <w:bookmarkStart w:id="130" w:name="_Toc16938540"/>
      <w:r/>
      <w:bookmarkStart w:id="131" w:name="_Toc20823296"/>
      <w:r/>
      <w:bookmarkStart w:id="132" w:name="_Toc513029224"/>
      <w:r/>
      <w:bookmarkStart w:id="133" w:name="_Toc240275223"/>
      <w:r/>
      <w:bookmarkStart w:id="134" w:name="_Toc120614217"/>
      <w:r/>
      <w:bookmarkEnd w:id="128"/>
      <w:r/>
      <w:bookmarkEnd w:id="129"/>
      <w:r>
        <w:rPr>
          <w:rFonts w:hint="eastAsia" w:ascii="方正黑体_GBK" w:hAnsi="方正黑体_GBK" w:eastAsia="方正黑体_GBK" w:cs="方正黑体_GBK"/>
          <w:sz w:val="28"/>
          <w:szCs w:val="28"/>
        </w:rPr>
        <w:t xml:space="preserve">四、投标文件的递交</w:t>
      </w:r>
      <w:bookmarkEnd w:id="130"/>
      <w:r/>
      <w:bookmarkEnd w:id="131"/>
      <w:r/>
      <w:bookmarkEnd w:id="132"/>
      <w:r/>
      <w:bookmarkEnd w:id="133"/>
      <w:r/>
      <w:bookmarkEnd w:id="134"/>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5" w:name="_Toc16938541"/>
      <w:r/>
      <w:bookmarkStart w:id="136" w:name="_Toc462564084"/>
      <w:r/>
      <w:bookmarkStart w:id="137" w:name="_Toc513029225"/>
      <w:r/>
      <w:bookmarkStart w:id="138" w:name="_Toc20823297"/>
      <w:r>
        <w:rPr>
          <w:rFonts w:hint="eastAsia" w:ascii="方正仿宋_GBK" w:hAnsi="方正仿宋_GBK" w:eastAsia="方正仿宋_GBK" w:cs="方正仿宋_GBK"/>
          <w:bCs/>
          <w:sz w:val="28"/>
          <w:szCs w:val="28"/>
        </w:rPr>
        <w:t xml:space="preserve">17.电子投标文件</w:t>
      </w:r>
      <w:bookmarkEnd w:id="135"/>
      <w:r/>
      <w:bookmarkEnd w:id="136"/>
      <w:r/>
      <w:bookmarkEnd w:id="137"/>
      <w:r/>
      <w:bookmarkEnd w:id="138"/>
      <w:r>
        <w:rPr>
          <w:rFonts w:hint="eastAsia" w:ascii="方正仿宋_GBK" w:hAnsi="方正仿宋_GBK" w:eastAsia="方正仿宋_GBK" w:cs="方正仿宋_GBK"/>
          <w:bCs/>
          <w:sz w:val="28"/>
          <w:szCs w:val="28"/>
        </w:rPr>
        <w:t xml:space="preserve">的递交</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17.1投标人应当按照《操作手册》规定，在投标截止时间前制作并上传电子投标文件。</w:t>
      </w:r>
      <w:bookmarkStart w:id="139" w:name="_Toc20823298"/>
      <w:r/>
      <w:bookmarkStart w:id="140" w:name="_Toc16938542"/>
      <w:r/>
      <w:bookmarkStart w:id="141" w:name="_Toc513029226"/>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18.投标截止日期</w:t>
      </w:r>
      <w:bookmarkEnd w:id="139"/>
      <w:r/>
      <w:bookmarkEnd w:id="140"/>
      <w:r/>
      <w:bookmarkEnd w:id="141"/>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 投标人上传电子投标文件的时间不得迟于招标公告中规定</w:t>
      </w:r>
      <w:r>
        <w:rPr>
          <w:rFonts w:hint="eastAsia" w:ascii="方正仿宋_GBK" w:hAnsi="方正仿宋_GBK" w:eastAsia="方正仿宋_GBK" w:cs="方正仿宋_GBK"/>
          <w:bCs/>
          <w:sz w:val="28"/>
          <w:szCs w:val="28"/>
        </w:rPr>
        <w:t xml:space="preserve">的投标截止时间。</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投标人应充分考虑到网络环境、网络带宽等风险因素，如因投标人自身原因造成的电子投标文件上传不成功的按照本招标文件第二章第26.1.2条规定做无效投标处理。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采购中心可以按照规定，通过修改招标文件酌情延长投标截止日期，在此情况下，投标人的所有权利和义务以及投标人受制的截止日期均应以延长后新的截止日期为准。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2" w:name="_Toc20823299"/>
      <w:r/>
      <w:bookmarkStart w:id="143" w:name="_Toc513029227"/>
      <w:r/>
      <w:bookmarkStart w:id="144" w:name="_Toc16938543"/>
      <w:r>
        <w:rPr>
          <w:rFonts w:hint="eastAsia" w:ascii="方正仿宋_GBK" w:hAnsi="方正仿宋_GBK" w:eastAsia="方正仿宋_GBK" w:cs="方正仿宋_GBK"/>
          <w:bCs/>
          <w:sz w:val="28"/>
          <w:szCs w:val="28"/>
        </w:rPr>
        <w:t xml:space="preserve">19.投标文件</w:t>
      </w:r>
      <w:bookmarkEnd w:id="142"/>
      <w:r/>
      <w:bookmarkEnd w:id="143"/>
      <w:r/>
      <w:bookmarkEnd w:id="144"/>
      <w:r>
        <w:rPr>
          <w:rFonts w:hint="eastAsia" w:ascii="方正仿宋_GBK" w:hAnsi="方正仿宋_GBK" w:eastAsia="方正仿宋_GBK" w:cs="方正仿宋_GBK"/>
          <w:bCs/>
          <w:sz w:val="28"/>
          <w:szCs w:val="28"/>
        </w:rPr>
        <w:t xml:space="preserve">的拒收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采购中心拒绝接收在其规定的投标截止时间后上传的任何投标文件。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5" w:name="_Toc20823300"/>
      <w:r/>
      <w:bookmarkStart w:id="146" w:name="_Toc16938544"/>
      <w:r/>
      <w:bookmarkStart w:id="147" w:name="_Toc513029228"/>
      <w:r>
        <w:rPr>
          <w:rFonts w:hint="eastAsia" w:ascii="方正仿宋_GBK" w:hAnsi="方正仿宋_GBK" w:eastAsia="方正仿宋_GBK" w:cs="方正仿宋_GBK"/>
          <w:bCs/>
          <w:sz w:val="28"/>
          <w:szCs w:val="28"/>
        </w:rPr>
        <w:t xml:space="preserve">20.投标文件的撤回和修改</w:t>
      </w:r>
      <w:bookmarkEnd w:id="145"/>
      <w:r/>
      <w:bookmarkEnd w:id="146"/>
      <w:r/>
      <w:bookmarkEnd w:id="147"/>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 投标文件的撤回</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电子投标文件的撤回</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投标人可在投标截止时间前，撤回其电子投标文件，具体操作方法见《操作手册》。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 投标人撤回电子投标文件，则认为其不再参与本项目投标活动。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 投标文件的修改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20.2.1投标人可在投标截止时间前，对其电子投标文件进行修改，具体操作方法见《操作手册》。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20.2.2 在投标截止时间之后，投标人不得对其电子投标文件作任何修改。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在投标截止时间至招标文件中规定的投标有效期满之间的这段时间内，投标人不得撤回其投标。</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148" w:name="_Toc16938545"/>
      <w:r/>
      <w:bookmarkStart w:id="149" w:name="_Toc513029229"/>
      <w:r/>
      <w:bookmarkStart w:id="150" w:name="_Toc120614218"/>
      <w:r/>
      <w:bookmarkStart w:id="151" w:name="_Toc240275224"/>
      <w:r/>
      <w:bookmarkStart w:id="152" w:name="_Toc20823301"/>
      <w:r>
        <w:rPr>
          <w:rFonts w:hint="eastAsia" w:ascii="方正黑体_GBK" w:hAnsi="方正黑体_GBK" w:eastAsia="方正黑体_GBK" w:cs="方正黑体_GBK"/>
          <w:sz w:val="28"/>
          <w:szCs w:val="28"/>
        </w:rPr>
        <w:t xml:space="preserve">五、开标与评标</w:t>
      </w:r>
      <w:bookmarkEnd w:id="148"/>
      <w:r/>
      <w:bookmarkEnd w:id="149"/>
      <w:r/>
      <w:bookmarkEnd w:id="150"/>
      <w:r/>
      <w:bookmarkEnd w:id="151"/>
      <w:r/>
      <w:bookmarkEnd w:id="152"/>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53" w:name="_Toc20823302"/>
      <w:r/>
      <w:bookmarkStart w:id="154" w:name="_Toc16938546"/>
      <w:r/>
      <w:bookmarkStart w:id="155" w:name="_Toc513029230"/>
      <w:r>
        <w:rPr>
          <w:rFonts w:hint="eastAsia" w:ascii="方正仿宋_GBK" w:hAnsi="方正仿宋_GBK" w:eastAsia="方正仿宋_GBK" w:cs="方正仿宋_GBK"/>
          <w:bCs/>
          <w:sz w:val="28"/>
          <w:szCs w:val="28"/>
        </w:rPr>
        <w:t xml:space="preserve">21.开标</w:t>
      </w:r>
      <w:bookmarkEnd w:id="153"/>
      <w:r/>
      <w:bookmarkEnd w:id="154"/>
      <w:r/>
      <w:bookmarkEnd w:id="155"/>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 采购中心将在招标公告中规定的时间和地点组织公开开标。投标人应当按照《操作手册》规定，参加开标活动和在苏采云系统规定的时间内对投标文件进行解密。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21.2开标仪式由采购中心组织。苏采云系统将自动对项目进行开标，并宣布各投标人名称和投标价格。</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21.3投标人在开标过程中涉及到的投标文件解密、开标结果确认等工作，应按照《操作手册》规定执行。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21.4投标人如果对开标过程和开标记录有疑义，应当根据《操</w:t>
      </w:r>
      <w:r>
        <w:rPr>
          <w:rFonts w:hint="eastAsia" w:ascii="方正仿宋_GBK" w:hAnsi="方正仿宋_GBK" w:eastAsia="方正仿宋_GBK" w:cs="方正仿宋_GBK"/>
          <w:bCs/>
          <w:sz w:val="28"/>
          <w:szCs w:val="28"/>
        </w:rPr>
        <w:t xml:space="preserve">作手册》规定提出，如苏采云系统中《开标记录表》宣布后5分钟内未提出的，视同认可开标结果。</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56" w:name="_Toc513029231"/>
      <w:r/>
      <w:bookmarkStart w:id="157" w:name="_Toc20823303"/>
      <w:r/>
      <w:bookmarkStart w:id="158" w:name="_Toc16938547"/>
      <w:r>
        <w:rPr>
          <w:rFonts w:hint="eastAsia" w:ascii="方正仿宋_GBK" w:hAnsi="方正仿宋_GBK" w:eastAsia="方正仿宋_GBK" w:cs="方正仿宋_GBK"/>
          <w:bCs/>
          <w:sz w:val="28"/>
          <w:szCs w:val="28"/>
        </w:rPr>
        <w:t xml:space="preserve">22.评标委员会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 开标后，采购中心将立即组织评标委员会进行评标。</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 评标委员会由采购人代表和有关技术、经济等方面的专家组成，且人员构成符合政府采购有关规定。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22.3评标委员会独立工作，负责评审所有投标文件并确定中标侯选人。</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23.评标过程的保密与公正</w:t>
      </w:r>
      <w:bookmarkEnd w:id="156"/>
      <w:r/>
      <w:bookmarkEnd w:id="157"/>
      <w:r/>
      <w:bookmarkEnd w:id="158"/>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23.1凡是与审查、澄清、评价和比较投标的有关资料以及授标建议等，采购人、评委、采购中心均不得向投标人或与评标无关的其他人员透露。</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23.2在评标过程中，投标人不得以任何行为影响评标过程，否则其投标文件将被作为无效投标文件。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 采购中心和评标委员会不向未中标的投标人解释未中标原因，也不公布评标过程中的相关细节。</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采用综合评分法的项目，未中标的投标人可于中标结果公告期限届满之日起通过苏采云系统查看自己的评审得分及排序情况。</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59" w:name="_Toc513029232"/>
      <w:r/>
      <w:bookmarkStart w:id="160" w:name="_Toc16938548"/>
      <w:r/>
      <w:bookmarkStart w:id="161" w:name="_Toc20823304"/>
      <w:r>
        <w:rPr>
          <w:rFonts w:hint="eastAsia" w:ascii="方正仿宋_GBK" w:hAnsi="方正仿宋_GBK" w:eastAsia="方正仿宋_GBK" w:cs="方正仿宋_GBK"/>
          <w:bCs/>
          <w:sz w:val="28"/>
          <w:szCs w:val="28"/>
        </w:rPr>
        <w:t xml:space="preserve">24.投标文件的澄清</w:t>
      </w:r>
      <w:bookmarkEnd w:id="159"/>
      <w:r/>
      <w:bookmarkEnd w:id="160"/>
      <w:r/>
      <w:bookmarkEnd w:id="161"/>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62" w:name="_Toc20823305"/>
      <w:r/>
      <w:bookmarkStart w:id="163" w:name="_Toc513029233"/>
      <w:r/>
      <w:bookmarkStart w:id="164" w:name="_Toc16938549"/>
      <w:r>
        <w:rPr>
          <w:rFonts w:hint="eastAsia" w:ascii="方正仿宋_GBK" w:hAnsi="方正仿宋_GBK" w:eastAsia="方正仿宋_GBK" w:cs="方正仿宋_GBK"/>
          <w:bCs/>
          <w:sz w:val="28"/>
          <w:szCs w:val="28"/>
        </w:rPr>
        <w:t xml:space="preserve">24.1评标期间，评标委员会对投标文件中含义不明确、同类问题表述不一致或者有明显文字和计算错误的内容 ，有权要求投标人作出必要的澄清、说明或者补正。</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投标人的澄清、说明或者补正不得超出投标文件的范围或者改变投标文件的实质性内容。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评标委员会并非对每个投标人都做澄清要求。</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接到评标委员会澄清、说明和补正要求的投标人如未按规定做出澄清、说明和补正，其风险由投标人自行承担。</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25.对投标文件的初审</w:t>
      </w:r>
      <w:bookmarkEnd w:id="162"/>
      <w:r/>
      <w:bookmarkEnd w:id="163"/>
      <w:r/>
      <w:bookmarkEnd w:id="164"/>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25.1投标文件初审分为资格审查和符合性审查。</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资格审查：依据法律法规和招标文件的规定，由采购人对投标文件中的资格证明文件进行审查。资格审查的结论，采购人以书面形式向评标委员会进行反馈。</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采购人在进行资格性审查的同时，将在“信用中国”网站（</w:t>
      </w:r>
      <w:r>
        <w:rPr>
          <w:rFonts w:hint="eastAsia" w:eastAsia="方正仿宋_GBK"/>
          <w:sz w:val="28"/>
          <w:szCs w:val="28"/>
        </w:rPr>
        <w:t xml:space="preserve">www.creditchina.gov.cn</w:t>
      </w:r>
      <w:r>
        <w:rPr>
          <w:rFonts w:hint="eastAsia" w:ascii="方正仿宋_GBK" w:hAnsi="方正仿宋_GBK" w:eastAsia="方正仿宋_GBK" w:cs="方正仿宋_GBK"/>
          <w:bCs/>
          <w:sz w:val="28"/>
          <w:szCs w:val="28"/>
        </w:rPr>
        <w:t xml:space="preserve">）查询投标人的信用记录，以确定投标人是否具备投标</w:t>
      </w:r>
      <w:r>
        <w:rPr>
          <w:rFonts w:hint="eastAsia" w:ascii="方正仿宋_GBK" w:hAnsi="方正仿宋_GBK" w:eastAsia="方正仿宋_GBK" w:cs="方正仿宋_GBK"/>
          <w:bCs/>
          <w:sz w:val="28"/>
          <w:szCs w:val="28"/>
        </w:rPr>
        <w:t xml:space="preserve">资格,</w:t>
      </w:r>
      <w:r>
        <w:rPr>
          <w:rFonts w:hint="eastAsia" w:ascii="方正仿宋_GBK" w:hAnsi="方正仿宋_GBK" w:eastAsia="方正仿宋_GBK" w:cs="方正仿宋_GBK"/>
          <w:bCs/>
          <w:sz w:val="28"/>
          <w:szCs w:val="28"/>
        </w:rPr>
        <w:t xml:space="preserve">查询结果留存并归档。</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w:t>
      </w:r>
      <w:r>
        <w:rPr>
          <w:rFonts w:hint="eastAsia" w:ascii="方正仿宋_GBK" w:hAnsi="方正仿宋_GBK" w:eastAsia="方正仿宋_GBK" w:cs="方正仿宋_GBK"/>
          <w:bCs/>
          <w:sz w:val="28"/>
          <w:szCs w:val="28"/>
        </w:rPr>
        <w:t xml:space="preserve">的,</w:t>
      </w:r>
      <w:r>
        <w:rPr>
          <w:rFonts w:hint="eastAsia" w:ascii="方正仿宋_GBK" w:hAnsi="方正仿宋_GBK" w:eastAsia="方正仿宋_GBK" w:cs="方正仿宋_GBK"/>
          <w:bCs/>
          <w:sz w:val="28"/>
          <w:szCs w:val="28"/>
        </w:rPr>
        <w:t xml:space="preserve">联合体成员中任何一方存在不良信用记录的，视同联合体存在不良应用记录。</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符合性审查：依据招标文件的规定，由评标委员会从投标文件的有效性、完整性和对招标文件的响应程度进行审查，以确定是否对招标文件的实质性要求作出响应。</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25.2在详细评标之前，评标委员会将首先审查每份投标文件是否实质性响应了招标文件的要求。实质性响应的投标应该是与招标文件要求的全部条款、条件和规格相符，没有重大偏离或保留的投标。</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25.3如果投标文件实质上没有响应招标文件的要求，评标委员会将予以拒绝，投标人不得通过修改或撤销不符合要求的偏离或保留而使其投标成为实质性响应的投标。</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25.4评标委员会将对确定为实质性响应的投标进行进一步审核，看其是否有计算上或累加上的算术错误，修正错误的原则如下：</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（1）投标文件中开标一览表内容与投标文件中相应内容不一致的，以开标一览表为准。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（2）大写金额和小写金额不一致的，以大写金额为准。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（3）单价金额小数点或者百分比有明显错位的，以开标一览表的总价为准，并修改单价。</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（4）总价金额与按单价汇总金额不一致的，以单价金额计算结果为准。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同时出现两种以上错误的，按照前款规定的顺序修正。</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25.5评标委员会将按上述修正错误的方法调整投标文件中的投标报价，并通过苏采云系统告知投标人，调整后的价格应对投标人具有约束力。如果投标人不接受修正后的价格，则其投标将被拒绝。</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65" w:name="_Toc20823306"/>
      <w:r/>
      <w:bookmarkStart w:id="166" w:name="_Toc16938550"/>
      <w:r/>
      <w:bookmarkStart w:id="167" w:name="_Toc513029234"/>
      <w:r>
        <w:rPr>
          <w:rFonts w:hint="eastAsia" w:ascii="方正仿宋_GBK" w:hAnsi="方正仿宋_GBK" w:eastAsia="方正仿宋_GBK" w:cs="方正仿宋_GBK"/>
          <w:bCs/>
          <w:sz w:val="28"/>
          <w:szCs w:val="28"/>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采取随机抽取的方式）确定一个参加评标的投标人，其他投标无效。</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非单一产品采购项目，招标文件中将载明其中的核心产品。多家投标人提供的核心产品品牌相同的，按前两款规定处理。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25.7投标人在开、评标全过程中应保持通讯畅通，及时登录苏采云系统查阅、答复相关信息，并安排专人与采购中心及评标委员会联系。</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 异常低价投标审查</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25.8.1 评标过程中出现下列情形之一的，评标委员会应当启动异常低价投标审查程序：</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（1）投标报价低于全部通过符合性审查供应商投标报价平均值50%的，即投标报价&lt;全部通过符合性审查供应商投标报价平均值×50%；</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（2）投标报价低于通过符合性审查的次低报价供应商投标报价50%的，即投标报价&lt;通过符合性审查的次低报价供应商投标报价×50%；</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（3）投标报价低于采购项目最高限价65%的，即投标报价&lt;采购项目最高限价×65%；</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（4）评标委员会基于专业判断，认为供应商报价过低，有可能影响产品质量或者不能诚信履约的其他情形。</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bookmarkEnd w:id="165"/>
      <w:r/>
      <w:bookmarkEnd w:id="166"/>
      <w:r/>
      <w:bookmarkEnd w:id="167"/>
      <w:r>
        <w:rPr>
          <w:rFonts w:hint="eastAsia" w:ascii="方正仿宋_GBK" w:hAnsi="方正仿宋_GBK" w:eastAsia="方正仿宋_GBK" w:cs="方正仿宋_GBK"/>
          <w:bCs/>
          <w:sz w:val="28"/>
          <w:szCs w:val="28"/>
        </w:rPr>
        <w:t xml:space="preserve">6.无效投标条款和废标条款</w:t>
      </w:r>
      <w:bookmarkStart w:id="168" w:name="_Toc513029235"/>
      <w:r/>
      <w:bookmarkStart w:id="169" w:name="_Toc16938551"/>
      <w:r/>
      <w:bookmarkStart w:id="170" w:name="_Toc20823307"/>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26.1无效投标条款</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 投标人在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规定的时间内未成功解密电子投标文件的。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26.1.2 投标人未按照招标文件要求上传电子投标文件的。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26.1.3 投标人同一采购包提交两个（含两个）以上不同的投标报价的。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26.1.4投标人不具备招标文件中规定资格要求的。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26.1.5投标人的报价超过了采购预算或最高限价的。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26.1.6未通过符合性审查的。</w:t>
      </w:r>
      <w:r/>
    </w:p>
    <w:p>
      <w:pPr>
        <w:ind w:firstLine="560"/>
        <w:spacing w:line="400" w:lineRule="exact"/>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26.1.7不符合招标文件中规定的实质性要求的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26.1.8 投标人被 “信用中国”网站（</w:t>
      </w:r>
      <w:r>
        <w:rPr>
          <w:rFonts w:hint="eastAsia" w:eastAsia="方正仿宋_GBK"/>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26.1.9 投标文件含有采购人不能接受的附加条件的。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26.1.10 评标委员会按照本招标文件规定对投标人进行异常低价投标审查后，认为投标人不能证明其报价合理性的。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26.1.12 投标文件未按照招标文件要求加盖CA电子公章的。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26.1.13 投标人所投标产品不符合招标文件中所列国家强制性标准的。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26.1.14其他法律、法规及本招标文件规定的属无效投标的情形。</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26.2废标条款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26.2.1符合专业条件的供应商或者对招标文件作实质响应的供应商不足三家的。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26.2.2出现影响采购公正的违法、违规行为的。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26.2.3因重大变故，采购任务取消的。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26.2.4评标委员会认定招标文件存在歧义、重大缺陷导致评审工作无法进行。</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26.2.5 因</w:t>
      </w:r>
      <w:r>
        <w:rPr>
          <w:rFonts w:hint="eastAsia" w:ascii="方正仿宋_GBK" w:hAnsi="方正仿宋_GBK" w:eastAsia="方正仿宋_GBK" w:cs="方正仿宋_GBK"/>
          <w:sz w:val="28"/>
          <w:szCs w:val="28"/>
        </w:rPr>
        <w:t xml:space="preserve">苏采云</w:t>
      </w:r>
      <w:r>
        <w:rPr>
          <w:rFonts w:hint="eastAsia" w:ascii="方正仿宋_GBK" w:hAnsi="方正仿宋_GBK" w:eastAsia="方正仿宋_GBK" w:cs="方正仿宋_GBK"/>
          <w:bCs/>
          <w:sz w:val="28"/>
          <w:szCs w:val="28"/>
        </w:rPr>
        <w:t xml:space="preserve">系统故障原因造成开标不成功的。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26.3 投标截止时间结束后参加投标的供应商不足三家的处理：</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26.3.1如出现投标截止时间结束后参加投标的供应商或者在评标期间对招标文件做出实质响应的供应商不足三家情况，按政府采购相关规定执行。</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171" w:name="_Toc240275225"/>
      <w:r/>
      <w:bookmarkStart w:id="172" w:name="_Toc120614219"/>
      <w:r>
        <w:rPr>
          <w:rFonts w:hint="eastAsia" w:ascii="方正黑体_GBK" w:hAnsi="方正黑体_GBK" w:eastAsia="方正黑体_GBK" w:cs="方正黑体_GBK"/>
          <w:sz w:val="28"/>
          <w:szCs w:val="28"/>
        </w:rPr>
        <w:t xml:space="preserve">六、</w:t>
      </w:r>
      <w:bookmarkEnd w:id="168"/>
      <w:r/>
      <w:bookmarkEnd w:id="169"/>
      <w:r/>
      <w:bookmarkEnd w:id="170"/>
      <w:r>
        <w:rPr>
          <w:rFonts w:hint="eastAsia" w:ascii="方正黑体_GBK" w:hAnsi="方正黑体_GBK" w:eastAsia="方正黑体_GBK" w:cs="方正黑体_GBK"/>
          <w:sz w:val="28"/>
          <w:szCs w:val="28"/>
        </w:rPr>
        <w:t xml:space="preserve">定标</w:t>
      </w:r>
      <w:bookmarkEnd w:id="171"/>
      <w:r/>
      <w:bookmarkEnd w:id="172"/>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73" w:name="_Toc513029238"/>
      <w:r/>
      <w:bookmarkStart w:id="174" w:name="_Toc16938554"/>
      <w:r/>
      <w:bookmarkStart w:id="175" w:name="_Toc20823310"/>
      <w:r>
        <w:rPr>
          <w:rFonts w:hint="eastAsia" w:ascii="方正仿宋_GBK" w:hAnsi="方正仿宋_GBK" w:eastAsia="方正仿宋_GBK" w:cs="方正仿宋_GBK"/>
          <w:bCs/>
          <w:sz w:val="28"/>
          <w:szCs w:val="28"/>
        </w:rPr>
        <w:t xml:space="preserve">27</w:t>
      </w:r>
      <w:bookmarkEnd w:id="173"/>
      <w:r>
        <w:rPr>
          <w:rFonts w:hint="eastAsia" w:ascii="方正仿宋_GBK" w:hAnsi="方正仿宋_GBK" w:eastAsia="方正仿宋_GBK" w:cs="方正仿宋_GBK"/>
          <w:bCs/>
          <w:sz w:val="28"/>
          <w:szCs w:val="28"/>
        </w:rPr>
        <w:t xml:space="preserve">.确定</w:t>
      </w:r>
      <w:bookmarkEnd w:id="174"/>
      <w:r/>
      <w:bookmarkEnd w:id="175"/>
      <w:r>
        <w:rPr>
          <w:rFonts w:hint="eastAsia" w:ascii="方正仿宋_GBK" w:hAnsi="方正仿宋_GBK" w:eastAsia="方正仿宋_GBK" w:cs="方正仿宋_GBK"/>
          <w:bCs/>
          <w:sz w:val="28"/>
          <w:szCs w:val="28"/>
        </w:rPr>
        <w:t xml:space="preserve">中标单位</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27.1中标候选人的选取原则和数量见招标文件第五章规定。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 采购人应根据评标委员会推荐的中标候选人确定中标供应商。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27.3 </w:t>
      </w:r>
      <w:r>
        <w:rPr>
          <w:rFonts w:hint="eastAsia" w:ascii="方正仿宋_GBK" w:hAnsi="方正仿宋_GBK" w:eastAsia="方正仿宋_GBK" w:cs="方正仿宋_GBK"/>
          <w:sz w:val="28"/>
          <w:szCs w:val="28"/>
        </w:rPr>
        <w:t xml:space="preserve">采购中心将在“江苏政府采购网”发布中标公告，公告期限为1个工作日。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 若有充分证据证明，中标供应商出现下列情况之一的，一经查实，将被取消中标资格：</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27.4.1提供虚假材料谋取中标的。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27.4.2向采购人、采购中心行贿或者提供其他不正当利益的。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27.4.3属于本文件规定的无效条件，但在评标过程中又未被评标委员会发现的。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27.4.4与采购人或者其他供应商恶意串通的。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27.4.5采取不正当手段诋毁、排挤其他供应商的。</w:t>
      </w:r>
      <w:r/>
    </w:p>
    <w:p>
      <w:pPr>
        <w:ind w:firstLine="560"/>
        <w:spacing w:line="400" w:lineRule="exact"/>
        <w:rPr>
          <w:rFonts w:hint="eastAsia" w:ascii="方正仿宋_GBK" w:hAnsi="方正仿宋_GBK" w:eastAsia="方正仿宋_GBK" w:cs="方正仿宋_GBK"/>
          <w:sz w:val="28"/>
          <w:szCs w:val="28"/>
        </w:rPr>
      </w:pPr>
      <w:r/>
      <w:bookmarkStart w:id="176" w:name="_Toc200451960"/>
      <w:r>
        <w:rPr>
          <w:rFonts w:hint="eastAsia" w:ascii="方正仿宋_GBK" w:hAnsi="方正仿宋_GBK" w:eastAsia="方正仿宋_GBK" w:cs="方正仿宋_GBK"/>
          <w:sz w:val="28"/>
          <w:szCs w:val="28"/>
        </w:rPr>
        <w:t xml:space="preserve">27.5 </w:t>
      </w:r>
      <w:r>
        <w:rPr>
          <w:rFonts w:hint="eastAsia" w:ascii="方正仿宋_GBK" w:hAnsi="方正仿宋_GBK" w:eastAsia="方正仿宋_GBK" w:cs="方正仿宋_GBK"/>
          <w:sz w:val="28"/>
          <w:szCs w:val="28"/>
        </w:rPr>
        <w:t xml:space="preserve">有下列情形之一的，视为投标人串通投标，投标无效：</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27.5.1不同投标人的投标文件由同一单位或者个人编制。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27.5.2不同投标人委托同一单位或者个人办理投标事宜。</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27.5.3 不同投标人的投标文件载明的项目管理成员或者联系人员为同一人。</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27.5.4不同投标人的投标文件异常一致或者投标报价呈规律性差异。</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28.质疑处理</w:t>
      </w:r>
      <w:bookmarkEnd w:id="176"/>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sz w:val="28"/>
          <w:szCs w:val="28"/>
        </w:rPr>
        <w:br/>
        <w:t xml:space="preserve">　　28.2.2对采购过程提出质疑的，为各采购程序环节结束之日；</w:t>
      </w:r>
      <w:r>
        <w:rPr>
          <w:rFonts w:hint="eastAsia" w:ascii="方正仿宋_GBK" w:hAnsi="方正仿宋_GBK" w:eastAsia="方正仿宋_GBK" w:cs="方正仿宋_GBK"/>
          <w:sz w:val="28"/>
          <w:szCs w:val="28"/>
        </w:rPr>
        <w:br/>
        <w:t xml:space="preserve">　　28.2.3对中标或者成交结果提出质疑的，为中标或者成交结果公告期限届满之日。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供应商（含潜在供应商）对与本项目有关的所有询问、质疑均请向采购人提出，由采购人负责答复。</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采购人只接收以纸质原件形式送达的</w:t>
      </w:r>
      <w:r>
        <w:rPr>
          <w:rFonts w:hint="eastAsia" w:ascii="方正仿宋_GBK" w:hAnsi="方正仿宋_GBK" w:eastAsia="方正仿宋_GBK" w:cs="方正仿宋_GBK"/>
          <w:sz w:val="28"/>
          <w:szCs w:val="28"/>
        </w:rPr>
        <w:t xml:space="preserve">质疑,</w:t>
      </w:r>
      <w:r>
        <w:rPr>
          <w:rFonts w:hint="eastAsia" w:ascii="方正仿宋_GBK" w:hAnsi="方正仿宋_GBK" w:eastAsia="方正仿宋_GBK" w:cs="方正仿宋_GBK"/>
          <w:sz w:val="28"/>
          <w:szCs w:val="28"/>
        </w:rPr>
        <w:t xml:space="preserve">建议供应商尽量通过</w:t>
      </w:r>
      <w:r>
        <w:rPr>
          <w:rFonts w:hint="eastAsia" w:ascii="方正仿宋_GBK" w:hAnsi="方正仿宋_GBK" w:eastAsia="方正仿宋_GBK" w:cs="方正仿宋_GBK"/>
          <w:sz w:val="28"/>
          <w:szCs w:val="28"/>
        </w:rPr>
        <w:t xml:space="preserve">邮寄方式提交质疑（采购人不接受无快递运单号的快递）。</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采购人质疑接收人及联系方式见招标文件第一章。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 以下情形的质疑不予受理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 内容不符合《政府采购质疑和投诉办法》第十二条规定的质疑。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 超出政府采购法定期限的质疑。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 以传真、电子邮件等方式递交的非原件形式的质疑。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 未参加投标活动的供应商或在投标活动中自身权益未受到损害的供应商所提出的质疑。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28.5.5供应商组成联合体参加投标，联合体中任何一方或多方未按要求签字、盖章、加盖公章的质疑。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29.中标通知书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29.l中标结果确定后，采购中心将向中标供应商发出中标通知书。请中标供应商在中标结果公告届满之日起30</w:t>
      </w:r>
      <w:r>
        <w:rPr>
          <w:rFonts w:hint="eastAsia" w:ascii="方正仿宋_GBK" w:hAnsi="方正仿宋_GBK" w:eastAsia="方正仿宋_GBK" w:cs="方正仿宋_GBK"/>
          <w:sz w:val="28"/>
          <w:szCs w:val="28"/>
        </w:rPr>
        <w:t xml:space="preserve">日内,</w:t>
      </w:r>
      <w:r>
        <w:rPr>
          <w:rFonts w:hint="eastAsia" w:ascii="方正仿宋_GBK" w:hAnsi="方正仿宋_GBK" w:eastAsia="方正仿宋_GBK" w:cs="方正仿宋_GBK"/>
          <w:sz w:val="28"/>
          <w:szCs w:val="28"/>
        </w:rPr>
        <w:t xml:space="preserve">使用CA数字证书登录苏采云系统及时下载中标通知书。因系统存储空间有限，自中标结果公告届满之日起30日后，苏采云系统不再保证提供下载中标通知书</w:t>
      </w:r>
      <w:r>
        <w:rPr>
          <w:rFonts w:hint="eastAsia" w:ascii="方正仿宋_GBK" w:hAnsi="方正仿宋_GBK" w:eastAsia="方正仿宋_GBK" w:cs="方正仿宋_GBK"/>
          <w:sz w:val="28"/>
          <w:szCs w:val="28"/>
        </w:rPr>
        <w:t xml:space="preserve">服务,</w:t>
      </w:r>
      <w:r>
        <w:rPr>
          <w:rFonts w:hint="eastAsia" w:ascii="方正仿宋_GBK" w:hAnsi="方正仿宋_GBK" w:eastAsia="方正仿宋_GBK" w:cs="方正仿宋_GBK"/>
          <w:sz w:val="28"/>
          <w:szCs w:val="28"/>
        </w:rPr>
        <w:t xml:space="preserve">因未及时下载而造成的不利后果由中标供应商自行承担。</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177" w:name="_Toc120614220"/>
      <w:r/>
      <w:bookmarkStart w:id="178" w:name="_Toc240275226"/>
      <w:r/>
      <w:bookmarkStart w:id="179" w:name="_Toc20823308"/>
      <w:r/>
      <w:bookmarkStart w:id="180" w:name="_Toc16938552"/>
      <w:r/>
      <w:bookmarkStart w:id="181" w:name="_Toc513029236"/>
      <w:r>
        <w:rPr>
          <w:rFonts w:hint="eastAsia" w:ascii="方正黑体_GBK" w:hAnsi="方正黑体_GBK" w:eastAsia="方正黑体_GBK" w:cs="方正黑体_GBK"/>
          <w:sz w:val="28"/>
          <w:szCs w:val="28"/>
        </w:rPr>
        <w:t xml:space="preserve">七、授予合同</w:t>
      </w:r>
      <w:bookmarkEnd w:id="177"/>
      <w:r/>
      <w:bookmarkEnd w:id="178"/>
      <w:r/>
      <w:r/>
    </w:p>
    <w:p>
      <w:pPr>
        <w:ind w:firstLine="560"/>
        <w:spacing w:line="400" w:lineRule="exact"/>
        <w:rPr>
          <w:rFonts w:hint="eastAsia" w:ascii="方正仿宋_GBK" w:hAnsi="方正仿宋_GBK" w:eastAsia="方正仿宋_GBK" w:cs="方正仿宋_GBK"/>
          <w:sz w:val="28"/>
          <w:szCs w:val="28"/>
        </w:rPr>
      </w:pPr>
      <w:r/>
      <w:bookmarkStart w:id="182" w:name="_Toc16938553"/>
      <w:r/>
      <w:bookmarkStart w:id="183" w:name="_Toc513029237"/>
      <w:r/>
      <w:bookmarkStart w:id="184" w:name="_Toc20823309"/>
      <w:r/>
      <w:bookmarkEnd w:id="179"/>
      <w:r/>
      <w:bookmarkEnd w:id="180"/>
      <w:r/>
      <w:bookmarkEnd w:id="181"/>
      <w:r>
        <w:rPr>
          <w:rFonts w:hint="eastAsia" w:ascii="方正仿宋_GBK" w:hAnsi="方正仿宋_GBK" w:eastAsia="方正仿宋_GBK" w:cs="方正仿宋_GBK"/>
          <w:sz w:val="28"/>
          <w:szCs w:val="28"/>
        </w:rPr>
        <w:t xml:space="preserve">30.签订合同</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30.l中标供应商应当在中标通知书发出之日起三十日内，按照招标文件确定的事项与采购人签订政府采购合同。</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30.2 招标文件、中标供应商的投标文件及招标过程中有关澄清、承诺文件均应作为合同附件。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w:t>
      </w:r>
      <w:r>
        <w:rPr>
          <w:rFonts w:hint="eastAsia" w:ascii="方正仿宋_GBK" w:hAnsi="方正仿宋_GBK" w:eastAsia="方正仿宋_GBK" w:cs="方正仿宋_GBK"/>
          <w:sz w:val="28"/>
          <w:szCs w:val="28"/>
        </w:rPr>
        <w:t xml:space="preserve">承担相应赔偿责任。</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31.货物（包含与货物相关的服务）的追加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560"/>
        <w:spacing w:line="400" w:lineRule="exact"/>
        <w:rPr>
          <w:rFonts w:hint="eastAsia" w:ascii="方正仿宋_GBK" w:hAnsi="方正仿宋_GBK" w:eastAsia="方正仿宋_GBK" w:cs="方正仿宋_GBK"/>
          <w:sz w:val="28"/>
          <w:szCs w:val="28"/>
        </w:rPr>
      </w:pPr>
      <w:r/>
      <w:bookmarkStart w:id="185" w:name="_Toc479757207"/>
      <w:r/>
      <w:bookmarkStart w:id="186" w:name="_Toc120614221"/>
      <w:r/>
      <w:bookmarkStart w:id="187" w:name="_Toc16938558"/>
      <w:r/>
      <w:bookmarkStart w:id="188" w:name="_Toc20823314"/>
      <w:r/>
      <w:bookmarkStart w:id="189" w:name="_Toc513029242"/>
      <w:r/>
      <w:bookmarkEnd w:id="182"/>
      <w:r/>
      <w:bookmarkEnd w:id="183"/>
      <w:r/>
      <w:bookmarkEnd w:id="184"/>
      <w:r>
        <w:rPr>
          <w:rFonts w:hint="eastAsia" w:ascii="方正仿宋_GBK" w:hAnsi="方正仿宋_GBK" w:eastAsia="方正仿宋_GBK" w:cs="方正仿宋_GBK"/>
          <w:sz w:val="28"/>
          <w:szCs w:val="28"/>
        </w:rPr>
        <w:t xml:space="preserve">32.政府采购履约资金扶持政策</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中标供应商可凭政府采购合同办理融资贷款，详情请见江苏政府采购网“政采贷”专栏。</w:t>
      </w:r>
      <w:r/>
    </w:p>
    <w:p>
      <w:pPr>
        <w:ind w:firstLine="420"/>
        <w:spacing w:line="400" w:lineRule="exact"/>
        <w:rPr>
          <w:szCs w:val="21"/>
        </w:rPr>
      </w:pPr>
      <w:r>
        <w:rPr>
          <w:szCs w:val="21"/>
        </w:rPr>
      </w:r>
      <w:r/>
    </w:p>
    <w:p>
      <w:pPr>
        <w:spacing w:line="500" w:lineRule="exact"/>
        <w:rPr>
          <w:rFonts w:hint="eastAsia" w:ascii="宋体" w:hAnsi="宋体"/>
          <w:bCs/>
          <w:sz w:val="24"/>
          <w:szCs w:val="24"/>
        </w:rPr>
      </w:pPr>
      <w:r>
        <w:rPr>
          <w:rFonts w:hint="eastAsia" w:ascii="宋体" w:hAnsi="宋体"/>
          <w:bCs/>
          <w:sz w:val="24"/>
          <w:szCs w:val="24"/>
        </w:rPr>
      </w:r>
      <w:r/>
    </w:p>
    <w:p>
      <w:pPr>
        <w:jc w:val="left"/>
        <w:widowControl/>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br w:type="page" w:clear="all"/>
      </w:r>
      <w:r/>
    </w:p>
    <w:p>
      <w:pPr>
        <w:ind w:firstLine="2240"/>
        <w:keepNext/>
        <w:spacing w:line="660" w:lineRule="exact"/>
        <w:rPr>
          <w:rFonts w:hint="eastAsia" w:ascii="方正黑体_GBK" w:hAnsi="方正黑体_GBK" w:eastAsia="方正黑体_GBK" w:cs="方正黑体_GBK"/>
          <w:bCs/>
          <w:sz w:val="28"/>
          <w:szCs w:val="28"/>
        </w:rPr>
        <w:outlineLvl w:val="0"/>
      </w:pPr>
      <w:r/>
      <w:bookmarkStart w:id="190" w:name="_Toc240275227"/>
      <w:r>
        <w:rPr>
          <w:rFonts w:hint="eastAsia" w:ascii="方正黑体_GBK" w:hAnsi="方正黑体_GBK" w:eastAsia="方正黑体_GBK" w:cs="方正黑体_GBK"/>
          <w:bCs/>
          <w:sz w:val="28"/>
          <w:szCs w:val="28"/>
        </w:rPr>
        <w:t xml:space="preserve">第三章  合同</w:t>
      </w:r>
      <w:bookmarkEnd w:id="185"/>
      <w:r/>
      <w:bookmarkEnd w:id="186"/>
      <w:r/>
      <w:bookmarkEnd w:id="187"/>
      <w:r/>
      <w:bookmarkEnd w:id="188"/>
      <w:r/>
      <w:bookmarkEnd w:id="189"/>
      <w:r>
        <w:rPr>
          <w:rFonts w:hint="eastAsia" w:ascii="方正黑体_GBK" w:hAnsi="方正黑体_GBK" w:eastAsia="方正黑体_GBK" w:cs="方正黑体_GBK"/>
          <w:bCs/>
          <w:sz w:val="28"/>
          <w:szCs w:val="28"/>
        </w:rPr>
        <w:t xml:space="preserve">文本</w:t>
      </w:r>
      <w:bookmarkEnd w:id="190"/>
      <w:r/>
      <w:r/>
    </w:p>
    <w:p>
      <w:pPr>
        <w:spacing w:line="400" w:lineRule="exact"/>
        <w:rPr>
          <w:rFonts w:hint="eastAsia" w:ascii="宋体" w:hAnsi="宋体"/>
          <w:bCs/>
          <w:sz w:val="28"/>
          <w:szCs w:val="28"/>
        </w:rPr>
      </w:pPr>
      <w:r/>
      <w:bookmarkStart w:id="191" w:name="_Toc513029243"/>
      <w:r/>
      <w:bookmarkStart w:id="192" w:name="_Toc20823315"/>
      <w:r/>
      <w:bookmarkStart w:id="193" w:name="_Toc16938559"/>
      <w:r/>
      <w:bookmarkStart w:id="194" w:name="_Toc3995"/>
      <w:r/>
      <w:bookmarkStart w:id="195" w:name="_Hlt16619350"/>
      <w:r/>
      <w:bookmarkStart w:id="196" w:name="_Toc20823346"/>
      <w:r/>
      <w:bookmarkStart w:id="197" w:name="_Toc16938590"/>
      <w:r/>
      <w:bookmarkStart w:id="198" w:name="_Toc120614244"/>
      <w:r/>
      <w:bookmarkStart w:id="199" w:name="_Toc479757211"/>
      <w:r/>
      <w:bookmarkStart w:id="200" w:name="_Toc462564139"/>
      <w:r/>
      <w:bookmarkEnd w:id="191"/>
      <w:r/>
      <w:bookmarkEnd w:id="192"/>
      <w:r/>
      <w:bookmarkEnd w:id="193"/>
      <w:r/>
      <w:bookmarkEnd w:id="194"/>
      <w:r/>
      <w:r/>
    </w:p>
    <w:p>
      <w:pPr>
        <w:pStyle w:val="928"/>
        <w:jc w:val="center"/>
        <w:rPr>
          <w:rFonts w:hint="eastAsia" w:ascii="宋体" w:hAnsi="宋体" w:eastAsia="宋体" w:cs="宋体"/>
          <w:b/>
          <w:bCs/>
          <w:spacing w:val="-20"/>
        </w:rPr>
      </w:pPr>
      <w:r>
        <w:rPr>
          <w:rFonts w:hint="eastAsia" w:ascii="宋体" w:hAnsi="宋体" w:eastAsia="宋体" w:cs="宋体"/>
          <w:b/>
          <w:bCs/>
          <w:spacing w:val="-20"/>
        </w:rPr>
      </w:r>
      <w:r/>
    </w:p>
    <w:p>
      <w:pPr>
        <w:pStyle w:val="928"/>
        <w:jc w:val="center"/>
        <w:rPr>
          <w:rFonts w:hint="eastAsia" w:ascii="宋体" w:hAnsi="宋体" w:eastAsia="宋体" w:cs="宋体"/>
          <w:spacing w:val="-20"/>
        </w:rPr>
      </w:pPr>
      <w:r>
        <w:rPr>
          <w:rFonts w:hint="eastAsia" w:ascii="宋体" w:hAnsi="宋体" w:eastAsia="宋体" w:cs="宋体"/>
          <w:spacing w:val="-20"/>
        </w:rPr>
      </w:r>
      <w:r/>
    </w:p>
    <w:p>
      <w:pPr>
        <w:pStyle w:val="928"/>
        <w:jc w:val="center"/>
        <w:spacing w:line="66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财政部 政府采购货物买卖合同（试行）</w:t>
      </w:r>
      <w:r/>
    </w:p>
    <w:p>
      <w:pPr>
        <w:pStyle w:val="928"/>
        <w:jc w:val="center"/>
        <w:spacing w:line="66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范    本</w:t>
      </w:r>
      <w:r/>
    </w:p>
    <w:p>
      <w:pPr>
        <w:spacing w:line="660" w:lineRule="exact"/>
        <w:rPr>
          <w:rFonts w:hint="eastAsia" w:ascii="宋体" w:hAnsi="宋体" w:cs="宋体"/>
          <w:b/>
          <w:bCs/>
          <w:spacing w:val="-20"/>
          <w:sz w:val="28"/>
          <w:szCs w:val="28"/>
        </w:rPr>
      </w:pPr>
      <w:r>
        <w:rPr>
          <w:rFonts w:hint="eastAsia" w:ascii="宋体" w:hAnsi="宋体" w:cs="宋体"/>
          <w:b/>
          <w:bCs/>
          <w:spacing w:val="-20"/>
          <w:sz w:val="28"/>
          <w:szCs w:val="28"/>
        </w:rPr>
      </w:r>
      <w:r/>
    </w:p>
    <w:p>
      <w:pPr>
        <w:spacing w:line="660" w:lineRule="exact"/>
        <w:rPr>
          <w:rFonts w:hint="eastAsia" w:ascii="宋体" w:hAnsi="宋体" w:cs="宋体"/>
          <w:b/>
          <w:bCs/>
          <w:spacing w:val="-20"/>
          <w:sz w:val="28"/>
          <w:szCs w:val="28"/>
        </w:rPr>
      </w:pPr>
      <w:r>
        <w:rPr>
          <w:rFonts w:hint="eastAsia" w:ascii="宋体" w:hAnsi="宋体" w:cs="宋体"/>
          <w:b/>
          <w:bCs/>
          <w:spacing w:val="-20"/>
          <w:sz w:val="28"/>
          <w:szCs w:val="28"/>
        </w:rPr>
      </w:r>
      <w:r/>
    </w:p>
    <w:p>
      <w:pPr>
        <w:spacing w:line="660" w:lineRule="exact"/>
        <w:rPr>
          <w:rFonts w:hint="eastAsia" w:ascii="宋体" w:hAnsi="宋体" w:cs="宋体"/>
          <w:b/>
          <w:bCs/>
          <w:spacing w:val="-20"/>
          <w:sz w:val="28"/>
          <w:szCs w:val="28"/>
        </w:rPr>
      </w:pPr>
      <w:r>
        <w:rPr>
          <w:rFonts w:hint="eastAsia" w:ascii="宋体" w:hAnsi="宋体" w:cs="宋体"/>
          <w:b/>
          <w:bCs/>
          <w:spacing w:val="-20"/>
          <w:sz w:val="28"/>
          <w:szCs w:val="28"/>
        </w:rPr>
      </w:r>
      <w:r/>
    </w:p>
    <w:p>
      <w:pPr>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w:t>
      </w:r>
      <w:r/>
    </w:p>
    <w:p>
      <w:pPr>
        <w:ind w:left="420"/>
        <w:spacing w:line="660" w:lineRule="exact"/>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p>
    <w:p>
      <w:pPr>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    方：</w:t>
      </w:r>
      <w:r>
        <w:rPr>
          <w:rFonts w:hint="eastAsia" w:ascii="方正黑体_GBK" w:hAnsi="方正黑体_GBK" w:eastAsia="方正黑体_GBK" w:cs="方正黑体_GBK"/>
          <w:sz w:val="28"/>
          <w:szCs w:val="28"/>
          <w:u w:val="single"/>
        </w:rPr>
        <w:t xml:space="preserve">                             </w:t>
      </w:r>
      <w:r/>
    </w:p>
    <w:p>
      <w:pPr>
        <w:ind w:left="420"/>
        <w:spacing w:line="660" w:lineRule="exact"/>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    方：</w:t>
      </w:r>
      <w:r>
        <w:rPr>
          <w:rFonts w:hint="eastAsia" w:ascii="方正黑体_GBK" w:hAnsi="方正黑体_GBK" w:eastAsia="方正黑体_GBK" w:cs="方正黑体_GBK"/>
          <w:sz w:val="28"/>
          <w:szCs w:val="28"/>
          <w:u w:val="single"/>
        </w:rPr>
        <w:t xml:space="preserve">                             </w:t>
      </w:r>
      <w:r/>
    </w:p>
    <w:p>
      <w:pPr>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p>
    <w:p>
      <w:pPr>
        <w:rPr>
          <w:sz w:val="28"/>
          <w:szCs w:val="28"/>
        </w:rPr>
      </w:pPr>
      <w:r>
        <w:rPr>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 用 说 明</w:t>
      </w:r>
      <w:r/>
    </w:p>
    <w:p>
      <w:pPr>
        <w:ind w:firstLine="56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1.本合同标准文本适用于购买现成货物的采购项目，不包括需要供应商定制开发、创新研发的货物采购项目。</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2.本合同标准文本为政府采购货物买卖合同编制提供参考，可以结合采购项目具体情况，对文本作必要的调整修订后使用。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3.本合同标准文本各条款中，如涉及填写多家供应商、制造商，多种采购标的、分包主要内容等信息的，可根据采购项目具体情况添加信息项。</w:t>
      </w:r>
      <w:r/>
    </w:p>
    <w:p>
      <w:pPr>
        <w:ind w:firstLine="560"/>
        <w:rPr>
          <w:rFonts w:eastAsia="黑体"/>
          <w:sz w:val="28"/>
          <w:szCs w:val="28"/>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28"/>
          <w:szCs w:val="28"/>
        </w:rPr>
      </w:r>
      <w:r/>
    </w:p>
    <w:p>
      <w:pPr>
        <w:pStyle w:val="911"/>
        <w:spacing w:line="400" w:lineRule="exact"/>
        <w:rPr>
          <w:rFonts w:hint="eastAsia" w:ascii="黑体" w:hAnsi="华文中宋" w:eastAsia="黑体"/>
          <w:b/>
          <w:bCs/>
          <w:color w:val="auto"/>
          <w:sz w:val="28"/>
          <w:szCs w:val="28"/>
        </w:rPr>
      </w:pPr>
      <w:r>
        <w:rPr>
          <w:rFonts w:hint="eastAsia" w:ascii="黑体" w:hAnsi="黑体" w:eastAsia="黑体"/>
          <w:b/>
          <w:bCs/>
          <w:color w:val="auto"/>
          <w:sz w:val="28"/>
          <w:szCs w:val="28"/>
        </w:rPr>
        <w:t xml:space="preserve">第一节 </w:t>
      </w:r>
      <w:r>
        <w:rPr>
          <w:rFonts w:hint="eastAsia" w:ascii="黑体" w:hAnsi="华文中宋" w:eastAsia="黑体"/>
          <w:b/>
          <w:bCs/>
          <w:color w:val="auto"/>
          <w:sz w:val="28"/>
          <w:szCs w:val="28"/>
        </w:rPr>
        <w:t xml:space="preserve">政府采购合同协议书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（采购人、受采购人委托签订合同的单位或采购文件约定的合同甲方）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乙方1（全称）: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乙方2（全称）: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乙方3（全称）: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p>
    <w:p>
      <w:pPr>
        <w:pStyle w:val="929"/>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1.项目信息</w:t>
      </w:r>
      <w:r/>
    </w:p>
    <w:p>
      <w:pPr>
        <w:pStyle w:val="929"/>
        <w:numPr>
          <w:ilvl w:val="0"/>
          <w:numId w:val="3"/>
        </w:numPr>
        <w:ind w:left="0" w:firstLine="560"/>
        <w:spacing w:after="0"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采购项目名称：</w:t>
      </w:r>
      <w:r>
        <w:rPr>
          <w:rFonts w:hint="eastAsia" w:ascii="方正仿宋_GBK" w:hAnsi="方正仿宋_GBK" w:eastAsia="方正仿宋_GBK" w:cs="方正仿宋_GBK"/>
          <w:sz w:val="28"/>
          <w:szCs w:val="28"/>
          <w:u w:val="single"/>
        </w:rPr>
        <w:t xml:space="preserve">                                          </w:t>
      </w:r>
      <w:r/>
    </w:p>
    <w:p>
      <w:pPr>
        <w:pStyle w:val="929"/>
        <w:ind w:left="0" w:firstLine="560"/>
        <w:spacing w:after="0" w:line="400" w:lineRule="exact"/>
        <w:tabs>
          <w:tab w:val="left" w:pos="999"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采购项目编号：</w:t>
      </w:r>
      <w:r>
        <w:rPr>
          <w:rFonts w:hint="eastAsia" w:ascii="方正仿宋_GBK" w:hAnsi="方正仿宋_GBK" w:eastAsia="方正仿宋_GBK" w:cs="方正仿宋_GBK"/>
          <w:sz w:val="28"/>
          <w:szCs w:val="28"/>
          <w:u w:val="single"/>
        </w:rPr>
        <w:t xml:space="preserve">                                          </w:t>
      </w:r>
      <w:r/>
    </w:p>
    <w:p>
      <w:pPr>
        <w:pStyle w:val="929"/>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（2）采购计划编号：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（3）项目内容：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采购标的及数量（台/套</w:t>
      </w:r>
      <w:r>
        <w:rPr>
          <w:rFonts w:hint="eastAsia" w:ascii="方正仿宋_GBK" w:hAnsi="方正仿宋_GBK" w:eastAsia="方正仿宋_GBK" w:cs="方正仿宋_GBK"/>
          <w:sz w:val="28"/>
          <w:szCs w:val="28"/>
          <w:lang w:val="en"/>
        </w:rPr>
        <w:t xml:space="preserve">/个/架/组等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采购标的的技术要求、商务要求具体见附件。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①涉及信息类产品，请填写该产品关键部件的品牌、型号：</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（注：关键部件是指财政部会同有关部门发布的政府采购需求标准规定的需要通过国家有关部门指定的测评机构开展的安全可靠测评的软硬件，如CPU芯片、操作系统、数据库等。）</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②涉及车辆采购，请填写是否属于新能源汽车：</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4</w:t>
      </w:r>
      <w:r>
        <w:rPr>
          <w:rFonts w:hint="eastAsia" w:ascii="方正仿宋_GBK" w:hAnsi="方正仿宋_GBK" w:eastAsia="方正仿宋_GBK" w:cs="方正仿宋_GBK"/>
          <w:sz w:val="28"/>
          <w:szCs w:val="28"/>
        </w:rPr>
        <w:t xml:space="preserve">）政府采购组织形式：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政府集中采购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部门集中采购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分散采购</w:t>
      </w:r>
      <w:r/>
    </w:p>
    <w:p>
      <w:pPr>
        <w:pStyle w:val="1033"/>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5</w:t>
      </w:r>
      <w:r>
        <w:rPr>
          <w:rFonts w:hint="eastAsia" w:ascii="方正仿宋_GBK" w:hAnsi="方正仿宋_GBK" w:eastAsia="方正仿宋_GBK" w:cs="方正仿宋_GBK"/>
          <w:sz w:val="28"/>
          <w:szCs w:val="28"/>
        </w:rPr>
        <w:t xml:space="preserve">）政府采购方式：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公开招标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邀请招标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竞争性谈判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竞争性磋商</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询价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单一来源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框架协议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u w:val="single"/>
        </w:rPr>
        <w:t xml:space="preserve">          </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（注：在框架协议采购的第二阶段，可选择使用该合同文本）</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若本项目不专门面向中小企业采购，是否给予小微企业评审优惠：</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中标（成交）采购标的制造商是否为残疾人福利性单位：</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中标（成交）采购标的制造商是否为监狱企业：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7</w:t>
      </w:r>
      <w:r>
        <w:rPr>
          <w:rFonts w:hint="eastAsia" w:ascii="方正仿宋_GBK" w:hAnsi="方正仿宋_GBK" w:eastAsia="方正仿宋_GBK" w:cs="方正仿宋_GBK"/>
          <w:sz w:val="28"/>
          <w:szCs w:val="28"/>
        </w:rPr>
        <w:t xml:space="preserve">）合同是否分包：</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分包主要内容：</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分包供应商/制造商名称（如供应商和制造商不同，请分别填写）：</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分包供应商/制造商类型（如果供应商和制造商不同，只填写制造商类型）：</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大型企业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中型企业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小微型企业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残疾人福利性单位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监狱企业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其他</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8</w:t>
      </w:r>
      <w:r>
        <w:rPr>
          <w:rFonts w:hint="eastAsia" w:ascii="方正仿宋_GBK" w:hAnsi="方正仿宋_GBK" w:eastAsia="方正仿宋_GBK"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pStyle w:val="1033"/>
        <w:ind w:firstLine="560"/>
        <w:tabs>
          <w:tab w:val="left" w:pos="134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外商投资企业类型：</w:t>
      </w:r>
      <w:r>
        <w:rPr>
          <w:rFonts w:ascii="Wingdings" w:hAnsi="Wingdings" w:eastAsia="Wingdings" w:cs="Wingdings"/>
          <w:iCs/>
          <w:sz w:val="28"/>
          <w:szCs w:val="28"/>
        </w:rPr>
        <w:t xml:space="preserve">¨</w:t>
      </w:r>
      <w:r>
        <w:rPr>
          <w:rFonts w:hint="eastAsia" w:ascii="方正仿宋_GBK" w:hAnsi="方正仿宋_GBK" w:eastAsia="方正仿宋_GBK" w:cs="方正仿宋_GBK"/>
          <w:sz w:val="28"/>
          <w:szCs w:val="28"/>
        </w:rPr>
        <w:t xml:space="preserve">全部由外国投资者投资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部分由外国投资者投资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9</w:t>
      </w:r>
      <w:r>
        <w:rPr>
          <w:rFonts w:hint="eastAsia" w:ascii="方正仿宋_GBK" w:hAnsi="方正仿宋_GBK" w:eastAsia="方正仿宋_GBK" w:cs="方正仿宋_GBK"/>
          <w:sz w:val="28"/>
          <w:szCs w:val="28"/>
        </w:rPr>
        <w:t xml:space="preserve">）是否涉及进口产品：</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0</w:t>
      </w:r>
      <w:r>
        <w:rPr>
          <w:rFonts w:hint="eastAsia" w:ascii="方正仿宋_GBK" w:hAnsi="方正仿宋_GBK" w:eastAsia="方正仿宋_GBK" w:cs="方正仿宋_GBK"/>
          <w:sz w:val="28"/>
          <w:szCs w:val="28"/>
        </w:rPr>
        <w:t xml:space="preserve">）是否涉及节能产品：</w:t>
      </w:r>
      <w:r/>
    </w:p>
    <w:p>
      <w:pPr>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是否涉及环境标志产品：</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是否涉及绿色产品： </w:t>
      </w:r>
      <w:r/>
    </w:p>
    <w:p>
      <w:pPr>
        <w:pStyle w:val="1033"/>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是，绿色产品政府采购相关政策确定的底级品目名称：</w:t>
      </w:r>
      <w:r>
        <w:rPr>
          <w:rFonts w:hint="eastAsia" w:ascii="方正仿宋_GBK" w:hAnsi="方正仿宋_GBK" w:eastAsia="方正仿宋_GBK" w:cs="方正仿宋_GBK"/>
          <w:sz w:val="28"/>
          <w:szCs w:val="28"/>
          <w:u w:val="single"/>
        </w:rPr>
        <w:t xml:space="preserve">         </w:t>
      </w:r>
      <w:r/>
    </w:p>
    <w:p>
      <w:pPr>
        <w:pStyle w:val="1033"/>
        <w:ind w:firstLine="560"/>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pStyle w:val="1033"/>
        <w:ind w:firstLine="840"/>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1</w:t>
      </w:r>
      <w:r>
        <w:rPr>
          <w:rFonts w:hint="eastAsia" w:ascii="方正仿宋_GBK" w:hAnsi="方正仿宋_GBK" w:eastAsia="方正仿宋_GBK" w:cs="方正仿宋_GBK"/>
          <w:sz w:val="28"/>
          <w:szCs w:val="28"/>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不涉及</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2.合同金额</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（1）合同金额小写：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分包金额（如有）小写：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（注：固定单价合同应填写单价和最高限价）</w:t>
      </w:r>
      <w:r/>
    </w:p>
    <w:p>
      <w:pPr>
        <w:ind w:left="42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合同定价方式（采用组合定价方式的，可以勾选多项）：</w:t>
      </w:r>
      <w:r/>
    </w:p>
    <w:p>
      <w:pPr>
        <w:ind w:firstLine="560"/>
        <w:spacing w:line="400" w:lineRule="exact"/>
        <w:rPr>
          <w:sz w:val="28"/>
          <w:szCs w:val="28"/>
        </w:rPr>
      </w:pPr>
      <w:r>
        <w:rPr>
          <w:rFonts w:hint="eastAsia" w:ascii="方正仿宋_GBK" w:hAnsi="方正仿宋_GBK" w:eastAsia="方正仿宋_GBK" w:cs="方正仿宋_GBK"/>
          <w:sz w:val="28"/>
          <w:szCs w:val="28"/>
        </w:rPr>
        <w:t xml:space="preserve">（2）</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固定总价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固定单价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固定费率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成本补偿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绩效激励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     </w:t>
      </w:r>
      <w:r>
        <w:rPr>
          <w:rFonts w:hint="eastAsia"/>
          <w:sz w:val="28"/>
          <w:szCs w:val="28"/>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（3）付款方式（按项目实际勾选填写）：</w:t>
      </w:r>
      <w:r/>
    </w:p>
    <w:p>
      <w:pPr>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全额付款：</w:t>
      </w:r>
      <w:r>
        <w:rPr>
          <w:rFonts w:hint="eastAsia" w:ascii="方正仿宋_GBK" w:hAnsi="方正仿宋_GBK" w:eastAsia="方正仿宋_GBK" w:cs="方正仿宋_GBK"/>
          <w:sz w:val="28"/>
          <w:szCs w:val="28"/>
          <w:u w:val="single"/>
        </w:rPr>
        <w:t xml:space="preserve">   （应明确一次性支付合同款项的条件）                    </w:t>
      </w:r>
      <w:r/>
    </w:p>
    <w:p>
      <w:pPr>
        <w:ind w:firstLine="56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分期付款：</w:t>
      </w:r>
      <w:r>
        <w:rPr>
          <w:rFonts w:hint="eastAsia" w:ascii="方正仿宋_GBK" w:hAnsi="方正仿宋_GBK" w:eastAsia="方正仿宋_GBK" w:cs="方正仿宋_GBK"/>
          <w:sz w:val="28"/>
          <w:szCs w:val="28"/>
          <w:u w:val="single"/>
        </w:rPr>
        <w:t xml:space="preserve">   （应明确分期支付合同款项的各期比例和支付条件，各期支付条件应与分期履约验收情况挂钩） </w:t>
      </w:r>
      <w:r>
        <w:rPr>
          <w:rFonts w:hint="eastAsia" w:ascii="方正仿宋_GBK" w:hAnsi="方正仿宋_GBK" w:eastAsia="方正仿宋_GBK" w:cs="方正仿宋_GBK"/>
          <w:sz w:val="28"/>
          <w:szCs w:val="28"/>
        </w:rPr>
        <w:t xml:space="preserve">，其中涉及预付款的：</w:t>
      </w:r>
      <w:r>
        <w:rPr>
          <w:rFonts w:hint="eastAsia" w:ascii="方正仿宋_GBK" w:hAnsi="方正仿宋_GBK" w:eastAsia="方正仿宋_GBK" w:cs="方正仿宋_GBK"/>
          <w:sz w:val="28"/>
          <w:szCs w:val="28"/>
          <w:u w:val="single"/>
        </w:rPr>
        <w:t xml:space="preserve"> （应明确预付款的支付比例和支付条件） </w:t>
      </w:r>
      <w:r/>
    </w:p>
    <w:p>
      <w:pPr>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成本补偿：      （应明确按照成本补偿方式的支付方式和支付条件）   </w:t>
      </w:r>
      <w:r/>
    </w:p>
    <w:p>
      <w:pPr>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绩效激励：      （应明确按照绩效激励方式的支付方式和支付条件）   </w:t>
      </w:r>
      <w:r/>
    </w:p>
    <w:p>
      <w:pPr>
        <w:ind w:firstLine="560"/>
        <w:spacing w:line="400" w:lineRule="exact"/>
        <w:rPr>
          <w:rFonts w:hint="eastAsia"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rPr>
        <w:t xml:space="preserve">3.合同履行</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（2）履约地点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（3）履约担保：</w:t>
      </w:r>
      <w:r>
        <w:rPr>
          <w:rFonts w:hint="eastAsia" w:ascii="方正仿宋_GBK" w:hAnsi="方正仿宋_GBK" w:eastAsia="方正仿宋_GBK" w:cs="方正仿宋_GBK"/>
          <w:sz w:val="28"/>
          <w:szCs w:val="28"/>
        </w:rPr>
        <w:t xml:space="preserve">是否收取履约保证金：</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t xml:space="preserve">收取履约保证金形式：</w:t>
      </w:r>
      <w:r>
        <w:rPr>
          <w:rFonts w:hint="eastAsia" w:ascii="方正仿宋_GBK" w:hAnsi="方正仿宋_GBK" w:eastAsia="方正仿宋_GBK" w:cs="方正仿宋_GBK"/>
          <w:bCs/>
          <w:sz w:val="28"/>
          <w:szCs w:val="28"/>
          <w:u w:val="single"/>
        </w:rPr>
        <w:t xml:space="preserve">                            </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收取履约保证金金额：</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履约担保期限：</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（4）分期履行要求：</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宋体" w:hAnsi="宋体" w:cs="宋体"/>
          <w:sz w:val="28"/>
          <w:szCs w:val="28"/>
          <w:u w:val="single"/>
        </w:rPr>
      </w:pPr>
      <w:r>
        <w:rPr>
          <w:rFonts w:hint="eastAsia" w:ascii="方正仿宋_GBK" w:hAnsi="方正仿宋_GBK" w:eastAsia="方正仿宋_GBK" w:cs="方正仿宋_GBK"/>
          <w:bCs/>
          <w:sz w:val="28"/>
          <w:szCs w:val="28"/>
        </w:rPr>
        <w:t xml:space="preserve">（5）风险处置措施和替代方案：</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4.合同验收</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（1）验收组织方式：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自行组织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是否邀请本项目的其他供应商参加验收：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是否邀请服务对象参加验收：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是否进行抽查检测：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是否存在破坏性检测：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u w:val="single"/>
        </w:rPr>
        <w:t xml:space="preserve">（应明确对被破坏的检测产品的处理方式）</w:t>
      </w:r>
      <w:r/>
    </w:p>
    <w:p>
      <w:pPr>
        <w:ind w:firstLine="560"/>
        <w:spacing w:line="400" w:lineRule="exact"/>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（2）履约验收时间：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（3）履约验收方式：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一次性验收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（4）履约验收程序：</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（5）履约验收的内容：</w:t>
      </w:r>
      <w:r>
        <w:rPr>
          <w:rFonts w:hint="eastAsia" w:ascii="方正仿宋_GBK" w:hAnsi="方正仿宋_GBK" w:eastAsia="方正仿宋_GBK" w:cs="方正仿宋_GBK"/>
          <w:bCs/>
          <w:sz w:val="28"/>
          <w:szCs w:val="28"/>
          <w:u w:val="single"/>
        </w:rPr>
        <w:t xml:space="preserve"> （应当包括每一项技术和商务要求的履约情况，特别是落实政府采购扶持中小企业，支持绿色发展和乡村振兴等政策情况）                                      </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（6）履约验收标准：</w:t>
      </w:r>
      <w:r>
        <w:rPr>
          <w:rFonts w:hint="eastAsia" w:ascii="方正仿宋_GBK" w:hAnsi="方正仿宋_GBK" w:eastAsia="方正仿宋_GBK" w:cs="方正仿宋_GBK"/>
          <w:bCs/>
          <w:sz w:val="28"/>
          <w:szCs w:val="28"/>
          <w:u w:val="single"/>
        </w:rPr>
        <w:t xml:space="preserve">                                         </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（8）履约验收其他事项：</w:t>
      </w:r>
      <w:r>
        <w:rPr>
          <w:rFonts w:hint="eastAsia" w:ascii="方正仿宋_GBK" w:hAnsi="方正仿宋_GBK" w:eastAsia="方正仿宋_GBK" w:cs="方正仿宋_GBK"/>
          <w:bCs/>
          <w:sz w:val="28"/>
          <w:szCs w:val="28"/>
          <w:u w:val="single"/>
        </w:rPr>
        <w:t xml:space="preserve">      （产权过户登记等）          </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5.组成合同的文件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本协议书与下列文件一起构成合同文件，如下述文件之间有任何抵触、矛盾或歧义，应按以下顺序解释：</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（1）政府采购合同协议书及其变更、补充协议</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（2）政府采购合同专用条款</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（3）政府采购合同通用条款</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（4）中标（成交）通知书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（5）投标（响应）文件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（6）采购文件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（7）有关技术文件，图纸</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t xml:space="preserve">国家法律、行政法规和规章制度规定或合同约定的作为合同组成部分的其他文件</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6.合同生效</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生效。</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7.合同份数</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份，均具有同等法律效力。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合同订立地点：</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r/>
    </w:p>
    <w:p>
      <w:pPr>
        <w:pStyle w:val="1002"/>
        <w:spacing w:line="400" w:lineRule="exact"/>
        <w:rPr>
          <w:sz w:val="28"/>
          <w:szCs w:val="28"/>
          <w:lang w:eastAsia="zh-CN"/>
        </w:rPr>
      </w:pPr>
      <w:r>
        <w:rPr>
          <w:sz w:val="28"/>
          <w:szCs w:val="28"/>
          <w:lang w:eastAsia="zh-CN"/>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958"/>
        <w:gridCol w:w="2901"/>
        <w:gridCol w:w="1644"/>
        <w:gridCol w:w="2202"/>
      </w:tblGrid>
      <w:tr>
        <w:trPr>
          <w:trHeight w:val="490"/>
        </w:trPr>
        <w:tc>
          <w:tcPr>
            <w:gridSpan w:val="2"/>
            <w:tcBorders>
              <w:bottom w:val="single" w:color="auto" w:sz="2" w:space="0"/>
              <w:right w:val="single" w:color="auto" w:sz="2" w:space="0"/>
            </w:tcBorders>
            <w:tcW w:w="2791"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p>
        </w:tc>
        <w:tc>
          <w:tcPr>
            <w:gridSpan w:val="2"/>
            <w:tcBorders>
              <w:left w:val="single" w:color="auto" w:sz="2" w:space="0"/>
              <w:bottom w:val="single" w:color="auto" w:sz="2" w:space="0"/>
            </w:tcBorders>
            <w:tcW w:w="2208"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p>
        </w:tc>
      </w:tr>
      <w:tr>
        <w:trPr>
          <w:trHeight w:val="917"/>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1171"/>
        </w:trPr>
        <w:tc>
          <w:tcPr>
            <w:tcBorders>
              <w:top w:val="single" w:color="auto" w:sz="2" w:space="0"/>
              <w:right w:val="single" w:color="auto" w:sz="2" w:space="0"/>
            </w:tcBorders>
            <w:tcW w:w="1125" w:type="pct"/>
            <w:vAlign w:val="center"/>
            <w:vMerge w:val="restart"/>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ind w:firstLine="1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Borders>
              <w:top w:val="single" w:color="auto" w:sz="2" w:space="0"/>
              <w:left w:val="single" w:color="auto" w:sz="2" w:space="0"/>
              <w:right w:val="single" w:color="auto" w:sz="2" w:space="0"/>
            </w:tcBorders>
            <w:tcW w:w="1666" w:type="pct"/>
            <w:vAlign w:val="center"/>
            <w:vMerge w:val="restart"/>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483"/>
        </w:trPr>
        <w:tc>
          <w:tcPr>
            <w:tcBorders>
              <w:bottom w:val="single" w:color="auto" w:sz="2" w:space="0"/>
              <w:right w:val="single" w:color="auto" w:sz="2" w:space="0"/>
            </w:tcBorders>
            <w:tcW w:w="1125" w:type="pct"/>
            <w:vAlign w:val="center"/>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left w:val="single" w:color="auto" w:sz="2" w:space="0"/>
              <w:bottom w:val="single" w:color="auto" w:sz="2" w:space="0"/>
              <w:right w:val="single" w:color="auto" w:sz="2" w:space="0"/>
            </w:tcBorders>
            <w:tcW w:w="1666" w:type="pct"/>
            <w:vAlign w:val="center"/>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586"/>
        </w:trPr>
        <w:tc>
          <w:tcPr>
            <w:gridSpan w:val="4"/>
            <w:tcBorders>
              <w:top w:val="single" w:color="auto" w:sz="2" w:space="0"/>
            </w:tcBorders>
            <w:tcW w:w="5000" w:type="pct"/>
            <w:vAlign w:val="center"/>
            <w:textDirection w:val="lrTb"/>
            <w:noWrap w:val="false"/>
          </w:tcPr>
          <w:p>
            <w:pPr>
              <w:pStyle w:val="929"/>
              <w:ind w:left="0"/>
              <w:jc w:val="left"/>
              <w:spacing w:before="156" w:after="0"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p>
        </w:tc>
      </w:tr>
    </w:tbl>
    <w:p>
      <w:pPr>
        <w:pStyle w:val="911"/>
        <w:spacing w:line="400" w:lineRule="exact"/>
        <w:rPr>
          <w:rFonts w:hint="eastAsia" w:ascii="黑体" w:hAnsi="黑体" w:eastAsia="黑体"/>
          <w:color w:val="auto"/>
          <w:sz w:val="28"/>
          <w:szCs w:val="28"/>
        </w:rPr>
      </w:pPr>
      <w:r>
        <w:rPr>
          <w:rFonts w:ascii="宋体" w:hAnsi="宋体"/>
          <w:color w:val="auto"/>
          <w:sz w:val="28"/>
          <w:szCs w:val="28"/>
          <w:u w:val="single"/>
        </w:rPr>
        <w:br w:type="page" w:clear="all"/>
      </w:r>
      <w:r>
        <w:rPr>
          <w:rFonts w:hint="eastAsia" w:ascii="黑体" w:hAnsi="黑体" w:eastAsia="黑体"/>
          <w:b/>
          <w:bCs/>
          <w:color w:val="auto"/>
          <w:sz w:val="28"/>
          <w:szCs w:val="28"/>
        </w:rPr>
        <w:t xml:space="preserve">第二节 政府采购合同通用条款</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定义</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1.1合同当事人</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（1）采购人（以下称甲方）是指使用财政性资金，通过政府采购方式向供应商购买货物及其相关服务的国家机关、事业单位、团体组织。</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（2）供应商（以下称乙方）是指参加政府采购活动并且中标（成交），向采购人提供合同约定的货物及其相关服务的法人、非法人组织或者自然人。</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（3）其他合同主体是指除采购人和供应商以外，依法参与合同缔结或履行，享有权利、承担义务的合同当事人。</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1.2本合同下列术语应解释为：</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（2）“合同价款”系指根据本合同规定乙方在全面履行合同义务后甲方应支付给乙方的价款。</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技术资料和材料等。</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（4）“相关服务”系指根据合同规定，乙方应提供的与货物有关的技术、管理和</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义务。</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（5）“分包”系指中标（成交）供应商按采购文件、投标（响应）文件的规定，根据分包意向协议，将中标（成交）项目中的部分履约内容，分给具有相应资质条件的供应商履行合同的行为。</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w:t>
      </w:r>
      <w:r>
        <w:rPr>
          <w:rFonts w:hint="eastAsia" w:ascii="方正仿宋_GBK" w:hAnsi="方正仿宋_GBK" w:eastAsia="方正仿宋_GBK" w:cs="方正仿宋_GBK"/>
          <w:sz w:val="28"/>
          <w:szCs w:val="28"/>
        </w:rPr>
        <w:t xml:space="preserve">工作分工、权利、义务、责任，联合体各方应共同与甲方签订合同，就合同约定的事项对甲方承担连带责任。联合体具体要求见【政府采购合同专用条款】。</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（7）其他术语解释，见【政府采购合同专用条款】。</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合同标的及金额</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任何费用。</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履行合同的时间、地点和方式</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乙方应当在约定的时间、地点，按照约定方式履行合同。</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甲方的权利和义务</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甲方有权要求乙方按时提交各阶段有关安排计划，并有权定期核对乙方提供货物数量、规格、质量等内容。甲方有权督促乙方工作并要求乙方更换不符合要求的货物。</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甲方有权要求乙方对缺陷部分予以修复，并按合同约定享有货物保修及其他合同约定的权利。</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甲方应当按照合同约定及时对交付的货物进行验收，未在【政府采购合同专用条款】约定的期限内对乙方履约提出任何异议或者向乙方作出任何说明的，视为验收通过。</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 甲方应当根据合同约定及时向乙方支付合同价款，不得以内部人员变更、履行内部付款流程等为由，拒绝或迟延支付。</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 国家法律法规规定及【政府采购合同专用条款】约定应由甲方承担的其他义务和责任。</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乙方的权利和义务</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签署合同后，乙方应确定项目负责人（或项目联系人），负责与本合同有关的事务。</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5.3乙方有权根据合同约定向甲方收取合同价款。</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5.4国家法律法规规定及【政府采购合同专用条款】约定应由乙方承担的其他义务和责任。</w:t>
      </w:r>
      <w:r/>
    </w:p>
    <w:p>
      <w:pPr>
        <w:pStyle w:val="1033"/>
        <w:numPr>
          <w:ilvl w:val="0"/>
          <w:numId w:val="4"/>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合同履行</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甲乙双方应当按照【政府采购合同专用条款】约定顺序履行合同义务；如果没有先后顺序的，应当同时履行。</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 货物包装、运输、保险和交付要求</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除【政府采购合同专用条款】另有约定外，乙方负责办理将货物运抵本合同规定的交货地点，并装卸、交付至甲方的一切运输事项，相关费用应包含在合同价款中。</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货物保险要求按【政府采购合同专用条款】规定执行。</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乙方在运输到达之前应提前通知甲方，并提示货物运输装卸的注意事项，甲方配合乙方做好货物的接收工作。</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 如因包装、运输问题导致货物损毁、丢失或者品质下降，甲方有权要求降价、换货、拒收部分或整批货物，由此产生的费用和损失，均由乙方承担。</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 质量标准和保证</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 质量标准</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w:t>
      </w:r>
      <w:r>
        <w:rPr>
          <w:rFonts w:hint="eastAsia" w:ascii="方正仿宋_GBK" w:hAnsi="方正仿宋_GBK" w:eastAsia="方正仿宋_GBK" w:cs="方正仿宋_GBK"/>
          <w:sz w:val="28"/>
          <w:szCs w:val="28"/>
        </w:rPr>
        <w:t xml:space="preserve">推荐性国家标准的，按照行业标准履行；没有国家标准、行业标准的，按照通常标准或者符合合同目的的特定标准履行。</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（2）采用中华人民共和国法定计量单位。</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（3）乙方所提供的货物应符合国家有关安全、环保、卫生的规定。</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（4）乙方应向甲方提交所提供货物的技术文件，包括相应的中文技术文件，如：产品目录、图纸、操作手册、使用说明、维护手册或服务指南等。上述文件应包装好随货物一同发运。</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 保证</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（2）在质量保证期内所发现的缺陷，甲方应尽快以书面形式通知乙方。</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（3）乙方收到通知后，应在【政府采购合同专用条款】规定的响应时间内以合理的速度免费维修或更换有缺陷的货物或部件。</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（5）乙方在约定的时间内未能弥补缺陷，甲方可采取必要的补救措施，但其风险和费用将由乙方承担，甲方根据合同约定对乙方行使的其他权利不受影响。</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 权利瑕疵担保</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 乙方保证对其出售的货物享有合法的权利。</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乙方保证在交付的货物上不存在抵押权等担保物权。</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 如甲方使用上述货物构成对第三人侵权的，则由乙方承担全部责任。</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 知识产权保护</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乙方对其所销售的货物应当享有知识产权或经权利人合法授权，保证没有侵犯任何第三人的知识产权等权利。因违反前述约定对第</w:t>
      </w:r>
      <w:r>
        <w:rPr>
          <w:rFonts w:hint="eastAsia" w:ascii="方正仿宋_GBK" w:hAnsi="方正仿宋_GBK" w:eastAsia="方正仿宋_GBK" w:cs="方正仿宋_GBK"/>
          <w:sz w:val="28"/>
          <w:szCs w:val="28"/>
        </w:rPr>
        <w:t xml:space="preserve">三人构成侵权的，应当由乙方向第三人承担法律责任；甲方依法向第三人赔偿后，有权向乙方追偿。甲方有其他损失的，乙方应当赔偿。</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保密义务</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合同价款支付</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合同价款支付按照国库集中支付制度及财政管理相关规定执行。</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履约保证金</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 乙方应当以支票、汇票、本票或者金融机构、担保机构出具的保函等非现金形式提交。</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售后服务</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除项目不涉及或采购活动中明确约定无须承担外，乙方还应提供下列服务：</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（1）货物的现场移动、安装、调试、启动监督及技术支持；</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（2）提供货物组装和维修所需的专用工具和辅助材料；</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（3）在【政府采购合同专用条款】约定的期限内对所有的货物实施运行监督、维修，但前提条件是该服务并不能免除乙方在质量保证期内所承担的义务；</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（4）在制造商所在地或指定现场就货物的安装、启动、运营、维护、废弃处置等对甲方操作人员进行培训；</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（5）依照法律、行政法规的规定或者按照【政府采购合同专用条款】约定，货物在有效使用年限届满后应予回收的，乙方负有自行或者委托第三人对货物予以回收的义务；</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（6）【政府采购合同专用条款】规定由乙方提供的其他服务。</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 乙方提供的售后服务的费用已包含在合同价款中，甲方不再另行支付。</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违约责任</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15.1质量瑕疵的违约责任</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15.2 迟延交货的违约责任</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15.3 迟延支付的违约责任</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甲方存在迟延支付乙方合同款项的，应当承担【政府采购合同专用条款】规定的逾期付款利息。</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15.4其他违约责任根据项目实际需要按【政府采购合同专用条款】规定执行。</w:t>
      </w:r>
      <w:r/>
    </w:p>
    <w:p>
      <w:pPr>
        <w:pStyle w:val="1033"/>
        <w:numPr>
          <w:ilvl w:val="0"/>
          <w:numId w:val="5"/>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合同变更、中止与终止</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16.1合同的变更</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政府采购合同履行中，在不改变合同其他条款的前提下，甲方可以在合同价款10%的范围内追加与合同标的相同的货物，并就此与乙方协商一致后签订补充协议。</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16.2合同的中止</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（1）合同履行过程中因供应商就采购文件、采购过程或结果提起投诉的，甲方认为有必要的，可以中止合同的履行。</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（4）甲方不得以行政区划调整、政府换届、机构或者职能调整以及相关责任人更替为由中止合同。</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16.3合同的终止</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（1）合同因有效期限届满而终止；</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（2）乙方未按合同约定履行，构成根本性违约的，甲方有权终止合同，并追究乙方的违约责任。</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涉及国家利益、社会公共利益的情形</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政府采购合同继续履行将损害国家利益和社会公共利益的，双方当事人应当变更、中止或者终止合同。有过错的一方应当承担赔偿责任，双方都有过错的，各自承担相应的责任。</w:t>
      </w:r>
      <w:r/>
    </w:p>
    <w:p>
      <w:pPr>
        <w:pStyle w:val="1033"/>
        <w:numPr>
          <w:ilvl w:val="0"/>
          <w:numId w:val="6"/>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合同分包</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 乙方不得将合同转包给其他供应商。涉及合同分包的，乙方应根据采购文件和投标（响应）文件规定进行合同分包。</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17.2 乙方执行政府采购政策向中小企业依法分包的，乙方应当按采购文件和投标（响应）文件签订分包意向协议，分包意向协议属于本合同组成部分。</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 不可抗力</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不可抗力是指合同双方不能预见、不能避免且不能克服的客观情况。</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任何一方对由于不可抗力造成的部分或全部不能履行合同不承担违约责任。但迟延履行后发生不可抗力的，不能免除责任。</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 解决争议的方法</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 如甲乙双方有争议的事项不影响合同其他部分的履行，在争议解决期间，合同其他部分应当继续履行。</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 政府采购政策</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 xml:space="preserve">本合同应当按照规定执行政府采购政策。</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lang w:val="en-GB"/>
        </w:rPr>
        <w:t xml:space="preserve">未按规定要求执行政府采购政策造成损失的</w:t>
      </w:r>
      <w:r>
        <w:rPr>
          <w:rFonts w:hint="eastAsia" w:ascii="方正仿宋_GBK" w:hAnsi="方正仿宋_GBK" w:eastAsia="方正仿宋_GBK" w:cs="方正仿宋_GBK"/>
          <w:sz w:val="28"/>
          <w:szCs w:val="28"/>
        </w:rPr>
        <w:t xml:space="preserve">，有过错的一方应当承担赔偿责任，双方都有过错的，各自承担相应的责任。</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法律适用</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本合同的订立、生效、解释、履行及与本合同有关的争议解决，均适用法律、行政法规。</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本合同条款与法律、行政法规的强制性规定不一致的，双方当事人应按照法律、行政法规的强制性规定修改本合同的相关条款。</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通知</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 本合同任何一方向对方发出的通知、信件、数据电文等，应当发送至本合同第一部分《政府采购合同协议书》所约定的通讯地址、联系人、联系电话或电子邮箱。</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 一方当事人变更名称、住所、联系人、联系电话或电子邮箱等信息的，应当在变更后3日内及时书面通知对方，对方实际收到变更通知前的送达仍为有效送达。</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22.3本合同一方给另一方的通知均应采用书面形式，传真或快递送到本合同中规定的对方的地址和办理签收手续。</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22.4通知以送达之日或通知书中规定的生效之日起生效，两者中以较迟之日为准。</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 合同未尽事项</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23.1合同未尽事项见【政府采购合同专用条款】。</w:t>
      </w:r>
      <w:r/>
    </w:p>
    <w:p>
      <w:pPr>
        <w:pStyle w:val="1033"/>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23.2合同附件与合同正文具有同等的法律效力。</w:t>
      </w:r>
      <w:r/>
    </w:p>
    <w:p>
      <w:pPr>
        <w:pStyle w:val="911"/>
        <w:spacing w:line="400" w:lineRule="exact"/>
        <w:rPr>
          <w:rFonts w:hint="eastAsia" w:ascii="黑体" w:hAnsi="华文中宋" w:eastAsia="黑体"/>
          <w:b/>
          <w:bCs/>
          <w:color w:val="auto"/>
          <w:sz w:val="28"/>
          <w:szCs w:val="28"/>
        </w:rPr>
      </w:pPr>
      <w:r>
        <w:rPr>
          <w:rFonts w:hint="eastAsia" w:ascii="黑体" w:hAnsi="华文中宋" w:eastAsia="黑体"/>
          <w:color w:val="auto"/>
          <w:sz w:val="28"/>
          <w:szCs w:val="28"/>
        </w:rPr>
        <w:br w:type="page" w:clear="all"/>
      </w:r>
      <w:r>
        <w:rPr>
          <w:rFonts w:hint="eastAsia" w:ascii="黑体" w:hAnsi="黑体" w:eastAsia="黑体"/>
          <w:b/>
          <w:bCs/>
          <w:color w:val="auto"/>
          <w:sz w:val="28"/>
          <w:szCs w:val="28"/>
        </w:rPr>
        <w:t xml:space="preserve">第三节 政府采购合同专用条款</w:t>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04"/>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restart"/>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72"/>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p>
        </w:tc>
        <w:tc>
          <w:tcPr>
            <w:tcW w:w="3065" w:type="dxa"/>
            <w:vAlign w:val="center"/>
            <w:textDirection w:val="lrTb"/>
            <w:noWrap w:val="false"/>
          </w:tcPr>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p>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1033"/>
              <w:ind w:firstLine="0"/>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876"/>
        </w:trPr>
        <w:tc>
          <w:tcPr>
            <w:tcBorders>
              <w:bottom w:val="single" w:color="auto" w:sz="2" w:space="0"/>
              <w:right w:val="single" w:color="auto" w:sz="2" w:space="0"/>
            </w:tcBorders>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p>
        </w:tc>
        <w:tc>
          <w:tcPr>
            <w:tcBorders>
              <w:left w:val="single" w:color="auto" w:sz="2" w:space="0"/>
              <w:bottom w:val="single" w:color="auto" w:sz="2" w:space="0"/>
              <w:right w:val="single" w:color="auto" w:sz="2" w:space="0"/>
            </w:tcBorders>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p>
        </w:tc>
        <w:tc>
          <w:tcPr>
            <w:tcBorders>
              <w:left w:val="single" w:color="auto" w:sz="2" w:space="0"/>
              <w:bottom w:val="single" w:color="auto" w:sz="2" w:space="0"/>
            </w:tcBorders>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90"/>
        </w:trPr>
        <w:tc>
          <w:tcPr>
            <w:tcBorders>
              <w:top w:val="single" w:color="auto" w:sz="2" w:space="0"/>
              <w:right w:val="single" w:color="auto" w:sz="2" w:space="0"/>
            </w:tcBorders>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p>
        </w:tc>
        <w:tc>
          <w:tcPr>
            <w:tcBorders>
              <w:top w:val="single" w:color="auto" w:sz="2" w:space="0"/>
              <w:left w:val="single" w:color="auto" w:sz="2" w:space="0"/>
              <w:right w:val="single" w:color="auto" w:sz="2" w:space="0"/>
            </w:tcBorders>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p>
        </w:tc>
        <w:tc>
          <w:tcPr>
            <w:tcBorders>
              <w:top w:val="single" w:color="auto" w:sz="2" w:space="0"/>
              <w:left w:val="single" w:color="auto" w:sz="2" w:space="0"/>
            </w:tcBorders>
            <w:tcW w:w="3065" w:type="dxa"/>
            <w:vAlign w:val="center"/>
            <w:textDirection w:val="lrTb"/>
            <w:noWrap w:val="false"/>
          </w:tcPr>
          <w:p>
            <w:pPr>
              <w:jc w:val="left"/>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种方式解决：</w:t>
            </w:r>
            <w:r/>
          </w:p>
          <w:p>
            <w:pPr>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w:t>
            </w:r>
            <w:r>
              <w:rPr>
                <w:rFonts w:hint="eastAsia" w:ascii="方正仿宋_GBK" w:hAnsi="方正仿宋_GBK" w:eastAsia="方正仿宋_GBK" w:cs="方正仿宋_GBK"/>
                <w:iCs/>
                <w:sz w:val="28"/>
                <w:szCs w:val="28"/>
              </w:rPr>
              <w:t xml:space="preserve">（2）向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人民法院起诉。</w:t>
            </w:r>
            <w:r/>
          </w:p>
        </w:tc>
      </w:tr>
      <w:tr>
        <w:trPr>
          <w:trHeight w:val="770"/>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jc w:val="left"/>
        <w:widowControl/>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br w:type="page" w:clear="all"/>
      </w:r>
      <w:r/>
    </w:p>
    <w:p>
      <w:pPr>
        <w:ind w:firstLine="2240"/>
        <w:keepNext/>
        <w:spacing w:line="660" w:lineRule="exact"/>
        <w:rPr>
          <w:rFonts w:hint="eastAsia" w:ascii="方正黑体_GBK" w:hAnsi="方正黑体_GBK" w:eastAsia="方正黑体_GBK" w:cs="方正黑体_GBK"/>
          <w:bCs/>
          <w:sz w:val="28"/>
          <w:szCs w:val="28"/>
        </w:rPr>
        <w:outlineLvl w:val="0"/>
      </w:pPr>
      <w:r/>
      <w:bookmarkStart w:id="201" w:name="_Toc240275228"/>
      <w:r>
        <w:rPr>
          <w:rFonts w:hint="eastAsia" w:ascii="方正黑体_GBK" w:hAnsi="方正黑体_GBK" w:eastAsia="方正黑体_GBK" w:cs="方正黑体_GBK"/>
          <w:bCs/>
          <w:sz w:val="28"/>
          <w:szCs w:val="28"/>
        </w:rPr>
        <w:t xml:space="preserve">第</w:t>
      </w:r>
      <w:bookmarkEnd w:id="195"/>
      <w:r>
        <w:rPr>
          <w:rFonts w:hint="eastAsia" w:ascii="方正黑体_GBK" w:hAnsi="方正黑体_GBK" w:eastAsia="方正黑体_GBK" w:cs="方正黑体_GBK"/>
          <w:bCs/>
          <w:sz w:val="28"/>
          <w:szCs w:val="28"/>
        </w:rPr>
        <w:t xml:space="preserve">四章 采购需求</w:t>
      </w:r>
      <w:bookmarkEnd w:id="196"/>
      <w:r/>
      <w:bookmarkEnd w:id="197"/>
      <w:r/>
      <w:bookmarkEnd w:id="198"/>
      <w:r/>
      <w:bookmarkEnd w:id="201"/>
      <w:r/>
      <w:r/>
    </w:p>
    <w:p>
      <w:pPr>
        <w:pStyle w:val="911"/>
        <w:jc w:val="left"/>
        <w:spacing w:line="400" w:lineRule="exact"/>
        <w:rPr>
          <w:rFonts w:hint="eastAsia" w:ascii="黑体" w:hAnsi="黑体" w:eastAsia="黑体"/>
          <w:b/>
          <w:bCs/>
          <w:color w:val="auto"/>
          <w:sz w:val="28"/>
          <w:szCs w:val="28"/>
        </w:rPr>
      </w:pPr>
      <w:r/>
      <w:bookmarkStart w:id="202" w:name="_Toc49090575"/>
      <w:r/>
      <w:bookmarkStart w:id="203" w:name="_Toc26554093"/>
      <w:r>
        <w:rPr>
          <w:rFonts w:hint="eastAsia" w:ascii="黑体" w:hAnsi="黑体" w:eastAsia="黑体"/>
          <w:b/>
          <w:bCs/>
          <w:color w:val="auto"/>
          <w:sz w:val="28"/>
          <w:szCs w:val="28"/>
        </w:rPr>
        <w:t xml:space="preserve">一、采购标的清单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0"/>
        <w:gridCol w:w="1321"/>
        <w:gridCol w:w="2929"/>
        <w:gridCol w:w="2677"/>
      </w:tblGrid>
      <w:tr>
        <w:trPr>
          <w:cantSplit/>
          <w:jc w:val="center"/>
          <w:trHeight w:val="701"/>
        </w:trPr>
        <w:tc>
          <w:tcPr>
            <w:tcW w:w="79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132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292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2677"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jc w:val="center"/>
          <w:trHeight w:val="222"/>
        </w:trPr>
        <w:tc>
          <w:tcPr>
            <w:shd w:val="clear" w:color="000000" w:fill="ffffff"/>
            <w:tcW w:w="790" w:type="dxa"/>
            <w:textDirection w:val="lrTb"/>
            <w:noWrap w:val="false"/>
          </w:tcPr>
          <w:p>
            <w:pPr>
              <w:jc w:val="center"/>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1</w:t>
            </w:r>
            <w:r/>
          </w:p>
        </w:tc>
        <w:tc>
          <w:tcPr>
            <w:shd w:val="clear" w:color="000000" w:fill="ffffff"/>
            <w:tcW w:w="1321" w:type="dxa"/>
            <w:textDirection w:val="lrTb"/>
            <w:noWrap w:val="false"/>
          </w:tcPr>
          <w:p>
            <w:pPr>
              <w:jc w:val="center"/>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1</w:t>
            </w:r>
            <w:r/>
          </w:p>
        </w:tc>
        <w:tc>
          <w:tcPr>
            <w:shd w:val="clear" w:color="000000" w:fill="ffffff"/>
            <w:tcW w:w="2929" w:type="dxa"/>
            <w:vAlign w:val="center"/>
            <w:textDirection w:val="lrTb"/>
            <w:noWrap w:val="false"/>
          </w:tcPr>
          <w:p>
            <w:pPr>
              <w:jc w:val="center"/>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医用直线加速器</w:t>
            </w:r>
            <w:r/>
          </w:p>
        </w:tc>
        <w:tc>
          <w:tcPr>
            <w:shd w:val="clear" w:color="000000" w:fill="ffffff"/>
            <w:tcW w:w="2677" w:type="dxa"/>
            <w:textDirection w:val="lrTb"/>
            <w:noWrap w:val="false"/>
          </w:tcPr>
          <w:p>
            <w:pPr>
              <w:jc w:val="center"/>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工业</w:t>
            </w:r>
            <w:r/>
          </w:p>
        </w:tc>
      </w:tr>
    </w:tbl>
    <w:p>
      <w:pPr>
        <w:pStyle w:val="911"/>
        <w:jc w:val="left"/>
        <w:spacing w:line="400" w:lineRule="exact"/>
        <w:rPr>
          <w:rFonts w:hint="eastAsia" w:ascii="黑体" w:hAnsi="黑体" w:eastAsia="黑体"/>
          <w:b/>
          <w:bCs/>
          <w:color w:val="auto"/>
          <w:sz w:val="28"/>
          <w:szCs w:val="28"/>
        </w:rPr>
      </w:pPr>
      <w:r>
        <w:rPr>
          <w:rFonts w:hint="eastAsia" w:ascii="黑体" w:hAnsi="黑体" w:eastAsia="黑体"/>
          <w:b/>
          <w:bCs/>
          <w:color w:val="auto"/>
          <w:sz w:val="28"/>
          <w:szCs w:val="28"/>
        </w:rPr>
        <w:t xml:space="preserve">二、政府采购中实施本国产品标准及相关政策</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11"/>
        <w:jc w:val="left"/>
        <w:spacing w:line="400" w:lineRule="exact"/>
        <w:rPr>
          <w:rFonts w:hint="eastAsia" w:ascii="黑体" w:hAnsi="黑体" w:eastAsia="黑体"/>
          <w:b/>
          <w:bCs/>
          <w:color w:val="auto"/>
          <w:sz w:val="28"/>
          <w:szCs w:val="28"/>
        </w:rPr>
      </w:pPr>
      <w:r>
        <w:rPr>
          <w:rFonts w:hint="eastAsia" w:ascii="黑体" w:hAnsi="黑体" w:eastAsia="黑体"/>
          <w:b/>
          <w:bCs/>
          <w:color w:val="auto"/>
          <w:sz w:val="28"/>
          <w:szCs w:val="28"/>
        </w:rPr>
        <w:t xml:space="preserve">三、技术要求</w:t>
      </w:r>
      <w:r/>
    </w:p>
    <w:p>
      <w:pPr>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p>
    <w:p>
      <w:pPr>
        <w:ind w:firstLine="482"/>
        <w:spacing w:line="400" w:lineRule="exact"/>
        <w:rPr>
          <w:rFonts w:ascii="宋体" w:cs="宋体"/>
          <w:b/>
          <w:bCs/>
          <w:sz w:val="24"/>
          <w:szCs w:val="24"/>
          <w:lang w:val="zh-CN"/>
        </w:rPr>
      </w:pPr>
      <w:r>
        <w:rPr>
          <w:rFonts w:hint="eastAsia" w:ascii="宋体" w:cs="宋体"/>
          <w:b/>
          <w:bCs/>
          <w:sz w:val="24"/>
          <w:szCs w:val="24"/>
          <w:lang w:val="zh-CN"/>
        </w:rPr>
        <w:t xml:space="preserve">采购包</w:t>
      </w:r>
      <w:r>
        <w:rPr>
          <w:rFonts w:ascii="宋体" w:cs="宋体"/>
          <w:b/>
          <w:bCs/>
          <w:sz w:val="24"/>
          <w:szCs w:val="24"/>
          <w:lang w:val="zh-CN"/>
        </w:rPr>
        <w:t xml:space="preserve">1</w:t>
      </w:r>
      <w:r>
        <w:rPr>
          <w:rFonts w:hint="eastAsia" w:ascii="宋体" w:cs="宋体"/>
          <w:b/>
          <w:bCs/>
          <w:sz w:val="24"/>
          <w:szCs w:val="24"/>
          <w:lang w:val="zh-CN"/>
        </w:rPr>
        <w:t xml:space="preserve">：医用直线加速器设备，数量：1套。</w:t>
      </w:r>
      <w:r/>
    </w:p>
    <w:p>
      <w:pPr>
        <w:ind w:firstLine="482"/>
        <w:spacing w:line="500" w:lineRule="atLeast"/>
        <w:rPr>
          <w:rFonts w:ascii="宋体" w:cs="宋体"/>
          <w:b/>
          <w:bCs/>
          <w:sz w:val="24"/>
          <w:szCs w:val="24"/>
          <w:lang w:val="zh-CN"/>
        </w:rPr>
      </w:pPr>
      <w:r>
        <w:rPr>
          <w:rFonts w:ascii="宋体" w:cs="宋体"/>
          <w:b/>
          <w:bCs/>
          <w:sz w:val="24"/>
          <w:szCs w:val="24"/>
          <w:lang w:val="zh-CN"/>
        </w:rPr>
        <w:t xml:space="preserve">(</w:t>
      </w:r>
      <w:r>
        <w:rPr>
          <w:rFonts w:hint="eastAsia" w:ascii="宋体" w:cs="宋体"/>
          <w:b/>
          <w:bCs/>
          <w:sz w:val="24"/>
          <w:szCs w:val="24"/>
          <w:lang w:val="zh-CN"/>
        </w:rPr>
        <w:t xml:space="preserve">一</w:t>
      </w:r>
      <w:r>
        <w:rPr>
          <w:rFonts w:ascii="宋体" w:cs="宋体"/>
          <w:b/>
          <w:bCs/>
          <w:sz w:val="24"/>
          <w:szCs w:val="24"/>
          <w:lang w:val="zh-CN"/>
        </w:rPr>
        <w:t xml:space="preserve">)</w:t>
      </w:r>
      <w:r>
        <w:rPr>
          <w:rFonts w:hint="eastAsia" w:ascii="宋体" w:cs="宋体"/>
          <w:b/>
          <w:bCs/>
          <w:sz w:val="24"/>
          <w:szCs w:val="24"/>
          <w:lang w:val="zh-CN"/>
        </w:rPr>
        <w:t xml:space="preserve">标的每套医用直线加速器的具体配置明细</w:t>
      </w:r>
      <w:r/>
    </w:p>
    <w:p>
      <w:pPr>
        <w:jc w:val="center"/>
        <w:rPr>
          <w:rFonts w:ascii="黑体" w:eastAsia="黑体"/>
          <w:sz w:val="36"/>
          <w:szCs w:val="36"/>
        </w:rPr>
      </w:pPr>
      <w:r>
        <w:rPr>
          <w:rFonts w:hint="eastAsia" w:ascii="黑体" w:eastAsia="黑体"/>
          <w:sz w:val="36"/>
          <w:szCs w:val="36"/>
        </w:rPr>
        <w:t xml:space="preserve">医用直线加速器配置清单</w:t>
      </w:r>
      <w:r/>
    </w:p>
    <w:tbl>
      <w:tblPr>
        <w:tblW w:w="474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4"/>
        <w:gridCol w:w="3559"/>
        <w:gridCol w:w="3852"/>
      </w:tblGrid>
      <w:tr>
        <w:trPr>
          <w:jc w:val="center"/>
          <w:trHeight w:val="558"/>
        </w:trPr>
        <w:tc>
          <w:tcPr>
            <w:gridSpan w:val="3"/>
            <w:tcW w:w="5000" w:type="pct"/>
            <w:vAlign w:val="center"/>
            <w:textDirection w:val="lrTb"/>
            <w:noWrap w:val="false"/>
          </w:tcPr>
          <w:p>
            <w:pPr>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设备需求一览表</w:t>
            </w:r>
            <w:r/>
          </w:p>
        </w:tc>
      </w:tr>
      <w:tr>
        <w:trPr>
          <w:jc w:val="center"/>
          <w:trHeight w:val="558"/>
        </w:trPr>
        <w:tc>
          <w:tcPr>
            <w:tcW w:w="581" w:type="pct"/>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lang w:bidi="ar"/>
              </w:rPr>
              <w:t xml:space="preserve">序号</w:t>
            </w:r>
            <w:r/>
          </w:p>
        </w:tc>
        <w:tc>
          <w:tcPr>
            <w:tcW w:w="2122" w:type="pct"/>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lang w:bidi="ar"/>
              </w:rPr>
              <w:t xml:space="preserve">系统配置</w:t>
            </w:r>
            <w:r/>
          </w:p>
        </w:tc>
        <w:tc>
          <w:tcPr>
            <w:tcW w:w="2295" w:type="pct"/>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lang w:bidi="ar"/>
              </w:rPr>
              <w:t xml:space="preserve">数量要求</w:t>
            </w:r>
            <w:r/>
          </w:p>
        </w:tc>
      </w:tr>
      <w:tr>
        <w:trPr>
          <w:jc w:val="center"/>
          <w:trHeight w:val="613"/>
        </w:trPr>
        <w:tc>
          <w:tcPr>
            <w:tcW w:w="581" w:type="pct"/>
            <w:vAlign w:val="center"/>
            <w:textDirection w:val="lrTb"/>
            <w:noWrap w:val="false"/>
          </w:tcPr>
          <w:p>
            <w:pPr>
              <w:pStyle w:val="976"/>
              <w:numPr>
                <w:ilvl w:val="0"/>
                <w:numId w:val="7"/>
              </w:numPr>
              <w:jc w:val="center"/>
              <w:widowControl/>
              <w:rPr>
                <w:rFonts w:hint="eastAsia" w:ascii="宋体" w:hAnsi="宋体" w:cs="宋体"/>
              </w:rPr>
            </w:pPr>
            <w:r>
              <w:rPr>
                <w:rFonts w:hint="eastAsia" w:ascii="宋体" w:hAnsi="宋体" w:cs="宋体"/>
              </w:rPr>
            </w:r>
            <w:r/>
          </w:p>
        </w:tc>
        <w:tc>
          <w:tcPr>
            <w:tcW w:w="2122" w:type="pct"/>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医用直线加速器：全数字化医用直线加速器</w:t>
            </w:r>
            <w:r/>
          </w:p>
        </w:tc>
        <w:tc>
          <w:tcPr>
            <w:tcW w:w="229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1套</w:t>
            </w:r>
            <w:r/>
          </w:p>
        </w:tc>
      </w:tr>
      <w:tr>
        <w:trPr>
          <w:jc w:val="center"/>
          <w:trHeight w:val="914"/>
        </w:trPr>
        <w:tc>
          <w:tcPr>
            <w:tcW w:w="581" w:type="pct"/>
            <w:vAlign w:val="center"/>
            <w:textDirection w:val="lrTb"/>
            <w:noWrap w:val="false"/>
          </w:tcPr>
          <w:p>
            <w:pPr>
              <w:pStyle w:val="976"/>
              <w:numPr>
                <w:ilvl w:val="0"/>
                <w:numId w:val="7"/>
              </w:numPr>
              <w:jc w:val="center"/>
              <w:widowControl/>
              <w:rPr>
                <w:rFonts w:hint="eastAsia" w:ascii="宋体" w:hAnsi="宋体" w:cs="宋体"/>
              </w:rPr>
            </w:pPr>
            <w:r>
              <w:rPr>
                <w:rFonts w:hint="eastAsia" w:ascii="宋体" w:hAnsi="宋体" w:cs="宋体"/>
              </w:rPr>
            </w:r>
            <w:r/>
          </w:p>
        </w:tc>
        <w:tc>
          <w:tcPr>
            <w:tcW w:w="2122" w:type="pct"/>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提供6MV，10MV两档高能X射线；电子线能量5档；一档6MV FFF高剂量率能量模块</w:t>
            </w:r>
            <w:r/>
          </w:p>
        </w:tc>
        <w:tc>
          <w:tcPr>
            <w:tcW w:w="229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1套</w:t>
            </w:r>
            <w:r/>
          </w:p>
        </w:tc>
      </w:tr>
      <w:tr>
        <w:trPr>
          <w:jc w:val="center"/>
          <w:trHeight w:val="558"/>
        </w:trPr>
        <w:tc>
          <w:tcPr>
            <w:tcW w:w="581" w:type="pct"/>
            <w:vAlign w:val="center"/>
            <w:textDirection w:val="lrTb"/>
            <w:noWrap w:val="false"/>
          </w:tcPr>
          <w:p>
            <w:pPr>
              <w:pStyle w:val="976"/>
              <w:numPr>
                <w:ilvl w:val="0"/>
                <w:numId w:val="7"/>
              </w:numPr>
              <w:jc w:val="center"/>
              <w:widowControl/>
              <w:rPr>
                <w:rFonts w:hint="eastAsia" w:ascii="宋体" w:hAnsi="宋体" w:cs="宋体"/>
              </w:rPr>
            </w:pPr>
            <w:r>
              <w:rPr>
                <w:rFonts w:hint="eastAsia" w:ascii="宋体" w:hAnsi="宋体" w:cs="宋体"/>
              </w:rPr>
            </w:r>
            <w:r/>
          </w:p>
        </w:tc>
        <w:tc>
          <w:tcPr>
            <w:tcW w:w="2122" w:type="pct"/>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内置电动多叶光栅系统，至少120叶</w:t>
            </w:r>
            <w:r/>
          </w:p>
        </w:tc>
        <w:tc>
          <w:tcPr>
            <w:tcW w:w="229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1套</w:t>
            </w:r>
            <w:r/>
          </w:p>
        </w:tc>
      </w:tr>
      <w:tr>
        <w:trPr>
          <w:jc w:val="center"/>
          <w:trHeight w:val="558"/>
        </w:trPr>
        <w:tc>
          <w:tcPr>
            <w:tcW w:w="581" w:type="pct"/>
            <w:vAlign w:val="center"/>
            <w:textDirection w:val="lrTb"/>
            <w:noWrap w:val="false"/>
          </w:tcPr>
          <w:p>
            <w:pPr>
              <w:pStyle w:val="976"/>
              <w:numPr>
                <w:ilvl w:val="0"/>
                <w:numId w:val="7"/>
              </w:numPr>
              <w:jc w:val="center"/>
              <w:widowControl/>
              <w:rPr>
                <w:rFonts w:hint="eastAsia" w:ascii="宋体" w:hAnsi="宋体" w:cs="宋体"/>
              </w:rPr>
            </w:pPr>
            <w:r>
              <w:rPr>
                <w:rFonts w:hint="eastAsia" w:ascii="宋体" w:hAnsi="宋体" w:cs="宋体"/>
              </w:rPr>
            </w:r>
            <w:r/>
          </w:p>
        </w:tc>
        <w:tc>
          <w:tcPr>
            <w:tcW w:w="2122" w:type="pct"/>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MV级电子射野影像系统</w:t>
            </w:r>
            <w:r/>
          </w:p>
        </w:tc>
        <w:tc>
          <w:tcPr>
            <w:tcW w:w="229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1套</w:t>
            </w:r>
            <w:r/>
          </w:p>
        </w:tc>
      </w:tr>
      <w:tr>
        <w:trPr>
          <w:jc w:val="center"/>
          <w:trHeight w:val="558"/>
        </w:trPr>
        <w:tc>
          <w:tcPr>
            <w:tcW w:w="581" w:type="pct"/>
            <w:vAlign w:val="center"/>
            <w:textDirection w:val="lrTb"/>
            <w:noWrap w:val="false"/>
          </w:tcPr>
          <w:p>
            <w:pPr>
              <w:pStyle w:val="976"/>
              <w:numPr>
                <w:ilvl w:val="0"/>
                <w:numId w:val="7"/>
              </w:numPr>
              <w:jc w:val="center"/>
              <w:widowControl/>
              <w:rPr>
                <w:rFonts w:hint="eastAsia" w:ascii="宋体" w:hAnsi="宋体" w:cs="宋体"/>
              </w:rPr>
            </w:pPr>
            <w:r>
              <w:rPr>
                <w:rFonts w:hint="eastAsia" w:ascii="宋体" w:hAnsi="宋体" w:cs="宋体"/>
              </w:rPr>
            </w:r>
            <w:r/>
          </w:p>
        </w:tc>
        <w:tc>
          <w:tcPr>
            <w:tcW w:w="2122" w:type="pct"/>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KV级三维影像引导系统</w:t>
            </w:r>
            <w:r/>
          </w:p>
        </w:tc>
        <w:tc>
          <w:tcPr>
            <w:tcW w:w="229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1套</w:t>
            </w:r>
            <w:r/>
          </w:p>
        </w:tc>
      </w:tr>
      <w:tr>
        <w:trPr>
          <w:jc w:val="center"/>
          <w:trHeight w:val="558"/>
        </w:trPr>
        <w:tc>
          <w:tcPr>
            <w:tcW w:w="581" w:type="pct"/>
            <w:vAlign w:val="center"/>
            <w:textDirection w:val="lrTb"/>
            <w:noWrap w:val="false"/>
          </w:tcPr>
          <w:p>
            <w:pPr>
              <w:pStyle w:val="976"/>
              <w:numPr>
                <w:ilvl w:val="0"/>
                <w:numId w:val="7"/>
              </w:numPr>
              <w:jc w:val="center"/>
              <w:widowControl/>
              <w:rPr>
                <w:rFonts w:hint="eastAsia" w:ascii="宋体" w:hAnsi="宋体" w:cs="宋体"/>
              </w:rPr>
            </w:pPr>
            <w:r>
              <w:rPr>
                <w:rFonts w:hint="eastAsia" w:ascii="宋体" w:hAnsi="宋体" w:cs="宋体"/>
              </w:rPr>
            </w:r>
            <w:r/>
          </w:p>
        </w:tc>
        <w:tc>
          <w:tcPr>
            <w:tcW w:w="2122" w:type="pct"/>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KV级四维影像引导系统</w:t>
            </w:r>
            <w:r/>
          </w:p>
        </w:tc>
        <w:tc>
          <w:tcPr>
            <w:tcW w:w="229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1套</w:t>
            </w:r>
            <w:r/>
          </w:p>
        </w:tc>
      </w:tr>
      <w:tr>
        <w:trPr>
          <w:jc w:val="center"/>
          <w:trHeight w:val="558"/>
        </w:trPr>
        <w:tc>
          <w:tcPr>
            <w:tcW w:w="581" w:type="pct"/>
            <w:vAlign w:val="center"/>
            <w:textDirection w:val="lrTb"/>
            <w:noWrap w:val="false"/>
          </w:tcPr>
          <w:p>
            <w:pPr>
              <w:pStyle w:val="976"/>
              <w:numPr>
                <w:ilvl w:val="0"/>
                <w:numId w:val="7"/>
              </w:numPr>
              <w:jc w:val="center"/>
              <w:widowControl/>
              <w:rPr>
                <w:rFonts w:hint="eastAsia" w:ascii="宋体" w:hAnsi="宋体" w:cs="宋体"/>
              </w:rPr>
            </w:pPr>
            <w:r>
              <w:rPr>
                <w:rFonts w:hint="eastAsia" w:ascii="宋体" w:hAnsi="宋体" w:cs="宋体"/>
              </w:rPr>
            </w:r>
            <w:r/>
          </w:p>
        </w:tc>
        <w:tc>
          <w:tcPr>
            <w:tcW w:w="2122" w:type="pct"/>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IMRT调强放射治疗功能</w:t>
            </w:r>
            <w:r/>
          </w:p>
        </w:tc>
        <w:tc>
          <w:tcPr>
            <w:tcW w:w="229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提供</w:t>
            </w:r>
            <w:r/>
          </w:p>
        </w:tc>
      </w:tr>
      <w:tr>
        <w:trPr>
          <w:jc w:val="center"/>
          <w:trHeight w:val="558"/>
        </w:trPr>
        <w:tc>
          <w:tcPr>
            <w:tcW w:w="581" w:type="pct"/>
            <w:vAlign w:val="center"/>
            <w:textDirection w:val="lrTb"/>
            <w:noWrap w:val="false"/>
          </w:tcPr>
          <w:p>
            <w:pPr>
              <w:pStyle w:val="976"/>
              <w:numPr>
                <w:ilvl w:val="0"/>
                <w:numId w:val="7"/>
              </w:numPr>
              <w:jc w:val="center"/>
              <w:widowControl/>
              <w:rPr>
                <w:rFonts w:hint="eastAsia" w:ascii="宋体" w:hAnsi="宋体" w:cs="宋体"/>
              </w:rPr>
            </w:pPr>
            <w:r>
              <w:rPr>
                <w:rFonts w:hint="eastAsia" w:ascii="宋体" w:hAnsi="宋体" w:cs="宋体"/>
              </w:rPr>
            </w:r>
            <w:r/>
          </w:p>
        </w:tc>
        <w:tc>
          <w:tcPr>
            <w:tcW w:w="2122" w:type="pct"/>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容积旋转调强功能</w:t>
            </w:r>
            <w:r/>
          </w:p>
        </w:tc>
        <w:tc>
          <w:tcPr>
            <w:tcW w:w="229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提供</w:t>
            </w:r>
            <w:r/>
          </w:p>
        </w:tc>
      </w:tr>
      <w:tr>
        <w:trPr>
          <w:jc w:val="center"/>
          <w:trHeight w:val="558"/>
        </w:trPr>
        <w:tc>
          <w:tcPr>
            <w:tcW w:w="581" w:type="pct"/>
            <w:vAlign w:val="center"/>
            <w:textDirection w:val="lrTb"/>
            <w:noWrap w:val="false"/>
          </w:tcPr>
          <w:p>
            <w:pPr>
              <w:pStyle w:val="976"/>
              <w:numPr>
                <w:ilvl w:val="0"/>
                <w:numId w:val="7"/>
              </w:numPr>
              <w:jc w:val="center"/>
              <w:widowControl/>
              <w:rPr>
                <w:rFonts w:hint="eastAsia" w:ascii="宋体" w:hAnsi="宋体" w:cs="宋体"/>
                <w:lang w:bidi="ar"/>
              </w:rPr>
            </w:pPr>
            <w:r>
              <w:rPr>
                <w:rFonts w:hint="eastAsia" w:ascii="宋体" w:hAnsi="宋体" w:cs="宋体"/>
                <w:lang w:bidi="ar"/>
              </w:rPr>
            </w:r>
            <w:r/>
          </w:p>
        </w:tc>
        <w:tc>
          <w:tcPr>
            <w:tcW w:w="2122" w:type="pct"/>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立体定向放射治疗高级功能</w:t>
            </w:r>
            <w:r/>
          </w:p>
        </w:tc>
        <w:tc>
          <w:tcPr>
            <w:tcW w:w="2295" w:type="pct"/>
            <w:vAlign w:val="center"/>
            <w:textDirection w:val="lrTb"/>
            <w:noWrap w:val="false"/>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提供</w:t>
            </w:r>
            <w:r/>
          </w:p>
        </w:tc>
      </w:tr>
      <w:tr>
        <w:trPr>
          <w:jc w:val="center"/>
          <w:trHeight w:val="558"/>
        </w:trPr>
        <w:tc>
          <w:tcPr>
            <w:tcW w:w="581" w:type="pct"/>
            <w:vAlign w:val="center"/>
            <w:textDirection w:val="lrTb"/>
            <w:noWrap w:val="false"/>
          </w:tcPr>
          <w:p>
            <w:pPr>
              <w:pStyle w:val="976"/>
              <w:numPr>
                <w:ilvl w:val="0"/>
                <w:numId w:val="7"/>
              </w:numPr>
              <w:jc w:val="center"/>
              <w:widowControl/>
              <w:rPr>
                <w:rFonts w:hint="eastAsia" w:ascii="宋体" w:hAnsi="宋体" w:cs="宋体"/>
              </w:rPr>
            </w:pPr>
            <w:r>
              <w:rPr>
                <w:rFonts w:hint="eastAsia" w:ascii="宋体" w:hAnsi="宋体" w:cs="宋体"/>
              </w:rPr>
            </w:r>
            <w:r/>
          </w:p>
        </w:tc>
        <w:tc>
          <w:tcPr>
            <w:tcW w:w="2122" w:type="pct"/>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高精度患者摆位系统</w:t>
            </w:r>
            <w:r/>
          </w:p>
        </w:tc>
        <w:tc>
          <w:tcPr>
            <w:tcW w:w="229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1套</w:t>
            </w:r>
            <w:r/>
          </w:p>
        </w:tc>
      </w:tr>
      <w:tr>
        <w:trPr>
          <w:jc w:val="center"/>
          <w:trHeight w:val="558"/>
        </w:trPr>
        <w:tc>
          <w:tcPr>
            <w:tcW w:w="581" w:type="pct"/>
            <w:vAlign w:val="center"/>
            <w:textDirection w:val="lrTb"/>
            <w:noWrap w:val="false"/>
          </w:tcPr>
          <w:p>
            <w:pPr>
              <w:pStyle w:val="976"/>
              <w:numPr>
                <w:ilvl w:val="0"/>
                <w:numId w:val="7"/>
              </w:numPr>
              <w:jc w:val="center"/>
              <w:widowControl/>
              <w:rPr>
                <w:rFonts w:hint="eastAsia" w:ascii="宋体" w:hAnsi="宋体" w:cs="宋体"/>
                <w:lang w:bidi="ar"/>
              </w:rPr>
            </w:pPr>
            <w:r>
              <w:rPr>
                <w:rFonts w:hint="eastAsia" w:ascii="宋体" w:hAnsi="宋体" w:cs="宋体"/>
                <w:lang w:bidi="ar"/>
              </w:rPr>
            </w:r>
            <w:r/>
          </w:p>
        </w:tc>
        <w:tc>
          <w:tcPr>
            <w:tcW w:w="2122" w:type="pct"/>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呼吸门控系统</w:t>
            </w:r>
            <w:r/>
          </w:p>
        </w:tc>
        <w:tc>
          <w:tcPr>
            <w:tcW w:w="2295" w:type="pct"/>
            <w:vAlign w:val="center"/>
            <w:textDirection w:val="lrTb"/>
            <w:noWrap w:val="false"/>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2套</w:t>
            </w:r>
            <w:r/>
          </w:p>
        </w:tc>
      </w:tr>
      <w:tr>
        <w:trPr>
          <w:jc w:val="center"/>
          <w:trHeight w:val="613"/>
        </w:trPr>
        <w:tc>
          <w:tcPr>
            <w:tcW w:w="581" w:type="pct"/>
            <w:vAlign w:val="center"/>
            <w:textDirection w:val="lrTb"/>
            <w:noWrap w:val="false"/>
          </w:tcPr>
          <w:p>
            <w:pPr>
              <w:pStyle w:val="976"/>
              <w:numPr>
                <w:ilvl w:val="0"/>
                <w:numId w:val="7"/>
              </w:numPr>
              <w:jc w:val="center"/>
              <w:widowControl/>
              <w:rPr>
                <w:rFonts w:hint="eastAsia" w:ascii="宋体" w:hAnsi="宋体" w:cs="宋体"/>
              </w:rPr>
            </w:pPr>
            <w:r>
              <w:rPr>
                <w:rFonts w:hint="eastAsia" w:ascii="宋体" w:hAnsi="宋体" w:cs="宋体"/>
              </w:rPr>
            </w:r>
            <w:r/>
          </w:p>
        </w:tc>
        <w:tc>
          <w:tcPr>
            <w:tcW w:w="2122" w:type="pct"/>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治疗计划系统</w:t>
            </w:r>
            <w:r/>
          </w:p>
        </w:tc>
        <w:tc>
          <w:tcPr>
            <w:tcW w:w="2295" w:type="pct"/>
            <w:vAlign w:val="center"/>
            <w:textDirection w:val="lrTb"/>
            <w:noWrap w:val="false"/>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包含不少于原厂2个物理师工作站和3个医生工作站</w:t>
            </w:r>
            <w:r/>
          </w:p>
        </w:tc>
      </w:tr>
      <w:tr>
        <w:trPr>
          <w:jc w:val="center"/>
          <w:trHeight w:val="558"/>
        </w:trPr>
        <w:tc>
          <w:tcPr>
            <w:tcW w:w="581" w:type="pct"/>
            <w:vAlign w:val="center"/>
            <w:textDirection w:val="lrTb"/>
            <w:noWrap w:val="false"/>
          </w:tcPr>
          <w:p>
            <w:pPr>
              <w:pStyle w:val="976"/>
              <w:numPr>
                <w:ilvl w:val="0"/>
                <w:numId w:val="7"/>
              </w:numPr>
              <w:jc w:val="center"/>
              <w:widowControl/>
              <w:rPr>
                <w:rFonts w:hint="eastAsia" w:ascii="宋体" w:hAnsi="宋体" w:cs="宋体"/>
              </w:rPr>
            </w:pPr>
            <w:r>
              <w:rPr>
                <w:rFonts w:hint="eastAsia" w:ascii="宋体" w:hAnsi="宋体" w:cs="宋体"/>
              </w:rPr>
            </w:r>
            <w:r/>
          </w:p>
        </w:tc>
        <w:tc>
          <w:tcPr>
            <w:tcW w:w="2122" w:type="pct"/>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肿瘤信息管理系统</w:t>
            </w:r>
            <w:r/>
          </w:p>
        </w:tc>
        <w:tc>
          <w:tcPr>
            <w:tcW w:w="229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1套</w:t>
            </w:r>
            <w:r/>
          </w:p>
        </w:tc>
      </w:tr>
      <w:tr>
        <w:trPr>
          <w:jc w:val="center"/>
          <w:trHeight w:val="558"/>
        </w:trPr>
        <w:tc>
          <w:tcPr>
            <w:tcW w:w="581" w:type="pct"/>
            <w:vAlign w:val="center"/>
            <w:textDirection w:val="lrTb"/>
            <w:noWrap w:val="false"/>
          </w:tcPr>
          <w:p>
            <w:pPr>
              <w:pStyle w:val="976"/>
              <w:numPr>
                <w:ilvl w:val="0"/>
                <w:numId w:val="7"/>
              </w:numPr>
              <w:jc w:val="center"/>
              <w:widowControl/>
              <w:rPr>
                <w:rFonts w:hint="eastAsia" w:ascii="宋体" w:hAnsi="宋体" w:cs="宋体"/>
              </w:rPr>
            </w:pPr>
            <w:r>
              <w:rPr>
                <w:rFonts w:hint="eastAsia" w:ascii="宋体" w:hAnsi="宋体" w:cs="宋体"/>
              </w:rPr>
            </w:r>
            <w:r/>
          </w:p>
        </w:tc>
        <w:tc>
          <w:tcPr>
            <w:tcW w:w="2122" w:type="pct"/>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电子线限光筒</w:t>
            </w:r>
            <w:r/>
          </w:p>
        </w:tc>
        <w:tc>
          <w:tcPr>
            <w:tcW w:w="229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1套</w:t>
            </w:r>
            <w:r/>
          </w:p>
        </w:tc>
      </w:tr>
      <w:tr>
        <w:trPr>
          <w:jc w:val="center"/>
          <w:trHeight w:val="558"/>
        </w:trPr>
        <w:tc>
          <w:tcPr>
            <w:tcW w:w="581" w:type="pct"/>
            <w:vAlign w:val="center"/>
            <w:textDirection w:val="lrTb"/>
            <w:noWrap w:val="false"/>
          </w:tcPr>
          <w:p>
            <w:pPr>
              <w:pStyle w:val="976"/>
              <w:numPr>
                <w:ilvl w:val="0"/>
                <w:numId w:val="7"/>
              </w:numPr>
              <w:jc w:val="center"/>
              <w:widowControl/>
              <w:rPr>
                <w:rFonts w:hint="eastAsia" w:ascii="宋体" w:hAnsi="宋体" w:cs="宋体"/>
              </w:rPr>
            </w:pPr>
            <w:r>
              <w:rPr>
                <w:rFonts w:hint="eastAsia" w:ascii="宋体" w:hAnsi="宋体" w:cs="宋体"/>
              </w:rPr>
            </w:r>
            <w:r/>
          </w:p>
        </w:tc>
        <w:tc>
          <w:tcPr>
            <w:tcW w:w="2122" w:type="pct"/>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激光定位灯</w:t>
            </w:r>
            <w:r>
              <w:rPr>
                <w:rFonts w:hint="eastAsia" w:ascii="宋体" w:hAnsi="宋体" w:cs="宋体"/>
                <w:sz w:val="24"/>
                <w:szCs w:val="24"/>
                <w:lang w:bidi="ar"/>
              </w:rPr>
              <w:t xml:space="preserve">(绿色激光灯)</w:t>
            </w:r>
            <w:r/>
          </w:p>
        </w:tc>
        <w:tc>
          <w:tcPr>
            <w:tcW w:w="229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1套</w:t>
            </w:r>
            <w:r/>
          </w:p>
        </w:tc>
      </w:tr>
      <w:tr>
        <w:trPr>
          <w:jc w:val="center"/>
          <w:trHeight w:val="558"/>
        </w:trPr>
        <w:tc>
          <w:tcPr>
            <w:tcW w:w="581" w:type="pct"/>
            <w:vAlign w:val="center"/>
            <w:textDirection w:val="lrTb"/>
            <w:noWrap w:val="false"/>
          </w:tcPr>
          <w:p>
            <w:pPr>
              <w:pStyle w:val="976"/>
              <w:numPr>
                <w:ilvl w:val="0"/>
                <w:numId w:val="7"/>
              </w:numPr>
              <w:jc w:val="center"/>
              <w:widowControl/>
              <w:rPr>
                <w:rFonts w:hint="eastAsia" w:ascii="宋体" w:hAnsi="宋体" w:cs="宋体"/>
              </w:rPr>
            </w:pPr>
            <w:r>
              <w:rPr>
                <w:rFonts w:hint="eastAsia" w:ascii="宋体" w:hAnsi="宋体" w:cs="宋体"/>
              </w:rPr>
            </w:r>
            <w:r/>
          </w:p>
        </w:tc>
        <w:tc>
          <w:tcPr>
            <w:tcW w:w="2122" w:type="pct"/>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bidi="ar"/>
              </w:rPr>
              <w:t xml:space="preserve">维修备件包及维修工具</w:t>
            </w:r>
            <w:r/>
          </w:p>
        </w:tc>
        <w:tc>
          <w:tcPr>
            <w:tcW w:w="2295" w:type="pct"/>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lang w:bidi="ar"/>
              </w:rPr>
              <w:t xml:space="preserve">1套</w:t>
            </w:r>
            <w:r/>
          </w:p>
        </w:tc>
      </w:tr>
      <w:tr>
        <w:trPr>
          <w:jc w:val="center"/>
          <w:trHeight w:val="558"/>
        </w:trPr>
        <w:tc>
          <w:tcPr>
            <w:tcW w:w="581" w:type="pct"/>
            <w:vAlign w:val="center"/>
            <w:textDirection w:val="lrTb"/>
            <w:noWrap w:val="false"/>
          </w:tcPr>
          <w:p>
            <w:pPr>
              <w:pStyle w:val="976"/>
              <w:numPr>
                <w:ilvl w:val="0"/>
                <w:numId w:val="7"/>
              </w:numPr>
              <w:jc w:val="center"/>
              <w:widowControl/>
              <w:rPr>
                <w:rFonts w:hint="eastAsia" w:ascii="宋体" w:hAnsi="宋体" w:cs="宋体"/>
                <w:lang w:bidi="ar"/>
              </w:rPr>
            </w:pPr>
            <w:r>
              <w:rPr>
                <w:rFonts w:hint="eastAsia" w:ascii="宋体" w:hAnsi="宋体" w:cs="宋体"/>
                <w:lang w:bidi="ar"/>
              </w:rPr>
            </w:r>
            <w:r/>
          </w:p>
        </w:tc>
        <w:tc>
          <w:tcPr>
            <w:tcW w:w="2122" w:type="pct"/>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辅助配套设备</w:t>
            </w:r>
            <w:r/>
          </w:p>
        </w:tc>
        <w:tc>
          <w:tcPr>
            <w:tcW w:w="2295" w:type="pct"/>
            <w:vAlign w:val="center"/>
            <w:textDirection w:val="lrTb"/>
            <w:noWrap w:val="false"/>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1套</w:t>
            </w:r>
            <w:r/>
          </w:p>
        </w:tc>
      </w:tr>
      <w:tr>
        <w:trPr>
          <w:jc w:val="center"/>
          <w:trHeight w:val="567"/>
        </w:trPr>
        <w:tc>
          <w:tcPr>
            <w:tcW w:w="581" w:type="pct"/>
            <w:vAlign w:val="center"/>
            <w:textDirection w:val="lrTb"/>
            <w:noWrap w:val="false"/>
          </w:tcPr>
          <w:p>
            <w:pPr>
              <w:pStyle w:val="976"/>
              <w:numPr>
                <w:ilvl w:val="0"/>
                <w:numId w:val="7"/>
              </w:numPr>
              <w:jc w:val="center"/>
              <w:widowControl/>
              <w:rPr>
                <w:rFonts w:hint="eastAsia" w:ascii="宋体" w:hAnsi="宋体" w:cs="宋体"/>
                <w:lang w:bidi="ar"/>
              </w:rPr>
            </w:pPr>
            <w:r>
              <w:rPr>
                <w:rFonts w:hint="eastAsia" w:ascii="宋体" w:hAnsi="宋体" w:cs="宋体"/>
                <w:lang w:bidi="ar"/>
              </w:rPr>
            </w:r>
            <w:r/>
          </w:p>
        </w:tc>
        <w:tc>
          <w:tcPr>
            <w:tcW w:w="2122" w:type="pct"/>
            <w:vAlign w:val="center"/>
            <w:textDirection w:val="lrTb"/>
            <w:noWrap w:val="false"/>
          </w:tcPr>
          <w:p>
            <w:pPr>
              <w:jc w:val="left"/>
              <w:widowControl/>
              <w:rPr>
                <w:rFonts w:hint="eastAsia" w:ascii="宋体" w:hAnsi="宋体" w:cs="宋体"/>
                <w:sz w:val="24"/>
                <w:szCs w:val="24"/>
                <w:lang w:bidi="ar"/>
              </w:rPr>
            </w:pPr>
            <w:r>
              <w:rPr>
                <w:rFonts w:hint="eastAsia" w:ascii="宋体" w:hAnsi="宋体" w:cs="宋体"/>
                <w:sz w:val="24"/>
                <w:szCs w:val="24"/>
                <w:lang w:bidi="ar"/>
              </w:rPr>
              <w:t xml:space="preserve">第三方产品（具体见参数要求）</w:t>
            </w:r>
            <w:r/>
          </w:p>
        </w:tc>
        <w:tc>
          <w:tcPr>
            <w:tcW w:w="2295" w:type="pct"/>
            <w:vAlign w:val="center"/>
            <w:textDirection w:val="lrTb"/>
            <w:noWrap w:val="false"/>
          </w:tcPr>
          <w:p>
            <w:pPr>
              <w:jc w:val="center"/>
              <w:widowControl/>
              <w:rPr>
                <w:rFonts w:hint="eastAsia" w:ascii="宋体" w:hAnsi="宋体" w:cs="宋体"/>
                <w:sz w:val="24"/>
                <w:szCs w:val="24"/>
                <w:lang w:bidi="ar"/>
              </w:rPr>
            </w:pPr>
            <w:r>
              <w:rPr>
                <w:rFonts w:hint="eastAsia" w:ascii="宋体" w:hAnsi="宋体" w:cs="宋体"/>
                <w:sz w:val="24"/>
                <w:szCs w:val="24"/>
                <w:lang w:bidi="ar"/>
              </w:rPr>
              <w:t xml:space="preserve">1批</w:t>
            </w:r>
            <w:r/>
          </w:p>
        </w:tc>
      </w:tr>
    </w:tbl>
    <w:p>
      <w:pPr>
        <w:spacing w:line="500" w:lineRule="atLeast"/>
        <w:rPr>
          <w:rFonts w:ascii="宋体" w:cs="宋体"/>
          <w:b/>
          <w:bCs/>
          <w:sz w:val="24"/>
          <w:szCs w:val="24"/>
          <w:lang w:val="zh-CN"/>
        </w:rPr>
      </w:pPr>
      <w:r>
        <w:rPr>
          <w:rFonts w:ascii="宋体" w:cs="宋体"/>
          <w:b/>
          <w:bCs/>
          <w:sz w:val="24"/>
          <w:szCs w:val="24"/>
          <w:lang w:val="zh-CN"/>
        </w:rPr>
      </w:r>
      <w:r/>
    </w:p>
    <w:p>
      <w:pPr>
        <w:ind w:firstLine="361"/>
        <w:spacing w:line="500" w:lineRule="atLeast"/>
        <w:rPr>
          <w:rFonts w:ascii="宋体" w:cs="宋体"/>
          <w:b/>
          <w:bCs/>
          <w:sz w:val="24"/>
          <w:szCs w:val="24"/>
          <w:lang w:val="zh-CN"/>
        </w:rPr>
      </w:pPr>
      <w:r>
        <w:rPr>
          <w:rFonts w:ascii="宋体" w:cs="宋体"/>
          <w:b/>
          <w:bCs/>
          <w:sz w:val="24"/>
          <w:szCs w:val="24"/>
          <w:lang w:val="zh-CN"/>
        </w:rPr>
        <w:t xml:space="preserve">(</w:t>
      </w:r>
      <w:r>
        <w:rPr>
          <w:rFonts w:hint="eastAsia" w:ascii="宋体" w:cs="宋体"/>
          <w:b/>
          <w:bCs/>
          <w:sz w:val="24"/>
          <w:szCs w:val="24"/>
          <w:lang w:val="zh-CN"/>
        </w:rPr>
        <w:t xml:space="preserve">二</w:t>
      </w:r>
      <w:r>
        <w:rPr>
          <w:rFonts w:ascii="宋体" w:cs="宋体"/>
          <w:b/>
          <w:bCs/>
          <w:sz w:val="24"/>
          <w:szCs w:val="24"/>
          <w:lang w:val="zh-CN"/>
        </w:rPr>
        <w:t xml:space="preserve">)</w:t>
      </w:r>
      <w:r>
        <w:rPr>
          <w:rFonts w:hint="eastAsia" w:ascii="宋体" w:cs="宋体"/>
          <w:b/>
          <w:bCs/>
          <w:sz w:val="24"/>
          <w:szCs w:val="24"/>
          <w:lang w:val="zh-CN"/>
        </w:rPr>
        <w:t xml:space="preserve">技术参数及要求</w:t>
      </w:r>
      <w:r/>
    </w:p>
    <w:p>
      <w:pPr>
        <w:ind w:firstLine="361"/>
        <w:spacing w:line="500" w:lineRule="atLeast"/>
        <w:rPr>
          <w:rFonts w:ascii="宋体" w:cs="宋体"/>
          <w:b/>
          <w:bCs/>
          <w:sz w:val="24"/>
          <w:szCs w:val="24"/>
          <w:lang w:val="zh-CN"/>
        </w:rPr>
      </w:pPr>
      <w:r>
        <w:rPr>
          <w:rFonts w:ascii="宋体" w:cs="宋体"/>
          <w:b/>
          <w:bCs/>
          <w:sz w:val="24"/>
          <w:szCs w:val="24"/>
          <w:lang w:val="zh-CN"/>
        </w:rPr>
      </w:r>
      <w:r/>
    </w:p>
    <w:tbl>
      <w:tblPr>
        <w:tblW w:w="8359" w:type="dxa"/>
        <w:jc w:val="center"/>
        <w:tblLook w:val="04A0" w:firstRow="1" w:lastRow="0" w:firstColumn="1" w:lastColumn="0" w:noHBand="0" w:noVBand="1"/>
      </w:tblPr>
      <w:tblGrid>
        <w:gridCol w:w="8359"/>
      </w:tblGrid>
      <w:tr>
        <w:trPr>
          <w:jc w:val="center"/>
          <w:trHeight w:val="319"/>
        </w:trPr>
        <w:tc>
          <w:tcPr>
            <w:tcBorders>
              <w:top w:val="single" w:color="auto"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rPr>
                <w:rFonts w:ascii="宋体" w:hAnsi="宋体" w:cs="宋体"/>
                <w:b/>
                <w:bCs/>
              </w:rPr>
              <w:t xml:space="preserve">一、功能配置要求</w:t>
            </w:r>
            <w:r>
              <w:rPr>
                <w:rFonts w:ascii="宋体" w:hAnsi="宋体" w:cs="宋体"/>
              </w:rPr>
              <w:t xml:space="preserve">：</w:t>
            </w:r>
            <w:r/>
          </w:p>
        </w:tc>
      </w:tr>
      <w:tr>
        <w:trPr>
          <w:jc w:val="center"/>
          <w:trHeight w:val="1345"/>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rPr>
                <w:rFonts w:ascii="宋体" w:hAnsi="宋体" w:cs="宋体"/>
              </w:rPr>
              <w:t xml:space="preserve">★</w:t>
            </w:r>
            <w:r>
              <w:rPr>
                <w:rFonts w:ascii="宋体" w:hAnsi="宋体" w:cs="宋体"/>
                <w:b/>
                <w:bCs/>
              </w:rPr>
              <w:t xml:space="preserve">配置及数量包括</w:t>
            </w:r>
            <w:r>
              <w:rPr>
                <w:rFonts w:ascii="宋体" w:hAnsi="宋体" w:cs="宋体"/>
              </w:rPr>
              <w:t xml:space="preserve">：X线及电子线能量要求、治疗床要求、多叶光栅配置、图像引导模式、治疗模式、放疗计划系统、信息管理系统、第三方产品配置</w:t>
            </w:r>
            <w:r>
              <w:rPr>
                <w:rFonts w:hint="eastAsia" w:ascii="宋体" w:hAnsi="宋体" w:cs="宋体"/>
                <w:sz w:val="24"/>
                <w:szCs w:val="24"/>
              </w:rPr>
              <w:t xml:space="preserve">（定位设备、模室设备、激光灯、质控验证设备等）</w:t>
            </w:r>
            <w:r>
              <w:rPr>
                <w:rFonts w:ascii="宋体" w:hAnsi="宋体" w:cs="宋体"/>
              </w:rPr>
              <w:t xml:space="preserve">等。</w:t>
            </w:r>
            <w:r/>
          </w:p>
        </w:tc>
      </w:tr>
      <w:tr>
        <w:trPr>
          <w:jc w:val="center"/>
          <w:trHeight w:val="247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b/>
                <w:bCs/>
              </w:rPr>
            </w:pPr>
            <w:r>
              <w:rPr>
                <w:rFonts w:ascii="宋体" w:hAnsi="宋体" w:cs="宋体"/>
                <w:b/>
                <w:bCs/>
              </w:rPr>
              <w:t xml:space="preserve">★实质性配置响应要求</w:t>
            </w:r>
            <w:r>
              <w:rPr>
                <w:rFonts w:ascii="宋体" w:hAnsi="宋体" w:cs="宋体"/>
              </w:rPr>
              <w:t xml:space="preserve">：智能全数字化医用直线加速器1台、</w:t>
            </w:r>
            <w:r>
              <w:t xml:space="preserve">光子线及电子线治疗模式</w:t>
            </w:r>
            <w:r>
              <w:t xml:space="preserve">1</w:t>
            </w:r>
            <w:r>
              <w:t xml:space="preserve">套、电动多叶准直器系统</w:t>
            </w:r>
            <w:r>
              <w:t xml:space="preserve">1</w:t>
            </w:r>
            <w:r>
              <w:t xml:space="preserve">套、</w:t>
            </w:r>
            <w:r>
              <w:t xml:space="preserve">MV</w:t>
            </w:r>
            <w:r>
              <w:t xml:space="preserve">级电子射野影像系统</w:t>
            </w:r>
            <w:r>
              <w:t xml:space="preserve">1</w:t>
            </w:r>
            <w:r>
              <w:t xml:space="preserve">套、</w:t>
            </w:r>
            <w:r>
              <w:t xml:space="preserve">KV</w:t>
            </w:r>
            <w:r>
              <w:t xml:space="preserve">级影像引导系统</w:t>
            </w:r>
            <w:r>
              <w:t xml:space="preserve">1</w:t>
            </w:r>
            <w:r>
              <w:t xml:space="preserve">套、调强放射治疗功能</w:t>
            </w:r>
            <w:r>
              <w:t xml:space="preserve">1</w:t>
            </w:r>
            <w:r>
              <w:t xml:space="preserve">套、立体定向放射治疗高级功能</w:t>
            </w:r>
            <w:r>
              <w:t xml:space="preserve">1</w:t>
            </w:r>
            <w:r>
              <w:t xml:space="preserve">套、高精度治疗床</w:t>
            </w:r>
            <w:r>
              <w:t xml:space="preserve">1</w:t>
            </w:r>
            <w:r>
              <w:t xml:space="preserve">套、呼吸门控系统</w:t>
            </w:r>
            <w:r>
              <w:rPr>
                <w:rFonts w:hint="eastAsia"/>
              </w:rPr>
              <w:t xml:space="preserve">2</w:t>
            </w:r>
            <w:r>
              <w:t xml:space="preserve">套、治疗计划系统（至少包含物理师工作站</w:t>
            </w:r>
            <w:r>
              <w:t xml:space="preserve">2</w:t>
            </w:r>
            <w:r>
              <w:t xml:space="preserve">套及医生工作站</w:t>
            </w:r>
            <w:r>
              <w:t xml:space="preserve">3</w:t>
            </w:r>
            <w:r>
              <w:t xml:space="preserve">套）</w:t>
            </w:r>
            <w:r>
              <w:t xml:space="preserve">1</w:t>
            </w:r>
            <w:r>
              <w:t xml:space="preserve">套、肿瘤信息管理系统</w:t>
            </w:r>
            <w:r>
              <w:t xml:space="preserve">1</w:t>
            </w:r>
            <w:r>
              <w:t xml:space="preserve">套、电子线限光筒</w:t>
            </w:r>
            <w:r>
              <w:t xml:space="preserve">1</w:t>
            </w:r>
            <w:r>
              <w:t xml:space="preserve">套、激光定位灯</w:t>
            </w:r>
            <w:r>
              <w:t xml:space="preserve">1</w:t>
            </w:r>
            <w:r>
              <w:t xml:space="preserve">套、维修备件包及维修工具</w:t>
            </w:r>
            <w:r>
              <w:t xml:space="preserve">1</w:t>
            </w:r>
            <w:r>
              <w:t xml:space="preserve">套、质控辅助配套设备</w:t>
            </w:r>
            <w:r>
              <w:t xml:space="preserve">1</w:t>
            </w:r>
            <w:r>
              <w:t xml:space="preserve">套</w:t>
            </w:r>
            <w:r>
              <w:rPr>
                <w:rFonts w:hint="eastAsia"/>
              </w:rPr>
              <w:t xml:space="preserve">、多模态图像处理软件</w:t>
            </w:r>
            <w:r>
              <w:rPr>
                <w:rFonts w:hint="eastAsia"/>
              </w:rPr>
              <w:t xml:space="preserve">1</w:t>
            </w:r>
            <w:r>
              <w:rPr>
                <w:rFonts w:hint="eastAsia"/>
              </w:rPr>
              <w:t xml:space="preserve">套、自动靶区勾画软件</w:t>
            </w:r>
            <w:r>
              <w:rPr>
                <w:rFonts w:hint="eastAsia"/>
              </w:rPr>
              <w:t xml:space="preserve">1</w:t>
            </w:r>
            <w:r>
              <w:rPr>
                <w:rFonts w:hint="eastAsia"/>
              </w:rPr>
              <w:t xml:space="preserve">套</w:t>
            </w:r>
            <w:r>
              <w:rPr>
                <w:rFonts w:ascii="宋体" w:hAnsi="宋体" w:cs="宋体"/>
              </w:rPr>
              <w:t xml:space="preserve">等</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b/>
                <w:bCs/>
              </w:rPr>
            </w:pPr>
            <w:r>
              <w:rPr>
                <w:rFonts w:hint="eastAsia" w:ascii="宋体" w:hAnsi="宋体" w:cs="宋体"/>
                <w:b/>
                <w:bCs/>
                <w:sz w:val="24"/>
                <w:szCs w:val="24"/>
              </w:rPr>
              <w:t xml:space="preserve">★二、保修年限要求：≥5年</w:t>
            </w:r>
            <w:r>
              <w:rPr>
                <w:rFonts w:hint="eastAsia" w:ascii="宋体" w:hAnsi="宋体" w:cs="宋体"/>
                <w:b/>
                <w:bCs/>
                <w:sz w:val="24"/>
                <w:szCs w:val="24"/>
              </w:rPr>
              <w:t xml:space="preserve">(包含本项目所有标的货物)</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b/>
                <w:bCs/>
              </w:rPr>
            </w:pPr>
            <w:r>
              <w:rPr>
                <w:rFonts w:hint="eastAsia" w:ascii="宋体" w:hAnsi="宋体" w:cs="宋体"/>
                <w:b/>
                <w:bCs/>
              </w:rPr>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b/>
                <w:bCs/>
              </w:rPr>
            </w:pPr>
            <w:r>
              <w:rPr>
                <w:rFonts w:ascii="宋体" w:hAnsi="宋体" w:cs="宋体"/>
                <w:b/>
                <w:bCs/>
              </w:rPr>
              <w:t xml:space="preserve">1基础参数</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b/>
              </w:rPr>
            </w:pPr>
            <w:r>
              <w:rPr>
                <w:rFonts w:ascii="宋体" w:hAnsi="宋体" w:cs="宋体"/>
                <w:b/>
              </w:rPr>
              <w:t xml:space="preserve">1.1 X线能量（X射线）</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rPr>
                <w:rFonts w:ascii="宋体" w:hAnsi="宋体" w:cs="宋体"/>
              </w:rPr>
              <w:t xml:space="preserve">1.1.1 X线能量：配备常规均整的6MV、10MV两档 X射线；</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rPr>
                <w:rFonts w:ascii="宋体" w:hAnsi="宋体" w:cs="宋体"/>
              </w:rPr>
              <w:t xml:space="preserve">1.1.2 束流击靶点尺寸：不超过2mm半径的圆点（典型值）；</w:t>
            </w:r>
            <w:r/>
          </w:p>
        </w:tc>
      </w:tr>
      <w:tr>
        <w:trPr>
          <w:jc w:val="center"/>
          <w:trHeight w:val="627"/>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rPr>
                <w:rFonts w:ascii="宋体" w:hAnsi="宋体" w:cs="宋体"/>
              </w:rPr>
              <w:t xml:space="preserve">1.1.3 X线射野尺寸，0.5×0.5cm至40×40cm</w:t>
            </w:r>
            <w:r>
              <w:rPr>
                <w:rFonts w:ascii="宋体" w:hAnsi="宋体" w:cs="宋体"/>
              </w:rPr>
              <w:t xml:space="preserve">(SSD=100cm)</w:t>
            </w:r>
            <w:r>
              <w:rPr>
                <w:rFonts w:ascii="宋体" w:hAnsi="宋体" w:cs="宋体"/>
              </w:rPr>
              <w:t xml:space="preserve">连续可调；</w:t>
            </w:r>
            <w:r/>
          </w:p>
        </w:tc>
      </w:tr>
      <w:tr>
        <w:trPr>
          <w:jc w:val="center"/>
          <w:trHeight w:val="627"/>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rPr>
                <w:rFonts w:ascii="宋体" w:hAnsi="宋体" w:cs="宋体"/>
              </w:rPr>
              <w:t xml:space="preserve">1.1.4 光野与射野的一致性：射野面积小于20cm×20cm时，光野与射野的一致性≤1mm；</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rPr>
                <w:rFonts w:ascii="宋体" w:hAnsi="宋体" w:cs="宋体"/>
              </w:rPr>
              <w:t xml:space="preserve">　</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b/>
              </w:rPr>
            </w:pPr>
            <w:r>
              <w:rPr>
                <w:rFonts w:ascii="宋体" w:hAnsi="宋体" w:cs="宋体"/>
                <w:b/>
              </w:rPr>
              <w:t xml:space="preserve">1.2 加速管</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rPr>
                <w:rFonts w:ascii="宋体" w:hAnsi="宋体" w:cs="宋体"/>
              </w:rPr>
              <w:t xml:space="preserve">1.2.1 加速管类型：驻波/行波；</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b/>
              </w:rPr>
            </w:pPr>
            <w:r>
              <w:rPr>
                <w:rFonts w:hint="eastAsia" w:ascii="宋体" w:hAnsi="宋体" w:cs="宋体"/>
                <w:b/>
              </w:rPr>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b/>
              </w:rPr>
            </w:pPr>
            <w:r>
              <w:rPr>
                <w:rFonts w:ascii="宋体" w:hAnsi="宋体" w:cs="宋体"/>
                <w:b/>
              </w:rPr>
              <w:t xml:space="preserve">1.3 功率源</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rPr>
                <w:rFonts w:ascii="宋体" w:hAnsi="宋体" w:cs="宋体"/>
              </w:rPr>
              <w:t xml:space="preserve">1.3.1微波功率源的最大输出功率≥5MW</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rPr>
                <w:rFonts w:ascii="宋体" w:hAnsi="宋体" w:cs="宋体"/>
              </w:rPr>
              <w:t xml:space="preserve">　</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b/>
              </w:rPr>
            </w:pPr>
            <w:r>
              <w:rPr>
                <w:rFonts w:ascii="宋体" w:hAnsi="宋体" w:cs="宋体"/>
                <w:b/>
              </w:rPr>
              <w:t xml:space="preserve">1.4 电子线</w:t>
            </w:r>
            <w:r/>
          </w:p>
        </w:tc>
      </w:tr>
      <w:tr>
        <w:trPr>
          <w:jc w:val="center"/>
          <w:trHeight w:val="627"/>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rPr>
                <w:rFonts w:ascii="宋体" w:hAnsi="宋体" w:cs="宋体"/>
              </w:rPr>
              <w:t xml:space="preserve">★1.4.1 电子线能量规格：提供临床常用≥五档电子线；（提供产品检测报告或注册证附件产品技术要求或技术白皮书）</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rPr>
                <w:rFonts w:ascii="宋体" w:hAnsi="宋体" w:cs="宋体"/>
              </w:rPr>
              <w:t xml:space="preserve">1.4.2 电子线对称性≤5%；</w:t>
            </w:r>
            <w:r/>
          </w:p>
        </w:tc>
      </w:tr>
      <w:tr>
        <w:trPr>
          <w:jc w:val="center"/>
          <w:trHeight w:val="936"/>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rPr>
                <w:rFonts w:ascii="宋体" w:hAnsi="宋体" w:cs="宋体"/>
              </w:rPr>
              <w:t xml:space="preserve">1.4.3</w:t>
            </w:r>
            <w:r>
              <w:t xml:space="preserve">为减少对周围正常组织的损伤，需提供</w:t>
            </w:r>
            <w:r>
              <w:t xml:space="preserve">≥5</w:t>
            </w:r>
            <w:r>
              <w:t xml:space="preserve">个不同尺寸规格的电子线限光筒，最大尺寸至少</w:t>
            </w:r>
            <w:r>
              <w:t xml:space="preserve">≥25cm*25cm</w:t>
            </w:r>
            <w:r>
              <w:t xml:space="preserve">；</w:t>
            </w:r>
            <w:r>
              <w:rPr>
                <w:rFonts w:ascii="宋体" w:hAnsi="宋体" w:cs="Calibri"/>
              </w:rPr>
              <w:t xml:space="preserve">电子线限光筒安全性：具有机械安全防碰撞联锁装置</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rPr>
                <w:rFonts w:ascii="宋体" w:hAnsi="宋体" w:cs="宋体"/>
              </w:rPr>
              <w:t xml:space="preserve">　</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b/>
              </w:rPr>
            </w:pPr>
            <w:r>
              <w:rPr>
                <w:rFonts w:ascii="宋体" w:hAnsi="宋体" w:cs="宋体"/>
                <w:b/>
              </w:rPr>
              <w:t xml:space="preserve">1.5 机架设计（机械运动系统）</w:t>
            </w:r>
            <w:r/>
          </w:p>
        </w:tc>
      </w:tr>
      <w:tr>
        <w:trPr>
          <w:jc w:val="center"/>
          <w:trHeight w:val="936"/>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t xml:space="preserve">▲</w:t>
            </w:r>
            <w:r>
              <w:rPr>
                <w:rFonts w:ascii="宋体" w:hAnsi="宋体" w:cs="宋体"/>
              </w:rPr>
              <w:t xml:space="preserve">1.5.1 机架旋转角度：≥360°，顺时针和逆时针方向；</w:t>
            </w:r>
            <w:r>
              <w:t xml:space="preserve">准直器系统旋转可旋转范围</w:t>
            </w:r>
            <w:r>
              <w:t xml:space="preserve">≥350°</w:t>
            </w:r>
            <w:r>
              <w:t xml:space="preserve">，机架及准直器旋转精度</w:t>
            </w:r>
            <w:r>
              <w:t xml:space="preserve">≤0.5°</w:t>
            </w:r>
            <w:r>
              <w:t xml:space="preserve">；</w:t>
            </w:r>
            <w:r>
              <w:rPr>
                <w:rFonts w:ascii="宋体" w:hAnsi="宋体" w:cs="宋体"/>
              </w:rPr>
              <w:t xml:space="preserve">（提供产品检测报告或注册证附件产品技术要求或技术白皮书）</w:t>
            </w:r>
            <w:r/>
          </w:p>
        </w:tc>
      </w:tr>
      <w:tr>
        <w:trPr>
          <w:jc w:val="center"/>
          <w:trHeight w:val="1245"/>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rPr>
                <w:rFonts w:ascii="宋体" w:hAnsi="宋体" w:cs="宋体"/>
              </w:rPr>
              <w:t xml:space="preserve">1.5.2机架和治疗床的</w:t>
            </w:r>
            <w:r>
              <w:t xml:space="preserve">综合等中心精度</w:t>
            </w:r>
            <w:r>
              <w:t xml:space="preserve">≤0.8mm</w:t>
            </w:r>
            <w:r>
              <w:t xml:space="preserve">半径球体，等中心到虚源的距离（</w:t>
            </w:r>
            <w:r>
              <w:t xml:space="preserve">TAD</w:t>
            </w:r>
            <w:r>
              <w:t xml:space="preserve">）或源轴距（</w:t>
            </w:r>
            <w:r>
              <w:t xml:space="preserve">SAD</w:t>
            </w:r>
            <w:r>
              <w:t xml:space="preserve">）：</w:t>
            </w:r>
            <w:r>
              <w:t xml:space="preserve">100±0.2cm</w:t>
            </w:r>
            <w:r>
              <w:rPr>
                <w:rFonts w:ascii="宋体" w:hAnsi="宋体" w:cs="宋体"/>
              </w:rPr>
              <w:t xml:space="preserve">；</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t xml:space="preserve">▲</w:t>
            </w:r>
            <w:r>
              <w:rPr>
                <w:rFonts w:ascii="宋体" w:hAnsi="宋体" w:cs="宋体"/>
              </w:rPr>
              <w:t xml:space="preserve">1.5.3</w:t>
            </w:r>
            <w:r>
              <w:t xml:space="preserve">等中心高度</w:t>
            </w:r>
            <w:r>
              <w:t xml:space="preserve">≤130cm</w:t>
            </w:r>
            <w:r>
              <w:rPr>
                <w:rFonts w:ascii="宋体" w:hAnsi="宋体" w:cs="宋体"/>
              </w:rPr>
              <w:t xml:space="preserve">；（提供产品检测报告或注册证附件产品技术要求或技术白皮书）</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rPr>
                <w:rFonts w:ascii="宋体" w:hAnsi="宋体" w:cs="宋体"/>
              </w:rPr>
              <w:t xml:space="preserve">1.5.4</w:t>
            </w:r>
            <w:r>
              <w:t xml:space="preserve">等中心到机头的净空间孔半径</w:t>
            </w:r>
            <w:r>
              <w:t xml:space="preserve">≥41cm</w:t>
            </w:r>
            <w:r>
              <w:rPr>
                <w:rFonts w:ascii="宋体" w:hAnsi="宋体" w:cs="宋体"/>
              </w:rPr>
              <w:t xml:space="preserve">。</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rPr>
                <w:rFonts w:ascii="宋体" w:hAnsi="宋体" w:cs="宋体"/>
              </w:rPr>
              <w:t xml:space="preserve">　</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b/>
              </w:rPr>
            </w:pPr>
            <w:r>
              <w:rPr>
                <w:rFonts w:ascii="宋体" w:hAnsi="宋体" w:cs="宋体"/>
                <w:b/>
              </w:rPr>
              <w:t xml:space="preserve">1.6 治疗床规格</w:t>
            </w:r>
            <w:r/>
          </w:p>
        </w:tc>
      </w:tr>
      <w:tr>
        <w:trPr>
          <w:jc w:val="center"/>
          <w:trHeight w:val="627"/>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t xml:space="preserve">1.6.1 </w:t>
            </w:r>
            <w:r>
              <w:t xml:space="preserve">运动控制：应有调速电机控制，可调速运动；治疗床面板为碳素材料；最大负载能力：</w:t>
            </w:r>
            <w:r>
              <w:t xml:space="preserve">≥200Kg</w:t>
            </w:r>
            <w:r>
              <w:t xml:space="preserve">；</w:t>
            </w:r>
            <w:r/>
          </w:p>
        </w:tc>
      </w:tr>
      <w:tr>
        <w:trPr>
          <w:jc w:val="center"/>
          <w:trHeight w:val="627"/>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t xml:space="preserve">1.6.2 </w:t>
            </w:r>
            <w:r>
              <w:t xml:space="preserve">垂直移动范围：</w:t>
            </w:r>
            <w:r>
              <w:t xml:space="preserve">≥90cm</w:t>
            </w:r>
            <w:r>
              <w:t xml:space="preserve">；前后移动范围：</w:t>
            </w:r>
            <w:r>
              <w:t xml:space="preserve">≥130cm</w:t>
            </w:r>
            <w:r>
              <w:t xml:space="preserve">；左右移动范围：</w:t>
            </w:r>
            <w:r>
              <w:t xml:space="preserve">≥45cm</w:t>
            </w:r>
            <w:r>
              <w:t xml:space="preserve">；</w:t>
            </w:r>
            <w:bookmarkStart w:id="204" w:name="OLE_LINK1"/>
            <w:r>
              <w:rPr>
                <w:rFonts w:ascii="宋体" w:hAnsi="宋体" w:cs="宋体"/>
              </w:rPr>
              <w:t xml:space="preserve">（提供产品检测报告或注册证附件产品技术要求或技术白皮书）</w:t>
            </w:r>
            <w:bookmarkEnd w:id="204"/>
            <w:r/>
            <w:r/>
          </w:p>
        </w:tc>
      </w:tr>
      <w:tr>
        <w:trPr>
          <w:jc w:val="center"/>
          <w:trHeight w:val="627"/>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t xml:space="preserve">1.6.3 </w:t>
            </w:r>
            <w:r>
              <w:t xml:space="preserve">治疗床的等中心旋转</w:t>
            </w:r>
            <w:r>
              <w:t xml:space="preserve">≥±94</w:t>
            </w:r>
            <w:r>
              <w:t xml:space="preserve">度；等中心旋转精度：</w:t>
            </w:r>
            <w:r>
              <w:t xml:space="preserve">≤0.5</w:t>
            </w:r>
            <w:r>
              <w:t xml:space="preserve">度；</w:t>
            </w:r>
            <w:r/>
          </w:p>
        </w:tc>
      </w:tr>
      <w:tr>
        <w:trPr>
          <w:jc w:val="center"/>
          <w:trHeight w:val="627"/>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rPr>
                <w:rFonts w:ascii="宋体" w:hAnsi="宋体" w:cs="宋体"/>
              </w:rPr>
              <w:t xml:space="preserve">▲</w:t>
            </w:r>
            <w:r>
              <w:t xml:space="preserve">1.6.4 </w:t>
            </w:r>
            <w:r>
              <w:t xml:space="preserve">治疗床面可在至少四个维度运动。</w:t>
            </w:r>
            <w:r>
              <w:rPr>
                <w:rFonts w:ascii="宋体" w:hAnsi="宋体" w:cs="宋体"/>
              </w:rPr>
              <w:t xml:space="preserve">（提供产品检测报告或注册证附件产品技术要求或技术白皮书）</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rPr>
                <w:rFonts w:ascii="宋体" w:hAnsi="宋体" w:cs="宋体"/>
              </w:rPr>
              <w:t xml:space="preserve">　</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b/>
              </w:rPr>
            </w:pPr>
            <w:r>
              <w:rPr>
                <w:rFonts w:ascii="宋体" w:hAnsi="宋体" w:cs="宋体"/>
                <w:b/>
              </w:rPr>
              <w:t xml:space="preserve">1.7最大剂量率</w:t>
            </w:r>
            <w:r/>
          </w:p>
        </w:tc>
      </w:tr>
      <w:tr>
        <w:trPr>
          <w:jc w:val="center"/>
          <w:trHeight w:val="627"/>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t xml:space="preserve">1.7.1 </w:t>
            </w:r>
            <w:r>
              <w:t xml:space="preserve">常规均整</w:t>
            </w:r>
            <w:r>
              <w:t xml:space="preserve">X</w:t>
            </w:r>
            <w:r>
              <w:t xml:space="preserve">线最大剂量率：</w:t>
            </w:r>
            <w:r>
              <w:t xml:space="preserve">≥600MU/min</w:t>
            </w:r>
            <w:r>
              <w:t xml:space="preserve">；常规均整电子线最大剂量率：</w:t>
            </w:r>
            <w:r>
              <w:t xml:space="preserve">≥600MU/min</w:t>
            </w:r>
            <w:r>
              <w:t xml:space="preserve">；</w:t>
            </w:r>
            <w:r/>
          </w:p>
        </w:tc>
      </w:tr>
      <w:tr>
        <w:trPr>
          <w:jc w:val="center"/>
          <w:trHeight w:val="90"/>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t xml:space="preserve">1.7.2 </w:t>
            </w:r>
            <w:r>
              <w:t xml:space="preserve">高剂量率模式</w:t>
            </w:r>
            <w:r>
              <w:t xml:space="preserve">X</w:t>
            </w:r>
            <w:r>
              <w:t xml:space="preserve">射线最大剂量率：</w:t>
            </w:r>
            <w:r>
              <w:t xml:space="preserve">≥1400MU/min</w:t>
            </w:r>
            <w:r>
              <w:t xml:space="preserve">；</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rPr>
                <w:rFonts w:ascii="宋体" w:hAnsi="宋体" w:cs="宋体"/>
              </w:rPr>
              <w:t xml:space="preserve">　</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b/>
                <w:bCs/>
              </w:rPr>
            </w:pPr>
            <w:r>
              <w:rPr>
                <w:rFonts w:ascii="宋体" w:hAnsi="宋体" w:cs="宋体"/>
                <w:b/>
                <w:bCs/>
              </w:rPr>
              <w:t xml:space="preserve">2多叶准直器系统</w:t>
            </w:r>
            <w:r/>
          </w:p>
        </w:tc>
      </w:tr>
      <w:tr>
        <w:trPr>
          <w:jc w:val="center"/>
          <w:trHeight w:val="627"/>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rPr>
                <w:rFonts w:ascii="Segoe UI Symbol" w:hAnsi="Segoe UI Symbol" w:cs="Segoe UI Symbol"/>
              </w:rPr>
              <w:t xml:space="preserve">★</w:t>
            </w:r>
            <w:r>
              <w:rPr>
                <w:rFonts w:ascii="宋体" w:hAnsi="宋体" w:cs="宋体"/>
              </w:rPr>
              <w:t xml:space="preserve">2.1 MLC叶片数量：叶片数量≥100片；（提供产品检测报告或注册证附件产品技术要求或技术白皮书）</w:t>
            </w:r>
            <w:r/>
          </w:p>
        </w:tc>
      </w:tr>
      <w:tr>
        <w:trPr>
          <w:jc w:val="center"/>
          <w:trHeight w:val="627"/>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rPr>
                <w:rFonts w:ascii="宋体" w:hAnsi="宋体" w:cs="宋体"/>
              </w:rPr>
              <w:t xml:space="preserve">▲2.2 射野大小：MLC最大射野≥40cm×40cm；（提供产品检测报告或注册证附件产品技术要求或技术白皮书）</w:t>
            </w:r>
            <w:r/>
          </w:p>
        </w:tc>
      </w:tr>
      <w:tr>
        <w:trPr>
          <w:jc w:val="center"/>
          <w:trHeight w:val="627"/>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t xml:space="preserve">2.3 </w:t>
            </w:r>
            <w:r>
              <w:t xml:space="preserve">叶片最小厚度：叶片在等中心平面的最小投影宽度</w:t>
            </w:r>
            <w:r>
              <w:t xml:space="preserve">≤5mm</w:t>
            </w:r>
            <w:r>
              <w:t xml:space="preserve">；</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t xml:space="preserve">2.4 </w:t>
            </w:r>
            <w:r>
              <w:t xml:space="preserve">叶片移动速度：等中心处叶片最大移动速度</w:t>
            </w:r>
            <w:r>
              <w:t xml:space="preserve">≥2.5cm/s</w:t>
            </w:r>
            <w:r>
              <w:t xml:space="preserve">；</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r>
              <w:t xml:space="preserve">2.5 </w:t>
            </w:r>
            <w:r>
              <w:t xml:space="preserve">多叶准直器及钨门最小漏射</w:t>
            </w:r>
            <w:r>
              <w:t xml:space="preserve">率</w:t>
            </w:r>
            <w:r>
              <w:t xml:space="preserve">:</w:t>
            </w:r>
            <w:r>
              <w:t xml:space="preserve"> ≤ 0.02%</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t xml:space="preserve">2.6 </w:t>
            </w:r>
            <w:r>
              <w:t xml:space="preserve">叶片移动距离</w:t>
            </w:r>
            <w:r>
              <w:t xml:space="preserve">≥30cm</w:t>
            </w:r>
            <w:r>
              <w:t xml:space="preserve">；</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r>
              <w:t xml:space="preserve">2.7 </w:t>
            </w:r>
            <w:r>
              <w:t xml:space="preserve">叶片过</w:t>
            </w:r>
            <w:r>
              <w:rPr>
                <w:rFonts w:hint="eastAsia"/>
              </w:rPr>
              <w:t xml:space="preserve">中心</w:t>
            </w:r>
            <w:r>
              <w:t xml:space="preserve">线</w:t>
            </w:r>
            <w:r>
              <w:rPr>
                <w:rFonts w:hint="eastAsia"/>
              </w:rPr>
              <w:t xml:space="preserve">的</w:t>
            </w:r>
            <w:r>
              <w:t xml:space="preserve">距离</w:t>
            </w:r>
            <w:r>
              <w:t xml:space="preserve">≥20cm</w:t>
            </w:r>
            <w:r>
              <w:t xml:space="preserve">；</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rPr>
                <w:rFonts w:ascii="宋体" w:hAnsi="宋体" w:cs="宋体"/>
              </w:rPr>
              <w:t xml:space="preserve">　</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b/>
                <w:bCs/>
              </w:rPr>
            </w:pPr>
            <w:r>
              <w:rPr>
                <w:rFonts w:ascii="宋体" w:hAnsi="宋体" w:cs="宋体"/>
                <w:b/>
                <w:bCs/>
              </w:rPr>
              <w:t xml:space="preserve">3 图像引导及验证系统</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b/>
              </w:rPr>
            </w:pPr>
            <w:r>
              <w:rPr>
                <w:rFonts w:ascii="宋体" w:hAnsi="宋体" w:cs="宋体"/>
                <w:b/>
              </w:rPr>
              <w:t xml:space="preserve">3.1 千伏级影像系统：</w:t>
            </w:r>
            <w:r/>
          </w:p>
        </w:tc>
      </w:tr>
      <w:tr>
        <w:trPr>
          <w:jc w:val="center"/>
          <w:trHeight w:val="627"/>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t xml:space="preserve">3.1.1 </w:t>
            </w:r>
            <w:r>
              <w:t xml:space="preserve">成像方式：支持</w:t>
            </w:r>
            <w:r>
              <w:t xml:space="preserve">X</w:t>
            </w:r>
            <w:r>
              <w:t xml:space="preserve">光拍片，透视，和容积影像（锥形束</w:t>
            </w:r>
            <w:r>
              <w:t xml:space="preserve">CT</w:t>
            </w:r>
            <w:r>
              <w:t xml:space="preserve">）模式或</w:t>
            </w:r>
            <w:r>
              <w:t xml:space="preserve">CT</w:t>
            </w:r>
            <w:r>
              <w:t xml:space="preserve">图像引导方式支持同机模拟定位和治疗</w:t>
            </w:r>
            <w:r>
              <w:rPr>
                <w:rFonts w:ascii="宋体" w:hAnsi="宋体" w:cs="宋体"/>
              </w:rPr>
              <w:t xml:space="preserve">；</w:t>
            </w:r>
            <w:r/>
          </w:p>
        </w:tc>
      </w:tr>
      <w:tr>
        <w:trPr>
          <w:jc w:val="center"/>
          <w:trHeight w:val="936"/>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rPr>
                <w:rFonts w:ascii="Segoe UI Symbol" w:hAnsi="Segoe UI Symbol" w:cs="Segoe UI Symbol"/>
              </w:rPr>
              <w:t xml:space="preserve">★</w:t>
            </w:r>
            <w:r>
              <w:t xml:space="preserve">3.1.2 </w:t>
            </w:r>
            <w:r>
              <w:t xml:space="preserve">具备四维容积影像模式（如不具备</w:t>
            </w:r>
            <w:r>
              <w:t xml:space="preserve">4D </w:t>
            </w:r>
            <w:r>
              <w:t xml:space="preserve">容积影像模式则需要提供正交实时引导系统）；</w:t>
            </w:r>
            <w:r>
              <w:rPr>
                <w:rFonts w:ascii="宋体" w:hAnsi="宋体" w:cs="宋体"/>
              </w:rPr>
              <w:t xml:space="preserve">（提供产品检测报告或注册证附件产品技术要求或技术白皮书）</w:t>
            </w:r>
            <w:r/>
          </w:p>
        </w:tc>
      </w:tr>
      <w:tr>
        <w:trPr>
          <w:jc w:val="center"/>
          <w:trHeight w:val="627"/>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t xml:space="preserve">▲3.1.3 </w:t>
            </w:r>
            <w:r>
              <w:t xml:space="preserve">采用与加速器共用同一旋转机架的</w:t>
            </w:r>
            <w:r>
              <w:t xml:space="preserve">KV</w:t>
            </w:r>
            <w:r>
              <w:t xml:space="preserve">级影像引导系统，</w:t>
            </w:r>
            <w:r>
              <w:t xml:space="preserve">KV</w:t>
            </w:r>
            <w:r>
              <w:t xml:space="preserve">系统整体应集成于加速器上；</w:t>
            </w:r>
            <w:r>
              <w:rPr>
                <w:rFonts w:ascii="宋体" w:hAnsi="宋体" w:cs="宋体"/>
              </w:rPr>
              <w:t xml:space="preserve">（提供产品检测报告或注册证附件产品技术要求或技术白皮书）</w:t>
            </w:r>
            <w:r/>
          </w:p>
        </w:tc>
      </w:tr>
      <w:tr>
        <w:trPr>
          <w:jc w:val="center"/>
          <w:trHeight w:val="936"/>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t xml:space="preserve">3.1.4 </w:t>
            </w:r>
            <w:r>
              <w:t xml:space="preserve">高压发生器：</w:t>
            </w:r>
            <w:r>
              <w:t xml:space="preserve">≥35kW</w:t>
            </w:r>
            <w:r>
              <w:t xml:space="preserve">；双焦点尺寸：小焦点</w:t>
            </w:r>
            <w:r>
              <w:t xml:space="preserve">≤0.5mm</w:t>
            </w:r>
            <w:r>
              <w:t xml:space="preserve">，大焦点</w:t>
            </w:r>
            <w:r>
              <w:t xml:space="preserve">≤1.0mm</w:t>
            </w:r>
            <w:r>
              <w:t xml:space="preserve">或采用</w:t>
            </w:r>
            <w:r>
              <w:t xml:space="preserve">CT</w:t>
            </w:r>
            <w:r>
              <w:t xml:space="preserve">图像引导方式的球管阳极热容量</w:t>
            </w:r>
            <w:r>
              <w:t xml:space="preserve">≥5MHU</w:t>
            </w:r>
            <w:r>
              <w:t xml:space="preserve">；</w:t>
            </w:r>
            <w:r/>
          </w:p>
        </w:tc>
      </w:tr>
      <w:tr>
        <w:trPr>
          <w:jc w:val="center"/>
          <w:trHeight w:val="627"/>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t xml:space="preserve">3.1.5 KV</w:t>
            </w:r>
            <w:r>
              <w:t xml:space="preserve">级非晶硅平板探测器成像尺寸：</w:t>
            </w:r>
            <w:r>
              <w:t xml:space="preserve">≥40cm×40cm</w:t>
            </w:r>
            <w:r>
              <w:t xml:space="preserve">或采用</w:t>
            </w:r>
            <w:r>
              <w:t xml:space="preserve">CT</w:t>
            </w:r>
            <w:r>
              <w:t xml:space="preserve">图像引导方式的探测器排数</w:t>
            </w:r>
            <w:r>
              <w:t xml:space="preserve">≥40</w:t>
            </w:r>
            <w:r>
              <w:t xml:space="preserve">排；</w:t>
            </w:r>
            <w:r/>
          </w:p>
        </w:tc>
      </w:tr>
      <w:tr>
        <w:trPr>
          <w:jc w:val="center"/>
          <w:trHeight w:val="574"/>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t xml:space="preserve">3.1.6 KV</w:t>
            </w:r>
            <w:r>
              <w:t xml:space="preserve">级</w:t>
            </w:r>
            <w:r>
              <w:t xml:space="preserve">CBCT</w:t>
            </w:r>
            <w:r>
              <w:t xml:space="preserve">影像扫描孔径：</w:t>
            </w:r>
            <w:r>
              <w:t xml:space="preserve">≥80cm</w:t>
            </w:r>
            <w:r>
              <w:t xml:space="preserve">。</w:t>
            </w:r>
            <w:r/>
          </w:p>
        </w:tc>
      </w:tr>
      <w:tr>
        <w:trPr>
          <w:jc w:val="center"/>
          <w:trHeight w:val="627"/>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t xml:space="preserve">3.1.7 </w:t>
            </w:r>
            <w:r>
              <w:t xml:space="preserve">图像矩阵（空间分辨率）：</w:t>
            </w:r>
            <w:r>
              <w:t xml:space="preserve">≥1024×1024</w:t>
            </w:r>
            <w:r>
              <w:t xml:space="preserve">或</w:t>
            </w:r>
            <w:r>
              <w:t xml:space="preserve">CT</w:t>
            </w:r>
            <w:r>
              <w:t xml:space="preserve">图像引导方式图像空间分辨率</w:t>
            </w:r>
            <w:r>
              <w:t xml:space="preserve">≥18 LP/CM@0MTF</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b/>
              </w:rPr>
            </w:pPr>
            <w:r>
              <w:rPr>
                <w:rFonts w:ascii="宋体" w:hAnsi="宋体" w:cs="宋体"/>
                <w:b/>
              </w:rPr>
              <w:t xml:space="preserve">3.2 三维X线容积图像</w:t>
            </w:r>
            <w:r/>
          </w:p>
        </w:tc>
      </w:tr>
      <w:tr>
        <w:trPr>
          <w:jc w:val="center"/>
          <w:trHeight w:val="627"/>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t xml:space="preserve">3.2.1 </w:t>
            </w:r>
            <w:r>
              <w:t xml:space="preserve">影像重建：</w:t>
            </w:r>
            <w:r>
              <w:t xml:space="preserve">KV</w:t>
            </w:r>
            <w:r>
              <w:t xml:space="preserve">级影像引导系统</w:t>
            </w:r>
            <w:r>
              <w:t xml:space="preserve">CBCT</w:t>
            </w:r>
            <w:r>
              <w:t xml:space="preserve">重建长度</w:t>
            </w:r>
            <w:r>
              <w:t xml:space="preserve">≥</w:t>
            </w:r>
            <w:r>
              <w:rPr>
                <w:rFonts w:hint="eastAsia"/>
              </w:rPr>
              <w:t xml:space="preserve">2</w:t>
            </w:r>
            <w:r>
              <w:t xml:space="preserve">0cm</w:t>
            </w:r>
            <w:r>
              <w:t xml:space="preserve">或采用</w:t>
            </w:r>
            <w:r>
              <w:t xml:space="preserve">CT</w:t>
            </w:r>
            <w:r>
              <w:t xml:space="preserve">图像引导方式扫描视野</w:t>
            </w:r>
            <w:r>
              <w:t xml:space="preserve"> </w:t>
            </w:r>
            <w:r>
              <w:t xml:space="preserve">（</w:t>
            </w:r>
            <w:r>
              <w:t xml:space="preserve">FOV</w:t>
            </w:r>
            <w:r>
              <w:t xml:space="preserve">）</w:t>
            </w:r>
            <w:r>
              <w:t xml:space="preserve">≥50cm</w:t>
            </w:r>
            <w:r>
              <w:t xml:space="preserve">。</w:t>
            </w:r>
            <w:r>
              <w:rPr>
                <w:rFonts w:hint="eastAsia"/>
              </w:rPr>
              <w:t xml:space="preserve">                                                                         </w:t>
            </w:r>
            <w:r>
              <w:rPr>
                <w:rFonts w:hint="eastAsia"/>
              </w:rPr>
              <w:t xml:space="preserve">                                                                                                                                                                                                                                                                </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rPr>
                <w:rFonts w:ascii="宋体" w:hAnsi="宋体" w:cs="宋体"/>
              </w:rPr>
              <w:t xml:space="preserve">　</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textDirection w:val="lrTb"/>
            <w:noWrap w:val="false"/>
          </w:tcPr>
          <w:p>
            <w:pPr>
              <w:rPr>
                <w:rFonts w:hint="eastAsia" w:ascii="宋体" w:hAnsi="宋体"/>
                <w:b/>
                <w:bCs/>
              </w:rPr>
            </w:pPr>
            <w:r>
              <w:rPr>
                <w:rFonts w:ascii="宋体" w:hAnsi="宋体"/>
                <w:b/>
                <w:bCs/>
              </w:rPr>
              <w:t xml:space="preserve">3.3 治疗过程中的同步影像引导系统</w:t>
            </w:r>
            <w:r>
              <w:rPr>
                <w:rFonts w:ascii="宋体" w:hAnsi="宋体"/>
              </w:rPr>
              <w:t xml:space="preserve">：</w:t>
            </w:r>
            <w:r/>
          </w:p>
        </w:tc>
      </w:tr>
      <w:tr>
        <w:trPr>
          <w:jc w:val="center"/>
          <w:trHeight w:val="936"/>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rPr>
                <w:rFonts w:ascii="宋体" w:hAnsi="宋体"/>
              </w:rPr>
              <w:t xml:space="preserve">3.3.1 治疗过程中的MV级治疗束流治疗与KV级影像射束可同步采集功能，且互不干扰；2D实时影像引导功能或触发影像功能或正交实时引导系统</w:t>
            </w:r>
            <w:r>
              <w:rPr>
                <w:rFonts w:ascii="宋体" w:hAnsi="宋体" w:cs="宋体"/>
              </w:rPr>
              <w:t xml:space="preserve">；</w:t>
            </w:r>
            <w:r/>
          </w:p>
        </w:tc>
      </w:tr>
      <w:tr>
        <w:trPr>
          <w:jc w:val="center"/>
          <w:trHeight w:val="1245"/>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t xml:space="preserve">3.3.2</w:t>
            </w:r>
            <w:r>
              <w:rPr>
                <w:rFonts w:hint="eastAsia"/>
              </w:rPr>
              <w:t xml:space="preserve">投标人须提供投标品牌最新的机载影像系统，并提供证明材料（如医科达的</w:t>
            </w:r>
            <w:r>
              <w:rPr>
                <w:rFonts w:hint="eastAsia"/>
              </w:rPr>
              <w:t xml:space="preserve">HQCBCT,</w:t>
            </w:r>
            <w:r>
              <w:rPr>
                <w:rFonts w:hint="eastAsia"/>
              </w:rPr>
              <w:t xml:space="preserve">瓦里安的</w:t>
            </w:r>
            <w:r>
              <w:rPr>
                <w:rFonts w:hint="eastAsia"/>
              </w:rPr>
              <w:t xml:space="preserve">iCBCT</w:t>
            </w:r>
            <w:r>
              <w:rPr>
                <w:rFonts w:hint="eastAsia"/>
              </w:rPr>
              <w:t xml:space="preserve">，联影的诊断级</w:t>
            </w:r>
            <w:r>
              <w:rPr>
                <w:rFonts w:hint="eastAsia"/>
              </w:rPr>
              <w:t xml:space="preserve">CT</w:t>
            </w:r>
            <w:r>
              <w:rPr>
                <w:rFonts w:hint="eastAsia"/>
              </w:rPr>
              <w:t xml:space="preserve">，其他品牌类同）。</w:t>
            </w:r>
            <w:r>
              <w:t xml:space="preserve"> </w:t>
            </w:r>
            <w:r>
              <w:t xml:space="preserve">达到</w:t>
            </w:r>
            <w:r>
              <w:rPr>
                <w:rFonts w:hint="eastAsia"/>
              </w:rPr>
              <w:t xml:space="preserve">精准</w:t>
            </w:r>
            <w:r>
              <w:t xml:space="preserve">监测治疗过程中的治疗误差的目的。（提供产品检测报告或注册证附件产品技术要求或技术白皮书）</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274"/>
        </w:trPr>
        <w:tc>
          <w:tcPr>
            <w:tcBorders>
              <w:top w:val="none" w:color="000000" w:sz="4" w:space="0"/>
              <w:left w:val="single" w:color="auto" w:sz="4" w:space="0"/>
              <w:bottom w:val="single" w:color="auto" w:sz="4" w:space="0"/>
              <w:right w:val="single" w:color="auto" w:sz="4" w:space="0"/>
            </w:tcBorders>
            <w:tcW w:w="8359" w:type="dxa"/>
            <w:textDirection w:val="lrTb"/>
            <w:noWrap w:val="false"/>
          </w:tcPr>
          <w:p>
            <w:pPr>
              <w:rPr>
                <w:rFonts w:hint="eastAsia" w:ascii="宋体" w:hAnsi="宋体"/>
                <w:b/>
                <w:bCs/>
              </w:rPr>
            </w:pPr>
            <w:r>
              <w:rPr>
                <w:rFonts w:ascii="宋体" w:hAnsi="宋体"/>
                <w:b/>
                <w:bCs/>
              </w:rPr>
              <w:t xml:space="preserve">3.4 兆伏级影像系统（EPID）：</w:t>
            </w:r>
            <w:r/>
          </w:p>
        </w:tc>
      </w:tr>
      <w:tr>
        <w:trPr>
          <w:jc w:val="center"/>
          <w:trHeight w:val="360"/>
        </w:trPr>
        <w:tc>
          <w:tcPr>
            <w:tcBorders>
              <w:top w:val="none" w:color="000000" w:sz="4" w:space="0"/>
              <w:left w:val="single" w:color="auto" w:sz="4" w:space="0"/>
              <w:bottom w:val="single" w:color="auto" w:sz="4" w:space="0"/>
              <w:right w:val="single" w:color="auto" w:sz="4" w:space="0"/>
            </w:tcBorders>
            <w:tcW w:w="8359" w:type="dxa"/>
            <w:textDirection w:val="lrTb"/>
            <w:noWrap w:val="false"/>
          </w:tcPr>
          <w:p>
            <w:pPr>
              <w:rPr>
                <w:rFonts w:hint="eastAsia" w:ascii="宋体" w:hAnsi="宋体"/>
              </w:rPr>
            </w:pPr>
            <w:r>
              <w:rPr>
                <w:rFonts w:ascii="宋体" w:hAnsi="宋体"/>
              </w:rPr>
              <w:t xml:space="preserve">3.4.1非晶硅影像探测板，探测器尺寸≥40cm×40cm；</w:t>
            </w:r>
            <w:r/>
          </w:p>
        </w:tc>
      </w:tr>
      <w:tr>
        <w:trPr>
          <w:jc w:val="center"/>
          <w:trHeight w:val="627"/>
        </w:trPr>
        <w:tc>
          <w:tcPr>
            <w:tcBorders>
              <w:top w:val="none" w:color="000000" w:sz="4" w:space="0"/>
              <w:left w:val="single" w:color="auto" w:sz="4" w:space="0"/>
              <w:bottom w:val="single" w:color="auto" w:sz="4" w:space="0"/>
              <w:right w:val="single" w:color="auto" w:sz="4" w:space="0"/>
            </w:tcBorders>
            <w:tcW w:w="8359" w:type="dxa"/>
            <w:textDirection w:val="lrTb"/>
            <w:noWrap w:val="false"/>
          </w:tcPr>
          <w:p>
            <w:pPr>
              <w:rPr>
                <w:rFonts w:hint="eastAsia" w:ascii="宋体" w:hAnsi="宋体"/>
              </w:rPr>
            </w:pPr>
            <w:r>
              <w:rPr>
                <w:rFonts w:ascii="宋体" w:hAnsi="宋体" w:cs="宋体"/>
              </w:rPr>
              <w:t xml:space="preserve">▲</w:t>
            </w:r>
            <w:r>
              <w:rPr>
                <w:rFonts w:ascii="宋体" w:hAnsi="宋体"/>
              </w:rPr>
              <w:t xml:space="preserve">3.4.2 空间分辨率≥</w:t>
            </w:r>
            <w:r>
              <w:rPr>
                <w:rFonts w:hint="eastAsia" w:ascii="宋体" w:hAnsi="宋体"/>
              </w:rPr>
              <w:t xml:space="preserve">1024*1024</w:t>
            </w:r>
            <w:r>
              <w:rPr>
                <w:rFonts w:ascii="宋体" w:hAnsi="宋体"/>
              </w:rPr>
              <w:t xml:space="preserve">像素；像素灰度分辨率≥16bit/pixel；</w:t>
            </w:r>
            <w:r>
              <w:rPr>
                <w:rFonts w:ascii="宋体" w:hAnsi="宋体" w:cs="宋体"/>
              </w:rPr>
              <w:t xml:space="preserve">（提供产品检测报告或注册证附件产品技术要求或技术白皮书）</w:t>
            </w:r>
            <w:r/>
          </w:p>
        </w:tc>
      </w:tr>
      <w:tr>
        <w:trPr>
          <w:jc w:val="center"/>
          <w:trHeight w:val="90"/>
        </w:trPr>
        <w:tc>
          <w:tcPr>
            <w:tcBorders>
              <w:top w:val="none" w:color="000000" w:sz="4" w:space="0"/>
              <w:left w:val="single" w:color="auto" w:sz="4" w:space="0"/>
              <w:bottom w:val="single" w:color="auto" w:sz="4" w:space="0"/>
              <w:right w:val="single" w:color="auto" w:sz="4" w:space="0"/>
            </w:tcBorders>
            <w:tcW w:w="8359" w:type="dxa"/>
            <w:textDirection w:val="lrTb"/>
            <w:noWrap w:val="false"/>
          </w:tcPr>
          <w:p>
            <w:pPr>
              <w:rPr>
                <w:rFonts w:hint="eastAsia" w:ascii="宋体" w:hAnsi="宋体"/>
              </w:rPr>
            </w:pPr>
            <w:r>
              <w:rPr>
                <w:rFonts w:ascii="宋体" w:hAnsi="宋体"/>
              </w:rPr>
              <w:t xml:space="preserve">3.4.3 图像采集帧频：≥20帧/秒</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rPr>
                <w:b/>
                <w:bCs/>
              </w:rPr>
              <w:t xml:space="preserve">3.5 </w:t>
            </w:r>
            <w:r>
              <w:rPr>
                <w:b/>
                <w:bCs/>
              </w:rPr>
              <w:t xml:space="preserve">快速质控功能</w:t>
            </w:r>
            <w:r/>
          </w:p>
        </w:tc>
      </w:tr>
      <w:tr>
        <w:trPr>
          <w:jc w:val="center"/>
          <w:trHeight w:val="627"/>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t xml:space="preserve">▲3.5.1 </w:t>
            </w:r>
            <w:r>
              <w:t xml:space="preserve">本系统用机载影像对机器参数进行快速一体化检测和晨检流程；提供专用质控模体（列明型号）。</w:t>
            </w:r>
            <w:r/>
          </w:p>
        </w:tc>
      </w:tr>
      <w:tr>
        <w:trPr>
          <w:jc w:val="center"/>
          <w:trHeight w:val="1245"/>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t xml:space="preserve">3.5.2</w:t>
            </w:r>
            <w:r>
              <w:t xml:space="preserve">高效</w:t>
            </w:r>
            <w:r>
              <w:t xml:space="preserve">QA</w:t>
            </w:r>
            <w:r>
              <w:t xml:space="preserve">功能，利用专用模体，可完成下述</w:t>
            </w:r>
            <w:r>
              <w:t xml:space="preserve">QA</w:t>
            </w:r>
            <w:r>
              <w:t xml:space="preserve">检查：机械性能检查包含但不限于：治疗等中心范围</w:t>
            </w:r>
            <w:r>
              <w:t xml:space="preserve">/</w:t>
            </w:r>
            <w:r>
              <w:t xml:space="preserve">定位、治疗等中心与影像等中心的一致性、准直器旋转误差、机架定位精度、</w:t>
            </w:r>
            <w:r>
              <w:t xml:space="preserve">MLC </w:t>
            </w:r>
            <w:r>
              <w:t xml:space="preserve">叶片位置。</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b/>
              </w:rPr>
            </w:pPr>
            <w:r>
              <w:rPr>
                <w:rFonts w:hint="eastAsia" w:ascii="宋体" w:hAnsi="宋体" w:cs="宋体"/>
                <w:b/>
              </w:rPr>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b/>
              </w:rPr>
            </w:pPr>
            <w:r>
              <w:rPr>
                <w:rFonts w:ascii="宋体" w:hAnsi="宋体" w:cs="宋体"/>
                <w:b/>
              </w:rPr>
              <w:t xml:space="preserve">3.6</w:t>
            </w:r>
            <w:r>
              <w:rPr>
                <w:b/>
                <w:bCs/>
              </w:rPr>
              <w:t xml:space="preserve"> </w:t>
            </w:r>
            <w:r>
              <w:rPr>
                <w:b/>
                <w:bCs/>
              </w:rPr>
              <w:t xml:space="preserve">呼吸门控系统</w:t>
            </w:r>
            <w:r/>
          </w:p>
        </w:tc>
      </w:tr>
      <w:tr>
        <w:trPr>
          <w:jc w:val="center"/>
          <w:trHeight w:val="1553"/>
        </w:trPr>
        <w:tc>
          <w:tcPr>
            <w:tcBorders>
              <w:top w:val="none" w:color="000000" w:sz="4" w:space="0"/>
              <w:left w:val="single" w:color="auto" w:sz="4" w:space="0"/>
              <w:bottom w:val="single" w:color="auto" w:sz="4" w:space="0"/>
              <w:right w:val="single" w:color="auto" w:sz="4" w:space="0"/>
            </w:tcBorders>
            <w:tcW w:w="8359" w:type="dxa"/>
            <w:textDirection w:val="lrTb"/>
            <w:noWrap w:val="false"/>
          </w:tcPr>
          <w:p>
            <w:r>
              <w:rPr>
                <w:rFonts w:ascii="Segoe UI Symbol" w:hAnsi="Segoe UI Symbol" w:cs="Segoe UI Symbol"/>
              </w:rPr>
              <w:t xml:space="preserve">★</w:t>
            </w:r>
            <w:r>
              <w:t xml:space="preserve">3.6.1 </w:t>
            </w:r>
            <w:r>
              <w:t xml:space="preserve">需满足临床开展对呼吸运动进行管理的功能（提供主动呼吸控制系统或自由呼吸门控系统或光学体表追踪系统），提供</w:t>
            </w:r>
            <w:r>
              <w:rPr>
                <w:rFonts w:hint="eastAsia"/>
              </w:rPr>
              <w:t xml:space="preserve">2</w:t>
            </w:r>
            <w:r>
              <w:t xml:space="preserve">套呼吸门控能同时满足加速器端和大孔径</w:t>
            </w:r>
            <w:r>
              <w:t xml:space="preserve">CT</w:t>
            </w:r>
            <w:r>
              <w:t xml:space="preserve">端的使用、提供呼吸门控的软硬件系统（含系统的控制与数据分析）；</w:t>
            </w:r>
            <w:r>
              <w:t xml:space="preserve"> </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b/>
                <w:bCs/>
              </w:rPr>
            </w:pPr>
            <w:r>
              <w:rPr>
                <w:b/>
                <w:bCs/>
              </w:rPr>
              <w:t xml:space="preserve">4.</w:t>
            </w:r>
            <w:r>
              <w:rPr>
                <w:b/>
                <w:bCs/>
              </w:rPr>
              <w:t xml:space="preserve">治疗功能需求</w:t>
            </w:r>
            <w:r/>
          </w:p>
        </w:tc>
      </w:tr>
      <w:tr>
        <w:trPr>
          <w:jc w:val="center"/>
          <w:trHeight w:val="627"/>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rPr>
                <w:rFonts w:ascii="宋体" w:hAnsi="宋体" w:cs="宋体"/>
              </w:rPr>
              <w:t xml:space="preserve">4.1</w:t>
            </w:r>
            <w:r>
              <w:t xml:space="preserve">具备三维适形放疗，动</w:t>
            </w:r>
            <w:r>
              <w:t xml:space="preserve">/</w:t>
            </w:r>
            <w:r>
              <w:t xml:space="preserve">静态调强放射治疗，立体放射治疗，容积旋转调强治疗</w:t>
            </w:r>
            <w:r/>
          </w:p>
        </w:tc>
      </w:tr>
      <w:tr>
        <w:trPr>
          <w:jc w:val="center"/>
          <w:trHeight w:val="1862"/>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r>
              <w:t xml:space="preserve">▲4.2 </w:t>
            </w:r>
            <w:r>
              <w:t xml:space="preserve">具备高精度立体定向放射外科高级治疗功能，满足颅脑及体部肿瘤的多靶区精细化治疗需求。需提供外挂微型多叶光栅系统及实时正交影像系统或高精动态放射外科治疗功能。</w:t>
            </w:r>
            <w:r>
              <w:t xml:space="preserve">(</w:t>
            </w:r>
            <w:r>
              <w:t xml:space="preserve">各</w:t>
            </w:r>
            <w:r>
              <w:t xml:space="preserve">厂家需提供上述功能的所有软硬件，并提供该功能原厂详细配置，产品技术说明或注册证附件产品技术要求或技术</w:t>
            </w:r>
            <w:r>
              <w:t xml:space="preserve">白皮书</w:t>
            </w:r>
            <w:r>
              <w:t xml:space="preserve">)</w:t>
            </w:r>
            <w:r/>
          </w:p>
        </w:tc>
      </w:tr>
      <w:tr>
        <w:trPr>
          <w:jc w:val="center"/>
          <w:trHeight w:val="936"/>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rPr>
                <w:rFonts w:ascii="Segoe UI Symbol" w:hAnsi="Segoe UI Symbol" w:cs="Segoe UI Symbol"/>
              </w:rPr>
              <w:t xml:space="preserve">★</w:t>
            </w:r>
            <w:r>
              <w:rPr>
                <w:rFonts w:ascii="宋体" w:hAnsi="宋体" w:cs="宋体"/>
              </w:rPr>
              <w:t xml:space="preserve">4.3 提供可视化呼吸训练装置</w:t>
            </w:r>
            <w:r>
              <w:rPr>
                <w:rFonts w:ascii="宋体" w:hAnsi="宋体" w:cs="宋体"/>
              </w:rPr>
              <w:t xml:space="preserve">(可配三方)</w:t>
            </w:r>
            <w:r>
              <w:rPr>
                <w:rFonts w:ascii="宋体" w:hAnsi="宋体" w:cs="宋体"/>
              </w:rPr>
              <w:t xml:space="preserve">，支持显示呼吸的当前位置和目标位置，从而为病人提供视频反馈，提高呼吸过程位置的精确度，协助指导病人如何呼吸</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rPr>
                <w:rFonts w:hint="eastAsia" w:ascii="宋体" w:hAnsi="宋体" w:cs="宋体"/>
              </w:rPr>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b/>
                <w:bCs/>
              </w:rPr>
            </w:pPr>
            <w:r>
              <w:rPr>
                <w:rFonts w:ascii="宋体" w:hAnsi="宋体" w:cs="宋体"/>
                <w:b/>
                <w:bCs/>
              </w:rPr>
              <w:t xml:space="preserve">5 放疗计划系统（包括医生工作站、物理师工作站等）</w:t>
            </w:r>
            <w:r/>
          </w:p>
        </w:tc>
      </w:tr>
      <w:tr>
        <w:trPr>
          <w:jc w:val="center"/>
          <w:trHeight w:val="627"/>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t xml:space="preserve">▲</w:t>
            </w:r>
            <w:r>
              <w:rPr>
                <w:rFonts w:hint="eastAsia" w:ascii="Segoe UI Symbol" w:hAnsi="Segoe UI Symbol" w:cs="Segoe UI Symbol"/>
              </w:rPr>
              <w:t xml:space="preserve">5.1 </w:t>
            </w:r>
            <w:r>
              <w:rPr>
                <w:rFonts w:hint="eastAsia" w:ascii="Segoe UI Symbol" w:hAnsi="Segoe UI Symbol" w:cs="Segoe UI Symbol"/>
              </w:rPr>
              <w:t xml:space="preserve">提供最新配置</w:t>
            </w:r>
            <w:r>
              <w:rPr>
                <w:rFonts w:hint="eastAsia" w:ascii="Segoe UI Symbol" w:hAnsi="Segoe UI Symbol" w:cs="Segoe UI Symbol"/>
              </w:rPr>
              <w:t xml:space="preserve">2</w:t>
            </w:r>
            <w:r>
              <w:rPr>
                <w:rFonts w:hint="eastAsia" w:ascii="Segoe UI Symbol" w:hAnsi="Segoe UI Symbol" w:cs="Segoe UI Symbol"/>
              </w:rPr>
              <w:t xml:space="preserve">套计划系统物理师工作站和</w:t>
            </w:r>
            <w:r>
              <w:rPr>
                <w:rFonts w:hint="eastAsia" w:ascii="Segoe UI Symbol" w:hAnsi="Segoe UI Symbol" w:cs="Segoe UI Symbol"/>
              </w:rPr>
              <w:t xml:space="preserve">3</w:t>
            </w:r>
            <w:r>
              <w:rPr>
                <w:rFonts w:hint="eastAsia" w:ascii="Segoe UI Symbol" w:hAnsi="Segoe UI Symbol" w:cs="Segoe UI Symbol"/>
              </w:rPr>
              <w:t xml:space="preserve">套医生工作站，物理师工作站具备</w:t>
            </w:r>
            <w:r>
              <w:rPr>
                <w:rFonts w:hint="eastAsia" w:ascii="Segoe UI Symbol" w:hAnsi="Segoe UI Symbol" w:cs="Segoe UI Symbol"/>
              </w:rPr>
              <w:t xml:space="preserve">GPU</w:t>
            </w:r>
            <w:r>
              <w:rPr>
                <w:rFonts w:hint="eastAsia" w:ascii="Segoe UI Symbol" w:hAnsi="Segoe UI Symbol" w:cs="Segoe UI Symbol"/>
              </w:rPr>
              <w:t xml:space="preserve">加速运算功能，支持对各类放疗计划的计划优化过程加速（如</w:t>
            </w:r>
            <w:r>
              <w:rPr>
                <w:rFonts w:hint="eastAsia" w:ascii="Segoe UI Symbol" w:hAnsi="Segoe UI Symbol" w:cs="Segoe UI Symbol"/>
              </w:rPr>
              <w:t xml:space="preserve">IMRT</w:t>
            </w:r>
            <w:r>
              <w:rPr>
                <w:rFonts w:hint="eastAsia" w:ascii="Segoe UI Symbol" w:hAnsi="Segoe UI Symbol" w:cs="Segoe UI Symbol"/>
              </w:rPr>
              <w:t xml:space="preserve">、</w:t>
            </w:r>
            <w:r>
              <w:rPr>
                <w:rFonts w:hint="eastAsia" w:ascii="Segoe UI Symbol" w:hAnsi="Segoe UI Symbol" w:cs="Segoe UI Symbol"/>
              </w:rPr>
              <w:t xml:space="preserve">ARC</w:t>
            </w:r>
            <w:r>
              <w:rPr>
                <w:rFonts w:hint="eastAsia" w:ascii="Segoe UI Symbol" w:hAnsi="Segoe UI Symbol" w:cs="Segoe UI Symbol"/>
              </w:rPr>
              <w:t xml:space="preserve">等），支持对蒙卡级精度算法的剂量计算加速；</w:t>
            </w:r>
            <w:r/>
          </w:p>
        </w:tc>
      </w:tr>
      <w:tr>
        <w:trPr>
          <w:jc w:val="center"/>
          <w:trHeight w:val="1245"/>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t xml:space="preserve">▲5.1.1 </w:t>
            </w:r>
            <w:r>
              <w:t xml:space="preserve">三维调强放射治疗计划系统，用于设计制定三维适形以及调强放射治疗计划设计，提供与加速器配套的原厂治疗计划系统，剂量计算要求为蒙特卡罗算法或类蒙卡算法</w:t>
            </w:r>
            <w:r>
              <w:rPr>
                <w:rFonts w:ascii="宋体" w:hAnsi="宋体" w:cs="宋体"/>
              </w:rPr>
              <w:t xml:space="preserve">（提供产品检测报告或注册证或技术白皮书）</w:t>
            </w:r>
            <w:r>
              <w:t xml:space="preserve">；</w:t>
            </w:r>
            <w:r/>
          </w:p>
        </w:tc>
      </w:tr>
      <w:tr>
        <w:trPr>
          <w:jc w:val="center"/>
          <w:trHeight w:val="627"/>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rPr>
                <w:rFonts w:ascii="宋体" w:hAnsi="宋体" w:cs="宋体"/>
              </w:rPr>
              <w:t xml:space="preserve">5.1.2 光子线和电子线剂量计算支持蒙特卡洛或类蒙卡算法；</w:t>
            </w:r>
            <w:r/>
          </w:p>
        </w:tc>
      </w:tr>
      <w:tr>
        <w:trPr>
          <w:jc w:val="center"/>
          <w:trHeight w:val="627"/>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rPr>
                <w:rFonts w:ascii="宋体" w:hAnsi="宋体"/>
              </w:rPr>
              <w:t xml:space="preserve">5.1.3 </w:t>
            </w:r>
            <w:r>
              <w:t xml:space="preserve">具有</w:t>
            </w:r>
            <w:r>
              <w:t xml:space="preserve">DICOM RT</w:t>
            </w:r>
            <w:r>
              <w:t xml:space="preserve">接口</w:t>
            </w:r>
            <w:r>
              <w:t xml:space="preserve">,</w:t>
            </w:r>
            <w:r>
              <w:t xml:space="preserve">可与网络系统，治疗计划系统和其它第三方放射治疗产品相联接；</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t xml:space="preserve">5.1.4 </w:t>
            </w:r>
            <w:r>
              <w:t xml:space="preserve">具有旋转治疗、适形治疗、调强治疗、</w:t>
            </w:r>
            <w:r>
              <w:t xml:space="preserve">VMAT</w:t>
            </w:r>
            <w:r>
              <w:t xml:space="preserve">治疗等治疗模式</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b/>
                <w:bCs/>
              </w:rPr>
            </w:pPr>
            <w:r>
              <w:rPr>
                <w:rFonts w:hint="eastAsia" w:ascii="宋体" w:hAnsi="宋体" w:cs="宋体"/>
                <w:b/>
                <w:bCs/>
              </w:rPr>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b/>
                <w:bCs/>
              </w:rPr>
            </w:pPr>
            <w:r>
              <w:rPr>
                <w:rFonts w:ascii="宋体" w:hAnsi="宋体" w:cs="宋体"/>
                <w:b/>
                <w:bCs/>
              </w:rPr>
              <w:t xml:space="preserve">6 放疗数据管理信息系统</w:t>
            </w:r>
            <w:r/>
          </w:p>
        </w:tc>
      </w:tr>
      <w:tr>
        <w:trPr>
          <w:jc w:val="center"/>
          <w:trHeight w:val="319"/>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b/>
              </w:rPr>
            </w:pPr>
            <w:r>
              <w:rPr>
                <w:rFonts w:ascii="宋体" w:hAnsi="宋体" w:cs="宋体"/>
                <w:b/>
              </w:rPr>
              <w:t xml:space="preserve">6.1 配置及功能要求</w:t>
            </w:r>
            <w:r/>
          </w:p>
        </w:tc>
      </w:tr>
      <w:tr>
        <w:trPr>
          <w:jc w:val="center"/>
          <w:trHeight w:val="1245"/>
        </w:trPr>
        <w:tc>
          <w:tcPr>
            <w:tcBorders>
              <w:top w:val="none" w:color="000000"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rPr>
            </w:pPr>
            <w:r>
              <w:t xml:space="preserve">6.1.1</w:t>
            </w:r>
            <w:r>
              <w:t xml:space="preserve">提供肿瘤信息管理系统：</w:t>
            </w:r>
            <w:r>
              <w:t xml:space="preserve">1</w:t>
            </w:r>
            <w:r>
              <w:t xml:space="preserve">套；网络工作站</w:t>
            </w:r>
            <w:r>
              <w:t xml:space="preserve">≥3</w:t>
            </w:r>
            <w:r>
              <w:t xml:space="preserve">台；用户终端授权</w:t>
            </w:r>
            <w:r>
              <w:t xml:space="preserve">≥3</w:t>
            </w:r>
            <w:r>
              <w:t xml:space="preserve">个；放射治疗记录和验证系统：可连接并驱动目前国内市场上多品牌主流放疗设备，可对直线加速器的治疗数据（包括</w:t>
            </w:r>
            <w:r>
              <w:t xml:space="preserve">MLC</w:t>
            </w:r>
            <w:r>
              <w:t xml:space="preserve">、</w:t>
            </w:r>
            <w:r>
              <w:t xml:space="preserve">MU</w:t>
            </w:r>
            <w:r>
              <w:t xml:space="preserve">值等机器参数）进行实时记录并验证；能执行自动放疗程序和记录加速器实际运行情况；</w:t>
            </w:r>
            <w:r/>
          </w:p>
        </w:tc>
      </w:tr>
      <w:tr>
        <w:trPr>
          <w:jc w:val="center"/>
          <w:trHeight w:val="1245"/>
        </w:trPr>
        <w:tc>
          <w:tcPr>
            <w:tcBorders>
              <w:top w:val="none" w:color="000000" w:sz="4" w:space="0"/>
              <w:left w:val="single" w:color="auto" w:sz="4" w:space="0"/>
              <w:bottom w:val="single" w:color="auto" w:sz="4" w:space="0"/>
              <w:right w:val="single" w:color="auto" w:sz="4" w:space="0"/>
            </w:tcBorders>
            <w:tcW w:w="8359" w:type="dxa"/>
            <w:textDirection w:val="lrTb"/>
            <w:noWrap w:val="false"/>
          </w:tcPr>
          <w:p>
            <w:r>
              <w:t xml:space="preserve">6.1.2 </w:t>
            </w:r>
            <w:r>
              <w:t xml:space="preserve">影像管理功能：放疗网络终端能够共享</w:t>
            </w:r>
            <w:r>
              <w:t xml:space="preserve">CT-Sim</w:t>
            </w:r>
            <w:r>
              <w:t xml:space="preserve">、兆伏级影像系统（</w:t>
            </w:r>
            <w:r>
              <w:t xml:space="preserve">EPID</w:t>
            </w:r>
            <w:r>
              <w:t xml:space="preserve">）和</w:t>
            </w:r>
            <w:r>
              <w:t xml:space="preserve">Cone Beam CT</w:t>
            </w:r>
            <w:r>
              <w:t xml:space="preserve">等影像资源，可实现查询、浏览、图像处理、编辑等功能；具备摆位验证功能，提供图像配准工具，统计分析患者摆位误差，实现摆位质控；</w:t>
            </w:r>
            <w:r/>
          </w:p>
        </w:tc>
      </w:tr>
      <w:tr>
        <w:trPr>
          <w:jc w:val="center"/>
          <w:trHeight w:val="627"/>
        </w:trPr>
        <w:tc>
          <w:tcPr>
            <w:tcBorders>
              <w:top w:val="none" w:color="000000" w:sz="4" w:space="0"/>
              <w:left w:val="single" w:color="auto" w:sz="4" w:space="0"/>
              <w:bottom w:val="single" w:color="auto" w:sz="4" w:space="0"/>
              <w:right w:val="single" w:color="auto" w:sz="4" w:space="0"/>
            </w:tcBorders>
            <w:tcW w:w="8359" w:type="dxa"/>
            <w:textDirection w:val="lrTb"/>
            <w:noWrap w:val="false"/>
          </w:tcPr>
          <w:p>
            <w:r>
              <w:t xml:space="preserve">6.1.3 </w:t>
            </w:r>
            <w:r>
              <w:t xml:space="preserve">具备放疗流程信息化管理功能：提供实现放疗信息化管理系统所需功能的软硬件配置。</w:t>
            </w:r>
            <w:r/>
          </w:p>
        </w:tc>
      </w:tr>
      <w:tr>
        <w:trPr>
          <w:jc w:val="center"/>
          <w:trHeight w:val="936"/>
        </w:trPr>
        <w:tc>
          <w:tcPr>
            <w:tcBorders>
              <w:top w:val="none" w:color="000000" w:sz="4" w:space="0"/>
              <w:left w:val="single" w:color="auto" w:sz="4" w:space="0"/>
              <w:bottom w:val="single" w:color="auto" w:sz="4" w:space="0"/>
              <w:right w:val="single" w:color="auto" w:sz="4" w:space="0"/>
            </w:tcBorders>
            <w:tcW w:w="8359" w:type="dxa"/>
            <w:textDirection w:val="lrTb"/>
            <w:noWrap w:val="false"/>
          </w:tcPr>
          <w:p>
            <w:r>
              <w:t xml:space="preserve">6.1.4</w:t>
            </w:r>
            <w:r>
              <w:t xml:space="preserve">提供肿瘤放疗管理功能模块，具有基础统计数据信息、诊断信息、分期信息、放射治疗数据管理、治疗报告和工作流管理工具。</w:t>
            </w:r>
            <w:r/>
          </w:p>
        </w:tc>
      </w:tr>
      <w:tr>
        <w:trPr>
          <w:jc w:val="center"/>
          <w:trHeight w:val="1245"/>
        </w:trPr>
        <w:tc>
          <w:tcPr>
            <w:tcBorders>
              <w:top w:val="none" w:color="000000" w:sz="4" w:space="0"/>
              <w:left w:val="single" w:color="auto" w:sz="4" w:space="0"/>
              <w:bottom w:val="single" w:color="auto" w:sz="4" w:space="0"/>
              <w:right w:val="single" w:color="auto" w:sz="4" w:space="0"/>
            </w:tcBorders>
            <w:tcW w:w="8359" w:type="dxa"/>
            <w:textDirection w:val="lrTb"/>
            <w:noWrap/>
          </w:tcPr>
          <w:p>
            <w:r>
              <w:t xml:space="preserve">6.1.5</w:t>
            </w:r>
            <w:r>
              <w:t xml:space="preserve">提供肿瘤影像管理功能模块，可以让用户浏览患者的影像，通过定位影像与治疗影像的对比来确认患者摆位是否正确，还提供对患者的</w:t>
            </w:r>
            <w:r>
              <w:t xml:space="preserve">MV</w:t>
            </w:r>
            <w:r>
              <w:t xml:space="preserve">、</w:t>
            </w:r>
            <w:r>
              <w:t xml:space="preserve">kV</w:t>
            </w:r>
            <w:r>
              <w:t xml:space="preserve">以及</w:t>
            </w:r>
            <w:r>
              <w:t xml:space="preserve">CBCT</w:t>
            </w:r>
            <w:r>
              <w:t xml:space="preserve">影像的增强和分析工具。</w:t>
            </w:r>
            <w:r/>
          </w:p>
        </w:tc>
      </w:tr>
      <w:tr>
        <w:trPr>
          <w:jc w:val="center"/>
          <w:trHeight w:val="1245"/>
        </w:trPr>
        <w:tc>
          <w:tcPr>
            <w:tcBorders>
              <w:top w:val="none" w:color="000000" w:sz="4" w:space="0"/>
              <w:left w:val="single" w:color="auto" w:sz="4" w:space="0"/>
              <w:bottom w:val="single" w:color="auto" w:sz="4" w:space="0"/>
              <w:right w:val="single" w:color="auto" w:sz="4" w:space="0"/>
            </w:tcBorders>
            <w:tcW w:w="8359" w:type="dxa"/>
            <w:textDirection w:val="lrTb"/>
            <w:noWrap/>
          </w:tcPr>
          <w:p>
            <w:r>
              <w:t xml:space="preserve">6.1.6</w:t>
            </w:r>
            <w:r>
              <w:t xml:space="preserve">提供疾病管理功能，包含电子病例功能，使临床工作人员在患者的整个治疗流程中都可以对患者健康信息进行评估、监测、记录和存档。用户可以在文档工作区对电子病例中患者相关文档进行创建、显示和储存，包括文档批准。</w:t>
            </w:r>
            <w:r/>
          </w:p>
        </w:tc>
      </w:tr>
      <w:tr>
        <w:trPr>
          <w:jc w:val="center"/>
          <w:trHeight w:val="329"/>
        </w:trPr>
        <w:tc>
          <w:tcPr>
            <w:tcBorders>
              <w:top w:val="single" w:color="auto"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b/>
              </w:rPr>
            </w:pPr>
            <w:r>
              <w:rPr>
                <w:rFonts w:ascii="宋体" w:hAnsi="宋体" w:cs="宋体"/>
                <w:b/>
              </w:rPr>
              <w:t xml:space="preserve">6.2信息管理系统所涉及的网络接口费用全部由中标方承担。　</w:t>
            </w:r>
            <w:r/>
          </w:p>
        </w:tc>
      </w:tr>
      <w:tr>
        <w:trPr>
          <w:jc w:val="center"/>
          <w:trHeight w:val="329"/>
        </w:trPr>
        <w:tc>
          <w:tcPr>
            <w:tcBorders>
              <w:top w:val="single" w:color="auto" w:sz="4" w:space="0"/>
              <w:left w:val="single" w:color="auto" w:sz="4" w:space="0"/>
              <w:bottom w:val="single" w:color="auto" w:sz="4" w:space="0"/>
              <w:right w:val="single" w:color="auto" w:sz="4" w:space="0"/>
            </w:tcBorders>
            <w:tcW w:w="8359" w:type="dxa"/>
            <w:vAlign w:val="center"/>
            <w:textDirection w:val="lrTb"/>
            <w:noWrap w:val="false"/>
          </w:tcPr>
          <w:p>
            <w:pPr>
              <w:rPr>
                <w:rFonts w:hint="eastAsia" w:ascii="宋体" w:hAnsi="宋体" w:cs="宋体"/>
                <w:b/>
              </w:rPr>
            </w:pPr>
            <w:r>
              <w:rPr>
                <w:rFonts w:hint="eastAsia" w:ascii="宋体" w:hAnsi="宋体" w:cs="宋体"/>
                <w:b/>
              </w:rPr>
            </w:r>
            <w:r/>
          </w:p>
        </w:tc>
      </w:tr>
    </w:tbl>
    <w:p>
      <w:r/>
      <w:r/>
    </w:p>
    <w:p>
      <w:pPr>
        <w:rPr>
          <w:rFonts w:ascii="宋体" w:cs="宋体"/>
          <w:sz w:val="24"/>
          <w:szCs w:val="24"/>
          <w:lang w:val="zh-CN"/>
        </w:rPr>
      </w:pPr>
      <w:r>
        <w:rPr>
          <w:rFonts w:ascii="宋体" w:cs="宋体"/>
          <w:sz w:val="24"/>
          <w:szCs w:val="24"/>
          <w:lang w:val="zh-CN"/>
        </w:rPr>
      </w:r>
      <w:r/>
    </w:p>
    <w:p>
      <w:pPr>
        <w:rPr>
          <w:rFonts w:ascii="宋体" w:cs="宋体"/>
          <w:sz w:val="24"/>
          <w:szCs w:val="24"/>
          <w:lang w:val="zh-CN"/>
        </w:rPr>
      </w:pPr>
      <w:r>
        <w:rPr>
          <w:rFonts w:hint="eastAsia" w:ascii="宋体" w:cs="宋体"/>
          <w:sz w:val="24"/>
          <w:szCs w:val="24"/>
          <w:lang w:val="zh-CN"/>
        </w:rPr>
        <w:t xml:space="preserve">其他配置要求：</w:t>
      </w:r>
      <w:r/>
    </w:p>
    <w:p>
      <w:pPr>
        <w:rPr>
          <w:rFonts w:ascii="宋体" w:cs="宋体"/>
          <w:sz w:val="24"/>
          <w:szCs w:val="24"/>
          <w:lang w:val="zh-CN"/>
        </w:rPr>
      </w:pPr>
      <w:r>
        <w:rPr>
          <w:rFonts w:ascii="宋体" w:cs="宋体"/>
          <w:sz w:val="24"/>
          <w:szCs w:val="24"/>
          <w:lang w:val="zh-CN"/>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590"/>
        <w:gridCol w:w="7040"/>
      </w:tblGrid>
      <w:tr>
        <w:trPr/>
        <w:tc>
          <w:tcPr>
            <w:tcW w:w="1590" w:type="dxa"/>
            <w:textDirection w:val="lrTb"/>
            <w:noWrap w:val="false"/>
          </w:tcPr>
          <w:p>
            <w:pPr>
              <w:rPr>
                <w:rFonts w:ascii="宋体" w:cs="宋体"/>
                <w:sz w:val="24"/>
                <w:szCs w:val="24"/>
                <w:lang w:val="zh-CN"/>
              </w:rPr>
            </w:pPr>
            <w:r>
              <w:rPr>
                <w:rFonts w:hint="eastAsia"/>
                <w:b/>
                <w:bCs/>
              </w:rPr>
              <w:t xml:space="preserve">★</w:t>
            </w:r>
            <w:r>
              <w:rPr>
                <w:rFonts w:hint="eastAsia" w:ascii="宋体" w:cs="宋体"/>
                <w:sz w:val="24"/>
                <w:szCs w:val="24"/>
                <w:lang w:val="zh-CN"/>
              </w:rPr>
              <w:t xml:space="preserve">其他质控设备及商务要求</w:t>
            </w:r>
            <w:r/>
          </w:p>
        </w:tc>
        <w:tc>
          <w:tcPr>
            <w:tcW w:w="7040" w:type="dxa"/>
            <w:textDirection w:val="lrTb"/>
            <w:noWrap w:val="false"/>
          </w:tcPr>
          <w:p>
            <w:pPr>
              <w:rPr>
                <w:rFonts w:ascii="宋体" w:cs="宋体"/>
                <w:sz w:val="24"/>
                <w:szCs w:val="24"/>
                <w:lang w:val="zh-CN"/>
              </w:rPr>
            </w:pPr>
            <w:r>
              <w:rPr>
                <w:rFonts w:hint="eastAsia" w:ascii="宋体" w:cs="宋体"/>
                <w:sz w:val="24"/>
                <w:szCs w:val="24"/>
              </w:rPr>
              <w:t xml:space="preserve">1、</w:t>
            </w:r>
            <w:r>
              <w:rPr>
                <w:rFonts w:hint="eastAsia" w:ascii="宋体" w:cs="宋体"/>
                <w:sz w:val="24"/>
                <w:szCs w:val="24"/>
                <w:lang w:val="zh-CN"/>
              </w:rPr>
              <w:t xml:space="preserve">激光定位系统 2套（绿色激光灯，一套固定式（加速器）、一套移动式（CT模拟机））</w:t>
            </w:r>
            <w:r/>
          </w:p>
          <w:p>
            <w:pPr>
              <w:rPr>
                <w:rFonts w:ascii="宋体" w:cs="宋体"/>
                <w:sz w:val="24"/>
                <w:szCs w:val="24"/>
                <w:lang w:val="zh-CN"/>
              </w:rPr>
            </w:pPr>
            <w:r>
              <w:rPr>
                <w:rFonts w:hint="eastAsia" w:ascii="宋体" w:cs="宋体"/>
                <w:sz w:val="24"/>
                <w:szCs w:val="24"/>
              </w:rPr>
              <w:t xml:space="preserve">2、</w:t>
            </w:r>
            <w:r>
              <w:rPr>
                <w:rFonts w:hint="eastAsia" w:ascii="宋体" w:cs="宋体"/>
                <w:sz w:val="24"/>
                <w:szCs w:val="24"/>
                <w:lang w:val="zh-CN"/>
              </w:rPr>
              <w:t xml:space="preserve">放疗呼吸运动管理系统</w:t>
            </w:r>
            <w:r>
              <w:rPr>
                <w:rFonts w:hint="eastAsia" w:ascii="宋体" w:cs="宋体"/>
                <w:sz w:val="24"/>
                <w:szCs w:val="24"/>
              </w:rPr>
              <w:t xml:space="preserve">2</w:t>
            </w:r>
            <w:r>
              <w:rPr>
                <w:rFonts w:hint="eastAsia" w:ascii="宋体" w:cs="宋体"/>
                <w:sz w:val="24"/>
                <w:szCs w:val="24"/>
                <w:lang w:val="zh-CN"/>
              </w:rPr>
              <w:t xml:space="preserve">套、光学体表追踪系统</w:t>
            </w:r>
            <w:r>
              <w:rPr>
                <w:rFonts w:hint="eastAsia" w:ascii="宋体" w:cs="宋体"/>
                <w:sz w:val="24"/>
                <w:szCs w:val="24"/>
              </w:rPr>
              <w:t xml:space="preserve">1</w:t>
            </w:r>
            <w:r>
              <w:rPr>
                <w:rFonts w:hint="eastAsia" w:ascii="宋体" w:cs="宋体"/>
                <w:sz w:val="24"/>
                <w:szCs w:val="24"/>
                <w:lang w:val="zh-CN"/>
              </w:rPr>
              <w:t xml:space="preserve">套（支持加速器和大孔径端）</w:t>
            </w:r>
            <w:r/>
          </w:p>
          <w:p>
            <w:pPr>
              <w:rPr>
                <w:rFonts w:ascii="宋体" w:cs="宋体"/>
                <w:sz w:val="24"/>
                <w:szCs w:val="24"/>
                <w:lang w:val="zh-CN"/>
              </w:rPr>
            </w:pPr>
            <w:r>
              <w:rPr>
                <w:rFonts w:hint="eastAsia" w:ascii="宋体" w:cs="宋体"/>
                <w:sz w:val="24"/>
                <w:szCs w:val="24"/>
              </w:rPr>
              <w:t xml:space="preserve">3、</w:t>
            </w:r>
            <w:r>
              <w:rPr>
                <w:rFonts w:hint="eastAsia" w:ascii="宋体" w:cs="宋体"/>
                <w:sz w:val="24"/>
                <w:szCs w:val="24"/>
                <w:lang w:val="zh-CN"/>
              </w:rPr>
              <w:t xml:space="preserve">维修备件包（原厂，具体包含哪些）及维修工具 1套</w:t>
            </w:r>
            <w:r/>
          </w:p>
          <w:p>
            <w:pPr>
              <w:rPr>
                <w:rFonts w:ascii="宋体" w:cs="宋体"/>
                <w:sz w:val="24"/>
                <w:szCs w:val="24"/>
                <w:lang w:val="zh-CN"/>
              </w:rPr>
            </w:pPr>
            <w:r>
              <w:rPr>
                <w:rFonts w:hint="eastAsia" w:ascii="宋体" w:cs="宋体"/>
                <w:sz w:val="24"/>
                <w:szCs w:val="24"/>
              </w:rPr>
              <w:t xml:space="preserve">4、</w:t>
            </w:r>
            <w:r>
              <w:rPr>
                <w:rFonts w:hint="eastAsia" w:ascii="宋体" w:cs="宋体"/>
                <w:sz w:val="24"/>
                <w:szCs w:val="24"/>
                <w:lang w:val="zh-CN"/>
              </w:rPr>
              <w:t xml:space="preserve">UPS稳压电源（服务器，不同于现有三相稳压电源）</w:t>
            </w:r>
            <w:r>
              <w:rPr>
                <w:rFonts w:hint="eastAsia" w:ascii="宋体" w:cs="宋体"/>
                <w:sz w:val="24"/>
                <w:szCs w:val="24"/>
              </w:rPr>
              <w:t xml:space="preserve">1</w:t>
            </w:r>
            <w:r>
              <w:rPr>
                <w:rFonts w:hint="eastAsia" w:ascii="宋体" w:cs="宋体"/>
                <w:sz w:val="24"/>
                <w:szCs w:val="24"/>
                <w:lang w:val="zh-CN"/>
              </w:rPr>
              <w:t xml:space="preserve">套</w:t>
            </w:r>
            <w:r/>
          </w:p>
          <w:p>
            <w:pPr>
              <w:rPr>
                <w:rFonts w:ascii="宋体" w:cs="宋体"/>
                <w:sz w:val="24"/>
                <w:szCs w:val="24"/>
                <w:lang w:val="zh-CN"/>
              </w:rPr>
            </w:pPr>
            <w:r>
              <w:rPr>
                <w:rFonts w:hint="eastAsia" w:ascii="宋体" w:cs="宋体"/>
                <w:sz w:val="24"/>
                <w:szCs w:val="24"/>
              </w:rPr>
              <w:t xml:space="preserve">5、</w:t>
            </w:r>
            <w:r>
              <w:rPr>
                <w:rFonts w:hint="eastAsia" w:ascii="宋体" w:cs="宋体"/>
                <w:sz w:val="24"/>
                <w:szCs w:val="24"/>
                <w:lang w:val="zh-CN"/>
              </w:rPr>
              <w:t xml:space="preserve">质控辅助配套设备 1套：</w:t>
            </w:r>
            <w:r/>
          </w:p>
          <w:p>
            <w:pPr>
              <w:rPr>
                <w:rFonts w:ascii="宋体" w:cs="宋体"/>
                <w:sz w:val="24"/>
                <w:szCs w:val="24"/>
                <w:lang w:val="zh-CN"/>
              </w:rPr>
            </w:pPr>
            <w:r>
              <w:rPr>
                <w:rFonts w:hint="eastAsia" w:ascii="宋体" w:cs="宋体"/>
                <w:sz w:val="24"/>
                <w:szCs w:val="24"/>
                <w:lang w:val="zh-CN"/>
              </w:rPr>
              <w:t xml:space="preserve">质控辅助配套设备（包含但不限于剂量仪1台，三维验证</w:t>
            </w:r>
            <w:r>
              <w:rPr>
                <w:rFonts w:hint="eastAsia" w:ascii="宋体" w:cs="宋体"/>
                <w:sz w:val="24"/>
                <w:szCs w:val="24"/>
              </w:rPr>
              <w:t xml:space="preserve">1</w:t>
            </w:r>
            <w:r>
              <w:rPr>
                <w:rFonts w:hint="eastAsia" w:ascii="宋体" w:cs="宋体"/>
                <w:sz w:val="24"/>
                <w:szCs w:val="24"/>
                <w:lang w:val="zh-CN"/>
              </w:rPr>
              <w:t xml:space="preserve">套、二维剂量验证矩阵仪</w:t>
            </w:r>
            <w:r>
              <w:rPr>
                <w:rFonts w:hint="eastAsia" w:ascii="宋体" w:cs="宋体"/>
                <w:sz w:val="24"/>
                <w:szCs w:val="24"/>
              </w:rPr>
              <w:t xml:space="preserve">1</w:t>
            </w:r>
            <w:r>
              <w:rPr>
                <w:rFonts w:hint="eastAsia" w:ascii="宋体" w:cs="宋体"/>
                <w:sz w:val="24"/>
                <w:szCs w:val="24"/>
                <w:lang w:val="zh-CN"/>
              </w:rPr>
              <w:t xml:space="preserve">套，一维电动水箱1台，固体水1套，SRS小野验证1套，晨检仪1台、等中心校准仪1套、全身立体定向固定体架1套、常规碳纤维体架2套、俯卧位体架2套、乳腺托架2套（含相关附件）、射线报警仪1个、个人剂量仪·6个）</w:t>
            </w:r>
            <w:r/>
          </w:p>
          <w:p>
            <w:pPr>
              <w:rPr>
                <w:rFonts w:ascii="宋体" w:cs="宋体"/>
                <w:sz w:val="24"/>
                <w:szCs w:val="24"/>
                <w:lang w:val="zh-CN"/>
              </w:rPr>
            </w:pPr>
            <w:r>
              <w:rPr>
                <w:rFonts w:hint="eastAsia" w:ascii="宋体" w:cs="宋体"/>
                <w:sz w:val="24"/>
                <w:szCs w:val="24"/>
              </w:rPr>
              <w:t xml:space="preserve">6、</w:t>
            </w:r>
            <w:r>
              <w:rPr>
                <w:rFonts w:hint="eastAsia" w:ascii="宋体" w:cs="宋体"/>
                <w:sz w:val="24"/>
                <w:szCs w:val="24"/>
                <w:lang w:val="zh-CN"/>
              </w:rPr>
              <w:t xml:space="preserve">免费移机一次（</w:t>
            </w:r>
            <w:r>
              <w:rPr>
                <w:rFonts w:hint="eastAsia" w:ascii="宋体" w:cs="宋体"/>
                <w:sz w:val="24"/>
                <w:szCs w:val="24"/>
              </w:rPr>
              <w:t xml:space="preserve">质保期内</w:t>
            </w:r>
            <w:r>
              <w:rPr>
                <w:rFonts w:hint="eastAsia" w:ascii="宋体" w:cs="宋体"/>
                <w:sz w:val="24"/>
                <w:szCs w:val="24"/>
                <w:lang w:val="zh-CN"/>
              </w:rPr>
              <w:t xml:space="preserve">），如后期无移机需求，在投标质保期基础上延长1年保修</w:t>
            </w:r>
            <w:r>
              <w:rPr>
                <w:rFonts w:hint="eastAsia" w:ascii="宋体" w:cs="宋体"/>
                <w:sz w:val="24"/>
                <w:szCs w:val="24"/>
              </w:rPr>
              <w:t xml:space="preserve">。</w:t>
            </w:r>
            <w:r/>
          </w:p>
          <w:p>
            <w:pPr>
              <w:rPr>
                <w:rFonts w:ascii="宋体" w:cs="宋体"/>
                <w:sz w:val="24"/>
                <w:szCs w:val="24"/>
                <w:lang w:val="zh-CN"/>
              </w:rPr>
            </w:pPr>
            <w:r>
              <w:rPr>
                <w:rFonts w:hint="eastAsia" w:ascii="宋体" w:cs="宋体"/>
                <w:sz w:val="24"/>
                <w:szCs w:val="24"/>
              </w:rPr>
              <w:t xml:space="preserve">7、</w:t>
            </w:r>
            <w:r>
              <w:rPr>
                <w:rFonts w:hint="eastAsia" w:ascii="宋体" w:cs="宋体"/>
                <w:sz w:val="24"/>
                <w:szCs w:val="24"/>
                <w:lang w:val="zh-CN"/>
              </w:rPr>
              <w:t xml:space="preserve">机房交钥匙工程。</w:t>
            </w:r>
            <w:r/>
          </w:p>
          <w:p>
            <w:pPr>
              <w:rPr>
                <w:rFonts w:ascii="宋体" w:cs="宋体"/>
                <w:sz w:val="24"/>
                <w:szCs w:val="24"/>
                <w:lang w:val="zh-CN"/>
              </w:rPr>
            </w:pPr>
            <w:r>
              <w:rPr>
                <w:rFonts w:hint="eastAsia" w:ascii="宋体" w:cs="宋体"/>
                <w:sz w:val="24"/>
                <w:szCs w:val="24"/>
              </w:rPr>
              <w:t xml:space="preserve">8、</w:t>
            </w:r>
            <w:r>
              <w:rPr>
                <w:rFonts w:hint="eastAsia" w:ascii="宋体" w:cs="宋体"/>
                <w:sz w:val="24"/>
                <w:szCs w:val="24"/>
                <w:lang w:val="zh-CN"/>
              </w:rPr>
              <w:t xml:space="preserve">人员进修培训（医生、技师、物理师、工程师等）</w:t>
            </w:r>
            <w:r/>
          </w:p>
          <w:p>
            <w:pPr>
              <w:rPr>
                <w:rFonts w:ascii="宋体" w:cs="宋体"/>
                <w:sz w:val="24"/>
                <w:szCs w:val="24"/>
                <w:lang w:val="zh-CN"/>
              </w:rPr>
            </w:pPr>
            <w:r>
              <w:rPr>
                <w:rFonts w:hint="eastAsia" w:ascii="宋体" w:cs="宋体"/>
                <w:sz w:val="24"/>
                <w:szCs w:val="24"/>
              </w:rPr>
              <w:t xml:space="preserve">9、</w:t>
            </w:r>
            <w:r>
              <w:rPr>
                <w:rFonts w:hint="eastAsia" w:ascii="宋体" w:cs="宋体"/>
                <w:sz w:val="24"/>
                <w:szCs w:val="24"/>
                <w:lang w:val="zh-CN"/>
              </w:rPr>
              <w:t xml:space="preserve">电子线铅块制作相关配套（熔铅炉、排风柜、自动切割机、模具、模板及相关附属工具）</w:t>
            </w:r>
            <w:r/>
          </w:p>
        </w:tc>
      </w:tr>
    </w:tbl>
    <w:p>
      <w:pPr>
        <w:rPr>
          <w:rFonts w:ascii="宋体" w:cs="宋体"/>
          <w:sz w:val="24"/>
          <w:szCs w:val="24"/>
          <w:lang w:val="zh-CN"/>
        </w:rPr>
      </w:pPr>
      <w:r>
        <w:rPr>
          <w:rFonts w:ascii="宋体" w:cs="宋体"/>
          <w:sz w:val="24"/>
          <w:szCs w:val="24"/>
          <w:lang w:val="zh-CN"/>
        </w:rPr>
      </w:r>
      <w:r/>
    </w:p>
    <w:p>
      <w:pPr>
        <w:rPr>
          <w:rFonts w:ascii="宋体" w:cs="宋体"/>
          <w:sz w:val="24"/>
          <w:szCs w:val="24"/>
          <w:lang w:val="zh-CN"/>
        </w:rPr>
      </w:pPr>
      <w:r>
        <w:rPr>
          <w:rFonts w:ascii="宋体" w:cs="宋体"/>
          <w:sz w:val="24"/>
          <w:szCs w:val="24"/>
          <w:lang w:val="zh-CN"/>
        </w:rPr>
      </w:r>
      <w:r/>
    </w:p>
    <w:p>
      <w:r>
        <w:rPr>
          <w:rFonts w:hint="eastAsia" w:ascii="宋体" w:cs="宋体"/>
          <w:sz w:val="24"/>
          <w:szCs w:val="24"/>
          <w:lang w:val="zh-CN"/>
        </w:rPr>
        <w:t xml:space="preserve">（投标人需按照本采购文件具体功能技术要求在“技术参数响应及偏离表”中如实逐项填列所投产品的参数，并按采购文件要求提供“产品检测报告”、医疗器械注册证之附件“产品技术要求”和能证明其技术参数响应的证明材料，并在偏离表中标明证明材料所在页码或位置，否则评标委员会有权做负偏离处理。）</w:t>
      </w:r>
      <w:r/>
    </w:p>
    <w:p>
      <w:pPr>
        <w:ind w:firstLine="480"/>
        <w:spacing w:line="440" w:lineRule="atLeast"/>
        <w:rPr>
          <w:rFonts w:ascii="宋体" w:cs="宋体"/>
          <w:b/>
          <w:bCs/>
          <w:sz w:val="24"/>
          <w:szCs w:val="24"/>
          <w:lang w:val="zh-CN"/>
        </w:rPr>
      </w:pPr>
      <w:r>
        <w:rPr>
          <w:rFonts w:hint="eastAsia" w:ascii="宋体" w:cs="宋体"/>
          <w:b/>
          <w:bCs/>
          <w:sz w:val="24"/>
          <w:szCs w:val="24"/>
          <w:lang w:val="zh-CN"/>
        </w:rPr>
        <w:t xml:space="preserve">（</w:t>
      </w:r>
      <w:r>
        <w:rPr>
          <w:rFonts w:hint="eastAsia" w:ascii="宋体" w:cs="宋体"/>
          <w:b/>
          <w:bCs/>
          <w:sz w:val="24"/>
          <w:szCs w:val="24"/>
        </w:rPr>
        <w:t xml:space="preserve">三</w:t>
      </w:r>
      <w:r>
        <w:rPr>
          <w:rFonts w:hint="eastAsia" w:ascii="宋体" w:cs="宋体"/>
          <w:b/>
          <w:bCs/>
          <w:sz w:val="24"/>
          <w:szCs w:val="24"/>
          <w:lang w:val="zh-CN"/>
        </w:rPr>
        <w:t xml:space="preserve">）项目实施、验收、培训要求</w:t>
      </w:r>
      <w:r/>
    </w:p>
    <w:p>
      <w:pPr>
        <w:ind w:firstLine="480"/>
        <w:spacing w:line="44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、项目实施</w:t>
      </w:r>
      <w:r>
        <w:rPr>
          <w:rFonts w:ascii="宋体" w:cs="宋体"/>
          <w:sz w:val="24"/>
          <w:szCs w:val="24"/>
        </w:rPr>
        <w:t xml:space="preserve">要求</w:t>
      </w:r>
      <w:r/>
    </w:p>
    <w:p>
      <w:pPr>
        <w:ind w:firstLine="480"/>
        <w:spacing w:line="440" w:lineRule="atLeast"/>
        <w:rPr>
          <w:rFonts w:ascii="宋体" w:cs="宋体"/>
          <w:sz w:val="24"/>
          <w:szCs w:val="24"/>
          <w:lang w:val="zh-CN"/>
        </w:rPr>
      </w:pPr>
      <w:r>
        <w:rPr>
          <w:rFonts w:ascii="宋体" w:cs="宋体"/>
          <w:sz w:val="24"/>
          <w:szCs w:val="24"/>
          <w:lang w:val="zh-CN"/>
        </w:rPr>
        <w:t xml:space="preserve">1.1</w:t>
      </w:r>
      <w:r>
        <w:rPr>
          <w:rFonts w:hint="eastAsia" w:ascii="宋体" w:cs="宋体"/>
          <w:sz w:val="24"/>
          <w:szCs w:val="24"/>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firstLine="480"/>
        <w:spacing w:line="440" w:lineRule="atLeast"/>
        <w:rPr>
          <w:rFonts w:ascii="宋体" w:cs="宋体"/>
          <w:sz w:val="24"/>
          <w:szCs w:val="24"/>
          <w:lang w:val="zh-CN"/>
        </w:rPr>
      </w:pPr>
      <w:r>
        <w:rPr>
          <w:rFonts w:ascii="宋体" w:cs="宋体"/>
          <w:sz w:val="24"/>
          <w:szCs w:val="24"/>
          <w:lang w:val="zh-CN"/>
        </w:rPr>
        <w:t xml:space="preserve">1.2</w:t>
      </w:r>
      <w:r>
        <w:rPr>
          <w:rFonts w:hint="eastAsia" w:ascii="宋体" w:cs="宋体"/>
          <w:sz w:val="24"/>
          <w:szCs w:val="24"/>
          <w:lang w:val="zh-CN"/>
        </w:rPr>
        <w:t xml:space="preserve">、本项目由采购人负责监督、管理和协调整个项目的实施工作。投标人在项目实施过程中，承诺按期供货，在接到付款方或付款方指定用户的通知之日起</w:t>
      </w:r>
      <w:r>
        <w:rPr>
          <w:rFonts w:ascii="宋体" w:cs="宋体"/>
          <w:sz w:val="24"/>
          <w:szCs w:val="24"/>
          <w:lang w:val="zh-CN"/>
        </w:rPr>
        <w:t xml:space="preserve">30</w:t>
      </w:r>
      <w:r>
        <w:rPr>
          <w:rFonts w:hint="eastAsia" w:ascii="宋体" w:cs="宋体"/>
          <w:sz w:val="24"/>
          <w:szCs w:val="24"/>
          <w:lang w:val="zh-CN"/>
        </w:rPr>
        <w:t xml:space="preserve">天内，分发到付款方指定的用户现场机房，并进行货物装卸、安装、调试，直到设备正常运转为止；并按照最终用户要求组织培训，免费培训至用户熟练操作为止。保证在不超过承诺的交货时间内供货和完成售后服务工作。</w:t>
      </w:r>
      <w:r/>
    </w:p>
    <w:p>
      <w:pPr>
        <w:ind w:firstLine="480"/>
        <w:spacing w:line="440" w:lineRule="atLeast"/>
        <w:rPr>
          <w:rFonts w:ascii="宋体" w:hAnsi="Arial" w:cs="宋体"/>
          <w:sz w:val="24"/>
          <w:szCs w:val="24"/>
        </w:rPr>
      </w:pPr>
      <w:r>
        <w:rPr>
          <w:rFonts w:hint="eastAsia" w:ascii="宋体" w:cs="宋体"/>
          <w:sz w:val="24"/>
          <w:szCs w:val="24"/>
        </w:rPr>
        <w:t xml:space="preserve">2、项目</w:t>
      </w:r>
      <w:r>
        <w:rPr>
          <w:rFonts w:ascii="宋体" w:hAnsi="Arial" w:cs="宋体"/>
          <w:sz w:val="24"/>
          <w:szCs w:val="24"/>
          <w:lang w:val="zh-CN"/>
        </w:rPr>
        <w:t xml:space="preserve">人员配置</w:t>
      </w:r>
      <w:r>
        <w:rPr>
          <w:rFonts w:hint="eastAsia" w:ascii="宋体" w:hAnsi="Arial" w:cs="宋体"/>
          <w:sz w:val="24"/>
          <w:szCs w:val="24"/>
        </w:rPr>
        <w:t xml:space="preserve">方案</w:t>
      </w:r>
      <w:r/>
    </w:p>
    <w:p>
      <w:pPr>
        <w:ind w:firstLine="480"/>
        <w:spacing w:line="440" w:lineRule="atLeast"/>
        <w:rPr>
          <w:rFonts w:ascii="宋体" w:hAnsi="Arial" w:cs="宋体"/>
          <w:sz w:val="24"/>
          <w:szCs w:val="24"/>
        </w:rPr>
      </w:pPr>
      <w:r>
        <w:rPr>
          <w:rFonts w:ascii="宋体" w:hAnsi="Arial" w:cs="宋体"/>
          <w:sz w:val="24"/>
          <w:szCs w:val="24"/>
        </w:rPr>
        <w:t xml:space="preserve">为使项目培训保质、保量有序实施，投标人在江苏省内需有一个完善的组织机构，需有足够数量技术人员组成实施团队；须针对本项目成立服务小组，设立项目联系人，指派专人全权处理销售中标设备和服务过程中的一切事宜。服务小组包含项目负责人、技术负责人、现场执行人员、内勤管控及配套专业技术人员，所有在岗从业人员均具备对应岗位从业资历、专业资质证书、相关项目从业经验。</w:t>
      </w:r>
      <w:r/>
    </w:p>
    <w:p>
      <w:pPr>
        <w:ind w:firstLine="482"/>
        <w:spacing w:line="440" w:lineRule="atLeast"/>
        <w:rPr>
          <w:rFonts w:ascii="宋体" w:cs="宋体"/>
          <w:sz w:val="24"/>
          <w:szCs w:val="24"/>
          <w:lang w:val="zh-CN"/>
        </w:rPr>
      </w:pPr>
      <w:r>
        <w:rPr>
          <w:rFonts w:hint="eastAsia" w:ascii="宋体" w:cs="宋体"/>
          <w:sz w:val="24"/>
          <w:szCs w:val="24"/>
        </w:rPr>
        <w:t xml:space="preserve">3</w:t>
      </w:r>
      <w:r>
        <w:rPr>
          <w:rFonts w:hint="eastAsia" w:ascii="宋体" w:cs="宋体"/>
          <w:sz w:val="24"/>
          <w:szCs w:val="24"/>
          <w:lang w:val="zh-CN"/>
        </w:rPr>
        <w:t xml:space="preserve">、项目验收</w:t>
      </w:r>
      <w:r>
        <w:rPr>
          <w:rFonts w:hint="eastAsia" w:ascii="宋体" w:cs="宋体"/>
          <w:sz w:val="24"/>
          <w:szCs w:val="24"/>
        </w:rPr>
        <w:t xml:space="preserve">方案</w:t>
      </w:r>
      <w:r/>
    </w:p>
    <w:p>
      <w:pPr>
        <w:ind w:firstLine="482"/>
        <w:spacing w:line="440" w:lineRule="atLeast"/>
        <w:rPr>
          <w:rFonts w:ascii="宋体" w:cs="宋体"/>
          <w:sz w:val="24"/>
          <w:szCs w:val="24"/>
          <w:lang w:val="zh-CN"/>
        </w:rPr>
      </w:pPr>
      <w:r>
        <w:rPr>
          <w:rFonts w:hint="eastAsia" w:ascii="宋体" w:cs="宋体"/>
          <w:sz w:val="24"/>
          <w:szCs w:val="24"/>
        </w:rPr>
        <w:t xml:space="preserve">3</w:t>
      </w:r>
      <w:r>
        <w:rPr>
          <w:rFonts w:ascii="宋体" w:cs="宋体"/>
          <w:sz w:val="24"/>
          <w:szCs w:val="24"/>
          <w:lang w:val="zh-CN"/>
        </w:rPr>
        <w:t xml:space="preserve">.1</w:t>
      </w:r>
      <w:r>
        <w:rPr>
          <w:rFonts w:hint="eastAsia" w:ascii="宋体" w:cs="宋体"/>
          <w:sz w:val="24"/>
          <w:szCs w:val="24"/>
          <w:lang w:val="zh-CN"/>
        </w:rPr>
        <w:t xml:space="preserve">、投标人提供设备应为全新、未使用过的原装合格</w:t>
      </w:r>
      <w:r>
        <w:rPr>
          <w:rFonts w:hint="eastAsia" w:ascii="宋体" w:cs="宋体"/>
          <w:sz w:val="24"/>
          <w:szCs w:val="24"/>
          <w:lang w:val="zh-CN"/>
        </w:rPr>
        <w:t xml:space="preserve">正品</w:t>
      </w:r>
      <w:r>
        <w:rPr>
          <w:rFonts w:ascii="宋体" w:cs="宋体"/>
          <w:sz w:val="24"/>
          <w:szCs w:val="24"/>
          <w:lang w:val="zh-CN"/>
        </w:rPr>
        <w:t xml:space="preserve">,</w:t>
      </w:r>
      <w:r>
        <w:rPr>
          <w:rFonts w:hint="eastAsia" w:ascii="宋体" w:cs="宋体"/>
          <w:sz w:val="24"/>
          <w:szCs w:val="24"/>
          <w:lang w:val="zh-CN"/>
        </w:rPr>
        <w:t xml:space="preserve">并且符合国家有关质量技术标准及相关法律、法规规定的要求。到货验收时发现产品损坏、数量不全、型号规格不符等问题，投标人应及时解决。付款方或最终用户有拒收和追究赔偿责任的权利。</w:t>
      </w:r>
      <w:r/>
    </w:p>
    <w:p>
      <w:pPr>
        <w:ind w:firstLine="482"/>
        <w:spacing w:line="440" w:lineRule="atLeast"/>
        <w:rPr>
          <w:rFonts w:ascii="宋体" w:cs="宋体"/>
          <w:sz w:val="24"/>
          <w:szCs w:val="24"/>
          <w:lang w:val="zh-CN"/>
        </w:rPr>
      </w:pPr>
      <w:r>
        <w:rPr>
          <w:rFonts w:hint="eastAsia" w:ascii="宋体" w:cs="宋体"/>
          <w:sz w:val="24"/>
          <w:szCs w:val="24"/>
        </w:rPr>
        <w:t xml:space="preserve">3</w:t>
      </w:r>
      <w:r>
        <w:rPr>
          <w:rFonts w:ascii="宋体" w:cs="宋体"/>
          <w:sz w:val="24"/>
          <w:szCs w:val="24"/>
          <w:lang w:val="zh-CN"/>
        </w:rPr>
        <w:t xml:space="preserve">.2</w:t>
      </w:r>
      <w:r>
        <w:rPr>
          <w:rFonts w:hint="eastAsia" w:ascii="宋体" w:cs="宋体"/>
          <w:sz w:val="24"/>
          <w:szCs w:val="24"/>
          <w:lang w:val="zh-CN"/>
        </w:rPr>
        <w:t xml:space="preserve">、需按标书配置要求对全部设备的型号、规格、数量等，以及文件（如装箱清单、质量检验证明书、使用说明书、软件介质等）进行验收。</w:t>
      </w:r>
      <w:r/>
    </w:p>
    <w:p>
      <w:pPr>
        <w:ind w:firstLine="482"/>
        <w:spacing w:line="440" w:lineRule="atLeast"/>
        <w:rPr>
          <w:rFonts w:ascii="宋体" w:cs="宋体"/>
          <w:sz w:val="24"/>
          <w:szCs w:val="24"/>
          <w:lang w:val="zh-CN"/>
        </w:rPr>
      </w:pPr>
      <w:r>
        <w:rPr>
          <w:rFonts w:hint="eastAsia" w:ascii="宋体" w:cs="宋体"/>
          <w:sz w:val="24"/>
          <w:szCs w:val="24"/>
        </w:rPr>
        <w:t xml:space="preserve">3</w:t>
      </w:r>
      <w:r>
        <w:rPr>
          <w:rFonts w:ascii="宋体" w:cs="宋体"/>
          <w:sz w:val="24"/>
          <w:szCs w:val="24"/>
          <w:lang w:val="zh-CN"/>
        </w:rPr>
        <w:t xml:space="preserve">.3</w:t>
      </w:r>
      <w:r>
        <w:rPr>
          <w:rFonts w:hint="eastAsia" w:ascii="宋体" w:cs="宋体"/>
          <w:sz w:val="24"/>
          <w:szCs w:val="24"/>
          <w:lang w:val="zh-CN"/>
        </w:rPr>
        <w:t xml:space="preserve">、需按标书技术要求对设备应能实现的技术功能进行测试</w:t>
      </w:r>
      <w:r>
        <w:rPr>
          <w:rFonts w:hint="eastAsia" w:ascii="宋体" w:cs="宋体"/>
          <w:sz w:val="24"/>
          <w:szCs w:val="24"/>
          <w:lang w:val="zh-CN"/>
        </w:rPr>
        <w:t xml:space="preserve">验收</w:t>
      </w:r>
      <w:r>
        <w:rPr>
          <w:rFonts w:ascii="宋体" w:cs="宋体"/>
          <w:sz w:val="24"/>
          <w:szCs w:val="24"/>
          <w:lang w:val="zh-CN"/>
        </w:rPr>
        <w:t xml:space="preserve">,</w:t>
      </w:r>
      <w:r>
        <w:rPr>
          <w:rFonts w:hint="eastAsia" w:ascii="宋体" w:cs="宋体"/>
          <w:sz w:val="24"/>
          <w:szCs w:val="24"/>
          <w:lang w:val="zh-CN"/>
        </w:rPr>
        <w:t xml:space="preserve">在测试或运</w:t>
      </w:r>
      <w:r>
        <w:rPr>
          <w:rFonts w:hint="eastAsia" w:ascii="宋体" w:cs="宋体"/>
          <w:sz w:val="24"/>
          <w:szCs w:val="24"/>
          <w:lang w:val="zh-CN"/>
        </w:rPr>
        <w:t xml:space="preserve">行中出现性能指标或功能上不符合标书和合同要求时，投标人应及时解决。</w:t>
      </w:r>
      <w:r/>
    </w:p>
    <w:p>
      <w:pPr>
        <w:ind w:firstLine="482"/>
        <w:spacing w:line="440" w:lineRule="atLeast"/>
        <w:rPr>
          <w:rFonts w:ascii="宋体" w:cs="宋体"/>
          <w:sz w:val="24"/>
          <w:szCs w:val="24"/>
          <w:lang w:val="zh-CN"/>
        </w:rPr>
      </w:pPr>
      <w:r>
        <w:rPr>
          <w:rFonts w:hint="eastAsia" w:ascii="宋体" w:cs="宋体"/>
          <w:sz w:val="24"/>
          <w:szCs w:val="24"/>
        </w:rPr>
        <w:t xml:space="preserve">3</w:t>
      </w:r>
      <w:r>
        <w:rPr>
          <w:rFonts w:ascii="宋体" w:cs="宋体"/>
          <w:sz w:val="24"/>
          <w:szCs w:val="24"/>
          <w:lang w:val="zh-CN"/>
        </w:rPr>
        <w:t xml:space="preserve">.4</w:t>
      </w:r>
      <w:r>
        <w:rPr>
          <w:rFonts w:hint="eastAsia" w:ascii="宋体" w:cs="宋体"/>
          <w:sz w:val="24"/>
          <w:szCs w:val="24"/>
          <w:lang w:val="zh-CN"/>
        </w:rPr>
        <w:t xml:space="preserve">、投标人应向最终用户至少提供以下文档：设备装箱清单、质量检验证明书、原厂售后服务承诺、设备装机验收报告、中文使用说明书等。</w:t>
      </w:r>
      <w:r/>
    </w:p>
    <w:p>
      <w:pPr>
        <w:ind w:firstLine="482"/>
        <w:spacing w:line="440" w:lineRule="atLeast"/>
        <w:rPr>
          <w:rFonts w:ascii="宋体" w:cs="宋体"/>
          <w:sz w:val="24"/>
          <w:szCs w:val="24"/>
          <w:lang w:val="zh-CN"/>
        </w:rPr>
      </w:pPr>
      <w:r>
        <w:rPr>
          <w:rFonts w:hint="eastAsia" w:ascii="宋体" w:cs="宋体"/>
          <w:sz w:val="24"/>
          <w:szCs w:val="24"/>
        </w:rPr>
        <w:t xml:space="preserve">3</w:t>
      </w:r>
      <w:r>
        <w:rPr>
          <w:rFonts w:ascii="宋体" w:cs="宋体"/>
          <w:sz w:val="24"/>
          <w:szCs w:val="24"/>
          <w:lang w:val="zh-CN"/>
        </w:rPr>
        <w:t xml:space="preserve">.5</w:t>
      </w:r>
      <w:r>
        <w:rPr>
          <w:rFonts w:hint="eastAsia" w:ascii="宋体" w:cs="宋体"/>
          <w:sz w:val="24"/>
          <w:szCs w:val="24"/>
          <w:lang w:val="zh-CN"/>
        </w:rPr>
        <w:t xml:space="preserve">、投标人应根据经验，提供设备运行管理建议供用户参考，配合用户完成相关规定和制度的制定。</w:t>
      </w:r>
      <w:r/>
    </w:p>
    <w:p>
      <w:pPr>
        <w:ind w:firstLine="482"/>
        <w:spacing w:line="440" w:lineRule="atLeast"/>
        <w:rPr>
          <w:rFonts w:ascii="宋体" w:cs="宋体"/>
          <w:sz w:val="24"/>
          <w:szCs w:val="24"/>
          <w:lang w:val="zh-CN"/>
        </w:rPr>
      </w:pPr>
      <w:r>
        <w:rPr>
          <w:rFonts w:hint="eastAsia" w:ascii="宋体" w:cs="宋体"/>
          <w:sz w:val="24"/>
          <w:szCs w:val="24"/>
        </w:rPr>
        <w:t xml:space="preserve">3</w:t>
      </w:r>
      <w:r>
        <w:rPr>
          <w:rFonts w:ascii="宋体" w:cs="宋体"/>
          <w:sz w:val="24"/>
          <w:szCs w:val="24"/>
          <w:lang w:val="zh-CN"/>
        </w:rPr>
        <w:t xml:space="preserve">.6</w:t>
      </w:r>
      <w:r>
        <w:rPr>
          <w:rFonts w:hint="eastAsia" w:ascii="宋体" w:cs="宋体"/>
          <w:sz w:val="24"/>
          <w:szCs w:val="24"/>
          <w:lang w:val="zh-CN"/>
        </w:rPr>
        <w:t xml:space="preserve">、投标人需提供产品使用期限的官方证明材料。</w:t>
      </w:r>
      <w:r/>
    </w:p>
    <w:p>
      <w:pPr>
        <w:ind w:firstLine="482"/>
        <w:spacing w:line="440" w:lineRule="atLeast"/>
        <w:rPr>
          <w:rFonts w:ascii="宋体" w:cs="宋体"/>
          <w:sz w:val="24"/>
          <w:szCs w:val="24"/>
          <w:lang w:val="zh-CN"/>
        </w:rPr>
      </w:pPr>
      <w:r>
        <w:rPr>
          <w:rFonts w:hint="eastAsia" w:ascii="宋体" w:cs="宋体"/>
          <w:sz w:val="24"/>
          <w:szCs w:val="24"/>
        </w:rPr>
        <w:t xml:space="preserve">4</w:t>
      </w:r>
      <w:r>
        <w:rPr>
          <w:rFonts w:hint="eastAsia" w:ascii="宋体" w:cs="宋体"/>
          <w:sz w:val="24"/>
          <w:szCs w:val="24"/>
          <w:lang w:val="zh-CN"/>
        </w:rPr>
        <w:t xml:space="preserve">、项目培训</w:t>
      </w:r>
      <w:r>
        <w:rPr>
          <w:rFonts w:hint="eastAsia" w:ascii="宋体" w:cs="宋体"/>
          <w:sz w:val="24"/>
          <w:szCs w:val="24"/>
        </w:rPr>
        <w:t xml:space="preserve">计划</w:t>
      </w:r>
      <w:r/>
    </w:p>
    <w:p>
      <w:pPr>
        <w:ind w:firstLine="461"/>
        <w:jc w:val="left"/>
        <w:spacing w:line="500" w:lineRule="atLeast"/>
        <w:tabs>
          <w:tab w:val="left" w:pos="1440" w:leader="none"/>
        </w:tabs>
        <w:rPr>
          <w:rFonts w:ascii="宋体" w:cs="宋体"/>
          <w:sz w:val="24"/>
          <w:szCs w:val="24"/>
          <w:lang w:val="zh-CN"/>
        </w:rPr>
      </w:pPr>
      <w:r>
        <w:rPr>
          <w:rFonts w:hint="eastAsia" w:ascii="宋体" w:cs="宋体"/>
          <w:sz w:val="24"/>
          <w:szCs w:val="24"/>
          <w:lang w:val="zh-CN"/>
        </w:rPr>
        <w:t xml:space="preserve">中标供应商供货时应免费向最终用户</w:t>
      </w:r>
      <w:r>
        <w:rPr>
          <w:rFonts w:hint="eastAsia" w:ascii="宋体" w:cs="宋体"/>
          <w:sz w:val="24"/>
          <w:szCs w:val="24"/>
        </w:rPr>
        <w:t xml:space="preserve">提供</w:t>
      </w:r>
      <w:r>
        <w:rPr>
          <w:rFonts w:hint="eastAsia" w:ascii="宋体" w:cs="宋体"/>
          <w:sz w:val="24"/>
          <w:szCs w:val="24"/>
          <w:lang w:val="zh-CN"/>
        </w:rPr>
        <w:t xml:space="preserve">培训学习。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p>
    <w:p>
      <w:pPr>
        <w:ind w:firstLine="482"/>
        <w:spacing w:line="400" w:lineRule="exact"/>
        <w:rPr>
          <w:rFonts w:ascii="宋体" w:cs="宋体"/>
          <w:b/>
          <w:bCs/>
          <w:sz w:val="24"/>
          <w:szCs w:val="24"/>
          <w:lang w:val="zh-CN"/>
        </w:rPr>
      </w:pPr>
      <w:r>
        <w:rPr>
          <w:rFonts w:hint="eastAsia" w:ascii="宋体" w:cs="宋体"/>
          <w:b/>
          <w:bCs/>
          <w:sz w:val="24"/>
          <w:szCs w:val="24"/>
          <w:lang w:val="zh-CN"/>
        </w:rPr>
        <w:t xml:space="preserve">（五）生产企业所获质量管理体相关证书要求</w:t>
      </w:r>
      <w:r/>
    </w:p>
    <w:p>
      <w:pPr>
        <w:ind w:firstLine="482"/>
        <w:spacing w:line="400" w:lineRule="exact"/>
        <w:rPr>
          <w:rFonts w:ascii="宋体" w:cs="宋体"/>
          <w:sz w:val="24"/>
          <w:szCs w:val="24"/>
          <w:lang w:val="zh-CN"/>
        </w:rPr>
      </w:pPr>
      <w:r>
        <w:rPr>
          <w:rFonts w:hint="eastAsia" w:ascii="宋体" w:cs="宋体"/>
          <w:sz w:val="24"/>
          <w:szCs w:val="24"/>
          <w:lang w:val="zh-CN"/>
        </w:rPr>
        <w:t xml:space="preserve">投标人提供所投产品制造商质量管理体相关证书：ISO9001质量管理体系认证，ISO14001环境管理体系认证，ISO13485医疗器械质量管理体系认证，ISO45001职业健康安全管理体系认证等（提供有效证书复印件）</w:t>
      </w:r>
      <w:r/>
    </w:p>
    <w:p>
      <w:pPr>
        <w:ind w:firstLine="482"/>
        <w:spacing w:line="400" w:lineRule="exact"/>
        <w:rPr>
          <w:rFonts w:ascii="宋体" w:cs="宋体"/>
          <w:b/>
          <w:bCs/>
          <w:sz w:val="24"/>
          <w:szCs w:val="24"/>
          <w:lang w:val="zh-CN"/>
        </w:rPr>
      </w:pPr>
      <w:r>
        <w:rPr>
          <w:rFonts w:hint="eastAsia" w:ascii="宋体" w:cs="宋体"/>
          <w:b/>
          <w:bCs/>
          <w:sz w:val="24"/>
          <w:szCs w:val="24"/>
          <w:lang w:val="zh-CN"/>
        </w:rPr>
        <w:t xml:space="preserve">（六）业绩要求</w:t>
      </w:r>
      <w:r/>
    </w:p>
    <w:p>
      <w:pPr>
        <w:ind w:firstLine="480"/>
        <w:spacing w:line="400" w:lineRule="exact"/>
        <w:rPr>
          <w:rFonts w:ascii="宋体" w:cs="宋体"/>
          <w:b/>
          <w:bCs/>
          <w:sz w:val="24"/>
          <w:szCs w:val="24"/>
          <w:lang w:val="zh-CN"/>
        </w:rPr>
      </w:pPr>
      <w:r>
        <w:rPr>
          <w:rFonts w:hint="eastAsia" w:ascii="宋体" w:cs="宋体"/>
          <w:sz w:val="24"/>
          <w:szCs w:val="24"/>
          <w:lang w:val="zh-CN"/>
        </w:rPr>
        <w:t xml:space="preserve">投标人提供202</w:t>
      </w:r>
      <w:r>
        <w:rPr>
          <w:rFonts w:hint="eastAsia" w:ascii="宋体" w:cs="宋体"/>
          <w:sz w:val="24"/>
          <w:szCs w:val="24"/>
        </w:rPr>
        <w:t xml:space="preserve">2</w:t>
      </w:r>
      <w:r>
        <w:rPr>
          <w:rFonts w:hint="eastAsia" w:ascii="宋体" w:cs="宋体"/>
          <w:sz w:val="24"/>
          <w:szCs w:val="24"/>
          <w:lang w:val="zh-CN"/>
        </w:rPr>
        <w:t xml:space="preserve">年</w:t>
      </w:r>
      <w:r>
        <w:rPr>
          <w:rFonts w:hint="eastAsia" w:ascii="宋体" w:cs="宋体"/>
          <w:sz w:val="24"/>
          <w:szCs w:val="24"/>
        </w:rPr>
        <w:t xml:space="preserve">1</w:t>
      </w:r>
      <w:r>
        <w:rPr>
          <w:rFonts w:hint="eastAsia" w:ascii="宋体" w:cs="宋体"/>
          <w:sz w:val="24"/>
          <w:szCs w:val="24"/>
          <w:lang w:val="zh-CN"/>
        </w:rPr>
        <w:t xml:space="preserve">月1日以来（以合同签订时间为准）完成的与本项目类似的业绩（主要标的物：同品牌、同型号医用</w:t>
      </w:r>
      <w:r>
        <w:rPr>
          <w:rFonts w:hint="eastAsia" w:ascii="宋体" w:cs="宋体"/>
          <w:sz w:val="24"/>
          <w:szCs w:val="24"/>
        </w:rPr>
        <w:t xml:space="preserve">直线加速器</w:t>
      </w:r>
      <w:r>
        <w:rPr>
          <w:rFonts w:hint="eastAsia" w:ascii="宋体" w:cs="宋体"/>
          <w:sz w:val="24"/>
          <w:szCs w:val="24"/>
          <w:lang w:val="zh-CN"/>
        </w:rPr>
        <w:t xml:space="preserve">），并由投标人提供经营业绩情况说明列表，内容主要包括买方名称、供货机型、合同金额、数量、签订时间、联系人及电话等（企业之间的合同无效）。</w:t>
      </w:r>
      <w:r/>
    </w:p>
    <w:p>
      <w:pPr>
        <w:pStyle w:val="911"/>
        <w:jc w:val="left"/>
        <w:spacing w:line="400" w:lineRule="exact"/>
        <w:rPr>
          <w:rFonts w:hint="eastAsia" w:ascii="黑体" w:hAnsi="黑体" w:eastAsia="黑体"/>
          <w:b/>
          <w:bCs/>
          <w:color w:val="auto"/>
          <w:sz w:val="28"/>
          <w:szCs w:val="28"/>
        </w:rPr>
      </w:pPr>
      <w:r>
        <w:rPr>
          <w:rFonts w:hint="eastAsia" w:ascii="黑体" w:hAnsi="黑体" w:eastAsia="黑体"/>
          <w:b/>
          <w:bCs/>
          <w:color w:val="auto"/>
          <w:sz w:val="28"/>
          <w:szCs w:val="28"/>
        </w:rPr>
        <w:t xml:space="preserve">四、商务要求</w:t>
      </w:r>
      <w:r/>
    </w:p>
    <w:p>
      <w:pPr>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p>
    <w:p>
      <w:pPr>
        <w:ind w:firstLine="420"/>
        <w:spacing w:line="600" w:lineRule="atLeast"/>
        <w:rPr>
          <w:rFonts w:cs="Calibri"/>
          <w:szCs w:val="21"/>
        </w:rPr>
      </w:pPr>
      <w:r>
        <w:rPr>
          <w:rFonts w:hint="eastAsia" w:ascii="宋体" w:cs="宋体"/>
          <w:sz w:val="24"/>
          <w:szCs w:val="24"/>
          <w:lang w:val="zh-CN"/>
        </w:rPr>
        <w:t xml:space="preserve">（一）交付时间和地点</w:t>
      </w:r>
      <w:r/>
    </w:p>
    <w:p>
      <w:pPr>
        <w:ind w:firstLine="420"/>
        <w:spacing w:line="600" w:lineRule="atLeast"/>
        <w:rPr>
          <w:rFonts w:cs="Calibri"/>
          <w:szCs w:val="21"/>
        </w:rPr>
      </w:pPr>
      <w:r>
        <w:rPr>
          <w:rFonts w:hint="eastAsia" w:ascii="宋体" w:cs="宋体"/>
          <w:b/>
          <w:bCs/>
          <w:sz w:val="24"/>
          <w:szCs w:val="24"/>
          <w:lang w:val="zh-CN"/>
        </w:rPr>
        <w:t xml:space="preserve">交付时间：具体按照签订合同内容为准。</w:t>
      </w:r>
      <w:r>
        <w:rPr>
          <w:rFonts w:hint="eastAsia" w:ascii="宋体" w:cs="宋体"/>
          <w:sz w:val="24"/>
          <w:szCs w:val="24"/>
          <w:lang w:val="zh-CN"/>
        </w:rPr>
        <w:t xml:space="preserve">（本合同交付时间是指乙方在设备运送到甲方各指定地点安装调试完成并经使用验收后，将所有最终用户单位验收报告回</w:t>
      </w:r>
      <w:r>
        <w:rPr>
          <w:rFonts w:hint="eastAsia" w:ascii="宋体" w:cs="宋体"/>
          <w:sz w:val="24"/>
          <w:szCs w:val="24"/>
          <w:lang w:val="zh-CN"/>
        </w:rPr>
        <w:t xml:space="preserve">执和乙方销售发票递交至甲方的时间，具体送货时间由甲方确认）。</w:t>
      </w:r>
      <w:r/>
    </w:p>
    <w:p>
      <w:pPr>
        <w:ind w:firstLine="420"/>
        <w:spacing w:line="600" w:lineRule="atLeast"/>
        <w:rPr>
          <w:rFonts w:cs="Calibri"/>
          <w:szCs w:val="21"/>
        </w:rPr>
      </w:pPr>
      <w:r>
        <w:rPr>
          <w:rFonts w:hint="eastAsia" w:ascii="宋体" w:cs="宋体"/>
          <w:b/>
          <w:bCs/>
          <w:sz w:val="24"/>
          <w:szCs w:val="24"/>
          <w:lang w:val="zh-CN"/>
        </w:rPr>
        <w:t xml:space="preserve">交货地点：</w:t>
      </w:r>
      <w:r>
        <w:rPr>
          <w:rFonts w:hint="eastAsia" w:ascii="宋体" w:cs="宋体"/>
          <w:b/>
          <w:bCs/>
          <w:sz w:val="24"/>
          <w:szCs w:val="24"/>
        </w:rPr>
        <w:t xml:space="preserve">仪征市人民医院（仪征市东园南路61号）</w:t>
      </w:r>
      <w:r>
        <w:rPr>
          <w:rFonts w:hint="eastAsia" w:ascii="宋体" w:cs="宋体"/>
          <w:sz w:val="24"/>
          <w:szCs w:val="24"/>
          <w:lang w:val="zh-CN"/>
        </w:rPr>
        <w:t xml:space="preserve">。</w:t>
      </w:r>
      <w:r/>
    </w:p>
    <w:p>
      <w:pPr>
        <w:ind w:firstLine="420"/>
        <w:spacing w:line="600" w:lineRule="atLeast"/>
        <w:rPr>
          <w:rFonts w:cs="Calibri"/>
          <w:szCs w:val="21"/>
        </w:rPr>
      </w:pPr>
      <w:r>
        <w:rPr>
          <w:rFonts w:hint="eastAsia" w:ascii="宋体" w:cs="宋体"/>
          <w:sz w:val="24"/>
          <w:szCs w:val="24"/>
          <w:lang w:val="zh-CN"/>
        </w:rPr>
        <w:t xml:space="preserve">（二）技术资料</w:t>
      </w:r>
      <w:r/>
    </w:p>
    <w:p>
      <w:pPr>
        <w:ind w:firstLine="420"/>
        <w:spacing w:line="600" w:lineRule="atLeast"/>
        <w:rPr>
          <w:rFonts w:cs="Calibri"/>
          <w:szCs w:val="21"/>
        </w:rPr>
      </w:pPr>
      <w:r>
        <w:rPr>
          <w:rFonts w:ascii="宋体" w:cs="宋体"/>
          <w:sz w:val="24"/>
          <w:szCs w:val="24"/>
          <w:lang w:val="zh-CN"/>
        </w:rPr>
        <w:t xml:space="preserve">1</w:t>
      </w:r>
      <w:r>
        <w:rPr>
          <w:rFonts w:hint="eastAsia" w:ascii="宋体" w:cs="宋体"/>
          <w:sz w:val="24"/>
          <w:szCs w:val="24"/>
          <w:lang w:val="zh-CN"/>
        </w:rPr>
        <w:t xml:space="preserve">、乙方应按招标文件规定的时间向甲方提供使用设备的有关技术资料。</w:t>
      </w:r>
      <w:r/>
    </w:p>
    <w:p>
      <w:pPr>
        <w:ind w:firstLine="420"/>
        <w:spacing w:line="600" w:lineRule="atLeast"/>
        <w:rPr>
          <w:rFonts w:cs="Calibri"/>
          <w:szCs w:val="21"/>
        </w:rPr>
      </w:pPr>
      <w:r>
        <w:rPr>
          <w:rFonts w:ascii="宋体" w:cs="宋体"/>
          <w:sz w:val="24"/>
          <w:szCs w:val="24"/>
          <w:lang w:val="zh-CN"/>
        </w:rPr>
        <w:t xml:space="preserve">2</w:t>
      </w:r>
      <w:r>
        <w:rPr>
          <w:rFonts w:hint="eastAsia" w:ascii="宋体" w:cs="宋体"/>
          <w:sz w:val="24"/>
          <w:szCs w:val="24"/>
          <w:lang w:val="zh-CN"/>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0"/>
        <w:spacing w:line="600" w:lineRule="atLeast"/>
        <w:rPr>
          <w:rFonts w:cs="Calibri"/>
          <w:szCs w:val="21"/>
        </w:rPr>
      </w:pPr>
      <w:r>
        <w:rPr>
          <w:rFonts w:hint="eastAsia" w:ascii="宋体" w:cs="宋体"/>
          <w:sz w:val="24"/>
          <w:szCs w:val="24"/>
          <w:lang w:val="zh-CN"/>
        </w:rPr>
        <w:t xml:space="preserve">（三）知识产权</w:t>
      </w:r>
      <w:r/>
    </w:p>
    <w:p>
      <w:pPr>
        <w:ind w:firstLine="420"/>
        <w:spacing w:line="600" w:lineRule="atLeast"/>
        <w:rPr>
          <w:rFonts w:cs="Calibri"/>
          <w:szCs w:val="21"/>
        </w:rPr>
      </w:pPr>
      <w:r>
        <w:rPr>
          <w:rFonts w:hint="eastAsia" w:ascii="宋体" w:cs="宋体"/>
          <w:sz w:val="24"/>
          <w:szCs w:val="24"/>
          <w:lang w:val="zh-CN"/>
        </w:rPr>
        <w:t xml:space="preserve">乙方应保证甲方（含甲方确认的设备最终用户单位）在使用、接受本合同设备和服务或其任何一部分时不受第三方提出侵犯其专利权、版权、商标权和工业设计权等知识产权的起诉。一旦出现侵权，由乙方负全部责任，并赔偿甲方由此而产生的全部损失，包括但不限于对外赔偿费用、诉讼费、律师费、差旅费等。</w:t>
      </w:r>
      <w:r/>
    </w:p>
    <w:p>
      <w:pPr>
        <w:ind w:firstLine="420"/>
        <w:spacing w:line="600" w:lineRule="atLeast"/>
        <w:rPr>
          <w:rFonts w:cs="Calibri"/>
          <w:szCs w:val="21"/>
        </w:rPr>
      </w:pPr>
      <w:r>
        <w:rPr>
          <w:rFonts w:hint="eastAsia" w:ascii="宋体" w:cs="宋体"/>
          <w:sz w:val="24"/>
          <w:szCs w:val="24"/>
          <w:lang w:val="zh-CN"/>
        </w:rPr>
        <w:t xml:space="preserve">（四）产权担保</w:t>
      </w:r>
      <w:r/>
    </w:p>
    <w:p>
      <w:pPr>
        <w:ind w:firstLine="420"/>
        <w:spacing w:line="600" w:lineRule="atLeast"/>
        <w:rPr>
          <w:rFonts w:cs="Calibri"/>
          <w:szCs w:val="21"/>
        </w:rPr>
      </w:pPr>
      <w:r>
        <w:rPr>
          <w:rFonts w:hint="eastAsia" w:ascii="宋体" w:cs="宋体"/>
          <w:sz w:val="24"/>
          <w:szCs w:val="24"/>
          <w:lang w:val="zh-CN"/>
        </w:rPr>
        <w:t xml:space="preserve">乙方保证所交付的设备的所有权完全属于乙方且无任何抵押、查封等产权瑕疵。</w:t>
      </w:r>
      <w:r/>
    </w:p>
    <w:p>
      <w:pPr>
        <w:ind w:firstLine="420"/>
        <w:spacing w:line="600" w:lineRule="atLeast"/>
        <w:rPr>
          <w:rFonts w:cs="Calibri"/>
          <w:szCs w:val="21"/>
        </w:rPr>
      </w:pPr>
      <w:r>
        <w:rPr>
          <w:rFonts w:hint="eastAsia" w:ascii="宋体" w:cs="宋体"/>
          <w:sz w:val="24"/>
          <w:szCs w:val="24"/>
          <w:lang w:val="zh-CN"/>
        </w:rPr>
        <w:t xml:space="preserve">（五）转包或分包</w:t>
      </w:r>
      <w:r/>
    </w:p>
    <w:p>
      <w:pPr>
        <w:ind w:firstLine="420"/>
        <w:spacing w:line="600" w:lineRule="atLeast"/>
        <w:rPr>
          <w:rFonts w:cs="Calibri"/>
          <w:szCs w:val="21"/>
        </w:rPr>
      </w:pPr>
      <w:r>
        <w:rPr>
          <w:rFonts w:ascii="宋体" w:cs="宋体"/>
          <w:sz w:val="24"/>
          <w:szCs w:val="24"/>
          <w:lang w:val="zh-CN"/>
        </w:rPr>
        <w:t xml:space="preserve">1</w:t>
      </w:r>
      <w:r>
        <w:rPr>
          <w:rFonts w:hint="eastAsia" w:ascii="宋体" w:cs="宋体"/>
          <w:sz w:val="24"/>
          <w:szCs w:val="24"/>
          <w:lang w:val="zh-CN"/>
        </w:rPr>
        <w:t xml:space="preserve">、本合同范围的设备，应由乙方直接供应，不得转让他人供应。</w:t>
      </w:r>
      <w:r/>
    </w:p>
    <w:p>
      <w:pPr>
        <w:ind w:firstLine="420"/>
        <w:spacing w:line="600" w:lineRule="atLeast"/>
        <w:rPr>
          <w:rFonts w:cs="Calibri"/>
          <w:szCs w:val="21"/>
        </w:rPr>
      </w:pPr>
      <w:r>
        <w:rPr>
          <w:rFonts w:ascii="宋体" w:cs="宋体"/>
          <w:sz w:val="24"/>
          <w:szCs w:val="24"/>
          <w:lang w:val="zh-CN"/>
        </w:rPr>
        <w:t xml:space="preserve">2</w:t>
      </w:r>
      <w:r>
        <w:rPr>
          <w:rFonts w:hint="eastAsia" w:ascii="宋体" w:cs="宋体"/>
          <w:sz w:val="24"/>
          <w:szCs w:val="24"/>
          <w:lang w:val="zh-CN"/>
        </w:rPr>
        <w:t xml:space="preserve">、除非得到甲方的书面同意，乙方不得部分分包给他人供应。</w:t>
      </w:r>
      <w:r/>
    </w:p>
    <w:p>
      <w:pPr>
        <w:ind w:firstLine="420"/>
        <w:spacing w:line="600" w:lineRule="atLeast"/>
        <w:rPr>
          <w:rFonts w:cs="Calibri"/>
          <w:szCs w:val="21"/>
        </w:rPr>
      </w:pPr>
      <w:r>
        <w:rPr>
          <w:rFonts w:ascii="宋体" w:cs="宋体"/>
          <w:sz w:val="24"/>
          <w:szCs w:val="24"/>
          <w:lang w:val="zh-CN"/>
        </w:rPr>
        <w:t xml:space="preserve">3</w:t>
      </w:r>
      <w:r>
        <w:rPr>
          <w:rFonts w:hint="eastAsia" w:ascii="宋体" w:cs="宋体"/>
          <w:sz w:val="24"/>
          <w:szCs w:val="24"/>
          <w:lang w:val="zh-CN"/>
        </w:rPr>
        <w:t xml:space="preserve">、如有转让和未经甲方同意的分包行为，甲方有权终止合同。</w:t>
      </w:r>
      <w:r/>
    </w:p>
    <w:p>
      <w:pPr>
        <w:ind w:firstLine="420"/>
        <w:spacing w:line="600" w:lineRule="atLeast"/>
        <w:rPr>
          <w:rFonts w:cs="Calibri"/>
          <w:szCs w:val="21"/>
        </w:rPr>
      </w:pPr>
      <w:r>
        <w:rPr>
          <w:rFonts w:hint="eastAsia" w:ascii="宋体" w:cs="宋体"/>
          <w:sz w:val="24"/>
          <w:szCs w:val="24"/>
          <w:lang w:val="zh-CN"/>
        </w:rPr>
        <w:t xml:space="preserve">（六）质量保证及售后服务要求</w:t>
      </w:r>
      <w:r/>
    </w:p>
    <w:p>
      <w:pPr>
        <w:ind w:firstLine="420"/>
        <w:spacing w:line="600" w:lineRule="atLeast"/>
        <w:rPr>
          <w:rFonts w:cs="Calibri"/>
          <w:szCs w:val="21"/>
        </w:rPr>
      </w:pPr>
      <w:r>
        <w:rPr>
          <w:rFonts w:ascii="宋体" w:cs="宋体"/>
          <w:sz w:val="24"/>
          <w:szCs w:val="24"/>
          <w:lang w:val="zh-CN"/>
        </w:rPr>
        <w:t xml:space="preserve">1</w:t>
      </w:r>
      <w:r>
        <w:rPr>
          <w:rFonts w:hint="eastAsia" w:ascii="宋体" w:cs="宋体"/>
          <w:sz w:val="24"/>
          <w:szCs w:val="24"/>
          <w:lang w:val="zh-CN"/>
        </w:rPr>
        <w:t xml:space="preserve">、乙方提供的设备应为全新、未使用过的原装合格</w:t>
      </w:r>
      <w:r>
        <w:rPr>
          <w:rFonts w:hint="eastAsia" w:ascii="宋体" w:cs="宋体"/>
          <w:sz w:val="24"/>
          <w:szCs w:val="24"/>
          <w:lang w:val="zh-CN"/>
        </w:rPr>
        <w:t xml:space="preserve">正品</w:t>
      </w:r>
      <w:r>
        <w:rPr>
          <w:rFonts w:ascii="宋体" w:cs="宋体"/>
          <w:sz w:val="24"/>
          <w:szCs w:val="24"/>
          <w:lang w:val="zh-CN"/>
        </w:rPr>
        <w:t xml:space="preserve">,</w:t>
      </w:r>
      <w:r>
        <w:rPr>
          <w:rFonts w:hint="eastAsia" w:ascii="宋体" w:cs="宋体"/>
          <w:sz w:val="24"/>
          <w:szCs w:val="24"/>
          <w:lang w:val="zh-CN"/>
        </w:rPr>
        <w:t xml:space="preserve">并且符合国家有关质量技术标准及相关法律、法规规定的要求。设备的质量标准、应用操作培训、售后服务及维修、耗材的供应价格等，按招标文件要求、乙方投标文件承诺及国家规定的</w:t>
      </w:r>
      <w:r>
        <w:rPr>
          <w:rFonts w:hint="eastAsia" w:ascii="宋体" w:cs="宋体"/>
          <w:sz w:val="24"/>
          <w:szCs w:val="24"/>
          <w:lang w:val="zh-CN"/>
        </w:rPr>
        <w:t xml:space="preserve">相关标准执行。</w:t>
      </w:r>
      <w:r/>
    </w:p>
    <w:p>
      <w:pPr>
        <w:ind w:firstLine="420"/>
        <w:spacing w:line="600" w:lineRule="atLeast"/>
        <w:rPr>
          <w:rFonts w:cs="Calibri"/>
          <w:b/>
          <w:bCs/>
          <w:i/>
          <w:iCs/>
          <w:szCs w:val="21"/>
        </w:rPr>
      </w:pPr>
      <w:r>
        <w:rPr>
          <w:rFonts w:hint="eastAsia" w:ascii="宋体" w:cs="宋体"/>
          <w:b/>
          <w:bCs/>
          <w:i/>
          <w:iCs/>
          <w:sz w:val="24"/>
          <w:szCs w:val="24"/>
          <w:lang w:val="zh-CN"/>
        </w:rPr>
        <w:t xml:space="preserve">乙方提供加速器设备五年及以上原厂免费保修（包含第三方产品）。</w:t>
      </w:r>
      <w:r/>
    </w:p>
    <w:p>
      <w:pPr>
        <w:ind w:firstLine="420"/>
        <w:spacing w:line="600" w:lineRule="atLeast"/>
        <w:rPr>
          <w:rFonts w:cs="Calibri"/>
          <w:szCs w:val="21"/>
        </w:rPr>
      </w:pPr>
      <w:r>
        <w:rPr>
          <w:rFonts w:hint="eastAsia" w:ascii="宋体" w:cs="宋体"/>
          <w:sz w:val="24"/>
          <w:szCs w:val="24"/>
          <w:lang w:val="zh-CN"/>
        </w:rPr>
        <w:t xml:space="preserve">乙方提供整体售后服务方案（响应时间，回访巡检方案、故障解决措施、技术人员保障、备品配件价格等）、本地化服务方案（江苏省内各服务网点、维修网点设置情况以及技术人员安排情况）、应急服务预案（预警机制、相应速度、处理流程、资源调配和协调、支援能力等）等服务内容；乙方按照招标文件要求提供免费质保期承诺，鼓励增加免费质保期。</w:t>
      </w:r>
      <w:r/>
    </w:p>
    <w:p>
      <w:pPr>
        <w:ind w:firstLine="420"/>
        <w:spacing w:line="600" w:lineRule="atLeast"/>
        <w:rPr>
          <w:rFonts w:cs="Calibri"/>
          <w:szCs w:val="21"/>
        </w:rPr>
      </w:pPr>
      <w:r>
        <w:rPr>
          <w:rFonts w:ascii="宋体" w:cs="宋体"/>
          <w:sz w:val="24"/>
          <w:szCs w:val="24"/>
          <w:lang w:val="zh-CN"/>
        </w:rPr>
        <w:t xml:space="preserve">2</w:t>
      </w:r>
      <w:r>
        <w:rPr>
          <w:rFonts w:hint="eastAsia" w:ascii="宋体" w:cs="宋体"/>
          <w:sz w:val="24"/>
          <w:szCs w:val="24"/>
          <w:lang w:val="zh-CN"/>
        </w:rPr>
        <w:t xml:space="preserve">、乙方提供的设备在质保期内因设备本身的质量问题发生故障，乙方应负责免费上门维修。对达不到技术要求者，根据实际情况，甲方可选择按以下办法处理：</w:t>
      </w:r>
      <w:r/>
    </w:p>
    <w:p>
      <w:pPr>
        <w:ind w:firstLine="420"/>
        <w:spacing w:line="600" w:lineRule="atLeast"/>
        <w:rPr>
          <w:rFonts w:cs="Calibri"/>
          <w:szCs w:val="21"/>
        </w:rPr>
      </w:pPr>
      <w:r>
        <w:rPr>
          <w:rFonts w:hint="eastAsia" w:ascii="宋体" w:cs="宋体"/>
          <w:sz w:val="24"/>
          <w:szCs w:val="24"/>
          <w:lang w:val="zh-CN"/>
        </w:rPr>
        <w:t xml:space="preserve">（</w:t>
      </w:r>
      <w:r>
        <w:rPr>
          <w:rFonts w:ascii="宋体" w:cs="宋体"/>
          <w:sz w:val="24"/>
          <w:szCs w:val="24"/>
          <w:lang w:val="zh-CN"/>
        </w:rPr>
        <w:t xml:space="preserve">1</w:t>
      </w:r>
      <w:r>
        <w:rPr>
          <w:rFonts w:hint="eastAsia" w:ascii="宋体" w:cs="宋体"/>
          <w:sz w:val="24"/>
          <w:szCs w:val="24"/>
          <w:lang w:val="zh-CN"/>
        </w:rPr>
        <w:t xml:space="preserve">）更换：由乙方承担所发生的全部费用。</w:t>
      </w:r>
      <w:r/>
    </w:p>
    <w:p>
      <w:pPr>
        <w:ind w:firstLine="420"/>
        <w:spacing w:line="600" w:lineRule="atLeast"/>
        <w:rPr>
          <w:rFonts w:cs="Calibri"/>
          <w:szCs w:val="21"/>
        </w:rPr>
      </w:pPr>
      <w:r>
        <w:rPr>
          <w:rFonts w:hint="eastAsia" w:ascii="宋体" w:cs="宋体"/>
          <w:sz w:val="24"/>
          <w:szCs w:val="24"/>
          <w:lang w:val="zh-CN"/>
        </w:rPr>
        <w:t xml:space="preserve">（</w:t>
      </w:r>
      <w:r>
        <w:rPr>
          <w:rFonts w:ascii="宋体" w:cs="宋体"/>
          <w:sz w:val="24"/>
          <w:szCs w:val="24"/>
          <w:lang w:val="zh-CN"/>
        </w:rPr>
        <w:t xml:space="preserve">2</w:t>
      </w:r>
      <w:r>
        <w:rPr>
          <w:rFonts w:hint="eastAsia" w:ascii="宋体" w:cs="宋体"/>
          <w:sz w:val="24"/>
          <w:szCs w:val="24"/>
          <w:lang w:val="zh-CN"/>
        </w:rPr>
        <w:t xml:space="preserve">）退货：乙方应退还甲方支付的合同款，同时应承担该设备的直接费用（运输、保险、检验、货款利息及银行手续费等）及由此对甲方造成的损失，乙方承担损失金额不超过合同总值的</w:t>
      </w:r>
      <w:r>
        <w:rPr>
          <w:rFonts w:ascii="宋体" w:cs="宋体"/>
          <w:sz w:val="24"/>
          <w:szCs w:val="24"/>
          <w:lang w:val="zh-CN"/>
        </w:rPr>
        <w:t xml:space="preserve">5%</w:t>
      </w:r>
      <w:r>
        <w:rPr>
          <w:rFonts w:hint="eastAsia" w:ascii="宋体" w:cs="宋体"/>
          <w:sz w:val="24"/>
          <w:szCs w:val="24"/>
          <w:lang w:val="zh-CN"/>
        </w:rPr>
        <w:t xml:space="preserve">。</w:t>
      </w:r>
      <w:r/>
    </w:p>
    <w:p>
      <w:pPr>
        <w:ind w:firstLine="420"/>
        <w:spacing w:line="480" w:lineRule="auto"/>
        <w:rPr>
          <w:rFonts w:cs="Calibri"/>
          <w:szCs w:val="21"/>
        </w:rPr>
      </w:pPr>
      <w:r>
        <w:rPr>
          <w:rFonts w:ascii="宋体" w:cs="宋体"/>
          <w:sz w:val="24"/>
          <w:szCs w:val="24"/>
          <w:lang w:val="zh-CN"/>
        </w:rPr>
        <w:t xml:space="preserve">3</w:t>
      </w:r>
      <w:r>
        <w:rPr>
          <w:rFonts w:hint="eastAsia" w:ascii="宋体" w:cs="宋体"/>
          <w:sz w:val="24"/>
          <w:szCs w:val="24"/>
          <w:lang w:val="zh-CN"/>
        </w:rPr>
        <w:t xml:space="preserve">、在质保期内，乙方应对设备出现的质量及安全问题负责处理解决并承担一切费用。</w:t>
      </w:r>
      <w:r/>
    </w:p>
    <w:p>
      <w:pPr>
        <w:ind w:firstLine="420"/>
        <w:spacing w:line="480" w:lineRule="auto"/>
        <w:rPr>
          <w:rFonts w:cs="Calibri"/>
          <w:szCs w:val="21"/>
        </w:rPr>
      </w:pPr>
      <w:r>
        <w:rPr>
          <w:rFonts w:ascii="宋体" w:cs="宋体"/>
          <w:sz w:val="24"/>
          <w:szCs w:val="24"/>
          <w:lang w:val="zh-CN"/>
        </w:rPr>
        <w:t xml:space="preserve">4</w:t>
      </w:r>
      <w:r>
        <w:rPr>
          <w:rFonts w:hint="eastAsia" w:ascii="宋体" w:cs="宋体"/>
          <w:sz w:val="24"/>
          <w:szCs w:val="24"/>
          <w:lang w:val="zh-CN"/>
        </w:rPr>
        <w:t xml:space="preserve">、超过质保期的机器设备，维修时只收部件成本费用，不收取工时等杂费，成本费用不得高于投标文件所作的承诺。设备超过质保期后，如甲方需要购买保修服务，乙方需要作出承诺，每年维保费用不超过机器价格的</w:t>
      </w:r>
      <w:r>
        <w:rPr>
          <w:rFonts w:hint="eastAsia" w:ascii="宋体" w:cs="宋体"/>
          <w:sz w:val="24"/>
          <w:szCs w:val="24"/>
        </w:rPr>
        <w:t xml:space="preserve">5</w:t>
      </w:r>
      <w:r>
        <w:rPr>
          <w:rFonts w:hint="eastAsia" w:ascii="宋体" w:cs="宋体"/>
          <w:sz w:val="24"/>
          <w:szCs w:val="24"/>
          <w:lang w:val="zh-CN"/>
        </w:rPr>
        <w:t xml:space="preserve">%。</w:t>
      </w:r>
      <w:r/>
    </w:p>
    <w:p>
      <w:pPr>
        <w:ind w:firstLine="420"/>
        <w:spacing w:line="480" w:lineRule="auto"/>
        <w:rPr>
          <w:rFonts w:cs="Calibri"/>
          <w:szCs w:val="21"/>
        </w:rPr>
      </w:pPr>
      <w:r>
        <w:rPr>
          <w:rFonts w:ascii="宋体" w:cs="宋体"/>
          <w:sz w:val="24"/>
          <w:szCs w:val="24"/>
          <w:lang w:val="zh-CN"/>
        </w:rPr>
        <w:t xml:space="preserve">5</w:t>
      </w:r>
      <w:r>
        <w:rPr>
          <w:rFonts w:hint="eastAsia" w:ascii="宋体" w:cs="宋体"/>
          <w:sz w:val="24"/>
          <w:szCs w:val="24"/>
          <w:lang w:val="zh-CN"/>
        </w:rPr>
        <w:t xml:space="preserve">、为了确保设备正常运行，乙方应提供技术服务热线（</w:t>
      </w:r>
      <w:r>
        <w:rPr>
          <w:rFonts w:ascii="宋体" w:cs="宋体"/>
          <w:sz w:val="24"/>
          <w:szCs w:val="24"/>
          <w:lang w:val="zh-CN"/>
        </w:rPr>
        <w:t xml:space="preserve">7*24</w:t>
      </w:r>
      <w:r>
        <w:rPr>
          <w:rFonts w:hint="eastAsia" w:ascii="宋体" w:cs="宋体"/>
          <w:sz w:val="24"/>
          <w:szCs w:val="24"/>
          <w:lang w:val="zh-CN"/>
        </w:rPr>
        <w:t xml:space="preserve">小时），负责解答甲方（含甲方确认的设备最终用户单位）在设备使用中遇到的问题，并及时提出解决问题的建议和操作方法；提供</w:t>
      </w:r>
      <w:r>
        <w:rPr>
          <w:rFonts w:ascii="宋体" w:cs="宋体"/>
          <w:sz w:val="24"/>
          <w:szCs w:val="24"/>
          <w:lang w:val="zh-CN"/>
        </w:rPr>
        <w:t xml:space="preserve">7*8</w:t>
      </w:r>
      <w:r>
        <w:rPr>
          <w:rFonts w:hint="eastAsia" w:ascii="宋体" w:cs="宋体"/>
          <w:sz w:val="24"/>
          <w:szCs w:val="24"/>
          <w:lang w:val="zh-CN"/>
        </w:rPr>
        <w:t xml:space="preserve">小时现场维修和技术支持服务；如果在</w:t>
      </w:r>
      <w:r>
        <w:rPr>
          <w:rFonts w:ascii="宋体" w:cs="宋体"/>
          <w:sz w:val="24"/>
          <w:szCs w:val="24"/>
          <w:lang w:val="zh-CN"/>
        </w:rPr>
        <w:t xml:space="preserve">48</w:t>
      </w:r>
      <w:r>
        <w:rPr>
          <w:rFonts w:hint="eastAsia" w:ascii="宋体" w:cs="宋体"/>
          <w:sz w:val="24"/>
          <w:szCs w:val="24"/>
          <w:lang w:val="zh-CN"/>
        </w:rPr>
        <w:t xml:space="preserve">小时内无法解决故障，须提供不低于采购型号规格档次的备用机；乙方应当设立投诉专</w:t>
      </w:r>
      <w:r>
        <w:rPr>
          <w:rFonts w:hint="eastAsia" w:ascii="宋体" w:cs="宋体"/>
          <w:sz w:val="24"/>
          <w:szCs w:val="24"/>
          <w:lang w:val="zh-CN"/>
        </w:rPr>
        <w:t xml:space="preserve">线，接受甲方（含甲方确认的设备最终用户单位）的投诉。</w:t>
      </w:r>
      <w:r/>
    </w:p>
    <w:p>
      <w:pPr>
        <w:ind w:firstLine="420"/>
        <w:spacing w:line="480" w:lineRule="auto"/>
        <w:rPr>
          <w:rFonts w:cs="Calibri"/>
          <w:szCs w:val="21"/>
        </w:rPr>
      </w:pPr>
      <w:r>
        <w:rPr>
          <w:rFonts w:hint="eastAsia" w:ascii="宋体" w:cs="宋体"/>
          <w:sz w:val="24"/>
          <w:szCs w:val="24"/>
          <w:lang w:val="zh-CN"/>
        </w:rPr>
        <w:t xml:space="preserve">（七）调试和验收</w:t>
      </w:r>
      <w:r/>
    </w:p>
    <w:p>
      <w:pPr>
        <w:ind w:firstLine="482"/>
        <w:spacing w:line="480" w:lineRule="auto"/>
        <w:rPr>
          <w:rFonts w:cs="Calibri"/>
          <w:szCs w:val="21"/>
        </w:rPr>
      </w:pPr>
      <w:r>
        <w:rPr>
          <w:rFonts w:ascii="宋体" w:cs="宋体"/>
          <w:sz w:val="24"/>
          <w:szCs w:val="24"/>
          <w:lang w:val="zh-CN"/>
        </w:rPr>
        <w:t xml:space="preserve">1</w:t>
      </w:r>
      <w:r>
        <w:rPr>
          <w:rFonts w:hint="eastAsia" w:ascii="宋体" w:cs="宋体"/>
          <w:sz w:val="24"/>
          <w:szCs w:val="24"/>
          <w:lang w:val="zh-CN"/>
        </w:rPr>
        <w:t xml:space="preserve">、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乙方应及时解决。不符合招投标文件要求的，将视情况按验收不合格设备进行处置。</w:t>
      </w:r>
      <w:r/>
    </w:p>
    <w:p>
      <w:pPr>
        <w:ind w:firstLine="482"/>
        <w:spacing w:line="480" w:lineRule="auto"/>
        <w:rPr>
          <w:rFonts w:cs="Calibri"/>
          <w:szCs w:val="21"/>
        </w:rPr>
      </w:pPr>
      <w:r>
        <w:rPr>
          <w:rFonts w:ascii="宋体" w:cs="宋体"/>
          <w:sz w:val="24"/>
          <w:szCs w:val="24"/>
          <w:lang w:val="zh-CN"/>
        </w:rPr>
        <w:t xml:space="preserve">2</w:t>
      </w:r>
      <w:r>
        <w:rPr>
          <w:rFonts w:hint="eastAsia" w:ascii="宋体" w:cs="宋体"/>
          <w:sz w:val="24"/>
          <w:szCs w:val="24"/>
          <w:lang w:val="zh-CN"/>
        </w:rPr>
        <w:t xml:space="preserve">、乙方交货前应对设备及配件作出全面检查和对验收文件进行整理，并列出清单。乙方交付设备及配件时，必须提交国家规定的关于其质量、价格、使用及售后服务的相关资料和文件，同时必须将本次投标文件关于其质量、服务及相关承诺的复印件、加盖乙方公章的销售发票复印件交与最终用户单位。乙方应向最终用户单位至少提供以下文档：装箱清单，产品合格证明文件、原厂售后服务承诺，易损件和试剂耗材价格（未提供视同质保期内免费提供），中文使用说明书等。</w:t>
      </w:r>
      <w:r/>
    </w:p>
    <w:p>
      <w:pPr>
        <w:ind w:firstLine="420"/>
        <w:spacing w:line="480" w:lineRule="auto"/>
        <w:rPr>
          <w:rFonts w:cs="Calibri"/>
          <w:szCs w:val="21"/>
        </w:rPr>
      </w:pPr>
      <w:r>
        <w:rPr>
          <w:rFonts w:ascii="宋体" w:cs="宋体"/>
          <w:sz w:val="24"/>
          <w:szCs w:val="24"/>
          <w:lang w:val="zh-CN"/>
        </w:rPr>
        <w:t xml:space="preserve">3</w:t>
      </w:r>
      <w:r>
        <w:rPr>
          <w:rFonts w:hint="eastAsia" w:ascii="宋体" w:cs="宋体"/>
          <w:sz w:val="24"/>
          <w:szCs w:val="24"/>
          <w:lang w:val="zh-CN"/>
        </w:rPr>
        <w:t xml:space="preserve">、验收报告回执经最终用户单位签章和市、县（市、区）卫生健康委盖章确认后由乙方汇总提交甲方，作为付款条件之一。资料不齐全、验收不合格设备，甲方有权拒收，乙方应在限期内整改和更换到位。</w:t>
      </w:r>
      <w:r/>
    </w:p>
    <w:p>
      <w:pPr>
        <w:ind w:firstLine="420"/>
        <w:spacing w:line="480" w:lineRule="auto"/>
        <w:rPr>
          <w:rFonts w:cs="Calibri"/>
          <w:szCs w:val="21"/>
        </w:rPr>
      </w:pPr>
      <w:r>
        <w:rPr>
          <w:rFonts w:ascii="宋体" w:cs="宋体"/>
          <w:sz w:val="24"/>
          <w:szCs w:val="24"/>
          <w:lang w:val="zh-CN"/>
        </w:rPr>
        <w:t xml:space="preserve">4</w:t>
      </w:r>
      <w:r>
        <w:rPr>
          <w:rFonts w:hint="eastAsia" w:ascii="宋体" w:cs="宋体"/>
          <w:sz w:val="24"/>
          <w:szCs w:val="24"/>
          <w:lang w:val="zh-CN"/>
        </w:rPr>
        <w:t xml:space="preserve">、最终用户单位对乙方提供的设备在使用前进行调试时，乙方需负责安装并免费向最终用户单位提供现场技术培训，培训应按照乙方投标文件提供的培训方案实施，并协助最终用户单位一起调试，直到符合技术要求，最终用户单位才做最终验收。</w:t>
      </w:r>
      <w:r/>
    </w:p>
    <w:p>
      <w:pPr>
        <w:ind w:firstLine="420"/>
        <w:spacing w:line="480" w:lineRule="auto"/>
        <w:rPr>
          <w:rFonts w:cs="Calibri"/>
          <w:szCs w:val="21"/>
        </w:rPr>
      </w:pPr>
      <w:r>
        <w:rPr>
          <w:rFonts w:ascii="宋体" w:cs="宋体"/>
          <w:sz w:val="24"/>
          <w:szCs w:val="24"/>
          <w:lang w:val="zh-CN"/>
        </w:rPr>
        <w:t xml:space="preserve">5</w:t>
      </w:r>
      <w:r>
        <w:rPr>
          <w:rFonts w:hint="eastAsia" w:ascii="宋体" w:cs="宋体"/>
          <w:sz w:val="24"/>
          <w:szCs w:val="24"/>
          <w:lang w:val="zh-CN"/>
        </w:rPr>
        <w:t xml:space="preserve">、验收时甲乙双方如果就质量问题有争议，可以委托江苏省省级法定检测机构进行检测评定。质量合格的检测费用由甲方承担，质量不合格的，检测费用由乙方承担。</w:t>
      </w:r>
      <w:r/>
    </w:p>
    <w:p>
      <w:pPr>
        <w:ind w:firstLine="420"/>
        <w:spacing w:line="480" w:lineRule="auto"/>
        <w:rPr>
          <w:rFonts w:cs="Calibri"/>
          <w:szCs w:val="21"/>
        </w:rPr>
      </w:pPr>
      <w:r>
        <w:rPr>
          <w:rFonts w:hint="eastAsia" w:ascii="宋体" w:cs="宋体"/>
          <w:sz w:val="24"/>
          <w:szCs w:val="24"/>
          <w:lang w:val="zh-CN"/>
        </w:rPr>
        <w:t xml:space="preserve">（八）包装、发运及运输</w:t>
      </w:r>
      <w:r/>
    </w:p>
    <w:p>
      <w:pPr>
        <w:ind w:firstLine="420"/>
        <w:spacing w:line="480" w:lineRule="auto"/>
        <w:rPr>
          <w:rFonts w:cs="Calibri"/>
          <w:szCs w:val="21"/>
        </w:rPr>
      </w:pPr>
      <w:r>
        <w:rPr>
          <w:rFonts w:ascii="宋体" w:cs="宋体"/>
          <w:sz w:val="24"/>
          <w:szCs w:val="24"/>
          <w:lang w:val="zh-CN"/>
        </w:rPr>
        <w:t xml:space="preserve">1</w:t>
      </w:r>
      <w:r>
        <w:rPr>
          <w:rFonts w:hint="eastAsia" w:ascii="宋体" w:cs="宋体"/>
          <w:sz w:val="24"/>
          <w:szCs w:val="24"/>
          <w:lang w:val="zh-CN"/>
        </w:rPr>
        <w:t xml:space="preserve">、乙方应在设备发运前对其进行满足运输距离、防潮、防震、防锈和防破损装卸等要求包装，以保证设备安全运达甲方指定地点。</w:t>
      </w:r>
      <w:r/>
    </w:p>
    <w:p>
      <w:pPr>
        <w:ind w:firstLine="420"/>
        <w:spacing w:line="600" w:lineRule="atLeast"/>
        <w:rPr>
          <w:rFonts w:cs="Calibri"/>
          <w:szCs w:val="21"/>
        </w:rPr>
      </w:pPr>
      <w:r>
        <w:rPr>
          <w:rFonts w:ascii="宋体" w:cs="宋体"/>
          <w:sz w:val="24"/>
          <w:szCs w:val="24"/>
          <w:lang w:val="zh-CN"/>
        </w:rPr>
        <w:t xml:space="preserve">2</w:t>
      </w:r>
      <w:r>
        <w:rPr>
          <w:rFonts w:hint="eastAsia" w:ascii="宋体" w:cs="宋体"/>
          <w:sz w:val="24"/>
          <w:szCs w:val="24"/>
          <w:lang w:val="zh-CN"/>
        </w:rPr>
        <w:t xml:space="preserve">、使用说明书、产品合格证明文件、随配附件和工具以及清单一并附于设备内。</w:t>
      </w:r>
      <w:r/>
    </w:p>
    <w:p>
      <w:pPr>
        <w:ind w:firstLine="420"/>
        <w:spacing w:line="600" w:lineRule="atLeast"/>
        <w:rPr>
          <w:rFonts w:cs="Calibri"/>
          <w:szCs w:val="21"/>
        </w:rPr>
      </w:pPr>
      <w:r>
        <w:rPr>
          <w:rFonts w:ascii="宋体" w:cs="宋体"/>
          <w:sz w:val="24"/>
          <w:szCs w:val="24"/>
          <w:lang w:val="zh-CN"/>
        </w:rPr>
        <w:t xml:space="preserve">3</w:t>
      </w:r>
      <w:r>
        <w:rPr>
          <w:rFonts w:hint="eastAsia" w:ascii="宋体" w:cs="宋体"/>
          <w:sz w:val="24"/>
          <w:szCs w:val="24"/>
          <w:lang w:val="zh-CN"/>
        </w:rPr>
        <w:t xml:space="preserve">、乙方在设备发运手续办理完毕后</w:t>
      </w:r>
      <w:r>
        <w:rPr>
          <w:rFonts w:ascii="宋体" w:cs="宋体"/>
          <w:sz w:val="24"/>
          <w:szCs w:val="24"/>
          <w:lang w:val="zh-CN"/>
        </w:rPr>
        <w:t xml:space="preserve">24</w:t>
      </w:r>
      <w:r>
        <w:rPr>
          <w:rFonts w:hint="eastAsia" w:ascii="宋体" w:cs="宋体"/>
          <w:sz w:val="24"/>
          <w:szCs w:val="24"/>
          <w:lang w:val="zh-CN"/>
        </w:rPr>
        <w:t xml:space="preserve">小时内或货到最终用户单位</w:t>
      </w:r>
      <w:r>
        <w:rPr>
          <w:rFonts w:ascii="宋体" w:cs="宋体"/>
          <w:sz w:val="24"/>
          <w:szCs w:val="24"/>
          <w:lang w:val="zh-CN"/>
        </w:rPr>
        <w:t xml:space="preserve">48</w:t>
      </w:r>
      <w:r>
        <w:rPr>
          <w:rFonts w:hint="eastAsia" w:ascii="宋体" w:cs="宋体"/>
          <w:sz w:val="24"/>
          <w:szCs w:val="24"/>
          <w:lang w:val="zh-CN"/>
        </w:rPr>
        <w:t xml:space="preserve">小时前通知最终用户单位，以准备接货。</w:t>
      </w:r>
      <w:r/>
    </w:p>
    <w:p>
      <w:pPr>
        <w:ind w:firstLine="420"/>
        <w:spacing w:line="600" w:lineRule="atLeast"/>
        <w:rPr>
          <w:rFonts w:cs="Calibri"/>
          <w:szCs w:val="21"/>
        </w:rPr>
      </w:pPr>
      <w:r>
        <w:rPr>
          <w:rFonts w:ascii="宋体" w:cs="宋体"/>
          <w:sz w:val="24"/>
          <w:szCs w:val="24"/>
          <w:lang w:val="zh-CN"/>
        </w:rPr>
        <w:t xml:space="preserve">4</w:t>
      </w:r>
      <w:r>
        <w:rPr>
          <w:rFonts w:hint="eastAsia" w:ascii="宋体" w:cs="宋体"/>
          <w:sz w:val="24"/>
          <w:szCs w:val="24"/>
          <w:lang w:val="zh-CN"/>
        </w:rPr>
        <w:t xml:space="preserve">、设备在交付甲方（最终用户单位）前发生的风险均由乙方负责。</w:t>
      </w:r>
      <w:r/>
    </w:p>
    <w:p>
      <w:pPr>
        <w:ind w:firstLine="420"/>
        <w:spacing w:line="600" w:lineRule="atLeast"/>
        <w:rPr>
          <w:rFonts w:cs="Calibri"/>
          <w:szCs w:val="21"/>
        </w:rPr>
      </w:pPr>
      <w:r>
        <w:rPr>
          <w:rFonts w:ascii="宋体" w:cs="宋体"/>
          <w:sz w:val="24"/>
          <w:szCs w:val="24"/>
          <w:lang w:val="zh-CN"/>
        </w:rPr>
        <w:t xml:space="preserve">5</w:t>
      </w:r>
      <w:r>
        <w:rPr>
          <w:rFonts w:hint="eastAsia" w:ascii="宋体" w:cs="宋体"/>
          <w:sz w:val="24"/>
          <w:szCs w:val="24"/>
          <w:lang w:val="zh-CN"/>
        </w:rPr>
        <w:t xml:space="preserve">、乙方在合同约定交付时间内将提供的设备送达甲方指定的地点，安装调试，并验收合格视为交付。</w:t>
      </w:r>
      <w:r/>
    </w:p>
    <w:p>
      <w:pPr>
        <w:ind w:firstLine="420"/>
        <w:spacing w:line="600" w:lineRule="atLeast"/>
        <w:rPr>
          <w:rFonts w:cs="Calibri"/>
          <w:szCs w:val="21"/>
        </w:rPr>
      </w:pPr>
      <w:r>
        <w:rPr>
          <w:rFonts w:hint="eastAsia" w:ascii="宋体" w:cs="宋体"/>
          <w:sz w:val="24"/>
          <w:szCs w:val="24"/>
        </w:rPr>
        <w:t xml:space="preserve">（</w:t>
      </w:r>
      <w:r>
        <w:rPr>
          <w:rFonts w:hint="eastAsia" w:ascii="宋体" w:cs="宋体"/>
          <w:sz w:val="24"/>
          <w:szCs w:val="24"/>
          <w:lang w:val="zh-CN"/>
        </w:rPr>
        <w:t xml:space="preserve">九</w:t>
      </w:r>
      <w:r>
        <w:rPr>
          <w:rFonts w:hint="eastAsia" w:ascii="宋体" w:cs="宋体"/>
          <w:sz w:val="24"/>
          <w:szCs w:val="24"/>
        </w:rPr>
        <w:t xml:space="preserve">）</w:t>
      </w:r>
      <w:r>
        <w:rPr>
          <w:rFonts w:hint="eastAsia" w:ascii="宋体" w:cs="宋体"/>
          <w:sz w:val="24"/>
          <w:szCs w:val="24"/>
          <w:lang w:val="zh-CN"/>
        </w:rPr>
        <w:t xml:space="preserve">付款</w:t>
      </w:r>
      <w:r/>
    </w:p>
    <w:p>
      <w:pPr>
        <w:ind w:firstLine="420"/>
        <w:spacing w:line="600" w:lineRule="atLeast"/>
        <w:rPr>
          <w:rFonts w:cs="Calibri"/>
          <w:szCs w:val="21"/>
        </w:rPr>
      </w:pPr>
      <w:r>
        <w:rPr>
          <w:rFonts w:ascii="宋体" w:cs="宋体"/>
          <w:sz w:val="24"/>
          <w:szCs w:val="24"/>
        </w:rPr>
        <w:t xml:space="preserve">1</w:t>
      </w:r>
      <w:r>
        <w:rPr>
          <w:rFonts w:hint="eastAsia" w:ascii="宋体" w:cs="宋体"/>
          <w:sz w:val="24"/>
          <w:szCs w:val="24"/>
          <w:lang w:val="zh-CN"/>
        </w:rPr>
        <w:t xml:space="preserve">、</w:t>
      </w:r>
      <w:r>
        <w:rPr>
          <w:rFonts w:hint="eastAsia" w:ascii="宋体" w:cs="宋体"/>
          <w:sz w:val="24"/>
          <w:szCs w:val="24"/>
        </w:rPr>
        <w:t xml:space="preserve">付款方式：履行期间付款：验收合格后10</w:t>
      </w:r>
      <w:r>
        <w:rPr>
          <w:rFonts w:hint="eastAsia" w:ascii="宋体" w:cs="宋体"/>
          <w:sz w:val="24"/>
          <w:szCs w:val="24"/>
        </w:rPr>
        <w:t xml:space="preserve">个</w:t>
      </w:r>
      <w:r>
        <w:rPr>
          <w:rFonts w:hint="eastAsia" w:ascii="宋体" w:cs="宋体"/>
          <w:sz w:val="24"/>
          <w:szCs w:val="24"/>
        </w:rPr>
        <w:t xml:space="preserve">工作日内甲方支付90%合同款。乙方应向甲方提供真实、合法的全额销售发票。产品资质资料不全、验收不合格设备，甲方有权拒收并要求限期整改，乙方应在期限内整改和更换到位。交付使用6个月后，乙方须对设备进行一次实地回访，凭甲方确认的回访回执为依据，甲方支付剩余合同总价的10%（若中标设备生产商为中小微企业，乙方回访时间缩短为交付使用</w:t>
      </w:r>
      <w:r>
        <w:rPr>
          <w:rFonts w:hint="eastAsia" w:ascii="宋体" w:cs="宋体"/>
          <w:sz w:val="24"/>
          <w:szCs w:val="24"/>
        </w:rPr>
        <w:t xml:space="preserve">10</w:t>
      </w:r>
      <w:r>
        <w:rPr>
          <w:rFonts w:hint="eastAsia" w:ascii="宋体" w:cs="宋体"/>
          <w:sz w:val="24"/>
          <w:szCs w:val="24"/>
        </w:rPr>
        <w:t xml:space="preserve">个</w:t>
      </w:r>
      <w:r>
        <w:rPr>
          <w:rFonts w:hint="eastAsia" w:ascii="宋体" w:cs="宋体"/>
          <w:sz w:val="24"/>
          <w:szCs w:val="24"/>
        </w:rPr>
        <w:t xml:space="preserve">工作日</w:t>
      </w:r>
      <w:r>
        <w:rPr>
          <w:rFonts w:hint="eastAsia" w:ascii="宋体" w:cs="宋体"/>
          <w:sz w:val="24"/>
          <w:szCs w:val="24"/>
        </w:rPr>
        <w:t xml:space="preserve">后）</w:t>
      </w:r>
      <w:r>
        <w:rPr>
          <w:rFonts w:hint="eastAsia" w:ascii="宋体" w:cs="宋体"/>
          <w:sz w:val="24"/>
          <w:szCs w:val="24"/>
          <w:lang w:val="zh-CN"/>
        </w:rPr>
        <w:t xml:space="preserve">。</w:t>
      </w:r>
      <w:r/>
    </w:p>
    <w:p>
      <w:pPr>
        <w:ind w:firstLine="420"/>
        <w:spacing w:line="600" w:lineRule="atLeast"/>
        <w:rPr>
          <w:rFonts w:cs="Calibri"/>
          <w:szCs w:val="21"/>
        </w:rPr>
      </w:pPr>
      <w:r>
        <w:rPr>
          <w:rFonts w:hint="eastAsia" w:ascii="宋体" w:cs="宋体"/>
          <w:sz w:val="24"/>
          <w:szCs w:val="24"/>
          <w:lang w:val="zh-CN"/>
        </w:rPr>
        <w:t xml:space="preserve">2、税费：本合同执行中相关的一切税费均由乙方负担。</w:t>
      </w:r>
      <w:r/>
    </w:p>
    <w:p>
      <w:pPr>
        <w:ind w:firstLine="420"/>
        <w:spacing w:line="600" w:lineRule="atLeast"/>
        <w:rPr>
          <w:rFonts w:cs="Calibri"/>
          <w:szCs w:val="21"/>
        </w:rPr>
      </w:pPr>
      <w:r>
        <w:rPr>
          <w:rFonts w:hint="eastAsia" w:ascii="宋体" w:cs="宋体"/>
          <w:sz w:val="24"/>
          <w:szCs w:val="24"/>
          <w:lang w:val="zh-CN"/>
        </w:rPr>
        <w:t xml:space="preserve">（十）违约责任</w:t>
      </w:r>
      <w:r/>
    </w:p>
    <w:p>
      <w:pPr>
        <w:ind w:firstLine="630"/>
        <w:spacing w:line="600" w:lineRule="atLeast"/>
        <w:rPr>
          <w:rFonts w:cs="Calibri"/>
          <w:szCs w:val="21"/>
        </w:rPr>
      </w:pPr>
      <w:r>
        <w:rPr>
          <w:rFonts w:ascii="宋体" w:cs="宋体"/>
          <w:sz w:val="24"/>
          <w:szCs w:val="24"/>
          <w:lang w:val="zh-CN"/>
        </w:rPr>
        <w:t xml:space="preserve">1</w:t>
      </w:r>
      <w:r>
        <w:rPr>
          <w:rFonts w:hint="eastAsia" w:ascii="宋体" w:cs="宋体"/>
          <w:sz w:val="24"/>
          <w:szCs w:val="24"/>
          <w:lang w:val="zh-CN"/>
        </w:rPr>
        <w:t xml:space="preserve">、甲方无正当理由拒绝接收设备和支付货款，应当承担由此对乙方造成的损失，甲方承担损失金额不超过合同总值的</w:t>
      </w:r>
      <w:r>
        <w:rPr>
          <w:rFonts w:ascii="宋体" w:cs="宋体"/>
          <w:sz w:val="24"/>
          <w:szCs w:val="24"/>
          <w:lang w:val="zh-CN"/>
        </w:rPr>
        <w:t xml:space="preserve">5%</w:t>
      </w:r>
      <w:r>
        <w:rPr>
          <w:rFonts w:hint="eastAsia" w:ascii="宋体" w:cs="宋体"/>
          <w:sz w:val="24"/>
          <w:szCs w:val="24"/>
          <w:lang w:val="zh-CN"/>
        </w:rPr>
        <w:t xml:space="preserve">。</w:t>
      </w:r>
      <w:r/>
    </w:p>
    <w:p>
      <w:pPr>
        <w:ind w:firstLine="630"/>
        <w:spacing w:line="600" w:lineRule="atLeast"/>
        <w:rPr>
          <w:rFonts w:cs="Calibri"/>
          <w:szCs w:val="21"/>
        </w:rPr>
      </w:pPr>
      <w:r>
        <w:rPr>
          <w:rFonts w:ascii="宋体" w:cs="宋体"/>
          <w:sz w:val="24"/>
          <w:szCs w:val="24"/>
          <w:lang w:val="zh-CN"/>
        </w:rPr>
        <w:t xml:space="preserve">2</w:t>
      </w:r>
      <w:r>
        <w:rPr>
          <w:rFonts w:hint="eastAsia" w:ascii="宋体" w:cs="宋体"/>
          <w:sz w:val="24"/>
          <w:szCs w:val="24"/>
          <w:lang w:val="zh-CN"/>
        </w:rPr>
        <w:t xml:space="preserve">、乙方逾期交付设备的，乙方应按逾期交货总额每日千分之六向甲方支付违约金，由甲方从待付货款中扣除。逾期超过约定日期</w:t>
      </w:r>
      <w:r>
        <w:rPr>
          <w:rFonts w:ascii="宋体" w:cs="宋体"/>
          <w:sz w:val="24"/>
          <w:szCs w:val="24"/>
          <w:lang w:val="zh-CN"/>
        </w:rPr>
        <w:t xml:space="preserve">10</w:t>
      </w:r>
      <w:r>
        <w:rPr>
          <w:rFonts w:hint="eastAsia" w:ascii="宋体" w:cs="宋体"/>
          <w:sz w:val="24"/>
          <w:szCs w:val="24"/>
          <w:lang w:val="zh-CN"/>
        </w:rPr>
        <w:t xml:space="preserve">个工作日不交货的，甲方可解除本合同。因乙方逾期交货或其他违约行为导致甲方解除合同的，乙方应向甲方支付合同总值</w:t>
      </w:r>
      <w:r>
        <w:rPr>
          <w:rFonts w:ascii="宋体" w:cs="宋体"/>
          <w:sz w:val="24"/>
          <w:szCs w:val="24"/>
          <w:lang w:val="zh-CN"/>
        </w:rPr>
        <w:t xml:space="preserve">5%</w:t>
      </w:r>
      <w:r>
        <w:rPr>
          <w:rFonts w:hint="eastAsia" w:ascii="宋体" w:cs="宋体"/>
          <w:sz w:val="24"/>
          <w:szCs w:val="24"/>
          <w:lang w:val="zh-CN"/>
        </w:rPr>
        <w:t xml:space="preserve">的违约金，如造成甲方损失超过违约金的，超出部分由乙方继续承担赔偿责任。</w:t>
      </w:r>
      <w:r/>
    </w:p>
    <w:p>
      <w:pPr>
        <w:ind w:firstLine="630"/>
        <w:spacing w:line="600" w:lineRule="atLeast"/>
        <w:rPr>
          <w:rFonts w:cs="Calibri"/>
          <w:szCs w:val="21"/>
        </w:rPr>
      </w:pPr>
      <w:r>
        <w:rPr>
          <w:rFonts w:ascii="宋体" w:cs="宋体"/>
          <w:sz w:val="24"/>
          <w:szCs w:val="24"/>
          <w:lang w:val="zh-CN"/>
        </w:rPr>
        <w:t xml:space="preserve">3</w:t>
      </w:r>
      <w:r>
        <w:rPr>
          <w:rFonts w:hint="eastAsia" w:ascii="宋体" w:cs="宋体"/>
          <w:sz w:val="24"/>
          <w:szCs w:val="24"/>
          <w:lang w:val="zh-CN"/>
        </w:rPr>
        <w:t xml:space="preserve">、乙方所交的设备品种、型号、规格、技术参数、质量不符合合同、招标文件规定标准的，甲方有权拒收该设备，乙方愿意更换设备但逾期交货的，按乙方逾期交货处理。乙方拒绝更换设备的，甲方可单方面解除合同，乙方应向甲方支付合同总值</w:t>
      </w:r>
      <w:r>
        <w:rPr>
          <w:rFonts w:ascii="宋体" w:cs="宋体"/>
          <w:sz w:val="24"/>
          <w:szCs w:val="24"/>
          <w:lang w:val="zh-CN"/>
        </w:rPr>
        <w:t xml:space="preserve">5%</w:t>
      </w:r>
      <w:r>
        <w:rPr>
          <w:rFonts w:hint="eastAsia" w:ascii="宋体" w:cs="宋体"/>
          <w:sz w:val="24"/>
          <w:szCs w:val="24"/>
          <w:lang w:val="zh-CN"/>
        </w:rPr>
        <w:t xml:space="preserve">的违约金，如造成甲方损失超过违约金的，超出部分由乙方继续承担赔偿责任。</w:t>
      </w:r>
      <w:r/>
    </w:p>
    <w:p>
      <w:pPr>
        <w:ind w:firstLine="420"/>
        <w:spacing w:line="600" w:lineRule="atLeast"/>
        <w:rPr>
          <w:rFonts w:cs="Calibri"/>
          <w:szCs w:val="21"/>
        </w:rPr>
      </w:pPr>
      <w:r>
        <w:rPr>
          <w:rFonts w:hint="eastAsia" w:ascii="宋体" w:cs="宋体"/>
          <w:sz w:val="24"/>
          <w:szCs w:val="24"/>
          <w:lang w:val="zh-CN"/>
        </w:rPr>
        <w:t xml:space="preserve">（十一）不可抗力事件处理</w:t>
      </w:r>
      <w:r/>
    </w:p>
    <w:p>
      <w:pPr>
        <w:ind w:firstLine="630"/>
        <w:spacing w:line="600" w:lineRule="atLeast"/>
        <w:rPr>
          <w:rFonts w:cs="Calibri"/>
          <w:szCs w:val="21"/>
        </w:rPr>
      </w:pPr>
      <w:r>
        <w:rPr>
          <w:rFonts w:ascii="宋体" w:cs="宋体"/>
          <w:sz w:val="24"/>
          <w:szCs w:val="24"/>
          <w:lang w:val="zh-CN"/>
        </w:rPr>
        <w:t xml:space="preserve">1</w:t>
      </w:r>
      <w:r>
        <w:rPr>
          <w:rFonts w:hint="eastAsia" w:ascii="宋体" w:cs="宋体"/>
          <w:sz w:val="24"/>
          <w:szCs w:val="24"/>
          <w:lang w:val="zh-CN"/>
        </w:rPr>
        <w:t xml:space="preserve">、在合同有效期内，任何一方因不可抗力事件导致不能履行合同，则合同履行期可延长，延长期与不可抗力影响期相同。</w:t>
      </w:r>
      <w:r/>
    </w:p>
    <w:p>
      <w:pPr>
        <w:ind w:firstLine="630"/>
        <w:spacing w:line="600" w:lineRule="atLeast"/>
        <w:rPr>
          <w:rFonts w:ascii="宋体" w:cs="宋体"/>
          <w:sz w:val="24"/>
          <w:szCs w:val="24"/>
          <w:lang w:val="zh-CN"/>
        </w:rPr>
      </w:pPr>
      <w:r>
        <w:rPr>
          <w:rFonts w:ascii="宋体" w:cs="宋体"/>
          <w:sz w:val="24"/>
          <w:szCs w:val="24"/>
          <w:lang w:val="zh-CN"/>
        </w:rPr>
        <w:t xml:space="preserve">2</w:t>
      </w:r>
      <w:r>
        <w:rPr>
          <w:rFonts w:hint="eastAsia" w:ascii="宋体" w:cs="宋体"/>
          <w:sz w:val="24"/>
          <w:szCs w:val="24"/>
          <w:lang w:val="zh-CN"/>
        </w:rPr>
        <w:t xml:space="preserve">、不可抗力事件发生后，应立即通知对方，并寄送有关权威机构出具的证明。</w:t>
      </w:r>
      <w:r/>
    </w:p>
    <w:p>
      <w:pPr>
        <w:ind w:firstLine="630"/>
        <w:spacing w:line="600" w:lineRule="atLeast"/>
        <w:rPr>
          <w:rFonts w:hint="eastAsia" w:ascii="宋体" w:hAnsi="宋体"/>
          <w:sz w:val="28"/>
          <w:szCs w:val="28"/>
        </w:rPr>
      </w:pPr>
      <w:r>
        <w:rPr>
          <w:rFonts w:ascii="宋体" w:cs="宋体"/>
          <w:sz w:val="24"/>
          <w:szCs w:val="24"/>
          <w:lang w:val="zh-CN"/>
        </w:rPr>
        <w:t xml:space="preserve">3</w:t>
      </w:r>
      <w:r>
        <w:rPr>
          <w:rFonts w:hint="eastAsia" w:ascii="宋体" w:cs="宋体"/>
          <w:sz w:val="24"/>
          <w:szCs w:val="24"/>
          <w:lang w:val="zh-CN"/>
        </w:rPr>
        <w:t xml:space="preserve">、不可抗力事件延续</w:t>
      </w:r>
      <w:r>
        <w:rPr>
          <w:rFonts w:ascii="宋体" w:cs="宋体"/>
          <w:sz w:val="24"/>
          <w:szCs w:val="24"/>
          <w:lang w:val="zh-CN"/>
        </w:rPr>
        <w:t xml:space="preserve">120</w:t>
      </w:r>
      <w:r>
        <w:rPr>
          <w:rFonts w:hint="eastAsia" w:ascii="宋体" w:cs="宋体"/>
          <w:sz w:val="24"/>
          <w:szCs w:val="24"/>
          <w:lang w:val="zh-CN"/>
        </w:rPr>
        <w:t xml:space="preserve">天以上，双方应通过友好协商，确定是否继续履行合同。</w:t>
      </w:r>
      <w:r/>
    </w:p>
    <w:p>
      <w:pPr>
        <w:pStyle w:val="911"/>
        <w:jc w:val="left"/>
        <w:spacing w:line="400" w:lineRule="exact"/>
        <w:rPr>
          <w:rFonts w:hint="eastAsia" w:ascii="黑体" w:hAnsi="黑体" w:eastAsia="黑体"/>
          <w:b/>
          <w:bCs/>
          <w:color w:val="auto"/>
          <w:sz w:val="28"/>
          <w:szCs w:val="28"/>
        </w:rPr>
      </w:pPr>
      <w:r>
        <w:rPr>
          <w:rFonts w:hint="eastAsia" w:ascii="黑体" w:hAnsi="黑体" w:eastAsia="黑体"/>
          <w:b/>
          <w:bCs/>
          <w:color w:val="auto"/>
          <w:sz w:val="28"/>
          <w:szCs w:val="28"/>
        </w:rPr>
        <w:t xml:space="preserve">五、其他要求</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1.项目</w:t>
      </w:r>
      <w:r>
        <w:rPr>
          <w:rFonts w:hint="eastAsia" w:ascii="方正仿宋_GBK" w:hAnsi="方正仿宋_GBK" w:eastAsia="方正仿宋_GBK" w:cs="方正仿宋_GBK"/>
          <w:bCs/>
          <w:sz w:val="28"/>
          <w:szCs w:val="28"/>
        </w:rPr>
        <w:t xml:space="preserve">属性:</w:t>
      </w:r>
      <w:r>
        <w:rPr>
          <w:rFonts w:hint="eastAsia" w:ascii="方正仿宋_GBK" w:hAnsi="方正仿宋_GBK" w:eastAsia="方正仿宋_GBK" w:cs="方正仿宋_GBK"/>
          <w:bCs/>
          <w:sz w:val="28"/>
          <w:szCs w:val="28"/>
        </w:rPr>
        <w:t xml:space="preserve">货物类项目。</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2.核心产品</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76"/>
        <w:gridCol w:w="5163"/>
      </w:tblGrid>
      <w:tr>
        <w:trPr>
          <w:trHeight w:val="375"/>
        </w:trPr>
        <w:tc>
          <w:tcPr>
            <w:tcW w:w="257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51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w:t>
            </w:r>
            <w:r/>
          </w:p>
        </w:tc>
      </w:tr>
      <w:tr>
        <w:trPr>
          <w:trHeight w:val="304"/>
        </w:trPr>
        <w:tc>
          <w:tcPr>
            <w:tcW w:w="257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zh-CN"/>
              </w:rPr>
              <w:t xml:space="preserve">1</w:t>
            </w:r>
            <w:r/>
          </w:p>
        </w:tc>
        <w:tc>
          <w:tcPr>
            <w:tcW w:w="51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zh-CN"/>
              </w:rPr>
              <w:t xml:space="preserve">医用直线加速器</w:t>
            </w:r>
            <w:r/>
          </w:p>
        </w:tc>
      </w:tr>
    </w:tbl>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3.进口产品投标</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46"/>
        <w:gridCol w:w="5633"/>
      </w:tblGrid>
      <w:tr>
        <w:trPr>
          <w:trHeight w:val="716"/>
        </w:trPr>
        <w:tc>
          <w:tcPr>
            <w:tcW w:w="194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63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是否接受进口产品投标</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p>
        </w:tc>
      </w:tr>
      <w:tr>
        <w:trPr>
          <w:trHeight w:val="371"/>
        </w:trPr>
        <w:tc>
          <w:tcPr>
            <w:tcW w:w="194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63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r>
    </w:tbl>
    <w:p>
      <w:pPr>
        <w:jc w:val="left"/>
        <w:widowControl/>
        <w:rPr>
          <w:rFonts w:hint="eastAsia" w:ascii="方正仿宋_GBK" w:hAnsi="方正仿宋_GBK" w:eastAsia="方正仿宋_GBK" w:cs="方正仿宋_GBK"/>
          <w:bCs/>
          <w:sz w:val="28"/>
          <w:szCs w:val="28"/>
        </w:rPr>
      </w:pPr>
      <w:r/>
      <w:bookmarkStart w:id="205" w:name="_Toc120614281"/>
      <w:r>
        <w:rPr>
          <w:rFonts w:hint="eastAsia" w:ascii="方正仿宋_GBK" w:hAnsi="方正仿宋_GBK" w:eastAsia="方正仿宋_GBK" w:cs="方正仿宋_GBK"/>
          <w:bCs/>
          <w:sz w:val="28"/>
          <w:szCs w:val="28"/>
        </w:rPr>
        <w:br w:type="page" w:clear="all"/>
      </w:r>
      <w:r/>
    </w:p>
    <w:p>
      <w:pPr>
        <w:ind w:firstLine="2240"/>
        <w:keepNext/>
        <w:spacing w:line="660" w:lineRule="exact"/>
        <w:rPr>
          <w:rFonts w:hint="eastAsia" w:ascii="方正黑体_GBK" w:hAnsi="方正黑体_GBK" w:eastAsia="方正黑体_GBK" w:cs="方正黑体_GBK"/>
          <w:bCs/>
          <w:sz w:val="28"/>
          <w:szCs w:val="28"/>
        </w:rPr>
        <w:outlineLvl w:val="0"/>
      </w:pPr>
      <w:r/>
      <w:bookmarkStart w:id="206" w:name="_Toc240275229"/>
      <w:r>
        <w:rPr>
          <w:rFonts w:hint="eastAsia" w:ascii="方正黑体_GBK" w:hAnsi="方正黑体_GBK" w:eastAsia="方正黑体_GBK" w:cs="方正黑体_GBK"/>
          <w:bCs/>
          <w:sz w:val="28"/>
          <w:szCs w:val="28"/>
        </w:rPr>
        <w:t xml:space="preserve">第五章  评标方法与评标标准</w:t>
      </w:r>
      <w:bookmarkEnd w:id="206"/>
      <w:r/>
      <w:r/>
    </w:p>
    <w:p>
      <w:pPr>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采用综合评分法的，评标结果按评审后得分由高到低顺序排列。得分相同的，按投标报价由低到高顺序排列。得分且投标报价相同的并列。</w:t>
      </w:r>
      <w:r/>
    </w:p>
    <w:tbl>
      <w:tblPr>
        <w:tblW w:w="0" w:type="auto"/>
        <w:tblInd w:w="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52"/>
        <w:gridCol w:w="1982"/>
        <w:gridCol w:w="5153"/>
      </w:tblGrid>
      <w:tr>
        <w:trPr/>
        <w:tc>
          <w:tcPr>
            <w:tcW w:w="165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198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15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c>
          <w:tcPr>
            <w:tcW w:w="165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98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53" w:type="dxa"/>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bl>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政府采购政策功能落实</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1.小微型企业价格扣除</w:t>
      </w:r>
      <w:r/>
    </w:p>
    <w:p>
      <w:pPr>
        <w:ind w:firstLine="420"/>
        <w:jc w:val="left"/>
        <w:spacing w:before="120" w:after="120"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（1）本项目对小型和微型企业产品给予10%的扣除价格，用扣除后的价格参与评审。</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2.残疾人福利单位价格扣除</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（1）本项目对残疾人福利性单位视同小型、微型企业，给予10%的价格扣除，用扣除后的价格参与评审。</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3.监狱和戒毒企业价格扣除</w:t>
      </w:r>
      <w:r/>
    </w:p>
    <w:p>
      <w:pPr>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（1）本项目对监狱和戒毒企业（简称监狱企业）视同小型、微型企业，给予10%的价格扣除，用扣除后的价格参与评审。</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w:t>
      </w:r>
      <w:r>
        <w:rPr>
          <w:rFonts w:hint="eastAsia" w:ascii="方正仿宋_GBK" w:hAnsi="方正仿宋_GBK" w:eastAsia="方正仿宋_GBK" w:cs="方正仿宋_GBK"/>
          <w:sz w:val="28"/>
          <w:szCs w:val="28"/>
        </w:rPr>
        <w:t xml:space="preserve">(含新疆生产建设兵团)</w:t>
      </w:r>
      <w:r>
        <w:rPr>
          <w:rFonts w:hint="eastAsia" w:ascii="方正仿宋_GBK" w:hAnsi="方正仿宋_GBK" w:eastAsia="方正仿宋_GBK" w:cs="方正仿宋_GBK"/>
          <w:sz w:val="28"/>
          <w:szCs w:val="28"/>
        </w:rPr>
        <w:t xml:space="preserve">出具的属于监狱企业的证明文件。供应商如不提供上述证明文件，价格将不做相应扣除。</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4.残疾人福利单位、监狱企业属于小型、微型企业的，不重复享受政策。</w:t>
      </w:r>
      <w:r/>
    </w:p>
    <w:p>
      <w:pPr>
        <w:ind w:firstLine="560"/>
        <w:spacing w:line="400" w:lineRule="exact"/>
        <w:rPr>
          <w:rFonts w:hint="eastAsia" w:ascii="华文新魏" w:hAnsi="宋体" w:eastAsia="华文新魏"/>
          <w:sz w:val="28"/>
          <w:szCs w:val="28"/>
        </w:rPr>
      </w:pPr>
      <w:r>
        <w:rPr>
          <w:rFonts w:hint="eastAsia" w:ascii="方正仿宋_GBK" w:hAnsi="方正仿宋_GBK" w:eastAsia="方正仿宋_GBK" w:cs="方正仿宋_GBK"/>
          <w:sz w:val="28"/>
          <w:szCs w:val="28"/>
        </w:rPr>
        <w:t xml:space="preserve">5.如本项目同意联合体投标或同意分包履行合同</w:t>
      </w:r>
      <w:r>
        <w:rPr>
          <w:rFonts w:hint="eastAsia" w:ascii="方正仿宋_GBK" w:hAnsi="方正仿宋_GBK" w:eastAsia="方正仿宋_GBK" w:cs="方正仿宋_GBK"/>
          <w:sz w:val="28"/>
          <w:szCs w:val="28"/>
        </w:rPr>
        <w:t xml:space="preserve">的,</w:t>
      </w:r>
      <w:r>
        <w:rPr>
          <w:rFonts w:hint="eastAsia" w:ascii="方正仿宋_GBK" w:hAnsi="方正仿宋_GBK" w:eastAsia="方正仿宋_GBK" w:cs="方正仿宋_GBK"/>
          <w:sz w:val="28"/>
          <w:szCs w:val="28"/>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560"/>
        <w:jc w:val="left"/>
        <w:spacing w:before="120" w:after="120"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6.联合体各方均为小型、微型企业（残疾人福利单位、监狱企业）的，联合体享受10%价格扣除，用扣除后的价格参与评审。</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本项目政府采购活动中既有本国产品又有非本国产品参与竞争的，依法对本国产品给予价格评审优惠，对本国产品的报价给予20%的价格扣除，用扣除后的价格参与评审。</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供应商需按照招标文件的要求提供《关于符合本国产品标准的声明函》（以下简称《声明函》），如不提供将不享受本国产品价格评审优惠。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供应商需在《声明函》中逐一、准确填写产品名称、厂名、生产厂址三项信息（《声明函》中标注</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w:t>
      </w:r>
      <w:r>
        <w:rPr>
          <w:rFonts w:hint="eastAsia" w:ascii="方正仿宋_GBK" w:hAnsi="方正仿宋_GBK" w:eastAsia="方正仿宋_GBK" w:cs="方正仿宋_GBK"/>
          <w:sz w:val="28"/>
          <w:szCs w:val="28"/>
        </w:rPr>
        <w:t xml:space="preserve">准。</w:t>
      </w:r>
      <w:r/>
    </w:p>
    <w:p>
      <w:pPr>
        <w:ind w:firstLine="560"/>
        <w:jc w:val="left"/>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评标方法与评标标准</w:t>
      </w:r>
      <w:r/>
    </w:p>
    <w:p>
      <w:pPr>
        <w:ind w:firstLine="480"/>
        <w:jc w:val="left"/>
        <w:spacing w:before="120" w:after="120" w:line="240" w:lineRule="atLeast"/>
        <w:rPr>
          <w:rFonts w:ascii="宋体" w:hAnsi="Arial" w:cs="宋体"/>
          <w:b/>
          <w:bCs/>
          <w:sz w:val="24"/>
          <w:szCs w:val="24"/>
          <w:lang w:val="zh-CN"/>
        </w:rPr>
      </w:pPr>
      <w:r>
        <w:rPr>
          <w:rFonts w:hint="eastAsia" w:ascii="宋体" w:hAnsi="Arial" w:cs="宋体"/>
          <w:b/>
          <w:bCs/>
          <w:sz w:val="24"/>
          <w:szCs w:val="24"/>
          <w:lang w:val="zh-CN"/>
        </w:rPr>
        <w:t xml:space="preserve">评标方法与评标标准</w:t>
      </w:r>
      <w:r/>
    </w:p>
    <w:p>
      <w:pPr>
        <w:ind w:firstLine="482"/>
        <w:spacing w:line="440" w:lineRule="atLeast"/>
        <w:rPr>
          <w:rFonts w:ascii="宋体" w:hAnsi="Arial" w:cs="宋体"/>
          <w:b/>
          <w:bCs/>
          <w:sz w:val="24"/>
          <w:szCs w:val="24"/>
          <w:lang w:val="zh-CN"/>
        </w:rPr>
      </w:pPr>
      <w:r>
        <w:rPr>
          <w:rFonts w:hint="eastAsia" w:ascii="宋体" w:hAnsi="Arial" w:cs="宋体"/>
          <w:b/>
          <w:bCs/>
          <w:sz w:val="24"/>
          <w:szCs w:val="24"/>
          <w:lang w:val="zh-CN"/>
        </w:rPr>
        <w:t xml:space="preserve">（一）投标报价（</w:t>
      </w:r>
      <w:r>
        <w:rPr>
          <w:rFonts w:ascii="宋体" w:hAnsi="Arial" w:cs="宋体"/>
          <w:b/>
          <w:bCs/>
          <w:sz w:val="24"/>
          <w:szCs w:val="24"/>
          <w:lang w:val="zh-CN"/>
        </w:rPr>
        <w:t xml:space="preserve">30</w:t>
      </w:r>
      <w:r>
        <w:rPr>
          <w:rFonts w:hint="eastAsia" w:ascii="宋体" w:hAnsi="Arial" w:cs="宋体"/>
          <w:b/>
          <w:bCs/>
          <w:sz w:val="24"/>
          <w:szCs w:val="24"/>
          <w:lang w:val="zh-CN"/>
        </w:rPr>
        <w:t xml:space="preserve">分）</w:t>
      </w:r>
      <w:r/>
    </w:p>
    <w:p>
      <w:pPr>
        <w:ind w:firstLine="480"/>
        <w:spacing w:line="440" w:lineRule="atLeast"/>
        <w:rPr>
          <w:rFonts w:ascii="宋体" w:hAnsi="Arial" w:cs="宋体"/>
          <w:sz w:val="24"/>
          <w:szCs w:val="24"/>
          <w:lang w:val="zh-CN"/>
        </w:rPr>
      </w:pPr>
      <w:r>
        <w:rPr>
          <w:rFonts w:ascii="宋体" w:hAnsi="Arial" w:cs="宋体"/>
          <w:sz w:val="24"/>
          <w:szCs w:val="24"/>
          <w:lang w:val="zh-CN"/>
        </w:rPr>
        <w:t xml:space="preserve">1.1</w:t>
      </w:r>
      <w:r>
        <w:rPr>
          <w:rFonts w:hint="eastAsia" w:ascii="宋体" w:hAnsi="Arial" w:cs="宋体"/>
          <w:sz w:val="24"/>
          <w:szCs w:val="24"/>
          <w:lang w:val="zh-CN"/>
        </w:rPr>
        <w:t xml:space="preserve">价格分采用低价优先法计算，即满足采购文件要求且投标价格最低的供应商投标报价为评标基准价，其价格分为满分</w:t>
      </w:r>
      <w:r>
        <w:rPr>
          <w:rFonts w:ascii="宋体" w:hAnsi="Arial" w:cs="宋体"/>
          <w:sz w:val="24"/>
          <w:szCs w:val="24"/>
          <w:lang w:val="zh-CN"/>
        </w:rPr>
        <w:t xml:space="preserve">30</w:t>
      </w:r>
      <w:r>
        <w:rPr>
          <w:rFonts w:hint="eastAsia" w:ascii="宋体" w:hAnsi="Arial" w:cs="宋体"/>
          <w:sz w:val="24"/>
          <w:szCs w:val="24"/>
          <w:lang w:val="zh-CN"/>
        </w:rPr>
        <w:t xml:space="preserve">分，其它投标人的价格分统一按照以下公式计算：投标报价得分</w:t>
      </w:r>
      <w:r>
        <w:rPr>
          <w:rFonts w:ascii="宋体" w:hAnsi="Arial" w:cs="宋体"/>
          <w:sz w:val="24"/>
          <w:szCs w:val="24"/>
          <w:lang w:val="zh-CN"/>
        </w:rPr>
        <w:t xml:space="preserve">=</w:t>
      </w:r>
      <w:r>
        <w:rPr>
          <w:rFonts w:hint="eastAsia" w:ascii="宋体" w:hAnsi="Arial" w:cs="宋体"/>
          <w:sz w:val="24"/>
          <w:szCs w:val="24"/>
          <w:lang w:val="zh-CN"/>
        </w:rPr>
        <w:t xml:space="preserve">（评标基准价</w:t>
      </w:r>
      <w:r>
        <w:rPr>
          <w:rFonts w:ascii="宋体" w:hAnsi="Arial" w:cs="宋体"/>
          <w:sz w:val="24"/>
          <w:szCs w:val="24"/>
          <w:lang w:val="zh-CN"/>
        </w:rPr>
        <w:t xml:space="preserve">/</w:t>
      </w:r>
      <w:r>
        <w:rPr>
          <w:rFonts w:hint="eastAsia" w:ascii="宋体" w:hAnsi="Arial" w:cs="宋体"/>
          <w:sz w:val="24"/>
          <w:szCs w:val="24"/>
          <w:lang w:val="zh-CN"/>
        </w:rPr>
        <w:t xml:space="preserve">该投标人的投标报价）×</w:t>
      </w:r>
      <w:r>
        <w:rPr>
          <w:rFonts w:ascii="宋体" w:hAnsi="Arial" w:cs="宋体"/>
          <w:sz w:val="24"/>
          <w:szCs w:val="24"/>
          <w:lang w:val="zh-CN"/>
        </w:rPr>
        <w:t xml:space="preserve">30</w:t>
      </w:r>
      <w:r>
        <w:rPr>
          <w:rFonts w:hint="eastAsia" w:ascii="宋体" w:hAnsi="Arial" w:cs="宋体"/>
          <w:sz w:val="24"/>
          <w:szCs w:val="24"/>
          <w:lang w:val="zh-CN"/>
        </w:rPr>
        <w:t xml:space="preserve">分。分值保留小数点后</w:t>
      </w:r>
      <w:r>
        <w:rPr>
          <w:rFonts w:ascii="宋体" w:hAnsi="Arial" w:cs="宋体"/>
          <w:sz w:val="24"/>
          <w:szCs w:val="24"/>
          <w:lang w:val="zh-CN"/>
        </w:rPr>
        <w:t xml:space="preserve">1</w:t>
      </w:r>
      <w:r>
        <w:rPr>
          <w:rFonts w:hint="eastAsia" w:ascii="宋体" w:hAnsi="Arial" w:cs="宋体"/>
          <w:sz w:val="24"/>
          <w:szCs w:val="24"/>
          <w:lang w:val="zh-CN"/>
        </w:rPr>
        <w:t xml:space="preserve">位。</w:t>
      </w:r>
      <w:r/>
    </w:p>
    <w:p>
      <w:pPr>
        <w:ind w:firstLine="482"/>
        <w:spacing w:line="440" w:lineRule="atLeast"/>
        <w:rPr>
          <w:rFonts w:ascii="宋体" w:hAnsi="Arial" w:cs="宋体"/>
          <w:sz w:val="24"/>
          <w:szCs w:val="24"/>
          <w:lang w:val="zh-CN"/>
        </w:rPr>
      </w:pPr>
      <w:r>
        <w:rPr>
          <w:rFonts w:hint="eastAsia" w:ascii="宋体" w:hAnsi="Arial" w:cs="宋体"/>
          <w:b/>
          <w:bCs/>
          <w:sz w:val="24"/>
          <w:szCs w:val="24"/>
          <w:lang w:val="zh-CN"/>
        </w:rPr>
        <w:t xml:space="preserve">（二）产品技术响应情况</w:t>
      </w:r>
      <w:r>
        <w:rPr>
          <w:rFonts w:ascii="宋体" w:hAnsi="Arial" w:cs="宋体"/>
          <w:b/>
          <w:bCs/>
          <w:sz w:val="24"/>
          <w:szCs w:val="24"/>
          <w:lang w:val="zh-CN"/>
        </w:rPr>
        <w:t xml:space="preserve">(</w:t>
      </w:r>
      <w:r>
        <w:rPr>
          <w:rFonts w:hint="eastAsia" w:ascii="宋体" w:hAnsi="Arial" w:cs="宋体"/>
          <w:b/>
          <w:bCs/>
          <w:sz w:val="24"/>
          <w:szCs w:val="24"/>
          <w:lang w:val="zh-CN"/>
        </w:rPr>
        <w:t xml:space="preserve">40分</w:t>
      </w:r>
      <w:r>
        <w:rPr>
          <w:rFonts w:ascii="宋体" w:hAnsi="Arial" w:cs="宋体"/>
          <w:b/>
          <w:bCs/>
          <w:sz w:val="24"/>
          <w:szCs w:val="24"/>
          <w:lang w:val="zh-CN"/>
        </w:rPr>
        <w:t xml:space="preserve">)</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2.1投标产品对招标文件具体需求的响应程度：全部响应即满足招标文件“产品技术指标要求”的得40分；打★号参数必须满足，负偏离作无效投标；打▲号参数为重要参数，负偏离每条扣3分；其他参数为一般参数，负偏离每条扣0.25分。投标人需按照本采购文件具体功能技术要求在“技术参数响应及偏离表”中如实逐项填列所投产品的参数，并按采购文件要求提供相应“产品检测报告”等技术资料并在偏离表中标明每一条参数的所在页码，否则评标委员会有权做负偏离处理。</w:t>
      </w:r>
      <w:r/>
    </w:p>
    <w:p>
      <w:pPr>
        <w:ind w:firstLine="482"/>
        <w:spacing w:line="440" w:lineRule="atLeast"/>
        <w:rPr>
          <w:rFonts w:ascii="宋体" w:hAnsi="Arial" w:cs="宋体"/>
          <w:sz w:val="24"/>
          <w:szCs w:val="24"/>
          <w:lang w:val="zh-CN"/>
        </w:rPr>
      </w:pPr>
      <w:r>
        <w:rPr>
          <w:rFonts w:hint="eastAsia" w:ascii="宋体" w:hAnsi="Arial" w:cs="宋体"/>
          <w:b/>
          <w:bCs/>
          <w:sz w:val="24"/>
          <w:szCs w:val="24"/>
          <w:lang w:val="zh-CN"/>
        </w:rPr>
        <w:t xml:space="preserve">（</w:t>
      </w:r>
      <w:r>
        <w:rPr>
          <w:rFonts w:hint="eastAsia" w:ascii="宋体" w:hAnsi="Arial" w:cs="宋体"/>
          <w:b/>
          <w:bCs/>
          <w:sz w:val="24"/>
          <w:szCs w:val="24"/>
        </w:rPr>
        <w:t xml:space="preserve">三</w:t>
      </w:r>
      <w:r>
        <w:rPr>
          <w:rFonts w:hint="eastAsia" w:ascii="宋体" w:hAnsi="Arial" w:cs="宋体"/>
          <w:b/>
          <w:bCs/>
          <w:sz w:val="24"/>
          <w:szCs w:val="24"/>
          <w:lang w:val="zh-CN"/>
        </w:rPr>
        <w:t xml:space="preserve">）项目实施、验收及培训方案</w:t>
      </w:r>
      <w:r>
        <w:rPr>
          <w:rFonts w:ascii="宋体" w:hAnsi="Arial" w:cs="宋体"/>
          <w:b/>
          <w:bCs/>
          <w:sz w:val="24"/>
          <w:szCs w:val="24"/>
          <w:lang w:val="zh-CN"/>
        </w:rPr>
        <w:t xml:space="preserve">(</w:t>
      </w:r>
      <w:r>
        <w:rPr>
          <w:rFonts w:hint="eastAsia" w:ascii="宋体" w:hAnsi="Arial" w:cs="宋体"/>
          <w:b/>
          <w:bCs/>
          <w:sz w:val="24"/>
          <w:szCs w:val="24"/>
        </w:rPr>
        <w:t xml:space="preserve">15</w:t>
      </w:r>
      <w:r>
        <w:rPr>
          <w:rFonts w:hint="eastAsia" w:ascii="宋体" w:hAnsi="Arial" w:cs="宋体"/>
          <w:b/>
          <w:bCs/>
          <w:sz w:val="24"/>
          <w:szCs w:val="24"/>
          <w:lang w:val="zh-CN"/>
        </w:rPr>
        <w:t xml:space="preserve">分</w:t>
      </w:r>
      <w:r>
        <w:rPr>
          <w:rFonts w:ascii="宋体" w:hAnsi="Arial" w:cs="宋体"/>
          <w:b/>
          <w:bCs/>
          <w:sz w:val="24"/>
          <w:szCs w:val="24"/>
          <w:lang w:val="zh-CN"/>
        </w:rPr>
        <w:t xml:space="preserve">)</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3</w:t>
      </w:r>
      <w:r>
        <w:rPr>
          <w:rFonts w:ascii="宋体" w:hAnsi="Arial" w:cs="宋体"/>
          <w:sz w:val="24"/>
          <w:szCs w:val="24"/>
          <w:lang w:val="zh-CN"/>
        </w:rPr>
        <w:t xml:space="preserve">.1</w:t>
      </w:r>
      <w:r>
        <w:rPr>
          <w:rFonts w:hint="eastAsia" w:ascii="宋体" w:hAnsi="Arial" w:cs="宋体"/>
          <w:sz w:val="24"/>
          <w:szCs w:val="24"/>
          <w:lang w:val="zh-CN"/>
        </w:rPr>
        <w:t xml:space="preserve">项目实施方案</w:t>
      </w:r>
      <w:r>
        <w:rPr>
          <w:rFonts w:ascii="宋体" w:hAnsi="Arial" w:cs="宋体"/>
          <w:sz w:val="24"/>
          <w:szCs w:val="24"/>
          <w:lang w:val="zh-CN"/>
        </w:rPr>
        <w:t xml:space="preserve">(</w:t>
      </w:r>
      <w:r>
        <w:rPr>
          <w:rFonts w:hint="eastAsia" w:ascii="宋体" w:hAnsi="Arial" w:cs="宋体"/>
          <w:sz w:val="24"/>
          <w:szCs w:val="24"/>
        </w:rPr>
        <w:t xml:space="preserve">3</w:t>
      </w:r>
      <w:r>
        <w:rPr>
          <w:rFonts w:hint="eastAsia" w:ascii="宋体" w:hAnsi="Arial" w:cs="宋体"/>
          <w:sz w:val="24"/>
          <w:szCs w:val="24"/>
          <w:lang w:val="zh-CN"/>
        </w:rPr>
        <w:t xml:space="preserve">分</w:t>
      </w:r>
      <w:r>
        <w:rPr>
          <w:rFonts w:ascii="宋体" w:hAnsi="Arial" w:cs="宋体"/>
          <w:sz w:val="24"/>
          <w:szCs w:val="24"/>
          <w:lang w:val="zh-CN"/>
        </w:rPr>
        <w:t xml:space="preserve">)</w:t>
      </w:r>
      <w:r>
        <w:rPr>
          <w:rFonts w:hint="eastAsia" w:ascii="宋体" w:hAnsi="Arial" w:cs="宋体"/>
          <w:sz w:val="24"/>
          <w:szCs w:val="24"/>
          <w:lang w:val="zh-CN"/>
        </w:rPr>
        <w:t xml:space="preserve">：</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供应商提供项目实施方案，包括项目实施计划、项目实施团队、项目实施进度安排、实施保障措施、验收方案等内容。</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①投标文件未符合“项目实施方案”中全部条款要求的，视为不符合招标文件，本项得0分；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②投标文件符合“项目实施方案”中全部条款要求的，视为符合招标文件，本项得2分；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③经评委认定，投标文件对“项目实施方案”中“</w:t>
      </w:r>
      <w:r>
        <w:rPr>
          <w:rFonts w:ascii="宋体" w:hAnsi="Arial" w:cs="宋体"/>
          <w:sz w:val="24"/>
          <w:szCs w:val="24"/>
          <w:lang w:val="zh-CN"/>
        </w:rPr>
        <w:t xml:space="preserve">协议期内按期供货</w:t>
      </w:r>
      <w:r>
        <w:rPr>
          <w:rFonts w:hint="eastAsia" w:ascii="宋体" w:hAnsi="Arial" w:cs="宋体"/>
          <w:sz w:val="24"/>
          <w:szCs w:val="24"/>
          <w:lang w:val="zh-CN"/>
        </w:rPr>
        <w:t xml:space="preserve">”要求的响应内容全部优于招标文件要求的（投标文件对“项目实施方案”中除“</w:t>
      </w:r>
      <w:r>
        <w:rPr>
          <w:rFonts w:ascii="宋体" w:hAnsi="Arial" w:cs="宋体"/>
          <w:sz w:val="24"/>
          <w:szCs w:val="24"/>
          <w:lang w:val="zh-CN"/>
        </w:rPr>
        <w:t xml:space="preserve">协议期内按期供货</w:t>
      </w:r>
      <w:r>
        <w:rPr>
          <w:rFonts w:hint="eastAsia" w:ascii="宋体" w:hAnsi="Arial" w:cs="宋体"/>
          <w:sz w:val="24"/>
          <w:szCs w:val="24"/>
          <w:lang w:val="zh-CN"/>
        </w:rPr>
        <w:t xml:space="preserve">”外其它要求响应内容符合招标文件要求），本项得3分。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3</w:t>
      </w:r>
      <w:r>
        <w:rPr>
          <w:rFonts w:ascii="宋体" w:hAnsi="Arial" w:cs="宋体"/>
          <w:sz w:val="24"/>
          <w:szCs w:val="24"/>
          <w:lang w:val="zh-CN"/>
        </w:rPr>
        <w:t xml:space="preserve">.2 </w:t>
      </w:r>
      <w:r>
        <w:rPr>
          <w:rFonts w:hint="eastAsia" w:ascii="宋体" w:hAnsi="Arial" w:cs="宋体"/>
          <w:sz w:val="24"/>
          <w:szCs w:val="24"/>
        </w:rPr>
        <w:t xml:space="preserve">项目</w:t>
      </w:r>
      <w:r>
        <w:rPr>
          <w:rFonts w:ascii="宋体" w:hAnsi="Arial" w:cs="宋体"/>
          <w:sz w:val="24"/>
          <w:szCs w:val="24"/>
          <w:lang w:val="zh-CN"/>
        </w:rPr>
        <w:t xml:space="preserve">人员配置</w:t>
      </w:r>
      <w:r>
        <w:rPr>
          <w:rFonts w:hint="eastAsia" w:ascii="宋体" w:hAnsi="Arial" w:cs="宋体"/>
          <w:sz w:val="24"/>
          <w:szCs w:val="24"/>
        </w:rPr>
        <w:t xml:space="preserve">方案</w:t>
      </w:r>
      <w:r>
        <w:rPr>
          <w:rFonts w:ascii="宋体" w:hAnsi="Arial" w:cs="宋体"/>
          <w:sz w:val="24"/>
          <w:szCs w:val="24"/>
          <w:lang w:val="zh-CN"/>
        </w:rPr>
        <w:t xml:space="preserve">（</w:t>
      </w:r>
      <w:r>
        <w:rPr>
          <w:rFonts w:hint="eastAsia" w:ascii="宋体" w:hAnsi="Arial" w:cs="宋体"/>
          <w:sz w:val="24"/>
          <w:szCs w:val="24"/>
          <w:lang w:val="zh-CN"/>
        </w:rPr>
        <w:t xml:space="preserve">3</w:t>
      </w:r>
      <w:r>
        <w:rPr>
          <w:rFonts w:ascii="宋体" w:hAnsi="Arial" w:cs="宋体"/>
          <w:sz w:val="24"/>
          <w:szCs w:val="24"/>
          <w:lang w:val="zh-CN"/>
        </w:rPr>
        <w:t xml:space="preserve">分）</w:t>
      </w:r>
      <w:r>
        <w:rPr>
          <w:rFonts w:hint="eastAsia" w:ascii="宋体" w:hAnsi="Arial" w:cs="宋体"/>
          <w:sz w:val="24"/>
          <w:szCs w:val="24"/>
          <w:lang w:val="zh-CN"/>
        </w:rPr>
        <w:t xml:space="preserve">：投标人应根据招标文件及本项目特点，提供</w:t>
      </w:r>
      <w:r>
        <w:rPr>
          <w:rFonts w:hint="eastAsia" w:ascii="宋体" w:hAnsi="Arial" w:cs="宋体"/>
          <w:sz w:val="24"/>
          <w:szCs w:val="24"/>
        </w:rPr>
        <w:t xml:space="preserve">项目实施</w:t>
      </w:r>
      <w:r>
        <w:rPr>
          <w:rFonts w:hint="eastAsia" w:ascii="宋体" w:hAnsi="Arial" w:cs="宋体"/>
          <w:sz w:val="24"/>
          <w:szCs w:val="24"/>
          <w:lang w:val="zh-CN"/>
        </w:rPr>
        <w:t xml:space="preserve">团队构成、专业人员资质的</w:t>
      </w:r>
      <w:r>
        <w:rPr>
          <w:rFonts w:hint="eastAsia" w:ascii="宋体" w:hAnsi="Arial" w:cs="宋体"/>
          <w:sz w:val="24"/>
          <w:szCs w:val="24"/>
        </w:rPr>
        <w:t xml:space="preserve">人员配置方案</w:t>
      </w:r>
      <w:r>
        <w:rPr>
          <w:rFonts w:hint="eastAsia" w:ascii="宋体" w:hAnsi="Arial" w:cs="宋体"/>
          <w:sz w:val="24"/>
          <w:szCs w:val="24"/>
          <w:lang w:val="zh-CN"/>
        </w:rPr>
        <w:t xml:space="preserve">；</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①投标文件未符合“</w:t>
      </w:r>
      <w:r>
        <w:rPr>
          <w:rFonts w:ascii="宋体" w:hAnsi="Arial" w:cs="宋体"/>
          <w:sz w:val="24"/>
          <w:szCs w:val="24"/>
          <w:lang w:val="zh-CN"/>
        </w:rPr>
        <w:t xml:space="preserve">项目人员配置方案</w:t>
      </w:r>
      <w:r>
        <w:rPr>
          <w:rFonts w:hint="eastAsia" w:ascii="宋体" w:hAnsi="Arial" w:cs="宋体"/>
          <w:sz w:val="24"/>
          <w:szCs w:val="24"/>
          <w:lang w:val="zh-CN"/>
        </w:rPr>
        <w:t xml:space="preserve">”中全部条款要求的，视为不符合招标</w:t>
      </w:r>
      <w:r>
        <w:rPr>
          <w:rFonts w:hint="eastAsia" w:ascii="宋体" w:hAnsi="Arial" w:cs="宋体"/>
          <w:sz w:val="24"/>
          <w:szCs w:val="24"/>
          <w:lang w:val="zh-CN"/>
        </w:rPr>
        <w:t xml:space="preserve">文件，本项得0分；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②投标文件符合“</w:t>
      </w:r>
      <w:r>
        <w:rPr>
          <w:rFonts w:hint="eastAsia" w:ascii="宋体" w:hAnsi="Arial" w:cs="宋体"/>
          <w:sz w:val="24"/>
          <w:szCs w:val="24"/>
        </w:rPr>
        <w:t xml:space="preserve">项目</w:t>
      </w:r>
      <w:r>
        <w:rPr>
          <w:rFonts w:ascii="宋体" w:hAnsi="Arial" w:cs="宋体"/>
          <w:sz w:val="24"/>
          <w:szCs w:val="24"/>
          <w:lang w:val="zh-CN"/>
        </w:rPr>
        <w:t xml:space="preserve">人员配置</w:t>
      </w:r>
      <w:r>
        <w:rPr>
          <w:rFonts w:hint="eastAsia" w:ascii="宋体" w:hAnsi="Arial" w:cs="宋体"/>
          <w:sz w:val="24"/>
          <w:szCs w:val="24"/>
        </w:rPr>
        <w:t xml:space="preserve">方案</w:t>
      </w:r>
      <w:r>
        <w:rPr>
          <w:rFonts w:hint="eastAsia" w:ascii="宋体" w:hAnsi="Arial" w:cs="宋体"/>
          <w:sz w:val="24"/>
          <w:szCs w:val="24"/>
          <w:lang w:val="zh-CN"/>
        </w:rPr>
        <w:t xml:space="preserve">”中全部条款要求的，视为符合招标文件，本项得2分；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③经评委认定，投标文件对“</w:t>
      </w:r>
      <w:r>
        <w:rPr>
          <w:rFonts w:hint="eastAsia" w:ascii="宋体" w:hAnsi="Arial" w:cs="宋体"/>
          <w:sz w:val="24"/>
          <w:szCs w:val="24"/>
        </w:rPr>
        <w:t xml:space="preserve">项目</w:t>
      </w:r>
      <w:r>
        <w:rPr>
          <w:rFonts w:ascii="宋体" w:hAnsi="Arial" w:cs="宋体"/>
          <w:sz w:val="24"/>
          <w:szCs w:val="24"/>
          <w:lang w:val="zh-CN"/>
        </w:rPr>
        <w:t xml:space="preserve">人员配置</w:t>
      </w:r>
      <w:r>
        <w:rPr>
          <w:rFonts w:hint="eastAsia" w:ascii="宋体" w:hAnsi="Arial" w:cs="宋体"/>
          <w:sz w:val="24"/>
          <w:szCs w:val="24"/>
        </w:rPr>
        <w:t xml:space="preserve">方案</w:t>
      </w:r>
      <w:r>
        <w:rPr>
          <w:rFonts w:hint="eastAsia" w:ascii="宋体" w:hAnsi="Arial" w:cs="宋体"/>
          <w:sz w:val="24"/>
          <w:szCs w:val="24"/>
          <w:lang w:val="zh-CN"/>
        </w:rPr>
        <w:t xml:space="preserve">”中“</w:t>
      </w:r>
      <w:r>
        <w:rPr>
          <w:rFonts w:ascii="宋体" w:hAnsi="Arial" w:cs="宋体"/>
          <w:sz w:val="24"/>
          <w:szCs w:val="24"/>
        </w:rPr>
        <w:t xml:space="preserve">江苏省内</w:t>
      </w:r>
      <w:r>
        <w:rPr>
          <w:rFonts w:hint="eastAsia" w:ascii="宋体" w:hAnsi="Arial" w:cs="宋体"/>
          <w:sz w:val="24"/>
          <w:szCs w:val="24"/>
        </w:rPr>
        <w:t xml:space="preserve">足够数量</w:t>
      </w:r>
      <w:r>
        <w:rPr>
          <w:rFonts w:ascii="宋体" w:hAnsi="Arial" w:cs="宋体"/>
          <w:sz w:val="24"/>
          <w:szCs w:val="24"/>
        </w:rPr>
        <w:t xml:space="preserve">技术人员组成实施团队</w:t>
      </w:r>
      <w:r>
        <w:rPr>
          <w:rFonts w:hint="eastAsia" w:ascii="宋体" w:hAnsi="Arial" w:cs="宋体"/>
          <w:sz w:val="24"/>
          <w:szCs w:val="24"/>
          <w:lang w:val="zh-CN"/>
        </w:rPr>
        <w:t xml:space="preserve">”要求的响应内容全部优于招标文件要求的（投标文件对“</w:t>
      </w:r>
      <w:r>
        <w:rPr>
          <w:rFonts w:hint="eastAsia" w:ascii="宋体" w:hAnsi="Arial" w:cs="宋体"/>
          <w:sz w:val="24"/>
          <w:szCs w:val="24"/>
        </w:rPr>
        <w:t xml:space="preserve">项目人员配置方案</w:t>
      </w:r>
      <w:r>
        <w:rPr>
          <w:rFonts w:hint="eastAsia" w:ascii="宋体" w:hAnsi="Arial" w:cs="宋体"/>
          <w:sz w:val="24"/>
          <w:szCs w:val="24"/>
          <w:lang w:val="zh-CN"/>
        </w:rPr>
        <w:t xml:space="preserve">”中除“</w:t>
      </w:r>
      <w:r>
        <w:rPr>
          <w:rFonts w:hint="eastAsia" w:ascii="宋体" w:hAnsi="Arial" w:cs="宋体"/>
          <w:sz w:val="24"/>
          <w:szCs w:val="24"/>
        </w:rPr>
        <w:t xml:space="preserve">江苏省内足够数量技术人员组成实施团队</w:t>
      </w:r>
      <w:r>
        <w:rPr>
          <w:rFonts w:hint="eastAsia" w:ascii="宋体" w:hAnsi="Arial" w:cs="宋体"/>
          <w:sz w:val="24"/>
          <w:szCs w:val="24"/>
          <w:lang w:val="zh-CN"/>
        </w:rPr>
        <w:t xml:space="preserve">”外其它要求响应内容符合招标文件要求），本项得3分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3</w:t>
      </w:r>
      <w:r>
        <w:rPr>
          <w:rFonts w:ascii="宋体" w:hAnsi="Arial" w:cs="宋体"/>
          <w:sz w:val="24"/>
          <w:szCs w:val="24"/>
          <w:lang w:val="zh-CN"/>
        </w:rPr>
        <w:t xml:space="preserve">.</w:t>
      </w:r>
      <w:r>
        <w:rPr>
          <w:rFonts w:hint="eastAsia" w:ascii="宋体" w:hAnsi="Arial" w:cs="宋体"/>
          <w:sz w:val="24"/>
          <w:szCs w:val="24"/>
          <w:lang w:val="zh-CN"/>
        </w:rPr>
        <w:t xml:space="preserve">3项目验收方案</w:t>
      </w:r>
      <w:r>
        <w:rPr>
          <w:rFonts w:ascii="宋体" w:hAnsi="Arial" w:cs="宋体"/>
          <w:sz w:val="24"/>
          <w:szCs w:val="24"/>
          <w:lang w:val="zh-CN"/>
        </w:rPr>
        <w:t xml:space="preserve">(</w:t>
      </w:r>
      <w:r>
        <w:rPr>
          <w:rFonts w:hint="eastAsia" w:ascii="宋体" w:hAnsi="Arial" w:cs="宋体"/>
          <w:sz w:val="24"/>
          <w:szCs w:val="24"/>
        </w:rPr>
        <w:t xml:space="preserve">3</w:t>
      </w:r>
      <w:r>
        <w:rPr>
          <w:rFonts w:hint="eastAsia" w:ascii="宋体" w:hAnsi="Arial" w:cs="宋体"/>
          <w:sz w:val="24"/>
          <w:szCs w:val="24"/>
          <w:lang w:val="zh-CN"/>
        </w:rPr>
        <w:t xml:space="preserve">分</w:t>
      </w:r>
      <w:r>
        <w:rPr>
          <w:rFonts w:ascii="宋体" w:hAnsi="Arial" w:cs="宋体"/>
          <w:sz w:val="24"/>
          <w:szCs w:val="24"/>
          <w:lang w:val="zh-CN"/>
        </w:rPr>
        <w:t xml:space="preserve">)</w:t>
      </w:r>
      <w:r>
        <w:rPr>
          <w:rFonts w:hint="eastAsia" w:ascii="宋体" w:hAnsi="Arial" w:cs="宋体"/>
          <w:sz w:val="24"/>
          <w:szCs w:val="24"/>
          <w:lang w:val="zh-CN"/>
        </w:rPr>
        <w:t xml:space="preserve">：投标人应根据招标文件及本项目特点，提供项目验收方案，</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①投标文件未符合“项目验收方案”中全部条款要求的，视为不符合招标文件，本项得0分；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②投标文件符合“项目验收方案”中全部条款要求的，视为符合招标文件，本项得2分；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③经评委认定，投标文件对“项目验收方案”中“</w:t>
      </w:r>
      <w:r>
        <w:rPr>
          <w:rFonts w:ascii="宋体" w:hAnsi="Arial" w:cs="宋体"/>
          <w:sz w:val="24"/>
          <w:szCs w:val="24"/>
          <w:lang w:val="zh-CN"/>
        </w:rPr>
        <w:t xml:space="preserve">按标书配置对全部设备的型号、规格、数量以及文件进行验收</w:t>
      </w:r>
      <w:r>
        <w:rPr>
          <w:rFonts w:hint="eastAsia" w:ascii="宋体" w:hAnsi="Arial" w:cs="宋体"/>
          <w:sz w:val="24"/>
          <w:szCs w:val="24"/>
          <w:lang w:val="zh-CN"/>
        </w:rPr>
        <w:t xml:space="preserve">”要求的响应内容全部优于招标文件要求的（投标文件对“项目</w:t>
      </w:r>
      <w:r>
        <w:rPr>
          <w:rFonts w:hint="eastAsia" w:ascii="宋体" w:hAnsi="Arial" w:cs="宋体"/>
          <w:sz w:val="24"/>
          <w:szCs w:val="24"/>
        </w:rPr>
        <w:t xml:space="preserve">验收</w:t>
      </w:r>
      <w:r>
        <w:rPr>
          <w:rFonts w:hint="eastAsia" w:ascii="宋体" w:hAnsi="Arial" w:cs="宋体"/>
          <w:sz w:val="24"/>
          <w:szCs w:val="24"/>
          <w:lang w:val="zh-CN"/>
        </w:rPr>
        <w:t xml:space="preserve">方案”中除“</w:t>
      </w:r>
      <w:r>
        <w:rPr>
          <w:rFonts w:ascii="宋体" w:hAnsi="Arial" w:cs="宋体"/>
          <w:sz w:val="24"/>
          <w:szCs w:val="24"/>
          <w:lang w:val="zh-CN"/>
        </w:rPr>
        <w:t xml:space="preserve">按标书配置对全部设备的型号、规格、数量以及文件进行验收</w:t>
      </w:r>
      <w:r>
        <w:rPr>
          <w:rFonts w:hint="eastAsia" w:ascii="宋体" w:hAnsi="Arial" w:cs="宋体"/>
          <w:sz w:val="24"/>
          <w:szCs w:val="24"/>
          <w:lang w:val="zh-CN"/>
        </w:rPr>
        <w:t xml:space="preserve">”外其它要求响应内容符合招标文件要求），本项得3分</w:t>
      </w:r>
      <w:r/>
    </w:p>
    <w:p>
      <w:pPr>
        <w:ind w:firstLine="480"/>
        <w:spacing w:line="440" w:lineRule="atLeast"/>
        <w:rPr>
          <w:rFonts w:ascii="宋体" w:hAnsi="Arial" w:cs="宋体"/>
          <w:sz w:val="24"/>
          <w:szCs w:val="24"/>
          <w:lang w:val="zh-CN" w:bidi="ar"/>
        </w:rPr>
      </w:pPr>
      <w:r>
        <w:rPr>
          <w:rFonts w:hint="eastAsia" w:ascii="宋体" w:hAnsi="Arial" w:cs="宋体"/>
          <w:sz w:val="24"/>
          <w:szCs w:val="24"/>
          <w:lang w:val="zh-CN"/>
        </w:rPr>
        <w:t xml:space="preserve">3</w:t>
      </w:r>
      <w:r>
        <w:rPr>
          <w:rFonts w:ascii="宋体" w:hAnsi="Arial" w:cs="宋体"/>
          <w:sz w:val="24"/>
          <w:szCs w:val="24"/>
          <w:lang w:val="zh-CN"/>
        </w:rPr>
        <w:t xml:space="preserve">.</w:t>
      </w:r>
      <w:r>
        <w:rPr>
          <w:rFonts w:hint="eastAsia" w:ascii="宋体" w:hAnsi="Arial" w:cs="宋体"/>
          <w:sz w:val="24"/>
          <w:szCs w:val="24"/>
          <w:lang w:val="zh-CN"/>
        </w:rPr>
        <w:t xml:space="preserve">4项目培训</w:t>
      </w:r>
      <w:r>
        <w:rPr>
          <w:rFonts w:hint="eastAsia" w:ascii="宋体" w:hAnsi="Arial" w:cs="宋体"/>
          <w:sz w:val="24"/>
          <w:szCs w:val="24"/>
        </w:rPr>
        <w:t xml:space="preserve">计划</w:t>
      </w:r>
      <w:r>
        <w:rPr>
          <w:rFonts w:ascii="宋体" w:hAnsi="Arial" w:cs="宋体"/>
          <w:sz w:val="24"/>
          <w:szCs w:val="24"/>
          <w:lang w:val="zh-CN"/>
        </w:rPr>
        <w:t xml:space="preserve">(</w:t>
      </w:r>
      <w:r>
        <w:rPr>
          <w:rFonts w:hint="eastAsia" w:ascii="宋体" w:hAnsi="Arial" w:cs="宋体"/>
          <w:sz w:val="24"/>
          <w:szCs w:val="24"/>
        </w:rPr>
        <w:t xml:space="preserve">3</w:t>
      </w:r>
      <w:r>
        <w:rPr>
          <w:rFonts w:hint="eastAsia" w:ascii="宋体" w:hAnsi="Arial" w:cs="宋体"/>
          <w:sz w:val="24"/>
          <w:szCs w:val="24"/>
          <w:lang w:val="zh-CN"/>
        </w:rPr>
        <w:t xml:space="preserve">分</w:t>
      </w:r>
      <w:r>
        <w:rPr>
          <w:rFonts w:ascii="宋体" w:hAnsi="Arial" w:cs="宋体"/>
          <w:sz w:val="24"/>
          <w:szCs w:val="24"/>
          <w:lang w:val="zh-CN"/>
        </w:rPr>
        <w:t xml:space="preserve">)</w:t>
      </w:r>
      <w:r>
        <w:rPr>
          <w:rFonts w:hint="eastAsia" w:ascii="宋体" w:hAnsi="Arial" w:cs="宋体"/>
          <w:sz w:val="24"/>
          <w:szCs w:val="24"/>
          <w:lang w:val="zh-CN"/>
        </w:rPr>
        <w:t xml:space="preserve">：投标人应根据</w:t>
      </w:r>
      <w:r>
        <w:rPr>
          <w:rFonts w:hint="eastAsia" w:ascii="宋体" w:hAnsi="Arial" w:cs="宋体"/>
          <w:sz w:val="24"/>
          <w:szCs w:val="24"/>
          <w:lang w:val="zh-CN" w:bidi="ar"/>
        </w:rPr>
        <w:t xml:space="preserve">招标文件要求提供培训计划（包括不限于培训周期计划、培训方式、培训产品介绍等）；</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①投标文件未符合“项目培训</w:t>
      </w:r>
      <w:r>
        <w:rPr>
          <w:rFonts w:hint="eastAsia" w:ascii="宋体" w:hAnsi="Arial" w:cs="宋体"/>
          <w:sz w:val="24"/>
          <w:szCs w:val="24"/>
        </w:rPr>
        <w:t xml:space="preserve">计划</w:t>
      </w:r>
      <w:r>
        <w:rPr>
          <w:rFonts w:hint="eastAsia" w:ascii="宋体" w:hAnsi="Arial" w:cs="宋体"/>
          <w:sz w:val="24"/>
          <w:szCs w:val="24"/>
          <w:lang w:val="zh-CN"/>
        </w:rPr>
        <w:t xml:space="preserve">”中全部条款要求的，视为不符合招标文件，本项得0分；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②投标文件符合“项目培训</w:t>
      </w:r>
      <w:r>
        <w:rPr>
          <w:rFonts w:hint="eastAsia" w:ascii="宋体" w:hAnsi="Arial" w:cs="宋体"/>
          <w:sz w:val="24"/>
          <w:szCs w:val="24"/>
        </w:rPr>
        <w:t xml:space="preserve">计划</w:t>
      </w:r>
      <w:r>
        <w:rPr>
          <w:rFonts w:hint="eastAsia" w:ascii="宋体" w:hAnsi="Arial" w:cs="宋体"/>
          <w:sz w:val="24"/>
          <w:szCs w:val="24"/>
          <w:lang w:val="zh-CN"/>
        </w:rPr>
        <w:t xml:space="preserve">”中全部条款要求的，视为符合招标文件，本项得2分；</w:t>
      </w:r>
      <w:r/>
    </w:p>
    <w:p>
      <w:pPr>
        <w:ind w:firstLine="480"/>
        <w:spacing w:line="440" w:lineRule="atLeast"/>
        <w:rPr>
          <w:rFonts w:ascii="宋体" w:hAnsi="Arial" w:cs="宋体"/>
          <w:sz w:val="24"/>
          <w:szCs w:val="24"/>
          <w:lang w:val="zh-CN" w:bidi="ar"/>
        </w:rPr>
      </w:pPr>
      <w:r>
        <w:rPr>
          <w:rFonts w:hint="eastAsia" w:ascii="宋体" w:hAnsi="Arial" w:cs="宋体"/>
          <w:sz w:val="24"/>
          <w:szCs w:val="24"/>
          <w:lang w:val="zh-CN"/>
        </w:rPr>
        <w:t xml:space="preserve">③经评委认定，投标文件对“项目培训</w:t>
      </w:r>
      <w:r>
        <w:rPr>
          <w:rFonts w:hint="eastAsia" w:ascii="宋体" w:hAnsi="Arial" w:cs="宋体"/>
          <w:sz w:val="24"/>
          <w:szCs w:val="24"/>
        </w:rPr>
        <w:t xml:space="preserve">计划</w:t>
      </w:r>
      <w:r>
        <w:rPr>
          <w:rFonts w:hint="eastAsia" w:ascii="宋体" w:hAnsi="Arial" w:cs="宋体"/>
          <w:sz w:val="24"/>
          <w:szCs w:val="24"/>
          <w:lang w:val="zh-CN"/>
        </w:rPr>
        <w:t xml:space="preserve">”中“培训人数”要求的响应内容全部优于招标文件要求的（投标文件对“项目</w:t>
      </w:r>
      <w:r>
        <w:rPr>
          <w:rFonts w:hint="eastAsia" w:ascii="宋体" w:hAnsi="Arial" w:cs="宋体"/>
          <w:sz w:val="24"/>
          <w:szCs w:val="24"/>
        </w:rPr>
        <w:t xml:space="preserve">培训计划</w:t>
      </w:r>
      <w:r>
        <w:rPr>
          <w:rFonts w:hint="eastAsia" w:ascii="宋体" w:hAnsi="Arial" w:cs="宋体"/>
          <w:sz w:val="24"/>
          <w:szCs w:val="24"/>
          <w:lang w:val="zh-CN"/>
        </w:rPr>
        <w:t xml:space="preserve">”中除“</w:t>
      </w:r>
      <w:r>
        <w:rPr>
          <w:rFonts w:hint="eastAsia" w:ascii="宋体" w:hAnsi="Arial" w:cs="宋体"/>
          <w:sz w:val="24"/>
          <w:szCs w:val="24"/>
        </w:rPr>
        <w:t xml:space="preserve">培训人数</w:t>
      </w:r>
      <w:r>
        <w:rPr>
          <w:rFonts w:hint="eastAsia" w:ascii="宋体" w:hAnsi="Arial" w:cs="宋体"/>
          <w:sz w:val="24"/>
          <w:szCs w:val="24"/>
          <w:lang w:val="zh-CN"/>
        </w:rPr>
        <w:t xml:space="preserve">”外其它要求响应内容符合招标文件要求），本项得3分</w:t>
      </w:r>
      <w:r/>
    </w:p>
    <w:p>
      <w:pPr>
        <w:ind w:firstLine="480"/>
        <w:spacing w:line="440" w:lineRule="atLeast"/>
        <w:rPr>
          <w:rFonts w:hAnsi="Arial" w:cs="宋体"/>
          <w:sz w:val="24"/>
          <w:szCs w:val="24"/>
        </w:rPr>
      </w:pPr>
      <w:r>
        <w:rPr>
          <w:rFonts w:hint="eastAsia" w:ascii="宋体" w:hAnsi="Arial" w:cs="宋体"/>
          <w:sz w:val="24"/>
          <w:szCs w:val="24"/>
          <w:lang w:val="zh-CN"/>
        </w:rPr>
        <w:t xml:space="preserve">3</w:t>
      </w:r>
      <w:r>
        <w:rPr>
          <w:rFonts w:ascii="宋体" w:hAnsi="Arial" w:cs="宋体"/>
          <w:sz w:val="24"/>
          <w:szCs w:val="24"/>
          <w:lang w:val="zh-CN"/>
        </w:rPr>
        <w:t xml:space="preserve">.</w:t>
      </w:r>
      <w:r>
        <w:rPr>
          <w:rFonts w:hint="eastAsia" w:hAnsi="Arial" w:cs="宋体"/>
          <w:sz w:val="24"/>
          <w:szCs w:val="24"/>
        </w:rPr>
        <w:t xml:space="preserve">5</w:t>
      </w:r>
      <w:r>
        <w:rPr>
          <w:rFonts w:hint="eastAsia" w:ascii="宋体" w:hAnsi="Arial" w:cs="宋体"/>
          <w:sz w:val="24"/>
          <w:szCs w:val="24"/>
          <w:lang w:val="zh-CN"/>
        </w:rPr>
        <w:t xml:space="preserve">项目培训</w:t>
      </w:r>
      <w:r>
        <w:rPr>
          <w:rFonts w:hint="eastAsia" w:hAnsi="Arial" w:cs="宋体"/>
          <w:sz w:val="24"/>
          <w:szCs w:val="24"/>
        </w:rPr>
        <w:t xml:space="preserve">人员及场地（</w:t>
      </w:r>
      <w:r>
        <w:rPr>
          <w:rFonts w:hint="eastAsia" w:hAnsi="Arial" w:cs="宋体"/>
          <w:sz w:val="24"/>
          <w:szCs w:val="24"/>
        </w:rPr>
        <w:t xml:space="preserve">3</w:t>
      </w:r>
      <w:r>
        <w:rPr>
          <w:rFonts w:hint="eastAsia" w:hAnsi="Arial" w:cs="宋体"/>
          <w:sz w:val="24"/>
          <w:szCs w:val="24"/>
        </w:rPr>
        <w:t xml:space="preserve">分）：</w:t>
      </w:r>
      <w:r/>
    </w:p>
    <w:p>
      <w:pPr>
        <w:ind w:firstLine="480"/>
        <w:spacing w:line="440" w:lineRule="atLeast"/>
        <w:rPr>
          <w:rFonts w:ascii="宋体" w:hAnsi="Arial" w:cs="宋体"/>
          <w:sz w:val="24"/>
          <w:szCs w:val="24"/>
          <w:lang w:val="zh-CN" w:bidi="ar"/>
        </w:rPr>
      </w:pPr>
      <w:r>
        <w:rPr>
          <w:rFonts w:hint="eastAsia" w:ascii="宋体" w:hAnsi="Arial" w:cs="宋体"/>
          <w:sz w:val="24"/>
          <w:szCs w:val="24"/>
          <w:lang w:val="zh-CN" w:bidi="ar"/>
        </w:rPr>
        <w:t xml:space="preserve">投标人应根据招标文件要求提供培训人员及设备场地情况（包括不限于培训老师名单、师资介绍、培训设备及场地概况等）；</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①投标文件未符合“项目培训</w:t>
      </w:r>
      <w:r>
        <w:rPr>
          <w:rFonts w:hint="eastAsia" w:hAnsi="Arial" w:cs="宋体"/>
          <w:sz w:val="24"/>
          <w:szCs w:val="24"/>
        </w:rPr>
        <w:t xml:space="preserve">人员及场地</w:t>
      </w:r>
      <w:r>
        <w:rPr>
          <w:rFonts w:hint="eastAsia" w:ascii="宋体" w:hAnsi="Arial" w:cs="宋体"/>
          <w:sz w:val="24"/>
          <w:szCs w:val="24"/>
          <w:lang w:val="zh-CN"/>
        </w:rPr>
        <w:t xml:space="preserve">”中全部条款要求的，视为不符合招</w:t>
      </w:r>
      <w:r>
        <w:rPr>
          <w:rFonts w:hint="eastAsia" w:ascii="宋体" w:hAnsi="Arial" w:cs="宋体"/>
          <w:sz w:val="24"/>
          <w:szCs w:val="24"/>
          <w:lang w:val="zh-CN"/>
        </w:rPr>
        <w:t xml:space="preserve">标文件，本项得0分；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②投标文件符合“项目培训</w:t>
      </w:r>
      <w:r>
        <w:rPr>
          <w:rFonts w:hint="eastAsia" w:hAnsi="Arial" w:cs="宋体"/>
          <w:sz w:val="24"/>
          <w:szCs w:val="24"/>
        </w:rPr>
        <w:t xml:space="preserve">人员及场地</w:t>
      </w:r>
      <w:r>
        <w:rPr>
          <w:rFonts w:hint="eastAsia" w:ascii="宋体" w:hAnsi="Arial" w:cs="宋体"/>
          <w:sz w:val="24"/>
          <w:szCs w:val="24"/>
          <w:lang w:val="zh-CN"/>
        </w:rPr>
        <w:t xml:space="preserve">”中全部条款要求的，视为符合招标文件，本项得2分；</w:t>
      </w:r>
      <w:r/>
    </w:p>
    <w:p>
      <w:pPr>
        <w:ind w:firstLine="480"/>
        <w:spacing w:line="440" w:lineRule="atLeast"/>
        <w:rPr>
          <w:rFonts w:ascii="宋体" w:hAnsi="Arial" w:cs="宋体"/>
          <w:sz w:val="24"/>
          <w:szCs w:val="24"/>
          <w:lang w:val="zh-CN" w:bidi="ar"/>
        </w:rPr>
      </w:pPr>
      <w:r>
        <w:rPr>
          <w:rFonts w:hint="eastAsia" w:ascii="宋体" w:hAnsi="Arial" w:cs="宋体"/>
          <w:sz w:val="24"/>
          <w:szCs w:val="24"/>
          <w:lang w:val="zh-CN"/>
        </w:rPr>
        <w:t xml:space="preserve">③经评委认定，投标文件对“项目培训</w:t>
      </w:r>
      <w:r>
        <w:rPr>
          <w:rFonts w:hint="eastAsia" w:hAnsi="Arial" w:cs="宋体"/>
          <w:sz w:val="24"/>
          <w:szCs w:val="24"/>
        </w:rPr>
        <w:t xml:space="preserve">人员及场地</w:t>
      </w:r>
      <w:r>
        <w:rPr>
          <w:rFonts w:hint="eastAsia" w:ascii="宋体" w:hAnsi="Arial" w:cs="宋体"/>
          <w:sz w:val="24"/>
          <w:szCs w:val="24"/>
          <w:lang w:val="zh-CN"/>
        </w:rPr>
        <w:t xml:space="preserve">”中“培训师资”要求的响应内容全部优于招标文件要求的（投标文件对“项目</w:t>
      </w:r>
      <w:r>
        <w:rPr>
          <w:rFonts w:hint="eastAsia" w:ascii="宋体" w:hAnsi="Arial" w:cs="宋体"/>
          <w:sz w:val="24"/>
          <w:szCs w:val="24"/>
        </w:rPr>
        <w:t xml:space="preserve">培训人员及场地</w:t>
      </w:r>
      <w:r>
        <w:rPr>
          <w:rFonts w:hint="eastAsia" w:ascii="宋体" w:hAnsi="Arial" w:cs="宋体"/>
          <w:sz w:val="24"/>
          <w:szCs w:val="24"/>
          <w:lang w:val="zh-CN"/>
        </w:rPr>
        <w:t xml:space="preserve">”中除“</w:t>
      </w:r>
      <w:r>
        <w:rPr>
          <w:rFonts w:hint="eastAsia" w:ascii="宋体" w:hAnsi="Arial" w:cs="宋体"/>
          <w:sz w:val="24"/>
          <w:szCs w:val="24"/>
        </w:rPr>
        <w:t xml:space="preserve">培训师资</w:t>
      </w:r>
      <w:r>
        <w:rPr>
          <w:rFonts w:hint="eastAsia" w:ascii="宋体" w:hAnsi="Arial" w:cs="宋体"/>
          <w:sz w:val="24"/>
          <w:szCs w:val="24"/>
          <w:lang w:val="zh-CN"/>
        </w:rPr>
        <w:t xml:space="preserve">”外其它要求响应内容符合招标文件要求），本项得3分</w:t>
      </w:r>
      <w:r/>
    </w:p>
    <w:p>
      <w:pPr>
        <w:ind w:firstLine="482"/>
        <w:spacing w:line="440" w:lineRule="atLeast"/>
        <w:rPr>
          <w:rFonts w:ascii="宋体" w:hAnsi="Arial" w:cs="宋体"/>
          <w:sz w:val="24"/>
          <w:szCs w:val="24"/>
          <w:lang w:val="zh-CN"/>
        </w:rPr>
      </w:pPr>
      <w:r>
        <w:rPr>
          <w:rFonts w:hint="eastAsia" w:ascii="宋体" w:hAnsi="Arial" w:cs="宋体"/>
          <w:b/>
          <w:bCs/>
          <w:sz w:val="24"/>
          <w:szCs w:val="24"/>
          <w:lang w:val="zh-CN"/>
        </w:rPr>
        <w:t xml:space="preserve">（</w:t>
      </w:r>
      <w:r>
        <w:rPr>
          <w:rFonts w:hint="eastAsia" w:ascii="宋体" w:hAnsi="Arial" w:cs="宋体"/>
          <w:b/>
          <w:bCs/>
          <w:sz w:val="24"/>
          <w:szCs w:val="24"/>
          <w:lang w:val="zh-CN"/>
        </w:rPr>
        <w:t xml:space="preserve">四</w:t>
      </w:r>
      <w:r>
        <w:rPr>
          <w:rFonts w:hint="eastAsia" w:ascii="宋体" w:hAnsi="Arial" w:cs="宋体"/>
          <w:b/>
          <w:bCs/>
          <w:sz w:val="24"/>
          <w:szCs w:val="24"/>
          <w:lang w:val="zh-CN"/>
        </w:rPr>
        <w:t xml:space="preserve">）售后服务承诺情况</w:t>
      </w:r>
      <w:r>
        <w:rPr>
          <w:rFonts w:ascii="宋体" w:hAnsi="Arial" w:cs="宋体"/>
          <w:b/>
          <w:bCs/>
          <w:sz w:val="24"/>
          <w:szCs w:val="24"/>
          <w:lang w:val="zh-CN"/>
        </w:rPr>
        <w:t xml:space="preserve">(</w:t>
      </w:r>
      <w:r>
        <w:rPr>
          <w:rFonts w:hint="eastAsia" w:ascii="宋体" w:hAnsi="Arial" w:cs="宋体"/>
          <w:b/>
          <w:bCs/>
          <w:sz w:val="24"/>
          <w:szCs w:val="24"/>
        </w:rPr>
        <w:t xml:space="preserve">7</w:t>
      </w:r>
      <w:r>
        <w:rPr>
          <w:rFonts w:hint="eastAsia" w:ascii="宋体" w:hAnsi="Arial" w:cs="宋体"/>
          <w:b/>
          <w:bCs/>
          <w:sz w:val="24"/>
          <w:szCs w:val="24"/>
          <w:lang w:val="zh-CN"/>
        </w:rPr>
        <w:t xml:space="preserve">分</w:t>
      </w:r>
      <w:r>
        <w:rPr>
          <w:rFonts w:ascii="宋体" w:hAnsi="Arial" w:cs="宋体"/>
          <w:b/>
          <w:bCs/>
          <w:sz w:val="24"/>
          <w:szCs w:val="24"/>
          <w:lang w:val="zh-CN"/>
        </w:rPr>
        <w:t xml:space="preserve">)</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4</w:t>
      </w:r>
      <w:r>
        <w:rPr>
          <w:rFonts w:ascii="宋体" w:hAnsi="Arial" w:cs="宋体"/>
          <w:sz w:val="24"/>
          <w:szCs w:val="24"/>
          <w:lang w:val="zh-CN"/>
        </w:rPr>
        <w:t xml:space="preserve">.1</w:t>
      </w:r>
      <w:r>
        <w:rPr>
          <w:rFonts w:hint="eastAsia" w:ascii="宋体" w:hAnsi="Arial" w:cs="宋体"/>
          <w:sz w:val="24"/>
          <w:szCs w:val="24"/>
          <w:lang w:val="zh-CN"/>
        </w:rPr>
        <w:t xml:space="preserve">售后服务实施响应</w:t>
      </w:r>
      <w:r>
        <w:rPr>
          <w:rFonts w:ascii="宋体" w:hAnsi="Arial" w:cs="宋体"/>
          <w:sz w:val="24"/>
          <w:szCs w:val="24"/>
          <w:lang w:val="zh-CN"/>
        </w:rPr>
        <w:t xml:space="preserve">(</w:t>
      </w:r>
      <w:r>
        <w:rPr>
          <w:rFonts w:hint="eastAsia" w:ascii="宋体" w:hAnsi="Arial" w:cs="宋体"/>
          <w:sz w:val="24"/>
          <w:szCs w:val="24"/>
        </w:rPr>
        <w:t xml:space="preserve">2</w:t>
      </w:r>
      <w:r>
        <w:rPr>
          <w:rFonts w:hint="eastAsia" w:ascii="宋体" w:hAnsi="Arial" w:cs="宋体"/>
          <w:sz w:val="24"/>
          <w:szCs w:val="24"/>
          <w:lang w:val="zh-CN"/>
        </w:rPr>
        <w:t xml:space="preserve">分</w:t>
      </w:r>
      <w:r>
        <w:rPr>
          <w:rFonts w:ascii="宋体" w:hAnsi="Arial" w:cs="宋体"/>
          <w:sz w:val="24"/>
          <w:szCs w:val="24"/>
          <w:lang w:val="zh-CN"/>
        </w:rPr>
        <w:t xml:space="preserve">)</w:t>
      </w:r>
      <w:r>
        <w:rPr>
          <w:rFonts w:hint="eastAsia" w:ascii="宋体" w:hAnsi="Arial" w:cs="宋体"/>
          <w:sz w:val="24"/>
          <w:szCs w:val="24"/>
          <w:lang w:val="zh-CN"/>
        </w:rPr>
        <w:t xml:space="preserve">：由评委根据投标人的供货后质保期内售后服务（</w:t>
      </w:r>
      <w:r>
        <w:rPr>
          <w:rFonts w:hint="eastAsia" w:hAnsi="Arial" w:cs="宋体"/>
          <w:sz w:val="24"/>
          <w:szCs w:val="24"/>
          <w:lang w:val="zh-CN"/>
        </w:rPr>
        <w:t xml:space="preserve">包括不限于</w:t>
      </w:r>
      <w:r>
        <w:rPr>
          <w:rFonts w:hint="eastAsia" w:ascii="宋体" w:hAnsi="Arial" w:cs="宋体"/>
          <w:sz w:val="24"/>
          <w:szCs w:val="24"/>
          <w:lang w:val="zh-CN"/>
        </w:rPr>
        <w:t xml:space="preserve">响应时间，回访巡检方案、故障解决措施、技术人员保障、备品配件价格等）、本地化服务方案（江苏省内各服务网点、维修网点设置情况以及技术人员安排情况）等服务内容进行评审。</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①投标文件</w:t>
      </w:r>
      <w:r>
        <w:rPr>
          <w:rFonts w:hint="eastAsia" w:ascii="宋体" w:hAnsi="Arial" w:cs="宋体"/>
          <w:sz w:val="24"/>
          <w:szCs w:val="24"/>
          <w:lang w:val="zh-CN"/>
        </w:rPr>
        <w:t xml:space="preserve">未符合</w:t>
      </w:r>
      <w:r>
        <w:rPr>
          <w:rFonts w:hint="eastAsia" w:ascii="宋体" w:hAnsi="Arial" w:cs="宋体"/>
          <w:sz w:val="24"/>
          <w:szCs w:val="24"/>
          <w:lang w:val="zh-CN"/>
        </w:rPr>
        <w:t xml:space="preserve">“售后服务实施响应”</w:t>
      </w:r>
      <w:r>
        <w:rPr>
          <w:rFonts w:hint="eastAsia" w:ascii="宋体" w:hAnsi="Arial" w:cs="宋体"/>
          <w:sz w:val="24"/>
          <w:szCs w:val="24"/>
          <w:lang w:val="zh-CN"/>
        </w:rPr>
        <w:t xml:space="preserve">中全部条款要求的，视为不符合招标文件，本项得0分；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②投标文件符合“售后服务实施响应”</w:t>
      </w:r>
      <w:r>
        <w:rPr>
          <w:rFonts w:hint="eastAsia" w:ascii="宋体" w:hAnsi="Arial" w:cs="宋体"/>
          <w:sz w:val="24"/>
          <w:szCs w:val="24"/>
          <w:lang w:val="zh-CN"/>
        </w:rPr>
        <w:t xml:space="preserve">中全部条款要求的，视为符合招标文件，本项得</w:t>
      </w:r>
      <w:r>
        <w:rPr>
          <w:rFonts w:hint="eastAsia" w:ascii="宋体" w:hAnsi="Arial" w:cs="宋体"/>
          <w:sz w:val="24"/>
          <w:szCs w:val="24"/>
          <w:lang w:val="zh-CN"/>
        </w:rPr>
        <w:t xml:space="preserve">1</w:t>
      </w:r>
      <w:r>
        <w:rPr>
          <w:rFonts w:hint="eastAsia" w:ascii="宋体" w:hAnsi="Arial" w:cs="宋体"/>
          <w:sz w:val="24"/>
          <w:szCs w:val="24"/>
          <w:lang w:val="zh-CN"/>
        </w:rPr>
        <w:t xml:space="preserve">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③经评委认定，投标文件对“售后服务实施响应”中“本地化服务方案”要求的响应内容全部优于招标文件要求的</w:t>
      </w:r>
      <w:r>
        <w:rPr>
          <w:rFonts w:hint="eastAsia" w:ascii="宋体" w:hAnsi="Arial" w:cs="宋体"/>
          <w:sz w:val="24"/>
          <w:szCs w:val="24"/>
          <w:lang w:val="zh-CN"/>
        </w:rPr>
        <w:t xml:space="preserve">（投标文件对“售后服务实施响应”中除“本地化服务方案”外其它要求响应内容符合招标文件要求）</w:t>
      </w:r>
      <w:r>
        <w:rPr>
          <w:rFonts w:hint="eastAsia" w:ascii="宋体" w:hAnsi="Arial" w:cs="宋体"/>
          <w:sz w:val="24"/>
          <w:szCs w:val="24"/>
          <w:lang w:val="zh-CN"/>
        </w:rPr>
        <w:t xml:space="preserve">，</w:t>
      </w:r>
      <w:r>
        <w:rPr>
          <w:rFonts w:hint="eastAsia" w:ascii="宋体" w:hAnsi="Arial" w:cs="宋体"/>
          <w:sz w:val="24"/>
          <w:szCs w:val="24"/>
          <w:lang w:val="zh-CN"/>
        </w:rPr>
        <w:t xml:space="preserve">本项得</w:t>
      </w:r>
      <w:r>
        <w:rPr>
          <w:rFonts w:hint="eastAsia" w:ascii="宋体" w:hAnsi="Arial" w:cs="宋体"/>
          <w:sz w:val="24"/>
          <w:szCs w:val="24"/>
          <w:lang w:val="zh-CN"/>
        </w:rPr>
        <w:t xml:space="preserve">2</w:t>
      </w:r>
      <w:r>
        <w:rPr>
          <w:rFonts w:hint="eastAsia" w:ascii="宋体" w:hAnsi="Arial" w:cs="宋体"/>
          <w:sz w:val="24"/>
          <w:szCs w:val="24"/>
          <w:lang w:val="zh-CN"/>
        </w:rPr>
        <w:t xml:space="preserve">分</w:t>
      </w:r>
      <w:r/>
    </w:p>
    <w:p>
      <w:pPr>
        <w:ind w:firstLine="480"/>
        <w:spacing w:line="440" w:lineRule="atLeast"/>
        <w:rPr>
          <w:rFonts w:ascii="宋体" w:hAnsi="Arial" w:cs="宋体"/>
          <w:sz w:val="24"/>
          <w:szCs w:val="24"/>
        </w:rPr>
      </w:pPr>
      <w:r>
        <w:rPr>
          <w:rFonts w:hint="eastAsia" w:ascii="宋体" w:hAnsi="Arial" w:cs="宋体"/>
          <w:sz w:val="24"/>
          <w:szCs w:val="24"/>
          <w:lang w:val="zh-CN"/>
        </w:rPr>
        <w:t xml:space="preserve">4</w:t>
      </w:r>
      <w:r>
        <w:rPr>
          <w:rFonts w:hint="eastAsia" w:ascii="宋体" w:hAnsi="Arial" w:cs="宋体"/>
          <w:sz w:val="24"/>
          <w:szCs w:val="24"/>
          <w:lang w:val="zh-CN"/>
        </w:rPr>
        <w:t xml:space="preserve">.2售后服务规范标准</w:t>
      </w:r>
      <w:r>
        <w:rPr>
          <w:rFonts w:hint="eastAsia" w:ascii="宋体" w:hAnsi="Arial" w:cs="宋体"/>
          <w:sz w:val="24"/>
          <w:szCs w:val="24"/>
          <w:lang w:val="zh-CN"/>
        </w:rPr>
        <w:t xml:space="preserve">(2分)</w:t>
      </w:r>
      <w:r>
        <w:rPr>
          <w:rFonts w:hint="eastAsia" w:ascii="宋体" w:hAnsi="Arial" w:cs="宋体"/>
          <w:sz w:val="24"/>
          <w:szCs w:val="24"/>
          <w:lang w:val="zh-CN"/>
        </w:rPr>
        <w:t xml:space="preserve">：由评委根据投标人的维保规范及标准（包括不限于维修作业标准、维保台账标准、设备维保管理优化建议）等服务内容进行评审。</w:t>
      </w:r>
      <w:r>
        <w:rPr>
          <w:rFonts w:hint="eastAsia" w:ascii="宋体" w:hAnsi="Arial" w:cs="宋体"/>
          <w:sz w:val="24"/>
          <w:szCs w:val="24"/>
        </w:rPr>
        <w:t xml:space="preserve">        </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①投标文件</w:t>
      </w:r>
      <w:r>
        <w:rPr>
          <w:rFonts w:hint="eastAsia" w:ascii="宋体" w:hAnsi="Arial" w:cs="宋体"/>
          <w:sz w:val="24"/>
          <w:szCs w:val="24"/>
          <w:lang w:val="zh-CN"/>
        </w:rPr>
        <w:t xml:space="preserve">未符合</w:t>
      </w:r>
      <w:r>
        <w:rPr>
          <w:rFonts w:hint="eastAsia" w:ascii="宋体" w:hAnsi="Arial" w:cs="宋体"/>
          <w:sz w:val="24"/>
          <w:szCs w:val="24"/>
          <w:lang w:val="zh-CN"/>
        </w:rPr>
        <w:t xml:space="preserve">对“售后服务规范标准”</w:t>
      </w:r>
      <w:r>
        <w:rPr>
          <w:rFonts w:hint="eastAsia" w:ascii="宋体" w:hAnsi="Arial" w:cs="宋体"/>
          <w:sz w:val="24"/>
          <w:szCs w:val="24"/>
          <w:lang w:val="zh-CN"/>
        </w:rPr>
        <w:t xml:space="preserve">中全部条款要求的，视为不符合招标文件，本项得0分；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②投标文件符合“售后服务规范标准”</w:t>
      </w:r>
      <w:r>
        <w:rPr>
          <w:rFonts w:hint="eastAsia" w:ascii="宋体" w:hAnsi="Arial" w:cs="宋体"/>
          <w:sz w:val="24"/>
          <w:szCs w:val="24"/>
          <w:lang w:val="zh-CN"/>
        </w:rPr>
        <w:t xml:space="preserve">中全部条款要求的，视为符合招标文件，本项得</w:t>
      </w:r>
      <w:r>
        <w:rPr>
          <w:rFonts w:hint="eastAsia" w:ascii="宋体" w:hAnsi="Arial" w:cs="宋体"/>
          <w:sz w:val="24"/>
          <w:szCs w:val="24"/>
          <w:lang w:val="zh-CN"/>
        </w:rPr>
        <w:t xml:space="preserve">1</w:t>
      </w:r>
      <w:r>
        <w:rPr>
          <w:rFonts w:hint="eastAsia" w:ascii="宋体" w:hAnsi="Arial" w:cs="宋体"/>
          <w:sz w:val="24"/>
          <w:szCs w:val="24"/>
          <w:lang w:val="zh-CN"/>
        </w:rPr>
        <w:t xml:space="preserve">分；</w:t>
      </w:r>
      <w:r/>
    </w:p>
    <w:p>
      <w:pPr>
        <w:ind w:firstLine="480"/>
        <w:spacing w:line="440" w:lineRule="atLeast"/>
        <w:rPr>
          <w:rFonts w:ascii="宋体" w:hAnsi="Arial" w:cs="宋体"/>
          <w:sz w:val="24"/>
          <w:szCs w:val="24"/>
          <w:lang w:val="zh-CN" w:bidi="ar"/>
        </w:rPr>
      </w:pPr>
      <w:r>
        <w:rPr>
          <w:rFonts w:hint="eastAsia" w:ascii="宋体" w:hAnsi="Arial" w:cs="宋体"/>
          <w:sz w:val="24"/>
          <w:szCs w:val="24"/>
          <w:lang w:val="zh-CN"/>
        </w:rPr>
        <w:t xml:space="preserve">③经评委认定，投标文件对“售后服务规范标准”中“维修作业标准”要求的响应内容全部优于招标文件要求的</w:t>
      </w:r>
      <w:r>
        <w:rPr>
          <w:rFonts w:hint="eastAsia" w:ascii="宋体" w:hAnsi="Arial" w:cs="宋体"/>
          <w:sz w:val="24"/>
          <w:szCs w:val="24"/>
          <w:lang w:val="zh-CN"/>
        </w:rPr>
        <w:t xml:space="preserve">（投标文件对“售后服务规范标准”中除“维修作业标准”外其它要求响应内容符合招标文件要求）</w:t>
      </w:r>
      <w:r>
        <w:rPr>
          <w:rFonts w:hint="eastAsia" w:ascii="宋体" w:hAnsi="Arial" w:cs="宋体"/>
          <w:sz w:val="24"/>
          <w:szCs w:val="24"/>
          <w:lang w:val="zh-CN"/>
        </w:rPr>
        <w:t xml:space="preserve">，</w:t>
      </w:r>
      <w:r>
        <w:rPr>
          <w:rFonts w:hint="eastAsia" w:ascii="宋体" w:hAnsi="Arial" w:cs="宋体"/>
          <w:sz w:val="24"/>
          <w:szCs w:val="24"/>
          <w:lang w:val="zh-CN"/>
        </w:rPr>
        <w:t xml:space="preserve">本项得</w:t>
      </w:r>
      <w:r>
        <w:rPr>
          <w:rFonts w:hint="eastAsia" w:ascii="宋体" w:hAnsi="Arial" w:cs="宋体"/>
          <w:sz w:val="24"/>
          <w:szCs w:val="24"/>
          <w:lang w:val="zh-CN"/>
        </w:rPr>
        <w:t xml:space="preserve">2</w:t>
      </w:r>
      <w:r>
        <w:rPr>
          <w:rFonts w:hint="eastAsia" w:ascii="宋体" w:hAnsi="Arial" w:cs="宋体"/>
          <w:sz w:val="24"/>
          <w:szCs w:val="24"/>
          <w:lang w:val="zh-CN"/>
        </w:rPr>
        <w:t xml:space="preserve">分</w:t>
      </w:r>
      <w:r/>
    </w:p>
    <w:p>
      <w:pPr>
        <w:ind w:firstLine="480"/>
        <w:spacing w:line="440" w:lineRule="atLeast"/>
        <w:rPr>
          <w:rFonts w:ascii="宋体" w:hAnsi="Arial" w:cs="宋体"/>
          <w:sz w:val="24"/>
          <w:szCs w:val="24"/>
          <w:lang w:val="zh-CN"/>
        </w:rPr>
      </w:pPr>
      <w:r>
        <w:rPr>
          <w:rFonts w:hint="eastAsia" w:ascii="宋体" w:hAnsi="Arial" w:cs="宋体"/>
          <w:sz w:val="24"/>
          <w:szCs w:val="24"/>
          <w:lang w:val="zh-CN" w:bidi="ar"/>
        </w:rPr>
        <w:t xml:space="preserve">4</w:t>
      </w:r>
      <w:r>
        <w:rPr>
          <w:rFonts w:hint="eastAsia" w:ascii="宋体" w:hAnsi="Arial" w:cs="宋体"/>
          <w:sz w:val="24"/>
          <w:szCs w:val="24"/>
          <w:lang w:val="zh-CN" w:bidi="ar"/>
        </w:rPr>
        <w:t xml:space="preserve">.3 售后服务应急预案（2.5分）：</w:t>
      </w:r>
      <w:r>
        <w:rPr>
          <w:rFonts w:hint="eastAsia" w:ascii="宋体" w:hAnsi="Arial" w:cs="宋体"/>
          <w:sz w:val="24"/>
          <w:szCs w:val="24"/>
          <w:lang w:val="zh-CN"/>
        </w:rPr>
        <w:t xml:space="preserve">由评委根据投标人的售后服务应急处理预案（</w:t>
      </w:r>
      <w:r>
        <w:rPr>
          <w:rFonts w:hint="eastAsia" w:ascii="宋体" w:hAnsi="Arial" w:cs="宋体"/>
          <w:sz w:val="24"/>
          <w:szCs w:val="24"/>
          <w:lang w:val="zh-CN" w:bidi="ar"/>
        </w:rPr>
        <w:t xml:space="preserve">包括不限于预警机制、响应速度、处理流程、资源调配和协调及支援能力等）</w:t>
      </w:r>
      <w:r>
        <w:rPr>
          <w:rFonts w:hint="eastAsia" w:ascii="宋体" w:hAnsi="Arial" w:cs="宋体"/>
          <w:sz w:val="24"/>
          <w:szCs w:val="24"/>
          <w:lang w:val="zh-CN"/>
        </w:rPr>
        <w:t xml:space="preserve">进行评审。</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①投标文件</w:t>
      </w:r>
      <w:r>
        <w:rPr>
          <w:rFonts w:hint="eastAsia" w:ascii="宋体" w:hAnsi="Arial" w:cs="宋体"/>
          <w:sz w:val="24"/>
          <w:szCs w:val="24"/>
          <w:lang w:val="zh-CN"/>
        </w:rPr>
        <w:t xml:space="preserve">未符合</w:t>
      </w:r>
      <w:r>
        <w:rPr>
          <w:rFonts w:hint="eastAsia" w:ascii="宋体" w:hAnsi="Arial" w:cs="宋体"/>
          <w:sz w:val="24"/>
          <w:szCs w:val="24"/>
          <w:lang w:val="zh-CN"/>
        </w:rPr>
        <w:t xml:space="preserve">“</w:t>
      </w:r>
      <w:r>
        <w:rPr>
          <w:rFonts w:hint="eastAsia" w:ascii="宋体" w:hAnsi="Arial" w:cs="宋体"/>
          <w:sz w:val="24"/>
          <w:szCs w:val="24"/>
          <w:lang w:val="zh-CN" w:bidi="ar"/>
        </w:rPr>
        <w:t xml:space="preserve">售后服务应急预案</w:t>
      </w:r>
      <w:r>
        <w:rPr>
          <w:rFonts w:hint="eastAsia" w:ascii="宋体" w:hAnsi="Arial" w:cs="宋体"/>
          <w:sz w:val="24"/>
          <w:szCs w:val="24"/>
          <w:lang w:val="zh-CN"/>
        </w:rPr>
        <w:t xml:space="preserve">”</w:t>
      </w:r>
      <w:r>
        <w:rPr>
          <w:rFonts w:hint="eastAsia" w:ascii="宋体" w:hAnsi="Arial" w:cs="宋体"/>
          <w:sz w:val="24"/>
          <w:szCs w:val="24"/>
          <w:lang w:val="zh-CN"/>
        </w:rPr>
        <w:t xml:space="preserve">中全部条款要求的，视为不符合招标文件，本项得0分；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②投标文件符合“</w:t>
      </w:r>
      <w:r>
        <w:rPr>
          <w:rFonts w:hint="eastAsia" w:ascii="宋体" w:hAnsi="Arial" w:cs="宋体"/>
          <w:sz w:val="24"/>
          <w:szCs w:val="24"/>
          <w:lang w:val="zh-CN" w:bidi="ar"/>
        </w:rPr>
        <w:t xml:space="preserve">售后服务应急预案</w:t>
      </w:r>
      <w:r>
        <w:rPr>
          <w:rFonts w:hint="eastAsia" w:ascii="宋体" w:hAnsi="Arial" w:cs="宋体"/>
          <w:sz w:val="24"/>
          <w:szCs w:val="24"/>
          <w:lang w:val="zh-CN"/>
        </w:rPr>
        <w:t xml:space="preserve">”</w:t>
      </w:r>
      <w:r>
        <w:rPr>
          <w:rFonts w:hint="eastAsia" w:ascii="宋体" w:hAnsi="Arial" w:cs="宋体"/>
          <w:sz w:val="24"/>
          <w:szCs w:val="24"/>
          <w:lang w:val="zh-CN"/>
        </w:rPr>
        <w:t xml:space="preserve">中全部条款要求的，视为符合招标文件，本项得</w:t>
      </w:r>
      <w:r>
        <w:rPr>
          <w:rFonts w:hint="eastAsia" w:ascii="宋体" w:hAnsi="Arial" w:cs="宋体"/>
          <w:sz w:val="24"/>
          <w:szCs w:val="24"/>
          <w:lang w:val="zh-CN"/>
        </w:rPr>
        <w:t xml:space="preserve">1</w:t>
      </w:r>
      <w:r>
        <w:rPr>
          <w:rFonts w:hint="eastAsia" w:ascii="宋体" w:hAnsi="Arial" w:cs="宋体"/>
          <w:sz w:val="24"/>
          <w:szCs w:val="24"/>
          <w:lang w:val="zh-CN"/>
        </w:rPr>
        <w:t xml:space="preserve">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③经评委认定，投标文件对“</w:t>
      </w:r>
      <w:r>
        <w:rPr>
          <w:rFonts w:hint="eastAsia" w:ascii="宋体" w:hAnsi="Arial" w:cs="宋体"/>
          <w:sz w:val="24"/>
          <w:szCs w:val="24"/>
          <w:lang w:val="zh-CN" w:bidi="ar"/>
        </w:rPr>
        <w:t xml:space="preserve">售后服务应急预案</w:t>
      </w:r>
      <w:r>
        <w:rPr>
          <w:rFonts w:hint="eastAsia" w:ascii="宋体" w:hAnsi="Arial" w:cs="宋体"/>
          <w:sz w:val="24"/>
          <w:szCs w:val="24"/>
          <w:lang w:val="zh-CN"/>
        </w:rPr>
        <w:t xml:space="preserve">”中“</w:t>
      </w:r>
      <w:r>
        <w:rPr>
          <w:rFonts w:hint="eastAsia" w:ascii="宋体" w:hAnsi="Arial" w:cs="宋体"/>
          <w:sz w:val="24"/>
          <w:szCs w:val="24"/>
          <w:lang w:val="zh-CN" w:bidi="ar"/>
        </w:rPr>
        <w:t xml:space="preserve">响应速度</w:t>
      </w:r>
      <w:r>
        <w:rPr>
          <w:rFonts w:hint="eastAsia" w:ascii="宋体" w:hAnsi="Arial" w:cs="宋体"/>
          <w:sz w:val="24"/>
          <w:szCs w:val="24"/>
          <w:lang w:val="zh-CN"/>
        </w:rPr>
        <w:t xml:space="preserve">”要求的响应内容全部优于招标文件要求的</w:t>
      </w:r>
      <w:r>
        <w:rPr>
          <w:rFonts w:hint="eastAsia" w:ascii="宋体" w:hAnsi="Arial" w:cs="宋体"/>
          <w:sz w:val="24"/>
          <w:szCs w:val="24"/>
          <w:lang w:val="zh-CN"/>
        </w:rPr>
        <w:t xml:space="preserve">（投标文件对“</w:t>
      </w:r>
      <w:r>
        <w:rPr>
          <w:rFonts w:hint="eastAsia" w:ascii="宋体" w:hAnsi="Arial" w:cs="宋体"/>
          <w:sz w:val="24"/>
          <w:szCs w:val="24"/>
          <w:lang w:val="zh-CN" w:bidi="ar"/>
        </w:rPr>
        <w:t xml:space="preserve">售后服务应急预案</w:t>
      </w:r>
      <w:r>
        <w:rPr>
          <w:rFonts w:hint="eastAsia" w:ascii="宋体" w:hAnsi="Arial" w:cs="宋体"/>
          <w:sz w:val="24"/>
          <w:szCs w:val="24"/>
          <w:lang w:val="zh-CN"/>
        </w:rPr>
        <w:t xml:space="preserve">”中除“</w:t>
      </w:r>
      <w:r>
        <w:rPr>
          <w:rFonts w:hint="eastAsia" w:ascii="宋体" w:hAnsi="Arial" w:cs="宋体"/>
          <w:sz w:val="24"/>
          <w:szCs w:val="24"/>
          <w:lang w:val="zh-CN" w:bidi="ar"/>
        </w:rPr>
        <w:t xml:space="preserve">响应速度</w:t>
      </w:r>
      <w:r>
        <w:rPr>
          <w:rFonts w:hint="eastAsia" w:ascii="宋体" w:hAnsi="Arial" w:cs="宋体"/>
          <w:sz w:val="24"/>
          <w:szCs w:val="24"/>
          <w:lang w:val="zh-CN"/>
        </w:rPr>
        <w:t xml:space="preserve">”外其它要求响应内容符合招标文件要求）</w:t>
      </w:r>
      <w:r>
        <w:rPr>
          <w:rFonts w:hint="eastAsia" w:ascii="宋体" w:hAnsi="Arial" w:cs="宋体"/>
          <w:sz w:val="24"/>
          <w:szCs w:val="24"/>
          <w:lang w:val="zh-CN"/>
        </w:rPr>
        <w:t xml:space="preserve">，</w:t>
      </w:r>
      <w:r>
        <w:rPr>
          <w:rFonts w:hint="eastAsia" w:ascii="宋体" w:hAnsi="Arial" w:cs="宋体"/>
          <w:sz w:val="24"/>
          <w:szCs w:val="24"/>
          <w:lang w:val="zh-CN"/>
        </w:rPr>
        <w:t xml:space="preserve">本项得</w:t>
      </w:r>
      <w:r>
        <w:rPr>
          <w:rFonts w:hint="eastAsia" w:ascii="宋体" w:hAnsi="Arial" w:cs="宋体"/>
          <w:sz w:val="24"/>
          <w:szCs w:val="24"/>
          <w:lang w:val="zh-CN"/>
        </w:rPr>
        <w:t xml:space="preserve">2.5</w:t>
      </w:r>
      <w:r>
        <w:rPr>
          <w:rFonts w:hint="eastAsia" w:ascii="宋体" w:hAnsi="Arial" w:cs="宋体"/>
          <w:sz w:val="24"/>
          <w:szCs w:val="24"/>
          <w:lang w:val="zh-CN"/>
        </w:rPr>
        <w:t xml:space="preserve">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4</w:t>
      </w:r>
      <w:r>
        <w:rPr>
          <w:rFonts w:ascii="宋体" w:hAnsi="Arial" w:cs="宋体"/>
          <w:sz w:val="24"/>
          <w:szCs w:val="24"/>
          <w:lang w:val="zh-CN"/>
        </w:rPr>
        <w:t xml:space="preserve">.</w:t>
      </w:r>
      <w:r>
        <w:rPr>
          <w:rFonts w:hint="eastAsia" w:ascii="宋体" w:hAnsi="Arial" w:cs="宋体"/>
          <w:sz w:val="24"/>
          <w:szCs w:val="24"/>
          <w:lang w:val="zh-CN"/>
        </w:rPr>
        <w:t xml:space="preserve">4增加免费质保期承诺</w:t>
      </w:r>
      <w:r>
        <w:rPr>
          <w:rFonts w:ascii="宋体" w:hAnsi="Arial" w:cs="宋体"/>
          <w:sz w:val="24"/>
          <w:szCs w:val="24"/>
          <w:lang w:val="zh-CN"/>
        </w:rPr>
        <w:t xml:space="preserve">(</w:t>
      </w:r>
      <w:r>
        <w:rPr>
          <w:rFonts w:hint="eastAsia" w:ascii="宋体" w:hAnsi="Arial" w:cs="宋体"/>
          <w:sz w:val="24"/>
          <w:szCs w:val="24"/>
          <w:lang w:val="zh-CN"/>
        </w:rPr>
        <w:t xml:space="preserve">1</w:t>
      </w:r>
      <w:r>
        <w:rPr>
          <w:rFonts w:hint="eastAsia" w:ascii="宋体" w:hAnsi="Arial" w:cs="宋体"/>
          <w:sz w:val="24"/>
          <w:szCs w:val="24"/>
          <w:lang w:val="zh-CN"/>
        </w:rPr>
        <w:t xml:space="preserve">分</w:t>
      </w:r>
      <w:r>
        <w:rPr>
          <w:rFonts w:ascii="宋体" w:hAnsi="Arial" w:cs="宋体"/>
          <w:sz w:val="24"/>
          <w:szCs w:val="24"/>
          <w:lang w:val="zh-CN"/>
        </w:rPr>
        <w:t xml:space="preserve">)</w:t>
      </w:r>
      <w:r>
        <w:rPr>
          <w:rFonts w:hint="eastAsia" w:ascii="宋体" w:hAnsi="Arial" w:cs="宋体"/>
          <w:sz w:val="24"/>
          <w:szCs w:val="24"/>
          <w:lang w:val="zh-CN"/>
        </w:rPr>
        <w:t xml:space="preserve">：投标人在满足招标文件规定的免费质保期基础上，每增加一年免费质保期的加</w:t>
      </w:r>
      <w:r>
        <w:rPr>
          <w:rFonts w:ascii="宋体" w:hAnsi="Arial" w:cs="宋体"/>
          <w:sz w:val="24"/>
          <w:szCs w:val="24"/>
          <w:lang w:val="zh-CN"/>
        </w:rPr>
        <w:t xml:space="preserve">0.</w:t>
      </w:r>
      <w:r>
        <w:rPr>
          <w:rFonts w:hint="eastAsia" w:ascii="宋体" w:hAnsi="Arial" w:cs="宋体"/>
          <w:sz w:val="24"/>
          <w:szCs w:val="24"/>
          <w:lang w:val="zh-CN"/>
        </w:rPr>
        <w:t xml:space="preserve">2</w:t>
      </w:r>
      <w:r>
        <w:rPr>
          <w:rFonts w:hint="eastAsia" w:ascii="宋体" w:hAnsi="Arial" w:cs="宋体"/>
          <w:sz w:val="24"/>
          <w:szCs w:val="24"/>
          <w:lang w:val="zh-CN"/>
        </w:rPr>
        <w:t xml:space="preserve">分，最多加</w:t>
      </w:r>
      <w:r>
        <w:rPr>
          <w:rFonts w:hint="eastAsia" w:ascii="宋体" w:hAnsi="Arial" w:cs="宋体"/>
          <w:sz w:val="24"/>
          <w:szCs w:val="24"/>
          <w:lang w:val="zh-CN"/>
        </w:rPr>
        <w:t xml:space="preserve">1</w:t>
      </w:r>
      <w:r>
        <w:rPr>
          <w:rFonts w:hint="eastAsia" w:ascii="宋体" w:hAnsi="Arial" w:cs="宋体"/>
          <w:sz w:val="24"/>
          <w:szCs w:val="24"/>
          <w:lang w:val="zh-CN"/>
        </w:rPr>
        <w:t xml:space="preserve">分（投标人承诺签订合同前提供制造商出具的免费质保期承诺函），其他或未提供的不得分。</w:t>
      </w:r>
      <w:r/>
    </w:p>
    <w:p>
      <w:pPr>
        <w:ind w:firstLine="482"/>
        <w:spacing w:line="440" w:lineRule="atLeast"/>
        <w:rPr>
          <w:rFonts w:ascii="宋体" w:hAnsi="Arial" w:cs="宋体"/>
          <w:b/>
          <w:bCs/>
          <w:sz w:val="24"/>
          <w:szCs w:val="24"/>
          <w:lang w:val="zh-CN"/>
        </w:rPr>
      </w:pPr>
      <w:r>
        <w:rPr>
          <w:rFonts w:hint="eastAsia" w:ascii="宋体" w:hAnsi="Arial" w:cs="宋体"/>
          <w:b/>
          <w:bCs/>
          <w:sz w:val="24"/>
          <w:szCs w:val="24"/>
          <w:lang w:val="zh-CN"/>
        </w:rPr>
        <w:t xml:space="preserve">（</w:t>
      </w:r>
      <w:r>
        <w:rPr>
          <w:rFonts w:hint="eastAsia" w:ascii="宋体" w:hAnsi="Arial" w:cs="宋体"/>
          <w:b/>
          <w:bCs/>
          <w:sz w:val="24"/>
          <w:szCs w:val="24"/>
        </w:rPr>
        <w:t xml:space="preserve">五</w:t>
      </w:r>
      <w:r>
        <w:rPr>
          <w:rFonts w:hint="eastAsia" w:ascii="宋体" w:hAnsi="Arial" w:cs="宋体"/>
          <w:b/>
          <w:bCs/>
          <w:sz w:val="24"/>
          <w:szCs w:val="24"/>
          <w:lang w:val="zh-CN"/>
        </w:rPr>
        <w:t xml:space="preserve">）生产企业所获质量管理体相关证书</w:t>
      </w:r>
      <w:r>
        <w:rPr>
          <w:rFonts w:ascii="宋体" w:hAnsi="Arial" w:cs="宋体"/>
          <w:b/>
          <w:bCs/>
          <w:sz w:val="24"/>
          <w:szCs w:val="24"/>
          <w:lang w:val="zh-CN"/>
        </w:rPr>
        <w:t xml:space="preserve">(</w:t>
      </w:r>
      <w:r>
        <w:rPr>
          <w:rFonts w:hint="eastAsia" w:ascii="宋体" w:hAnsi="Arial" w:cs="宋体"/>
          <w:b/>
          <w:bCs/>
          <w:sz w:val="24"/>
          <w:szCs w:val="24"/>
          <w:lang w:val="zh-CN"/>
        </w:rPr>
        <w:t xml:space="preserve">1.5</w:t>
      </w:r>
      <w:r>
        <w:rPr>
          <w:rFonts w:hint="eastAsia" w:ascii="宋体" w:hAnsi="Arial" w:cs="宋体"/>
          <w:b/>
          <w:bCs/>
          <w:sz w:val="24"/>
          <w:szCs w:val="24"/>
          <w:lang w:val="zh-CN"/>
        </w:rPr>
        <w:t xml:space="preserve">分</w:t>
      </w:r>
      <w:r>
        <w:rPr>
          <w:rFonts w:ascii="宋体" w:hAnsi="Arial" w:cs="宋体"/>
          <w:b/>
          <w:bCs/>
          <w:sz w:val="24"/>
          <w:szCs w:val="24"/>
          <w:lang w:val="zh-CN"/>
        </w:rPr>
        <w:t xml:space="preserve">)</w:t>
      </w:r>
      <w:r/>
    </w:p>
    <w:p>
      <w:pPr>
        <w:ind w:firstLine="480"/>
        <w:spacing w:line="440" w:lineRule="atLeast"/>
        <w:rPr>
          <w:rFonts w:ascii="宋体" w:hAnsi="Arial" w:cs="宋体"/>
          <w:sz w:val="24"/>
          <w:szCs w:val="24"/>
          <w:lang w:val="zh-CN"/>
        </w:rPr>
      </w:pPr>
      <w:r>
        <w:rPr>
          <w:rFonts w:hint="eastAsia" w:ascii="宋体" w:hAnsi="Arial" w:cs="宋体"/>
          <w:sz w:val="24"/>
          <w:szCs w:val="24"/>
        </w:rPr>
        <w:t xml:space="preserve">5</w:t>
      </w:r>
      <w:r>
        <w:rPr>
          <w:rFonts w:ascii="宋体" w:hAnsi="Arial" w:cs="宋体"/>
          <w:sz w:val="24"/>
          <w:szCs w:val="24"/>
          <w:lang w:val="zh-CN"/>
        </w:rPr>
        <w:t xml:space="preserve">.1</w:t>
      </w:r>
      <w:r>
        <w:rPr>
          <w:rFonts w:hint="eastAsia" w:ascii="宋体" w:hAnsi="Arial" w:cs="宋体"/>
          <w:sz w:val="24"/>
          <w:szCs w:val="24"/>
          <w:lang w:val="zh-CN"/>
        </w:rPr>
        <w:t xml:space="preserve">评委根据投标文件提供的佐证材料进行评审，所投产品制造商具有</w:t>
      </w:r>
      <w:r>
        <w:rPr>
          <w:rFonts w:ascii="宋体" w:hAnsi="Arial" w:cs="宋体"/>
          <w:sz w:val="24"/>
          <w:szCs w:val="24"/>
          <w:lang w:val="zh-CN"/>
        </w:rPr>
        <w:t xml:space="preserve">ISO9001</w:t>
      </w:r>
      <w:r>
        <w:rPr>
          <w:rFonts w:hint="eastAsia" w:ascii="宋体" w:hAnsi="Arial" w:cs="宋体"/>
          <w:sz w:val="24"/>
          <w:szCs w:val="24"/>
          <w:lang w:val="zh-CN"/>
        </w:rPr>
        <w:t xml:space="preserve">质量管理体系认证，</w:t>
      </w:r>
      <w:r>
        <w:rPr>
          <w:rFonts w:ascii="宋体" w:hAnsi="Arial" w:cs="宋体"/>
          <w:sz w:val="24"/>
          <w:szCs w:val="24"/>
          <w:lang w:val="zh-CN"/>
        </w:rPr>
        <w:t xml:space="preserve">ISO14001 </w:t>
      </w:r>
      <w:r>
        <w:rPr>
          <w:rFonts w:hint="eastAsia" w:ascii="宋体" w:hAnsi="Arial" w:cs="宋体"/>
          <w:sz w:val="24"/>
          <w:szCs w:val="24"/>
          <w:lang w:val="zh-CN"/>
        </w:rPr>
        <w:t xml:space="preserve">环境管理体系认证，ISO45001职业健康安全管理体系认证的，每个证书得</w:t>
      </w:r>
      <w:r>
        <w:rPr>
          <w:rFonts w:ascii="宋体" w:hAnsi="Arial" w:cs="宋体"/>
          <w:sz w:val="24"/>
          <w:szCs w:val="24"/>
          <w:lang w:val="zh-CN"/>
        </w:rPr>
        <w:t xml:space="preserve">0.5</w:t>
      </w:r>
      <w:r>
        <w:rPr>
          <w:rFonts w:hint="eastAsia" w:ascii="宋体" w:hAnsi="Arial" w:cs="宋体"/>
          <w:sz w:val="24"/>
          <w:szCs w:val="24"/>
          <w:lang w:val="zh-CN"/>
        </w:rPr>
        <w:t xml:space="preserve">分，最多得</w:t>
      </w:r>
      <w:r>
        <w:rPr>
          <w:rFonts w:hint="eastAsia" w:ascii="宋体" w:hAnsi="Arial" w:cs="宋体"/>
          <w:sz w:val="24"/>
          <w:szCs w:val="24"/>
          <w:lang w:val="zh-CN"/>
        </w:rPr>
        <w:t xml:space="preserve">1.5</w:t>
      </w:r>
      <w:r>
        <w:rPr>
          <w:rFonts w:hint="eastAsia" w:ascii="宋体" w:hAnsi="Arial" w:cs="宋体"/>
          <w:sz w:val="24"/>
          <w:szCs w:val="24"/>
          <w:lang w:val="zh-CN"/>
        </w:rPr>
        <w:t xml:space="preserve">分（提供有效证书复印件）</w:t>
      </w:r>
      <w:r/>
    </w:p>
    <w:p>
      <w:pPr>
        <w:ind w:firstLine="482"/>
        <w:spacing w:line="440" w:lineRule="atLeast"/>
        <w:rPr>
          <w:rFonts w:ascii="宋体" w:hAnsi="Arial" w:cs="宋体"/>
          <w:b/>
          <w:bCs/>
          <w:sz w:val="24"/>
          <w:szCs w:val="24"/>
          <w:lang w:val="zh-CN"/>
        </w:rPr>
      </w:pPr>
      <w:r>
        <w:rPr>
          <w:rFonts w:hint="eastAsia" w:ascii="宋体" w:hAnsi="Arial" w:cs="宋体"/>
          <w:b/>
          <w:bCs/>
          <w:sz w:val="24"/>
          <w:szCs w:val="24"/>
          <w:lang w:val="zh-CN"/>
        </w:rPr>
        <w:t xml:space="preserve">（六）产品业绩</w:t>
      </w:r>
      <w:r>
        <w:rPr>
          <w:rFonts w:ascii="宋体" w:hAnsi="Arial" w:cs="宋体"/>
          <w:b/>
          <w:bCs/>
          <w:sz w:val="24"/>
          <w:szCs w:val="24"/>
          <w:lang w:val="zh-CN"/>
        </w:rPr>
        <w:t xml:space="preserve">(</w:t>
      </w:r>
      <w:r>
        <w:rPr>
          <w:rFonts w:hint="eastAsia" w:ascii="宋体" w:hAnsi="Arial" w:cs="宋体"/>
          <w:b/>
          <w:bCs/>
          <w:sz w:val="24"/>
          <w:szCs w:val="24"/>
          <w:lang w:val="zh-CN"/>
        </w:rPr>
        <w:t xml:space="preserve">5分</w:t>
      </w:r>
      <w:r>
        <w:rPr>
          <w:rFonts w:ascii="宋体" w:hAnsi="Arial" w:cs="宋体"/>
          <w:b/>
          <w:bCs/>
          <w:sz w:val="24"/>
          <w:szCs w:val="24"/>
          <w:lang w:val="zh-CN"/>
        </w:rPr>
        <w:t xml:space="preserve">)</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6</w:t>
      </w:r>
      <w:r>
        <w:rPr>
          <w:rFonts w:hint="eastAsia" w:ascii="宋体" w:hAnsi="Arial" w:cs="宋体"/>
          <w:sz w:val="24"/>
          <w:szCs w:val="24"/>
          <w:lang w:val="zh-CN"/>
        </w:rPr>
        <w:t xml:space="preserve">.1由评委根据投标文件中有关投标产品（主要标的物：同品牌、同型号直线加速器）的经营业绩情况进行评审。</w:t>
      </w:r>
      <w:r>
        <w:rPr>
          <w:rFonts w:ascii="宋体" w:hAnsi="Arial" w:cs="宋体"/>
          <w:sz w:val="24"/>
          <w:szCs w:val="24"/>
          <w:lang w:val="zh-CN"/>
        </w:rPr>
        <w:t xml:space="preserve">202</w:t>
      </w:r>
      <w:r>
        <w:rPr>
          <w:rFonts w:hint="eastAsia" w:ascii="宋体" w:hAnsi="Arial" w:cs="宋体"/>
          <w:sz w:val="24"/>
          <w:szCs w:val="24"/>
          <w:lang w:val="zh-CN"/>
        </w:rPr>
        <w:t xml:space="preserve">2年</w:t>
      </w:r>
      <w:r>
        <w:rPr>
          <w:rFonts w:ascii="宋体" w:hAnsi="Arial" w:cs="宋体"/>
          <w:sz w:val="24"/>
          <w:szCs w:val="24"/>
          <w:lang w:val="zh-CN"/>
        </w:rPr>
        <w:t xml:space="preserve">1</w:t>
      </w:r>
      <w:r>
        <w:rPr>
          <w:rFonts w:hint="eastAsia" w:ascii="宋体" w:hAnsi="Arial" w:cs="宋体"/>
          <w:sz w:val="24"/>
          <w:szCs w:val="24"/>
          <w:lang w:val="zh-CN"/>
        </w:rPr>
        <w:t xml:space="preserve">月</w:t>
      </w:r>
      <w:r>
        <w:rPr>
          <w:rFonts w:ascii="宋体" w:hAnsi="Arial" w:cs="宋体"/>
          <w:sz w:val="24"/>
          <w:szCs w:val="24"/>
          <w:lang w:val="zh-CN"/>
        </w:rPr>
        <w:t xml:space="preserve">1</w:t>
      </w:r>
      <w:r>
        <w:rPr>
          <w:rFonts w:hint="eastAsia" w:ascii="宋体" w:hAnsi="Arial" w:cs="宋体"/>
          <w:sz w:val="24"/>
          <w:szCs w:val="24"/>
          <w:lang w:val="zh-CN"/>
        </w:rPr>
        <w:t xml:space="preserve">日（以合同签订时间为准）以来完成的与本项目同品牌同型号的业绩（主要标的物：同品牌、同型号直线加速器），每提供一份业绩合同，得1分，最高得5分（须同时提供中标通知书或完整合同、验收证明材料，缺一不可）；并由投标人提供经营业绩情况说明列表，内容主要包括买方名称、供货机型、合同金额、数量、签订时间、联系人及电话等，采购人将根据此表随机抽查，如有虚假按照政府采购规定处理（企业之间的合同无效）。</w:t>
      </w:r>
      <w:r/>
    </w:p>
    <w:p>
      <w:pPr>
        <w:ind w:firstLine="482"/>
        <w:spacing w:line="440" w:lineRule="atLeast"/>
        <w:rPr>
          <w:rFonts w:ascii="宋体" w:hAnsi="Arial" w:cs="宋体"/>
          <w:b/>
          <w:bCs/>
          <w:sz w:val="24"/>
          <w:szCs w:val="24"/>
          <w:lang w:val="zh-CN"/>
        </w:rPr>
      </w:pPr>
      <w:r>
        <w:rPr>
          <w:rFonts w:hint="eastAsia" w:ascii="宋体" w:hAnsi="Arial" w:cs="宋体"/>
          <w:b/>
          <w:bCs/>
          <w:sz w:val="24"/>
          <w:szCs w:val="24"/>
          <w:lang w:val="zh-CN"/>
        </w:rPr>
        <w:t xml:space="preserve">（</w:t>
      </w:r>
      <w:r>
        <w:rPr>
          <w:rFonts w:hint="eastAsia" w:ascii="宋体" w:hAnsi="Arial" w:cs="宋体"/>
          <w:b/>
          <w:bCs/>
          <w:sz w:val="24"/>
          <w:szCs w:val="24"/>
          <w:lang w:val="zh-CN"/>
        </w:rPr>
        <w:t xml:space="preserve">七</w:t>
      </w:r>
      <w:r>
        <w:rPr>
          <w:rFonts w:hint="eastAsia" w:ascii="宋体" w:hAnsi="Arial" w:cs="宋体"/>
          <w:b/>
          <w:bCs/>
          <w:sz w:val="24"/>
          <w:szCs w:val="24"/>
          <w:lang w:val="zh-CN"/>
        </w:rPr>
        <w:t xml:space="preserve">）节能环保（</w:t>
      </w:r>
      <w:r>
        <w:rPr>
          <w:rFonts w:ascii="宋体" w:hAnsi="Arial" w:cs="宋体"/>
          <w:b/>
          <w:bCs/>
          <w:sz w:val="24"/>
          <w:szCs w:val="24"/>
          <w:lang w:val="zh-CN"/>
        </w:rPr>
        <w:t xml:space="preserve">1</w:t>
      </w:r>
      <w:r>
        <w:rPr>
          <w:rFonts w:hint="eastAsia" w:ascii="宋体" w:hAnsi="Arial" w:cs="宋体"/>
          <w:b/>
          <w:bCs/>
          <w:sz w:val="24"/>
          <w:szCs w:val="24"/>
          <w:lang w:val="zh-CN"/>
        </w:rPr>
        <w:t xml:space="preserve">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7</w:t>
      </w:r>
      <w:r>
        <w:rPr>
          <w:rFonts w:ascii="宋体" w:hAnsi="Arial" w:cs="宋体"/>
          <w:sz w:val="24"/>
          <w:szCs w:val="24"/>
          <w:lang w:val="zh-CN"/>
        </w:rPr>
        <w:t xml:space="preserve">.1</w:t>
      </w:r>
      <w:r>
        <w:rPr>
          <w:rFonts w:hint="eastAsia" w:ascii="宋体" w:hAnsi="Arial" w:cs="宋体"/>
          <w:sz w:val="24"/>
          <w:szCs w:val="24"/>
          <w:lang w:val="zh-CN"/>
        </w:rPr>
        <w:t xml:space="preserve">投标产品属于财政部、国家发改委公布的</w:t>
      </w:r>
      <w:r>
        <w:rPr>
          <w:rFonts w:ascii="宋体" w:hAnsi="Arial" w:cs="宋体"/>
          <w:sz w:val="24"/>
          <w:szCs w:val="24"/>
          <w:lang w:val="zh-CN"/>
        </w:rPr>
        <w:t xml:space="preserve">“</w:t>
      </w:r>
      <w:r>
        <w:rPr>
          <w:rFonts w:hint="eastAsia" w:ascii="宋体" w:hAnsi="Arial" w:cs="宋体"/>
          <w:sz w:val="24"/>
          <w:szCs w:val="24"/>
          <w:lang w:val="zh-CN"/>
        </w:rPr>
        <w:t xml:space="preserve">节能产品品目清单</w:t>
      </w:r>
      <w:r>
        <w:rPr>
          <w:rFonts w:ascii="宋体" w:hAnsi="Arial" w:cs="宋体"/>
          <w:sz w:val="24"/>
          <w:szCs w:val="24"/>
          <w:lang w:val="zh-CN"/>
        </w:rPr>
        <w:t xml:space="preserve">”</w:t>
      </w:r>
      <w:r>
        <w:rPr>
          <w:rFonts w:hint="eastAsia" w:ascii="宋体" w:hAnsi="Arial" w:cs="宋体"/>
          <w:sz w:val="24"/>
          <w:szCs w:val="24"/>
          <w:lang w:val="zh-CN"/>
        </w:rPr>
        <w:t xml:space="preserve">范围内的，投标人提供国家确定的认证机构出具的、处于有效期之内的该节能产品认证证书复印件的，得</w:t>
      </w:r>
      <w:r>
        <w:rPr>
          <w:rFonts w:ascii="宋体" w:hAnsi="Arial" w:cs="宋体"/>
          <w:sz w:val="24"/>
          <w:szCs w:val="24"/>
          <w:lang w:val="zh-CN"/>
        </w:rPr>
        <w:t xml:space="preserve">0.5</w:t>
      </w:r>
      <w:r>
        <w:rPr>
          <w:rFonts w:hint="eastAsia" w:ascii="宋体" w:hAnsi="Arial" w:cs="宋体"/>
          <w:sz w:val="24"/>
          <w:szCs w:val="24"/>
          <w:lang w:val="zh-CN"/>
        </w:rPr>
        <w:t xml:space="preserve">分；未提供的不得分。</w:t>
      </w:r>
      <w:r/>
    </w:p>
    <w:p>
      <w:pPr>
        <w:ind w:firstLine="420"/>
        <w:jc w:val="left"/>
        <w:spacing w:before="120" w:after="120" w:line="400" w:lineRule="exact"/>
        <w:rPr>
          <w:rFonts w:ascii="宋体" w:hAnsi="Arial" w:cs="宋体"/>
          <w:sz w:val="24"/>
          <w:szCs w:val="24"/>
          <w:lang w:val="zh-CN"/>
        </w:rPr>
      </w:pPr>
      <w:r>
        <w:rPr>
          <w:rFonts w:hint="eastAsia" w:ascii="宋体" w:hAnsi="Arial" w:cs="宋体"/>
          <w:sz w:val="24"/>
          <w:szCs w:val="24"/>
          <w:lang w:val="zh-CN"/>
        </w:rPr>
        <w:t xml:space="preserve">7</w:t>
      </w:r>
      <w:r>
        <w:rPr>
          <w:rFonts w:ascii="宋体" w:hAnsi="Arial" w:cs="宋体"/>
          <w:sz w:val="24"/>
          <w:szCs w:val="24"/>
          <w:lang w:val="zh-CN"/>
        </w:rPr>
        <w:t xml:space="preserve">.2</w:t>
      </w:r>
      <w:r>
        <w:rPr>
          <w:rFonts w:hint="eastAsia" w:ascii="宋体" w:hAnsi="Arial" w:cs="宋体"/>
          <w:sz w:val="24"/>
          <w:szCs w:val="24"/>
          <w:lang w:val="zh-CN"/>
        </w:rPr>
        <w:t xml:space="preserve">投标产品属于财政部、生态环境部公布的</w:t>
      </w:r>
      <w:r>
        <w:rPr>
          <w:rFonts w:ascii="宋体" w:hAnsi="Arial" w:cs="宋体"/>
          <w:sz w:val="24"/>
          <w:szCs w:val="24"/>
          <w:lang w:val="zh-CN"/>
        </w:rPr>
        <w:t xml:space="preserve">“</w:t>
      </w:r>
      <w:r>
        <w:rPr>
          <w:rFonts w:hint="eastAsia" w:ascii="宋体" w:hAnsi="Arial" w:cs="宋体"/>
          <w:sz w:val="24"/>
          <w:szCs w:val="24"/>
          <w:lang w:val="zh-CN"/>
        </w:rPr>
        <w:t xml:space="preserve">环境标志产品品目清单</w:t>
      </w:r>
      <w:r>
        <w:rPr>
          <w:rFonts w:ascii="宋体" w:hAnsi="Arial" w:cs="宋体"/>
          <w:sz w:val="24"/>
          <w:szCs w:val="24"/>
          <w:lang w:val="zh-CN"/>
        </w:rPr>
        <w:t xml:space="preserve">”</w:t>
      </w:r>
      <w:r>
        <w:rPr>
          <w:rFonts w:hint="eastAsia" w:ascii="宋体" w:hAnsi="Arial" w:cs="宋体"/>
          <w:sz w:val="24"/>
          <w:szCs w:val="24"/>
          <w:lang w:val="zh-CN"/>
        </w:rPr>
        <w:t xml:space="preserve">范围内的，投标人提供国家确定的认证机构出具的、处于有效期内的该环保产品认证证书复印件的，得</w:t>
      </w:r>
      <w:r>
        <w:rPr>
          <w:rFonts w:ascii="宋体" w:hAnsi="Arial" w:cs="宋体"/>
          <w:sz w:val="24"/>
          <w:szCs w:val="24"/>
          <w:lang w:val="zh-CN"/>
        </w:rPr>
        <w:t xml:space="preserve">0.5</w:t>
      </w:r>
      <w:r>
        <w:rPr>
          <w:rFonts w:hint="eastAsia" w:ascii="宋体" w:hAnsi="Arial" w:cs="宋体"/>
          <w:sz w:val="24"/>
          <w:szCs w:val="24"/>
          <w:lang w:val="zh-CN"/>
        </w:rPr>
        <w:t xml:space="preserve">分；未提供的不得分。</w:t>
      </w:r>
      <w:bookmarkStart w:id="207" w:name="_Toc240275230"/>
      <w:r/>
      <w:r/>
    </w:p>
    <w:p>
      <w:pPr>
        <w:jc w:val="center"/>
        <w:keepNext/>
        <w:spacing w:line="660" w:lineRule="exact"/>
        <w:rPr>
          <w:rFonts w:hint="eastAsia" w:ascii="方正黑体_GBK" w:hAnsi="方正黑体_GBK" w:eastAsia="方正黑体_GBK" w:cs="方正黑体_GBK"/>
          <w:bCs/>
          <w:sz w:val="28"/>
          <w:szCs w:val="28"/>
        </w:rPr>
        <w:outlineLvl w:val="0"/>
      </w:pPr>
      <w:r>
        <w:rPr>
          <w:rFonts w:ascii="宋体" w:hAnsi="Arial" w:cs="宋体"/>
          <w:sz w:val="24"/>
          <w:szCs w:val="24"/>
          <w:lang w:val="zh-CN"/>
        </w:rPr>
        <w:br w:type="page" w:clear="all"/>
      </w:r>
      <w:r>
        <w:rPr>
          <w:rFonts w:hint="eastAsia" w:ascii="方正黑体_GBK" w:hAnsi="方正黑体_GBK" w:eastAsia="方正黑体_GBK" w:cs="方正黑体_GBK"/>
          <w:bCs/>
          <w:sz w:val="28"/>
          <w:szCs w:val="28"/>
        </w:rPr>
        <w:t xml:space="preserve">第六章  投标</w:t>
      </w:r>
      <w:bookmarkEnd w:id="202"/>
      <w:r/>
      <w:bookmarkEnd w:id="203"/>
      <w:r/>
      <w:bookmarkEnd w:id="205"/>
      <w:r>
        <w:rPr>
          <w:rFonts w:hint="eastAsia" w:ascii="方正黑体_GBK" w:hAnsi="方正黑体_GBK" w:eastAsia="方正黑体_GBK" w:cs="方正黑体_GBK"/>
          <w:bCs/>
          <w:sz w:val="28"/>
          <w:szCs w:val="28"/>
        </w:rPr>
        <w:t xml:space="preserve">文件格式</w:t>
      </w:r>
      <w:bookmarkEnd w:id="207"/>
      <w:r/>
      <w:r/>
    </w:p>
    <w:p>
      <w:pPr>
        <w:jc w:val="center"/>
        <w:spacing w:line="400" w:lineRule="exact"/>
        <w:rPr>
          <w:rFonts w:hint="eastAsia" w:ascii="宋体" w:hAnsi="宋体"/>
          <w:b/>
          <w:sz w:val="28"/>
          <w:szCs w:val="28"/>
        </w:rPr>
      </w:pPr>
      <w:r/>
      <w:bookmarkStart w:id="208" w:name="_Hlt26671244"/>
      <w:r/>
      <w:bookmarkStart w:id="209" w:name="_Hlt26955039"/>
      <w:r/>
      <w:bookmarkStart w:id="210" w:name="_Toc49090576"/>
      <w:r/>
      <w:bookmarkStart w:id="211" w:name="_Toc26554094"/>
      <w:r/>
      <w:bookmarkStart w:id="212" w:name="_Toc120614282"/>
      <w:r/>
      <w:bookmarkEnd w:id="208"/>
      <w:r/>
      <w:bookmarkEnd w:id="209"/>
      <w:r/>
      <w:r/>
    </w:p>
    <w:p>
      <w:pPr>
        <w:jc w:val="center"/>
        <w:spacing w:line="400" w:lineRule="exact"/>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投  标</w:t>
      </w:r>
      <w:r>
        <w:rPr>
          <w:rFonts w:hint="eastAsia" w:ascii="方正小标宋_GBK" w:hAnsi="方正小标宋_GBK" w:eastAsia="方正小标宋_GBK" w:cs="方正小标宋_GBK"/>
          <w:bCs/>
          <w:sz w:val="32"/>
          <w:szCs w:val="32"/>
        </w:rPr>
        <w:t xml:space="preserve">  </w:t>
      </w:r>
      <w:r>
        <w:rPr>
          <w:rFonts w:hint="eastAsia" w:ascii="方正小标宋_GBK" w:hAnsi="方正小标宋_GBK" w:eastAsia="方正小标宋_GBK" w:cs="方正小标宋_GBK"/>
          <w:bCs/>
          <w:sz w:val="32"/>
          <w:szCs w:val="32"/>
        </w:rPr>
        <w:t xml:space="preserve">文  件</w:t>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p>
    <w:p>
      <w:pPr>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p>
    <w:p>
      <w:pPr>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u w:val="single"/>
        </w:rPr>
        <w:t xml:space="preserve">（加盖CA电子公章）</w:t>
      </w:r>
      <w:r/>
    </w:p>
    <w:p>
      <w:pPr>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left"/>
        <w:widowControl/>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br w:type="page" w:clear="all"/>
      </w:r>
      <w:r/>
    </w:p>
    <w:p>
      <w:pPr>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p>
    <w:p>
      <w:pPr>
        <w:jc w:val="center"/>
        <w:spacing w:line="400" w:lineRule="exact"/>
        <w:rPr>
          <w:rFonts w:hint="eastAsia" w:ascii="宋体" w:hAnsi="宋体"/>
          <w:b/>
          <w:bCs/>
          <w:sz w:val="28"/>
          <w:szCs w:val="28"/>
        </w:rPr>
      </w:pPr>
      <w:r>
        <w:rPr>
          <w:rFonts w:hint="eastAsia" w:ascii="宋体" w:hAnsi="宋体"/>
          <w:b/>
          <w:bCs/>
          <w:sz w:val="28"/>
          <w:szCs w:val="28"/>
        </w:rPr>
      </w:r>
      <w:r/>
    </w:p>
    <w:p>
      <w:pPr>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1.开标一览表（格式见附件1）</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2.投标分项报价表（格式见附件2）</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3.技术要求响应及偏离表（格式见附件3）</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4.商务要求响应及偏离表（格式见附件4）</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eastAsia="方正仿宋_GBK"/>
          <w:sz w:val="28"/>
          <w:szCs w:val="28"/>
        </w:rPr>
        <w:t xml:space="preserve">XXXX</w:t>
      </w:r>
      <w:r>
        <w:rPr>
          <w:rFonts w:hint="eastAsia" w:ascii="方正仿宋_GBK" w:hAnsi="方正仿宋_GBK" w:eastAsia="方正仿宋_GBK" w:cs="方正仿宋_GBK"/>
          <w:sz w:val="28"/>
          <w:szCs w:val="28"/>
        </w:rPr>
        <w:t xml:space="preserve">（格式见附件</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w:t>
      </w:r>
      <w:r/>
    </w:p>
    <w:p>
      <w:pPr>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前一年内至少一个月依法缴纳税收及缴纳社会保障资金的证明材料。投标人依法享受缓缴、免缴税收、社会保障资金的提供证明材料。）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eastAsia="方正仿宋_GBK"/>
          <w:sz w:val="28"/>
          <w:szCs w:val="28"/>
        </w:rPr>
        <w:t xml:space="preserve">（</w:t>
      </w:r>
      <w:r>
        <w:rPr>
          <w:rFonts w:eastAsia="方正仿宋_GBK"/>
          <w:sz w:val="28"/>
          <w:szCs w:val="28"/>
        </w:rPr>
        <w:t xml:space="preserve">www.creditchina.gov.cn</w:t>
      </w:r>
      <w:r>
        <w:rPr>
          <w:rFonts w:eastAsia="方正仿宋_GBK"/>
          <w:sz w:val="28"/>
          <w:szCs w:val="28"/>
        </w:rPr>
        <w:t xml:space="preserve">）</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p>
    <w:p>
      <w:pPr>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10.中小微企业声明函（如果本项目专门面向中小微型企业采购，则必须提供。格式见附件9）</w:t>
      </w:r>
      <w:r/>
    </w:p>
    <w:p>
      <w:pPr>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提供本单位制造的货物，或者提供其他残疾人福利性单位制造的货物，则必须提供。格式见附件10）12.联合体协议（如果本项目接受联合体参加投标，投标人是联合体的，则必</w:t>
      </w:r>
      <w:r>
        <w:rPr>
          <w:rFonts w:hint="eastAsia" w:ascii="方正仿宋_GBK" w:hAnsi="方正仿宋_GBK" w:eastAsia="方正仿宋_GBK" w:cs="方正仿宋_GBK"/>
          <w:sz w:val="28"/>
          <w:szCs w:val="28"/>
        </w:rPr>
        <w:t xml:space="preserve">须提供。格式见附件11）</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p>
    <w:p>
      <w:pPr>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的实质性要求逐条做出响应，并按照招标文件要求提供证明材料，否则作无效投标处理。（格式见附件12）</w:t>
      </w:r>
      <w:r/>
    </w:p>
    <w:p>
      <w:pPr>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3.关于符合本国产品标准的声明函（格式见附件13）</w:t>
      </w:r>
      <w:r/>
    </w:p>
    <w:p>
      <w:pPr>
        <w:ind w:firstLine="480"/>
        <w:spacing w:line="400" w:lineRule="exact"/>
        <w:rPr>
          <w:rFonts w:hint="eastAsia" w:ascii="宋体" w:hAnsi="宋体"/>
          <w:sz w:val="24"/>
          <w:szCs w:val="21"/>
        </w:rPr>
      </w:pPr>
      <w:r>
        <w:rPr>
          <w:rFonts w:hint="eastAsia" w:ascii="宋体" w:hAnsi="宋体"/>
          <w:sz w:val="24"/>
          <w:szCs w:val="21"/>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jc w:val="left"/>
        <w:widowControl/>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br w:type="page" w:clear="all"/>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 开标一览表</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sz w:val="28"/>
          <w:szCs w:val="28"/>
        </w:rPr>
        <w:t xml:space="preserve">XXXX</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JSZC-320000-SCZX-G2026-0458  </w:t>
      </w:r>
      <w:r>
        <w:rPr>
          <w:rFonts w:hint="eastAsia" w:ascii="方正仿宋_GBK" w:hAnsi="方正仿宋_GBK" w:eastAsia="方正仿宋_GBK" w:cs="方正仿宋_GBK"/>
          <w:sz w:val="28"/>
          <w:szCs w:val="28"/>
        </w:rPr>
        <w:t xml:space="preserve">                                 </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gridSpan w:val="2"/>
            <w:tcW w:w="8886"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p>
        </w:tc>
      </w:tr>
      <w:tr>
        <w:trPr>
          <w:cantSplit/>
          <w:trHeight w:val="505"/>
        </w:trPr>
        <w:tc>
          <w:tcPr>
            <w:tcW w:w="248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核心产品品牌</w:t>
            </w:r>
            <w:r/>
          </w:p>
        </w:tc>
        <w:tc>
          <w:tcPr>
            <w:tcW w:w="640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spacing w:line="400" w:lineRule="exact"/>
        <w:rPr>
          <w:rFonts w:hint="eastAsia" w:ascii="宋体" w:hAnsi="宋体"/>
          <w:sz w:val="28"/>
          <w:szCs w:val="28"/>
        </w:rPr>
      </w:pPr>
      <w:r>
        <w:rPr>
          <w:rFonts w:hint="eastAsia" w:ascii="宋体" w:hAnsi="宋体"/>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投标分项报价表（采购包号：XX）</w:t>
      </w:r>
      <w:r/>
    </w:p>
    <w:tbl>
      <w:tblPr>
        <w:tblW w:w="9514" w:type="dxa"/>
        <w:tblInd w:w="-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r>
      <w:tr>
        <w:trPr>
          <w:cantSplit/>
          <w:trHeight w:val="294"/>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名称</w:t>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w:t>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p>
        </w:tc>
      </w:tr>
      <w:tr>
        <w:trPr>
          <w:cantSplit/>
          <w:trHeight w:val="696"/>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514" w:type="dxa"/>
            <w:textDirection w:val="lrTb"/>
            <w:noWrap w:val="false"/>
          </w:tcPr>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p>
        </w:tc>
      </w:tr>
      <w:tr>
        <w:trPr>
          <w:cantSplit/>
          <w:trHeight w:val="767"/>
        </w:trPr>
        <w:tc>
          <w:tcPr>
            <w:gridSpan w:val="10"/>
            <w:tcW w:w="9514" w:type="dxa"/>
            <w:textDirection w:val="lrTb"/>
            <w:noWrap w:val="false"/>
          </w:tcPr>
          <w:p>
            <w:pPr>
              <w:pStyle w:val="95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p>
        </w:tc>
      </w:tr>
    </w:tbl>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w:t>
      </w:r>
      <w:r>
        <w:rPr>
          <w:rFonts w:hint="eastAsia" w:ascii="方正仿宋_GBK" w:hAnsi="方正仿宋_GBK" w:eastAsia="方正仿宋_GBK" w:cs="方正仿宋_GBK"/>
          <w:sz w:val="28"/>
          <w:szCs w:val="28"/>
        </w:rPr>
        <w:t xml:space="preserve">为各“分项总价”之和。</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4.投标人需认真填写本报价表，尤其注意规格型号的准确填写。</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5.项目经办人可以根据项目实际需要对表格结构进行调整。</w:t>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w:t>
      </w:r>
      <w:r>
        <w:rPr>
          <w:rFonts w:hint="eastAsia" w:ascii="方正仿宋_GBK" w:hAnsi="方正仿宋_GBK" w:eastAsia="方正仿宋_GBK" w:cs="方正仿宋_GBK"/>
          <w:sz w:val="28"/>
          <w:szCs w:val="28"/>
        </w:rPr>
        <w:t xml:space="preserve">1  证明材料</w:t>
      </w:r>
      <w:r>
        <w:rPr>
          <w:rFonts w:hint="eastAsia" w:ascii="方正仿宋_GBK" w:hAnsi="方正仿宋_GBK" w:eastAsia="方正仿宋_GBK" w:cs="方正仿宋_GBK"/>
          <w:sz w:val="28"/>
          <w:szCs w:val="28"/>
        </w:rPr>
        <w:t xml:space="preserve">1，证明材料2，……</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jc w:val="center"/>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附件4 商务要求响应及偏离表（采购包号：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p>
        </w:tc>
        <w:tc>
          <w:tcPr>
            <w:tcW w:w="319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82"/>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附件4-</w:t>
      </w:r>
      <w:r>
        <w:rPr>
          <w:rFonts w:hint="eastAsia" w:ascii="方正仿宋_GBK" w:hAnsi="方正仿宋_GBK" w:eastAsia="方正仿宋_GBK" w:cs="方正仿宋_GBK"/>
          <w:sz w:val="28"/>
          <w:szCs w:val="28"/>
        </w:rPr>
        <w:t xml:space="preserve">1  证明材料</w:t>
      </w:r>
      <w:r>
        <w:rPr>
          <w:rFonts w:hint="eastAsia" w:ascii="方正仿宋_GBK" w:hAnsi="方正仿宋_GBK" w:eastAsia="方正仿宋_GBK" w:cs="方正仿宋_GBK"/>
          <w:sz w:val="28"/>
          <w:szCs w:val="28"/>
        </w:rPr>
        <w:t xml:space="preserve">1，证明材料2，……</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spacing w:line="400" w:lineRule="exact"/>
        <w:rPr>
          <w:rFonts w:hint="eastAsia" w:ascii="宋体" w:hAnsi="宋体"/>
          <w:bCs/>
          <w:sz w:val="28"/>
          <w:szCs w:val="28"/>
        </w:rPr>
      </w:pPr>
      <w:r>
        <w:rPr>
          <w:rFonts w:hint="eastAsia" w:ascii="宋体" w:hAnsi="宋体"/>
          <w:bCs/>
          <w:sz w:val="28"/>
          <w:szCs w:val="28"/>
        </w:rPr>
        <w:t xml:space="preserve">                                     </w:t>
      </w:r>
      <w:r/>
    </w:p>
    <w:p>
      <w:pPr>
        <w:ind w:left="480"/>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bookmarkStart w:id="213" w:name="_Toc120614284"/>
      <w:r/>
      <w:bookmarkEnd w:id="210"/>
      <w:r/>
      <w:bookmarkEnd w:id="211"/>
      <w:r/>
      <w:bookmarkEnd w:id="212"/>
      <w:r/>
      <w:r/>
    </w:p>
    <w:p>
      <w:pPr>
        <w:spacing w:line="400" w:lineRule="exact"/>
        <w:rPr>
          <w:rFonts w:hint="eastAsia" w:ascii="宋体" w:hAnsi="宋体"/>
          <w:b/>
          <w:sz w:val="28"/>
          <w:szCs w:val="28"/>
        </w:rPr>
      </w:pPr>
      <w:r>
        <w:rPr>
          <w:rFonts w:hint="eastAsia" w:ascii="宋体" w:hAnsi="宋体"/>
          <w:b/>
          <w:sz w:val="28"/>
          <w:szCs w:val="28"/>
        </w:rPr>
      </w:r>
      <w:r/>
    </w:p>
    <w:p>
      <w:pPr>
        <w:ind w:firstLine="480"/>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本授权书声明：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（投标人名称）授权</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（被授权人的姓名）为我方就采购编号为</w:t>
      </w:r>
      <w:r>
        <w:rPr>
          <w:rFonts w:eastAsia="方正仿宋_GBK"/>
          <w:sz w:val="28"/>
          <w:szCs w:val="28"/>
        </w:rPr>
        <w:t xml:space="preserve">JSZC-320000-SCZX-G2026-0458</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项目（项目名称）采购活动的合法代理人，以本单位名义全权处理一切与该项目采购有关的事务。</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年</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月</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日起生效，特此声明。</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被授权人身份证号码：</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 </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bookmarkStart w:id="214" w:name="_Hlt26671380"/>
      <w:r/>
      <w:bookmarkStart w:id="215" w:name="_格式3__银行出具的资信证明"/>
      <w:r/>
      <w:bookmarkStart w:id="216" w:name="_Hlt26955070"/>
      <w:r/>
      <w:bookmarkEnd w:id="214"/>
      <w:r/>
      <w:bookmarkEnd w:id="215"/>
      <w:r/>
      <w:bookmarkEnd w:id="216"/>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420"/>
        <w:spacing w:line="400" w:lineRule="exact"/>
        <w:rPr>
          <w:sz w:val="28"/>
          <w:szCs w:val="28"/>
        </w:rPr>
      </w:pPr>
      <w:r>
        <w:rPr>
          <w:sz w:val="28"/>
          <w:szCs w:val="28"/>
        </w:rPr>
      </w:r>
      <w:r/>
    </w:p>
    <w:p>
      <w:pPr>
        <w:spacing w:line="400" w:lineRule="exact"/>
        <w:rPr>
          <w:rFonts w:hint="eastAsia" w:ascii="黑体" w:hAnsi="黑体" w:eastAsia="黑体"/>
          <w:b/>
          <w:i/>
          <w:sz w:val="28"/>
          <w:szCs w:val="28"/>
          <w:u w:val="single"/>
        </w:rPr>
      </w:pPr>
      <w:r>
        <w:rPr>
          <w:rFonts w:hint="eastAsia" w:ascii="方正黑体_GBK" w:hAnsi="方正黑体_GBK" w:eastAsia="方正黑体_GBK" w:cs="方正黑体_GBK"/>
          <w:bCs/>
          <w:sz w:val="28"/>
          <w:szCs w:val="28"/>
        </w:rPr>
        <w:t xml:space="preserve">附件8                    投标函</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eastAsia="方正仿宋_GBK"/>
          <w:sz w:val="28"/>
          <w:szCs w:val="28"/>
        </w:rPr>
        <w:t xml:space="preserve">JSZC-320000-SCZX-G2026-0458</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项目（项目名称）的招标文件，正式授权下述签字人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(姓名)</w:t>
      </w:r>
      <w:r>
        <w:rPr>
          <w:rFonts w:hint="eastAsia" w:ascii="方正仿宋_GBK" w:hAnsi="方正仿宋_GBK" w:eastAsia="方正仿宋_GBK" w:cs="方正仿宋_GBK"/>
          <w:sz w:val="28"/>
          <w:szCs w:val="28"/>
        </w:rPr>
        <w:t xml:space="preserve">代表我方</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（投标人的名称），全权处理本次项目投标的有关事宜。</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1.按招标文件规定的各项要求，向买方提供所需货物（包含与货物相关的服务）。</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w:t>
      </w:r>
      <w:r>
        <w:rPr>
          <w:rFonts w:hint="eastAsia" w:ascii="方正仿宋_GBK" w:hAnsi="方正仿宋_GBK" w:eastAsia="方正仿宋_GBK" w:cs="方正仿宋_GBK"/>
          <w:sz w:val="28"/>
          <w:szCs w:val="28"/>
        </w:rPr>
        <w:t xml:space="preserve">中标,</w:t>
      </w:r>
      <w:r>
        <w:rPr>
          <w:rFonts w:hint="eastAsia" w:ascii="方正仿宋_GBK" w:hAnsi="方正仿宋_GBK" w:eastAsia="方正仿宋_GBK" w:cs="方正仿宋_GBK"/>
          <w:sz w:val="28"/>
          <w:szCs w:val="28"/>
        </w:rPr>
        <w:t xml:space="preserve">我方将根据招标文件的规定，严格履行合同的责任和</w:t>
      </w:r>
      <w:r>
        <w:rPr>
          <w:rFonts w:hint="eastAsia" w:ascii="方正仿宋_GBK" w:hAnsi="方正仿宋_GBK" w:eastAsia="方正仿宋_GBK" w:cs="方正仿宋_GBK"/>
          <w:sz w:val="28"/>
          <w:szCs w:val="28"/>
        </w:rPr>
        <w:t xml:space="preserve">义务,</w:t>
      </w:r>
      <w:r>
        <w:rPr>
          <w:rFonts w:hint="eastAsia" w:ascii="方正仿宋_GBK" w:hAnsi="方正仿宋_GBK" w:eastAsia="方正仿宋_GBK" w:cs="方正仿宋_GBK"/>
          <w:sz w:val="28"/>
          <w:szCs w:val="28"/>
        </w:rPr>
        <w:t xml:space="preserve">并保证在招标文件规定的时间内完成项目，交付买方验收、使用。</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p>
    <w:p>
      <w:pPr>
        <w:ind w:left="420" w:firstLine="560"/>
        <w:jc w:val="left"/>
        <w:spacing w:line="400" w:lineRule="exact"/>
        <w:rPr>
          <w:rFonts w:hint="eastAsia" w:ascii="宋体" w:hAnsi="宋体"/>
          <w:sz w:val="28"/>
          <w:szCs w:val="28"/>
        </w:rPr>
      </w:pPr>
      <w:r>
        <w:rPr>
          <w:rFonts w:hint="eastAsia" w:ascii="宋体" w:hAnsi="宋体"/>
          <w:sz w:val="28"/>
          <w:szCs w:val="28"/>
        </w:rPr>
      </w:r>
      <w:r/>
    </w:p>
    <w:p>
      <w:pPr>
        <w:ind w:left="38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p>
    <w:p>
      <w:pPr>
        <w:ind w:left="3830"/>
        <w:jc w:val="left"/>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日    期：___年____月____日</w:t>
      </w:r>
      <w:r/>
    </w:p>
    <w:p>
      <w:pPr>
        <w:ind w:firstLine="280"/>
        <w:jc w:val="center"/>
        <w:spacing w:line="400" w:lineRule="exact"/>
        <w:rPr>
          <w:rFonts w:hint="eastAsia" w:ascii="宋体" w:hAnsi="宋体"/>
          <w:bCs/>
          <w:sz w:val="28"/>
          <w:szCs w:val="28"/>
        </w:rPr>
      </w:pPr>
      <w:r>
        <w:rPr>
          <w:rFonts w:hint="eastAsia" w:ascii="宋体" w:hAnsi="宋体"/>
          <w:bCs/>
          <w:sz w:val="28"/>
          <w:szCs w:val="28"/>
        </w:rPr>
      </w:r>
      <w:r/>
    </w:p>
    <w:p>
      <w:pPr>
        <w:ind w:firstLine="280"/>
        <w:jc w:val="cente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9  中小微企业声明函</w:t>
      </w:r>
      <w:r>
        <w:rPr>
          <w:rFonts w:hint="eastAsia" w:ascii="方正黑体_GBK" w:hAnsi="方正黑体_GBK" w:eastAsia="方正黑体_GBK" w:cs="方正黑体_GBK"/>
          <w:bCs/>
          <w:sz w:val="28"/>
          <w:szCs w:val="28"/>
        </w:rPr>
        <w:t xml:space="preserve">（货物类项目）（采购包号：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w:t>
      </w:r>
      <w:r>
        <w:rPr>
          <w:rFonts w:hint="eastAsia" w:ascii="方正仿宋_GBK" w:hAnsi="方正仿宋_GBK" w:eastAsia="方正仿宋_GBK" w:cs="方正仿宋_GBK"/>
          <w:sz w:val="28"/>
          <w:szCs w:val="28"/>
        </w:rPr>
        <w:t xml:space="preserve">(财库</w:t>
      </w:r>
      <w:r>
        <w:rPr>
          <w:rFonts w:hint="eastAsia" w:ascii="方正仿宋_GBK" w:hAnsi="方正仿宋_GBK" w:eastAsia="方正仿宋_GBK" w:cs="方正仿宋_GBK"/>
          <w:sz w:val="28"/>
          <w:szCs w:val="28"/>
        </w:rPr>
        <w:t xml:space="preserve">〔2020〕46</w:t>
      </w:r>
      <w:r>
        <w:rPr>
          <w:rFonts w:hint="eastAsia" w:ascii="方正仿宋_GBK" w:hAnsi="方正仿宋_GBK" w:eastAsia="方正仿宋_GBK" w:cs="方正仿宋_GBK"/>
          <w:sz w:val="28"/>
          <w:szCs w:val="28"/>
        </w:rPr>
        <w:t xml:space="preserve">号)</w:t>
      </w:r>
      <w:r>
        <w:rPr>
          <w:rFonts w:hint="eastAsia" w:ascii="方正仿宋_GBK" w:hAnsi="方正仿宋_GBK" w:eastAsia="方正仿宋_GBK" w:cs="方正仿宋_GBK"/>
          <w:sz w:val="28"/>
          <w:szCs w:val="28"/>
        </w:rPr>
        <w:t xml:space="preserve">的规定，本公司（联合体）参加江苏省政府采购中心组织的</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（采购单位名称）采购编号为</w:t>
      </w:r>
      <w:r>
        <w:rPr>
          <w:rFonts w:eastAsia="方正仿宋_GBK"/>
          <w:sz w:val="28"/>
          <w:szCs w:val="28"/>
        </w:rPr>
        <w:t xml:space="preserve">JSZC-320000-SCZX-G2026-0458</w:t>
      </w:r>
      <w:r>
        <w:rPr>
          <w:rFonts w:eastAsia="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）的采购活动，提供的货物全部由符合政策要求的中小微企业制造。相关企业（含联合体中的中小微企业、签订采购包意向协议的中小微企业）的具体情况如下：</w:t>
      </w:r>
      <w:r/>
    </w:p>
    <w:p>
      <w:pPr>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企业名称（加盖CA电子公章）：</w:t>
      </w:r>
      <w:r/>
    </w:p>
    <w:p>
      <w:pPr>
        <w:ind w:right="480" w:firstLine="364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rPr>
        <w:t xml:space="preserve">：___年____月____日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jc w:val="left"/>
        <w:spacing w:line="400" w:lineRule="exact"/>
        <w:rPr>
          <w:rFonts w:hint="eastAsia" w:ascii="方正黑体_GBK" w:hAnsi="方正黑体_GBK" w:eastAsia="方正黑体_GBK" w:cs="方正黑体_GBK"/>
          <w:bCs/>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w:t>
      </w:r>
      <w:r>
        <w:rPr>
          <w:rFonts w:hint="eastAsia" w:ascii="方正仿宋_GBK" w:hAnsi="方正仿宋_GBK" w:eastAsia="方正仿宋_GBK" w:cs="方正仿宋_GBK"/>
          <w:sz w:val="28"/>
          <w:szCs w:val="28"/>
        </w:rPr>
        <w:t xml:space="preserve">号)</w:t>
      </w:r>
      <w:r>
        <w:rPr>
          <w:rFonts w:hint="eastAsia" w:ascii="方正仿宋_GBK" w:hAnsi="方正仿宋_GBK" w:eastAsia="方正仿宋_GBK" w:cs="方正仿宋_GBK"/>
          <w:sz w:val="28"/>
          <w:szCs w:val="28"/>
        </w:rPr>
        <w:t xml:space="preserve">《国家统计局关于印发〈统计上大中小微型企业划分办法（2017）〉的通知》（国统字〔2017〕213号）的规定，自行勾选制造商的企业规模类型。     </w:t>
      </w:r>
      <w:r/>
    </w:p>
    <w:p>
      <w:pPr>
        <w:ind w:firstLine="560"/>
        <w:jc w:val="left"/>
        <w:spacing w:line="400" w:lineRule="exact"/>
        <w:rPr>
          <w:rFonts w:hint="eastAsia" w:ascii="宋体" w:hAnsi="宋体"/>
          <w:sz w:val="28"/>
          <w:szCs w:val="28"/>
        </w:rPr>
      </w:pPr>
      <w:r>
        <w:rPr>
          <w:rFonts w:hint="eastAsia" w:ascii="方正黑体_GBK" w:hAnsi="方正黑体_GBK" w:eastAsia="方正黑体_GBK" w:cs="方正黑体_GBK"/>
          <w:bCs/>
          <w:sz w:val="28"/>
          <w:szCs w:val="28"/>
        </w:rPr>
        <w:t xml:space="preserve">附件10残疾人福利性单位声明函（货物类项目）（采购包号：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eastAsia="方正仿宋_GBK"/>
          <w:sz w:val="28"/>
          <w:szCs w:val="28"/>
        </w:rPr>
        <w:t xml:space="preserve">JSZC-320000-SCZX-G2026-0458</w:t>
      </w:r>
      <w:r>
        <w:rPr>
          <w:rFonts w:eastAsia="方正仿宋_GBK"/>
          <w:sz w:val="28"/>
          <w:szCs w:val="28"/>
        </w:rPr>
        <w:t xml:space="preserve">，</w:t>
      </w:r>
      <w:r>
        <w:rPr>
          <w:rFonts w:hint="eastAsia" w:ascii="方正仿宋_GBK" w:hAnsi="方正仿宋_GBK" w:eastAsia="方正仿宋_GBK" w:cs="方正仿宋_GBK"/>
          <w:sz w:val="28"/>
          <w:szCs w:val="28"/>
          <w:u w:val="single"/>
        </w:rPr>
        <w:t xml:space="preserve">      </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）采购活动提供本单位制造的货物，或者提供其他残疾人福利性单位制造的货物（不包括使用非残疾人福利性单位注册商标的货物）。</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ind w:firstLine="572"/>
        <w:spacing w:line="400" w:lineRule="exact"/>
        <w:rPr>
          <w:rFonts w:ascii="仿宋_GB2312" w:eastAsia="仿宋_GB2312"/>
          <w:spacing w:val="6"/>
          <w:sz w:val="28"/>
          <w:szCs w:val="28"/>
        </w:rPr>
      </w:pPr>
      <w:r>
        <w:rPr>
          <w:rFonts w:ascii="仿宋_GB2312" w:eastAsia="仿宋_GB2312"/>
          <w:spacing w:val="6"/>
          <w:sz w:val="28"/>
          <w:szCs w:val="28"/>
        </w:rPr>
      </w:r>
      <w:r/>
    </w:p>
    <w:p>
      <w:pPr>
        <w:ind w:right="180" w:firstLine="572"/>
        <w:jc w:val="right"/>
        <w:spacing w:line="400" w:lineRule="exact"/>
        <w:rPr>
          <w:rFonts w:hint="eastAsia" w:ascii="方正仿宋_GBK" w:hAnsi="方正仿宋_GBK" w:eastAsia="方正仿宋_GBK" w:cs="方正仿宋_GBK"/>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w:t>
      </w:r>
      <w:r>
        <w:rPr>
          <w:rFonts w:hint="eastAsia" w:ascii="方正仿宋_GBK" w:hAnsi="方正仿宋_GBK" w:eastAsia="方正仿宋_GBK" w:cs="方正仿宋_GBK"/>
          <w:sz w:val="28"/>
          <w:szCs w:val="28"/>
        </w:rPr>
        <w:t xml:space="preserve">供应商全称（加盖CA电子公章）：</w:t>
      </w:r>
      <w:r/>
    </w:p>
    <w:p>
      <w:pPr>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rPr>
        <w:t xml:space="preserve">：___年____月____日 </w:t>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ind w:firstLine="560"/>
        <w:jc w:val="left"/>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联合体协议（参考格式）（采购包号：XX）</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sz w:val="28"/>
          <w:szCs w:val="28"/>
        </w:rPr>
        <w:t xml:space="preserve">JSZC-320000-SCZX-G2026-0458</w:t>
      </w:r>
      <w:r>
        <w:rPr>
          <w:rFonts w:eastAsia="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）的政府采购活动，我联合体指定</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（供应商全称）为牵头单位（牵头单位必须为联合体成员）。</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2.若我们联合中标、成交，</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（供应商单位1全称）实施项目中</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（供应商单位2全称）实施项目中</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hint="eastAsia" w:ascii="方正仿宋_GBK" w:hAnsi="方正仿宋_GBK" w:eastAsia="方正仿宋_GBK" w:cs="方正仿宋_GBK"/>
          <w:sz w:val="28"/>
          <w:szCs w:val="28"/>
        </w:rPr>
        <w:t xml:space="preserve">（</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w:t>
      </w:r>
      <w:r/>
    </w:p>
    <w:p>
      <w:pPr>
        <w:spacing w:line="400" w:lineRule="exact"/>
        <w:rPr>
          <w:rFonts w:hint="eastAsia" w:ascii="宋体" w:hAnsi="宋体"/>
          <w:sz w:val="28"/>
          <w:szCs w:val="28"/>
        </w:rPr>
      </w:pPr>
      <w:r>
        <w:rPr>
          <w:rFonts w:ascii="宋体" w:hAnsi="宋体"/>
          <w:sz w:val="28"/>
          <w:szCs w:val="28"/>
        </w:rPr>
        <w:t xml:space="preserve">      </w:t>
      </w:r>
      <w:r>
        <w:rPr>
          <w:rFonts w:hint="eastAsia" w:ascii="宋体" w:hAnsi="宋体"/>
          <w:sz w:val="28"/>
          <w:szCs w:val="28"/>
        </w:rPr>
        <w:t xml:space="preserve">            </w:t>
      </w:r>
      <w:r/>
    </w:p>
    <w:p>
      <w:pPr>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p>
    <w:p>
      <w:pPr>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日期：___年____月____日 </w:t>
      </w:r>
      <w:r/>
    </w:p>
    <w:p>
      <w:pPr>
        <w:ind w:firstLine="645"/>
        <w:spacing w:line="400" w:lineRule="exact"/>
        <w:rPr>
          <w:rFonts w:hint="eastAsia" w:ascii="宋体" w:hAnsi="宋体"/>
          <w:sz w:val="28"/>
          <w:szCs w:val="28"/>
        </w:rPr>
      </w:pPr>
      <w:r>
        <w:rPr>
          <w:rFonts w:hint="eastAsia" w:ascii="宋体" w:hAnsi="宋体"/>
          <w:sz w:val="28"/>
          <w:szCs w:val="28"/>
        </w:rPr>
      </w:r>
      <w:r/>
    </w:p>
    <w:p>
      <w:pPr>
        <w:ind w:firstLine="645"/>
        <w:spacing w:line="400" w:lineRule="exact"/>
        <w:rPr>
          <w:rFonts w:hint="eastAsia" w:ascii="宋体" w:hAnsi="宋体"/>
          <w:sz w:val="28"/>
          <w:szCs w:val="28"/>
        </w:rPr>
      </w:pPr>
      <w:r>
        <w:rPr>
          <w:rFonts w:hint="eastAsia" w:ascii="宋体" w:hAnsi="宋体"/>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p>
    <w:p>
      <w:pPr>
        <w:ind w:firstLine="645"/>
        <w:spacing w:line="400" w:lineRule="exact"/>
        <w:rPr>
          <w:rFonts w:hint="eastAsia" w:ascii="宋体" w:hAnsi="宋体"/>
          <w:sz w:val="28"/>
          <w:szCs w:val="28"/>
        </w:rPr>
      </w:pPr>
      <w:r>
        <w:rPr>
          <w:rFonts w:hint="eastAsia" w:ascii="宋体" w:hAnsi="宋体"/>
          <w:sz w:val="28"/>
          <w:szCs w:val="28"/>
        </w:rPr>
      </w:r>
      <w:r/>
    </w:p>
    <w:p>
      <w:pPr>
        <w:ind w:firstLine="560"/>
        <w:jc w:val="left"/>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附件12实质性要求响应及偏离表（采购包号：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p>
        </w:tc>
        <w:tc>
          <w:tcPr>
            <w:tcW w:w="3317"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spacing w:line="400" w:lineRule="exact"/>
        <w:rPr>
          <w:rFonts w:hint="eastAsia" w:ascii="宋体" w:hAnsi="宋体"/>
          <w:sz w:val="28"/>
          <w:szCs w:val="28"/>
        </w:rPr>
      </w:pPr>
      <w:r>
        <w:rPr>
          <w:rFonts w:hint="eastAsia" w:ascii="宋体" w:hAnsi="宋体"/>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p>
    <w:p>
      <w:pPr>
        <w:spacing w:line="400" w:lineRule="exact"/>
        <w:rPr>
          <w:rFonts w:hint="eastAsia" w:ascii="宋体" w:hAnsi="宋体"/>
          <w:sz w:val="28"/>
          <w:szCs w:val="28"/>
        </w:rPr>
      </w:pPr>
      <w:r>
        <w:rPr>
          <w:rFonts w:hint="eastAsia" w:ascii="宋体" w:hAnsi="宋体"/>
          <w:sz w:val="28"/>
          <w:szCs w:val="28"/>
        </w:rPr>
      </w:r>
      <w:r/>
    </w:p>
    <w:p>
      <w:pPr>
        <w:ind w:firstLine="280"/>
        <w:jc w:val="left"/>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13  关于符合本国产品标准的声明函</w:t>
      </w:r>
      <w:r>
        <w:rPr>
          <w:rFonts w:hint="eastAsia" w:ascii="方正黑体_GBK" w:hAnsi="方正黑体_GBK" w:eastAsia="方正黑体_GBK" w:cs="方正黑体_GBK"/>
          <w:bCs/>
          <w:sz w:val="28"/>
          <w:szCs w:val="28"/>
        </w:rPr>
        <w:t xml:space="preserve">（采购包号：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pStyle w:val="950"/>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960"/>
          <w:rFonts w:hint="eastAsia" w:ascii="方正仿宋_GBK" w:hAnsi="方正仿宋_GBK" w:eastAsia="方正仿宋_GBK" w:cs="方正仿宋_GBK"/>
          <w:i w:val="0"/>
          <w:sz w:val="28"/>
          <w:szCs w:val="28"/>
          <w:u w:val="single"/>
          <w:shd w:val="clear" w:color="auto" w:fill="ffffff"/>
        </w:rPr>
        <w:t xml:space="preserve">（产品名称1）</w:t>
      </w:r>
      <w:r>
        <w:rPr>
          <w:rStyle w:val="960"/>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960"/>
          <w:rFonts w:hint="eastAsia" w:ascii="方正仿宋_GBK" w:hAnsi="方正仿宋_GBK" w:eastAsia="方正仿宋_GBK" w:cs="方正仿宋_GBK"/>
          <w:i w:val="0"/>
          <w:sz w:val="28"/>
          <w:szCs w:val="28"/>
          <w:u w:val="single"/>
          <w:shd w:val="clear" w:color="auto" w:fill="ffffff"/>
        </w:rPr>
        <w:t xml:space="preserve">（厂名）</w:t>
      </w:r>
      <w:r>
        <w:rPr>
          <w:rStyle w:val="960"/>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960"/>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60"/>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60"/>
          <w:rFonts w:hint="eastAsia" w:ascii="方正仿宋_GBK" w:hAnsi="方正仿宋_GBK" w:eastAsia="方正仿宋_GBK" w:cs="方正仿宋_GBK"/>
          <w:i w:val="0"/>
          <w:sz w:val="28"/>
          <w:szCs w:val="28"/>
          <w:u w:val="single"/>
          <w:shd w:val="clear" w:color="auto" w:fill="ffffff"/>
        </w:rPr>
        <w:t xml:space="preserve">/</w:t>
      </w:r>
      <w:r>
        <w:rPr>
          <w:rStyle w:val="960"/>
          <w:rFonts w:hint="eastAsia" w:ascii="方正仿宋_GBK" w:hAnsi="方正仿宋_GBK" w:eastAsia="方正仿宋_GBK" w:cs="方正仿宋_GBK"/>
          <w:i w:val="0"/>
          <w:sz w:val="28"/>
          <w:szCs w:val="28"/>
          <w:u w:val="single"/>
          <w:shd w:val="clear" w:color="auto" w:fill="ffffff"/>
        </w:rPr>
        <w:t xml:space="preserve">  </w:t>
      </w:r>
      <w:r>
        <w:rPr>
          <w:rStyle w:val="960"/>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60"/>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60"/>
          <w:rFonts w:hint="eastAsia" w:ascii="方正仿宋_GBK" w:hAnsi="方正仿宋_GBK" w:eastAsia="方正仿宋_GBK" w:cs="方正仿宋_GBK"/>
          <w:i w:val="0"/>
          <w:sz w:val="28"/>
          <w:szCs w:val="28"/>
          <w:u w:val="single"/>
          <w:shd w:val="clear" w:color="auto" w:fill="ffffff"/>
        </w:rPr>
        <w:t xml:space="preserve">/  </w:t>
      </w:r>
      <w:r>
        <w:rPr>
          <w:rStyle w:val="960"/>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960"/>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60"/>
          <w:rFonts w:hint="eastAsia" w:ascii="方正仿宋_GBK" w:hAnsi="方正仿宋_GBK" w:eastAsia="方正仿宋_GBK" w:cs="方正仿宋_GBK"/>
          <w:i w:val="0"/>
          <w:sz w:val="28"/>
          <w:szCs w:val="28"/>
          <w:u w:val="single"/>
          <w:shd w:val="clear" w:color="auto" w:fill="ffffff"/>
        </w:rPr>
        <w:t xml:space="preserve">/  </w:t>
      </w:r>
      <w:r>
        <w:rPr>
          <w:rStyle w:val="960"/>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p>
    <w:p>
      <w:pPr>
        <w:pStyle w:val="95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960"/>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960"/>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960"/>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60"/>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960"/>
          <w:rFonts w:hint="eastAsia" w:ascii="方正仿宋_GBK" w:hAnsi="方正仿宋_GBK" w:eastAsia="方正仿宋_GBK" w:cs="方正仿宋_GBK"/>
          <w:i w:val="0"/>
          <w:sz w:val="28"/>
          <w:szCs w:val="28"/>
          <w:u w:val="single"/>
          <w:shd w:val="clear" w:color="auto" w:fill="ffffff"/>
        </w:rPr>
        <w:t xml:space="preserve">/</w:t>
      </w:r>
      <w:r>
        <w:rPr>
          <w:rStyle w:val="960"/>
          <w:rFonts w:hint="eastAsia" w:ascii="方正仿宋_GBK" w:hAnsi="方正仿宋_GBK" w:eastAsia="方正仿宋_GBK" w:cs="方正仿宋_GBK"/>
          <w:i w:val="0"/>
          <w:sz w:val="28"/>
          <w:szCs w:val="28"/>
          <w:u w:val="single"/>
          <w:shd w:val="clear" w:color="auto" w:fill="ffffff"/>
        </w:rPr>
        <w:t xml:space="preserve"> </w:t>
      </w:r>
      <w:r>
        <w:rPr>
          <w:rStyle w:val="960"/>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60"/>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60"/>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60"/>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60"/>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shd w:val="clear" w:color="auto" w:fill="ffffff"/>
        </w:rPr>
        <w:t xml:space="preserve">。</w:t>
      </w:r>
      <w:r/>
    </w:p>
    <w:p>
      <w:pPr>
        <w:pStyle w:val="95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p>
    <w:p>
      <w:pPr>
        <w:pStyle w:val="950"/>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p>
    <w:p>
      <w:pPr>
        <w:pStyle w:val="950"/>
        <w:spacing w:before="30" w:beforeAutospacing="0" w:after="30" w:afterAutospacing="0" w:line="400" w:lineRule="exact"/>
        <w:rPr>
          <w:rFonts w:hint="eastAsia"/>
          <w:sz w:val="28"/>
          <w:szCs w:val="28"/>
        </w:rPr>
      </w:pPr>
      <w:r>
        <w:rPr>
          <w:rFonts w:hint="eastAsia"/>
          <w:sz w:val="28"/>
          <w:szCs w:val="28"/>
        </w:rPr>
      </w:r>
      <w:r/>
    </w:p>
    <w:p>
      <w:pPr>
        <w:pStyle w:val="950"/>
        <w:ind w:firstLine="560"/>
        <w:jc w:val="right"/>
        <w:spacing w:before="30" w:beforeAutospacing="0" w:after="30" w:afterAutospacing="0" w:line="400" w:lineRule="exact"/>
        <w:rPr>
          <w:rFonts w:hint="eastAsia"/>
          <w:sz w:val="28"/>
          <w:szCs w:val="28"/>
        </w:rPr>
      </w:pPr>
      <w:r>
        <w:rPr>
          <w:rFonts w:hint="eastAsia"/>
          <w:sz w:val="28"/>
          <w:szCs w:val="28"/>
          <w:shd w:val="clear" w:color="auto" w:fill="ffffff"/>
        </w:rPr>
        <w:t xml:space="preserve">  </w:t>
      </w:r>
      <w:r>
        <w:rPr>
          <w:rFonts w:hint="eastAsia" w:ascii="方正仿宋_GBK" w:hAnsi="方正仿宋_GBK" w:eastAsia="方正仿宋_GBK" w:cs="方正仿宋_GBK"/>
          <w:sz w:val="28"/>
          <w:szCs w:val="28"/>
          <w:shd w:val="clear" w:color="auto" w:fill="ffffff"/>
        </w:rPr>
        <w:t xml:space="preserve">                     公司（单位）名称（加盖CA电子公章）：　  日期：___年____月____日   </w:t>
      </w:r>
      <w:r>
        <w:rPr>
          <w:rFonts w:hint="eastAsia"/>
          <w:sz w:val="28"/>
          <w:szCs w:val="28"/>
          <w:shd w:val="clear" w:color="auto" w:fill="ffffff"/>
        </w:rPr>
        <w:t xml:space="preserve">     </w:t>
      </w:r>
      <w:r/>
    </w:p>
    <w:p>
      <w:pPr>
        <w:pStyle w:val="950"/>
        <w:spacing w:before="30" w:beforeAutospacing="0" w:after="30" w:afterAutospacing="0" w:line="400" w:lineRule="exact"/>
        <w:rPr>
          <w:rFonts w:hint="eastAsia"/>
          <w:sz w:val="28"/>
          <w:szCs w:val="28"/>
        </w:rPr>
      </w:pPr>
      <w:r>
        <w:rPr>
          <w:rFonts w:hint="eastAsia"/>
          <w:sz w:val="28"/>
          <w:szCs w:val="28"/>
          <w:shd w:val="clear" w:color="auto" w:fill="ffffff"/>
        </w:rPr>
        <w:t xml:space="preserve">__________________</w:t>
      </w:r>
      <w:r/>
    </w:p>
    <w:p>
      <w:pPr>
        <w:pStyle w:val="95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p>
    <w:p>
      <w:pPr>
        <w:pStyle w:val="95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p>
    <w:p>
      <w:pPr>
        <w:pStyle w:val="95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p>
    <w:p>
      <w:pPr>
        <w:pStyle w:val="95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p>
    <w:p>
      <w:pPr>
        <w:pStyle w:val="95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p>
    <w:p>
      <w:pPr>
        <w:pStyle w:val="95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Fonts w:hint="eastAsia" w:ascii="方正仿宋_GBK" w:hAnsi="方正仿宋_GBK" w:eastAsia="方正仿宋_GBK" w:cs="方正仿宋_GBK"/>
          <w:sz w:val="28"/>
          <w:szCs w:val="28"/>
          <w:u w:val="single"/>
          <w:shd w:val="clear" w:color="auto" w:fill="ffffff"/>
        </w:rPr>
        <w:t xml:space="preserve"> </w:t>
      </w:r>
      <w:r>
        <w:rPr>
          <w:rStyle w:val="960"/>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shd w:val="clear" w:color="auto" w:fill="ffffff"/>
        </w:rPr>
        <w:t xml:space="preserve">的地方无需填写。</w:t>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bookmarkEnd w:id="199"/>
      <w:r/>
      <w:bookmarkEnd w:id="200"/>
      <w:r/>
      <w:bookmarkEnd w:id="213"/>
      <w:r/>
      <w:r/>
    </w:p>
    <w:p>
      <w:pPr>
        <w:ind w:firstLine="28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质疑函范本</w:t>
      </w:r>
      <w:r/>
    </w:p>
    <w:p>
      <w:pPr>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w:t>
      </w:r>
      <w:r>
        <w:rPr>
          <w:rFonts w:hint="eastAsia" w:ascii="方正仿宋_GBK" w:hAnsi="方正仿宋_GBK" w:eastAsia="方正仿宋_GBK" w:cs="方正仿宋_GBK"/>
          <w:sz w:val="28"/>
          <w:szCs w:val="28"/>
        </w:rPr>
        <w:t xml:space="preserve">(签章)</w:t>
      </w:r>
      <w:r>
        <w:rPr>
          <w:rFonts w:hint="eastAsia" w:ascii="方正仿宋_GBK" w:hAnsi="方正仿宋_GBK" w:eastAsia="方正仿宋_GBK" w:cs="方正仿宋_GBK"/>
          <w:sz w:val="28"/>
          <w:szCs w:val="28"/>
        </w:rPr>
        <w:t xml:space="preserve">：                   公章：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ind w:firstLine="560"/>
        <w:jc w:val="left"/>
        <w:spacing w:line="400" w:lineRule="exact"/>
        <w:widowControl/>
        <w:rPr>
          <w:rFonts w:hint="eastAsia" w:ascii="宋体" w:hAnsi="宋体"/>
          <w:sz w:val="24"/>
          <w:szCs w:val="24"/>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egoe UI Symbol">
    <w:panose1 w:val="020B0502040204020203"/>
  </w:font>
  <w:font w:name="仿宋">
    <w:panose1 w:val="02010609060101010101"/>
  </w:font>
  <w:font w:name="方正楷体_GBK">
    <w:panose1 w:val="020B0503020202020204"/>
  </w:font>
  <w:font w:name="黑体">
    <w:panose1 w:val="0201060906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Arial">
    <w:panose1 w:val="020B0604020202020204"/>
  </w:font>
  <w:font w:name="方正公文黑体">
    <w:panose1 w:val="020B0503020202020204"/>
  </w:font>
  <w:font w:name="Arial Unicode MS">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749935" cy="230505"/>
              <wp:effectExtent l="0" t="0" r="0" b="0"/>
              <wp:wrapNone/>
              <wp:docPr id="1"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749935" cy="230505"/>
                      </a:xfrm>
                      <a:prstGeom prst="rect">
                        <a:avLst/>
                      </a:prstGeom>
                      <a:noFill/>
                      <a:ln>
                        <a:noFill/>
                      </a:ln>
                      <a:effectLst/>
                    </wps:spPr>
                    <wps:txbx>
                      <w:txbxContent>
                        <w:p>
                          <w:pPr>
                            <w:pStyle w:val="938"/>
                            <w:tabs>
                              <w:tab w:val="center" w:pos="4153" w:leader="none"/>
                              <w:tab w:val="right" w:pos="8306" w:leader="none"/>
                            </w:tabs>
                            <w:rPr>
                              <w:rFonts w:hint="eastAsia"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59.0pt;height:18.1pt;mso-wrap-distance-left:9.0pt;mso-wrap-distance-top:0.0pt;mso-wrap-distance-right:9.0pt;mso-wrap-distance-bottom:0.0pt;v-text-anchor:top;visibility:visible;" filled="f" stroked="f">
              <v:textbox inset="0,0,0,0">
                <w:txbxContent>
                  <w:p>
                    <w:pPr>
                      <w:pStyle w:val="938"/>
                      <w:tabs>
                        <w:tab w:val="center" w:pos="4153" w:leader="none"/>
                        <w:tab w:val="right" w:pos="8306" w:leader="none"/>
                      </w:tabs>
                      <w:rPr>
                        <w:rFonts w:hint="eastAsia"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txbxContent>
              </v:textbox>
            </v:shape>
          </w:pict>
        </mc:Fallback>
      </mc:AlternateContent>
    </w:r>
    <w:r/>
  </w:p>
  <w:p>
    <w:pPr>
      <w:pStyle w:val="93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38835" cy="230505"/>
              <wp:effectExtent l="0" t="0" r="0" b="0"/>
              <wp:wrapNone/>
              <wp:docPr id="2"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838835" cy="230505"/>
                      </a:xfrm>
                      <a:prstGeom prst="rect">
                        <a:avLst/>
                      </a:prstGeom>
                      <a:noFill/>
                      <a:ln>
                        <a:noFill/>
                      </a:ln>
                      <a:effectLst/>
                    </wps:spPr>
                    <wps:txbx>
                      <w:txbxContent>
                        <w:p>
                          <w:pPr>
                            <w:pStyle w:val="938"/>
                            <w:tabs>
                              <w:tab w:val="center" w:pos="4153" w:leader="none"/>
                              <w:tab w:val="right" w:pos="8306" w:leader="none"/>
                            </w:tabs>
                            <w:rPr>
                              <w:rFonts w:hint="eastAsia"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20</w:t>
                          </w:r>
                          <w:r>
                            <w:rPr>
                              <w:rFonts w:ascii="宋体" w:hAnsi="宋体"/>
                              <w:sz w:val="28"/>
                            </w:rPr>
                            <w:fldChar w:fldCharType="end"/>
                          </w:r>
                          <w:r>
                            <w:rPr>
                              <w:rFonts w:ascii="宋体" w:hAnsi="宋体"/>
                              <w:sz w:val="24"/>
                            </w:rPr>
                            <w:t xml:space="preserve">　</w:t>
                          </w:r>
                          <w:r>
                            <w:rPr>
                              <w:rFonts w:ascii="宋体" w:hAnsi="宋体"/>
                              <w:sz w:val="28"/>
                            </w:rPr>
                            <w:t xml:space="preserve">—</w:t>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6.0pt;height:18.1pt;mso-wrap-distance-left:9.0pt;mso-wrap-distance-top:0.0pt;mso-wrap-distance-right:9.0pt;mso-wrap-distance-bottom:0.0pt;v-text-anchor:top;visibility:visible;" filled="f" stroked="f">
              <v:textbox inset="0,0,0,0">
                <w:txbxContent>
                  <w:p>
                    <w:pPr>
                      <w:pStyle w:val="938"/>
                      <w:tabs>
                        <w:tab w:val="center" w:pos="4153" w:leader="none"/>
                        <w:tab w:val="right" w:pos="8306" w:leader="none"/>
                      </w:tabs>
                      <w:rPr>
                        <w:rFonts w:hint="eastAsia"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20</w:t>
                    </w:r>
                    <w:r>
                      <w:rPr>
                        <w:rFonts w:ascii="宋体" w:hAnsi="宋体"/>
                        <w:sz w:val="28"/>
                      </w:rPr>
                      <w:fldChar w:fldCharType="end"/>
                    </w:r>
                    <w:r>
                      <w:rPr>
                        <w:rFonts w:ascii="宋体" w:hAnsi="宋体"/>
                        <w:sz w:val="24"/>
                      </w:rPr>
                      <w:t xml:space="preserve">　</w:t>
                    </w:r>
                    <w:r>
                      <w:rPr>
                        <w:rFonts w:ascii="宋体" w:hAnsi="宋体"/>
                        <w:sz w:val="28"/>
                      </w:rPr>
                      <w:t xml:space="preserve">—</w:t>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rPr>
        <w:rStyle w:val="958"/>
      </w:rPr>
      <w:framePr w:wrap="around" w:vAnchor="text" w:hAnchor="margin" w:xAlign="center" w:y="1"/>
    </w:pPr>
    <w:r>
      <w:fldChar w:fldCharType="begin"/>
    </w:r>
    <w:r>
      <w:rPr>
        <w:rStyle w:val="958"/>
      </w:rPr>
      <w:instrText xml:space="preserve">PAGE  </w:instrText>
    </w:r>
    <w:r>
      <w:fldChar w:fldCharType="separate"/>
    </w:r>
    <w:r>
      <w:rPr>
        <w:rStyle w:val="958"/>
      </w:rPr>
      <w:t xml:space="preserve">1</w:t>
    </w:r>
    <w:r>
      <w:fldChar w:fldCharType="end"/>
    </w:r>
    <w:r/>
  </w:p>
  <w:p>
    <w:pPr>
      <w:pStyle w:val="93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0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pStyle w:val="101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6"/>
  </w:num>
  <w:num w:numId="3">
    <w:abstractNumId w:val="0"/>
  </w:num>
  <w:num w:numId="4">
    <w:abstractNumId w:val="1"/>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0">
    <w:name w:val="Heading 1 Char"/>
    <w:basedOn w:val="919"/>
    <w:link w:val="910"/>
    <w:uiPriority w:val="9"/>
    <w:rPr>
      <w:rFonts w:ascii="Arial" w:hAnsi="Arial" w:eastAsia="Arial" w:cs="Arial"/>
      <w:sz w:val="40"/>
      <w:szCs w:val="40"/>
    </w:rPr>
  </w:style>
  <w:style w:type="character" w:styleId="761">
    <w:name w:val="Heading 2 Char"/>
    <w:basedOn w:val="919"/>
    <w:link w:val="911"/>
    <w:uiPriority w:val="9"/>
    <w:rPr>
      <w:rFonts w:ascii="Arial" w:hAnsi="Arial" w:eastAsia="Arial" w:cs="Arial"/>
      <w:sz w:val="34"/>
    </w:rPr>
  </w:style>
  <w:style w:type="character" w:styleId="762">
    <w:name w:val="Heading 3 Char"/>
    <w:basedOn w:val="919"/>
    <w:link w:val="912"/>
    <w:uiPriority w:val="9"/>
    <w:rPr>
      <w:rFonts w:ascii="Arial" w:hAnsi="Arial" w:eastAsia="Arial" w:cs="Arial"/>
      <w:sz w:val="30"/>
      <w:szCs w:val="30"/>
    </w:rPr>
  </w:style>
  <w:style w:type="character" w:styleId="763">
    <w:name w:val="Heading 4 Char"/>
    <w:basedOn w:val="919"/>
    <w:link w:val="913"/>
    <w:uiPriority w:val="9"/>
    <w:rPr>
      <w:rFonts w:ascii="Arial" w:hAnsi="Arial" w:eastAsia="Arial" w:cs="Arial"/>
      <w:b/>
      <w:bCs/>
      <w:sz w:val="26"/>
      <w:szCs w:val="26"/>
    </w:rPr>
  </w:style>
  <w:style w:type="character" w:styleId="764">
    <w:name w:val="Heading 5 Char"/>
    <w:basedOn w:val="919"/>
    <w:link w:val="914"/>
    <w:uiPriority w:val="9"/>
    <w:rPr>
      <w:rFonts w:ascii="Arial" w:hAnsi="Arial" w:eastAsia="Arial" w:cs="Arial"/>
      <w:b/>
      <w:bCs/>
      <w:sz w:val="24"/>
      <w:szCs w:val="24"/>
    </w:rPr>
  </w:style>
  <w:style w:type="character" w:styleId="765">
    <w:name w:val="Heading 6 Char"/>
    <w:basedOn w:val="919"/>
    <w:link w:val="915"/>
    <w:uiPriority w:val="9"/>
    <w:rPr>
      <w:rFonts w:ascii="Arial" w:hAnsi="Arial" w:eastAsia="Arial" w:cs="Arial"/>
      <w:b/>
      <w:bCs/>
      <w:sz w:val="22"/>
      <w:szCs w:val="22"/>
    </w:rPr>
  </w:style>
  <w:style w:type="character" w:styleId="766">
    <w:name w:val="Heading 7 Char"/>
    <w:basedOn w:val="919"/>
    <w:link w:val="916"/>
    <w:uiPriority w:val="9"/>
    <w:rPr>
      <w:rFonts w:ascii="Arial" w:hAnsi="Arial" w:eastAsia="Arial" w:cs="Arial"/>
      <w:b/>
      <w:bCs/>
      <w:i/>
      <w:iCs/>
      <w:sz w:val="22"/>
      <w:szCs w:val="22"/>
    </w:rPr>
  </w:style>
  <w:style w:type="character" w:styleId="767">
    <w:name w:val="Heading 8 Char"/>
    <w:basedOn w:val="919"/>
    <w:link w:val="917"/>
    <w:uiPriority w:val="9"/>
    <w:rPr>
      <w:rFonts w:ascii="Arial" w:hAnsi="Arial" w:eastAsia="Arial" w:cs="Arial"/>
      <w:i/>
      <w:iCs/>
      <w:sz w:val="22"/>
      <w:szCs w:val="22"/>
    </w:rPr>
  </w:style>
  <w:style w:type="character" w:styleId="768">
    <w:name w:val="Heading 9 Char"/>
    <w:basedOn w:val="919"/>
    <w:link w:val="918"/>
    <w:uiPriority w:val="9"/>
    <w:rPr>
      <w:rFonts w:ascii="Arial" w:hAnsi="Arial" w:eastAsia="Arial" w:cs="Arial"/>
      <w:i/>
      <w:iCs/>
      <w:sz w:val="21"/>
      <w:szCs w:val="21"/>
    </w:rPr>
  </w:style>
  <w:style w:type="character" w:styleId="769">
    <w:name w:val="Title Char"/>
    <w:basedOn w:val="919"/>
    <w:link w:val="952"/>
    <w:uiPriority w:val="10"/>
    <w:rPr>
      <w:sz w:val="48"/>
      <w:szCs w:val="48"/>
    </w:rPr>
  </w:style>
  <w:style w:type="character" w:styleId="770">
    <w:name w:val="Subtitle Char"/>
    <w:basedOn w:val="919"/>
    <w:link w:val="942"/>
    <w:uiPriority w:val="11"/>
    <w:rPr>
      <w:sz w:val="24"/>
      <w:szCs w:val="24"/>
    </w:rPr>
  </w:style>
  <w:style w:type="character" w:styleId="771">
    <w:name w:val="Quote Char"/>
    <w:link w:val="974"/>
    <w:uiPriority w:val="29"/>
    <w:rPr>
      <w:i/>
    </w:rPr>
  </w:style>
  <w:style w:type="character" w:styleId="772">
    <w:name w:val="Intense Quote Char"/>
    <w:link w:val="978"/>
    <w:uiPriority w:val="30"/>
    <w:rPr>
      <w:i/>
    </w:rPr>
  </w:style>
  <w:style w:type="character" w:styleId="773">
    <w:name w:val="Header Char"/>
    <w:basedOn w:val="919"/>
    <w:link w:val="939"/>
    <w:uiPriority w:val="99"/>
  </w:style>
  <w:style w:type="character" w:styleId="774">
    <w:name w:val="Footer Char"/>
    <w:basedOn w:val="919"/>
    <w:link w:val="938"/>
    <w:uiPriority w:val="99"/>
  </w:style>
  <w:style w:type="paragraph" w:styleId="775">
    <w:name w:val="Caption"/>
    <w:basedOn w:val="909"/>
    <w:next w:val="909"/>
    <w:uiPriority w:val="35"/>
    <w:semiHidden/>
    <w:unhideWhenUsed/>
    <w:qFormat/>
    <w:pPr>
      <w:spacing w:line="276" w:lineRule="auto"/>
    </w:pPr>
    <w:rPr>
      <w:b/>
      <w:bCs/>
      <w:color w:val="4f81bd" w:themeColor="accent1"/>
      <w:sz w:val="18"/>
      <w:szCs w:val="18"/>
    </w:rPr>
  </w:style>
  <w:style w:type="character" w:styleId="776">
    <w:name w:val="Caption Char"/>
    <w:basedOn w:val="775"/>
    <w:link w:val="938"/>
    <w:uiPriority w:val="99"/>
  </w:style>
  <w:style w:type="table" w:styleId="777">
    <w:name w:val="Table Grid Light"/>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8">
    <w:name w:val="Plain Table 1"/>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basedOn w:val="9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basedOn w:val="9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1 Light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5">
    <w:name w:val="Grid Table 1 Light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6">
    <w:name w:val="Grid Table 1 Light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7">
    <w:name w:val="Grid Table 1 Light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8">
    <w:name w:val="Grid Table 1 Light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9">
    <w:name w:val="Grid Table 1 Light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0">
    <w:name w:val="Grid Table 2"/>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2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2">
    <w:name w:val="Grid Table 2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2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2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2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6">
    <w:name w:val="Grid Table 2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7">
    <w:name w:val="Grid Table 3"/>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basedOn w:val="9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4 - Accent 1"/>
    <w:basedOn w:val="9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c2e6f5" w:themeFill="accent1" w:themeFillTint="32"/>
      </w:tcPr>
    </w:tblStylePr>
    <w:tblStylePr w:type="band1Vert">
      <w:rPr>
        <w:rFonts w:ascii="Arial" w:hAnsi="Arial"/>
        <w:color w:val="404040"/>
        <w:sz w:val="22"/>
      </w:rPr>
      <w:tcPr>
        <w:shd w:val="clear" w:color="ffffff" w:themeColor="accent1" w:themeTint="32" w:fill="c2e6f5"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19749a"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6">
    <w:name w:val="Grid Table 4 - Accent 2"/>
    <w:basedOn w:val="9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7">
    <w:name w:val="Grid Table 4 - Accent 3"/>
    <w:basedOn w:val="9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196c23"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8">
    <w:name w:val="Grid Table 4 - Accent 4"/>
    <w:basedOn w:val="9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9">
    <w:name w:val="Grid Table 4 - Accent 5"/>
    <w:basedOn w:val="9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0">
    <w:name w:val="Grid Table 4 - Accent 6"/>
    <w:basedOn w:val="9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1">
    <w:name w:val="Grid Table 5 Dark"/>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2">
    <w:name w:val="Grid Table 5 Dark- Accent 1"/>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bfe4f4" w:themeFill="accent1" w:themeFillTint="34"/>
    </w:tblPr>
    <w:tblStylePr w:type="band1Horz">
      <w:tcPr>
        <w:shd w:val="clear" w:color="ffffff" w:themeColor="accent1" w:themeTint="75" w:fill="70c4e7" w:themeFill="accent1" w:themeFillTint="75"/>
      </w:tcPr>
    </w:tblStylePr>
    <w:tblStylePr w:type="band1Vert">
      <w:tcPr>
        <w:shd w:val="clear" w:color="ffffff" w:themeColor="accent1" w:themeTint="75" w:fill="70c4e7" w:themeFill="accent1" w:themeFillTint="75"/>
      </w:tcPr>
    </w:tblStylePr>
    <w:tblStylePr w:type="firstCol">
      <w:rPr>
        <w:rFonts w:ascii="Arial" w:hAnsi="Arial"/>
        <w:b/>
        <w:color w:val="ffffff"/>
        <w:sz w:val="22"/>
      </w:rPr>
      <w:tcPr>
        <w:shd w:val="clear" w:color="ffffff" w:themeColor="accent1" w:fill="156082" w:themeFill="accent1"/>
      </w:tcPr>
    </w:tblStylePr>
    <w:tblStylePr w:type="firstRow">
      <w:rPr>
        <w:rFonts w:ascii="Arial" w:hAnsi="Arial"/>
        <w:b/>
        <w:color w:val="ffffff"/>
        <w:sz w:val="22"/>
      </w:rPr>
      <w:tcPr>
        <w:shd w:val="clear" w:color="ffffff" w:themeColor="accent1" w:fill="156082" w:themeFill="accent1"/>
      </w:tcPr>
    </w:tblStylePr>
    <w:tblStylePr w:type="lastCol">
      <w:rPr>
        <w:rFonts w:ascii="Arial" w:hAnsi="Arial"/>
        <w:b/>
        <w:color w:val="ffffff"/>
        <w:sz w:val="22"/>
      </w:rPr>
      <w:tcPr>
        <w:shd w:val="clear" w:color="ffffff" w:themeColor="accent1" w:fill="156082" w:themeFill="accent1"/>
      </w:tcPr>
    </w:tblStylePr>
    <w:tblStylePr w:type="lastRow">
      <w:rPr>
        <w:rFonts w:ascii="Arial" w:hAnsi="Arial"/>
        <w:b/>
        <w:color w:val="ffffff"/>
        <w:sz w:val="22"/>
      </w:rPr>
      <w:tcPr>
        <w:shd w:val="clear" w:color="ffffff" w:themeColor="accent1" w:fill="156082" w:themeFill="accent1"/>
        <w:tcBorders>
          <w:top w:val="single" w:color="000000" w:themeColor="light1" w:sz="4" w:space="0"/>
        </w:tcBorders>
      </w:tcPr>
    </w:tblStylePr>
  </w:style>
  <w:style w:type="table" w:styleId="813">
    <w:name w:val="Grid Table 5 Dark - Accent 2"/>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e2d7" w:themeFill="accent2" w:themeFillTint="32"/>
    </w:tblPr>
    <w:tblStylePr w:type="band1Horz">
      <w:tcPr>
        <w:shd w:val="clear" w:color="ffffff" w:themeColor="accent2" w:themeTint="75" w:fill="f4bca1" w:themeFill="accent2" w:themeFillTint="75"/>
      </w:tcPr>
    </w:tblStylePr>
    <w:tblStylePr w:type="band1Vert">
      <w:tcPr>
        <w:shd w:val="clear" w:color="ffffff" w:themeColor="accent2" w:themeTint="75" w:fill="f4bca1" w:themeFill="accent2" w:themeFillTint="75"/>
      </w:tcPr>
    </w:tblStylePr>
    <w:tblStylePr w:type="firstCol">
      <w:rPr>
        <w:rFonts w:ascii="Arial" w:hAnsi="Arial"/>
        <w:b/>
        <w:color w:val="ffffff"/>
        <w:sz w:val="22"/>
      </w:rPr>
      <w:tcPr>
        <w:shd w:val="clear" w:color="ffffff" w:themeColor="accent2" w:fill="e97132" w:themeFill="accent2"/>
      </w:tcPr>
    </w:tblStylePr>
    <w:tblStylePr w:type="firstRow">
      <w:rPr>
        <w:rFonts w:ascii="Arial" w:hAnsi="Arial"/>
        <w:b/>
        <w:color w:val="ffffff"/>
        <w:sz w:val="22"/>
      </w:rPr>
      <w:tcPr>
        <w:shd w:val="clear" w:color="ffffff" w:themeColor="accent2" w:fill="e97132" w:themeFill="accent2"/>
      </w:tcPr>
    </w:tblStylePr>
    <w:tblStylePr w:type="lastCol">
      <w:rPr>
        <w:rFonts w:ascii="Arial" w:hAnsi="Arial"/>
        <w:b/>
        <w:color w:val="ffffff"/>
        <w:sz w:val="22"/>
      </w:rPr>
      <w:tcPr>
        <w:shd w:val="clear" w:color="ffffff" w:themeColor="accent2" w:fill="e97132" w:themeFill="accent2"/>
      </w:tcPr>
    </w:tblStylePr>
    <w:tblStylePr w:type="lastRow">
      <w:rPr>
        <w:rFonts w:ascii="Arial" w:hAnsi="Arial"/>
        <w:b/>
        <w:color w:val="ffffff"/>
        <w:sz w:val="22"/>
      </w:rPr>
      <w:tcPr>
        <w:shd w:val="clear" w:color="ffffff" w:themeColor="accent2" w:fill="e97132" w:themeFill="accent2"/>
        <w:tcBorders>
          <w:top w:val="single" w:color="000000" w:themeColor="light1" w:sz="4" w:space="0"/>
        </w:tcBorders>
      </w:tcPr>
    </w:tblStylePr>
  </w:style>
  <w:style w:type="table" w:styleId="814">
    <w:name w:val="Grid Table 5 Dark - Accent 3"/>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bff0c5" w:themeFill="accent3" w:themeFillTint="34"/>
    </w:tblPr>
    <w:tblStylePr w:type="band1Horz">
      <w:tcPr>
        <w:shd w:val="clear" w:color="ffffff" w:themeColor="accent3" w:themeTint="75" w:fill="72dd7e" w:themeFill="accent3" w:themeFillTint="75"/>
      </w:tcPr>
    </w:tblStylePr>
    <w:tblStylePr w:type="band1Vert">
      <w:tcPr>
        <w:shd w:val="clear" w:color="ffffff" w:themeColor="accent3" w:themeTint="75" w:fill="72dd7e" w:themeFill="accent3" w:themeFillTint="75"/>
      </w:tcPr>
    </w:tblStylePr>
    <w:tblStylePr w:type="firstCol">
      <w:rPr>
        <w:rFonts w:ascii="Arial" w:hAnsi="Arial"/>
        <w:b/>
        <w:color w:val="ffffff"/>
        <w:sz w:val="22"/>
      </w:rPr>
      <w:tcPr>
        <w:shd w:val="clear" w:color="ffffff" w:themeColor="accent3" w:fill="196b24" w:themeFill="accent3"/>
      </w:tcPr>
    </w:tblStylePr>
    <w:tblStylePr w:type="firstRow">
      <w:rPr>
        <w:rFonts w:ascii="Arial" w:hAnsi="Arial"/>
        <w:b/>
        <w:color w:val="ffffff"/>
        <w:sz w:val="22"/>
      </w:rPr>
      <w:tcPr>
        <w:shd w:val="clear" w:color="ffffff" w:themeColor="accent3" w:fill="196b24" w:themeFill="accent3"/>
      </w:tcPr>
    </w:tblStylePr>
    <w:tblStylePr w:type="lastCol">
      <w:rPr>
        <w:rFonts w:ascii="Arial" w:hAnsi="Arial"/>
        <w:b/>
        <w:color w:val="ffffff"/>
        <w:sz w:val="22"/>
      </w:rPr>
      <w:tcPr>
        <w:shd w:val="clear" w:color="ffffff" w:themeColor="accent3" w:fill="196b24" w:themeFill="accent3"/>
      </w:tcPr>
    </w:tblStylePr>
    <w:tblStylePr w:type="lastRow">
      <w:rPr>
        <w:rFonts w:ascii="Arial" w:hAnsi="Arial"/>
        <w:b/>
        <w:color w:val="ffffff"/>
        <w:sz w:val="22"/>
      </w:rPr>
      <w:tcPr>
        <w:shd w:val="clear" w:color="ffffff" w:themeColor="accent3" w:fill="196b24" w:themeFill="accent3"/>
        <w:tcBorders>
          <w:top w:val="single" w:color="000000" w:themeColor="light1" w:sz="4" w:space="0"/>
        </w:tcBorders>
      </w:tcPr>
    </w:tblStylePr>
  </w:style>
  <w:style w:type="table" w:styleId="815">
    <w:name w:val="Grid Table 5 Dark- Accent 4"/>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8edfb" w:themeFill="accent4" w:themeFillTint="34"/>
    </w:tblPr>
    <w:tblStylePr w:type="band1Horz">
      <w:tcPr>
        <w:shd w:val="clear" w:color="ffffff" w:themeColor="accent4" w:themeTint="75" w:fill="85d7f6" w:themeFill="accent4" w:themeFillTint="75"/>
      </w:tcPr>
    </w:tblStylePr>
    <w:tblStylePr w:type="band1Vert">
      <w:tcPr>
        <w:shd w:val="clear" w:color="ffffff" w:themeColor="accent4" w:themeTint="75" w:fill="85d7f6" w:themeFill="accent4" w:themeFillTint="75"/>
      </w:tcPr>
    </w:tblStylePr>
    <w:tblStylePr w:type="firstCol">
      <w:rPr>
        <w:rFonts w:ascii="Arial" w:hAnsi="Arial"/>
        <w:b/>
        <w:color w:val="ffffff"/>
        <w:sz w:val="22"/>
      </w:rPr>
      <w:tcPr>
        <w:shd w:val="clear" w:color="ffffff" w:themeColor="accent4" w:fill="0f9ed5" w:themeFill="accent4"/>
      </w:tcPr>
    </w:tblStylePr>
    <w:tblStylePr w:type="firstRow">
      <w:rPr>
        <w:rFonts w:ascii="Arial" w:hAnsi="Arial"/>
        <w:b/>
        <w:color w:val="ffffff"/>
        <w:sz w:val="22"/>
      </w:rPr>
      <w:tcPr>
        <w:shd w:val="clear" w:color="ffffff" w:themeColor="accent4" w:fill="0f9ed5" w:themeFill="accent4"/>
      </w:tcPr>
    </w:tblStylePr>
    <w:tblStylePr w:type="lastCol">
      <w:rPr>
        <w:rFonts w:ascii="Arial" w:hAnsi="Arial"/>
        <w:b/>
        <w:color w:val="ffffff"/>
        <w:sz w:val="22"/>
      </w:rPr>
      <w:tcPr>
        <w:shd w:val="clear" w:color="ffffff" w:themeColor="accent4" w:fill="0f9ed5" w:themeFill="accent4"/>
      </w:tcPr>
    </w:tblStylePr>
    <w:tblStylePr w:type="lastRow">
      <w:rPr>
        <w:rFonts w:ascii="Arial" w:hAnsi="Arial"/>
        <w:b/>
        <w:color w:val="ffffff"/>
        <w:sz w:val="22"/>
      </w:rPr>
      <w:tcPr>
        <w:shd w:val="clear" w:color="ffffff" w:themeColor="accent4" w:fill="0f9ed5" w:themeFill="accent4"/>
        <w:tcBorders>
          <w:top w:val="single" w:color="000000" w:themeColor="light1" w:sz="4" w:space="0"/>
        </w:tcBorders>
      </w:tcPr>
    </w:tblStylePr>
  </w:style>
  <w:style w:type="table" w:styleId="816">
    <w:name w:val="Grid Table 5 Dark - Accent 5"/>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1ceed" w:themeFill="accent5" w:themeFillTint="34"/>
    </w:tblPr>
    <w:tblStylePr w:type="band1Horz">
      <w:tcPr>
        <w:shd w:val="clear" w:color="ffffff" w:themeColor="accent5" w:themeTint="75" w:fill="e08fd8" w:themeFill="accent5" w:themeFillTint="75"/>
      </w:tcPr>
    </w:tblStylePr>
    <w:tblStylePr w:type="band1Vert">
      <w:tcPr>
        <w:shd w:val="clear" w:color="ffffff" w:themeColor="accent5" w:themeTint="75" w:fill="e08fd8" w:themeFill="accent5" w:themeFillTint="75"/>
      </w:tcPr>
    </w:tblStylePr>
    <w:tblStylePr w:type="firstCol">
      <w:rPr>
        <w:rFonts w:ascii="Arial" w:hAnsi="Arial"/>
        <w:b/>
        <w:color w:val="ffffff"/>
        <w:sz w:val="22"/>
      </w:rPr>
      <w:tcPr>
        <w:shd w:val="clear" w:color="ffffff" w:themeColor="accent5" w:fill="a02b93" w:themeFill="accent5"/>
      </w:tcPr>
    </w:tblStylePr>
    <w:tblStylePr w:type="firstRow">
      <w:rPr>
        <w:rFonts w:ascii="Arial" w:hAnsi="Arial"/>
        <w:b/>
        <w:color w:val="ffffff"/>
        <w:sz w:val="22"/>
      </w:rPr>
      <w:tcPr>
        <w:shd w:val="clear" w:color="ffffff" w:themeColor="accent5" w:fill="a02b93" w:themeFill="accent5"/>
      </w:tcPr>
    </w:tblStylePr>
    <w:tblStylePr w:type="lastCol">
      <w:rPr>
        <w:rFonts w:ascii="Arial" w:hAnsi="Arial"/>
        <w:b/>
        <w:color w:val="ffffff"/>
        <w:sz w:val="22"/>
      </w:rPr>
      <w:tcPr>
        <w:shd w:val="clear" w:color="ffffff" w:themeColor="accent5" w:fill="a02b93" w:themeFill="accent5"/>
      </w:tcPr>
    </w:tblStylePr>
    <w:tblStylePr w:type="lastRow">
      <w:rPr>
        <w:rFonts w:ascii="Arial" w:hAnsi="Arial"/>
        <w:b/>
        <w:color w:val="ffffff"/>
        <w:sz w:val="22"/>
      </w:rPr>
      <w:tcPr>
        <w:shd w:val="clear" w:color="ffffff" w:themeColor="accent5" w:fill="a02b93" w:themeFill="accent5"/>
        <w:tcBorders>
          <w:top w:val="single" w:color="000000" w:themeColor="light1" w:sz="4" w:space="0"/>
        </w:tcBorders>
      </w:tcPr>
    </w:tblStylePr>
  </w:style>
  <w:style w:type="table" w:styleId="817">
    <w:name w:val="Grid Table 5 Dark - Accent 6"/>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1d0" w:themeFill="accent6" w:themeFillTint="34"/>
    </w:tblPr>
    <w:tblStylePr w:type="band1Horz">
      <w:tcPr>
        <w:shd w:val="clear" w:color="ffffff" w:themeColor="accent6" w:themeTint="75" w:fill="aae194" w:themeFill="accent6" w:themeFillTint="75"/>
      </w:tcPr>
    </w:tblStylePr>
    <w:tblStylePr w:type="band1Vert">
      <w:tcPr>
        <w:shd w:val="clear" w:color="ffffff" w:themeColor="accent6" w:themeTint="75" w:fill="aae194" w:themeFill="accent6" w:themeFillTint="75"/>
      </w:tcPr>
    </w:tblStylePr>
    <w:tblStylePr w:type="firstCol">
      <w:rPr>
        <w:rFonts w:ascii="Arial" w:hAnsi="Arial"/>
        <w:b/>
        <w:color w:val="ffffff"/>
        <w:sz w:val="22"/>
      </w:rPr>
      <w:tcPr>
        <w:shd w:val="clear" w:color="ffffff" w:themeColor="accent6" w:fill="4ea72e" w:themeFill="accent6"/>
      </w:tcPr>
    </w:tblStylePr>
    <w:tblStylePr w:type="firstRow">
      <w:rPr>
        <w:rFonts w:ascii="Arial" w:hAnsi="Arial"/>
        <w:b/>
        <w:color w:val="ffffff"/>
        <w:sz w:val="22"/>
      </w:rPr>
      <w:tcPr>
        <w:shd w:val="clear" w:color="ffffff" w:themeColor="accent6" w:fill="4ea72e" w:themeFill="accent6"/>
      </w:tcPr>
    </w:tblStylePr>
    <w:tblStylePr w:type="lastCol">
      <w:rPr>
        <w:rFonts w:ascii="Arial" w:hAnsi="Arial"/>
        <w:b/>
        <w:color w:val="ffffff"/>
        <w:sz w:val="22"/>
      </w:rPr>
      <w:tcPr>
        <w:shd w:val="clear" w:color="ffffff" w:themeColor="accent6" w:fill="4ea72e" w:themeFill="accent6"/>
      </w:tcPr>
    </w:tblStylePr>
    <w:tblStylePr w:type="lastRow">
      <w:rPr>
        <w:rFonts w:ascii="Arial" w:hAnsi="Arial"/>
        <w:b/>
        <w:color w:val="ffffff"/>
        <w:sz w:val="22"/>
      </w:rPr>
      <w:tcPr>
        <w:shd w:val="clear" w:color="ffffff" w:themeColor="accent6" w:fill="4ea72e" w:themeFill="accent6"/>
        <w:tcBorders>
          <w:top w:val="single" w:color="000000" w:themeColor="light1" w:sz="4" w:space="0"/>
        </w:tcBorders>
      </w:tcPr>
    </w:tblStylePr>
  </w:style>
  <w:style w:type="table" w:styleId="818">
    <w:name w:val="Grid Table 6 Colorful"/>
    <w:basedOn w:val="9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6 Colorful - Accent 1"/>
    <w:basedOn w:val="9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404040" w:themeColor="accent1" w:themeTint="80" w:themeShade="95"/>
        <w:sz w:val="22"/>
      </w:rPr>
    </w:tblStylePr>
    <w:tblStylePr w:type="firstCol">
      <w:rPr>
        <w:b/>
        <w:color w:val="1b7ca4" w:themeColor="accent1" w:themeTint="80" w:themeShade="95"/>
      </w:rPr>
    </w:tblStylePr>
    <w:tblStylePr w:type="firstRow">
      <w:rPr>
        <w:b/>
        <w:color w:val="1b7ca4" w:themeColor="accent1" w:themeTint="80" w:themeShade="95"/>
      </w:rPr>
      <w:tcPr>
        <w:tcBorders>
          <w:bottom w:val="single" w:color="000000" w:themeColor="accent1" w:themeTint="80" w:sz="12" w:space="0"/>
        </w:tcBorders>
      </w:tcPr>
    </w:tblStylePr>
    <w:tblStylePr w:type="lastCol">
      <w:rPr>
        <w:b/>
        <w:color w:val="1b7ca4" w:themeColor="accent1" w:themeTint="80" w:themeShade="95"/>
      </w:rPr>
    </w:tblStylePr>
    <w:tblStylePr w:type="lastRow">
      <w:rPr>
        <w:b/>
        <w:color w:val="1b7ca4" w:themeColor="accent1" w:themeTint="80" w:themeShade="95"/>
      </w:rPr>
    </w:tblStylePr>
    <w:tblStylePr w:type="wholeTable">
      <w:rPr>
        <w:rFonts w:ascii="Arial" w:hAnsi="Arial"/>
        <w:color w:val="404040" w:themeColor="accent1" w:themeTint="80" w:themeShade="95"/>
        <w:sz w:val="22"/>
      </w:rPr>
    </w:tblStylePr>
  </w:style>
  <w:style w:type="table" w:styleId="820">
    <w:name w:val="Grid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12" w:space="0"/>
        </w:tcBorders>
      </w:tcPr>
    </w:tblStylePr>
    <w:tblStylePr w:type="lastCol">
      <w:rPr>
        <w:b/>
        <w:color w:val="c34f16" w:themeColor="accent2" w:themeTint="97" w:themeShade="95"/>
      </w:rPr>
    </w:tblStylePr>
    <w:tblStylePr w:type="lastRow">
      <w:rPr>
        <w:b/>
        <w:color w:val="c34f16" w:themeColor="accent2" w:themeTint="97" w:themeShade="95"/>
      </w:rPr>
    </w:tblStylePr>
    <w:tblStylePr w:type="wholeTable">
      <w:rPr>
        <w:rFonts w:ascii="Arial" w:hAnsi="Arial"/>
        <w:color w:val="404040" w:themeColor="accent2" w:themeTint="97" w:themeShade="95"/>
        <w:sz w:val="22"/>
      </w:rPr>
    </w:tblStylePr>
  </w:style>
  <w:style w:type="table" w:styleId="821">
    <w:name w:val="Grid Table 6 Colorful - Accent 3"/>
    <w:basedOn w:val="9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404040" w:themeColor="accent3" w:themeTint="FE" w:themeShade="95"/>
        <w:sz w:val="22"/>
      </w:rPr>
    </w:tblStylePr>
    <w:tblStylePr w:type="firstCol">
      <w:rPr>
        <w:b/>
        <w:color w:val="0e3f14" w:themeColor="accent3" w:themeTint="FE" w:themeShade="95"/>
      </w:rPr>
    </w:tblStylePr>
    <w:tblStylePr w:type="firstRow">
      <w:rPr>
        <w:b/>
        <w:color w:val="0e3f14" w:themeColor="accent3" w:themeTint="FE" w:themeShade="95"/>
      </w:rPr>
      <w:tcPr>
        <w:tcBorders>
          <w:bottom w:val="single" w:color="000000" w:themeColor="accent3" w:themeTint="FE" w:sz="12" w:space="0"/>
        </w:tcBorders>
      </w:tcPr>
    </w:tblStylePr>
    <w:tblStylePr w:type="lastCol">
      <w:rPr>
        <w:b/>
        <w:color w:val="0e3f14" w:themeColor="accent3" w:themeTint="FE" w:themeShade="95"/>
      </w:rPr>
    </w:tblStylePr>
    <w:tblStylePr w:type="lastRow">
      <w:rPr>
        <w:b/>
        <w:color w:val="0e3f14" w:themeColor="accent3" w:themeTint="FE" w:themeShade="95"/>
      </w:rPr>
    </w:tblStylePr>
    <w:tblStylePr w:type="wholeTable">
      <w:rPr>
        <w:rFonts w:ascii="Arial" w:hAnsi="Arial"/>
        <w:color w:val="404040" w:themeColor="accent3" w:themeTint="FE" w:themeShade="95"/>
        <w:sz w:val="22"/>
      </w:rPr>
    </w:tblStylePr>
  </w:style>
  <w:style w:type="table" w:styleId="822">
    <w:name w:val="Grid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12" w:space="0"/>
        </w:tcBorders>
      </w:tcPr>
    </w:tblStylePr>
    <w:tblStylePr w:type="lastCol">
      <w:rPr>
        <w:b/>
        <w:color w:val="0d8ab8" w:themeColor="accent4" w:themeTint="9A" w:themeShade="95"/>
      </w:rPr>
    </w:tblStylePr>
    <w:tblStylePr w:type="lastRow">
      <w:rPr>
        <w:b/>
        <w:color w:val="0d8ab8" w:themeColor="accent4" w:themeTint="9A" w:themeShade="95"/>
      </w:rPr>
    </w:tblStylePr>
    <w:tblStylePr w:type="wholeTable">
      <w:rPr>
        <w:rFonts w:ascii="Arial" w:hAnsi="Arial"/>
        <w:color w:val="404040" w:themeColor="accent4" w:themeTint="9A" w:themeShade="95"/>
        <w:sz w:val="22"/>
      </w:rPr>
    </w:tblStylePr>
  </w:style>
  <w:style w:type="table" w:styleId="823">
    <w:name w:val="Grid Table 6 Colorful - Accent 5"/>
    <w:basedOn w:val="9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5"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824">
    <w:name w:val="Grid Table 6 Colorful - Accent 6"/>
    <w:basedOn w:val="9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6"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825">
    <w:name w:val="Grid Table 7 Colorful"/>
    <w:basedOn w:val="9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Grid Table 7 Colorful - Accent 1"/>
    <w:basedOn w:val="9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1b7ca4"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1b7ca4" w:themeColor="accent1" w:themeTint="80" w:themeShade="95"/>
        <w:sz w:val="22"/>
      </w:rPr>
    </w:tblStylePr>
    <w:tblStylePr w:type="firstCol">
      <w:rPr>
        <w:rFonts w:ascii="Arial" w:hAnsi="Arial"/>
        <w:i/>
        <w:color w:val="1b7ca4"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1b7ca4"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1b7ca4"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1b7ca4"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7">
    <w:name w:val="Grid Table 7 Colorful - Accent 2"/>
    <w:basedOn w:val="9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7 Colorful - Accent 3"/>
    <w:basedOn w:val="9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0e3f14"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0e3f14" w:themeColor="accent3" w:themeTint="FE" w:themeShade="95"/>
        <w:sz w:val="22"/>
      </w:rPr>
    </w:tblStylePr>
    <w:tblStylePr w:type="firstCol">
      <w:rPr>
        <w:rFonts w:ascii="Arial" w:hAnsi="Arial"/>
        <w:i/>
        <w:color w:val="0e3f14"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0e3f14"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0e3f14"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0e3f14"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7 Colorful - Accent 4"/>
    <w:basedOn w:val="9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7 Colorful - Accent 5"/>
    <w:basedOn w:val="9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5c1955"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5c1955" w:themeColor="accent5" w:themeShade="95"/>
        <w:sz w:val="22"/>
      </w:rPr>
    </w:tblStylePr>
    <w:tblStylePr w:type="firstCol">
      <w:rPr>
        <w:rFonts w:ascii="Arial" w:hAnsi="Arial"/>
        <w:i/>
        <w:color w:val="5c1955"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5c1955"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5c1955"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5c1955"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1">
    <w:name w:val="Grid Table 7 Colorful - Accent 6"/>
    <w:basedOn w:val="9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2e611a" w:themeColor="accent6"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2e611a" w:themeColor="accent6" w:themeShade="95"/>
        <w:sz w:val="22"/>
      </w:rPr>
    </w:tblStylePr>
    <w:tblStylePr w:type="firstCol">
      <w:rPr>
        <w:rFonts w:ascii="Arial" w:hAnsi="Arial"/>
        <w:i/>
        <w:color w:val="2e611a"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2e611a"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2e611a"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2e611a"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2">
    <w:name w:val="List Table 1 Light"/>
    <w:basedOn w:val="9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1 Light - Accent 1"/>
    <w:basedOn w:val="920"/>
    <w:uiPriority w:val="99"/>
    <w:pPr>
      <w:spacing w:after="0" w:line="240" w:lineRule="auto"/>
    </w:pPr>
    <w:tblPr>
      <w:tblStyleRowBandSize w:val="1"/>
      <w:tblStyleColBandSize w:val="1"/>
      <w:tblInd w:w="0" w:type="dxa"/>
    </w:tblPr>
    <w:tblStylePr w:type="band1Horz">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4">
    <w:name w:val="List Table 1 Light - Accent 2"/>
    <w:basedOn w:val="920"/>
    <w:uiPriority w:val="99"/>
    <w:pPr>
      <w:spacing w:after="0" w:line="240" w:lineRule="auto"/>
    </w:pPr>
    <w:tblPr>
      <w:tblStyleRowBandSize w:val="1"/>
      <w:tblStyleColBandSize w:val="1"/>
      <w:tblInd w:w="0" w:type="dxa"/>
    </w:tblPr>
    <w:tblStylePr w:type="band1Horz">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5">
    <w:name w:val="List Table 1 Light - Accent 3"/>
    <w:basedOn w:val="920"/>
    <w:uiPriority w:val="99"/>
    <w:pPr>
      <w:spacing w:after="0" w:line="240" w:lineRule="auto"/>
    </w:pPr>
    <w:tblPr>
      <w:tblStyleRowBandSize w:val="1"/>
      <w:tblStyleColBandSize w:val="1"/>
      <w:tblInd w:w="0" w:type="dxa"/>
    </w:tblPr>
    <w:tblStylePr w:type="band1Horz">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6">
    <w:name w:val="List Table 1 Light - Accent 4"/>
    <w:basedOn w:val="920"/>
    <w:uiPriority w:val="99"/>
    <w:pPr>
      <w:spacing w:after="0" w:line="240" w:lineRule="auto"/>
    </w:pPr>
    <w:tblPr>
      <w:tblStyleRowBandSize w:val="1"/>
      <w:tblStyleColBandSize w:val="1"/>
      <w:tblInd w:w="0" w:type="dxa"/>
    </w:tblPr>
    <w:tblStylePr w:type="band1Horz">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7">
    <w:name w:val="List Table 1 Light - Accent 5"/>
    <w:basedOn w:val="920"/>
    <w:uiPriority w:val="99"/>
    <w:pPr>
      <w:spacing w:after="0" w:line="240" w:lineRule="auto"/>
    </w:pPr>
    <w:tblPr>
      <w:tblStyleRowBandSize w:val="1"/>
      <w:tblStyleColBandSize w:val="1"/>
      <w:tblInd w:w="0" w:type="dxa"/>
    </w:tblPr>
    <w:tblStylePr w:type="band1Horz">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8">
    <w:name w:val="List Table 1 Light - Accent 6"/>
    <w:basedOn w:val="920"/>
    <w:uiPriority w:val="99"/>
    <w:pPr>
      <w:spacing w:after="0" w:line="240" w:lineRule="auto"/>
    </w:pPr>
    <w:tblPr>
      <w:tblStyleRowBandSize w:val="1"/>
      <w:tblStyleColBandSize w:val="1"/>
      <w:tblInd w:w="0" w:type="dxa"/>
    </w:tblPr>
    <w:tblStylePr w:type="band1Horz">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9">
    <w:name w:val="List Table 2"/>
    <w:basedOn w:val="9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2 - Accent 1"/>
    <w:basedOn w:val="9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1">
    <w:name w:val="List Table 2 - Accent 2"/>
    <w:basedOn w:val="9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2">
    <w:name w:val="List Table 2 - Accent 3"/>
    <w:basedOn w:val="9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3">
    <w:name w:val="List Table 2 - Accent 4"/>
    <w:basedOn w:val="9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4">
    <w:name w:val="List Table 2 - Accent 5"/>
    <w:basedOn w:val="9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5">
    <w:name w:val="List Table 2 - Accent 6"/>
    <w:basedOn w:val="9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6">
    <w:name w:val="List Table 3"/>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3 - Accent 1"/>
    <w:basedOn w:val="9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848">
    <w:name w:val="List Table 3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Pr>
    </w:tblStylePr>
    <w:tblStylePr w:type="lastCol">
      <w:rPr>
        <w:b/>
        <w:color w:val="404040"/>
      </w:rPr>
    </w:tblStylePr>
    <w:tblStylePr w:type="lastRow">
      <w:rPr>
        <w:b/>
        <w:color w:val="404040"/>
      </w:rPr>
    </w:tblStylePr>
  </w:style>
  <w:style w:type="table" w:styleId="849">
    <w:name w:val="List Table 3 - Accent 3"/>
    <w:basedOn w:val="9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47d458" w:themeFill="accent3" w:themeFillTint="98"/>
      </w:tcPr>
    </w:tblStylePr>
    <w:tblStylePr w:type="lastCol">
      <w:rPr>
        <w:b/>
        <w:color w:val="404040"/>
      </w:rPr>
    </w:tblStylePr>
    <w:tblStylePr w:type="lastRow">
      <w:rPr>
        <w:b/>
        <w:color w:val="404040"/>
      </w:rPr>
    </w:tblStylePr>
  </w:style>
  <w:style w:type="table" w:styleId="850">
    <w:name w:val="List Table 3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Pr>
    </w:tblStylePr>
    <w:tblStylePr w:type="lastCol">
      <w:rPr>
        <w:b/>
        <w:color w:val="404040"/>
      </w:rPr>
    </w:tblStylePr>
    <w:tblStylePr w:type="lastRow">
      <w:rPr>
        <w:b/>
        <w:color w:val="404040"/>
      </w:rPr>
    </w:tblStylePr>
  </w:style>
  <w:style w:type="table" w:styleId="851">
    <w:name w:val="List Table 3 - Accent 5"/>
    <w:basedOn w:val="9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d76ccb" w:themeFill="accent5" w:themeFillTint="9A"/>
      </w:tcPr>
    </w:tblStylePr>
    <w:tblStylePr w:type="lastCol">
      <w:rPr>
        <w:b/>
        <w:color w:val="404040"/>
      </w:rPr>
    </w:tblStylePr>
    <w:tblStylePr w:type="lastRow">
      <w:rPr>
        <w:b/>
        <w:color w:val="404040"/>
      </w:rPr>
    </w:tblStylePr>
  </w:style>
  <w:style w:type="table" w:styleId="852">
    <w:name w:val="List Table 3 - Accent 6"/>
    <w:basedOn w:val="9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90d873" w:themeFill="accent6" w:themeFillTint="98"/>
      </w:tcPr>
    </w:tblStylePr>
    <w:tblStylePr w:type="lastCol">
      <w:rPr>
        <w:b/>
        <w:color w:val="404040"/>
      </w:rPr>
    </w:tblStylePr>
    <w:tblStylePr w:type="lastRow">
      <w:rPr>
        <w:b/>
        <w:color w:val="404040"/>
      </w:rPr>
    </w:tblStylePr>
  </w:style>
  <w:style w:type="table" w:styleId="853">
    <w:name w:val="List Table 4"/>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 Accent 1"/>
    <w:basedOn w:val="9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855">
    <w:name w:val="List Table 4 - Accent 2"/>
    <w:basedOn w:val="9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97132" w:themeFill="accent2"/>
      </w:tcPr>
    </w:tblStylePr>
    <w:tblStylePr w:type="lastCol">
      <w:rPr>
        <w:b/>
        <w:color w:val="404040"/>
      </w:rPr>
    </w:tblStylePr>
    <w:tblStylePr w:type="lastRow">
      <w:rPr>
        <w:b/>
        <w:color w:val="404040"/>
      </w:rPr>
    </w:tblStylePr>
  </w:style>
  <w:style w:type="table" w:styleId="856">
    <w:name w:val="List Table 4 - Accent 3"/>
    <w:basedOn w:val="9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196b24" w:themeFill="accent3"/>
      </w:tcPr>
    </w:tblStylePr>
    <w:tblStylePr w:type="lastCol">
      <w:rPr>
        <w:b/>
        <w:color w:val="404040"/>
      </w:rPr>
    </w:tblStylePr>
    <w:tblStylePr w:type="lastRow">
      <w:rPr>
        <w:b/>
        <w:color w:val="404040"/>
      </w:rPr>
    </w:tblStylePr>
  </w:style>
  <w:style w:type="table" w:styleId="857">
    <w:name w:val="List Table 4 - Accent 4"/>
    <w:basedOn w:val="9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f9ed5" w:themeFill="accent4"/>
      </w:tcPr>
    </w:tblStylePr>
    <w:tblStylePr w:type="lastCol">
      <w:rPr>
        <w:b/>
        <w:color w:val="404040"/>
      </w:rPr>
    </w:tblStylePr>
    <w:tblStylePr w:type="lastRow">
      <w:rPr>
        <w:b/>
        <w:color w:val="404040"/>
      </w:rPr>
    </w:tblStylePr>
  </w:style>
  <w:style w:type="table" w:styleId="858">
    <w:name w:val="List Table 4 - Accent 5"/>
    <w:basedOn w:val="9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a02b93" w:themeFill="accent5"/>
      </w:tcPr>
    </w:tblStylePr>
    <w:tblStylePr w:type="lastCol">
      <w:rPr>
        <w:b/>
        <w:color w:val="404040"/>
      </w:rPr>
    </w:tblStylePr>
    <w:tblStylePr w:type="lastRow">
      <w:rPr>
        <w:b/>
        <w:color w:val="404040"/>
      </w:rPr>
    </w:tblStylePr>
  </w:style>
  <w:style w:type="table" w:styleId="859">
    <w:name w:val="List Table 4 - Accent 6"/>
    <w:basedOn w:val="9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4ea72e" w:themeFill="accent6"/>
      </w:tcPr>
    </w:tblStylePr>
    <w:tblStylePr w:type="lastCol">
      <w:rPr>
        <w:b/>
        <w:color w:val="404040"/>
      </w:rPr>
    </w:tblStylePr>
    <w:tblStylePr w:type="lastRow">
      <w:rPr>
        <w:b/>
        <w:color w:val="404040"/>
      </w:rPr>
    </w:tblStylePr>
  </w:style>
  <w:style w:type="table" w:styleId="860">
    <w:name w:val="List Table 5 Dark"/>
    <w:basedOn w:val="9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1"/>
    <w:basedOn w:val="9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blStylePr w:type="band1Horz">
      <w:tcPr>
        <w:shd w:val="clear" w:color="ffffff" w:themeColor="accent1" w:fill="156082" w:themeFill="accent1"/>
        <w:tcBorders>
          <w:top w:val="single" w:color="000000" w:themeColor="light1" w:sz="4" w:space="0"/>
          <w:bottom w:val="single" w:color="000000" w:themeColor="light1" w:sz="4" w:space="0"/>
        </w:tcBorders>
      </w:tcPr>
    </w:tblStylePr>
    <w:tblStylePr w:type="band1Vert">
      <w:tcPr>
        <w:shd w:val="clear" w:color="ffffff" w:themeColor="accent1" w:fill="156082" w:themeFill="accent1"/>
        <w:tcBorders>
          <w:left w:val="single" w:color="000000" w:themeColor="light1" w:sz="4" w:space="0"/>
          <w:right w:val="single" w:color="000000" w:themeColor="light1" w:sz="4" w:space="0"/>
        </w:tcBorders>
      </w:tcPr>
    </w:tblStylePr>
    <w:tblStylePr w:type="band2Horz">
      <w:tcPr>
        <w:shd w:val="clear" w:color="ffffff" w:themeColor="accent1" w:fill="156082"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156082"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2"/>
    <w:basedOn w:val="9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1a884" w:themeFill="accent2" w:themeFillTint="97"/>
    </w:tblPr>
    <w:tblStylePr w:type="band1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1a88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1a88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3"/>
    <w:basedOn w:val="9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7d458" w:themeFill="accent3" w:themeFillTint="98"/>
    </w:tblPr>
    <w:tblStylePr w:type="band1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47d458"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47d458"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4"/>
    <w:basedOn w:val="9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3" w:themeFill="accent4" w:themeFillTint="9A"/>
    </w:tblPr>
    <w:tblStylePr w:type="band1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60cbf3"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60cbf3"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5"/>
    <w:basedOn w:val="9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76ccb" w:themeFill="accent5" w:themeFillTint="9A"/>
    </w:tblPr>
    <w:tblStylePr w:type="band1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d76cc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d76cc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6"/>
    <w:basedOn w:val="9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90d873" w:themeFill="accent6" w:themeFillTint="98"/>
    </w:tblPr>
    <w:tblStylePr w:type="band1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90d87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90d87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basedOn w:val="9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6 Colorful - Accent 1"/>
    <w:basedOn w:val="9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404040" w:themeColor="accent1" w:themeShade="95"/>
        <w:sz w:val="22"/>
      </w:rPr>
    </w:tblStylePr>
    <w:tblStylePr w:type="firstCol">
      <w:rPr>
        <w:b/>
        <w:color w:val="0c394b" w:themeColor="accent1" w:themeShade="95"/>
      </w:rPr>
    </w:tblStylePr>
    <w:tblStylePr w:type="firstRow">
      <w:rPr>
        <w:b/>
        <w:color w:val="0c394b" w:themeColor="accent1" w:themeShade="95"/>
      </w:rPr>
      <w:tcPr>
        <w:tcBorders>
          <w:bottom w:val="single" w:color="000000" w:themeColor="accent1" w:sz="4" w:space="0"/>
        </w:tcBorders>
      </w:tcPr>
    </w:tblStylePr>
    <w:tblStylePr w:type="lastCol">
      <w:rPr>
        <w:b/>
        <w:color w:val="0c394b" w:themeColor="accent1" w:themeShade="95"/>
      </w:rPr>
    </w:tblStylePr>
    <w:tblStylePr w:type="lastRow">
      <w:rPr>
        <w:b/>
        <w:color w:val="0c394b" w:themeColor="accent1" w:themeShade="95"/>
      </w:rPr>
      <w:tcPr>
        <w:tcBorders>
          <w:top w:val="single" w:color="000000" w:themeColor="accent1" w:sz="4" w:space="0"/>
        </w:tcBorders>
      </w:tcPr>
    </w:tblStylePr>
  </w:style>
  <w:style w:type="table" w:styleId="869">
    <w:name w:val="List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4" w:space="0"/>
        </w:tcBorders>
      </w:tcPr>
    </w:tblStylePr>
    <w:tblStylePr w:type="lastCol">
      <w:rPr>
        <w:b/>
        <w:color w:val="c34f16" w:themeColor="accent2" w:themeTint="97" w:themeShade="95"/>
      </w:rPr>
    </w:tblStylePr>
    <w:tblStylePr w:type="lastRow">
      <w:rPr>
        <w:b/>
        <w:color w:val="c34f16" w:themeColor="accent2" w:themeTint="97" w:themeShade="95"/>
      </w:rPr>
      <w:tcPr>
        <w:tcBorders>
          <w:top w:val="single" w:color="000000" w:themeColor="accent2" w:themeTint="97" w:sz="4" w:space="0"/>
        </w:tcBorders>
      </w:tcPr>
    </w:tblStylePr>
  </w:style>
  <w:style w:type="table" w:styleId="870">
    <w:name w:val="List Table 6 Colorful - Accent 3"/>
    <w:basedOn w:val="9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404040" w:themeColor="accent3" w:themeTint="98" w:themeShade="95"/>
        <w:sz w:val="22"/>
      </w:rPr>
    </w:tblStylePr>
    <w:tblStylePr w:type="firstCol">
      <w:rPr>
        <w:b/>
        <w:color w:val="1f842b" w:themeColor="accent3" w:themeTint="98" w:themeShade="95"/>
      </w:rPr>
    </w:tblStylePr>
    <w:tblStylePr w:type="firstRow">
      <w:rPr>
        <w:b/>
        <w:color w:val="1f842b" w:themeColor="accent3" w:themeTint="98" w:themeShade="95"/>
      </w:rPr>
      <w:tcPr>
        <w:tcBorders>
          <w:bottom w:val="single" w:color="000000" w:themeColor="accent3" w:themeTint="98" w:sz="4" w:space="0"/>
        </w:tcBorders>
      </w:tcPr>
    </w:tblStylePr>
    <w:tblStylePr w:type="lastCol">
      <w:rPr>
        <w:b/>
        <w:color w:val="1f842b" w:themeColor="accent3" w:themeTint="98" w:themeShade="95"/>
      </w:rPr>
    </w:tblStylePr>
    <w:tblStylePr w:type="lastRow">
      <w:rPr>
        <w:b/>
        <w:color w:val="1f842b" w:themeColor="accent3" w:themeTint="98" w:themeShade="95"/>
      </w:rPr>
      <w:tcPr>
        <w:tcBorders>
          <w:top w:val="single" w:color="000000" w:themeColor="accent3" w:themeTint="98" w:sz="4" w:space="0"/>
        </w:tcBorders>
      </w:tcPr>
    </w:tblStylePr>
  </w:style>
  <w:style w:type="table" w:styleId="871">
    <w:name w:val="List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4" w:space="0"/>
        </w:tcBorders>
      </w:tcPr>
    </w:tblStylePr>
    <w:tblStylePr w:type="lastCol">
      <w:rPr>
        <w:b/>
        <w:color w:val="0d8ab8" w:themeColor="accent4" w:themeTint="9A" w:themeShade="95"/>
      </w:rPr>
    </w:tblStylePr>
    <w:tblStylePr w:type="lastRow">
      <w:rPr>
        <w:b/>
        <w:color w:val="0d8ab8" w:themeColor="accent4" w:themeTint="9A" w:themeShade="95"/>
      </w:rPr>
      <w:tcPr>
        <w:tcBorders>
          <w:top w:val="single" w:color="000000" w:themeColor="accent4" w:themeTint="9A" w:sz="4" w:space="0"/>
        </w:tcBorders>
      </w:tcPr>
    </w:tblStylePr>
  </w:style>
  <w:style w:type="table" w:styleId="872">
    <w:name w:val="List Table 6 Colorful - Accent 5"/>
    <w:basedOn w:val="9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404040" w:themeColor="accent5" w:themeTint="9A" w:themeShade="95"/>
        <w:sz w:val="22"/>
      </w:rPr>
    </w:tblStylePr>
    <w:tblStylePr w:type="firstCol">
      <w:rPr>
        <w:b/>
        <w:color w:val="932888" w:themeColor="accent5" w:themeTint="9A" w:themeShade="95"/>
      </w:rPr>
    </w:tblStylePr>
    <w:tblStylePr w:type="firstRow">
      <w:rPr>
        <w:b/>
        <w:color w:val="932888" w:themeColor="accent5" w:themeTint="9A" w:themeShade="95"/>
      </w:rPr>
      <w:tcPr>
        <w:tcBorders>
          <w:bottom w:val="single" w:color="000000" w:themeColor="accent5" w:themeTint="9A" w:sz="4" w:space="0"/>
        </w:tcBorders>
      </w:tcPr>
    </w:tblStylePr>
    <w:tblStylePr w:type="lastCol">
      <w:rPr>
        <w:b/>
        <w:color w:val="932888" w:themeColor="accent5" w:themeTint="9A" w:themeShade="95"/>
      </w:rPr>
    </w:tblStylePr>
    <w:tblStylePr w:type="lastRow">
      <w:rPr>
        <w:b/>
        <w:color w:val="932888" w:themeColor="accent5" w:themeTint="9A" w:themeShade="95"/>
      </w:rPr>
      <w:tcPr>
        <w:tcBorders>
          <w:top w:val="single" w:color="000000" w:themeColor="accent5" w:themeTint="9A" w:sz="4" w:space="0"/>
        </w:tcBorders>
      </w:tcPr>
    </w:tblStylePr>
  </w:style>
  <w:style w:type="table" w:styleId="873">
    <w:name w:val="List Table 6 Colorful - Accent 6"/>
    <w:basedOn w:val="9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04040" w:themeColor="accent6" w:themeTint="98" w:themeShade="95"/>
        <w:sz w:val="22"/>
      </w:rPr>
    </w:tblStylePr>
    <w:tblStylePr w:type="firstCol">
      <w:rPr>
        <w:b/>
        <w:color w:val="4b952a" w:themeColor="accent6" w:themeTint="98" w:themeShade="95"/>
      </w:rPr>
    </w:tblStylePr>
    <w:tblStylePr w:type="firstRow">
      <w:rPr>
        <w:b/>
        <w:color w:val="4b952a" w:themeColor="accent6" w:themeTint="98" w:themeShade="95"/>
      </w:rPr>
      <w:tcPr>
        <w:tcBorders>
          <w:bottom w:val="single" w:color="000000" w:themeColor="accent6" w:themeTint="98" w:sz="4" w:space="0"/>
        </w:tcBorders>
      </w:tcPr>
    </w:tblStylePr>
    <w:tblStylePr w:type="lastCol">
      <w:rPr>
        <w:b/>
        <w:color w:val="4b952a" w:themeColor="accent6" w:themeTint="98" w:themeShade="95"/>
      </w:rPr>
    </w:tblStylePr>
    <w:tblStylePr w:type="lastRow">
      <w:rPr>
        <w:b/>
        <w:color w:val="4b952a" w:themeColor="accent6" w:themeTint="98" w:themeShade="95"/>
      </w:rPr>
      <w:tcPr>
        <w:tcBorders>
          <w:top w:val="single" w:color="000000" w:themeColor="accent6" w:themeTint="98" w:sz="4" w:space="0"/>
        </w:tcBorders>
      </w:tcPr>
    </w:tblStylePr>
  </w:style>
  <w:style w:type="table" w:styleId="874">
    <w:name w:val="List Table 7 Colorful"/>
    <w:basedOn w:val="9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5">
    <w:name w:val="List Table 7 Colorful - Accent 1"/>
    <w:basedOn w:val="9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0c394b"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0c394b" w:themeColor="accent1" w:themeShade="95"/>
        <w:sz w:val="22"/>
      </w:rPr>
    </w:tblStylePr>
    <w:tblStylePr w:type="firstCol">
      <w:rPr>
        <w:rFonts w:ascii="Arial" w:hAnsi="Arial"/>
        <w:i/>
        <w:color w:val="0c394b"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0c394b"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0c394b"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0c394b"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0c394b" w:themeColor="accent1" w:themeShade="95"/>
        <w:sz w:val="22"/>
      </w:rPr>
    </w:tblStylePr>
  </w:style>
  <w:style w:type="table" w:styleId="876">
    <w:name w:val="List Table 7 Colorful - Accent 2"/>
    <w:basedOn w:val="9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34f16" w:themeColor="accent2" w:themeTint="97" w:themeShade="95"/>
        <w:sz w:val="22"/>
      </w:rPr>
    </w:tblStylePr>
  </w:style>
  <w:style w:type="table" w:styleId="877">
    <w:name w:val="List Table 7 Colorful - Accent 3"/>
    <w:basedOn w:val="9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1f842b"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1f842b" w:themeColor="accent3" w:themeTint="98" w:themeShade="95"/>
        <w:sz w:val="22"/>
      </w:rPr>
    </w:tblStylePr>
    <w:tblStylePr w:type="firstCol">
      <w:rPr>
        <w:rFonts w:ascii="Arial" w:hAnsi="Arial"/>
        <w:i/>
        <w:color w:val="1f842b"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1f842b"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1f842b"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1f842b"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1f842b" w:themeColor="accent3" w:themeTint="98" w:themeShade="95"/>
        <w:sz w:val="22"/>
      </w:rPr>
    </w:tblStylePr>
  </w:style>
  <w:style w:type="table" w:styleId="878">
    <w:name w:val="List Table 7 Colorful - Accent 4"/>
    <w:basedOn w:val="9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0d8ab8" w:themeColor="accent4" w:themeTint="9A" w:themeShade="95"/>
        <w:sz w:val="22"/>
      </w:rPr>
    </w:tblStylePr>
  </w:style>
  <w:style w:type="table" w:styleId="879">
    <w:name w:val="List Table 7 Colorful - Accent 5"/>
    <w:basedOn w:val="9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932888"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932888" w:themeColor="accent5" w:themeTint="9A" w:themeShade="95"/>
        <w:sz w:val="22"/>
      </w:rPr>
    </w:tblStylePr>
    <w:tblStylePr w:type="firstCol">
      <w:rPr>
        <w:rFonts w:ascii="Arial" w:hAnsi="Arial"/>
        <w:i/>
        <w:color w:val="932888"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932888"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932888"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932888"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932888" w:themeColor="accent5" w:themeTint="9A" w:themeShade="95"/>
        <w:sz w:val="22"/>
      </w:rPr>
    </w:tblStylePr>
  </w:style>
  <w:style w:type="table" w:styleId="880">
    <w:name w:val="List Table 7 Colorful - Accent 6"/>
    <w:basedOn w:val="9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4b952a"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b952a" w:themeColor="accent6" w:themeTint="98" w:themeShade="95"/>
        <w:sz w:val="22"/>
      </w:rPr>
    </w:tblStylePr>
    <w:tblStylePr w:type="firstCol">
      <w:rPr>
        <w:rFonts w:ascii="Arial" w:hAnsi="Arial"/>
        <w:i/>
        <w:color w:val="4b952a"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4b952a"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4b952a"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4b952a"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4b952a" w:themeColor="accent6" w:themeTint="98" w:themeShade="95"/>
        <w:sz w:val="22"/>
      </w:rPr>
    </w:tblStylePr>
  </w:style>
  <w:style w:type="table" w:styleId="881">
    <w:name w:val="Lined - Accent"/>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Lined - Accent 1"/>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883">
    <w:name w:val="Lined - Accent 2"/>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884">
    <w:name w:val="Lined - Accent 3"/>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885">
    <w:name w:val="Lined - Accent 4"/>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886">
    <w:name w:val="Lined - Accent 5"/>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887">
    <w:name w:val="Lined - Accent 6"/>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888">
    <w:name w:val="Bordered &amp; Lined - Accent"/>
    <w:basedOn w:val="9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Bordered &amp; Lined - Accent 1"/>
    <w:basedOn w:val="9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890">
    <w:name w:val="Bordered &amp; Lined - Accent 2"/>
    <w:basedOn w:val="9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891">
    <w:name w:val="Bordered &amp; Lined - Accent 3"/>
    <w:basedOn w:val="9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892">
    <w:name w:val="Bordered &amp; Lined - Accent 4"/>
    <w:basedOn w:val="9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893">
    <w:name w:val="Bordered &amp; Lined - Accent 5"/>
    <w:basedOn w:val="9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894">
    <w:name w:val="Bordered &amp; Lined - Accent 6"/>
    <w:basedOn w:val="9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895">
    <w:name w:val="Bordered"/>
    <w:basedOn w:val="9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6">
    <w:name w:val="Bordered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7">
    <w:name w:val="Bordered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8">
    <w:name w:val="Bordered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9">
    <w:name w:val="Bordered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0">
    <w:name w:val="Bordered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1">
    <w:name w:val="Bordered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2">
    <w:name w:val="footnote text"/>
    <w:basedOn w:val="909"/>
    <w:link w:val="903"/>
    <w:uiPriority w:val="99"/>
    <w:semiHidden/>
    <w:unhideWhenUsed/>
    <w:pPr>
      <w:spacing w:after="40" w:line="240" w:lineRule="auto"/>
    </w:pPr>
    <w:rPr>
      <w:sz w:val="18"/>
    </w:rPr>
  </w:style>
  <w:style w:type="character" w:styleId="903">
    <w:name w:val="Footnote Text Char"/>
    <w:link w:val="902"/>
    <w:uiPriority w:val="99"/>
    <w:rPr>
      <w:sz w:val="18"/>
    </w:rPr>
  </w:style>
  <w:style w:type="character" w:styleId="904">
    <w:name w:val="footnote reference"/>
    <w:basedOn w:val="919"/>
    <w:uiPriority w:val="99"/>
    <w:unhideWhenUsed/>
    <w:rPr>
      <w:vertAlign w:val="superscript"/>
    </w:rPr>
  </w:style>
  <w:style w:type="paragraph" w:styleId="905">
    <w:name w:val="endnote text"/>
    <w:basedOn w:val="909"/>
    <w:link w:val="906"/>
    <w:uiPriority w:val="99"/>
    <w:semiHidden/>
    <w:unhideWhenUsed/>
    <w:pPr>
      <w:spacing w:after="0" w:line="240" w:lineRule="auto"/>
    </w:pPr>
    <w:rPr>
      <w:sz w:val="20"/>
    </w:rPr>
  </w:style>
  <w:style w:type="character" w:styleId="906">
    <w:name w:val="Endnote Text Char"/>
    <w:link w:val="905"/>
    <w:uiPriority w:val="99"/>
    <w:rPr>
      <w:sz w:val="20"/>
    </w:rPr>
  </w:style>
  <w:style w:type="character" w:styleId="907">
    <w:name w:val="endnote reference"/>
    <w:basedOn w:val="919"/>
    <w:uiPriority w:val="99"/>
    <w:semiHidden/>
    <w:unhideWhenUsed/>
    <w:rPr>
      <w:vertAlign w:val="superscript"/>
    </w:rPr>
  </w:style>
  <w:style w:type="paragraph" w:styleId="908">
    <w:name w:val="TOC Heading"/>
    <w:uiPriority w:val="39"/>
    <w:unhideWhenUsed/>
  </w:style>
  <w:style w:type="paragraph" w:styleId="909" w:default="1">
    <w:name w:val="Normal"/>
    <w:qFormat/>
    <w:pPr>
      <w:jc w:val="both"/>
      <w:widowControl w:val="off"/>
    </w:pPr>
    <w:rPr>
      <w:rFonts w:ascii="Times New Roman" w:hAnsi="Times New Roman" w:eastAsia="宋体" w:cs="Times New Roman"/>
      <w:sz w:val="21"/>
      <w:szCs w:val="22"/>
    </w:rPr>
  </w:style>
  <w:style w:type="paragraph" w:styleId="910">
    <w:name w:val="Heading 1"/>
    <w:basedOn w:val="909"/>
    <w:next w:val="909"/>
    <w:link w:val="963"/>
    <w:qFormat/>
    <w:pPr>
      <w:keepLines/>
      <w:keepNext/>
      <w:spacing w:before="360" w:after="80"/>
      <w:outlineLvl w:val="0"/>
    </w:pPr>
    <w:rPr>
      <w:rFonts w:asciiTheme="majorHAnsi" w:hAnsiTheme="majorHAnsi" w:eastAsiaTheme="majorEastAsia" w:cstheme="majorBidi"/>
      <w:color w:val="0f4761" w:themeColor="accent1" w:themeShade="BF"/>
      <w:sz w:val="40"/>
      <w:szCs w:val="40"/>
    </w:rPr>
  </w:style>
  <w:style w:type="paragraph" w:styleId="911">
    <w:name w:val="Heading 2"/>
    <w:basedOn w:val="909"/>
    <w:next w:val="909"/>
    <w:link w:val="964"/>
    <w:unhideWhenUsed/>
    <w:qFormat/>
    <w:pPr>
      <w:keepLines/>
      <w:keepNext/>
      <w:spacing w:before="160" w:after="80"/>
      <w:outlineLvl w:val="1"/>
    </w:pPr>
    <w:rPr>
      <w:rFonts w:asciiTheme="majorHAnsi" w:hAnsiTheme="majorHAnsi" w:eastAsiaTheme="majorEastAsia" w:cstheme="majorBidi"/>
      <w:color w:val="0f4761" w:themeColor="accent1" w:themeShade="BF"/>
      <w:sz w:val="32"/>
      <w:szCs w:val="32"/>
    </w:rPr>
  </w:style>
  <w:style w:type="paragraph" w:styleId="912">
    <w:name w:val="Heading 3"/>
    <w:basedOn w:val="909"/>
    <w:next w:val="909"/>
    <w:link w:val="965"/>
    <w:unhideWhenUsed/>
    <w:qFormat/>
    <w:pPr>
      <w:keepLines/>
      <w:keepNext/>
      <w:spacing w:before="160" w:after="80"/>
      <w:outlineLvl w:val="2"/>
    </w:pPr>
    <w:rPr>
      <w:rFonts w:eastAsiaTheme="majorEastAsia" w:cstheme="majorBidi"/>
      <w:color w:val="0f4761" w:themeColor="accent1" w:themeShade="BF"/>
      <w:sz w:val="28"/>
      <w:szCs w:val="28"/>
    </w:rPr>
  </w:style>
  <w:style w:type="paragraph" w:styleId="913">
    <w:name w:val="Heading 4"/>
    <w:basedOn w:val="909"/>
    <w:next w:val="909"/>
    <w:link w:val="966"/>
    <w:unhideWhenUsed/>
    <w:qFormat/>
    <w:pPr>
      <w:keepLines/>
      <w:keepNext/>
      <w:spacing w:before="80" w:after="40"/>
      <w:outlineLvl w:val="3"/>
    </w:pPr>
    <w:rPr>
      <w:rFonts w:eastAsiaTheme="majorEastAsia" w:cstheme="majorBidi"/>
      <w:i/>
      <w:iCs/>
      <w:color w:val="0f4761" w:themeColor="accent1" w:themeShade="BF"/>
    </w:rPr>
  </w:style>
  <w:style w:type="paragraph" w:styleId="914">
    <w:name w:val="Heading 5"/>
    <w:basedOn w:val="909"/>
    <w:next w:val="909"/>
    <w:link w:val="967"/>
    <w:unhideWhenUsed/>
    <w:qFormat/>
    <w:pPr>
      <w:keepLines/>
      <w:keepNext/>
      <w:spacing w:before="80" w:after="40"/>
      <w:outlineLvl w:val="4"/>
    </w:pPr>
    <w:rPr>
      <w:rFonts w:eastAsiaTheme="majorEastAsia" w:cstheme="majorBidi"/>
      <w:color w:val="0f4761" w:themeColor="accent1" w:themeShade="BF"/>
    </w:rPr>
  </w:style>
  <w:style w:type="paragraph" w:styleId="915">
    <w:name w:val="Heading 6"/>
    <w:basedOn w:val="909"/>
    <w:next w:val="909"/>
    <w:link w:val="968"/>
    <w:unhideWhenUsed/>
    <w:qFormat/>
    <w:pPr>
      <w:keepLines/>
      <w:keepNext/>
      <w:spacing w:before="40"/>
      <w:outlineLvl w:val="5"/>
    </w:pPr>
    <w:rPr>
      <w:rFonts w:eastAsiaTheme="majorEastAsia" w:cstheme="majorBidi"/>
      <w:i/>
      <w:iCs/>
      <w:color w:val="595959" w:themeColor="text1" w:themeTint="A6"/>
    </w:rPr>
  </w:style>
  <w:style w:type="paragraph" w:styleId="916">
    <w:name w:val="Heading 7"/>
    <w:basedOn w:val="909"/>
    <w:next w:val="909"/>
    <w:link w:val="969"/>
    <w:unhideWhenUsed/>
    <w:qFormat/>
    <w:pPr>
      <w:keepLines/>
      <w:keepNext/>
      <w:spacing w:before="40"/>
      <w:outlineLvl w:val="6"/>
    </w:pPr>
    <w:rPr>
      <w:rFonts w:eastAsiaTheme="majorEastAsia" w:cstheme="majorBidi"/>
      <w:color w:val="595959" w:themeColor="text1" w:themeTint="A6"/>
    </w:rPr>
  </w:style>
  <w:style w:type="paragraph" w:styleId="917">
    <w:name w:val="Heading 8"/>
    <w:basedOn w:val="909"/>
    <w:next w:val="909"/>
    <w:link w:val="970"/>
    <w:unhideWhenUsed/>
    <w:qFormat/>
    <w:pPr>
      <w:keepLines/>
      <w:keepNext/>
      <w:outlineLvl w:val="7"/>
    </w:pPr>
    <w:rPr>
      <w:rFonts w:eastAsiaTheme="majorEastAsia" w:cstheme="majorBidi"/>
      <w:i/>
      <w:iCs/>
      <w:color w:val="262626" w:themeColor="text1" w:themeTint="D9"/>
    </w:rPr>
  </w:style>
  <w:style w:type="paragraph" w:styleId="918">
    <w:name w:val="Heading 9"/>
    <w:basedOn w:val="909"/>
    <w:next w:val="909"/>
    <w:link w:val="971"/>
    <w:unhideWhenUsed/>
    <w:qFormat/>
    <w:pPr>
      <w:keepLines/>
      <w:keepNext/>
      <w:outlineLvl w:val="8"/>
    </w:pPr>
    <w:rPr>
      <w:rFonts w:eastAsiaTheme="majorEastAsia" w:cstheme="majorBidi"/>
      <w:color w:val="262626" w:themeColor="text1" w:themeTint="D9"/>
    </w:rPr>
  </w:style>
  <w:style w:type="character" w:styleId="919" w:default="1">
    <w:name w:val="Default Paragraph Font"/>
    <w:uiPriority w:val="1"/>
    <w:semiHidden/>
    <w:unhideWhenUsed/>
  </w:style>
  <w:style w:type="table" w:styleId="920" w:default="1">
    <w:name w:val="Normal Table"/>
    <w:uiPriority w:val="99"/>
    <w:semiHidden/>
    <w:unhideWhenUsed/>
    <w:tblPr>
      <w:tblInd w:w="0" w:type="dxa"/>
      <w:tblCellMar>
        <w:left w:w="108" w:type="dxa"/>
        <w:top w:w="0" w:type="dxa"/>
        <w:right w:w="108" w:type="dxa"/>
        <w:bottom w:w="0" w:type="dxa"/>
      </w:tblCellMar>
    </w:tblPr>
  </w:style>
  <w:style w:type="numbering" w:styleId="921" w:default="1">
    <w:name w:val="No List"/>
    <w:uiPriority w:val="99"/>
    <w:semiHidden/>
    <w:unhideWhenUsed/>
  </w:style>
  <w:style w:type="paragraph" w:styleId="922">
    <w:name w:val="List 3"/>
    <w:basedOn w:val="909"/>
    <w:qFormat/>
    <w:pPr>
      <w:ind w:left="100" w:hanging="200"/>
    </w:pPr>
    <w:rPr>
      <w:szCs w:val="21"/>
    </w:rPr>
  </w:style>
  <w:style w:type="paragraph" w:styleId="923">
    <w:name w:val="toc 7"/>
    <w:basedOn w:val="909"/>
    <w:next w:val="909"/>
    <w:semiHidden/>
    <w:qFormat/>
    <w:pPr>
      <w:ind w:left="1260"/>
      <w:jc w:val="left"/>
    </w:pPr>
    <w:rPr>
      <w:szCs w:val="21"/>
    </w:rPr>
  </w:style>
  <w:style w:type="paragraph" w:styleId="924">
    <w:name w:val="Normal Indent"/>
    <w:basedOn w:val="909"/>
    <w:link w:val="983"/>
    <w:qFormat/>
    <w:pPr>
      <w:ind w:firstLine="420"/>
    </w:pPr>
    <w:rPr>
      <w:szCs w:val="21"/>
    </w:rPr>
  </w:style>
  <w:style w:type="paragraph" w:styleId="925">
    <w:name w:val="Document Map"/>
    <w:basedOn w:val="909"/>
    <w:link w:val="984"/>
    <w:semiHidden/>
    <w:qFormat/>
    <w:pPr>
      <w:shd w:val="clear" w:color="auto" w:fill="000080"/>
    </w:pPr>
    <w:rPr>
      <w:szCs w:val="21"/>
    </w:rPr>
  </w:style>
  <w:style w:type="paragraph" w:styleId="926">
    <w:name w:val="annotation text"/>
    <w:basedOn w:val="909"/>
    <w:link w:val="985"/>
    <w:unhideWhenUsed/>
    <w:qFormat/>
    <w:pPr>
      <w:jc w:val="left"/>
    </w:pPr>
  </w:style>
  <w:style w:type="paragraph" w:styleId="927">
    <w:name w:val="Body Text 3"/>
    <w:basedOn w:val="909"/>
    <w:link w:val="986"/>
    <w:qFormat/>
    <w:rPr>
      <w:rFonts w:ascii="仿宋_GB2312" w:hAnsi="Arial" w:eastAsia="仿宋_GB2312"/>
      <w:sz w:val="32"/>
      <w:szCs w:val="32"/>
    </w:rPr>
  </w:style>
  <w:style w:type="paragraph" w:styleId="928">
    <w:name w:val="Body Text"/>
    <w:basedOn w:val="909"/>
    <w:link w:val="987"/>
    <w:qFormat/>
    <w:rPr>
      <w:rFonts w:ascii="楷体_GB2312" w:hAnsi="Arial" w:eastAsia="楷体_GB2312"/>
      <w:sz w:val="28"/>
      <w:szCs w:val="28"/>
    </w:rPr>
  </w:style>
  <w:style w:type="paragraph" w:styleId="929">
    <w:name w:val="Body Text Indent"/>
    <w:basedOn w:val="909"/>
    <w:link w:val="988"/>
    <w:unhideWhenUsed/>
    <w:qFormat/>
    <w:pPr>
      <w:ind w:left="420"/>
      <w:spacing w:after="120"/>
    </w:pPr>
  </w:style>
  <w:style w:type="paragraph" w:styleId="930">
    <w:name w:val="List 2"/>
    <w:basedOn w:val="909"/>
    <w:qFormat/>
    <w:pPr>
      <w:ind w:left="100" w:hanging="200"/>
    </w:pPr>
    <w:rPr>
      <w:szCs w:val="21"/>
    </w:rPr>
  </w:style>
  <w:style w:type="paragraph" w:styleId="931">
    <w:name w:val="toc 5"/>
    <w:basedOn w:val="909"/>
    <w:next w:val="909"/>
    <w:semiHidden/>
    <w:qFormat/>
    <w:pPr>
      <w:ind w:left="840"/>
      <w:jc w:val="left"/>
    </w:pPr>
    <w:rPr>
      <w:szCs w:val="21"/>
    </w:rPr>
  </w:style>
  <w:style w:type="paragraph" w:styleId="932">
    <w:name w:val="toc 3"/>
    <w:basedOn w:val="909"/>
    <w:next w:val="909"/>
    <w:semiHidden/>
    <w:qFormat/>
    <w:pPr>
      <w:ind w:left="420"/>
      <w:jc w:val="left"/>
    </w:pPr>
    <w:rPr>
      <w:i/>
      <w:iCs/>
      <w:szCs w:val="24"/>
    </w:rPr>
  </w:style>
  <w:style w:type="paragraph" w:styleId="933">
    <w:name w:val="Plain Text"/>
    <w:basedOn w:val="909"/>
    <w:link w:val="989"/>
    <w:qFormat/>
    <w:rPr>
      <w:rFonts w:ascii="宋体" w:hAnsi="Courier New" w:cs="Courier New"/>
      <w:szCs w:val="21"/>
    </w:rPr>
  </w:style>
  <w:style w:type="paragraph" w:styleId="934">
    <w:name w:val="toc 8"/>
    <w:basedOn w:val="909"/>
    <w:next w:val="909"/>
    <w:semiHidden/>
    <w:qFormat/>
    <w:pPr>
      <w:ind w:left="1470"/>
      <w:jc w:val="left"/>
    </w:pPr>
    <w:rPr>
      <w:szCs w:val="21"/>
    </w:rPr>
  </w:style>
  <w:style w:type="paragraph" w:styleId="935">
    <w:name w:val="Date"/>
    <w:basedOn w:val="909"/>
    <w:next w:val="909"/>
    <w:link w:val="990"/>
    <w:qFormat/>
    <w:rPr>
      <w:sz w:val="24"/>
      <w:szCs w:val="24"/>
    </w:rPr>
  </w:style>
  <w:style w:type="paragraph" w:styleId="936">
    <w:name w:val="Body Text Indent 2"/>
    <w:basedOn w:val="909"/>
    <w:link w:val="991"/>
    <w:qFormat/>
    <w:pPr>
      <w:ind w:left="630" w:firstLine="645"/>
    </w:pPr>
    <w:rPr>
      <w:rFonts w:ascii="Arial" w:hAnsi="Arial" w:eastAsia="仿宋_GB2312" w:cs="Arial"/>
      <w:sz w:val="32"/>
      <w:szCs w:val="32"/>
    </w:rPr>
  </w:style>
  <w:style w:type="paragraph" w:styleId="937">
    <w:name w:val="Balloon Text"/>
    <w:basedOn w:val="909"/>
    <w:link w:val="992"/>
    <w:semiHidden/>
    <w:qFormat/>
    <w:rPr>
      <w:sz w:val="18"/>
      <w:szCs w:val="18"/>
    </w:rPr>
  </w:style>
  <w:style w:type="paragraph" w:styleId="938">
    <w:name w:val="Footer"/>
    <w:basedOn w:val="909"/>
    <w:link w:val="982"/>
    <w:uiPriority w:val="99"/>
    <w:unhideWhenUsed/>
    <w:qFormat/>
    <w:pPr>
      <w:tabs>
        <w:tab w:val="center" w:pos="4680" w:leader="none"/>
        <w:tab w:val="right" w:pos="9360" w:leader="none"/>
      </w:tabs>
    </w:pPr>
  </w:style>
  <w:style w:type="paragraph" w:styleId="939">
    <w:name w:val="Header"/>
    <w:basedOn w:val="909"/>
    <w:link w:val="981"/>
    <w:unhideWhenUsed/>
    <w:qFormat/>
    <w:pPr>
      <w:tabs>
        <w:tab w:val="center" w:pos="4680" w:leader="none"/>
        <w:tab w:val="right" w:pos="9360" w:leader="none"/>
      </w:tabs>
    </w:pPr>
  </w:style>
  <w:style w:type="paragraph" w:styleId="940">
    <w:name w:val="toc 1"/>
    <w:basedOn w:val="909"/>
    <w:next w:val="909"/>
    <w:uiPriority w:val="39"/>
    <w:qFormat/>
    <w:pPr>
      <w:jc w:val="left"/>
      <w:spacing w:before="120" w:after="120" w:line="400" w:lineRule="exact"/>
      <w:tabs>
        <w:tab w:val="right" w:pos="8720" w:leader="dot"/>
      </w:tabs>
    </w:pPr>
    <w:rPr>
      <w:rFonts w:ascii="宋体" w:hAnsi="宋体"/>
      <w:caps/>
      <w:sz w:val="24"/>
      <w:szCs w:val="24"/>
    </w:rPr>
  </w:style>
  <w:style w:type="paragraph" w:styleId="941">
    <w:name w:val="toc 4"/>
    <w:basedOn w:val="909"/>
    <w:next w:val="909"/>
    <w:semiHidden/>
    <w:qFormat/>
    <w:pPr>
      <w:ind w:left="630"/>
      <w:jc w:val="left"/>
    </w:pPr>
    <w:rPr>
      <w:szCs w:val="21"/>
    </w:rPr>
  </w:style>
  <w:style w:type="paragraph" w:styleId="942">
    <w:name w:val="Subtitle"/>
    <w:basedOn w:val="909"/>
    <w:next w:val="909"/>
    <w:link w:val="973"/>
    <w:uiPriority w:val="11"/>
    <w:qFormat/>
    <w:rPr>
      <w:rFonts w:eastAsiaTheme="majorEastAsia" w:cstheme="majorBidi"/>
      <w:color w:val="595959" w:themeColor="text1" w:themeTint="A6"/>
      <w:spacing w:val="15"/>
      <w:sz w:val="28"/>
      <w:szCs w:val="28"/>
    </w:rPr>
  </w:style>
  <w:style w:type="paragraph" w:styleId="943">
    <w:name w:val="List"/>
    <w:basedOn w:val="909"/>
    <w:qFormat/>
    <w:pPr>
      <w:ind w:left="200" w:hanging="200"/>
    </w:pPr>
    <w:rPr>
      <w:szCs w:val="21"/>
    </w:rPr>
  </w:style>
  <w:style w:type="paragraph" w:styleId="944">
    <w:name w:val="toc 6"/>
    <w:basedOn w:val="909"/>
    <w:next w:val="909"/>
    <w:semiHidden/>
    <w:qFormat/>
    <w:pPr>
      <w:ind w:left="1050"/>
      <w:jc w:val="left"/>
    </w:pPr>
    <w:rPr>
      <w:szCs w:val="21"/>
    </w:rPr>
  </w:style>
  <w:style w:type="paragraph" w:styleId="945">
    <w:name w:val="Body Text Indent 3"/>
    <w:basedOn w:val="909"/>
    <w:link w:val="993"/>
    <w:qFormat/>
    <w:pPr>
      <w:ind w:left="645" w:firstLine="645"/>
    </w:pPr>
    <w:rPr>
      <w:rFonts w:ascii="Arial" w:hAnsi="Arial" w:eastAsia="仿宋_GB2312" w:cs="Arial"/>
      <w:color w:val="ffff00"/>
      <w:sz w:val="32"/>
      <w:szCs w:val="32"/>
    </w:rPr>
  </w:style>
  <w:style w:type="paragraph" w:styleId="946">
    <w:name w:val="table of figures"/>
    <w:basedOn w:val="909"/>
    <w:next w:val="909"/>
    <w:semiHidden/>
    <w:qFormat/>
    <w:pPr>
      <w:ind w:left="840" w:hanging="420"/>
    </w:pPr>
    <w:rPr>
      <w:szCs w:val="21"/>
    </w:rPr>
  </w:style>
  <w:style w:type="paragraph" w:styleId="947">
    <w:name w:val="toc 2"/>
    <w:basedOn w:val="909"/>
    <w:next w:val="909"/>
    <w:semiHidden/>
    <w:qFormat/>
    <w:pPr>
      <w:ind w:left="210"/>
      <w:jc w:val="left"/>
    </w:pPr>
    <w:rPr>
      <w:smallCaps/>
      <w:szCs w:val="24"/>
    </w:rPr>
  </w:style>
  <w:style w:type="paragraph" w:styleId="948">
    <w:name w:val="toc 9"/>
    <w:basedOn w:val="909"/>
    <w:next w:val="909"/>
    <w:semiHidden/>
    <w:qFormat/>
    <w:pPr>
      <w:ind w:left="1680"/>
      <w:jc w:val="left"/>
    </w:pPr>
    <w:rPr>
      <w:szCs w:val="21"/>
    </w:rPr>
  </w:style>
  <w:style w:type="paragraph" w:styleId="949">
    <w:name w:val="Body Text 2"/>
    <w:basedOn w:val="909"/>
    <w:link w:val="994"/>
    <w:qFormat/>
    <w:pPr>
      <w:jc w:val="center"/>
      <w:widowControl/>
    </w:pPr>
    <w:rPr>
      <w:rFonts w:ascii="楷体_GB2312" w:eastAsia="楷体_GB2312"/>
      <w:sz w:val="28"/>
      <w:szCs w:val="28"/>
    </w:rPr>
  </w:style>
  <w:style w:type="paragraph" w:styleId="950">
    <w:name w:val="Normal (Web)"/>
    <w:basedOn w:val="909"/>
    <w:uiPriority w:val="99"/>
    <w:qFormat/>
    <w:pPr>
      <w:jc w:val="left"/>
      <w:spacing w:before="100" w:beforeAutospacing="1" w:after="100" w:afterAutospacing="1"/>
      <w:widowControl/>
    </w:pPr>
    <w:rPr>
      <w:rFonts w:ascii="宋体" w:hAnsi="宋体" w:cs="宋体"/>
      <w:sz w:val="24"/>
      <w:szCs w:val="24"/>
    </w:rPr>
  </w:style>
  <w:style w:type="paragraph" w:styleId="951">
    <w:name w:val="index 1"/>
    <w:basedOn w:val="909"/>
    <w:next w:val="909"/>
    <w:semiHidden/>
    <w:qFormat/>
    <w:pPr>
      <w:spacing w:line="240" w:lineRule="atLeast"/>
    </w:pPr>
    <w:rPr>
      <w:b/>
      <w:bCs/>
      <w:szCs w:val="21"/>
    </w:rPr>
  </w:style>
  <w:style w:type="paragraph" w:styleId="952">
    <w:name w:val="Title"/>
    <w:basedOn w:val="909"/>
    <w:next w:val="909"/>
    <w:link w:val="972"/>
    <w:uiPriority w:val="10"/>
    <w:qFormat/>
    <w:pPr>
      <w:contextualSpacing/>
      <w:spacing w:after="80"/>
    </w:pPr>
    <w:rPr>
      <w:rFonts w:asciiTheme="majorHAnsi" w:hAnsiTheme="majorHAnsi" w:eastAsiaTheme="majorEastAsia" w:cstheme="majorBidi"/>
      <w:spacing w:val="-10"/>
      <w:sz w:val="56"/>
      <w:szCs w:val="56"/>
    </w:rPr>
  </w:style>
  <w:style w:type="paragraph" w:styleId="953">
    <w:name w:val="annotation subject"/>
    <w:basedOn w:val="926"/>
    <w:next w:val="926"/>
    <w:link w:val="995"/>
    <w:semiHidden/>
    <w:qFormat/>
    <w:rPr>
      <w:b/>
      <w:bCs/>
      <w:szCs w:val="21"/>
    </w:rPr>
  </w:style>
  <w:style w:type="paragraph" w:styleId="954">
    <w:name w:val="Body Text First Indent"/>
    <w:basedOn w:val="909"/>
    <w:link w:val="996"/>
    <w:qFormat/>
    <w:pPr>
      <w:ind w:firstLine="200"/>
      <w:spacing w:line="360" w:lineRule="auto"/>
    </w:pPr>
    <w:rPr>
      <w:rFonts w:ascii="仿宋_GB2312" w:eastAsia="仿宋_GB2312"/>
      <w:sz w:val="30"/>
      <w:szCs w:val="30"/>
    </w:rPr>
  </w:style>
  <w:style w:type="paragraph" w:styleId="955">
    <w:name w:val="Body Text First Indent 2"/>
    <w:basedOn w:val="929"/>
    <w:link w:val="997"/>
    <w:qFormat/>
    <w:pPr>
      <w:ind w:left="0" w:firstLine="420"/>
      <w:spacing w:after="0" w:line="360" w:lineRule="auto"/>
    </w:pPr>
    <w:rPr>
      <w:rFonts w:ascii="宋体" w:hAnsi="宋体"/>
      <w:szCs w:val="20"/>
    </w:rPr>
  </w:style>
  <w:style w:type="table" w:styleId="956">
    <w:name w:val="Table Grid"/>
    <w:basedOn w:val="92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7">
    <w:name w:val="Strong"/>
    <w:qFormat/>
    <w:rPr>
      <w:b/>
      <w:bCs/>
    </w:rPr>
  </w:style>
  <w:style w:type="character" w:styleId="958">
    <w:name w:val="page number"/>
    <w:qFormat/>
  </w:style>
  <w:style w:type="character" w:styleId="959">
    <w:name w:val="FollowedHyperlink"/>
    <w:qFormat/>
    <w:rPr>
      <w:color w:val="800080"/>
      <w:u w:val="single"/>
    </w:rPr>
  </w:style>
  <w:style w:type="character" w:styleId="960">
    <w:name w:val="Emphasis"/>
    <w:qFormat/>
    <w:rPr>
      <w:i/>
    </w:rPr>
  </w:style>
  <w:style w:type="character" w:styleId="961">
    <w:name w:val="Hyperlink"/>
    <w:qFormat/>
    <w:rPr>
      <w:color w:val="0000ff"/>
      <w:u w:val="single"/>
    </w:rPr>
  </w:style>
  <w:style w:type="character" w:styleId="962">
    <w:name w:val="annotation reference"/>
    <w:semiHidden/>
    <w:qFormat/>
    <w:rPr>
      <w:sz w:val="21"/>
      <w:szCs w:val="21"/>
    </w:rPr>
  </w:style>
  <w:style w:type="character" w:styleId="963" w:customStyle="1">
    <w:name w:val="标题 1 字符"/>
    <w:basedOn w:val="919"/>
    <w:link w:val="910"/>
    <w:qFormat/>
    <w:rPr>
      <w:rFonts w:asciiTheme="majorHAnsi" w:hAnsiTheme="majorHAnsi" w:eastAsiaTheme="majorEastAsia" w:cstheme="majorBidi"/>
      <w:color w:val="0f4761" w:themeColor="accent1" w:themeShade="BF"/>
      <w:sz w:val="40"/>
      <w:szCs w:val="40"/>
    </w:rPr>
  </w:style>
  <w:style w:type="character" w:styleId="964" w:customStyle="1">
    <w:name w:val="标题 2 字符"/>
    <w:basedOn w:val="919"/>
    <w:link w:val="911"/>
    <w:qFormat/>
    <w:rPr>
      <w:rFonts w:asciiTheme="majorHAnsi" w:hAnsiTheme="majorHAnsi" w:eastAsiaTheme="majorEastAsia" w:cstheme="majorBidi"/>
      <w:color w:val="0f4761" w:themeColor="accent1" w:themeShade="BF"/>
      <w:sz w:val="32"/>
      <w:szCs w:val="32"/>
    </w:rPr>
  </w:style>
  <w:style w:type="character" w:styleId="965" w:customStyle="1">
    <w:name w:val="标题 3 字符"/>
    <w:basedOn w:val="919"/>
    <w:link w:val="912"/>
    <w:qFormat/>
    <w:rPr>
      <w:rFonts w:eastAsiaTheme="majorEastAsia" w:cstheme="majorBidi"/>
      <w:color w:val="0f4761" w:themeColor="accent1" w:themeShade="BF"/>
      <w:sz w:val="28"/>
      <w:szCs w:val="28"/>
    </w:rPr>
  </w:style>
  <w:style w:type="character" w:styleId="966" w:customStyle="1">
    <w:name w:val="标题 4 字符"/>
    <w:basedOn w:val="919"/>
    <w:link w:val="913"/>
    <w:qFormat/>
    <w:rPr>
      <w:rFonts w:eastAsiaTheme="majorEastAsia" w:cstheme="majorBidi"/>
      <w:i/>
      <w:iCs/>
      <w:color w:val="0f4761" w:themeColor="accent1" w:themeShade="BF"/>
    </w:rPr>
  </w:style>
  <w:style w:type="character" w:styleId="967" w:customStyle="1">
    <w:name w:val="标题 5 字符"/>
    <w:basedOn w:val="919"/>
    <w:link w:val="914"/>
    <w:qFormat/>
    <w:rPr>
      <w:rFonts w:eastAsiaTheme="majorEastAsia" w:cstheme="majorBidi"/>
      <w:color w:val="0f4761" w:themeColor="accent1" w:themeShade="BF"/>
    </w:rPr>
  </w:style>
  <w:style w:type="character" w:styleId="968" w:customStyle="1">
    <w:name w:val="标题 6 字符"/>
    <w:basedOn w:val="919"/>
    <w:link w:val="915"/>
    <w:qFormat/>
    <w:rPr>
      <w:rFonts w:eastAsiaTheme="majorEastAsia" w:cstheme="majorBidi"/>
      <w:i/>
      <w:iCs/>
      <w:color w:val="595959" w:themeColor="text1" w:themeTint="A6"/>
    </w:rPr>
  </w:style>
  <w:style w:type="character" w:styleId="969" w:customStyle="1">
    <w:name w:val="标题 7 字符"/>
    <w:basedOn w:val="919"/>
    <w:link w:val="916"/>
    <w:qFormat/>
    <w:rPr>
      <w:rFonts w:eastAsiaTheme="majorEastAsia" w:cstheme="majorBidi"/>
      <w:color w:val="595959" w:themeColor="text1" w:themeTint="A6"/>
    </w:rPr>
  </w:style>
  <w:style w:type="character" w:styleId="970" w:customStyle="1">
    <w:name w:val="标题 8 字符"/>
    <w:basedOn w:val="919"/>
    <w:link w:val="917"/>
    <w:qFormat/>
    <w:rPr>
      <w:rFonts w:eastAsiaTheme="majorEastAsia" w:cstheme="majorBidi"/>
      <w:i/>
      <w:iCs/>
      <w:color w:val="262626" w:themeColor="text1" w:themeTint="D9"/>
    </w:rPr>
  </w:style>
  <w:style w:type="character" w:styleId="971" w:customStyle="1">
    <w:name w:val="标题 9 字符"/>
    <w:basedOn w:val="919"/>
    <w:link w:val="918"/>
    <w:qFormat/>
    <w:rPr>
      <w:rFonts w:eastAsiaTheme="majorEastAsia" w:cstheme="majorBidi"/>
      <w:color w:val="262626" w:themeColor="text1" w:themeTint="D9"/>
    </w:rPr>
  </w:style>
  <w:style w:type="character" w:styleId="972" w:customStyle="1">
    <w:name w:val="标题 字符"/>
    <w:basedOn w:val="919"/>
    <w:link w:val="952"/>
    <w:uiPriority w:val="10"/>
    <w:qFormat/>
    <w:rPr>
      <w:rFonts w:asciiTheme="majorHAnsi" w:hAnsiTheme="majorHAnsi" w:eastAsiaTheme="majorEastAsia" w:cstheme="majorBidi"/>
      <w:spacing w:val="-10"/>
      <w:sz w:val="56"/>
      <w:szCs w:val="56"/>
    </w:rPr>
  </w:style>
  <w:style w:type="character" w:styleId="973" w:customStyle="1">
    <w:name w:val="副标题 字符"/>
    <w:basedOn w:val="919"/>
    <w:link w:val="942"/>
    <w:uiPriority w:val="11"/>
    <w:qFormat/>
    <w:rPr>
      <w:rFonts w:eastAsiaTheme="majorEastAsia" w:cstheme="majorBidi"/>
      <w:color w:val="595959" w:themeColor="text1" w:themeTint="A6"/>
      <w:spacing w:val="15"/>
      <w:sz w:val="28"/>
      <w:szCs w:val="28"/>
    </w:rPr>
  </w:style>
  <w:style w:type="paragraph" w:styleId="974">
    <w:name w:val="Quote"/>
    <w:basedOn w:val="909"/>
    <w:next w:val="909"/>
    <w:link w:val="975"/>
    <w:uiPriority w:val="29"/>
    <w:qFormat/>
    <w:pPr>
      <w:jc w:val="center"/>
      <w:spacing w:before="160"/>
    </w:pPr>
    <w:rPr>
      <w:i/>
      <w:iCs/>
      <w:color w:val="404040" w:themeColor="text1" w:themeTint="BF"/>
    </w:rPr>
  </w:style>
  <w:style w:type="character" w:styleId="975" w:customStyle="1">
    <w:name w:val="引用 字符"/>
    <w:basedOn w:val="919"/>
    <w:link w:val="974"/>
    <w:uiPriority w:val="29"/>
    <w:qFormat/>
    <w:rPr>
      <w:i/>
      <w:iCs/>
      <w:color w:val="404040" w:themeColor="text1" w:themeTint="BF"/>
    </w:rPr>
  </w:style>
  <w:style w:type="paragraph" w:styleId="976">
    <w:name w:val="List Paragraph"/>
    <w:basedOn w:val="909"/>
    <w:qFormat/>
    <w:pPr>
      <w:contextualSpacing/>
      <w:ind w:left="720"/>
    </w:pPr>
  </w:style>
  <w:style w:type="character" w:styleId="977" w:customStyle="1">
    <w:name w:val="明显强调1"/>
    <w:basedOn w:val="919"/>
    <w:uiPriority w:val="21"/>
    <w:qFormat/>
    <w:rPr>
      <w:i/>
      <w:iCs/>
      <w:color w:val="0f4761" w:themeColor="accent1" w:themeShade="BF"/>
    </w:rPr>
  </w:style>
  <w:style w:type="paragraph" w:styleId="978">
    <w:name w:val="Intense Quote"/>
    <w:basedOn w:val="909"/>
    <w:next w:val="909"/>
    <w:link w:val="979"/>
    <w:uiPriority w:val="30"/>
    <w:qFormat/>
    <w:pPr>
      <w:ind w:left="864" w:right="864"/>
      <w:jc w:val="center"/>
      <w:spacing w:before="360" w:after="360"/>
      <w:pBdr>
        <w:top w:val="single" w:color="0F4761" w:themeColor="accent1" w:themeShade="BF" w:sz="4" w:space="10"/>
        <w:bottom w:val="single" w:color="0F4761" w:themeColor="accent1" w:themeShade="BF" w:sz="4" w:space="10"/>
      </w:pBdr>
    </w:pPr>
    <w:rPr>
      <w:i/>
      <w:iCs/>
      <w:color w:val="0f4761" w:themeColor="accent1" w:themeShade="BF"/>
    </w:rPr>
  </w:style>
  <w:style w:type="character" w:styleId="979" w:customStyle="1">
    <w:name w:val="明显引用 字符"/>
    <w:basedOn w:val="919"/>
    <w:link w:val="978"/>
    <w:uiPriority w:val="30"/>
    <w:qFormat/>
    <w:rPr>
      <w:i/>
      <w:iCs/>
      <w:color w:val="0f4761" w:themeColor="accent1" w:themeShade="BF"/>
    </w:rPr>
  </w:style>
  <w:style w:type="character" w:styleId="980" w:customStyle="1">
    <w:name w:val="明显参考1"/>
    <w:basedOn w:val="919"/>
    <w:uiPriority w:val="32"/>
    <w:qFormat/>
    <w:rPr>
      <w:b/>
      <w:bCs/>
      <w:smallCaps/>
      <w:color w:val="0f4761" w:themeColor="accent1" w:themeShade="BF"/>
      <w:spacing w:val="5"/>
    </w:rPr>
  </w:style>
  <w:style w:type="character" w:styleId="981" w:customStyle="1">
    <w:name w:val="页眉 字符"/>
    <w:basedOn w:val="919"/>
    <w:link w:val="939"/>
    <w:qFormat/>
  </w:style>
  <w:style w:type="character" w:styleId="982" w:customStyle="1">
    <w:name w:val="页脚 字符"/>
    <w:basedOn w:val="919"/>
    <w:link w:val="938"/>
    <w:uiPriority w:val="99"/>
    <w:qFormat/>
  </w:style>
  <w:style w:type="character" w:styleId="983" w:customStyle="1">
    <w:name w:val="正文缩进 字符"/>
    <w:link w:val="924"/>
    <w:qFormat/>
    <w:rPr>
      <w:rFonts w:ascii="Times New Roman" w:hAnsi="Times New Roman" w:eastAsia="宋体" w:cs="Times New Roman"/>
      <w:sz w:val="21"/>
      <w:szCs w:val="21"/>
      <w14:ligatures w14:val="none"/>
    </w:rPr>
  </w:style>
  <w:style w:type="character" w:styleId="984" w:customStyle="1">
    <w:name w:val="文档结构图 字符"/>
    <w:basedOn w:val="919"/>
    <w:link w:val="925"/>
    <w:semiHidden/>
    <w:qFormat/>
    <w:rPr>
      <w:rFonts w:ascii="Times New Roman" w:hAnsi="Times New Roman" w:eastAsia="宋体" w:cs="Times New Roman"/>
      <w:sz w:val="21"/>
      <w:szCs w:val="21"/>
      <w:shd w:val="clear" w:color="auto" w:fill="000080"/>
      <w14:ligatures w14:val="none"/>
    </w:rPr>
  </w:style>
  <w:style w:type="character" w:styleId="985" w:customStyle="1">
    <w:name w:val="批注文字 字符"/>
    <w:basedOn w:val="919"/>
    <w:link w:val="926"/>
    <w:qFormat/>
    <w:rPr>
      <w:rFonts w:ascii="Times New Roman" w:hAnsi="Times New Roman" w:eastAsia="宋体" w:cs="Times New Roman"/>
      <w:sz w:val="21"/>
      <w:szCs w:val="22"/>
      <w14:ligatures w14:val="none"/>
    </w:rPr>
  </w:style>
  <w:style w:type="character" w:styleId="986" w:customStyle="1">
    <w:name w:val="正文文本 3 字符"/>
    <w:basedOn w:val="919"/>
    <w:link w:val="927"/>
    <w:qFormat/>
    <w:rPr>
      <w:rFonts w:ascii="仿宋_GB2312" w:hAnsi="Arial" w:eastAsia="仿宋_GB2312" w:cs="Times New Roman"/>
      <w:sz w:val="32"/>
      <w:szCs w:val="32"/>
      <w14:ligatures w14:val="none"/>
    </w:rPr>
  </w:style>
  <w:style w:type="character" w:styleId="987" w:customStyle="1">
    <w:name w:val="正文文本 字符"/>
    <w:basedOn w:val="919"/>
    <w:link w:val="928"/>
    <w:qFormat/>
    <w:rPr>
      <w:rFonts w:ascii="楷体_GB2312" w:hAnsi="Arial" w:eastAsia="楷体_GB2312" w:cs="Times New Roman"/>
      <w:sz w:val="28"/>
      <w:szCs w:val="28"/>
      <w14:ligatures w14:val="none"/>
    </w:rPr>
  </w:style>
  <w:style w:type="character" w:styleId="988" w:customStyle="1">
    <w:name w:val="正文文本缩进 字符"/>
    <w:basedOn w:val="919"/>
    <w:link w:val="929"/>
    <w:qFormat/>
    <w:rPr>
      <w:rFonts w:ascii="Times New Roman" w:hAnsi="Times New Roman" w:eastAsia="宋体" w:cs="Times New Roman"/>
      <w:sz w:val="21"/>
      <w:szCs w:val="22"/>
      <w14:ligatures w14:val="none"/>
    </w:rPr>
  </w:style>
  <w:style w:type="character" w:styleId="989" w:customStyle="1">
    <w:name w:val="纯文本 字符"/>
    <w:basedOn w:val="919"/>
    <w:link w:val="933"/>
    <w:qFormat/>
    <w:rPr>
      <w:rFonts w:ascii="宋体" w:hAnsi="Courier New" w:eastAsia="宋体" w:cs="Courier New"/>
      <w:sz w:val="21"/>
      <w:szCs w:val="21"/>
      <w14:ligatures w14:val="none"/>
    </w:rPr>
  </w:style>
  <w:style w:type="character" w:styleId="990" w:customStyle="1">
    <w:name w:val="日期 字符"/>
    <w:basedOn w:val="919"/>
    <w:link w:val="935"/>
    <w:qFormat/>
    <w:rPr>
      <w:rFonts w:ascii="Times New Roman" w:hAnsi="Times New Roman" w:eastAsia="宋体" w:cs="Times New Roman"/>
      <w14:ligatures w14:val="none"/>
    </w:rPr>
  </w:style>
  <w:style w:type="character" w:styleId="991" w:customStyle="1">
    <w:name w:val="正文文本缩进 2 字符"/>
    <w:basedOn w:val="919"/>
    <w:link w:val="936"/>
    <w:qFormat/>
    <w:rPr>
      <w:rFonts w:ascii="Arial" w:hAnsi="Arial" w:eastAsia="仿宋_GB2312" w:cs="Arial"/>
      <w:sz w:val="32"/>
      <w:szCs w:val="32"/>
      <w14:ligatures w14:val="none"/>
    </w:rPr>
  </w:style>
  <w:style w:type="character" w:styleId="992" w:customStyle="1">
    <w:name w:val="批注框文本 字符"/>
    <w:basedOn w:val="919"/>
    <w:link w:val="937"/>
    <w:semiHidden/>
    <w:qFormat/>
    <w:rPr>
      <w:rFonts w:ascii="Times New Roman" w:hAnsi="Times New Roman" w:eastAsia="宋体" w:cs="Times New Roman"/>
      <w:sz w:val="18"/>
      <w:szCs w:val="18"/>
      <w14:ligatures w14:val="none"/>
    </w:rPr>
  </w:style>
  <w:style w:type="character" w:styleId="993" w:customStyle="1">
    <w:name w:val="正文文本缩进 3 字符"/>
    <w:basedOn w:val="919"/>
    <w:link w:val="945"/>
    <w:qFormat/>
    <w:rPr>
      <w:rFonts w:ascii="Arial" w:hAnsi="Arial" w:eastAsia="仿宋_GB2312" w:cs="Arial"/>
      <w:color w:val="ffff00"/>
      <w:sz w:val="32"/>
      <w:szCs w:val="32"/>
      <w14:ligatures w14:val="none"/>
    </w:rPr>
  </w:style>
  <w:style w:type="character" w:styleId="994" w:customStyle="1">
    <w:name w:val="正文文本 2 字符"/>
    <w:basedOn w:val="919"/>
    <w:link w:val="949"/>
    <w:qFormat/>
    <w:rPr>
      <w:rFonts w:ascii="楷体_GB2312" w:hAnsi="Times New Roman" w:eastAsia="楷体_GB2312" w:cs="Times New Roman"/>
      <w:sz w:val="28"/>
      <w:szCs w:val="28"/>
      <w14:ligatures w14:val="none"/>
    </w:rPr>
  </w:style>
  <w:style w:type="character" w:styleId="995" w:customStyle="1">
    <w:name w:val="批注主题 字符"/>
    <w:basedOn w:val="985"/>
    <w:link w:val="953"/>
    <w:semiHidden/>
    <w:qFormat/>
    <w:rPr>
      <w:rFonts w:ascii="Times New Roman" w:hAnsi="Times New Roman" w:eastAsia="宋体" w:cs="Times New Roman"/>
      <w:b/>
      <w:bCs/>
      <w:sz w:val="21"/>
      <w:szCs w:val="21"/>
      <w14:ligatures w14:val="none"/>
    </w:rPr>
  </w:style>
  <w:style w:type="character" w:styleId="996" w:customStyle="1">
    <w:name w:val="正文文本首行缩进 字符"/>
    <w:basedOn w:val="987"/>
    <w:link w:val="954"/>
    <w:qFormat/>
    <w:rPr>
      <w:rFonts w:ascii="仿宋_GB2312" w:hAnsi="Times New Roman" w:eastAsia="仿宋_GB2312" w:cs="Times New Roman"/>
      <w:sz w:val="30"/>
      <w:szCs w:val="30"/>
      <w14:ligatures w14:val="none"/>
    </w:rPr>
  </w:style>
  <w:style w:type="character" w:styleId="997" w:customStyle="1">
    <w:name w:val="正文文本首行缩进 2 字符"/>
    <w:basedOn w:val="988"/>
    <w:link w:val="955"/>
    <w:qFormat/>
    <w:rPr>
      <w:rFonts w:ascii="宋体" w:hAnsi="宋体" w:eastAsia="宋体" w:cs="Times New Roman"/>
      <w:sz w:val="21"/>
      <w:szCs w:val="20"/>
      <w14:ligatures w14:val="none"/>
    </w:rPr>
  </w:style>
  <w:style w:type="character" w:styleId="998" w:customStyle="1">
    <w:name w:val="font5 Char"/>
    <w:qFormat/>
    <w:rPr>
      <w:rFonts w:ascii="宋体" w:hAnsi="宋体" w:eastAsia="宋体"/>
      <w:sz w:val="28"/>
      <w:szCs w:val="28"/>
      <w:lang w:val="en-US" w:eastAsia="zh-CN" w:bidi="ar-SA"/>
    </w:rPr>
  </w:style>
  <w:style w:type="character" w:styleId="999" w:customStyle="1">
    <w:name w:val="二级目录 Char"/>
    <w:link w:val="1000"/>
    <w:qFormat/>
    <w:rPr>
      <w:b/>
      <w:sz w:val="30"/>
      <w:szCs w:val="28"/>
    </w:rPr>
  </w:style>
  <w:style w:type="paragraph" w:styleId="1000" w:customStyle="1">
    <w:name w:val="二级目录"/>
    <w:next w:val="909"/>
    <w:link w:val="999"/>
    <w:qFormat/>
    <w:pPr>
      <w:numPr>
        <w:numId w:val="1"/>
      </w:numPr>
      <w:tabs>
        <w:tab w:val="left" w:pos="1145" w:leader="none"/>
      </w:tabs>
      <w:outlineLvl w:val="1"/>
    </w:pPr>
    <w:rPr>
      <w:b/>
      <w:sz w:val="30"/>
      <w:szCs w:val="28"/>
      <w14:ligatures w14:val="standardContextual"/>
    </w:rPr>
  </w:style>
  <w:style w:type="character" w:styleId="1001" w:customStyle="1">
    <w:name w:val="列出段落 Char"/>
    <w:link w:val="1002"/>
    <w:qFormat/>
    <w:rPr>
      <w:rFonts w:ascii="Calibri" w:hAnsi="Calibri"/>
      <w:lang w:eastAsia="en-US" w:bidi="en-US"/>
    </w:rPr>
  </w:style>
  <w:style w:type="paragraph" w:styleId="1002" w:customStyle="1">
    <w:name w:val="列出段落1"/>
    <w:basedOn w:val="909"/>
    <w:link w:val="1001"/>
    <w:qFormat/>
    <w:pPr>
      <w:contextualSpacing/>
      <w:ind w:left="720"/>
      <w:jc w:val="left"/>
      <w:widowControl/>
    </w:pPr>
    <w:rPr>
      <w:rFonts w:ascii="Calibri" w:hAnsi="Calibri" w:eastAsiaTheme="minorEastAsia" w:cstheme="minorBidi"/>
      <w:sz w:val="24"/>
      <w:szCs w:val="24"/>
      <w:lang w:eastAsia="en-US" w:bidi="en-US"/>
      <w14:ligatures w14:val="standardContextual"/>
    </w:rPr>
  </w:style>
  <w:style w:type="paragraph" w:styleId="1003" w:customStyle="1">
    <w:name w:val="Body Text(ch)"/>
    <w:basedOn w:val="909"/>
    <w:next w:val="928"/>
    <w:qFormat/>
    <w:pPr>
      <w:spacing w:after="120"/>
    </w:pPr>
    <w:rPr>
      <w:rFonts w:ascii="宋体" w:hAnsi="Arial"/>
      <w:bCs/>
      <w:iCs/>
      <w:szCs w:val="24"/>
    </w:rPr>
  </w:style>
  <w:style w:type="paragraph" w:styleId="1004" w:customStyle="1">
    <w:name w:val="xl27"/>
    <w:basedOn w:val="90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5" w:customStyle="1">
    <w:name w:val="xl26"/>
    <w:basedOn w:val="90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06" w:customStyle="1">
    <w:name w:val="Char"/>
    <w:basedOn w:val="909"/>
    <w:qFormat/>
    <w:pPr>
      <w:ind w:firstLine="200"/>
      <w:tabs>
        <w:tab w:val="left" w:pos="360" w:leader="none"/>
      </w:tabs>
    </w:pPr>
    <w:rPr>
      <w:sz w:val="28"/>
      <w:szCs w:val="30"/>
    </w:rPr>
  </w:style>
  <w:style w:type="paragraph" w:styleId="1007" w:customStyle="1">
    <w:name w:val="Char1"/>
    <w:basedOn w:val="925"/>
    <w:qFormat/>
    <w:rPr>
      <w:rFonts w:ascii="Tahoma" w:hAnsi="Tahoma"/>
      <w:sz w:val="24"/>
      <w:szCs w:val="24"/>
    </w:rPr>
  </w:style>
  <w:style w:type="paragraph" w:styleId="1008" w:customStyle="1">
    <w:name w:val="普通正文"/>
    <w:basedOn w:val="909"/>
    <w:qFormat/>
    <w:pPr>
      <w:ind w:firstLine="480"/>
      <w:jc w:val="left"/>
      <w:spacing w:before="120" w:after="120" w:line="360" w:lineRule="auto"/>
    </w:pPr>
    <w:rPr>
      <w:rFonts w:ascii="Arial" w:hAnsi="Arial"/>
      <w:sz w:val="24"/>
      <w:szCs w:val="24"/>
    </w:rPr>
  </w:style>
  <w:style w:type="paragraph" w:styleId="1009" w:customStyle="1">
    <w:name w:val="table_lines"/>
    <w:basedOn w:val="909"/>
    <w:qFormat/>
    <w:pPr>
      <w:jc w:val="left"/>
      <w:widowControl/>
    </w:pPr>
    <w:rPr>
      <w:sz w:val="20"/>
      <w:szCs w:val="20"/>
      <w:lang w:val="de-DE" w:eastAsia="de-DE"/>
    </w:rPr>
  </w:style>
  <w:style w:type="paragraph" w:styleId="1010" w:customStyle="1">
    <w:name w:val="附录1"/>
    <w:qFormat/>
    <w:pPr>
      <w:ind w:left="907" w:hanging="907"/>
      <w:spacing w:before="240" w:line="600" w:lineRule="atLeast"/>
      <w:tabs>
        <w:tab w:val="left" w:pos="907" w:leader="none"/>
      </w:tabs>
    </w:pPr>
    <w:rPr>
      <w:rFonts w:ascii="Times New Roman" w:hAnsi="Times New Roman" w:eastAsia="宋体" w:cs="Times New Roman"/>
      <w:b/>
      <w:i/>
      <w:sz w:val="28"/>
    </w:rPr>
  </w:style>
  <w:style w:type="paragraph" w:styleId="1011" w:customStyle="1">
    <w:name w:val="font7"/>
    <w:basedOn w:val="909"/>
    <w:qFormat/>
    <w:pPr>
      <w:jc w:val="left"/>
      <w:spacing w:before="100" w:beforeAutospacing="1" w:after="100" w:afterAutospacing="1"/>
      <w:widowControl/>
    </w:pPr>
    <w:rPr>
      <w:rFonts w:hint="eastAsia" w:ascii="宋体" w:hAnsi="宋体"/>
      <w:sz w:val="18"/>
      <w:szCs w:val="18"/>
    </w:rPr>
  </w:style>
  <w:style w:type="paragraph" w:styleId="1012" w:customStyle="1">
    <w:name w:val="Char Char Char Char"/>
    <w:basedOn w:val="925"/>
    <w:qFormat/>
    <w:pPr>
      <w:spacing w:line="360" w:lineRule="auto"/>
    </w:pPr>
    <w:rPr>
      <w:rFonts w:ascii="Tahoma" w:hAnsi="Tahoma"/>
      <w:sz w:val="24"/>
      <w:szCs w:val="24"/>
    </w:rPr>
  </w:style>
  <w:style w:type="paragraph" w:styleId="1013" w:customStyle="1">
    <w:name w:val="4"/>
    <w:basedOn w:val="909"/>
    <w:next w:val="945"/>
    <w:qFormat/>
    <w:pPr>
      <w:ind w:firstLine="420"/>
      <w:spacing w:line="360" w:lineRule="auto"/>
    </w:pPr>
    <w:rPr>
      <w:color w:val="ff0000"/>
      <w:sz w:val="24"/>
      <w:szCs w:val="24"/>
    </w:rPr>
  </w:style>
  <w:style w:type="paragraph" w:styleId="1014" w:customStyle="1">
    <w:name w:val="普通 (Web)"/>
    <w:basedOn w:val="909"/>
    <w:qFormat/>
    <w:pPr>
      <w:jc w:val="left"/>
      <w:spacing w:before="100" w:beforeAutospacing="1" w:after="100" w:afterAutospacing="1"/>
      <w:widowControl/>
    </w:pPr>
    <w:rPr>
      <w:rFonts w:ascii="宋体" w:hAnsi="宋体"/>
      <w:sz w:val="24"/>
      <w:szCs w:val="24"/>
    </w:rPr>
  </w:style>
  <w:style w:type="paragraph" w:styleId="1015" w:customStyle="1">
    <w:name w:val="Char Char Char Char Char Char Char Char Char Char"/>
    <w:basedOn w:val="909"/>
    <w:qFormat/>
    <w:pPr>
      <w:spacing w:line="360" w:lineRule="auto"/>
    </w:pPr>
    <w:rPr>
      <w:sz w:val="24"/>
      <w:szCs w:val="20"/>
    </w:rPr>
  </w:style>
  <w:style w:type="paragraph" w:styleId="1016" w:customStyle="1">
    <w:name w:val="样式1"/>
    <w:basedOn w:val="909"/>
    <w:qFormat/>
    <w:pPr>
      <w:numPr>
        <w:numId w:val="2"/>
      </w:numPr>
    </w:pPr>
    <w:rPr>
      <w:rFonts w:ascii="宋体" w:hAnsi="宋体"/>
      <w:szCs w:val="21"/>
    </w:rPr>
  </w:style>
  <w:style w:type="paragraph" w:styleId="1017" w:customStyle="1">
    <w:name w:val="font6"/>
    <w:basedOn w:val="909"/>
    <w:qFormat/>
    <w:pPr>
      <w:jc w:val="left"/>
      <w:spacing w:before="100" w:beforeAutospacing="1" w:after="100" w:afterAutospacing="1"/>
      <w:widowControl/>
    </w:pPr>
    <w:rPr>
      <w:rFonts w:hint="eastAsia" w:ascii="宋体" w:hAnsi="宋体"/>
      <w:sz w:val="28"/>
      <w:szCs w:val="28"/>
      <w:u w:val="single"/>
    </w:rPr>
  </w:style>
  <w:style w:type="paragraph" w:styleId="1018" w:customStyle="1">
    <w:name w:val="xl25"/>
    <w:basedOn w:val="90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9" w:customStyle="1">
    <w:name w:val="图标"/>
    <w:basedOn w:val="909"/>
    <w:next w:val="90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0" w:customStyle="1">
    <w:name w:val="标题3"/>
    <w:basedOn w:val="909"/>
    <w:next w:val="909"/>
    <w:qFormat/>
    <w:pPr>
      <w:ind w:firstLine="624"/>
      <w:spacing w:line="590" w:lineRule="atLeast"/>
    </w:pPr>
    <w:rPr>
      <w:rFonts w:ascii="方正黑体_GBK" w:eastAsia="方正黑体_GBK"/>
      <w:sz w:val="32"/>
      <w:szCs w:val="32"/>
    </w:rPr>
  </w:style>
  <w:style w:type="paragraph" w:styleId="1021" w:customStyle="1">
    <w:name w:val="xl24"/>
    <w:basedOn w:val="90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22" w:customStyle="1">
    <w:name w:val="xl29"/>
    <w:basedOn w:val="90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23" w:customStyle="1">
    <w:name w:val="Char Char Char Char Char Char Char Char"/>
    <w:basedOn w:val="909"/>
    <w:qFormat/>
    <w:pPr>
      <w:jc w:val="left"/>
      <w:spacing w:after="160" w:line="240" w:lineRule="exact"/>
      <w:widowControl/>
    </w:pPr>
    <w:rPr>
      <w:rFonts w:ascii="Verdana" w:hAnsi="Verdana"/>
      <w:sz w:val="20"/>
      <w:szCs w:val="20"/>
      <w:lang w:eastAsia="en-US"/>
    </w:rPr>
  </w:style>
  <w:style w:type="paragraph" w:styleId="1024" w:customStyle="1">
    <w:name w:val="xl28"/>
    <w:basedOn w:val="90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25" w:customStyle="1">
    <w:name w:val="Char Char Char Char Char Char Char Char1"/>
    <w:basedOn w:val="909"/>
    <w:qFormat/>
    <w:pPr>
      <w:jc w:val="left"/>
      <w:spacing w:after="160" w:line="240" w:lineRule="exact"/>
      <w:widowControl/>
    </w:pPr>
    <w:rPr>
      <w:rFonts w:ascii="Verdana" w:hAnsi="Verdana"/>
      <w:sz w:val="20"/>
      <w:szCs w:val="20"/>
      <w:lang w:eastAsia="en-US"/>
    </w:rPr>
  </w:style>
  <w:style w:type="paragraph" w:styleId="1026" w:customStyle="1">
    <w:name w:val="xl30"/>
    <w:basedOn w:val="909"/>
    <w:qFormat/>
    <w:pPr>
      <w:jc w:val="center"/>
      <w:spacing w:before="100" w:beforeAutospacing="1" w:after="100" w:afterAutospacing="1"/>
      <w:widowControl/>
    </w:pPr>
    <w:rPr>
      <w:rFonts w:ascii="宋体" w:hAnsi="宋体"/>
      <w:b/>
      <w:bCs/>
      <w:sz w:val="36"/>
      <w:szCs w:val="36"/>
    </w:rPr>
  </w:style>
  <w:style w:type="paragraph" w:styleId="1027" w:customStyle="1">
    <w:name w:val="Char Char Char Char1"/>
    <w:basedOn w:val="925"/>
    <w:qFormat/>
    <w:pPr>
      <w:spacing w:line="360" w:lineRule="auto"/>
    </w:pPr>
    <w:rPr>
      <w:rFonts w:ascii="Tahoma" w:hAnsi="Tahoma"/>
      <w:sz w:val="24"/>
      <w:szCs w:val="24"/>
    </w:rPr>
  </w:style>
  <w:style w:type="paragraph" w:styleId="1028" w:customStyle="1">
    <w:name w:val="table_1stline"/>
    <w:basedOn w:val="909"/>
    <w:qFormat/>
    <w:pPr>
      <w:jc w:val="left"/>
      <w:spacing w:before="120"/>
      <w:widowControl/>
    </w:pPr>
    <w:rPr>
      <w:bCs/>
      <w:sz w:val="20"/>
      <w:szCs w:val="20"/>
      <w:lang w:val="de-DE" w:eastAsia="de-DE"/>
    </w:rPr>
  </w:style>
  <w:style w:type="paragraph" w:styleId="1029" w:customStyle="1">
    <w:name w:val="font5"/>
    <w:basedOn w:val="909"/>
    <w:qFormat/>
    <w:pPr>
      <w:jc w:val="left"/>
      <w:spacing w:before="100" w:beforeAutospacing="1" w:after="100" w:afterAutospacing="1"/>
      <w:widowControl/>
    </w:pPr>
    <w:rPr>
      <w:rFonts w:hint="eastAsia" w:ascii="宋体" w:hAnsi="宋体"/>
      <w:sz w:val="28"/>
      <w:szCs w:val="28"/>
    </w:rPr>
  </w:style>
  <w:style w:type="paragraph" w:styleId="1030" w:customStyle="1">
    <w:name w:val="标题1"/>
    <w:basedOn w:val="909"/>
    <w:next w:val="90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1" w:customStyle="1">
    <w:name w:val="修订1"/>
    <w:uiPriority w:val="99"/>
    <w:semiHidden/>
    <w:qFormat/>
    <w:rPr>
      <w:rFonts w:ascii="Times New Roman" w:hAnsi="Times New Roman" w:eastAsia="宋体" w:cs="Times New Roman"/>
      <w:sz w:val="21"/>
      <w:szCs w:val="21"/>
    </w:rPr>
  </w:style>
  <w:style w:type="paragraph" w:styleId="1032">
    <w:name w:val="No Spacing"/>
    <w:uiPriority w:val="99"/>
    <w:qFormat/>
    <w:pPr>
      <w:jc w:val="both"/>
      <w:widowControl w:val="off"/>
    </w:pPr>
    <w:rPr>
      <w:rFonts w:ascii="Times New Roman" w:hAnsi="Times New Roman" w:eastAsia="宋体" w:cs="Times New Roman"/>
      <w:sz w:val="21"/>
      <w:szCs w:val="21"/>
    </w:rPr>
  </w:style>
  <w:style w:type="paragraph" w:styleId="1033" w:customStyle="1">
    <w:name w:val="AONormal"/>
    <w:qFormat/>
    <w:pPr>
      <w:ind w:firstLine="440"/>
      <w:spacing w:line="400" w:lineRule="exact"/>
    </w:pPr>
    <w:rPr>
      <w:rFonts w:ascii="华文楷体" w:hAnsi="华文楷体" w:eastAsia="华文楷体" w:cs="华文楷体"/>
      <w:sz w:val="22"/>
      <w:szCs w:val="21"/>
    </w:rPr>
  </w:style>
  <w:style w:type="paragraph" w:styleId="1034" w:customStyle="1">
    <w:name w:val="修订2"/>
    <w:hidden/>
    <w:uiPriority w:val="99"/>
    <w:unhideWhenUsed/>
    <w:qFormat/>
    <w:rPr>
      <w:rFonts w:ascii="Times New Roman" w:hAnsi="Times New Roman" w:eastAsia="宋体" w:cs="Times New Roman"/>
      <w:sz w:val="21"/>
      <w:szCs w:val="22"/>
    </w:rPr>
  </w:style>
  <w:style w:type="paragraph" w:styleId="1035" w:customStyle="1">
    <w:name w:val="修订3"/>
    <w:hidden/>
    <w:uiPriority w:val="99"/>
    <w:unhideWhenUsed/>
    <w:qFormat/>
    <w:rPr>
      <w:rFonts w:ascii="Times New Roman" w:hAnsi="Times New Roman" w:eastAsia="宋体" w:cs="Times New Roman"/>
      <w:sz w:val="21"/>
      <w:szCs w:val="22"/>
    </w:rPr>
  </w:style>
  <w:style w:type="paragraph" w:styleId="1036">
    <w:name w:val="Revision"/>
    <w:hidden/>
    <w:uiPriority w:val="99"/>
    <w:unhideWhenUsed/>
    <w:rPr>
      <w:rFonts w:ascii="Times New Roman" w:hAnsi="Times New Roman" w:eastAsia="宋体" w:cs="Times New Roman"/>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Arial"/>
        <a:cs typeface="Arial"/>
      </a:majorFont>
      <a:minorFont>
        <a:latin typeface="Aptos"/>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DE83A5E-B784-4111-9BD2-3191E4DA6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Siemens Healthineers</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Qiao, Yang</dc:creator>
  <cp:lastModifiedBy>付钢</cp:lastModifiedBy>
  <cp:revision>7</cp:revision>
  <dcterms:created xsi:type="dcterms:W3CDTF">2026-09-16T08:11:00Z</dcterms:created>
  <dcterms:modified xsi:type="dcterms:W3CDTF">2026-09-18T09:52:07Z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eyJoZGlkIjoiNzc4MDY1ZThjNjY2MzU0MzU5ZDg2ZmU4MjZhOTI3YmMiLCJ1c2VySWQiOiIzMzgwMjg3MzEifQ==</vt:lpwstr>
  </property>
  <property fmtid="{D5CDD505-2E9C-101B-9397-08002B2CF9AE}" pid="3" name="KSOProductBuildVer">
    <vt:lpwstr>2052-12.1.0.28505</vt:lpwstr>
  </property>
  <property fmtid="{D5CDD505-2E9C-101B-9397-08002B2CF9AE}" pid="4" name="ICV">
    <vt:lpwstr>D3EFEA3936F347559A82E82B8A3DCD12_13</vt:lpwstr>
  </property>
</Properties>
</file>