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23"/>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rPr>
        <w:t xml:space="preserve">竞争性磋商文件</w:t>
      </w:r>
      <w:r/>
    </w:p>
    <w:p>
      <w:pPr>
        <w:ind w:firstLine="1606"/>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 xml:space="preserve">项目名称：</w:t>
      </w:r>
      <w:r>
        <w:rPr>
          <w:rFonts w:hint="eastAsia"/>
          <w:b/>
          <w:color w:val="auto"/>
          <w:sz w:val="32"/>
          <w:szCs w:val="32"/>
        </w:rPr>
        <w:t xml:space="preserve">南京市第一医院生物样本库信息管理系统二期</w:t>
      </w:r>
      <w:r>
        <w:rPr>
          <w:rFonts w:hint="eastAsia" w:ascii="Times New Roman" w:hAnsi="Times New Roman" w:eastAsia="宋体" w:cs="Times New Roman"/>
          <w:b/>
          <w:bCs w:val="0"/>
          <w:color w:val="auto"/>
          <w:sz w:val="32"/>
          <w:szCs w:val="32"/>
          <w:highlight w:val="none"/>
          <w:u w:val="none"/>
          <w:lang w:val="en-US" w:eastAsia="zh-CN"/>
        </w:rPr>
        <w:t xml:space="preserve"> </w:t>
      </w:r>
      <w:r/>
    </w:p>
    <w:p>
      <w:pPr>
        <w:ind w:firstLine="1606"/>
        <w:jc w:val="left"/>
        <w:spacing w:before="120" w:after="120" w:line="360" w:lineRule="auto"/>
        <w:rPr>
          <w:color w:val="auto"/>
          <w:highlight w:val="none"/>
        </w:rPr>
      </w:pPr>
      <w:r>
        <w:rPr>
          <w:rFonts w:hint="eastAsia" w:ascii="Arial" w:hAnsi="Arial" w:eastAsia="宋体" w:cs="Times New Roman"/>
          <w:b/>
          <w:bCs/>
          <w:color w:val="auto"/>
          <w:sz w:val="32"/>
          <w:szCs w:val="24"/>
          <w:highlight w:val="none"/>
          <w:lang w:eastAsia="zh-CN"/>
        </w:rPr>
        <w:t xml:space="preserve">项目编号：</w:t>
      </w:r>
      <w:r>
        <w:rPr>
          <w:rFonts w:hint="eastAsia" w:ascii="Arial" w:hAnsi="Arial" w:cs="Times New Roman"/>
          <w:b/>
          <w:bCs/>
          <w:color w:val="auto"/>
          <w:sz w:val="32"/>
          <w:szCs w:val="24"/>
          <w:highlight w:val="none"/>
          <w:lang w:eastAsia="zh-CN"/>
        </w:rPr>
        <w:t xml:space="preserve">JSZC-320100-JZCG-C2026-0360</w:t>
      </w:r>
      <w:r/>
    </w:p>
    <w:p>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color w:val="auto"/>
          <w:sz w:val="30"/>
          <w:szCs w:val="30"/>
          <w:highlight w:val="none"/>
          <w:lang w:eastAsia="zh-CN"/>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exact"/>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23"/>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w:t>
      </w:r>
      <w:r>
        <w:rPr>
          <w:rFonts w:hint="eastAsia" w:cs="Times New Roman"/>
          <w:b/>
          <w:bCs w:val="0"/>
          <w:color w:val="auto"/>
          <w:sz w:val="32"/>
          <w:szCs w:val="32"/>
          <w:highlight w:val="none"/>
          <w:u w:val="none"/>
          <w:lang w:val="en-US" w:eastAsia="zh-CN"/>
        </w:rPr>
        <w:t xml:space="preserve">26</w:t>
      </w:r>
      <w:r>
        <w:rPr>
          <w:rFonts w:hint="eastAsia" w:ascii="Times New Roman" w:hAnsi="Times New Roman" w:eastAsia="宋体" w:cs="Times New Roman"/>
          <w:b/>
          <w:bCs w:val="0"/>
          <w:color w:val="auto"/>
          <w:sz w:val="32"/>
          <w:szCs w:val="32"/>
          <w:highlight w:val="none"/>
          <w:u w:val="none"/>
          <w:lang w:val="en-US" w:eastAsia="zh-CN"/>
        </w:rPr>
        <w:t xml:space="preserve">年</w:t>
      </w:r>
      <w:r>
        <w:rPr>
          <w:rFonts w:hint="eastAsia" w:cs="Times New Roman"/>
          <w:b/>
          <w:bCs w:val="0"/>
          <w:color w:val="auto"/>
          <w:sz w:val="32"/>
          <w:szCs w:val="32"/>
          <w:highlight w:val="none"/>
          <w:u w:val="none"/>
          <w:lang w:val="en-US" w:eastAsia="zh-CN"/>
        </w:rPr>
        <w:t xml:space="preserve">9</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r>
        <w:rPr>
          <w:rFonts w:hint="eastAsia" w:ascii="黑体" w:hAnsi="Arial" w:eastAsia="黑体" w:cs="Times New Roman"/>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bookmarkStart w:id="0" w:name="_Toc20823272"/>
      <w:r/>
      <w:bookmarkStart w:id="1" w:name="_Toc16938516"/>
      <w:r/>
      <w:bookmarkStart w:id="2" w:name="_Toc479757206"/>
      <w:r/>
      <w:bookmarkStart w:id="3" w:name="_Toc513029200"/>
      <w:r/>
      <w:bookmarkStart w:id="4" w:name="_Toc523127445"/>
      <w:r/>
      <w:bookmarkStart w:id="5" w:name="_Toc120614210"/>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磋商邀请…………………………………… </w:t>
      </w:r>
      <w:r>
        <w:rPr>
          <w:rFonts w:hint="eastAsia" w:ascii="黑体" w:hAnsi="宋体" w:eastAsia="黑体" w:cs="Times New Roman"/>
          <w:color w:val="auto"/>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供应商须知………………………………… </w:t>
      </w:r>
      <w:r>
        <w:rPr>
          <w:rFonts w:hint="eastAsia" w:ascii="黑体" w:hAnsi="宋体" w:eastAsia="黑体" w:cs="Times New Roman"/>
          <w:color w:val="auto"/>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评审方法与评审标准………………………</w:t>
      </w:r>
      <w:r>
        <w:rPr>
          <w:rFonts w:hint="eastAsia" w:ascii="黑体" w:hAnsi="宋体" w:eastAsia="黑体" w:cs="Times New Roman"/>
          <w:color w:val="auto"/>
          <w:sz w:val="36"/>
          <w:szCs w:val="21"/>
          <w:highlight w:val="none"/>
          <w:lang w:val="en-US" w:eastAsia="zh-CN"/>
        </w:rPr>
        <w:t xml:space="preserve">25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响应文件格式………………………………</w:t>
      </w:r>
      <w:r>
        <w:rPr>
          <w:rFonts w:hint="eastAsia" w:ascii="黑体" w:hAnsi="宋体" w:eastAsia="黑体" w:cs="Times New Roman"/>
          <w:color w:val="auto"/>
          <w:sz w:val="36"/>
          <w:szCs w:val="21"/>
          <w:highlight w:val="none"/>
          <w:lang w:val="en-US" w:eastAsia="zh-CN"/>
        </w:rPr>
        <w:t xml:space="preserve">28</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right="840"/>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t xml:space="preserve">第一章  磋商邀请</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pageBreakBefore w:val="0"/>
        <w:spacing w:line="24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JSZC-320100-JZCG-C2026-0360</w:t>
      </w:r>
      <w:r/>
    </w:p>
    <w:p>
      <w:pPr>
        <w:ind w:firstLine="480"/>
        <w:pageBreakBefore w:val="0"/>
        <w:spacing w:line="24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rPr>
        <w:t xml:space="preserve">南京市第一医院生物样本库信息管理系统二期</w:t>
      </w:r>
      <w:r/>
    </w:p>
    <w:p>
      <w:pPr>
        <w:ind w:firstLine="48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rPr>
        <w:t xml:space="preserve">南京市第一医院前期已成功部署并运行“生物样本管理系统”，该系统在样本管理工作中发挥了关键作用。随着科研工作的深入发展及临床研究的广泛开展，现有科室版系统在覆盖范围、数据互通、资源统筹等方面已逐渐显现局限性。为支撑南京市第一医院更高水平的科研创新与临床转化，现将系统进行升级，形成服务全院的版本。</w:t>
      </w:r>
      <w:r>
        <w:rPr>
          <w:rFonts w:hint="eastAsia" w:ascii="宋体" w:hAnsi="宋体" w:cs="宋体"/>
          <w:color w:val="auto"/>
          <w:sz w:val="24"/>
          <w:szCs w:val="24"/>
        </w:rPr>
        <w:t xml:space="preserve">（详细内容见本磋商文件第四章）</w:t>
      </w:r>
      <w:r/>
    </w:p>
    <w:p>
      <w:pPr>
        <w:ind w:firstLine="48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rPr>
        <w:t xml:space="preserve">6.合同履行期限：</w:t>
      </w:r>
      <w:r>
        <w:rPr>
          <w:rFonts w:hint="eastAsia" w:ascii="宋体" w:hAnsi="宋体" w:eastAsia="宋体" w:cs="Times New Roman"/>
          <w:color w:val="auto"/>
          <w:sz w:val="24"/>
          <w:szCs w:val="24"/>
          <w:highlight w:val="none"/>
          <w:lang w:val="en-US" w:eastAsia="zh-CN"/>
        </w:rPr>
        <w:t xml:space="preserve">45个工作日</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zh-CN"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资格审查环节查询，响应文件</w:t>
      </w:r>
      <w:r>
        <w:rPr>
          <w:rFonts w:hint="eastAsia" w:ascii="宋体" w:hAnsi="宋体" w:eastAsia="宋体" w:cs="Times New Roman"/>
          <w:color w:val="auto"/>
          <w:sz w:val="24"/>
          <w:szCs w:val="24"/>
          <w:highlight w:val="none"/>
        </w:rPr>
        <w:t xml:space="preserve">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color w:val="auto"/>
          <w:sz w:val="24"/>
          <w:szCs w:val="24"/>
          <w:highlight w:val="none"/>
          <w:lang w:val="zh-CN" w:eastAsia="zh-CN"/>
        </w:rPr>
        <w:t xml:space="preserve">本项目专门面向中小微企业采购，</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三、获取磋商文件</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1.时间：自磋商文件公告发布之日起。</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2.方式：在“江苏政府采购网”免费下载。</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四、提交响应文件截止时间</w:t>
      </w:r>
      <w:bookmarkStart w:id="102" w:name="_GoBack"/>
      <w:r/>
      <w:bookmarkEnd w:id="102"/>
      <w:r/>
      <w:r/>
    </w:p>
    <w:p>
      <w:pPr>
        <w:spacing w:line="240" w:lineRule="auto"/>
        <w:rPr>
          <w:rFonts w:hint="eastAsia" w:ascii="宋体" w:hAnsi="宋体" w:eastAsia="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u w:val="none"/>
        </w:rPr>
        <w:t xml:space="preserve"> </w:t>
      </w:r>
      <w:r>
        <w:rPr>
          <w:rFonts w:hint="eastAsia" w:ascii="宋体" w:hAnsi="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2026</w:t>
      </w:r>
      <w:r>
        <w:rPr>
          <w:rFonts w:hint="eastAsia" w:ascii="宋体" w:hAnsi="宋体"/>
          <w:b w:val="0"/>
          <w:bCs w:val="0"/>
          <w:color w:val="auto"/>
          <w:sz w:val="24"/>
          <w:szCs w:val="24"/>
          <w:highlight w:val="none"/>
          <w:u w:val="none"/>
        </w:rPr>
        <w:t xml:space="preserve">年</w:t>
      </w:r>
      <w:r>
        <w:rPr>
          <w:rFonts w:hint="eastAsia" w:ascii="宋体" w:hAnsi="宋体"/>
          <w:b w:val="0"/>
          <w:bCs w:val="0"/>
          <w:color w:val="auto"/>
          <w:sz w:val="24"/>
          <w:szCs w:val="24"/>
          <w:highlight w:val="none"/>
          <w:u w:val="none"/>
          <w:lang w:val="en-US" w:eastAsia="zh-CN"/>
        </w:rPr>
        <w:t xml:space="preserve">10</w:t>
      </w:r>
      <w:r>
        <w:rPr>
          <w:rFonts w:hint="eastAsia" w:ascii="宋体" w:hAnsi="宋体"/>
          <w:b w:val="0"/>
          <w:bCs w:val="0"/>
          <w:color w:val="auto"/>
          <w:sz w:val="24"/>
          <w:szCs w:val="24"/>
          <w:highlight w:val="none"/>
          <w:u w:val="none"/>
        </w:rPr>
        <w:t xml:space="preserve">月22</w:t>
      </w:r>
      <w:r>
        <w:rPr>
          <w:rFonts w:hint="eastAsia" w:ascii="宋体" w:hAnsi="宋体"/>
          <w:b w:val="0"/>
          <w:bCs w:val="0"/>
          <w:color w:val="auto"/>
          <w:sz w:val="24"/>
          <w:szCs w:val="24"/>
          <w:highlight w:val="none"/>
          <w:u w:val="none"/>
        </w:rPr>
        <w:t xml:space="preserve">日14</w:t>
      </w:r>
      <w:r>
        <w:rPr>
          <w:rFonts w:hint="eastAsia" w:ascii="Times New Roman" w:hAnsi="Times New Roman" w:eastAsia="宋体" w:cs="Times New Roman"/>
          <w:b w:val="0"/>
          <w:bCs w:val="0"/>
          <w:color w:val="auto"/>
          <w:sz w:val="24"/>
          <w:szCs w:val="24"/>
          <w:highlight w:val="none"/>
          <w:u w:val="none"/>
          <w:lang w:val="en-US" w:eastAsia="zh-CN"/>
        </w:rPr>
        <w:t xml:space="preserve">时</w:t>
      </w:r>
      <w:r>
        <w:rPr>
          <w:rFonts w:hint="eastAsia" w:ascii="宋体" w:hAnsi="宋体" w:cs="宋体"/>
          <w:b w:val="0"/>
          <w:bCs w:val="0"/>
          <w:color w:val="auto"/>
          <w:sz w:val="24"/>
          <w:szCs w:val="24"/>
          <w:highlight w:val="none"/>
          <w:u w:val="none"/>
          <w:lang w:val="en-US" w:eastAsia="zh-CN"/>
        </w:rPr>
        <w:t xml:space="preserve">00</w:t>
      </w:r>
      <w:r>
        <w:rPr>
          <w:rFonts w:hint="eastAsia" w:ascii="宋体" w:hAnsi="宋体"/>
          <w:b w:val="0"/>
          <w:bCs w:val="0"/>
          <w:color w:val="auto"/>
          <w:sz w:val="24"/>
          <w:szCs w:val="24"/>
          <w:highlight w:val="none"/>
          <w:u w:val="none"/>
        </w:rPr>
        <w:t xml:space="preserve">分（</w:t>
      </w:r>
      <w:r>
        <w:rPr>
          <w:rFonts w:hint="eastAsia" w:ascii="宋体" w:hAnsi="宋体"/>
          <w:b w:val="0"/>
          <w:bCs w:val="0"/>
          <w:color w:val="auto"/>
          <w:sz w:val="24"/>
          <w:szCs w:val="24"/>
          <w:highlight w:val="none"/>
        </w:rPr>
        <w:t xml:space="preserve">北京时间）</w:t>
      </w:r>
      <w:r>
        <w:rPr>
          <w:rFonts w:hint="eastAsia" w:ascii="宋体" w:hAnsi="宋体"/>
          <w:b w:val="0"/>
          <w:bCs w:val="0"/>
          <w:color w:val="auto"/>
          <w:sz w:val="24"/>
          <w:szCs w:val="24"/>
          <w:highlight w:val="none"/>
          <w:lang w:eastAsia="zh-CN"/>
        </w:rPr>
        <w:t xml:space="preserve">。</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r/>
    </w:p>
    <w:p>
      <w:pPr>
        <w:ind w:firstLine="48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公告期限为自本公告发布之日起3个工作日。</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2.本项目不组织勘察及答疑，供应商如对采购需求有疑问，请咨询采购人。 </w:t>
      </w:r>
      <w:r/>
    </w:p>
    <w:p>
      <w:pPr>
        <w:ind w:firstLine="480"/>
        <w:pageBreakBefore w:val="0"/>
        <w:spacing w:line="24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对采购方式、采购需求、供应商资格</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、评</w:t>
      </w:r>
      <w:r>
        <w:rPr>
          <w:rFonts w:hint="eastAsia" w:ascii="宋体" w:hAnsi="宋体" w:eastAsia="宋体" w:cs="Times New Roman"/>
          <w:b/>
          <w:bCs/>
          <w:color w:val="auto"/>
          <w:sz w:val="24"/>
          <w:highlight w:val="none"/>
          <w:lang w:val="en-US" w:eastAsia="zh-CN"/>
        </w:rPr>
        <w:t xml:space="preserve">审</w:t>
      </w:r>
      <w:r>
        <w:rPr>
          <w:rFonts w:hint="eastAsia" w:ascii="宋体" w:hAnsi="宋体" w:eastAsia="宋体" w:cs="Times New Roman"/>
          <w:b/>
          <w:bCs/>
          <w:color w:val="auto"/>
          <w:sz w:val="24"/>
          <w:highlight w:val="none"/>
          <w:lang w:val="zh-CN"/>
        </w:rPr>
        <w:t xml:space="preserve">方法和评</w:t>
      </w:r>
      <w:r>
        <w:rPr>
          <w:rFonts w:hint="eastAsia" w:ascii="宋体" w:hAnsi="宋体" w:eastAsia="宋体" w:cs="Times New Roman"/>
          <w:b/>
          <w:bCs/>
          <w:color w:val="auto"/>
          <w:sz w:val="24"/>
          <w:highlight w:val="none"/>
          <w:lang w:val="en-US" w:eastAsia="zh-CN"/>
        </w:rPr>
        <w:t xml:space="preserve">审</w:t>
      </w:r>
      <w:r>
        <w:rPr>
          <w:rFonts w:hint="eastAsia" w:ascii="宋体" w:hAnsi="宋体" w:eastAsia="宋体" w:cs="Times New Roman"/>
          <w:b/>
          <w:bCs/>
          <w:color w:val="auto"/>
          <w:sz w:val="24"/>
          <w:highlight w:val="none"/>
          <w:lang w:val="zh-CN"/>
        </w:rPr>
        <w:t xml:space="preserve">标准、合同文本的询问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spacing w:line="240" w:lineRule="auto"/>
        <w:widowControl/>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采购人《质疑函》收件人：郭老师，收件地址：南京市秦淮区长乐路68号，联系电话：025-52271107。</w:t>
      </w:r>
      <w:r/>
    </w:p>
    <w:p>
      <w:pPr>
        <w:ind w:firstLine="480"/>
        <w:spacing w:line="240" w:lineRule="auto"/>
        <w:widowControl/>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交易中心《质疑函》收件人：南京市公共资源交易中心政府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zh-CN"/>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zh-CN"/>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zh-CN"/>
        </w:rPr>
        <w:t xml:space="preserve">地址：南京市</w:t>
      </w:r>
      <w:r>
        <w:rPr>
          <w:rFonts w:hint="eastAsia" w:ascii="宋体" w:hAnsi="宋体" w:eastAsia="宋体" w:cs="Times New Roman"/>
          <w:b w:val="0"/>
          <w:bCs w:val="0"/>
          <w:color w:val="auto"/>
          <w:sz w:val="24"/>
          <w:highlight w:val="none"/>
          <w:lang w:val="en-US" w:eastAsia="zh-CN"/>
        </w:rPr>
        <w:t xml:space="preserve">建邺区</w:t>
      </w:r>
      <w:r>
        <w:rPr>
          <w:rFonts w:hint="eastAsia" w:ascii="宋体" w:hAnsi="宋体" w:eastAsia="宋体" w:cs="Times New Roman"/>
          <w:b w:val="0"/>
          <w:bCs w:val="0"/>
          <w:color w:val="auto"/>
          <w:sz w:val="24"/>
          <w:highlight w:val="none"/>
          <w:lang w:val="zh-CN"/>
        </w:rPr>
        <w:t xml:space="preserve">江东中路265号南京市公共资源交易中心北门，联系电话：025-68505926。</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七、本次磋商联系方式</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bookmarkStart w:id="6" w:name="_Toc28359086"/>
      <w:r/>
      <w:bookmarkStart w:id="7" w:name="_Toc28359009"/>
      <w:r>
        <w:rPr>
          <w:rFonts w:hint="eastAsia" w:ascii="宋体" w:hAnsi="宋体" w:eastAsia="宋体" w:cs="Times New Roman"/>
          <w:color w:val="auto"/>
          <w:sz w:val="24"/>
          <w:szCs w:val="24"/>
          <w:highlight w:val="none"/>
          <w:u w:val="none"/>
          <w:lang w:val="en-US" w:eastAsia="zh-CN"/>
        </w:rPr>
        <w:t xml:space="preserve">名  称：南京市第一医院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址：南京市秦淮区长乐路68号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联系人：郭老师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联系电话：025-52271107</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6"/>
      <w:r/>
      <w:bookmarkEnd w:id="7"/>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highlight w:val="none"/>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区江东中路265号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孙先生</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联系电话：025-68505990 </w:t>
      </w:r>
      <w:r/>
    </w:p>
    <w:p>
      <w:pPr>
        <w:ind w:firstLine="480"/>
        <w:pageBreakBefore w:val="0"/>
        <w:spacing w:line="240" w:lineRule="auto"/>
        <w:widowControl w:val="off"/>
        <w:rPr>
          <w:rFonts w:hint="default" w:ascii="宋体" w:hAnsi="宋体" w:eastAsia="宋体" w:cs="Times New Roman"/>
          <w:color w:val="auto"/>
          <w:sz w:val="24"/>
          <w:szCs w:val="24"/>
          <w:highlight w:val="none"/>
          <w:u w:val="none"/>
          <w:lang w:val="en-US" w:eastAsia="zh-CN"/>
        </w:rPr>
      </w:pPr>
      <w:r>
        <w:rPr>
          <w:rFonts w:hint="default" w:ascii="宋体" w:hAnsi="宋体" w:eastAsia="宋体" w:cs="Times New Roman"/>
          <w:color w:val="auto"/>
          <w:sz w:val="24"/>
          <w:szCs w:val="24"/>
          <w:highlight w:val="none"/>
          <w:u w:val="none"/>
          <w:lang w:val="en-US" w:eastAsia="zh-CN"/>
        </w:rPr>
      </w:r>
      <w:r/>
    </w:p>
    <w:p>
      <w:pPr>
        <w:ind w:right="0" w:firstLine="720"/>
        <w:jc w:val="center"/>
        <w:spacing w:line="264" w:lineRule="auto"/>
        <w:rPr>
          <w:rFonts w:hint="eastAsia" w:ascii="方正小标宋简体" w:hAnsi="方正小标宋简体" w:eastAsia="方正小标宋简体" w:cs="方正小标宋简体"/>
          <w:color w:val="auto"/>
          <w:sz w:val="36"/>
          <w:szCs w:val="36"/>
          <w:highlight w:val="none"/>
          <w:lang w:val="en-US" w:eastAsia="zh-CN"/>
        </w:rPr>
        <w:outlineLvl w:val="9"/>
      </w:pPr>
      <w:r>
        <w:rPr>
          <w:rFonts w:hint="eastAsia" w:ascii="方正小标宋简体" w:hAnsi="方正小标宋简体" w:eastAsia="方正小标宋简体" w:cs="方正小标宋简体"/>
          <w:color w:val="auto"/>
          <w:sz w:val="36"/>
          <w:szCs w:val="36"/>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第二章  供应商须知</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 w:name="_Hlt16619475"/>
      <w:r/>
      <w:bookmarkEnd w:id="8"/>
      <w:r/>
      <w:bookmarkStart w:id="9" w:name="_Toc458694821"/>
      <w:r/>
      <w:bookmarkStart w:id="10" w:name="_Toc20823276"/>
      <w:r/>
      <w:bookmarkStart w:id="11" w:name="_Toc513029204"/>
      <w:r/>
      <w:bookmarkStart w:id="12" w:name="_Toc16938520"/>
      <w:r>
        <w:rPr>
          <w:rFonts w:hint="eastAsia" w:ascii="方正楷体_GBK" w:hAnsi="方正楷体_GBK" w:eastAsia="方正楷体_GBK" w:cs="方正楷体_GBK"/>
          <w:b/>
          <w:bCs/>
          <w:color w:val="auto"/>
          <w:sz w:val="28"/>
          <w:szCs w:val="28"/>
          <w:highlight w:val="none"/>
          <w:lang w:val="en-US" w:eastAsia="zh-CN"/>
        </w:rPr>
        <w:t xml:space="preserve">1</w:t>
      </w:r>
      <w:bookmarkEnd w:id="9"/>
      <w:r>
        <w:rPr>
          <w:rFonts w:hint="eastAsia" w:ascii="方正楷体_GBK" w:hAnsi="方正楷体_GBK" w:eastAsia="方正楷体_GBK" w:cs="方正楷体_GBK"/>
          <w:b/>
          <w:bCs/>
          <w:color w:val="auto"/>
          <w:sz w:val="28"/>
          <w:szCs w:val="28"/>
          <w:highlight w:val="none"/>
          <w:lang w:val="en-US" w:eastAsia="zh-CN"/>
        </w:rPr>
        <w:t xml:space="preserve">.采购方式</w:t>
      </w:r>
      <w:bookmarkEnd w:id="10"/>
      <w:r/>
      <w:bookmarkEnd w:id="11"/>
      <w:r/>
      <w:bookmarkEnd w:id="1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 w:name="_Toc20823277"/>
      <w:r/>
      <w:bookmarkStart w:id="14" w:name="_Toc16938521"/>
      <w:r/>
      <w:bookmarkStart w:id="15" w:name="_Toc513029205"/>
      <w:r>
        <w:rPr>
          <w:rFonts w:hint="eastAsia" w:ascii="方正楷体_GBK" w:hAnsi="方正楷体_GBK" w:eastAsia="方正楷体_GBK" w:cs="方正楷体_GBK"/>
          <w:b/>
          <w:bCs/>
          <w:color w:val="auto"/>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6" w:name="_Toc513029206"/>
      <w:r/>
      <w:bookmarkStart w:id="17" w:name="_Toc20823278"/>
      <w:r/>
      <w:bookmarkStart w:id="18" w:name="_Toc16938522"/>
      <w:r>
        <w:rPr>
          <w:rFonts w:hint="eastAsia" w:ascii="方正楷体_GBK" w:hAnsi="方正楷体_GBK" w:eastAsia="方正楷体_GBK" w:cs="方正楷体_GBK"/>
          <w:b/>
          <w:bCs/>
          <w:color w:val="auto"/>
          <w:sz w:val="28"/>
          <w:szCs w:val="28"/>
          <w:highlight w:val="none"/>
          <w:lang w:val="en-US" w:eastAsia="zh-CN"/>
        </w:rPr>
        <w:t xml:space="preserve">3.适用法律</w:t>
      </w:r>
      <w:bookmarkEnd w:id="16"/>
      <w:r/>
      <w:bookmarkEnd w:id="17"/>
      <w:r/>
      <w:bookmarkEnd w:id="18"/>
      <w:r/>
      <w:r/>
    </w:p>
    <w:p>
      <w:pPr>
        <w:ind w:firstLine="420"/>
        <w:pageBreakBefore w:val="0"/>
        <w:spacing w:line="24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 本次</w:t>
      </w:r>
      <w:r>
        <w:rPr>
          <w:rFonts w:hint="eastAsia" w:ascii="宋体" w:hAnsi="宋体"/>
          <w:color w:val="auto"/>
          <w:sz w:val="24"/>
          <w:szCs w:val="21"/>
          <w:highlight w:val="none"/>
          <w:lang w:val="en-US" w:eastAsia="zh-CN"/>
        </w:rPr>
        <w:t xml:space="preserve">采购</w:t>
      </w:r>
      <w:r>
        <w:rPr>
          <w:rFonts w:hint="eastAsia" w:ascii="宋体" w:hAnsi="宋体"/>
          <w:color w:val="auto"/>
          <w:sz w:val="24"/>
          <w:szCs w:val="21"/>
          <w:highlight w:val="none"/>
        </w:rPr>
        <w:t xml:space="preserve">及由此产生的合同受中华人民共和国有关的法律法规制约和保护</w:t>
      </w:r>
      <w:r>
        <w:rPr>
          <w:rFonts w:ascii="宋体" w:hAnsi="宋体"/>
          <w:color w:val="auto"/>
          <w:sz w:val="24"/>
          <w:szCs w:val="21"/>
          <w:highlight w:val="none"/>
        </w:rPr>
        <w:t xml:space="preserve">。</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9" w:name="_Toc20823279"/>
      <w:r/>
      <w:bookmarkStart w:id="20" w:name="_Toc16938523"/>
      <w:r/>
      <w:bookmarkStart w:id="21" w:name="_Toc513029207"/>
      <w:r/>
      <w:bookmarkStart w:id="22" w:name="_Toc462564067"/>
      <w:r>
        <w:rPr>
          <w:rFonts w:hint="eastAsia" w:ascii="方正楷体_GBK" w:hAnsi="方正楷体_GBK" w:eastAsia="方正楷体_GBK" w:cs="方正楷体_GBK"/>
          <w:b/>
          <w:bCs/>
          <w:color w:val="auto"/>
          <w:sz w:val="28"/>
          <w:szCs w:val="28"/>
          <w:highlight w:val="none"/>
          <w:lang w:val="en-US" w:eastAsia="zh-CN"/>
        </w:rPr>
        <w:t xml:space="preserve">4.磋商费用</w:t>
      </w:r>
      <w:bookmarkEnd w:id="19"/>
      <w:r/>
      <w:bookmarkEnd w:id="20"/>
      <w:r/>
      <w:bookmarkEnd w:id="21"/>
      <w:r/>
      <w:bookmarkEnd w:id="2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和采购人不收取</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工本费与成交服务费。</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23" w:name="_Toc20823281"/>
      <w:r/>
      <w:bookmarkStart w:id="24" w:name="_Toc513029209"/>
      <w:r/>
      <w:bookmarkStart w:id="25" w:name="_Toc16938525"/>
      <w:r/>
      <w:bookmarkStart w:id="26" w:name="_Toc120614215"/>
      <w:r>
        <w:rPr>
          <w:rFonts w:hint="eastAsia" w:ascii="方正黑体_GBK" w:hAnsi="方正黑体_GBK" w:eastAsia="方正黑体_GBK" w:cs="方正黑体_GBK"/>
          <w:b w:val="0"/>
          <w:bCs w:val="0"/>
          <w:color w:val="auto"/>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auto"/>
          <w:sz w:val="30"/>
          <w:szCs w:val="30"/>
          <w:highlight w:val="none"/>
        </w:rPr>
        <w:t xml:space="preserve">磋商文件</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27" w:name="_Toc513029210"/>
      <w:r/>
      <w:bookmarkStart w:id="28" w:name="_Toc16938526"/>
      <w:r/>
      <w:bookmarkStart w:id="29" w:name="_Toc20823282"/>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27"/>
      <w:r/>
      <w:bookmarkEnd w:id="28"/>
      <w:r/>
      <w:bookmarkEnd w:id="2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0" w:name="_Toc20823283"/>
      <w:r/>
      <w:bookmarkStart w:id="31" w:name="_Toc513029211"/>
      <w:r/>
      <w:bookmarkStart w:id="32" w:name="_Toc16938527"/>
      <w:r/>
      <w:bookmarkStart w:id="33" w:name="_Toc462564070"/>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color w:val="auto"/>
          <w:sz w:val="28"/>
          <w:szCs w:val="28"/>
          <w:highlight w:val="none"/>
          <w:lang w:val="en-US" w:eastAsia="zh-CN"/>
        </w:rPr>
        <w:t xml:space="preserve">或修改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 在响应文件提交截止时间前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交易中心可以对</w:t>
      </w:r>
      <w:r>
        <w:rPr>
          <w:rFonts w:hint="eastAsia" w:ascii="宋体" w:hAnsi="宋体" w:eastAsia="宋体" w:cs="Times New Roman"/>
          <w:color w:val="auto"/>
          <w:sz w:val="24"/>
          <w:szCs w:val="21"/>
          <w:highlight w:val="none"/>
          <w:lang w:val="en-US" w:eastAsia="zh-CN"/>
        </w:rPr>
        <w:t xml:space="preserve">已发出的</w:t>
      </w:r>
      <w:r>
        <w:rPr>
          <w:rFonts w:hint="eastAsia" w:ascii="宋体" w:hAnsi="宋体" w:eastAsia="宋体" w:cs="Times New Roman"/>
          <w:color w:val="auto"/>
          <w:sz w:val="24"/>
          <w:szCs w:val="21"/>
          <w:highlight w:val="none"/>
        </w:rPr>
        <w:t xml:space="preserve">磋商文件进行</w:t>
      </w:r>
      <w:r>
        <w:rPr>
          <w:rFonts w:hint="eastAsia" w:ascii="宋体" w:hAnsi="宋体" w:eastAsia="宋体" w:cs="Times New Roman"/>
          <w:color w:val="auto"/>
          <w:sz w:val="24"/>
          <w:szCs w:val="21"/>
          <w:highlight w:val="none"/>
          <w:lang w:val="en-US" w:eastAsia="zh-CN"/>
        </w:rPr>
        <w:t xml:space="preserve">必要的澄清或者</w:t>
      </w:r>
      <w:r>
        <w:rPr>
          <w:rFonts w:hint="eastAsia" w:ascii="宋体" w:hAnsi="宋体" w:eastAsia="宋体" w:cs="Times New Roman"/>
          <w:color w:val="auto"/>
          <w:sz w:val="24"/>
          <w:szCs w:val="21"/>
          <w:highlight w:val="none"/>
        </w:rPr>
        <w:t xml:space="preserve">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并在</w:t>
      </w:r>
      <w:r>
        <w:rPr>
          <w:rFonts w:hint="eastAsia" w:ascii="宋体" w:hAnsi="宋体" w:eastAsia="宋体" w:cs="Times New Roman"/>
          <w:color w:val="auto"/>
          <w:sz w:val="24"/>
          <w:szCs w:val="21"/>
          <w:highlight w:val="none"/>
        </w:rPr>
        <w:t xml:space="preserve">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澄清或修改的</w:t>
      </w:r>
      <w:r>
        <w:rPr>
          <w:rFonts w:hint="eastAsia" w:ascii="宋体" w:hAnsi="宋体" w:eastAsia="宋体" w:cs="Times New Roman"/>
          <w:color w:val="auto"/>
          <w:sz w:val="24"/>
          <w:szCs w:val="21"/>
          <w:highlight w:val="none"/>
        </w:rPr>
        <w:t xml:space="preserve">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交易中心有权按照法定的要求推迟提交响应文件截止时间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8.响应文件的语言及度量衡单位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9.响应文件构成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val="en-US" w:eastAsia="zh-CN"/>
        </w:rPr>
        <w:t xml:space="preserve">磋商报价表、</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、响应及偏离表、磋商响应函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w:t>
      </w:r>
      <w:r>
        <w:rPr>
          <w:rFonts w:hint="eastAsia" w:ascii="宋体" w:hAnsi="宋体" w:eastAsia="宋体" w:cs="Times New Roman"/>
          <w:b/>
          <w:bCs/>
          <w:color w:val="auto"/>
          <w:sz w:val="24"/>
          <w:szCs w:val="21"/>
          <w:highlight w:val="none"/>
          <w:lang w:val="en-US" w:eastAsia="zh-CN"/>
        </w:rPr>
        <w:t xml:space="preserve">标</w:t>
      </w:r>
      <w:r>
        <w:rPr>
          <w:rFonts w:hint="eastAsia" w:ascii="宋体" w:hAnsi="宋体" w:eastAsia="宋体" w:cs="Times New Roman"/>
          <w:b/>
          <w:bCs/>
          <w:color w:val="auto"/>
          <w:sz w:val="24"/>
          <w:szCs w:val="21"/>
          <w:highlight w:val="none"/>
        </w:rPr>
        <w:t xml:space="preserve">书制作工具与“江苏政府采购网”发布的磋商文件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不一致</w:t>
      </w:r>
      <w:r>
        <w:rPr>
          <w:rFonts w:hint="eastAsia" w:ascii="宋体" w:hAnsi="宋体" w:eastAsia="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以“江苏政府采购网”发布的磋商文件为准。</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4" w:name="_Hlt26668975"/>
      <w:r/>
      <w:bookmarkEnd w:id="34"/>
      <w:r/>
      <w:bookmarkStart w:id="35" w:name="_Hlt26954838"/>
      <w:r/>
      <w:bookmarkEnd w:id="35"/>
      <w:r/>
      <w:bookmarkStart w:id="36" w:name="_Hlt26670360"/>
      <w:r/>
      <w:bookmarkEnd w:id="36"/>
      <w:r>
        <w:rPr>
          <w:rFonts w:hint="eastAsia" w:ascii="方正楷体_GBK" w:hAnsi="方正楷体_GBK" w:eastAsia="方正楷体_GBK" w:cs="方正楷体_GBK"/>
          <w:b/>
          <w:bCs/>
          <w:color w:val="auto"/>
          <w:sz w:val="28"/>
          <w:szCs w:val="28"/>
          <w:highlight w:val="none"/>
          <w:lang w:val="en-US" w:eastAsia="zh-CN"/>
        </w:rPr>
        <w:t xml:space="preserve">10.磋商报价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spacing w:line="240" w:lineRule="auto"/>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b w:val="0"/>
          <w:bCs w:val="0"/>
          <w:color w:val="auto"/>
          <w:sz w:val="24"/>
          <w:szCs w:val="21"/>
          <w:highlight w:val="none"/>
        </w:rPr>
        <w:t xml:space="preserve">0.2</w:t>
      </w:r>
      <w:r>
        <w:rPr>
          <w:rFonts w:hint="eastAsia"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磋商报价表</w:t>
      </w:r>
      <w:r>
        <w:rPr>
          <w:rFonts w:hint="eastAsia" w:ascii="宋体" w:hAnsi="宋体" w:eastAsia="宋体" w:cs="Times New Roman"/>
          <w:b/>
          <w:bCs/>
          <w:color w:val="auto"/>
          <w:sz w:val="24"/>
          <w:szCs w:val="21"/>
          <w:highlight w:val="none"/>
        </w:rPr>
        <w:t xml:space="preserve">和分项报价表，否则作为无效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7" w:name="_Hlt26954731"/>
      <w:r/>
      <w:bookmarkEnd w:id="37"/>
      <w:r/>
      <w:bookmarkStart w:id="38" w:name="_Hlt26954846"/>
      <w:r/>
      <w:bookmarkEnd w:id="38"/>
      <w:r/>
      <w:bookmarkStart w:id="39" w:name="_Hlt26954848"/>
      <w:r/>
      <w:bookmarkEnd w:id="39"/>
      <w:r/>
      <w:bookmarkStart w:id="40" w:name="_Hlt26670486"/>
      <w:r/>
      <w:bookmarkEnd w:id="40"/>
      <w:r/>
      <w:bookmarkStart w:id="41" w:name="_Hlt26670482"/>
      <w:r/>
      <w:bookmarkEnd w:id="41"/>
      <w:r>
        <w:rPr>
          <w:rFonts w:hint="eastAsia" w:ascii="方正楷体_GBK" w:hAnsi="方正楷体_GBK" w:eastAsia="方正楷体_GBK" w:cs="方正楷体_GBK"/>
          <w:b/>
          <w:bCs/>
          <w:color w:val="auto"/>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711"/>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12.磋商响应函和授权委托书</w:t>
      </w:r>
      <w:r/>
    </w:p>
    <w:p>
      <w:pPr>
        <w:ind w:firstLine="420"/>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zh-CN"/>
        </w:rPr>
        <w:t xml:space="preserve">.1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磋商响应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和法定代表人授权委托书，否则作为无效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2" w:name="_Toc49090511"/>
      <w:r/>
      <w:bookmarkStart w:id="43" w:name="_Toc14577360"/>
      <w:r>
        <w:rPr>
          <w:rFonts w:hint="eastAsia" w:ascii="方正楷体_GBK" w:hAnsi="方正楷体_GBK" w:eastAsia="方正楷体_GBK" w:cs="方正楷体_GBK"/>
          <w:b/>
          <w:bCs/>
          <w:color w:val="auto"/>
          <w:sz w:val="28"/>
          <w:szCs w:val="28"/>
          <w:highlight w:val="none"/>
          <w:lang w:val="en-US" w:eastAsia="zh-CN"/>
        </w:rPr>
        <w:t xml:space="preserve">13.磋商有效期</w:t>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其磋商响应将</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14.磋商有效期的延长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71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44" w:name="_Hlt26954739"/>
      <w:r/>
      <w:bookmarkEnd w:id="44"/>
      <w:r/>
      <w:bookmarkStart w:id="45" w:name="_Hlt26954852"/>
      <w:r/>
      <w:bookmarkEnd w:id="45"/>
      <w:r/>
      <w:bookmarkStart w:id="46" w:name="_Toc16938540"/>
      <w:r/>
      <w:bookmarkStart w:id="47" w:name="_Toc513029224"/>
      <w:r/>
      <w:bookmarkStart w:id="48" w:name="_Toc120614217"/>
      <w:r/>
      <w:bookmarkStart w:id="49" w:name="_Toc20823296"/>
      <w:r>
        <w:rPr>
          <w:rFonts w:hint="eastAsia" w:ascii="方正黑体_GBK" w:hAnsi="方正黑体_GBK" w:eastAsia="方正黑体_GBK" w:cs="方正黑体_GBK"/>
          <w:b w:val="0"/>
          <w:bCs w:val="0"/>
          <w:color w:val="auto"/>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513029225"/>
      <w:r/>
      <w:bookmarkStart w:id="51" w:name="_Toc462564084"/>
      <w:r/>
      <w:bookmarkStart w:id="52" w:name="_Toc20823297"/>
      <w:r/>
      <w:bookmarkStart w:id="53" w:name="_Toc16938541"/>
      <w:r>
        <w:rPr>
          <w:rFonts w:hint="eastAsia" w:ascii="方正楷体_GBK" w:hAnsi="方正楷体_GBK" w:eastAsia="方正楷体_GBK" w:cs="方正楷体_GBK"/>
          <w:b/>
          <w:bCs/>
          <w:color w:val="auto"/>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54" w:name="_Toc20823298"/>
      <w:r/>
      <w:bookmarkStart w:id="55" w:name="_Toc513029226"/>
      <w:r/>
      <w:bookmarkStart w:id="56" w:name="_Toc16938542"/>
      <w:r>
        <w:rPr>
          <w:rFonts w:hint="eastAsia" w:ascii="宋体" w:hAnsi="宋体" w:eastAsia="宋体" w:cs="Times New Roman"/>
          <w:color w:val="auto"/>
          <w:sz w:val="24"/>
          <w:szCs w:val="21"/>
          <w:highlight w:val="none"/>
        </w:rPr>
        <w:t xml:space="preserve">提交响应文件截止时间后上传的</w:t>
      </w:r>
      <w:r>
        <w:rPr>
          <w:rFonts w:hint="eastAsia" w:ascii="宋体" w:hAnsi="宋体" w:eastAsia="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文件将被拒绝。</w:t>
      </w:r>
      <w:bookmarkEnd w:id="54"/>
      <w:r/>
      <w:bookmarkEnd w:id="55"/>
      <w:r/>
      <w:bookmarkEnd w:id="5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7" w:name="_Toc513029228"/>
      <w:r/>
      <w:bookmarkStart w:id="58" w:name="_Toc20823300"/>
      <w:r/>
      <w:bookmarkStart w:id="59" w:name="_Toc16938544"/>
      <w:r>
        <w:rPr>
          <w:rFonts w:hint="eastAsia" w:ascii="方正楷体_GBK" w:hAnsi="方正楷体_GBK" w:eastAsia="方正楷体_GBK" w:cs="方正楷体_GBK"/>
          <w:b/>
          <w:bCs/>
          <w:color w:val="auto"/>
          <w:sz w:val="28"/>
          <w:szCs w:val="28"/>
          <w:highlight w:val="none"/>
          <w:lang w:val="en-US" w:eastAsia="zh-CN"/>
        </w:rPr>
        <w:t xml:space="preserve">16.响应文件的撤回和修改</w:t>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120614218"/>
      <w:r/>
      <w:bookmarkStart w:id="61" w:name="_Toc513029229"/>
      <w:r/>
      <w:bookmarkStart w:id="62" w:name="_Toc20823301"/>
      <w:r/>
      <w:bookmarkStart w:id="63" w:name="_Toc16938545"/>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60"/>
      <w:r/>
      <w:bookmarkEnd w:id="61"/>
      <w:r/>
      <w:bookmarkEnd w:id="62"/>
      <w:r/>
      <w:bookmarkEnd w:id="63"/>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17.响应文件解密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17.1 供应商应当在苏采云系统规定的时间内对响应文件进行解密。</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18.2 磋商小组由采购人代表和有关方面的专家组成，人员构成符合政府采购有关规定。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18.3 磋商小组独立工作，负责评审所有响应文件并推荐成交候选人，或根据采购人授权直接确定成交供应商。</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19.评审过程的保密与公正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19.2 供应商不得以任何方式影响评审过程。</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19.3 交易中心和磋商小组不向未成交的供应商解释未成交原因，也不公布评审过程中的相关细节。</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16938548"/>
      <w:r/>
      <w:bookmarkStart w:id="65" w:name="_Toc20823304"/>
      <w:r/>
      <w:bookmarkStart w:id="66" w:name="_Toc513029232"/>
      <w:r>
        <w:rPr>
          <w:rFonts w:hint="eastAsia" w:ascii="方正楷体_GBK" w:hAnsi="方正楷体_GBK" w:eastAsia="方正楷体_GBK" w:cs="方正楷体_GBK"/>
          <w:b/>
          <w:bCs/>
          <w:color w:val="auto"/>
          <w:sz w:val="28"/>
          <w:szCs w:val="28"/>
          <w:highlight w:val="none"/>
          <w:lang w:val="en-US" w:eastAsia="zh-CN"/>
        </w:rPr>
        <w:t xml:space="preserve">20.评审过程中的澄清</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20.3 接到磋商小组澄清、说明和补正要求的供应商如未按规定做出澄清、说明和补正，其风险由供应商自行承担。</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513029233"/>
      <w:r/>
      <w:bookmarkStart w:id="68" w:name="_Toc16938549"/>
      <w:r/>
      <w:bookmarkStart w:id="69" w:name="_Toc20823305"/>
      <w:r>
        <w:rPr>
          <w:rFonts w:hint="eastAsia" w:ascii="方正楷体_GBK" w:hAnsi="方正楷体_GBK" w:eastAsia="方正楷体_GBK" w:cs="方正楷体_GBK"/>
          <w:b/>
          <w:bCs/>
          <w:color w:val="auto"/>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21.1.2 符合性审查。磋商小组</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响应文件进行符合性审查，以确定其是否满足磋商文件的实质性要求。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21.4 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基于专业判断，认为供应商</w:t>
      </w:r>
      <w:r>
        <w:rPr>
          <w:rFonts w:hint="eastAsia" w:ascii="宋体" w:hAnsi="宋体" w:eastAsia="宋体" w:cs="Times New Roman"/>
          <w:color w:val="auto"/>
          <w:sz w:val="24"/>
          <w:szCs w:val="22"/>
          <w:highlight w:val="none"/>
          <w:lang w:val="en-US" w:eastAsia="zh-CN"/>
        </w:rPr>
        <w:t xml:space="preserve">报价</w:t>
      </w:r>
      <w:r>
        <w:rPr>
          <w:rFonts w:hint="eastAsia" w:ascii="宋体" w:hAnsi="宋体" w:eastAsia="宋体" w:cs="Times New Roman"/>
          <w:color w:val="auto"/>
          <w:sz w:val="24"/>
          <w:szCs w:val="22"/>
          <w:highlight w:val="none"/>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未实质性响应磋商文件</w:t>
      </w:r>
      <w:r>
        <w:rPr>
          <w:rFonts w:hint="eastAsia" w:ascii="宋体" w:hAnsi="宋体" w:eastAsia="宋体" w:cs="Times New Roman"/>
          <w:color w:val="auto"/>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eastAsia="宋体" w:cs="Times New Roman"/>
          <w:color w:val="auto"/>
          <w:sz w:val="24"/>
          <w:szCs w:val="21"/>
          <w:highlight w:val="none"/>
          <w:lang w:val="en-US" w:eastAsia="zh-CN"/>
        </w:rPr>
        <w:t xml:space="preserve">22.1.1 未在</w:t>
      </w:r>
      <w:r>
        <w:rPr>
          <w:rFonts w:hint="eastAsia" w:ascii="宋体" w:hAnsi="宋体" w:eastAsia="宋体"/>
          <w:color w:val="auto"/>
          <w:sz w:val="24"/>
          <w:highlight w:val="none"/>
          <w:lang w:val="en-US" w:eastAsia="zh-CN"/>
        </w:rPr>
        <w:t xml:space="preserve">磋商</w:t>
      </w:r>
      <w:r>
        <w:rPr>
          <w:rFonts w:hint="eastAsia" w:ascii="宋体" w:hAnsi="宋体"/>
          <w:color w:val="auto"/>
          <w:sz w:val="24"/>
          <w:highlight w:val="none"/>
          <w:lang w:val="zh-CN"/>
        </w:rPr>
        <w:t xml:space="preserve">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22.1.3 同一供应商提交两个（含两个）以上不同的响应文件或者报价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磋商文件另有约定的除外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22.1.8 磋商小组</w:t>
      </w:r>
      <w:r>
        <w:rPr>
          <w:rFonts w:hint="eastAsia" w:ascii="宋体" w:hAnsi="宋体" w:eastAsia="宋体" w:cs="Times New Roman"/>
          <w:color w:val="auto"/>
          <w:sz w:val="24"/>
          <w:szCs w:val="21"/>
          <w:highlight w:val="none"/>
        </w:rPr>
        <w:t xml:space="preserve">按照</w:t>
      </w:r>
      <w:r>
        <w:rPr>
          <w:rFonts w:hint="eastAsia" w:ascii="宋体" w:hAnsi="宋体" w:eastAsia="宋体" w:cs="Times New Roman"/>
          <w:color w:val="auto"/>
          <w:sz w:val="24"/>
          <w:szCs w:val="21"/>
          <w:highlight w:val="none"/>
          <w:lang w:val="en-US" w:eastAsia="zh-CN"/>
        </w:rPr>
        <w:t xml:space="preserve">本磋商</w:t>
      </w:r>
      <w:r>
        <w:rPr>
          <w:rFonts w:hint="eastAsia" w:ascii="宋体" w:hAnsi="宋体" w:eastAsia="宋体" w:cs="Times New Roman"/>
          <w:color w:val="auto"/>
          <w:sz w:val="24"/>
          <w:szCs w:val="21"/>
          <w:highlight w:val="none"/>
        </w:rPr>
        <w:t xml:space="preserve">文件规定对</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22.1.9 响应文件未按照磋商文件要求加盖电子公章。</w:t>
      </w:r>
      <w:r/>
    </w:p>
    <w:p>
      <w:pPr>
        <w:ind w:firstLine="420"/>
        <w:keepLines w:val="0"/>
        <w:keepNext w:val="0"/>
        <w:pageBreakBefore w:val="0"/>
        <w:spacing w:line="240" w:lineRule="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22.1.11 法律法规及本磋商文件规定的其他无效响应的情形。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有下列情形之一的视为供应商串通</w:t>
      </w:r>
      <w:r>
        <w:rPr>
          <w:rFonts w:hint="eastAsia" w:ascii="宋体" w:hAnsi="宋体"/>
          <w:b/>
          <w:bCs/>
          <w:color w:val="auto"/>
          <w:sz w:val="24"/>
          <w:highlight w:val="none"/>
          <w:lang w:val="en-US" w:eastAsia="zh-CN"/>
        </w:rPr>
        <w:t xml:space="preserve">响应</w:t>
      </w:r>
      <w:r>
        <w:rPr>
          <w:rFonts w:hint="eastAsia" w:ascii="宋体" w:hAnsi="宋体"/>
          <w:b/>
          <w:bCs/>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委托同一单位或者个人办理</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文件异常一致或者</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eastAsia="宋体" w:cs="Times New Roman"/>
          <w:i w:val="0"/>
          <w:iCs w:val="0"/>
          <w:caps w:val="0"/>
          <w:color w:val="auto"/>
          <w:spacing w:val="0"/>
          <w:sz w:val="24"/>
          <w:szCs w:val="21"/>
          <w:highlight w:val="none"/>
          <w:shd w:val="clear" w:color="auto" w:fill="auto"/>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auto"/>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w:t>
      </w:r>
      <w:r>
        <w:rPr>
          <w:rFonts w:hint="eastAsia" w:ascii="宋体" w:hAnsi="宋体"/>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pStyle w:val="711"/>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23.磋商程序及采购活动终止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70" w:name="_Toc16938551"/>
      <w:r/>
      <w:bookmarkStart w:id="71" w:name="_Toc20823307"/>
      <w:r/>
      <w:bookmarkStart w:id="72" w:name="_Toc513029235"/>
      <w:r/>
      <w:bookmarkStart w:id="73" w:name="_Toc120614219"/>
      <w:r>
        <w:rPr>
          <w:rFonts w:hint="eastAsia" w:ascii="宋体" w:hAnsi="宋体" w:eastAsia="宋体" w:cs="Times New Roman"/>
          <w:color w:val="auto"/>
          <w:sz w:val="24"/>
          <w:szCs w:val="21"/>
          <w:highlight w:val="none"/>
          <w:lang w:val="en-US" w:eastAsia="zh-CN"/>
        </w:rPr>
        <w:t xml:space="preserve">23.1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23.2 采购活动终止情形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auto"/>
          <w:sz w:val="30"/>
          <w:szCs w:val="30"/>
          <w:highlight w:val="none"/>
        </w:rPr>
        <w:t xml:space="preserve">成交</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4" w:name="_Toc513029238"/>
      <w:r/>
      <w:bookmarkStart w:id="75" w:name="_Toc16938554"/>
      <w:r/>
      <w:bookmarkStart w:id="76" w:name="_Toc20823310"/>
      <w:r>
        <w:rPr>
          <w:rFonts w:hint="eastAsia" w:ascii="方正楷体_GBK" w:hAnsi="方正楷体_GBK" w:eastAsia="方正楷体_GBK" w:cs="方正楷体_GBK"/>
          <w:b/>
          <w:bCs/>
          <w:color w:val="auto"/>
          <w:sz w:val="28"/>
          <w:szCs w:val="28"/>
          <w:highlight w:val="none"/>
          <w:lang w:val="en-US" w:eastAsia="zh-CN"/>
        </w:rPr>
        <w:t xml:space="preserve">2</w:t>
      </w:r>
      <w:bookmarkEnd w:id="74"/>
      <w:r>
        <w:rPr>
          <w:rFonts w:hint="eastAsia" w:ascii="方正楷体_GBK" w:hAnsi="方正楷体_GBK" w:eastAsia="方正楷体_GBK" w:cs="方正楷体_GBK"/>
          <w:b/>
          <w:bCs/>
          <w:color w:val="auto"/>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24.2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w:t>
      </w:r>
      <w:r>
        <w:rPr>
          <w:rFonts w:hint="eastAsia" w:ascii="宋体" w:hAnsi="宋体" w:eastAsia="宋体" w:cs="Times New Roman"/>
          <w:color w:val="auto"/>
          <w:sz w:val="24"/>
          <w:szCs w:val="21"/>
          <w:highlight w:val="none"/>
          <w:lang w:val="en-US"/>
        </w:rPr>
        <w:t xml:space="preserve">采取不正当手段诋毁、排挤其他供应商。</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7" w:name="_Toc200451960"/>
      <w:r>
        <w:rPr>
          <w:rFonts w:hint="eastAsia" w:ascii="方正楷体_GBK" w:hAnsi="方正楷体_GBK" w:eastAsia="方正楷体_GBK" w:cs="方正楷体_GBK"/>
          <w:b/>
          <w:bCs/>
          <w:color w:val="auto"/>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26.签订合同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26.</w:t>
      </w:r>
      <w:r>
        <w:rPr>
          <w:rFonts w:hint="eastAsia" w:ascii="宋体" w:hAnsi="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w:t>
      </w:r>
      <w:r>
        <w:rPr>
          <w:rFonts w:hint="eastAsia" w:ascii="宋体" w:hAnsi="宋体" w:eastAsia="宋体" w:cs="Times New Roman"/>
          <w:color w:val="auto"/>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26.5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1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28.1 成交供应商</w:t>
      </w:r>
      <w:r>
        <w:rPr>
          <w:rFonts w:hint="eastAsia" w:ascii="宋体" w:hAnsi="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rPr>
        <w:t xml:space="preserve">网站“小企业融资平台”</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28.2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71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的，可以对</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.供应商认为</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2条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提出质疑的，为收到</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之日或者</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color w:val="auto"/>
          <w:sz w:val="24"/>
          <w:highlight w:val="none"/>
          <w:lang w:val="en-US" w:eastAsia="zh-CN"/>
        </w:rPr>
        <w:t xml:space="preserve">33.</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w:t>
      </w:r>
      <w:r>
        <w:rPr>
          <w:rFonts w:hint="eastAsia" w:ascii="宋体" w:hAnsi="宋体" w:cs="Times New Roman"/>
          <w:b/>
          <w:bCs/>
          <w:color w:val="auto"/>
          <w:sz w:val="24"/>
          <w:highlight w:val="none"/>
          <w:lang w:val="en-US" w:eastAsia="zh-CN"/>
        </w:rPr>
        <w:t xml:space="preserve">磋商文件</w:t>
      </w:r>
      <w:r>
        <w:rPr>
          <w:rFonts w:hint="eastAsia" w:ascii="宋体" w:hAnsi="宋体" w:eastAsia="宋体" w:cs="Times New Roman"/>
          <w:b/>
          <w:bCs/>
          <w:color w:val="auto"/>
          <w:sz w:val="24"/>
          <w:highlight w:val="none"/>
          <w:lang w:val="en-US" w:eastAsia="zh-CN"/>
        </w:rPr>
        <w:t xml:space="preserve">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auto"/>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属于第31条规定的对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 xml:space="preserve">交易中心或采购人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71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11"/>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6</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36.1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36.3 </w:t>
      </w:r>
      <w:r>
        <w:rPr>
          <w:rFonts w:hint="eastAsia" w:ascii="宋体" w:hAnsi="宋体" w:eastAsia="宋体" w:cs="宋体"/>
          <w:b/>
          <w:bCs/>
          <w:color w:val="auto"/>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auto"/>
          <w:spacing w:val="0"/>
          <w:sz w:val="24"/>
          <w:szCs w:val="22"/>
          <w:highlight w:val="none"/>
          <w:shd w:val="clear" w:color="auto" w:fill="auto"/>
          <w:lang w:val="zh-CN"/>
        </w:rPr>
        <w:t xml:space="preserve">。</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w:t>
      </w:r>
      <w:r>
        <w:rPr>
          <w:rFonts w:hint="eastAsia" w:ascii="宋体" w:hAnsi="宋体" w:eastAsia="宋体" w:cs="宋体"/>
          <w:color w:val="auto"/>
          <w:sz w:val="24"/>
          <w:szCs w:val="24"/>
          <w:highlight w:val="none"/>
          <w:lang w:val="en-US" w:eastAsia="zh-CN"/>
        </w:rPr>
        <w:t xml:space="preserve">统</w:t>
      </w:r>
      <w:r>
        <w:rPr>
          <w:rFonts w:hint="eastAsia" w:ascii="宋体" w:hAnsi="宋体" w:eastAsia="宋体" w:cs="宋体"/>
          <w:color w:val="auto"/>
          <w:sz w:val="24"/>
          <w:szCs w:val="24"/>
          <w:highlight w:val="none"/>
        </w:rPr>
        <w:t xml:space="preserve">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含新疆生产建设兵团</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cs="宋体"/>
          <w:color w:val="auto"/>
          <w:sz w:val="24"/>
          <w:szCs w:val="24"/>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711"/>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7</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37.3 采购产品</w:t>
      </w:r>
      <w:r>
        <w:rPr>
          <w:rFonts w:hint="eastAsia" w:ascii="宋体" w:hAnsi="宋体" w:eastAsia="宋体" w:cs="Times New Roman"/>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en-US" w:eastAsia="zh-CN"/>
        </w:rPr>
        <w:t xml:space="preserve">第五章</w:t>
      </w:r>
      <w:r>
        <w:rPr>
          <w:rFonts w:hint="eastAsia" w:ascii="宋体" w:hAnsi="宋体" w:eastAsia="宋体" w:cs="Times New Roman"/>
          <w:color w:val="auto"/>
          <w:sz w:val="24"/>
          <w:highlight w:val="none"/>
          <w:lang w:val="zh-CN"/>
        </w:rPr>
        <w:t xml:space="preserve">）。</w:t>
      </w:r>
      <w:r/>
    </w:p>
    <w:p>
      <w:pPr>
        <w:pStyle w:val="711"/>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38</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w:t>
      </w:r>
      <w:r>
        <w:rPr>
          <w:rFonts w:hint="eastAsia" w:ascii="宋体" w:hAnsi="宋体" w:cs="Times New Roman"/>
          <w:color w:val="auto"/>
          <w:sz w:val="24"/>
          <w:highlight w:val="none"/>
          <w:lang w:val="en-US" w:eastAsia="zh-CN"/>
        </w:rPr>
        <w:t xml:space="preserve">磋商文件</w:t>
      </w:r>
      <w:r>
        <w:rPr>
          <w:rFonts w:hint="eastAsia" w:ascii="宋体" w:hAnsi="宋体" w:eastAsia="宋体" w:cs="Times New Roman"/>
          <w:color w:val="auto"/>
          <w:sz w:val="24"/>
          <w:highlight w:val="none"/>
          <w:lang w:val="en-US" w:eastAsia="zh-CN"/>
        </w:rPr>
        <w:t xml:space="preserve">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38.2 采购产品中涉及数据中心相关设备、运维服务的，应按照《关于印发</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eastAsia="zh-CN"/>
        </w:rPr>
        <w:t xml:space="preserve">绿色数据中心政府采购需求标准（试行）</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eastAsia="zh-CN"/>
        </w:rPr>
        <w:t xml:space="preserve">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w:t>
      </w:r>
      <w:r>
        <w:rPr>
          <w:rFonts w:hint="eastAsia" w:ascii="宋体" w:hAnsi="宋体" w:cs="Times New Roman"/>
          <w:color w:val="auto"/>
          <w:sz w:val="24"/>
          <w:highlight w:val="none"/>
          <w:lang w:val="en-US" w:eastAsia="zh-CN"/>
        </w:rPr>
        <w:t xml:space="preserve">磋商文件</w:t>
      </w:r>
      <w:r>
        <w:rPr>
          <w:rFonts w:hint="eastAsia" w:ascii="宋体" w:hAnsi="宋体" w:eastAsia="宋体" w:cs="Times New Roman"/>
          <w:color w:val="auto"/>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711"/>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39.1 优先采购各级政府部门公开发布的有效期内的创新产品、首台套等《目录》内的创新产品。创新产品自进入《目录》起2年内视同具备相应销售业绩。</w:t>
      </w:r>
      <w:r/>
    </w:p>
    <w:p>
      <w:pPr>
        <w:pStyle w:val="711"/>
        <w:ind w:firstLine="422"/>
        <w:pageBreakBefore w:val="0"/>
        <w:spacing w:before="0" w:after="0" w:line="240" w:lineRule="auto"/>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40.</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711"/>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41.</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eastAsia="zh-CN"/>
        </w:rPr>
        <w:t xml:space="preserve">国务院办公厅关于在政府采购中实施本国产品标准及相关政策的通知</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41.5政策执行要求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pStyle w:val="711"/>
        <w:ind w:firstLine="422"/>
        <w:pageBreakBefore w:val="0"/>
        <w:spacing w:before="0" w:after="0" w:line="240" w:lineRule="auto"/>
        <w:rPr>
          <w:rFonts w:hint="eastAsia" w:ascii="方正楷体_GBK" w:hAnsi="方正楷体_GBK" w:eastAsia="方正楷体_GBK" w:cs="方正楷体_GBK"/>
          <w:color w:val="auto"/>
          <w:sz w:val="28"/>
          <w:highlight w:val="none"/>
          <w:lang w:val="zh-CN" w:eastAsia="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2</w:t>
      </w:r>
      <w:r>
        <w:rPr>
          <w:rFonts w:hint="eastAsia" w:ascii="方正楷体_GBK" w:hAnsi="方正楷体_GBK" w:eastAsia="方正楷体_GBK" w:cs="方正楷体_GBK"/>
          <w:color w:val="auto"/>
          <w:sz w:val="28"/>
          <w:highlight w:val="none"/>
          <w:lang w:val="zh-CN"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719"/>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ind w:right="840"/>
        <w:jc w:val="center"/>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auto"/>
          <w:sz w:val="24"/>
          <w:szCs w:val="21"/>
          <w:highlight w:val="none"/>
          <w:lang w:eastAsia="zh-CN"/>
        </w:rPr>
        <w:outlineLvl w:val="9"/>
      </w:pPr>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val="en-US" w:eastAsia="zh-CN"/>
        </w:rPr>
        <w:t xml:space="preserve">合同双方不得对磋商、响应文件内容作</w:t>
      </w:r>
      <w:r>
        <w:rPr>
          <w:rFonts w:hint="eastAsia" w:ascii="宋体" w:hAnsi="宋体"/>
          <w:bCs/>
          <w:color w:val="auto"/>
          <w:sz w:val="24"/>
          <w:szCs w:val="21"/>
          <w:highlight w:val="none"/>
        </w:rPr>
        <w:t xml:space="preserve">实质性修改</w:t>
      </w:r>
      <w:r>
        <w:rPr>
          <w:rFonts w:hint="eastAsia" w:ascii="宋体" w:hAnsi="宋体"/>
          <w:bCs/>
          <w:color w:val="auto"/>
          <w:sz w:val="24"/>
          <w:szCs w:val="21"/>
          <w:highlight w:val="none"/>
          <w:lang w:eastAsia="zh-CN"/>
        </w:rPr>
        <w:t xml:space="preserve">。</w:t>
      </w:r>
      <w:r/>
    </w:p>
    <w:p>
      <w:pPr>
        <w:pStyle w:val="913"/>
        <w:ind w:left="0" w:firstLine="0"/>
        <w:keepLines w:val="0"/>
        <w:keepNext w:val="0"/>
        <w:pageBreakBefore w:val="0"/>
        <w:spacing w:line="240" w:lineRule="auto"/>
        <w:widowControl w:val="off"/>
        <w:rPr>
          <w:rFonts w:hint="eastAsia"/>
          <w:color w:val="auto"/>
          <w:highlight w:val="none"/>
          <w:lang w:eastAsia="zh-CN"/>
        </w:rPr>
      </w:pPr>
      <w:r>
        <w:rPr>
          <w:rFonts w:hint="eastAsia"/>
          <w:color w:val="auto"/>
          <w:highlight w:val="none"/>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lang w:eastAsia="zh-CN"/>
        </w:rPr>
        <w:t xml:space="preserve">南京市</w:t>
      </w:r>
      <w:r>
        <w:rPr>
          <w:rFonts w:hint="eastAsia" w:ascii="方正小标宋简体" w:hAnsi="方正小标宋简体" w:eastAsia="方正小标宋简体" w:cs="方正小标宋简体"/>
          <w:b w:val="0"/>
          <w:bCs/>
          <w:color w:val="auto"/>
          <w:sz w:val="32"/>
          <w:szCs w:val="32"/>
          <w:highlight w:val="none"/>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lang w:eastAsia="zh-CN"/>
        </w:rPr>
        <w:t xml:space="preserve">竞争性磋商</w:t>
      </w:r>
      <w:r>
        <w:rPr>
          <w:rFonts w:ascii="宋体" w:hAnsi="宋体" w:cs="Courier New"/>
          <w:color w:val="auto"/>
          <w:sz w:val="24"/>
          <w:szCs w:val="24"/>
          <w:highlight w:val="none"/>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w:t>
      </w:r>
      <w:r>
        <w:rPr>
          <w:rFonts w:hint="eastAsia" w:ascii="宋体" w:hAnsi="宋体" w:eastAsia="宋体" w:cs="宋体"/>
          <w:color w:val="auto"/>
          <w:sz w:val="24"/>
          <w:szCs w:val="24"/>
          <w:highlight w:val="none"/>
          <w:lang w:val="en-US" w:eastAsia="zh-CN"/>
        </w:rPr>
        <w:t xml:space="preserve">磋商</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734"/>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rPr>
          <w:rFonts w:hint="eastAsia"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w:t>
      </w:r>
      <w:r>
        <w:rPr>
          <w:rFonts w:hint="eastAsia" w:ascii="宋体" w:hAnsi="宋体" w:eastAsia="宋体" w:cs="Courier New"/>
          <w:color w:val="auto"/>
          <w:sz w:val="24"/>
          <w:szCs w:val="24"/>
          <w:highlight w:val="none"/>
          <w:lang w:eastAsia="zh-CN"/>
        </w:rPr>
        <w:t xml:space="preserve">磋商文件</w:t>
      </w:r>
      <w:r>
        <w:rPr>
          <w:rFonts w:hint="eastAsia" w:ascii="宋体" w:hAnsi="宋体" w:eastAsia="宋体" w:cs="Courier New"/>
          <w:color w:val="auto"/>
          <w:sz w:val="24"/>
          <w:szCs w:val="24"/>
          <w:highlight w:val="none"/>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以合法方式和途径将其全部披露或本合同终止后5年为止，以两者孰长为准</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w:t>
      </w:r>
      <w:r>
        <w:rPr>
          <w:rFonts w:hint="eastAsia" w:ascii="宋体" w:hAnsi="宋体" w:eastAsia="宋体" w:cs="Courier New"/>
          <w:color w:val="auto"/>
          <w:sz w:val="24"/>
          <w:szCs w:val="24"/>
          <w:highlight w:val="none"/>
          <w:lang w:val="en-US" w:eastAsia="zh-CN"/>
        </w:rPr>
        <w:t xml:space="preserve">磋商</w:t>
      </w:r>
      <w:r>
        <w:rPr>
          <w:rFonts w:hint="eastAsia" w:ascii="宋体" w:hAnsi="宋体" w:eastAsia="宋体" w:cs="Courier New"/>
          <w:color w:val="auto"/>
          <w:sz w:val="24"/>
          <w:szCs w:val="24"/>
          <w:highlight w:val="none"/>
        </w:rPr>
        <w:t xml:space="preserve">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734"/>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2"/>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734"/>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合同签订且服务团队人员到位后，甲方支付系统开发费用的30%作为预付款。</w:t>
      </w:r>
      <w:r/>
    </w:p>
    <w:p>
      <w:pPr>
        <w:pStyle w:val="734"/>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软件完全交付并上线正式运行</w:t>
      </w:r>
      <w:r>
        <w:rPr>
          <w:rFonts w:hint="eastAsia" w:hAnsi="宋体" w:cs="Courier New"/>
          <w:color w:val="auto"/>
          <w:sz w:val="24"/>
          <w:szCs w:val="24"/>
          <w:highlight w:val="none"/>
          <w:lang w:val="en-US" w:eastAsia="zh-CN"/>
        </w:rPr>
        <w:t xml:space="preserve">且</w:t>
      </w:r>
      <w:r>
        <w:rPr>
          <w:rFonts w:hint="eastAsia" w:ascii="宋体" w:hAnsi="宋体" w:eastAsia="宋体" w:cs="Courier New"/>
          <w:color w:val="auto"/>
          <w:sz w:val="24"/>
          <w:szCs w:val="24"/>
          <w:highlight w:val="none"/>
          <w:lang w:val="en-US" w:eastAsia="zh-CN"/>
        </w:rPr>
        <w:t xml:space="preserve">经甲方验收合格后，</w:t>
      </w:r>
      <w:r>
        <w:rPr>
          <w:rFonts w:hint="eastAsia" w:hAnsi="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val="en-US" w:eastAsia="zh-CN"/>
        </w:rPr>
        <w:t xml:space="preserve">结清</w:t>
      </w:r>
      <w:r>
        <w:rPr>
          <w:rFonts w:hint="eastAsia" w:hAnsi="宋体" w:cs="Courier New"/>
          <w:color w:val="auto"/>
          <w:sz w:val="24"/>
          <w:szCs w:val="24"/>
          <w:highlight w:val="none"/>
          <w:lang w:val="en-US" w:eastAsia="zh-CN"/>
        </w:rPr>
        <w:t xml:space="preserve">剩余</w:t>
      </w:r>
      <w:r>
        <w:rPr>
          <w:rFonts w:hint="eastAsia" w:ascii="宋体" w:hAnsi="宋体" w:eastAsia="宋体" w:cs="Courier New"/>
          <w:color w:val="auto"/>
          <w:sz w:val="24"/>
          <w:szCs w:val="24"/>
          <w:highlight w:val="none"/>
          <w:lang w:val="en-US" w:eastAsia="zh-CN"/>
        </w:rPr>
        <w:t xml:space="preserve">系统开发费用。</w:t>
      </w:r>
      <w:r/>
    </w:p>
    <w:p>
      <w:pPr>
        <w:pStyle w:val="734"/>
        <w:keepLines w:val="0"/>
        <w:keepNext w:val="0"/>
        <w:pageBreakBefore w:val="0"/>
        <w:spacing w:before="0" w:after="0" w:line="240" w:lineRule="auto"/>
        <w:widowControl w:val="off"/>
        <w:rPr>
          <w:rFonts w:hint="eastAsia" w:hAnsi="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系统验收合格后进入</w:t>
      </w:r>
      <w:r>
        <w:rPr>
          <w:rFonts w:hint="eastAsia" w:hAnsi="宋体" w:cs="Courier New"/>
          <w:color w:val="auto"/>
          <w:sz w:val="24"/>
          <w:szCs w:val="24"/>
          <w:highlight w:val="none"/>
          <w:lang w:val="en-US" w:eastAsia="zh-CN"/>
        </w:rPr>
        <w:t xml:space="preserve">运维</w:t>
      </w:r>
      <w:r>
        <w:rPr>
          <w:rFonts w:hint="eastAsia" w:ascii="宋体" w:hAnsi="宋体" w:eastAsia="宋体" w:cs="Courier New"/>
          <w:color w:val="auto"/>
          <w:sz w:val="24"/>
          <w:szCs w:val="24"/>
          <w:highlight w:val="none"/>
          <w:lang w:val="en-US" w:eastAsia="zh-CN"/>
        </w:rPr>
        <w:t xml:space="preserve">期，</w:t>
      </w:r>
      <w:r>
        <w:rPr>
          <w:rFonts w:hint="eastAsia" w:hAnsi="宋体" w:cs="Courier New"/>
          <w:color w:val="auto"/>
          <w:sz w:val="24"/>
          <w:szCs w:val="24"/>
          <w:highlight w:val="none"/>
          <w:lang w:val="en-US" w:eastAsia="zh-CN"/>
        </w:rPr>
        <w:t xml:space="preserve">运维期满</w:t>
      </w:r>
      <w:r>
        <w:rPr>
          <w:rFonts w:hint="eastAsia" w:ascii="宋体" w:hAnsi="宋体" w:eastAsia="宋体" w:cs="Courier New"/>
          <w:color w:val="auto"/>
          <w:sz w:val="24"/>
          <w:szCs w:val="24"/>
          <w:highlight w:val="none"/>
          <w:lang w:val="en-US" w:eastAsia="zh-CN"/>
        </w:rPr>
        <w:t xml:space="preserve">经考核合格后甲方支付</w:t>
      </w:r>
      <w:r>
        <w:rPr>
          <w:rFonts w:hint="eastAsia" w:hAnsi="宋体" w:cs="Courier New"/>
          <w:color w:val="auto"/>
          <w:sz w:val="24"/>
          <w:szCs w:val="24"/>
          <w:highlight w:val="none"/>
          <w:lang w:val="en-US" w:eastAsia="zh-CN"/>
        </w:rPr>
        <w:t xml:space="preserve">全部</w:t>
      </w:r>
      <w:r>
        <w:rPr>
          <w:rFonts w:hint="eastAsia" w:ascii="宋体" w:hAnsi="宋体" w:eastAsia="宋体" w:cs="Courier New"/>
          <w:color w:val="auto"/>
          <w:sz w:val="24"/>
          <w:szCs w:val="24"/>
          <w:highlight w:val="none"/>
          <w:lang w:val="en-US" w:eastAsia="zh-CN"/>
        </w:rPr>
        <w:t xml:space="preserve">系统运维费</w:t>
      </w:r>
      <w:r>
        <w:rPr>
          <w:rFonts w:hint="eastAsia" w:hAnsi="宋体" w:cs="Courier New"/>
          <w:color w:val="auto"/>
          <w:sz w:val="24"/>
          <w:szCs w:val="24"/>
          <w:highlight w:val="none"/>
          <w:lang w:val="en-US" w:eastAsia="zh-CN"/>
        </w:rPr>
        <w:t xml:space="preserve">。</w:t>
      </w:r>
      <w:r/>
    </w:p>
    <w:p>
      <w:pPr>
        <w:pStyle w:val="734"/>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以上款项均为无息支付。</w:t>
      </w:r>
      <w:r/>
    </w:p>
    <w:p>
      <w:pPr>
        <w:pStyle w:val="734"/>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 满足合同约定支付条件的，甲方收到乙方发票后10个工作日内，将资金支付到合同约定的乙方账户。 </w:t>
      </w:r>
      <w:r/>
    </w:p>
    <w:p>
      <w:pPr>
        <w:pStyle w:val="734"/>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 如有必要，甲方</w:t>
      </w:r>
      <w:r>
        <w:rPr>
          <w:rFonts w:hint="eastAsia" w:ascii="宋体" w:hAnsi="宋体" w:eastAsia="宋体" w:cs="Courier New"/>
          <w:color w:val="auto"/>
          <w:sz w:val="24"/>
          <w:szCs w:val="24"/>
          <w:highlight w:val="none"/>
          <w:lang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eastAsia="zh-CN"/>
        </w:rPr>
        <w:t xml:space="preserve">磋商</w:t>
      </w:r>
      <w:r>
        <w:rPr>
          <w:rFonts w:hint="eastAsia" w:ascii="宋体" w:hAnsi="宋体" w:eastAsia="宋体" w:cs="Courier New"/>
          <w:color w:val="auto"/>
          <w:sz w:val="24"/>
          <w:szCs w:val="24"/>
          <w:highlight w:val="none"/>
        </w:rPr>
        <w:t xml:space="preserve">的其他供应商或第三方专业机构及专家参与验收，相关意见将作为验收</w:t>
      </w:r>
      <w:r>
        <w:rPr>
          <w:rFonts w:hint="eastAsia" w:ascii="宋体" w:hAnsi="宋体" w:eastAsia="宋体" w:cs="Courier New"/>
          <w:color w:val="auto"/>
          <w:sz w:val="24"/>
          <w:szCs w:val="24"/>
          <w:highlight w:val="none"/>
          <w:lang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auto"/>
          <w:sz w:val="24"/>
          <w:szCs w:val="24"/>
          <w:highlight w:val="none"/>
          <w:lang w:eastAsia="zh-CN"/>
        </w:rPr>
        <w:t xml:space="preserve">磋商文件</w:t>
      </w:r>
      <w:r>
        <w:rPr>
          <w:rFonts w:hint="eastAsia" w:ascii="宋体" w:hAnsi="宋体" w:eastAsia="宋体" w:cs="Courier New"/>
          <w:color w:val="auto"/>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highlight w:val="none"/>
          <w:lang w:val="en-US" w:eastAsia="zh-CN"/>
        </w:rPr>
        <w:t xml:space="preserve">服务</w:t>
      </w:r>
      <w:r>
        <w:rPr>
          <w:rFonts w:hint="eastAsia" w:ascii="宋体" w:hAnsi="宋体" w:eastAsia="宋体" w:cs="Courier New"/>
          <w:color w:val="auto"/>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highlight w:val="none"/>
          <w:lang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zh-CN" w:eastAsia="zh-CN"/>
        </w:rPr>
        <w:t xml:space="preserve">10.7 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 甲方无正当理由拒绝接受乙方提供服务的，应向乙方偿付拒绝接受服务合同总额</w:t>
      </w:r>
      <w:r>
        <w:rPr>
          <w:rFonts w:hint="eastAsia" w:ascii="宋体" w:hAnsi="宋体" w:eastAsia="宋体" w:cs="Courier New"/>
          <w:color w:val="auto"/>
          <w:sz w:val="24"/>
          <w:szCs w:val="24"/>
          <w:highlight w:val="none"/>
          <w:u w:val="single"/>
        </w:rPr>
        <w:t xml:space="preserve">20% </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11.2 甲方无故逾期验收和办理支付手续的，应按逾期付款总额每日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宋体"/>
          <w:color w:val="auto"/>
          <w:sz w:val="24"/>
          <w:szCs w:val="24"/>
          <w:u w:val="single"/>
          <w:lang w:val="en-US" w:eastAsia="zh-CN"/>
        </w:rPr>
        <w:t xml:space="preserve">5‱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highlight w:val="none"/>
        </w:rPr>
        <w:t xml:space="preserve">向乙方支付违约金</w:t>
      </w:r>
      <w:r>
        <w:rPr>
          <w:rFonts w:hint="eastAsia" w:ascii="宋体" w:hAnsi="宋体" w:cs="Courier New"/>
          <w:color w:val="auto"/>
          <w:sz w:val="24"/>
          <w:szCs w:val="24"/>
          <w:highlight w:val="none"/>
          <w:lang w:eastAsia="zh-CN"/>
        </w:rPr>
        <w:t xml:space="preserve">，</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20</w:t>
      </w:r>
      <w:r>
        <w:rPr>
          <w:rFonts w:hint="eastAsia" w:ascii="宋体" w:hAnsi="宋体" w:cs="Courier New"/>
          <w:color w:val="auto"/>
          <w:sz w:val="24"/>
          <w:szCs w:val="24"/>
          <w:u w:val="single"/>
        </w:rPr>
        <w:t xml:space="preserve"> </w:t>
      </w:r>
      <w:r>
        <w:rPr>
          <w:rFonts w:ascii="宋体" w:hAnsi="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 乙方逾期提供服务的，应按逾期提供服务合同总额每日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宋体"/>
          <w:color w:val="auto"/>
          <w:sz w:val="24"/>
          <w:szCs w:val="24"/>
          <w:u w:val="single"/>
          <w:lang w:val="en-US" w:eastAsia="zh-CN"/>
        </w:rPr>
        <w:t xml:space="preserve">5‱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Courier New"/>
          <w:color w:val="auto"/>
          <w:sz w:val="24"/>
          <w:szCs w:val="24"/>
          <w:highlight w:val="none"/>
          <w:u w:val="single"/>
        </w:rPr>
        <w:t xml:space="preserve"> 20% </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 </w:t>
      </w:r>
      <w:r>
        <w:rPr>
          <w:rFonts w:hint="eastAsia" w:ascii="宋体" w:hAnsi="宋体" w:cs="Courier New"/>
          <w:color w:val="auto"/>
          <w:sz w:val="24"/>
          <w:szCs w:val="24"/>
          <w:highlight w:val="none"/>
        </w:rPr>
        <w:t xml:space="preserve">乙方提供服务的标准不符合合同规定及招标文件规定标准的；经验收不合格的，需由乙方整改完成并再验收的，期间按逾期标准向甲方支付逾期违约金。同时甲方也可选择拒绝接受服务，并可单方面解除合同。</w:t>
      </w:r>
      <w:r/>
    </w:p>
    <w:p>
      <w:pPr>
        <w:keepLines w:val="0"/>
        <w:keepNext w:val="0"/>
        <w:pageBreakBefore w:val="0"/>
        <w:spacing w:before="0" w:after="0" w:line="240" w:lineRule="auto"/>
        <w:widowControl w:val="off"/>
        <w:rPr>
          <w:rFonts w:hint="eastAsia"/>
          <w:color w:val="auto"/>
          <w:highlight w:val="none"/>
        </w:rPr>
      </w:pPr>
      <w:r>
        <w:rPr>
          <w:rFonts w:hint="eastAsia" w:ascii="宋体" w:hAnsi="宋体" w:eastAsia="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双方在签订、履行合同中所发生的一切争议，应通过友好协商解决。如协商不成</w:t>
      </w:r>
      <w:r>
        <w:rPr>
          <w:rFonts w:hint="eastAsia" w:ascii="宋体" w:hAnsi="宋体" w:eastAsia="宋体" w:cs="Courier New"/>
          <w:color w:val="auto"/>
          <w:sz w:val="24"/>
          <w:szCs w:val="24"/>
          <w:highlight w:val="none"/>
          <w:lang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lang w:eastAsia="zh-CN"/>
        </w:rPr>
      </w:pPr>
      <w:r>
        <w:rPr>
          <w:rFonts w:hint="eastAsia" w:ascii="方正黑体_GBK" w:hAnsi="方正黑体_GBK" w:eastAsia="方正黑体_GBK" w:cs="方正黑体_GBK"/>
          <w:b w:val="0"/>
          <w:bCs/>
          <w:color w:val="auto"/>
          <w:sz w:val="24"/>
          <w:szCs w:val="24"/>
          <w:highlight w:val="none"/>
        </w:rPr>
        <w:t xml:space="preserve">十四、合同生效及其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本合同未尽事宜，遵照《</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本合同正本一式两份，具有同等法律效力，甲方、乙方各执一份。</w:t>
      </w:r>
      <w:r/>
    </w:p>
    <w:p>
      <w:pPr>
        <w:pStyle w:val="734"/>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734"/>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734"/>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地址：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地址： </w:t>
      </w:r>
      <w:r/>
    </w:p>
    <w:p>
      <w:pPr>
        <w:pStyle w:val="734"/>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法定代表人：        </w:t>
      </w:r>
      <w:r>
        <w:rPr>
          <w:rFonts w:hint="eastAsia" w:hAnsi="宋体" w:eastAsia="宋体" w:cs="Courier New"/>
          <w:color w:val="auto"/>
          <w:sz w:val="24"/>
          <w:szCs w:val="24"/>
          <w:highlight w:val="none"/>
          <w:lang w:val="en-US" w:eastAsia="zh-CN"/>
        </w:rPr>
        <w:t xml:space="preserve">       </w:t>
      </w:r>
      <w:r>
        <w:rPr>
          <w:rFonts w:hint="eastAsia" w:hAnsi="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w:t>
      </w:r>
      <w:r/>
    </w:p>
    <w:p>
      <w:pPr>
        <w:pStyle w:val="734"/>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734"/>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734"/>
        <w:ind w:firstLine="528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年    月   日</w:t>
      </w:r>
      <w:r/>
    </w:p>
    <w:p>
      <w:pPr>
        <w:pStyle w:val="734"/>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734"/>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52"/>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eastAsia="zh-CN" w:bidi="ar-SA"/>
        </w:rPr>
        <w:outlineLvl w:val="0"/>
      </w:pPr>
      <w:r/>
      <w:bookmarkStart w:id="78" w:name="_Toc20823346"/>
      <w:r/>
      <w:bookmarkStart w:id="79" w:name="_Hlt16619350"/>
      <w:r/>
      <w:bookmarkStart w:id="80" w:name="_Toc16938590"/>
      <w:r/>
      <w:bookmarkStart w:id="81" w:name="_Toc120614244"/>
      <w:r/>
      <w:bookmarkStart w:id="82" w:name="_Toc462564139"/>
      <w:r/>
      <w:bookmarkStart w:id="83" w:name="_Toc479757211"/>
      <w:r>
        <w:rPr>
          <w:rFonts w:hint="eastAsia" w:ascii="宋体" w:hAnsi="宋体" w:eastAsia="宋体" w:cs="Courier New"/>
          <w:color w:val="auto"/>
          <w:sz w:val="24"/>
          <w:szCs w:val="24"/>
          <w:highlight w:val="none"/>
          <w:lang w:val="en-US" w:eastAsia="zh-CN" w:bidi="ar-SA"/>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color w:val="auto"/>
          <w:sz w:val="36"/>
          <w:szCs w:val="36"/>
          <w:highlight w:val="none"/>
          <w:lang w:val="en-US" w:eastAsia="zh-CN" w:bidi="ar-SA"/>
        </w:rPr>
        <w:t xml:space="preserve">第四章  采购需求</w:t>
      </w:r>
      <w:r/>
    </w:p>
    <w:p>
      <w:pPr>
        <w:ind w:firstLine="480"/>
        <w:keepLines w:val="0"/>
        <w:keepNext w:val="0"/>
        <w:pageBreakBefore w:val="0"/>
        <w:spacing w:line="264" w:lineRule="auto"/>
        <w:widowControl w:val="off"/>
        <w:rPr>
          <w:rFonts w:ascii="黑体" w:hAnsi="黑体" w:eastAsia="黑体" w:cs="黑体"/>
          <w:color w:val="auto"/>
          <w:sz w:val="24"/>
          <w:szCs w:val="24"/>
        </w:rPr>
      </w:pPr>
      <w:r/>
      <w:bookmarkStart w:id="86" w:name="OLE_LINK1"/>
      <w:r/>
      <w:bookmarkStart w:id="87" w:name="_Toc120614281"/>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p>
    <w:p>
      <w:pPr>
        <w:ind w:firstLine="480"/>
        <w:keepLines w:val="0"/>
        <w:keepNext w:val="0"/>
        <w:pageBreakBefore w:val="0"/>
        <w:spacing w:line="264" w:lineRule="auto"/>
        <w:widowControl w:val="off"/>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（一）项目背景</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南京市第一医院前期已成功部署并运行“生物样本管理系统”，该系统在样本管理工作中发挥了关键作用。随着科研工作的深入发展及临床研究的广泛开展，现有科室版系统在覆盖范围、数据互通、资源统筹等方面已逐渐显现局限性。为支撑南京市第一医院更高水平的科研创新与临床转化，现将系统进行升级，形成服务全院的版本。</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（二）项目建设遵循标准</w:t>
      </w:r>
      <w:r/>
    </w:p>
    <w:p>
      <w:pPr>
        <w:ind w:firstLine="480"/>
        <w:jc w:val="left"/>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遵循国家、行业及地方现行的规范和标准。平台建设与运行应严格遵守《中华人民共和国网络安全法》《中华人民共和国著作权法》等相关法律法规。软件系统应符合ISO 20387 /GB/T 37864-2019《生物样本库质量和能力通用要求》，并参照 ISBER Best Practices、BRISQ（生物样本报告规范）、SPREC（分析前标准编码）、CDISC、WS/T 225《临床化学检验血液标本的收集与处理》等成熟标准。</w:t>
      </w:r>
      <w:r/>
    </w:p>
    <w:p>
      <w:pPr>
        <w:ind w:firstLine="480"/>
        <w:keepLines w:val="0"/>
        <w:keepNext w:val="0"/>
        <w:pageBreakBefore w:val="0"/>
        <w:spacing w:line="264" w:lineRule="auto"/>
        <w:widowControl w:val="off"/>
        <w:rPr>
          <w:rFonts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993"/>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91"/>
        <w:gridCol w:w="1707"/>
        <w:gridCol w:w="949"/>
        <w:gridCol w:w="901"/>
        <w:gridCol w:w="1324"/>
        <w:gridCol w:w="1340"/>
        <w:gridCol w:w="1666"/>
        <w:gridCol w:w="1378"/>
      </w:tblGrid>
      <w:tr>
        <w:trPr>
          <w:trHeight w:val="696"/>
        </w:trPr>
        <w:tc>
          <w:tcPr>
            <w:tcW w:w="69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序号</w:t>
            </w:r>
            <w:r/>
          </w:p>
        </w:tc>
        <w:tc>
          <w:tcPr>
            <w:tcW w:w="1707"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分项名称</w:t>
            </w:r>
            <w:r/>
          </w:p>
        </w:tc>
        <w:tc>
          <w:tcPr>
            <w:tcW w:w="949"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数量</w:t>
            </w:r>
            <w:r/>
          </w:p>
        </w:tc>
        <w:tc>
          <w:tcPr>
            <w:tcW w:w="90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单位</w:t>
            </w:r>
            <w:r/>
          </w:p>
        </w:tc>
        <w:tc>
          <w:tcPr>
            <w:tcW w:w="1324"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产品类型</w:t>
            </w:r>
            <w:r/>
          </w:p>
        </w:tc>
        <w:tc>
          <w:tcPr>
            <w:tcW w:w="1340"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单价上限</w:t>
            </w:r>
            <w:r/>
          </w:p>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（元）</w:t>
            </w:r>
            <w:r/>
          </w:p>
        </w:tc>
        <w:tc>
          <w:tcPr>
            <w:tcW w:w="1666"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lang w:val="en-US" w:eastAsia="zh-CN"/>
              </w:rPr>
              <w:t xml:space="preserve">中小企业划分标准</w:t>
            </w:r>
            <w:r>
              <w:rPr>
                <w:rFonts w:hint="eastAsia" w:ascii="宋体" w:hAnsi="宋体"/>
                <w:bCs/>
                <w:color w:val="auto"/>
                <w:sz w:val="24"/>
                <w:szCs w:val="24"/>
              </w:rPr>
              <w:t xml:space="preserve">所属行业</w:t>
            </w:r>
            <w:r/>
          </w:p>
        </w:tc>
        <w:tc>
          <w:tcPr>
            <w:tcW w:w="1378"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属性</w:t>
            </w:r>
            <w:r/>
          </w:p>
        </w:tc>
      </w:tr>
      <w:tr>
        <w:trPr>
          <w:trHeight w:val="600"/>
        </w:trPr>
        <w:tc>
          <w:tcPr>
            <w:tcW w:w="69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w:t>
            </w:r>
            <w:r/>
          </w:p>
        </w:tc>
        <w:tc>
          <w:tcPr>
            <w:tcW w:w="1707" w:type="dxa"/>
            <w:vAlign w:val="center"/>
            <w:textDirection w:val="lrTb"/>
            <w:noWrap w:val="false"/>
          </w:tcPr>
          <w:p>
            <w:pP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生物样本库信息管理系统二期</w:t>
            </w:r>
            <w:r/>
          </w:p>
        </w:tc>
        <w:tc>
          <w:tcPr>
            <w:tcW w:w="949"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w:t>
            </w:r>
            <w:r/>
          </w:p>
        </w:tc>
        <w:tc>
          <w:tcPr>
            <w:tcW w:w="901"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项</w:t>
            </w:r>
            <w:r/>
          </w:p>
        </w:tc>
        <w:tc>
          <w:tcPr>
            <w:tcW w:w="1324"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主要产品</w:t>
            </w:r>
            <w:r/>
          </w:p>
        </w:tc>
        <w:tc>
          <w:tcPr>
            <w:tcW w:w="1340"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180000</w:t>
            </w:r>
            <w:r/>
          </w:p>
        </w:tc>
        <w:tc>
          <w:tcPr>
            <w:tcW w:w="1666"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W w:w="1378"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服务</w:t>
            </w:r>
            <w:r/>
          </w:p>
        </w:tc>
      </w:tr>
      <w:tr>
        <w:trPr>
          <w:trHeight w:val="468"/>
        </w:trPr>
        <w:tc>
          <w:tcPr>
            <w:tcW w:w="69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2</w:t>
            </w:r>
            <w:r/>
          </w:p>
        </w:tc>
        <w:tc>
          <w:tcPr>
            <w:tcW w:w="1707" w:type="dxa"/>
            <w:vAlign w:val="center"/>
            <w:textDirection w:val="lrTb"/>
            <w:noWrap w:val="false"/>
          </w:tcPr>
          <w:p>
            <w:pPr>
              <w:keepLines w:val="0"/>
              <w:keepNext w:val="0"/>
              <w:pageBreakBefore w:val="0"/>
              <w:spacing w:line="264" w:lineRule="auto"/>
              <w:widowControl w:val="off"/>
              <w:rPr>
                <w:rFonts w:ascii="宋体" w:hAnsi="宋体"/>
                <w:color w:val="auto"/>
                <w:sz w:val="24"/>
                <w:szCs w:val="24"/>
              </w:rPr>
            </w:pPr>
            <w:r>
              <w:rPr>
                <w:rFonts w:hint="eastAsia" w:ascii="宋体" w:hAnsi="宋体"/>
                <w:bCs/>
                <w:color w:val="auto"/>
                <w:sz w:val="24"/>
                <w:szCs w:val="24"/>
              </w:rPr>
              <w:t xml:space="preserve">软件运维</w:t>
            </w:r>
            <w:r/>
          </w:p>
        </w:tc>
        <w:tc>
          <w:tcPr>
            <w:tcW w:w="949"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w:t>
            </w:r>
            <w:r/>
          </w:p>
        </w:tc>
        <w:tc>
          <w:tcPr>
            <w:tcW w:w="901"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项</w:t>
            </w:r>
            <w:r/>
          </w:p>
        </w:tc>
        <w:tc>
          <w:tcPr>
            <w:tcW w:w="1324"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ascii="宋体" w:hAnsi="宋体"/>
                <w:bCs/>
                <w:color w:val="auto"/>
                <w:sz w:val="24"/>
                <w:szCs w:val="24"/>
              </w:rPr>
            </w:r>
            <w:r/>
          </w:p>
        </w:tc>
        <w:tc>
          <w:tcPr>
            <w:tcW w:w="1340"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20000</w:t>
            </w:r>
            <w:r/>
          </w:p>
        </w:tc>
        <w:tc>
          <w:tcPr>
            <w:tcW w:w="1666"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W w:w="1378"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服务</w:t>
            </w:r>
            <w:r/>
          </w:p>
        </w:tc>
      </w:tr>
    </w:tbl>
    <w:p>
      <w:pPr>
        <w:ind w:firstLine="480"/>
        <w:keepLines w:val="0"/>
        <w:keepNext w:val="0"/>
        <w:pageBreakBefore w:val="0"/>
        <w:spacing w:line="264" w:lineRule="auto"/>
        <w:widowControl w:val="off"/>
        <w:rPr>
          <w:rFonts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（一）技术要求</w:t>
      </w:r>
      <w:r/>
    </w:p>
    <w:p>
      <w:pPr>
        <w:ind w:firstLine="482"/>
        <w:keepLines w:val="0"/>
        <w:keepNext w:val="0"/>
        <w:pageBreakBefore w:val="0"/>
        <w:spacing w:line="264"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1.总体要求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1）符合ISO 20387《生物样本库质量和能力认可准则》要求，支持样本全生命周期管理与合规审批流程，能够在外网看到脱敏样本信息，分中心能够在线填报样本信息。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实现样本源管理、样本管理、样本存储设备管理、项目管理、条码打印、数据统计、权限控制、安全审计等功能，支持多部门协同与数据隔离。</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2.系统架构</w:t>
      </w:r>
      <w:r>
        <w:rPr>
          <w:rFonts w:hint="eastAsia" w:ascii="宋体" w:hAnsi="宋体" w:eastAsia="宋体" w:cs="宋体"/>
          <w:b/>
          <w:bCs/>
          <w:color w:val="auto"/>
          <w:sz w:val="24"/>
          <w:szCs w:val="24"/>
          <w:lang w:val="en-US" w:eastAsia="zh-CN"/>
        </w:rPr>
        <w:t xml:space="preserve">要求</w:t>
      </w:r>
      <w:r/>
    </w:p>
    <w:p>
      <w:pPr>
        <w:ind w:firstLine="482"/>
        <w:jc w:val="left"/>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1）架构模式：系统需采用B/S架构，支持主流浏览器（Chrome、Firefox、Edge、Safari等），不得依赖IE浏览器访问。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2）部署方式：支持本地部署、分布式部署，支持IPv6网络协议。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3）用户管理：不限制注册账户数、客户端访问数，支持部门级分级管理，通过权限实现在数据层隔离不同部门数据。</w:t>
      </w:r>
      <w:r/>
    </w:p>
    <w:p>
      <w:pPr>
        <w:ind w:firstLine="482"/>
        <w:keepLines w:val="0"/>
        <w:keepNext w:val="0"/>
        <w:pageBreakBefore w:val="0"/>
        <w:spacing w:line="264"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功能模块</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样本源管理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信息管理：支持单个或批量创建、修改、删除、查看样本源信息，支持自定义扩展字段（文本型、下拉列表型、日期型、图片型、超链接、经纬度定位、子表单型等），支持子表单类型的扩展字段，一条样本源记录下可挂载多行结构化子数据，每行子数据包含多个可配置字段，支持逐行新增、编辑和删除。例如：①临床诊断子表单——记录同一患者多次诊断信息（诊断名称、诊断日期、诊断类型、确诊医院等）；②随访记录子表单——记录多次随访信息（随访日期、随访方式、临床指标、治疗方案、随访状态等）。</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2）知情同意书管理：支持手动上传知情同意书，也可对接高拍仪实现纸质文件上传，并与样本源关联。</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3）导入导出：支持自定义导入导出模板，可通过Excel批量导入导出样本源信息，导出模板可自定义字段。</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4）列表自定义：支持根据不同账号设置样本源列表表头展示内容及字段排序，导入、导出和搜索字段可自定义选择。</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5）电子知情：支持动态电子知情同意，可对告知内容进行版本控制与变更留痕；受试者在线签署并生成带时间戳的签署审计记录，支持签署状态查询与撤回管理，超越纸质知情同意书的拍照上传方式。</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采集管理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集前管理：支持采集任务的创建与执行，任务可来源于GCP随访计划、HIS医嘱或手工建单；床旁采集时打印并绑定采集码，记录采集时间、采集人、采集部位、禁食状态等分析前变量，经交接运输、接收确认后无缝转入登记环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2）采集任务：支持将来自GCP随访计划、HIS医嘱或手工录入的采样需求统一为采集任务，按采集点、时间窗、优先级形成待采集工作台。</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3）采集执行：床旁扫码核对样本源身份后，逐项完成采集并打印绑定采集码，记录采集时间、采集人、采集部位、禁食状态、异常等分析前变量，支持部分采集；执行记录作为源数据满足ALCOA+可归因要求。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4）交接与接收：接收室扫码确认后，样本转入登记环节，形成“采集—接收—登记”闭环。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5）任务追溯：支持样本全生命周期及“已采未登记”差异清单，防止采集到登记之间的样本丢失。</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w:t>
      </w:r>
      <w:r>
        <w:rPr>
          <w:rFonts w:hint="eastAsia" w:ascii="宋体" w:hAnsi="宋体" w:eastAsia="宋体" w:cs="宋体"/>
          <w:color w:val="auto"/>
          <w:sz w:val="24"/>
          <w:szCs w:val="24"/>
        </w:rPr>
        <w:t xml:space="preserve">样本管理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样本生命周期追溯：支持对样本采集、处理、入库、申领、出库、还库、转移、销毁全过程进行查询和追溯，可监控样本完整生命周期及走向，能够在同一操作界面完整看到样本全部生命周期业务历史。同时支持在一个页面完整追溯样本的位置停留历史，包括库外位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本登记：支持对接整盘扫描仪进行批量扫码登记，在无需操作仪器情况下完全使用系统进行仪器驱动，并同时支持一边登记样本同时与预制码冻存管进行绑定；支持登记入库前的样本暂存于库外盒子中独立管理，库外盒子可自定义容量规格及摆放布局，支持在库外盒子内逐个调整样本摆放位置、批量移动及整理归位，入库时系统自动将样本从库外盒子定位转入正式存储位，并保留库外暂存期间的存放记录。</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3）样本检验：支持记录样本每次检验信息，检验项目可灵活配置，适应不同检验需求。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4）样本移动：支持图形化操作移动样本，包括盒内移动、盒间移动、单个拖拽移动和批量移动，支持批量扫描仪对接和扫码枪出入库。</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5）样本预警：支持设置样本保存期限预警和余量预警，到期或余量不足时自动提醒；支持样本冻融管理，冻融次数超限时提醒。</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6）样本归档与销毁：归档样本需特殊权限才能查询或恢复，销毁样本支持实物销毁流程，并生成销毁记录。</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7）样本出入库：支持自定义入库、申领、出库、信息修改、还库、销毁审批流程，实现流程可控；支持生成上述业务单据，单据永久保存可追溯。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8）样本盘点：支持对接使用整盘扫描仪对库存系统样本与实物进行整盒对比盘点，自动查找差异信息。支持一键整理冻存盒，自动将散乱的样本进行规整。</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9）样本存量管理：对于血液、体液等液体样本，系统能自动计算剩余量，并在分装、提取后更新。</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10）批量操作：支持批量创建、修改、删除、导出样本信息，支持导入批次查询。</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11）高级检索：支持基础字段和扩展字段自定义组合检索，支持批量编码检索，检索结果可导出，导出模板可自定义。</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12）亲代关系：针对有分装关系、传代关系的样本，形成样本亲代关系链条，可进行追溯。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系统具备自定义样本表单能力，支持按样本类型（如血液、组织、细胞系等）或业务部门创建并维护多个独立样本表单，各部门仅可见和使用本部门表单，数据相互隔离；表单内字段支持自定义属性配置，包括字段类型、是否必填、默认值、字段校验规则、字段间联动关系（如某字段选择特定值后自动显隐关联字段）；不同表单间可定义共用的基础字段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rPr>
        <w:t xml:space="preserve">普通存储设备管理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1）支持多库区</w:t>
      </w:r>
      <w:r>
        <w:rPr>
          <w:rFonts w:hint="eastAsia" w:ascii="宋体" w:hAnsi="宋体" w:eastAsia="宋体" w:cs="宋体"/>
          <w:color w:val="auto"/>
          <w:sz w:val="24"/>
          <w:szCs w:val="24"/>
        </w:rPr>
        <w:t xml:space="preserve">管理，每个库区可独立配置以下规则，样本按所在库区自动匹配对应流程：a.入库规则：支持"直接入库"或"审核后执行入库"两种模式；b.出库规则：支持"直接出库""指定批次申领并出库""指定样本申领并出库"三种模式，可设置待出库停留时长限制；c.还库规则：可设定允许或禁止还库；d.转移规则：可设定不接受/接受所有/仅接受特定库区的样本转入，并按来源库区设置转移约束条件；e.放行规则：可开启样本放行标记，申领时考察批次放行状态；f.电子签名规则：按操作类型独立配置签名启用状态、身份验证方式、签名方式及是否双人复核。</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2）图形化管理：系统能以图形化方式模拟显示冰箱、液氮罐、蜡块柜等存储设备的各级结构（冰箱、冻存架、冻存盒），并支持自定义结构规格。</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3）设备权限：支持设置存储容器的访问权限，不限制容器数量和样本数量。</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4）容器类型：支持立式冰箱、卧式冰箱、冷藏柜、切片柜、石蜡柜、液氮罐等多种类型，并可扩展。</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5）批量冻存盒操作：支持冻存盒批量入库、出库、移动。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6）悬浮提示：冻存盒内样本支持自定义鼠标悬浮展示信息。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7）空间统计：提供设备空间统计功能，可查看总容量、利用率、储存标本类型等信息，支持用不同颜色标识存储量。  </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w:t>
      </w:r>
      <w:r>
        <w:rPr>
          <w:rFonts w:hint="eastAsia" w:ascii="宋体" w:hAnsi="宋体" w:eastAsia="宋体" w:cs="宋体"/>
          <w:color w:val="auto"/>
          <w:sz w:val="24"/>
          <w:szCs w:val="24"/>
        </w:rPr>
        <w:t xml:space="preserve">样本放行机制</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应支持对生物样本批次实施条件放行审核机制：当主要质控项符合要求但存在待确认事项时，可在受控条件下先行放行并标注"条件放行中"状态；条件放行后须进行二次审核，二次审核仅允许批准放行、拒绝放行或业务作废三种决策，不支持再次条件放行，确保条件放行批次最终走向确定结论；条件放行期间的批次不可执行出库、外发等下游业务操作。</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系统应支持放行审核期间自动锁定批次信息，禁止修改样本属性及相关制备记录，确保审核人员所依据的数据在审核全过程中保持真实不变；放行业务完成（批准放行、拒绝放行）或业务作废后，方可恢复该批次的信息修改权限。</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系统应支持同一来源拆分产生的多个平行批次在放行审核时联动管控：放行发起时以可视化图谱展示当前批次与所有平行批次的拆分关系，对每个平行批次独立设定"同步影响"或"无关联"（必填），选择同步影响的平行批次在放行审核决策执行后状态同步变更，确保同一来源的不同批次不被部分放行部分拒绝；关联关系在放行业务发起时形成不可篡改的快照，不随后续批次关系变化而改变。</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3.6</w:t>
      </w:r>
      <w:r>
        <w:rPr>
          <w:rFonts w:hint="eastAsia" w:ascii="宋体" w:hAnsi="宋体" w:eastAsia="宋体" w:cs="宋体"/>
          <w:color w:val="auto"/>
          <w:sz w:val="24"/>
          <w:szCs w:val="24"/>
        </w:rPr>
        <w:t xml:space="preserve">项目管理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1）项目登记：支持不同项目类型、课题组的项目登记，可添加或删除课题成员，课题成员共享数据。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2）资料管理：支持上传课题项目资料，实现学习研究资源共享。</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3）审批流程：支持自定义课题立项审批工作流程，确保样本存储目的明确。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3.7</w:t>
      </w:r>
      <w:r>
        <w:rPr>
          <w:rFonts w:hint="eastAsia" w:ascii="宋体" w:hAnsi="宋体" w:eastAsia="宋体" w:cs="宋体"/>
          <w:color w:val="auto"/>
          <w:sz w:val="24"/>
          <w:szCs w:val="24"/>
        </w:rPr>
        <w:t xml:space="preserve">条码及打印</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1）编码规则：支持一维码和二维码，可对样本源、样本、冻存盒、设备等自定义编码规则。</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2）打印方案：支持根据业务需求自定义条码打印方案，可在标签上打印样本类型、来源、采集日期等关键信息，各元素可调整位置、大小、旋转。</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3）批量打印：支持批量条码打印，兼容常规条码打印机（至少包含医院现用的TSC-244E打印机）。</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4）临床试验项目支持（GCP/IVD）：支持GCP药物临床试验与IVD体外诊断试剂临床试验两类项目；支持受试者入组、随机化、访视计划与方案偏离记录；IVD项目编盲管理。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3.8</w:t>
      </w:r>
      <w:r>
        <w:rPr>
          <w:rFonts w:hint="eastAsia" w:ascii="宋体" w:hAnsi="宋体" w:eastAsia="宋体" w:cs="宋体"/>
          <w:color w:val="auto"/>
          <w:sz w:val="24"/>
          <w:szCs w:val="24"/>
        </w:rPr>
        <w:t xml:space="preserve">标准化数据管理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1）数据字典：支持民族、省市、ICD-10诊断等标准化数据字典，支持用户自有数据字典录入。</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2）打印配置：支持自定义出入库单打印配置。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3）数据变更审批：重要数据变更需经申请、领导审批后方可修改。</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4）编码自定义：支持样本、样本源、容器、项目、冻存盒、样本衍生、出入库销毁等编码的自定义字段。</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3.9</w:t>
      </w:r>
      <w:r>
        <w:rPr>
          <w:rFonts w:hint="eastAsia" w:ascii="宋体" w:hAnsi="宋体" w:eastAsia="宋体" w:cs="宋体"/>
          <w:color w:val="auto"/>
          <w:sz w:val="24"/>
          <w:szCs w:val="24"/>
        </w:rPr>
        <w:t xml:space="preserve">统计查询</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1）统计报表：包含样本统计、样本源统计、出入库统计、设备状态统计等常规报表。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2）明细查询：支持出入库明细、操作明细、登录明细等查询，可按分类浏览。</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3.10</w:t>
      </w:r>
      <w:r>
        <w:rPr>
          <w:rFonts w:hint="eastAsia" w:ascii="宋体" w:hAnsi="宋体" w:eastAsia="宋体" w:cs="宋体"/>
          <w:color w:val="auto"/>
          <w:sz w:val="24"/>
          <w:szCs w:val="24"/>
        </w:rPr>
        <w:t xml:space="preserve">用户权限管理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1）账户管理：支持用户注册、注销、修改、冻结等操作，账户申请需经部门负责人或管理员审批。</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2）组织结构管理：支持依据实际部门对账户进行分级管理，通过权限在数据层隔离不同部门数据。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3）角色权限：可配置多个用户角色，权限细化到二级功能菜单，支持账户有效期设置。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3.11</w:t>
      </w:r>
      <w:r>
        <w:rPr>
          <w:rFonts w:hint="eastAsia" w:ascii="宋体" w:hAnsi="宋体" w:eastAsia="宋体" w:cs="宋体"/>
          <w:color w:val="auto"/>
          <w:sz w:val="24"/>
          <w:szCs w:val="24"/>
        </w:rPr>
        <w:t xml:space="preserve">系统管理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1）日志记录：系统自动记录所有账户登录、注销、样本入库、出库、分装、提取、销毁、设备创建修改、样本源更新等操作，日志只读不可更改，支持按时间、操作人检索，非管理员只能查询本人日志。</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3.12</w:t>
      </w:r>
      <w:r>
        <w:rPr>
          <w:rFonts w:hint="eastAsia" w:ascii="宋体" w:hAnsi="宋体" w:eastAsia="宋体" w:cs="宋体"/>
          <w:color w:val="auto"/>
          <w:sz w:val="24"/>
          <w:szCs w:val="24"/>
        </w:rPr>
        <w:t xml:space="preserve">系统安全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1）访问控制：仅允许预先授权的用户访问，用户名唯一，管理员设置初始密码，首次登录强制修改。</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2）权限划分：多级权限管理，通过权限分配限定数据共享和隔离。</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3）数据备份：支持手动和定期自动备份，支持本地、异地备份及双机热备，故障时可快速恢复数据。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4）加密传输：支持SSL加密机制，保障数据传输安全。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5）电子签名：系统需支持电子签名。系统需要在后台提供签名开关，用户可选择性地配置签名操作的位置。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6）双人复核：对于关键样本的出库、销毁操作，系统支持电子签名与双人复核的能力。</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3.13</w:t>
      </w:r>
      <w:r>
        <w:rPr>
          <w:rFonts w:hint="eastAsia" w:ascii="宋体" w:hAnsi="宋体" w:eastAsia="宋体" w:cs="宋体"/>
          <w:color w:val="auto"/>
          <w:sz w:val="24"/>
          <w:szCs w:val="24"/>
        </w:rPr>
        <w:t xml:space="preserve">安全管理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1）库房监控模块：本地化部署，支持实时采集并展示库房温湿度、冷链温度、液氮罐温度、氧浓度等环境数据；支持自定义报警阈值，超限时系统自动推送报警信息；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2）支持与样本库管理系统数据联动，异常数据可关联受影响样本并标记预警；监控数据本地存储，支持历史数据查询与导出。</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3.14</w:t>
      </w:r>
      <w:r>
        <w:rPr>
          <w:rFonts w:hint="eastAsia" w:ascii="宋体" w:hAnsi="宋体" w:eastAsia="宋体" w:cs="宋体"/>
          <w:color w:val="auto"/>
          <w:sz w:val="24"/>
          <w:szCs w:val="24"/>
        </w:rPr>
        <w:t xml:space="preserve">盲法/编盲管理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1）盲表与密码本：支持为对照试验（试验产品 vs 金标准）建立盲表 / 密码本，对原始样本分装产生的多组盲号进行系统化管理。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2）盲号</w:t>
      </w:r>
      <w:r>
        <w:rPr>
          <w:rFonts w:hint="eastAsia" w:ascii="宋体" w:hAnsi="宋体" w:eastAsia="宋体" w:cs="宋体"/>
          <w:color w:val="auto"/>
          <w:sz w:val="24"/>
          <w:szCs w:val="24"/>
          <w:lang w:val="en-US" w:eastAsia="zh-CN"/>
        </w:rPr>
        <w:t xml:space="preserve">绑定</w:t>
      </w:r>
      <w:r>
        <w:rPr>
          <w:rFonts w:hint="eastAsia" w:ascii="宋体" w:hAnsi="宋体" w:eastAsia="宋体" w:cs="宋体"/>
          <w:color w:val="auto"/>
          <w:sz w:val="24"/>
          <w:szCs w:val="24"/>
        </w:rPr>
        <w:t xml:space="preserve">：一个原始样本与其盲号绑定且固定，复测/重做时从剩余原始样本再次分装仍使用原盲号，不重新随机编盲，保证盲态一致性。</w:t>
      </w:r>
      <w:r/>
    </w:p>
    <w:p>
      <w:pPr>
        <w:ind w:firstLine="482"/>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sz w:val="24"/>
          <w:szCs w:val="24"/>
        </w:rPr>
        <w:t xml:space="preserve">3）权限隔离：操作员仅可见盲号，授权角色（如申办方/统计人员）方可查看盲号与样本源的完整映射，杜绝越权破盲。</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系统对接、升级、部署要求要求</w:t>
      </w:r>
      <w:r/>
    </w:p>
    <w:p>
      <w:pPr>
        <w:numPr>
          <w:ilvl w:val="0"/>
          <w:numId w:val="5"/>
        </w:num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系统对接：样本库二期系统必须与样本库一期系统所连接的硬件设备兼容或给出其他解决方案（不额外增加费用），支持后期对接医院系统，包括不限于HIS、LIS、PACS、手术室系统、科研管理系统等。</w:t>
      </w:r>
      <w:r>
        <w:rPr>
          <w:rFonts w:hint="eastAsia" w:ascii="宋体" w:hAnsi="宋体" w:eastAsia="宋体" w:cs="宋体"/>
          <w:color w:val="auto"/>
          <w:sz w:val="24"/>
          <w:szCs w:val="24"/>
          <w:lang w:val="en-US" w:eastAsia="zh-CN"/>
        </w:rPr>
        <w:t xml:space="preserve">兼容设备如下所示：</w:t>
      </w:r>
      <w:r/>
    </w:p>
    <w:tbl>
      <w:tblPr>
        <w:tblStyle w:val="718"/>
        <w:tblW w:w="97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2638"/>
        <w:gridCol w:w="2750"/>
      </w:tblGrid>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型号</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人脸识别智能锁</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大数华创</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BIO-FaceLock</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生物资源保藏智能管理辅助终端</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大数华创</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ATSS-10</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大数华创</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GT-4G</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低温标签打印机</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BRADY</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i5100</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高拍仪</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柯豪</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KA1110</w:t>
            </w:r>
            <w:r/>
          </w:p>
        </w:tc>
      </w:tr>
    </w:tbl>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变更管理与知识转移：所有影响系统运行的变更须提前书面申请，制定回滚方案，并在采购人同意的维护窗口内实施；供应商应定期提供运维报告，重大变更后更新运维手册、拓扑图和配置档案，并开展必要的运维知识培训。</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院外系统对接:样本库系统在数据维护时，系统自动对敏感信息做脱敏标记加密储存，</w:t>
      </w:r>
      <w:r/>
    </w:p>
    <w:p>
      <w:pPr>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外网展示时，样本库对打过标记的敏感字段自动进行脱敏过滤，保证信息安全</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中心使用:在样本库机房中的互联网隔离区(互联网DMZ区，专门用于外网访问的区域)开放样本信息填报板块的端口，保证样本库内网系统的安全性，同时做到允许分中心可以通过互联网访问对特定功能模块的需求。</w:t>
      </w:r>
      <w:r/>
    </w:p>
    <w:p>
      <w:pPr>
        <w:ind w:firstLine="480"/>
        <w:keepLines w:val="0"/>
        <w:keepNext w:val="0"/>
        <w:pageBreakBefore w:val="0"/>
        <w:spacing w:line="264" w:lineRule="auto"/>
        <w:widowControl w:val="off"/>
        <w:rPr>
          <w:rFonts w:ascii="黑体" w:hAnsi="黑体" w:eastAsia="黑体" w:cs="黑体"/>
          <w:color w:val="auto"/>
          <w:sz w:val="24"/>
          <w:szCs w:val="24"/>
        </w:rPr>
      </w:pPr>
      <w:r>
        <w:rPr>
          <w:rFonts w:ascii="黑体" w:hAnsi="黑体" w:eastAsia="黑体" w:cs="黑体"/>
          <w:color w:val="auto"/>
          <w:sz w:val="24"/>
          <w:szCs w:val="24"/>
        </w:rPr>
      </w:r>
      <w:r/>
    </w:p>
    <w:p>
      <w:pPr>
        <w:ind w:firstLine="480"/>
        <w:keepLines w:val="0"/>
        <w:keepNext w:val="0"/>
        <w:pageBreakBefore w:val="0"/>
        <w:spacing w:line="264" w:lineRule="auto"/>
        <w:widowControl w:val="off"/>
        <w:rPr>
          <w:rFonts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numPr>
          <w:ilvl w:val="0"/>
          <w:numId w:val="6"/>
        </w:numPr>
        <w:ind w:firstLine="480"/>
        <w:keepLines w:val="0"/>
        <w:keepNext w:val="0"/>
        <w:pageBreakBefore w:val="0"/>
        <w:spacing w:line="264" w:lineRule="auto"/>
        <w:widowControl w:val="off"/>
        <w:rPr>
          <w:rFonts w:ascii="宋体" w:hAnsi="宋体"/>
          <w:color w:val="auto"/>
          <w:sz w:val="24"/>
          <w:szCs w:val="24"/>
        </w:rPr>
      </w:pPr>
      <w:r>
        <w:rPr>
          <w:rFonts w:ascii="宋体" w:hAnsi="宋体"/>
          <w:color w:val="auto"/>
          <w:sz w:val="24"/>
          <w:szCs w:val="24"/>
        </w:rPr>
        <w:t xml:space="preserve">报价要求</w:t>
      </w:r>
      <w:r/>
    </w:p>
    <w:p>
      <w:pPr>
        <w:ind w:firstLine="480"/>
        <w:keepLines w:val="0"/>
        <w:keepNext w:val="0"/>
        <w:pageBreakBefore w:val="0"/>
        <w:spacing w:line="264" w:lineRule="auto"/>
        <w:widowControl w:val="off"/>
        <w:rPr>
          <w:color w:val="auto"/>
        </w:rPr>
      </w:pPr>
      <w:r>
        <w:rPr>
          <w:rFonts w:hint="eastAsia" w:ascii="宋体" w:hAnsi="宋体" w:cs="宋体"/>
          <w:color w:val="auto"/>
          <w:sz w:val="24"/>
          <w:szCs w:val="24"/>
        </w:rPr>
        <w:t xml:space="preserve">（1）</w:t>
      </w:r>
      <w:r>
        <w:rPr>
          <w:rFonts w:hint="eastAsia" w:ascii="宋体" w:hAnsi="宋体" w:cs="宋体"/>
          <w:b/>
          <w:bCs/>
          <w:color w:val="auto"/>
          <w:sz w:val="24"/>
          <w:szCs w:val="24"/>
        </w:rPr>
        <w:t xml:space="preserve">本项目报价分为系统开发费用和系统运维费用，其中运维费用不超过总报价的10%。</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2）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（3）供应商的任何错漏、优惠、竞争性报价不得作为减轻责任、减少服务、增加收费、降低服务质量的理由。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（4）供应商报价除包含磋商文件中列明的项目外还应包括保障服务正常运行应当具有的物资和服务，对服务正常运行应当具有的物资和服务理解不一致的以采购单位理解为准。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（1）总体要求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供应商应根据采购人要求制定总体实施方案和分阶段实施计划，覆盖需求调研、系统设计、部署安装、接口联调、数据迁移、试运行、上线切换、风险应对等环节，确保不影响医院正常业务开展。</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服务要求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供应商应提供7×24小时电话、远程技术支持与监控服务；建立快速响应机制，其中一般问题应及时受理并处理，重大故障应在1小时内响应、2小时内提供解决路径，必要时在12小时内提供备用方案。</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（3）验收要求</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olor w:val="auto"/>
          <w:sz w:val="24"/>
          <w:szCs w:val="24"/>
        </w:rPr>
        <w:t xml:space="preserve">系统完成部署、调试、数据迁移、联调测试和试运行后，由采购人组织履约验收；验收内容应包括功能实现情况、性能指标、接口联通情况、数据迁移准确性、文档交付完整性及培训落实情况；供应商应提交自测报告、接口清单、系统说明书、培训材料、巡检与运行报告等验收材料。</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（4）运维服务要求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本项目所有软件系统应提供不少于</w:t>
      </w:r>
      <w:r>
        <w:rPr>
          <w:rFonts w:hint="eastAsia" w:ascii="宋体" w:hAnsi="宋体"/>
          <w:b/>
          <w:bCs/>
          <w:color w:val="auto"/>
          <w:sz w:val="24"/>
          <w:szCs w:val="24"/>
          <w:lang w:val="en-US" w:eastAsia="zh-CN"/>
        </w:rPr>
        <w:t xml:space="preserve">3</w:t>
      </w:r>
      <w:r>
        <w:rPr>
          <w:rFonts w:hint="eastAsia" w:ascii="宋体" w:hAnsi="宋体"/>
          <w:color w:val="auto"/>
          <w:sz w:val="24"/>
          <w:szCs w:val="24"/>
        </w:rPr>
        <w:t xml:space="preserve">年运维服务。服务范围应包括错误修复、轻量级需求优化、性能优化、运行环境诊断与保障、定期巡检、日志分析、备份检查、故障处理和知识转移等内容。</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（5）人员要求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①项目经理1人，具有至少3年及以上信息化项目管理工作经验。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②技术负责人1人，具有至少3年及以上信息化项目技术管理工作经验。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③开发实施人员：不少于</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人，项目开发期间须至少1人驻场服务。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④运维服务人员：不少于1人。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（6）知识产权及保密要求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供应商应保证在本项目中使用的任何产品和服务不会侵犯第三方知识产权；如发生相关纠纷，由供应商承担全部责任。平台资源、软件部署与服务提供应符合国家网络安全、版权合规及行业标准要求。</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（7）建设成果要求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在项目各阶段提交相应成果文件，包括但不限于项目实施方案、需求分析说明书、概要设计/详细设计说明书、数据库设计说明书、接口说明书、上线部署方案、软件安装说明书、培训方案与手册、测试报告、试运行报告、验收方案、验收报告、运维方案与运维手册。</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（8）培训要求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供应商应结合采购人实际情况提供分层分类培训，至少包括管理员培训、业务部门操作培训、科研人员/临床人员使用培训及运维培训，培训方式应包括线上课程、线下实操和培训资料发放。</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付款条件</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（1）交付时间：合同签订后</w:t>
      </w:r>
      <w:r>
        <w:rPr>
          <w:rFonts w:hint="eastAsia" w:ascii="宋体" w:hAnsi="宋体"/>
          <w:color w:val="auto"/>
          <w:sz w:val="24"/>
          <w:szCs w:val="24"/>
        </w:rPr>
        <w:t xml:space="preserve">45</w:t>
      </w:r>
      <w:r>
        <w:rPr>
          <w:rFonts w:ascii="宋体" w:hAnsi="宋体" w:cs="宋体"/>
          <w:color w:val="auto"/>
          <w:sz w:val="24"/>
          <w:szCs w:val="24"/>
        </w:rPr>
        <w:t xml:space="preserve">个工作日内</w:t>
      </w:r>
      <w:r>
        <w:rPr>
          <w:rFonts w:hint="eastAsia" w:ascii="宋体" w:hAnsi="宋体" w:cs="宋体"/>
          <w:color w:val="auto"/>
          <w:sz w:val="24"/>
          <w:szCs w:val="24"/>
        </w:rPr>
        <w:t xml:space="preserve">完成系统开发</w:t>
      </w:r>
      <w:r>
        <w:rPr>
          <w:rFonts w:ascii="宋体" w:hAnsi="宋体" w:cs="宋体"/>
          <w:color w:val="auto"/>
          <w:sz w:val="24"/>
          <w:szCs w:val="24"/>
        </w:rPr>
        <w:t xml:space="preserve">。</w:t>
      </w:r>
      <w:r/>
    </w:p>
    <w:p>
      <w:pPr>
        <w:ind w:firstLine="480"/>
        <w:keepLines w:val="0"/>
        <w:keepNext w:val="0"/>
        <w:pageBreakBefore w:val="0"/>
        <w:spacing w:line="264" w:lineRule="auto"/>
        <w:widowControl w:val="off"/>
        <w:rPr>
          <w:rFonts w:ascii="宋体" w:hAnsi="宋体" w:cs="宋体"/>
          <w:color w:val="auto"/>
          <w:sz w:val="24"/>
          <w:szCs w:val="24"/>
          <w:highlight w:val="yellow"/>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5.履约保证金</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6.其他要求</w:t>
      </w:r>
      <w:bookmarkEnd w:id="86"/>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磋商文件中要求提供证明材料的，签订合同时供应商应按磋商文件要求和响应文件响应内容提供相应证明材料原件供采购人核验，否则采购人将取消其成交资格。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视频文件的格式为*.mp4或*.avi</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须将视频文件压缩为*.zip文件上传（</w:t>
      </w:r>
      <w:r>
        <w:rPr>
          <w:rFonts w:hint="eastAsia" w:ascii="宋体" w:hAnsi="宋体" w:eastAsia="宋体" w:cs="Times New Roman"/>
          <w:b w:val="0"/>
          <w:bCs w:val="0"/>
          <w:color w:val="auto"/>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auto"/>
          <w:sz w:val="24"/>
          <w:szCs w:val="24"/>
          <w:highlight w:val="none"/>
        </w:rPr>
        <w:t xml:space="preserve">）。文件上传方式见</w:t>
      </w:r>
      <w:r>
        <w:rPr>
          <w:rFonts w:hint="eastAsia" w:ascii="宋体" w:hAnsi="宋体" w:eastAsia="宋体" w:cs="宋体"/>
          <w:color w:val="auto"/>
          <w:sz w:val="24"/>
          <w:szCs w:val="24"/>
          <w:highlight w:val="none"/>
          <w:lang w:val="en-US" w:eastAsia="zh-CN"/>
        </w:rPr>
        <w:t xml:space="preserve">苏采云系统操作指南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上传的演示视频将作为</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文件的组成部分</w:t>
      </w:r>
      <w:r>
        <w:rPr>
          <w:rFonts w:hint="eastAsia" w:ascii="宋体" w:hAnsi="宋体" w:eastAsia="宋体" w:cs="宋体"/>
          <w:color w:val="auto"/>
          <w:sz w:val="24"/>
          <w:szCs w:val="24"/>
          <w:highlight w:val="none"/>
          <w:lang w:eastAsia="zh-CN"/>
        </w:rPr>
        <w:t xml:space="preserve">。</w:t>
      </w:r>
      <w:r/>
    </w:p>
    <w:p>
      <w:pPr>
        <w:numPr>
          <w:ilvl w:val="0"/>
          <w:numId w:val="0"/>
        </w:numPr>
        <w:ind w:left="210" w:firstLine="240"/>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2.演示内容</w:t>
      </w:r>
      <w:r>
        <w:rPr>
          <w:rFonts w:hint="eastAsia" w:ascii="宋体" w:hAnsi="宋体" w:eastAsia="宋体" w:cs="Times New Roman"/>
          <w:b w:val="0"/>
          <w:bCs w:val="0"/>
          <w:color w:val="auto"/>
          <w:spacing w:val="0"/>
          <w:sz w:val="24"/>
          <w:szCs w:val="24"/>
          <w:highlight w:val="none"/>
          <w:lang w:val="en-US" w:eastAsia="zh-CN"/>
        </w:rPr>
        <w:t xml:space="preserve">及演示时长</w:t>
      </w:r>
      <w:r>
        <w:rPr>
          <w:rFonts w:hint="eastAsia" w:ascii="宋体" w:hAnsi="宋体" w:eastAsia="宋体" w:cs="Times New Roman"/>
          <w:color w:val="auto"/>
          <w:sz w:val="24"/>
          <w:szCs w:val="24"/>
          <w:highlight w:val="none"/>
          <w:lang w:val="en-US" w:eastAsia="zh-CN"/>
        </w:rPr>
        <w:t xml:space="preserve">详见“第五章  评审方法与评审标准”。</w:t>
      </w:r>
      <w:r/>
    </w:p>
    <w:p>
      <w:pPr>
        <w:pStyle w:val="719"/>
        <w:numPr>
          <w:ilvl w:val="0"/>
          <w:numId w:val="0"/>
        </w:numPr>
        <w:jc w:val="both"/>
        <w:spacing w:after="0" w:line="264" w:lineRule="auto"/>
        <w:widowControl w:val="off"/>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19"/>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19"/>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19"/>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19"/>
        <w:rPr>
          <w:rFonts w:hint="eastAsia"/>
          <w:color w:val="auto"/>
          <w:highlight w:val="none"/>
          <w:lang w:val="en-US" w:eastAsia="zh-CN"/>
        </w:rPr>
      </w:pPr>
      <w:r>
        <w:rPr>
          <w:rFonts w:hint="eastAsia"/>
          <w:color w:val="auto"/>
          <w:highlight w:val="none"/>
          <w:lang w:val="en-US" w:eastAsia="zh-CN"/>
        </w:rPr>
      </w:r>
      <w:r/>
    </w:p>
    <w:p>
      <w:pPr>
        <w:pStyle w:val="952"/>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hint="eastAsia"/>
          <w:color w:val="auto"/>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w:t>
      </w:r>
      <w:r>
        <w:rPr>
          <w:rFonts w:hint="eastAsia" w:ascii="黑体" w:hAnsi="黑体" w:eastAsia="黑体" w:cs="黑体"/>
          <w:b w:val="0"/>
          <w:bCs w:val="0"/>
          <w:color w:val="auto"/>
          <w:sz w:val="24"/>
          <w:szCs w:val="24"/>
          <w:highlight w:val="none"/>
        </w:rPr>
        <w:t xml:space="preserve">评</w:t>
      </w:r>
      <w:r>
        <w:rPr>
          <w:rFonts w:hint="eastAsia" w:ascii="黑体" w:hAnsi="黑体" w:eastAsia="黑体" w:cs="黑体"/>
          <w:b w:val="0"/>
          <w:bCs w:val="0"/>
          <w:color w:val="auto"/>
          <w:sz w:val="24"/>
          <w:szCs w:val="24"/>
          <w:highlight w:val="none"/>
          <w:lang w:val="en-US" w:eastAsia="zh-CN"/>
        </w:rPr>
        <w:t xml:space="preserve">审</w:t>
      </w:r>
      <w:r>
        <w:rPr>
          <w:rFonts w:hint="eastAsia" w:ascii="黑体" w:hAnsi="黑体" w:eastAsia="黑体" w:cs="黑体"/>
          <w:b w:val="0"/>
          <w:bCs w:val="0"/>
          <w:color w:val="auto"/>
          <w:sz w:val="24"/>
          <w:szCs w:val="24"/>
          <w:highlight w:val="none"/>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zh-CN"/>
        </w:rPr>
        <w:t xml:space="preserve">成员独立</w:t>
      </w:r>
      <w:r>
        <w:rPr>
          <w:rFonts w:hint="eastAsia" w:ascii="宋体" w:hAnsi="宋体" w:eastAsia="宋体" w:cs="宋体"/>
          <w:color w:val="auto"/>
          <w:sz w:val="24"/>
          <w:szCs w:val="24"/>
          <w:highlight w:val="none"/>
        </w:rPr>
        <w:t xml:space="preserve">对提交最后报价的供应商的响应文件和最后报价进行</w:t>
      </w:r>
      <w:r>
        <w:rPr>
          <w:rFonts w:hint="eastAsia" w:ascii="宋体" w:hAnsi="宋体" w:eastAsia="宋体" w:cs="宋体"/>
          <w:color w:val="auto"/>
          <w:sz w:val="24"/>
          <w:szCs w:val="24"/>
          <w:highlight w:val="none"/>
          <w:lang w:eastAsia="zh-CN"/>
        </w:rPr>
        <w:t xml:space="preserve">综合</w:t>
      </w:r>
      <w:r>
        <w:rPr>
          <w:rFonts w:hint="eastAsia" w:ascii="宋体" w:hAnsi="宋体" w:eastAsia="宋体" w:cs="宋体"/>
          <w:color w:val="auto"/>
          <w:sz w:val="24"/>
          <w:szCs w:val="24"/>
          <w:highlight w:val="none"/>
        </w:rPr>
        <w:t xml:space="preserve">评分。</w:t>
      </w:r>
      <w:r>
        <w:rPr>
          <w:rFonts w:hint="eastAsia" w:ascii="宋体" w:hAnsi="宋体" w:eastAsia="宋体" w:cs="宋体"/>
          <w:b/>
          <w:bCs/>
          <w:color w:val="auto"/>
          <w:sz w:val="24"/>
          <w:szCs w:val="24"/>
          <w:highlight w:val="none"/>
        </w:rPr>
        <w:t xml:space="preserve">磋商小组按照评审</w:t>
      </w:r>
      <w:r>
        <w:rPr>
          <w:rFonts w:hint="eastAsia" w:ascii="宋体" w:hAnsi="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分由高到低顺序推荐</w:t>
      </w:r>
      <w:r>
        <w:rPr>
          <w:rFonts w:hint="eastAsia" w:ascii="宋体" w:hAnsi="宋体" w:eastAsia="宋体" w:cs="Times New Roman"/>
          <w:b/>
          <w:bCs/>
          <w:color w:val="auto"/>
          <w:sz w:val="24"/>
          <w:szCs w:val="24"/>
          <w:highlight w:val="none"/>
          <w:u w:val="none"/>
          <w:lang w:val="en-US" w:eastAsia="zh-CN"/>
        </w:rPr>
        <w:t xml:space="preserve">3名</w:t>
      </w:r>
      <w:r>
        <w:rPr>
          <w:rFonts w:hint="eastAsia" w:ascii="宋体" w:hAnsi="宋体" w:eastAsia="宋体" w:cs="宋体"/>
          <w:b/>
          <w:bCs/>
          <w:color w:val="auto"/>
          <w:sz w:val="24"/>
          <w:szCs w:val="24"/>
          <w:highlight w:val="none"/>
          <w:lang w:eastAsia="zh-CN"/>
        </w:rPr>
        <w:t xml:space="preserve">成交候选供应商，</w:t>
      </w:r>
      <w:r>
        <w:rPr>
          <w:rFonts w:hint="eastAsia" w:ascii="宋体" w:hAnsi="宋体" w:eastAsia="宋体" w:cs="宋体"/>
          <w:b/>
          <w:bCs/>
          <w:color w:val="auto"/>
          <w:sz w:val="24"/>
          <w:szCs w:val="24"/>
          <w:highlight w:val="none"/>
        </w:rPr>
        <w:t xml:space="preserve">符合本磋商文件第二章第2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.1.2条</w:t>
      </w:r>
      <w:r>
        <w:rPr>
          <w:rFonts w:hint="eastAsia" w:ascii="宋体" w:hAnsi="宋体" w:cs="宋体"/>
          <w:b/>
          <w:bCs/>
          <w:color w:val="auto"/>
          <w:sz w:val="24"/>
          <w:szCs w:val="24"/>
          <w:highlight w:val="none"/>
          <w:lang w:val="en-US" w:eastAsia="zh-CN"/>
        </w:rPr>
        <w:t xml:space="preserve">第三款</w:t>
      </w:r>
      <w:r>
        <w:rPr>
          <w:rFonts w:hint="eastAsia" w:ascii="宋体" w:hAnsi="宋体" w:eastAsia="宋体" w:cs="宋体"/>
          <w:b/>
          <w:bCs/>
          <w:color w:val="auto"/>
          <w:sz w:val="24"/>
          <w:szCs w:val="24"/>
          <w:highlight w:val="none"/>
        </w:rPr>
        <w:t xml:space="preserve">情形的</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可以推荐</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名成交候选供应商。</w:t>
      </w:r>
      <w:r>
        <w:rPr>
          <w:rFonts w:hint="eastAsia" w:ascii="宋体" w:hAnsi="宋体" w:eastAsia="宋体" w:cs="宋体"/>
          <w:color w:val="auto"/>
          <w:sz w:val="24"/>
          <w:szCs w:val="24"/>
          <w:highlight w:val="none"/>
        </w:rPr>
        <w:t xml:space="preserve">评审得分相同的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按照最后报价由低到高的顺序推荐。评审得分且最后报价相同的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二、评审标准</w:t>
      </w:r>
      <w:r/>
    </w:p>
    <w:tbl>
      <w:tblPr>
        <w:tblStyle w:val="9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1.</w:t>
            </w:r>
            <w:r>
              <w:rPr>
                <w:rFonts w:ascii="宋体" w:hAnsi="宋体" w:eastAsia="宋体" w:cs="宋体"/>
                <w:b/>
                <w:bCs/>
                <w:color w:val="auto"/>
                <w:spacing w:val="-3"/>
                <w:highlight w:val="none"/>
              </w:rPr>
              <w:t xml:space="preserve">价</w:t>
            </w:r>
            <w:r>
              <w:rPr>
                <w:rFonts w:ascii="宋体" w:hAnsi="宋体" w:eastAsia="宋体" w:cs="宋体"/>
                <w:b/>
                <w:bCs/>
                <w:color w:val="auto"/>
                <w:spacing w:val="-2"/>
                <w:highlight w:val="none"/>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highlight w:val="none"/>
              </w:rPr>
            </w:pPr>
            <w:r>
              <w:rPr>
                <w:rFonts w:ascii="宋体" w:hAnsi="宋体" w:eastAsia="宋体" w:cs="宋体"/>
                <w:color w:val="auto"/>
                <w:spacing w:val="-6"/>
                <w:highlight w:val="none"/>
              </w:rPr>
              <w:t xml:space="preserve">1</w:t>
            </w:r>
            <w:r>
              <w:rPr>
                <w:rFonts w:ascii="宋体" w:hAnsi="宋体" w:eastAsia="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default"/>
                <w:color w:val="auto"/>
                <w:highlight w:val="none"/>
                <w:lang w:val="en-US" w:eastAsia="zh-CN"/>
              </w:rPr>
            </w:pPr>
            <w:r>
              <w:rPr>
                <w:rFonts w:hint="eastAsia" w:ascii="宋体" w:hAnsi="宋体" w:eastAsia="宋体" w:cs="宋体"/>
                <w:color w:val="auto"/>
                <w:spacing w:val="0"/>
                <w:szCs w:val="22"/>
                <w:highlight w:val="none"/>
              </w:rPr>
              <w:t xml:space="preserve">采用低价优先</w:t>
            </w:r>
            <w:r>
              <w:rPr>
                <w:rFonts w:hint="eastAsia" w:ascii="宋体" w:hAnsi="宋体" w:eastAsia="宋体" w:cs="宋体"/>
                <w:color w:val="auto"/>
                <w:szCs w:val="22"/>
                <w:highlight w:val="none"/>
              </w:rPr>
              <w:t xml:space="preserve">法计算</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即满足</w:t>
            </w:r>
            <w:r>
              <w:rPr>
                <w:rFonts w:hint="eastAsia" w:ascii="宋体" w:hAnsi="宋体" w:eastAsia="宋体" w:cs="宋体"/>
                <w:color w:val="auto"/>
                <w:szCs w:val="22"/>
                <w:highlight w:val="none"/>
                <w:lang w:eastAsia="zh-CN"/>
              </w:rPr>
              <w:t xml:space="preserve">磋商文件</w:t>
            </w:r>
            <w:r>
              <w:rPr>
                <w:rFonts w:hint="eastAsia" w:ascii="宋体" w:hAnsi="宋体" w:eastAsia="宋体" w:cs="宋体"/>
                <w:color w:val="auto"/>
                <w:szCs w:val="22"/>
                <w:highlight w:val="none"/>
              </w:rPr>
              <w:t xml:space="preserve">要求且</w:t>
            </w:r>
            <w:r>
              <w:rPr>
                <w:rFonts w:hint="eastAsia" w:ascii="宋体" w:hAnsi="宋体" w:eastAsia="宋体" w:cs="宋体"/>
                <w:color w:val="auto"/>
                <w:szCs w:val="22"/>
                <w:highlight w:val="none"/>
                <w:lang w:eastAsia="zh-CN"/>
              </w:rPr>
              <w:t xml:space="preserve">最终报价</w:t>
            </w:r>
            <w:r>
              <w:rPr>
                <w:rFonts w:hint="eastAsia" w:ascii="宋体" w:hAnsi="宋体" w:eastAsia="宋体" w:cs="宋体"/>
                <w:color w:val="auto"/>
                <w:szCs w:val="22"/>
                <w:highlight w:val="none"/>
              </w:rPr>
              <w:t xml:space="preserve">最低的</w:t>
            </w:r>
            <w:r>
              <w:rPr>
                <w:rFonts w:hint="eastAsia" w:ascii="宋体" w:hAnsi="宋体" w:eastAsia="宋体" w:cs="宋体"/>
                <w:color w:val="auto"/>
                <w:szCs w:val="22"/>
                <w:highlight w:val="none"/>
                <w:lang w:eastAsia="zh-CN"/>
              </w:rPr>
              <w:t xml:space="preserve">供应商</w:t>
            </w:r>
            <w:r>
              <w:rPr>
                <w:rFonts w:hint="eastAsia" w:ascii="宋体" w:hAnsi="宋体" w:eastAsia="宋体" w:cs="宋体"/>
                <w:color w:val="auto"/>
                <w:spacing w:val="0"/>
                <w:szCs w:val="22"/>
                <w:highlight w:val="none"/>
              </w:rPr>
              <w:t xml:space="preserve">报价为评</w:t>
            </w:r>
            <w:r>
              <w:rPr>
                <w:rFonts w:hint="eastAsia"/>
                <w:color w:val="auto"/>
                <w:highlight w:val="none"/>
                <w:lang w:val="en-US" w:eastAsia="zh-CN"/>
              </w:rPr>
              <w:t xml:space="preserve">审</w:t>
            </w:r>
            <w:r>
              <w:rPr>
                <w:rFonts w:hint="eastAsia" w:ascii="宋体" w:hAnsi="宋体" w:eastAsia="宋体" w:cs="宋体"/>
                <w:color w:val="auto"/>
                <w:spacing w:val="0"/>
                <w:szCs w:val="22"/>
                <w:highlight w:val="none"/>
              </w:rPr>
              <w:t xml:space="preserve">基准</w:t>
            </w:r>
            <w:r>
              <w:rPr>
                <w:rFonts w:hint="eastAsia" w:ascii="宋体" w:hAnsi="宋体" w:eastAsia="宋体" w:cs="宋体"/>
                <w:color w:val="auto"/>
                <w:szCs w:val="22"/>
                <w:highlight w:val="none"/>
              </w:rPr>
              <w:t xml:space="preserve">价</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其价格分为满分。其他</w:t>
            </w:r>
            <w:r>
              <w:rPr>
                <w:rFonts w:hint="eastAsia" w:ascii="宋体" w:hAnsi="宋体" w:eastAsia="宋体" w:cs="宋体"/>
                <w:color w:val="auto"/>
                <w:szCs w:val="22"/>
                <w:highlight w:val="none"/>
                <w:lang w:eastAsia="zh-CN"/>
              </w:rPr>
              <w:t xml:space="preserve">供应商</w:t>
            </w:r>
            <w:r>
              <w:rPr>
                <w:rFonts w:hint="eastAsia" w:ascii="宋体" w:hAnsi="宋体" w:eastAsia="宋体" w:cs="宋体"/>
                <w:color w:val="auto"/>
                <w:szCs w:val="22"/>
                <w:highlight w:val="none"/>
              </w:rPr>
              <w:t xml:space="preserve">的价格分统一按</w:t>
            </w:r>
            <w:r>
              <w:rPr>
                <w:rFonts w:hint="eastAsia" w:ascii="宋体" w:hAnsi="宋体" w:eastAsia="宋体" w:cs="宋体"/>
                <w:color w:val="auto"/>
                <w:spacing w:val="0"/>
                <w:szCs w:val="22"/>
                <w:highlight w:val="none"/>
              </w:rPr>
              <w:t xml:space="preserve">照下列公</w:t>
            </w:r>
            <w:r>
              <w:rPr>
                <w:rFonts w:hint="eastAsia" w:ascii="宋体" w:hAnsi="宋体" w:eastAsia="宋体" w:cs="宋体"/>
                <w:color w:val="auto"/>
                <w:szCs w:val="22"/>
                <w:highlight w:val="none"/>
              </w:rPr>
              <w:t xml:space="preserve">式计算：报价得分=</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评</w:t>
            </w:r>
            <w:r>
              <w:rPr>
                <w:rFonts w:hint="eastAsia"/>
                <w:color w:val="auto"/>
                <w:highlight w:val="none"/>
                <w:lang w:val="en-US" w:eastAsia="zh-CN"/>
              </w:rPr>
              <w:t xml:space="preserve">审</w:t>
            </w:r>
            <w:r>
              <w:rPr>
                <w:rFonts w:hint="eastAsia" w:ascii="宋体" w:hAnsi="宋体" w:eastAsia="宋体" w:cs="宋体"/>
                <w:color w:val="auto"/>
                <w:szCs w:val="22"/>
                <w:highlight w:val="none"/>
              </w:rPr>
              <w:t xml:space="preserve">基准价/</w:t>
            </w:r>
            <w:r>
              <w:rPr>
                <w:rFonts w:hint="eastAsia" w:ascii="宋体" w:hAnsi="宋体" w:eastAsia="宋体" w:cs="宋体"/>
                <w:color w:val="auto"/>
                <w:szCs w:val="22"/>
                <w:highlight w:val="none"/>
                <w:lang w:eastAsia="zh-CN"/>
              </w:rPr>
              <w:t xml:space="preserve">最终</w:t>
            </w:r>
            <w:r>
              <w:rPr>
                <w:rFonts w:hint="eastAsia" w:ascii="宋体" w:hAnsi="宋体" w:eastAsia="宋体" w:cs="宋体"/>
                <w:color w:val="auto"/>
                <w:szCs w:val="22"/>
                <w:highlight w:val="none"/>
              </w:rPr>
              <w:t xml:space="preserve">报价</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highlight w:val="none"/>
              </w:rPr>
            </w:pPr>
            <w:r>
              <w:rPr>
                <w:rFonts w:ascii="宋体" w:hAnsi="宋体" w:eastAsia="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highlight w:val="none"/>
                <w:lang w:eastAsia="zh-CN"/>
              </w:rPr>
            </w:pPr>
            <w:r>
              <w:rPr>
                <w:rFonts w:hint="eastAsia" w:ascii="Times New Roman" w:hAnsi="Times New Roman" w:eastAsia="宋体" w:cs="Times New Roman"/>
                <w:color w:val="auto"/>
                <w:highlight w:val="none"/>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color w:val="auto"/>
                <w:highlight w:val="none"/>
              </w:rPr>
            </w:pPr>
            <w:r>
              <w:rPr>
                <w:rFonts w:hint="eastAsia" w:ascii="宋体" w:hAnsi="宋体" w:eastAsia="宋体" w:cs="宋体"/>
                <w:color w:val="auto"/>
                <w:highlight w:val="none"/>
                <w:lang w:val="en-US" w:eastAsia="zh-CN"/>
              </w:rPr>
              <w:t xml:space="preserve">产品</w:t>
            </w:r>
            <w:r>
              <w:rPr>
                <w:rFonts w:hint="default" w:ascii="宋体" w:hAnsi="宋体" w:eastAsia="宋体" w:cs="宋体"/>
                <w:color w:val="auto"/>
                <w:highlight w:val="none"/>
                <w:lang w:val="en-US" w:eastAsia="zh-CN"/>
              </w:rPr>
              <w:t xml:space="preserve">技术参数全部满足</w:t>
            </w:r>
            <w:r>
              <w:rPr>
                <w:rFonts w:hint="eastAsia" w:ascii="宋体" w:hAnsi="宋体" w:eastAsia="宋体" w:cs="宋体"/>
                <w:color w:val="auto"/>
                <w:highlight w:val="none"/>
                <w:lang w:val="en-US" w:eastAsia="zh-CN"/>
              </w:rPr>
              <w:t xml:space="preserve">磋商文件技术</w:t>
            </w:r>
            <w:r>
              <w:rPr>
                <w:rFonts w:hint="default" w:ascii="宋体" w:hAnsi="宋体" w:eastAsia="宋体" w:cs="宋体"/>
                <w:color w:val="auto"/>
                <w:highlight w:val="none"/>
                <w:lang w:val="en-US" w:eastAsia="zh-CN"/>
              </w:rPr>
              <w:t xml:space="preserve">要求的得满分</w:t>
            </w: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打★指标为必须满足项，如有负偏离将作为无效</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其余指标（共14项）有1项负偏离扣2分。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客</w:t>
            </w:r>
            <w:r>
              <w:rPr>
                <w:rFonts w:ascii="宋体" w:hAnsi="宋体" w:eastAsia="宋体" w:cs="宋体"/>
                <w:color w:val="auto"/>
                <w:spacing w:val="-4"/>
                <w:highlight w:val="none"/>
              </w:rPr>
              <w:t xml:space="preserve">观</w:t>
            </w:r>
            <w:r>
              <w:rPr>
                <w:rFonts w:hint="eastAsia" w:ascii="宋体" w:hAnsi="宋体" w:eastAsia="宋体" w:cs="宋体"/>
                <w:color w:val="auto"/>
                <w:spacing w:val="-4"/>
                <w:highlight w:val="none"/>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color w:val="auto"/>
                <w:spacing w:val="-2"/>
                <w:highlight w:val="none"/>
              </w:rPr>
            </w:pPr>
            <w:r>
              <w:rPr>
                <w:rFonts w:hint="eastAsia" w:ascii="宋体" w:hAnsi="宋体" w:cs="宋体"/>
                <w:color w:val="auto"/>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hint="eastAsia" w:ascii="Times New Roman" w:hAnsi="Times New Roman" w:eastAsia="宋体" w:cs="Times New Roman"/>
                <w:color w:val="auto"/>
                <w:spacing w:val="0"/>
                <w:highlight w:val="none"/>
              </w:rPr>
            </w:pPr>
            <w:r>
              <w:rPr>
                <w:rFonts w:hint="eastAsia"/>
                <w:color w:val="auto"/>
                <w:szCs w:val="21"/>
              </w:rPr>
              <w:t xml:space="preserve">需求理解</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color w:val="auto"/>
                <w:szCs w:val="21"/>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w:t>
            </w:r>
            <w:r>
              <w:rPr>
                <w:rFonts w:hint="eastAsia" w:ascii="宋体" w:hAnsi="宋体" w:cs="宋体"/>
                <w:color w:val="auto"/>
                <w:szCs w:val="21"/>
              </w:rPr>
              <w:t xml:space="preserve">包括</w:t>
            </w:r>
            <w:r>
              <w:rPr>
                <w:rFonts w:hint="eastAsia" w:ascii="宋体" w:hAnsi="宋体" w:cs="宋体"/>
                <w:color w:val="auto"/>
                <w:szCs w:val="21"/>
                <w:lang w:eastAsia="zh-CN"/>
              </w:rPr>
              <w:t xml:space="preserve">：</w:t>
            </w:r>
            <w:r>
              <w:rPr>
                <w:rFonts w:hint="eastAsia" w:ascii="宋体" w:hAnsi="宋体" w:cs="宋体"/>
                <w:color w:val="auto"/>
                <w:szCs w:val="21"/>
              </w:rPr>
              <w:t xml:space="preserve">1.针对本项目的系统整体情况的理解；2.针对本项目的一期设备兼容</w:t>
            </w:r>
            <w:r>
              <w:rPr>
                <w:rFonts w:hint="eastAsia" w:ascii="宋体" w:hAnsi="宋体" w:cs="宋体"/>
                <w:color w:val="auto"/>
                <w:szCs w:val="21"/>
                <w:lang w:val="en-US" w:eastAsia="zh-CN"/>
              </w:rPr>
              <w:t xml:space="preserve">升级的理解</w:t>
            </w:r>
            <w:r>
              <w:rPr>
                <w:rFonts w:hint="eastAsia" w:ascii="宋体" w:hAnsi="宋体" w:cs="宋体"/>
                <w:color w:val="auto"/>
                <w:szCs w:val="21"/>
              </w:rPr>
              <w:t xml:space="preserve">；3.针对本系统需求验证的理解。以上每项内容逐条阐述。</w:t>
            </w:r>
            <w:r/>
          </w:p>
          <w:p>
            <w:pPr>
              <w:rPr>
                <w:rFonts w:ascii="宋体" w:hAnsi="宋体" w:cs="宋体"/>
                <w:color w:val="auto"/>
                <w:szCs w:val="21"/>
              </w:rPr>
            </w:pPr>
            <w:r>
              <w:rPr>
                <w:rFonts w:hint="eastAsia" w:ascii="宋体" w:hAnsi="宋体" w:cs="宋体"/>
                <w:color w:val="auto"/>
                <w:szCs w:val="21"/>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default"/>
                <w:color w:val="auto"/>
                <w:highlight w:val="none"/>
                <w:lang w:val="en-US" w:eastAsia="zh-CN"/>
              </w:rPr>
            </w:pPr>
            <w:r>
              <w:rPr>
                <w:rFonts w:hint="eastAsia" w:ascii="宋体" w:hAnsi="宋体" w:cs="宋体"/>
                <w:color w:val="auto"/>
                <w:szCs w:val="21"/>
              </w:rPr>
              <w:t xml:space="preserve">上述每项内容符合得3分；部分符合得1分；不符合或不提供不得分。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eastAsia="宋体" w:cs="宋体"/>
                <w:color w:val="auto"/>
                <w:highlight w:val="none"/>
              </w:rPr>
            </w:pPr>
            <w:r>
              <w:rPr>
                <w:rFonts w:hint="eastAsia" w:ascii="宋体" w:hAnsi="宋体" w:cs="宋体"/>
                <w:color w:val="auto"/>
                <w:spacing w:val="-4"/>
                <w:szCs w:val="21"/>
              </w:rPr>
              <w:t xml:space="preserve">主观分</w:t>
            </w:r>
            <w:r/>
          </w:p>
        </w:tc>
      </w:tr>
      <w:tr>
        <w:trPr>
          <w:jc w:val="center"/>
          <w:trHeight w:val="42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color w:val="auto"/>
                <w:spacing w:val="-2"/>
                <w:sz w:val="21"/>
                <w:szCs w:val="22"/>
                <w:highlight w:val="none"/>
                <w:lang w:val="en-US" w:eastAsia="zh-CN" w:bidi="ar-SA"/>
              </w:rPr>
            </w:pPr>
            <w:r>
              <w:rPr>
                <w:rFonts w:ascii="宋体" w:hAnsi="宋体" w:cs="宋体"/>
                <w:color w:val="auto"/>
                <w:spacing w:val="-2"/>
              </w:rPr>
              <w:t xml:space="preserve">2.</w:t>
            </w:r>
            <w:r>
              <w:rPr>
                <w:rFonts w:hint="eastAsia" w:ascii="宋体" w:hAnsi="宋体" w:cs="宋体"/>
                <w:color w:val="auto"/>
                <w:spacing w:val="-2"/>
              </w:rPr>
              <w:t xml:space="preserve">3</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hint="eastAsia" w:ascii="Times New Roman" w:hAnsi="Times New Roman" w:eastAsia="宋体" w:cs="Times New Roman"/>
                <w:color w:val="auto"/>
                <w:highlight w:val="none"/>
                <w:lang w:val="en-US" w:eastAsia="zh-CN"/>
              </w:rPr>
            </w:pPr>
            <w:r>
              <w:rPr>
                <w:rFonts w:ascii="宋体" w:hAnsi="宋体"/>
                <w:color w:val="auto"/>
                <w:szCs w:val="21"/>
              </w:rPr>
              <w:t xml:space="preserve">系统技术方案</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color w:val="auto"/>
                <w:szCs w:val="21"/>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w:t>
            </w:r>
            <w:r>
              <w:rPr>
                <w:rFonts w:hint="eastAsia" w:ascii="宋体" w:hAnsi="宋体" w:cs="宋体"/>
                <w:color w:val="auto"/>
                <w:szCs w:val="21"/>
              </w:rPr>
              <w:t xml:space="preserve">包括</w:t>
            </w:r>
            <w:r>
              <w:rPr>
                <w:rFonts w:hint="eastAsia" w:ascii="宋体" w:hAnsi="宋体" w:cs="宋体"/>
                <w:color w:val="auto"/>
                <w:szCs w:val="21"/>
                <w:lang w:eastAsia="zh-CN"/>
              </w:rPr>
              <w:t xml:space="preserve">：</w:t>
            </w:r>
            <w:r>
              <w:rPr>
                <w:rFonts w:hint="eastAsia" w:ascii="宋体" w:hAnsi="宋体" w:cs="宋体"/>
                <w:color w:val="auto"/>
                <w:szCs w:val="21"/>
              </w:rPr>
              <w:t xml:space="preserve">1.系统总体架构；2.核心模块设计；3.</w:t>
            </w:r>
            <w:r>
              <w:rPr>
                <w:rFonts w:hint="eastAsia" w:ascii="宋体" w:hAnsi="宋体" w:cs="宋体"/>
                <w:color w:val="auto"/>
                <w:szCs w:val="21"/>
                <w:lang w:val="en-US" w:eastAsia="zh-CN"/>
              </w:rPr>
              <w:t xml:space="preserve">系统升级</w:t>
            </w:r>
            <w:r>
              <w:rPr>
                <w:rFonts w:hint="eastAsia" w:ascii="宋体" w:hAnsi="宋体" w:cs="宋体"/>
                <w:color w:val="auto"/>
                <w:szCs w:val="21"/>
              </w:rPr>
              <w:t xml:space="preserve">设计。以上每项内容逐条阐述。</w:t>
            </w:r>
            <w:r/>
          </w:p>
          <w:p>
            <w:pPr>
              <w:rPr>
                <w:rFonts w:ascii="宋体" w:hAnsi="宋体" w:cs="宋体"/>
                <w:color w:val="auto"/>
                <w:szCs w:val="21"/>
              </w:rPr>
            </w:pPr>
            <w:r>
              <w:rPr>
                <w:rFonts w:hint="eastAsia" w:ascii="宋体" w:hAnsi="宋体" w:cs="宋体"/>
                <w:color w:val="auto"/>
                <w:szCs w:val="21"/>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default"/>
                <w:color w:val="auto"/>
                <w:highlight w:val="none"/>
                <w:lang w:val="zh-CN" w:eastAsia="zh-CN"/>
              </w:rPr>
            </w:pPr>
            <w:r>
              <w:rPr>
                <w:rFonts w:hint="eastAsia" w:ascii="宋体" w:hAnsi="宋体" w:cs="宋体"/>
                <w:color w:val="auto"/>
                <w:szCs w:val="21"/>
              </w:rPr>
              <w:t xml:space="preserve">上述每项内容符合得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szCs w:val="21"/>
                <w:highlight w:val="none"/>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pacing w:val="-6"/>
                <w:sz w:val="21"/>
                <w:szCs w:val="22"/>
                <w:highlight w:val="none"/>
                <w:lang w:val="en-US" w:eastAsia="zh-CN" w:bidi="ar-SA"/>
              </w:rPr>
            </w:pPr>
            <w:r>
              <w:rPr>
                <w:rFonts w:hint="eastAsia" w:ascii="宋体" w:hAnsi="宋体" w:cs="宋体"/>
                <w:color w:val="auto"/>
                <w:spacing w:val="-4"/>
                <w:szCs w:val="21"/>
              </w:rPr>
              <w:t xml:space="preserve">主观分</w:t>
            </w:r>
            <w:r/>
          </w:p>
        </w:tc>
      </w:tr>
      <w:tr>
        <w:trPr>
          <w:jc w:val="center"/>
          <w:trHeight w:val="24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cs="宋体"/>
                <w:color w:val="auto"/>
                <w:spacing w:val="-2"/>
              </w:rPr>
              <w:t xml:space="preserve">2</w:t>
            </w:r>
            <w:r>
              <w:rPr>
                <w:rFonts w:ascii="宋体" w:hAnsi="宋体" w:cs="宋体"/>
                <w:color w:val="auto"/>
                <w:spacing w:val="-2"/>
              </w:rPr>
              <w:t xml:space="preserve">.</w:t>
            </w:r>
            <w:r>
              <w:rPr>
                <w:rFonts w:hint="eastAsia" w:ascii="宋体" w:hAnsi="宋体" w:cs="宋体"/>
                <w:color w:val="auto"/>
                <w:spacing w:val="-2"/>
              </w:rPr>
              <w:t xml:space="preserve">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highlight w:val="none"/>
                <w:lang w:val="en-US" w:eastAsia="zh-CN"/>
              </w:rPr>
            </w:pPr>
            <w:r>
              <w:rPr>
                <w:rFonts w:hint="eastAsia"/>
                <w:color w:val="auto"/>
                <w:szCs w:val="21"/>
              </w:rPr>
              <w:t xml:space="preserve">系统对接方案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color w:val="auto"/>
                <w:szCs w:val="21"/>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w:t>
            </w:r>
            <w:r>
              <w:rPr>
                <w:rFonts w:hint="eastAsia" w:ascii="宋体" w:hAnsi="宋体" w:cs="宋体"/>
                <w:color w:val="auto"/>
                <w:szCs w:val="21"/>
              </w:rPr>
              <w:t xml:space="preserve">包括</w:t>
            </w:r>
            <w:r>
              <w:rPr>
                <w:rFonts w:hint="eastAsia" w:ascii="宋体" w:hAnsi="宋体" w:cs="宋体"/>
                <w:color w:val="auto"/>
                <w:szCs w:val="21"/>
                <w:lang w:eastAsia="zh-CN"/>
              </w:rPr>
              <w:t xml:space="preserve">：</w:t>
            </w:r>
            <w:r>
              <w:rPr>
                <w:rFonts w:hint="eastAsia" w:ascii="宋体" w:hAnsi="宋体" w:cs="宋体"/>
                <w:color w:val="auto"/>
                <w:szCs w:val="21"/>
              </w:rPr>
              <w:t xml:space="preserve">1.对接实施计划；2.对接设计方案；3.对接保障措施方案。以上每项内容逐条阐述。 </w:t>
            </w:r>
            <w:r/>
          </w:p>
          <w:p>
            <w:pPr>
              <w:rPr>
                <w:rFonts w:ascii="宋体" w:hAnsi="宋体" w:cs="宋体"/>
                <w:color w:val="auto"/>
                <w:szCs w:val="21"/>
              </w:rPr>
            </w:pPr>
            <w:r>
              <w:rPr>
                <w:rFonts w:hint="eastAsia" w:ascii="宋体" w:hAnsi="宋体" w:cs="宋体"/>
                <w:color w:val="auto"/>
                <w:szCs w:val="21"/>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spacing w:line="264"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rPr>
              <w:t xml:space="preserve">上述每项内容符合得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rPr>
            </w:pPr>
            <w:r>
              <w:rPr>
                <w:rFonts w:hint="eastAsia" w:ascii="宋体" w:hAnsi="宋体" w:cs="宋体"/>
                <w:color w:val="auto"/>
                <w:szCs w:val="21"/>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eastAsia="宋体" w:cs="宋体"/>
                <w:color w:val="auto"/>
                <w:spacing w:val="-6"/>
                <w:highlight w:val="none"/>
                <w:lang w:val="en-US" w:eastAsia="zh-CN"/>
              </w:rPr>
            </w:pPr>
            <w:r>
              <w:rPr>
                <w:rFonts w:hint="eastAsia" w:ascii="宋体" w:hAnsi="宋体" w:cs="宋体"/>
                <w:color w:val="auto"/>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cs="宋体"/>
                <w:color w:val="auto"/>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highlight w:val="none"/>
                <w:lang w:val="en-US" w:eastAsia="zh-CN"/>
              </w:rPr>
            </w:pPr>
            <w:r>
              <w:rPr>
                <w:rFonts w:hint="eastAsia"/>
                <w:color w:val="auto"/>
                <w:szCs w:val="21"/>
              </w:rPr>
              <w:t xml:space="preserve">视频演示</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评委根据供应商提供的演示视频（总演示时间不超过20分钟）综合评分。演示视频包括以下内容： </w:t>
            </w:r>
            <w:r/>
          </w:p>
          <w:p>
            <w:pPr>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样本登记：支持对接整盘扫描仪进行批量扫码登记，在无需操作仪器情况下完全使用系统进行仪器驱动，并同时支持一边登记样本同时与预制码冻存管进行绑定；支持登记入库前的样本暂存于库外盒子中独立管理，库外盒子可自定义容量规格及摆放布局，支持在库外盒子内逐个调整样本摆放位置、批量移动及整理归位，入库时系统自动将样本从库外盒子定位转入正式存储位，并保留库外暂存期间的存放记录。</w:t>
            </w:r>
            <w:r/>
          </w:p>
          <w:p>
            <w:pPr>
              <w:rPr>
                <w:rFonts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)自定义样本表单</w:t>
            </w:r>
            <w:r>
              <w:rPr>
                <w:rFonts w:hint="eastAsia" w:ascii="宋体" w:hAnsi="宋体" w:cs="宋体"/>
                <w:color w:val="auto"/>
                <w:szCs w:val="21"/>
                <w:lang w:eastAsia="zh-CN"/>
              </w:rPr>
              <w:t xml:space="preserve">：</w:t>
            </w:r>
            <w:r>
              <w:rPr>
                <w:rFonts w:hint="eastAsia" w:ascii="宋体" w:hAnsi="宋体" w:cs="宋体"/>
                <w:color w:val="auto"/>
                <w:szCs w:val="21"/>
              </w:rPr>
              <w:t xml:space="preserve">支持按样本类型（如血液、组织、细胞系等）或业务部门创建并维护多个独立样本表单，各部门仅可见和使用本部门表单，数据相互隔离；表单内字段支持自定义属性配置，包括字段类型、是否必填、默认值、字段校验规则、字段间联动关系（如某字段选择特定值后自动显隐关联字段）；不同表单间可定义共用的基础字段集。</w:t>
            </w:r>
            <w:r/>
          </w:p>
          <w:p>
            <w:pPr>
              <w:rPr>
                <w:rFonts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）多库区管理</w:t>
            </w:r>
            <w:r>
              <w:rPr>
                <w:rFonts w:hint="eastAsia" w:ascii="宋体" w:hAnsi="宋体" w:cs="宋体"/>
                <w:color w:val="auto"/>
                <w:szCs w:val="21"/>
                <w:lang w:eastAsia="zh-CN"/>
              </w:rPr>
              <w:t xml:space="preserve">：</w:t>
            </w:r>
            <w:r>
              <w:rPr>
                <w:rFonts w:hint="eastAsia" w:ascii="宋体" w:hAnsi="宋体" w:cs="宋体"/>
                <w:color w:val="auto"/>
                <w:szCs w:val="21"/>
              </w:rPr>
              <w:t xml:space="preserve">每个库区可独立配置以下规则，样本按所在库区自动匹配对应流程：a.入库规则：支持"直接入库"或"审核后执行入库"两种模式；b.出库规则：支持"直接出库""指定批次申领并出库""指定样本申领并出库"三种模式，可设置待出库停留时长限制；c.还库规则：可设定允许或禁止还库；d.转移规则：可设定不接受/接受所有/仅接受特定库区的样本转入，并按来源库区设置转移约束条件；e.放行规则：可开启样本放行标记，申领时考察批次放行状态；f.电子签名规则：按操作类型独立配置签名启用状态、身份验证方式、签名方式及是否双人复核。</w:t>
            </w:r>
            <w:r/>
          </w:p>
          <w:p>
            <w:pPr>
              <w:rPr>
                <w:rFonts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系统应支持对生物样本批次实施条件放行审核机制：当主要质控项符合要求但存在待确认事项时，可在受控条件下先行放行并标注"条件放行中"状态；条件放行后须进行二次审核，二次审核仅允许批准放行、拒绝放行或业务作废三种决策，不支持再次条件放行，确保条件放行批次最终走向确定结论；条件放行期间的批次不可执行出库、外发等下游业务操作。</w:t>
            </w:r>
            <w:r/>
          </w:p>
          <w:p>
            <w:pPr>
              <w:rPr>
                <w:rFonts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系统应支持同一来源拆分产生的多个平行批次在放行审核时联动管控：放行发起时以可视化图谱展示当前批次与所有平行批次的拆分关系，对每个平行批次独立设定"同步影响"或"无关联"（必填），选择同步影响的平行批次在放行审核决策执行后状态同步变更，确保同一来源的不同批次不被部分放行部分拒绝；关联关系在放行业务发起时形成不可篡改的快照，不随后续批次关系变化而改变。</w:t>
            </w:r>
            <w:r/>
          </w:p>
          <w:p>
            <w:pPr>
              <w:jc w:val="left"/>
              <w:widowControl/>
              <w:rPr>
                <w:rFonts w:hint="eastAsia" w:ascii="宋体" w:hAnsi="宋体" w:eastAsia="宋体" w:cs="宋体"/>
                <w:color w:val="auto"/>
                <w:szCs w:val="21"/>
                <w:lang w:eastAsia="zh-CN"/>
              </w:rPr>
            </w:pPr>
            <w:r>
              <w:rPr>
                <w:rFonts w:hint="eastAsia" w:ascii="宋体" w:hAnsi="宋体" w:cs="宋体"/>
                <w:color w:val="auto"/>
                <w:szCs w:val="21"/>
              </w:rPr>
              <w:t xml:space="preserve">以上演示条款，采用类似真实系统演示全部</w:t>
            </w:r>
            <w:r>
              <w:rPr>
                <w:rFonts w:hint="eastAsia" w:ascii="宋体" w:hAnsi="宋体" w:cs="宋体"/>
                <w:color w:val="auto"/>
                <w:szCs w:val="21"/>
                <w:lang w:val="en-US" w:eastAsia="zh-CN"/>
              </w:rPr>
              <w:t xml:space="preserve">内容，</w:t>
            </w:r>
            <w:r>
              <w:rPr>
                <w:rFonts w:hint="eastAsia" w:ascii="宋体" w:hAnsi="宋体" w:cs="宋体"/>
                <w:color w:val="auto"/>
                <w:szCs w:val="21"/>
              </w:rPr>
              <w:t xml:space="preserve">每</w:t>
            </w:r>
            <w:r>
              <w:rPr>
                <w:rFonts w:hint="eastAsia" w:ascii="宋体" w:hAnsi="宋体" w:cs="宋体"/>
                <w:color w:val="auto"/>
                <w:szCs w:val="21"/>
                <w:lang w:val="en-US" w:eastAsia="zh-CN"/>
              </w:rPr>
              <w:t xml:space="preserve">项</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采用系统原型（DEMO）演示全部内容</w:t>
            </w:r>
            <w:r>
              <w:rPr>
                <w:rFonts w:hint="eastAsia" w:ascii="宋体" w:hAnsi="宋体" w:cs="宋体"/>
                <w:color w:val="auto"/>
                <w:szCs w:val="21"/>
                <w:lang w:eastAsia="zh-CN"/>
              </w:rPr>
              <w:t xml:space="preserve">，</w:t>
            </w:r>
            <w:r>
              <w:rPr>
                <w:rFonts w:hint="eastAsia" w:ascii="宋体" w:hAnsi="宋体" w:cs="宋体"/>
                <w:color w:val="auto"/>
                <w:szCs w:val="21"/>
              </w:rPr>
              <w:t xml:space="preserve">每</w:t>
            </w:r>
            <w:r>
              <w:rPr>
                <w:rFonts w:hint="eastAsia" w:ascii="宋体" w:hAnsi="宋体" w:cs="宋体"/>
                <w:color w:val="auto"/>
                <w:szCs w:val="21"/>
                <w:lang w:val="en-US" w:eastAsia="zh-CN"/>
              </w:rPr>
              <w:t xml:space="preserve">项</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1.5</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采用PPT等方式演示全部内容</w:t>
            </w:r>
            <w:r>
              <w:rPr>
                <w:rFonts w:hint="eastAsia" w:ascii="宋体" w:hAnsi="宋体" w:cs="宋体"/>
                <w:color w:val="auto"/>
                <w:szCs w:val="21"/>
                <w:lang w:eastAsia="zh-CN"/>
              </w:rPr>
              <w:t xml:space="preserve">，</w:t>
            </w:r>
            <w:r>
              <w:rPr>
                <w:rFonts w:hint="eastAsia" w:ascii="宋体" w:hAnsi="宋体" w:cs="宋体"/>
                <w:color w:val="auto"/>
                <w:szCs w:val="21"/>
              </w:rPr>
              <w:t xml:space="preserve">每</w:t>
            </w:r>
            <w:r>
              <w:rPr>
                <w:rFonts w:hint="eastAsia" w:ascii="宋体" w:hAnsi="宋体" w:cs="宋体"/>
                <w:color w:val="auto"/>
                <w:szCs w:val="21"/>
                <w:lang w:val="en-US" w:eastAsia="zh-CN"/>
              </w:rPr>
              <w:t xml:space="preserve">项</w:t>
            </w:r>
            <w:r>
              <w:rPr>
                <w:rFonts w:hint="eastAsia" w:ascii="宋体" w:hAnsi="宋体" w:cs="宋体"/>
                <w:color w:val="auto"/>
                <w:szCs w:val="21"/>
              </w:rPr>
              <w:t xml:space="preserve">得1分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未提供演示</w:t>
            </w:r>
            <w:r>
              <w:rPr>
                <w:rFonts w:hint="eastAsia" w:ascii="宋体" w:hAnsi="宋体" w:cs="宋体"/>
                <w:color w:val="auto"/>
                <w:szCs w:val="21"/>
              </w:rPr>
              <w:t xml:space="preserve">不得分</w:t>
            </w:r>
            <w:r>
              <w:rPr>
                <w:rFonts w:hint="eastAsia" w:ascii="宋体" w:hAnsi="宋体" w:cs="宋体"/>
                <w:color w:val="auto"/>
                <w:szCs w:val="21"/>
                <w:lang w:eastAsia="zh-CN"/>
              </w:rPr>
              <w:t xml:space="preserve">。</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 w:val="21"/>
                <w:szCs w:val="21"/>
                <w:highlight w:val="none"/>
                <w:lang w:val="en-US" w:eastAsia="zh-CN"/>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pacing w:val="-6"/>
                <w:highlight w:val="none"/>
                <w:lang w:val="en-US" w:eastAsia="zh-CN"/>
              </w:rPr>
            </w:pPr>
            <w:r>
              <w:rPr>
                <w:rFonts w:hint="eastAsia" w:ascii="宋体" w:hAnsi="宋体" w:cs="宋体"/>
                <w:color w:val="auto"/>
                <w:spacing w:val="-6"/>
                <w:szCs w:val="21"/>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highlight w:val="none"/>
                <w:lang w:eastAsia="zh-CN"/>
              </w:rPr>
            </w:pPr>
            <w:r>
              <w:rPr>
                <w:rFonts w:hint="eastAsia" w:ascii="宋体" w:hAnsi="宋体" w:eastAsia="宋体" w:cs="宋体"/>
                <w:b/>
                <w:bCs/>
                <w:color w:val="auto"/>
                <w:spacing w:val="-3"/>
                <w:highlight w:val="none"/>
                <w:lang w:val="en-US" w:eastAsia="zh-CN"/>
              </w:rPr>
              <w:t xml:space="preserve">3.服务</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highlight w:val="none"/>
                <w:lang w:val="en-US" w:eastAsia="zh-CN"/>
              </w:rPr>
            </w:pPr>
            <w:r>
              <w:rPr>
                <w:rFonts w:hint="eastAsia" w:ascii="宋体" w:hAnsi="宋体" w:cs="宋体"/>
                <w:color w:val="auto"/>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eastAsia="宋体" w:cs="宋体"/>
                <w:color w:val="auto"/>
                <w:spacing w:val="-2"/>
                <w:highlight w:val="none"/>
                <w:lang w:val="en-US" w:eastAsia="zh-CN"/>
              </w:rPr>
            </w:pPr>
            <w:r>
              <w:rPr>
                <w:rFonts w:hint="eastAsia" w:ascii="Times New Roman" w:hAnsi="Times New Roman" w:eastAsia="宋体" w:cs="Times New Roman"/>
                <w:color w:val="auto"/>
                <w:spacing w:val="0"/>
                <w:lang w:val="en-US" w:eastAsia="zh-CN"/>
              </w:rPr>
              <w:t xml:space="preserve">运维服务方案</w:t>
            </w:r>
            <w:r/>
          </w:p>
        </w:tc>
        <w:tc>
          <w:tcPr>
            <w:tcBorders>
              <w:top w:val="single" w:color="000000" w:sz="2" w:space="0"/>
              <w:bottom w:val="single" w:color="000000" w:sz="2" w:space="0"/>
            </w:tcBorders>
            <w:tcW w:w="6330" w:type="dxa"/>
            <w:vAlign w:val="center"/>
            <w:textDirection w:val="lrTb"/>
            <w:noWrap w:val="false"/>
          </w:tcPr>
          <w:p>
            <w:pPr>
              <w:rPr>
                <w:rFonts w:hint="eastAsia"/>
                <w:color w:val="auto"/>
                <w:sz w:val="21"/>
                <w:szCs w:val="21"/>
                <w:lang w:val="en-US" w:bidi="ar-SA"/>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编制方案，包括：1.服务措施；2.应急举措；3.服务流程；4.服务保障体系；5.预防性维护。以上每项内容逐条阐述。 </w:t>
            </w:r>
            <w:r/>
          </w:p>
          <w:p>
            <w:pPr>
              <w:rPr>
                <w:rFonts w:hint="eastAsia"/>
                <w:color w:val="auto"/>
                <w:sz w:val="21"/>
                <w:szCs w:val="21"/>
                <w:lang w:val="en-US" w:bidi="ar-SA"/>
              </w:rPr>
            </w:pPr>
            <w:r>
              <w:rPr>
                <w:rFonts w:hint="eastAsia"/>
                <w:color w:val="auto"/>
                <w:sz w:val="21"/>
                <w:szCs w:val="21"/>
                <w:lang w:val="en-US" w:bidi="ar-SA"/>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eastAsia" w:ascii="宋体" w:hAnsi="宋体" w:eastAsia="宋体" w:cs="宋体"/>
                <w:color w:val="auto"/>
                <w:spacing w:val="-2"/>
                <w:highlight w:val="none"/>
                <w:lang w:val="en-US" w:eastAsia="zh-CN"/>
              </w:rPr>
            </w:pPr>
            <w:r>
              <w:rPr>
                <w:rFonts w:hint="eastAsia"/>
                <w:color w:val="auto"/>
                <w:sz w:val="21"/>
                <w:szCs w:val="21"/>
                <w:lang w:val="en-US" w:bidi="ar-SA"/>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sz w:val="21"/>
                <w:szCs w:val="21"/>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default" w:ascii="宋体" w:hAnsi="宋体" w:eastAsia="宋体" w:cs="宋体"/>
                <w:color w:val="auto"/>
                <w:spacing w:val="-6"/>
                <w:highlight w:val="none"/>
                <w:lang w:val="en-US" w:eastAsia="zh-CN"/>
              </w:rPr>
            </w:pPr>
            <w:r>
              <w:rPr>
                <w:rFonts w:hint="eastAsia" w:ascii="宋体" w:hAnsi="宋体" w:cs="宋体"/>
                <w:color w:val="auto"/>
                <w:lang w:val="en-US" w:eastAsia="zh-CN"/>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highlight w:val="none"/>
              </w:rPr>
            </w:pPr>
            <w:r>
              <w:rPr>
                <w:rFonts w:hint="eastAsia" w:ascii="宋体" w:hAnsi="宋体" w:eastAsia="宋体" w:cs="宋体"/>
                <w:color w:val="auto"/>
                <w:spacing w:val="-2"/>
                <w:highlight w:val="none"/>
                <w:lang w:val="en-US" w:eastAsia="zh-CN"/>
              </w:rPr>
              <w:t xml:space="preserve">4</w:t>
            </w:r>
            <w:r>
              <w:rPr>
                <w:rFonts w:ascii="宋体" w:hAnsi="宋体" w:eastAsia="宋体" w:cs="宋体"/>
                <w:color w:val="auto"/>
                <w:spacing w:val="-2"/>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highlight w:val="none"/>
              </w:rPr>
            </w:pPr>
            <w:r>
              <w:rPr>
                <w:rFonts w:hint="eastAsia" w:ascii="宋体" w:hAnsi="宋体" w:eastAsia="宋体" w:cs="宋体"/>
                <w:color w:val="auto"/>
                <w:spacing w:val="-1"/>
                <w:lang w:eastAsia="zh-CN"/>
              </w:rPr>
              <w:t xml:space="preserve">供应商</w:t>
            </w:r>
            <w:r>
              <w:rPr>
                <w:rFonts w:ascii="宋体" w:hAnsi="宋体" w:eastAsia="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highlight w:val="none"/>
                <w:lang w:val="en-US" w:eastAsia="zh-CN" w:bidi="zh-CN"/>
              </w:rPr>
            </w:pPr>
            <w:r>
              <w:rPr>
                <w:rFonts w:hint="eastAsia" w:ascii="宋体" w:hAnsi="宋体" w:eastAsia="宋体" w:cs="宋体"/>
                <w:color w:val="auto"/>
                <w:lang w:val="en-US" w:eastAsia="zh-CN"/>
              </w:rPr>
              <w:t xml:space="preserve">供应商提供</w:t>
            </w:r>
            <w:r>
              <w:rPr>
                <w:rFonts w:ascii="宋体" w:hAnsi="宋体" w:eastAsia="宋体" w:cs="宋体"/>
                <w:color w:val="auto"/>
                <w:lang w:val="en-US" w:eastAsia="zh-CN"/>
              </w:rPr>
              <w:t xml:space="preserve">20</w:t>
            </w:r>
            <w:r>
              <w:rPr>
                <w:rFonts w:hint="eastAsia" w:ascii="宋体" w:hAnsi="宋体" w:eastAsia="宋体" w:cs="宋体"/>
                <w:color w:val="auto"/>
                <w:lang w:val="en-US" w:eastAsia="zh-CN"/>
              </w:rPr>
              <w:t xml:space="preserve">23</w:t>
            </w:r>
            <w:r>
              <w:rPr>
                <w:rFonts w:ascii="宋体" w:hAnsi="宋体" w:eastAsia="宋体" w:cs="宋体"/>
                <w:color w:val="auto"/>
                <w:lang w:val="en-US" w:eastAsia="zh-CN"/>
              </w:rPr>
              <w:t xml:space="preserve">年</w:t>
            </w:r>
            <w:r>
              <w:rPr>
                <w:rFonts w:hint="eastAsia" w:ascii="宋体" w:hAnsi="宋体" w:eastAsia="宋体" w:cs="宋体"/>
                <w:color w:val="auto"/>
                <w:lang w:val="en-US" w:eastAsia="zh-CN"/>
              </w:rPr>
              <w:t xml:space="preserve">1</w:t>
            </w:r>
            <w:r>
              <w:rPr>
                <w:rFonts w:ascii="宋体" w:hAnsi="宋体" w:eastAsia="宋体" w:cs="宋体"/>
                <w:color w:val="auto"/>
                <w:lang w:val="en-US" w:eastAsia="zh-CN"/>
              </w:rPr>
              <w:t xml:space="preserve">月</w:t>
            </w:r>
            <w:r>
              <w:rPr>
                <w:rFonts w:hint="eastAsia" w:ascii="宋体" w:hAnsi="宋体" w:eastAsia="宋体" w:cs="宋体"/>
                <w:color w:val="auto"/>
                <w:lang w:val="en-US" w:eastAsia="zh-CN"/>
              </w:rPr>
              <w:t xml:space="preserve">1</w:t>
            </w:r>
            <w:r>
              <w:rPr>
                <w:rFonts w:ascii="宋体" w:hAnsi="宋体" w:eastAsia="宋体" w:cs="宋体"/>
                <w:color w:val="auto"/>
                <w:lang w:val="en-US" w:eastAsia="zh-CN"/>
              </w:rPr>
              <w:t xml:space="preserve">日（含）以来</w:t>
            </w:r>
            <w:r>
              <w:rPr>
                <w:rFonts w:hint="eastAsia" w:ascii="宋体" w:hAnsi="宋体" w:eastAsia="宋体" w:cs="宋体"/>
                <w:color w:val="auto"/>
                <w:lang w:val="en-US" w:eastAsia="zh-CN"/>
              </w:rPr>
              <w:t xml:space="preserve">类似软件开发项目</w:t>
            </w:r>
            <w:r>
              <w:rPr>
                <w:rFonts w:ascii="宋体" w:hAnsi="宋体" w:eastAsia="宋体" w:cs="宋体"/>
                <w:color w:val="auto"/>
                <w:lang w:val="en-US" w:eastAsia="zh-CN"/>
              </w:rPr>
              <w:t xml:space="preserve">业绩</w:t>
            </w:r>
            <w:r>
              <w:rPr>
                <w:rFonts w:hint="eastAsia" w:ascii="宋体" w:hAnsi="宋体" w:eastAsia="宋体" w:cs="宋体"/>
                <w:color w:val="auto"/>
                <w:sz w:val="21"/>
                <w:szCs w:val="21"/>
              </w:rPr>
              <w:t xml:space="preserve">（至少</w:t>
            </w:r>
            <w:r>
              <w:rPr>
                <w:rFonts w:hint="eastAsia" w:ascii="宋体" w:hAnsi="宋体" w:eastAsia="宋体" w:cs="宋体"/>
                <w:color w:val="auto"/>
                <w:sz w:val="21"/>
                <w:szCs w:val="21"/>
                <w:lang w:val="en-US" w:eastAsia="zh-CN"/>
              </w:rPr>
              <w:t xml:space="preserve">包含</w:t>
            </w:r>
            <w:r>
              <w:rPr>
                <w:rFonts w:hint="eastAsia" w:ascii="宋体" w:hAnsi="宋体" w:cs="宋体"/>
                <w:color w:val="auto"/>
                <w:szCs w:val="21"/>
              </w:rPr>
              <w:t xml:space="preserve">生物样本库信息化管理、样本数据溯源、样本库流程管控、科研样本信息系统建设等相关内容</w:t>
            </w:r>
            <w:r>
              <w:rPr>
                <w:rFonts w:hint="eastAsia" w:ascii="宋体" w:hAnsi="宋体" w:cs="宋体"/>
                <w:color w:val="auto"/>
                <w:sz w:val="21"/>
                <w:szCs w:val="21"/>
                <w:lang w:val="en-US" w:eastAsia="zh-CN"/>
              </w:rPr>
              <w:t xml:space="preserve">等相关内容</w:t>
            </w:r>
            <w:r>
              <w:rPr>
                <w:rFonts w:hint="eastAsia" w:ascii="宋体" w:hAnsi="宋体" w:eastAsia="宋体" w:cs="宋体"/>
                <w:color w:val="auto"/>
                <w:sz w:val="21"/>
                <w:szCs w:val="21"/>
              </w:rPr>
              <w:t xml:space="preserve">）</w:t>
            </w:r>
            <w:r>
              <w:rPr>
                <w:rFonts w:ascii="宋体" w:hAnsi="宋体" w:eastAsia="宋体" w:cs="宋体"/>
                <w:color w:val="auto"/>
                <w:lang w:val="en-US" w:eastAsia="zh-CN"/>
              </w:rPr>
              <w:t xml:space="preserve">，每提供</w:t>
            </w:r>
            <w:r>
              <w:rPr>
                <w:rFonts w:hint="eastAsia" w:ascii="宋体" w:hAnsi="宋体" w:eastAsia="宋体" w:cs="宋体"/>
                <w:color w:val="auto"/>
                <w:lang w:val="en-US" w:eastAsia="zh-CN"/>
              </w:rPr>
              <w:t xml:space="preserve">1</w:t>
            </w:r>
            <w:r>
              <w:rPr>
                <w:rFonts w:ascii="宋体" w:hAnsi="宋体" w:eastAsia="宋体" w:cs="宋体"/>
                <w:color w:val="auto"/>
                <w:lang w:val="en-US" w:eastAsia="zh-CN"/>
              </w:rPr>
              <w:t xml:space="preserve">个得</w:t>
            </w:r>
            <w:r>
              <w:rPr>
                <w:rFonts w:hint="eastAsia" w:ascii="宋体" w:hAnsi="宋体" w:eastAsia="宋体" w:cs="宋体"/>
                <w:color w:val="auto"/>
                <w:lang w:val="en-US" w:eastAsia="zh-CN"/>
              </w:rPr>
              <w:t xml:space="preserve">2</w:t>
            </w:r>
            <w:r>
              <w:rPr>
                <w:rFonts w:ascii="宋体" w:hAnsi="宋体" w:eastAsia="宋体" w:cs="宋体"/>
                <w:color w:val="auto"/>
                <w:lang w:val="en-US" w:eastAsia="zh-CN"/>
              </w:rPr>
              <w:t xml:space="preserve">分</w:t>
            </w:r>
            <w:r>
              <w:rPr>
                <w:rFonts w:hint="eastAsia" w:ascii="宋体" w:hAnsi="宋体" w:eastAsia="宋体" w:cs="宋体"/>
                <w:color w:val="auto"/>
                <w:lang w:val="en-US" w:eastAsia="zh-CN"/>
              </w:rPr>
              <w:t xml:space="preserve">，最多得4分，未提供不得分</w:t>
            </w:r>
            <w:r>
              <w:rPr>
                <w:rFonts w:ascii="宋体" w:hAnsi="宋体" w:eastAsia="宋体" w:cs="宋体"/>
                <w:color w:val="auto"/>
                <w:lang w:val="en-US" w:eastAsia="zh-CN"/>
              </w:rPr>
              <w:t xml:space="preserve">。（</w:t>
            </w:r>
            <w:r>
              <w:rPr>
                <w:rFonts w:hint="eastAsia" w:ascii="宋体" w:hAnsi="宋体" w:eastAsia="宋体" w:cs="宋体"/>
                <w:color w:val="auto"/>
                <w:sz w:val="21"/>
                <w:szCs w:val="21"/>
                <w:lang w:val="en-US" w:eastAsia="zh-CN" w:bidi="ar-SA"/>
              </w:rPr>
              <w:t xml:space="preserve">时间以合同签订时间为准，</w:t>
            </w:r>
            <w:r>
              <w:rPr>
                <w:rFonts w:ascii="宋体" w:hAnsi="宋体" w:eastAsia="宋体" w:cs="宋体"/>
                <w:color w:val="auto"/>
                <w:lang w:val="en-US" w:eastAsia="zh-CN"/>
              </w:rPr>
              <w:t xml:space="preserve">提供有效合同，合同</w:t>
            </w:r>
            <w:r>
              <w:rPr>
                <w:rFonts w:hint="eastAsia" w:ascii="宋体" w:hAnsi="宋体" w:eastAsia="宋体" w:cs="宋体"/>
                <w:color w:val="auto"/>
                <w:lang w:val="en-US" w:eastAsia="zh-CN"/>
              </w:rPr>
              <w:t xml:space="preserve">页</w:t>
            </w:r>
            <w:r>
              <w:rPr>
                <w:rFonts w:ascii="宋体" w:hAnsi="宋体" w:eastAsia="宋体" w:cs="宋体"/>
                <w:color w:val="auto"/>
                <w:lang w:val="en-US" w:eastAsia="zh-CN"/>
              </w:rPr>
              <w:t xml:space="preserve">须清晰可见相应内容</w:t>
            </w:r>
            <w:r>
              <w:rPr>
                <w:rFonts w:ascii="宋体" w:hAnsi="宋体" w:eastAsia="宋体" w:cs="宋体"/>
                <w:color w:val="auto"/>
                <w:sz w:val="21"/>
                <w:szCs w:val="22"/>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cs="宋体"/>
                <w:color w:val="auto"/>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color w:val="auto"/>
                <w:spacing w:val="-2"/>
                <w:highlight w:val="none"/>
              </w:rPr>
            </w:pPr>
            <w:r>
              <w:rPr>
                <w:rFonts w:hint="eastAsia" w:ascii="宋体" w:hAnsi="宋体" w:cs="宋体"/>
                <w:color w:val="auto"/>
                <w:spacing w:val="-2"/>
              </w:rPr>
              <w:t xml:space="preserve">5</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highlight w:val="none"/>
                <w:lang w:val="en-US" w:eastAsia="zh-CN"/>
              </w:rPr>
            </w:pPr>
            <w:r>
              <w:rPr>
                <w:rFonts w:hint="eastAsia"/>
                <w:color w:val="auto"/>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拟投入本项目的项目经理：具有</w:t>
            </w:r>
            <w:r>
              <w:rPr>
                <w:rFonts w:hint="eastAsia" w:ascii="宋体" w:hAnsi="宋体" w:cs="宋体"/>
                <w:color w:val="auto"/>
                <w:szCs w:val="21"/>
                <w:lang w:val="en-US" w:eastAsia="zh-CN"/>
              </w:rPr>
              <w:t xml:space="preserve">人社部门和工信部门颁发的</w:t>
            </w:r>
            <w:r>
              <w:rPr>
                <w:rFonts w:hint="eastAsia" w:ascii="宋体" w:hAnsi="宋体" w:cs="宋体"/>
                <w:color w:val="auto"/>
                <w:szCs w:val="21"/>
              </w:rPr>
              <w:t xml:space="preserve">信息系统项目管理师证书，得2分。</w:t>
            </w:r>
            <w:r/>
          </w:p>
          <w:p>
            <w:pPr>
              <w:spacing w:line="264" w:lineRule="auto"/>
              <w:rPr>
                <w:rFonts w:hint="default"/>
                <w:color w:val="auto"/>
                <w:highlight w:val="none"/>
                <w:lang w:val="en-US" w:eastAsia="zh-CN"/>
              </w:rPr>
            </w:pPr>
            <w:r>
              <w:rPr>
                <w:rFonts w:ascii="宋体" w:hAnsi="宋体" w:cs="宋体"/>
                <w:color w:val="auto"/>
                <w:szCs w:val="21"/>
                <w:lang w:val="zh-CN"/>
              </w:rPr>
              <w:t xml:space="preserve">（提供</w:t>
            </w:r>
            <w:r>
              <w:rPr>
                <w:rFonts w:hint="eastAsia" w:ascii="宋体" w:hAnsi="宋体" w:cs="宋体"/>
                <w:color w:val="auto"/>
                <w:szCs w:val="21"/>
                <w:lang w:val="zh-CN"/>
              </w:rPr>
              <w:t xml:space="preserve">人员</w:t>
            </w:r>
            <w:r>
              <w:rPr>
                <w:rFonts w:ascii="宋体" w:hAnsi="宋体" w:cs="宋体"/>
                <w:color w:val="auto"/>
                <w:szCs w:val="21"/>
                <w:lang w:val="zh-CN"/>
              </w:rPr>
              <w:t xml:space="preserve">证书</w:t>
            </w:r>
            <w:r>
              <w:rPr>
                <w:rFonts w:hint="eastAsia" w:ascii="宋体" w:hAnsi="宋体" w:cs="宋体"/>
                <w:color w:val="auto"/>
                <w:szCs w:val="21"/>
              </w:rPr>
              <w:t xml:space="preserve">及供应商为其缴纳的2026年1月以来任意一个月的社保证明材料，缺一不可）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eastAsia="宋体" w:cs="宋体"/>
                <w:color w:val="auto"/>
                <w:highlight w:val="none"/>
              </w:rPr>
            </w:pPr>
            <w:r>
              <w:rPr>
                <w:rFonts w:hint="eastAsia" w:ascii="宋体" w:hAnsi="宋体" w:cs="宋体"/>
                <w:color w:val="auto"/>
                <w:spacing w:val="-6"/>
                <w:szCs w:val="21"/>
              </w:rPr>
              <w:t xml:space="preserve">客</w:t>
            </w:r>
            <w:r>
              <w:rPr>
                <w:rFonts w:ascii="宋体" w:hAnsi="宋体" w:cs="宋体"/>
                <w:color w:val="auto"/>
                <w:spacing w:val="-4"/>
                <w:szCs w:val="21"/>
              </w:rPr>
              <w:t xml:space="preserve">观</w:t>
            </w:r>
            <w:r>
              <w:rPr>
                <w:rFonts w:hint="eastAsia" w:ascii="宋体" w:hAnsi="宋体" w:cs="宋体"/>
                <w:color w:val="auto"/>
                <w:spacing w:val="-4"/>
                <w:szCs w:val="21"/>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color w:val="auto"/>
                <w:spacing w:val="-2"/>
                <w:highlight w:val="none"/>
              </w:rPr>
            </w:pPr>
            <w:r>
              <w:rPr>
                <w:rFonts w:hint="eastAsia" w:ascii="宋体" w:hAnsi="宋体" w:cs="宋体"/>
                <w:color w:val="auto"/>
                <w:spacing w:val="-2"/>
              </w:rPr>
              <w:t xml:space="preserve">5</w:t>
            </w:r>
            <w:r>
              <w:rPr>
                <w:rFonts w:ascii="宋体" w:hAnsi="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highlight w:val="none"/>
                <w:lang w:val="en-US" w:eastAsia="zh-CN"/>
              </w:rPr>
            </w:pPr>
            <w:r>
              <w:rPr>
                <w:rFonts w:hint="eastAsia"/>
                <w:color w:val="auto"/>
                <w:szCs w:val="21"/>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拟投入本项目的技术负责人：具有</w:t>
            </w:r>
            <w:r>
              <w:rPr>
                <w:rFonts w:hint="eastAsia" w:ascii="宋体" w:hAnsi="宋体" w:cs="宋体"/>
                <w:color w:val="auto"/>
                <w:szCs w:val="21"/>
                <w:lang w:val="en-US" w:eastAsia="zh-CN"/>
              </w:rPr>
              <w:t xml:space="preserve">人社部门和工信部门颁发的</w:t>
            </w:r>
            <w:r>
              <w:rPr>
                <w:rFonts w:hint="eastAsia" w:ascii="宋体" w:hAnsi="宋体" w:cs="宋体"/>
                <w:color w:val="auto"/>
                <w:szCs w:val="21"/>
              </w:rPr>
              <w:t xml:space="preserve">系统集成项目管理工程师</w:t>
            </w:r>
            <w:r>
              <w:rPr>
                <w:rFonts w:hint="eastAsia" w:ascii="宋体" w:hAnsi="宋体" w:cs="宋体"/>
                <w:color w:val="auto"/>
                <w:szCs w:val="21"/>
                <w:lang w:val="en-US" w:eastAsia="zh-CN"/>
              </w:rPr>
              <w:t xml:space="preserve">证书</w:t>
            </w:r>
            <w:r>
              <w:rPr>
                <w:rFonts w:hint="eastAsia" w:ascii="宋体" w:hAnsi="宋体" w:cs="宋体"/>
                <w:color w:val="auto"/>
                <w:szCs w:val="21"/>
              </w:rPr>
              <w:t xml:space="preserve">，得2分。</w:t>
            </w:r>
            <w:r/>
          </w:p>
          <w:p>
            <w:pPr>
              <w:spacing w:line="264" w:lineRule="auto"/>
              <w:rPr>
                <w:rFonts w:hint="default" w:ascii="宋体" w:hAnsi="宋体" w:eastAsia="宋体" w:cs="宋体"/>
                <w:color w:val="auto"/>
                <w:sz w:val="21"/>
                <w:szCs w:val="22"/>
                <w:highlight w:val="none"/>
                <w:lang w:val="en-US" w:eastAsia="zh-CN" w:bidi="ar-SA"/>
              </w:rPr>
            </w:pPr>
            <w:r>
              <w:rPr>
                <w:rFonts w:ascii="宋体" w:hAnsi="宋体" w:cs="宋体"/>
                <w:color w:val="auto"/>
                <w:szCs w:val="21"/>
                <w:lang w:val="zh-CN"/>
              </w:rPr>
              <w:t xml:space="preserve">（提供</w:t>
            </w:r>
            <w:r>
              <w:rPr>
                <w:rFonts w:hint="eastAsia" w:ascii="宋体" w:hAnsi="宋体" w:cs="宋体"/>
                <w:color w:val="auto"/>
                <w:szCs w:val="21"/>
                <w:lang w:val="zh-CN"/>
              </w:rPr>
              <w:t xml:space="preserve">人员</w:t>
            </w:r>
            <w:r>
              <w:rPr>
                <w:rFonts w:ascii="宋体" w:hAnsi="宋体" w:cs="宋体"/>
                <w:color w:val="auto"/>
                <w:szCs w:val="21"/>
                <w:lang w:val="zh-CN"/>
              </w:rPr>
              <w:t xml:space="preserve">证书</w:t>
            </w:r>
            <w:r>
              <w:rPr>
                <w:rFonts w:hint="eastAsia" w:ascii="宋体" w:hAnsi="宋体" w:cs="宋体"/>
                <w:color w:val="auto"/>
                <w:szCs w:val="21"/>
              </w:rPr>
              <w:t xml:space="preserve">及供应商为其缴纳的2026年1月以来任意一个月的社保证明材料，缺一不可）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eastAsia="宋体" w:cs="宋体"/>
                <w:color w:val="auto"/>
                <w:highlight w:val="none"/>
              </w:rPr>
            </w:pPr>
            <w:r>
              <w:rPr>
                <w:rFonts w:hint="eastAsia" w:ascii="宋体" w:hAnsi="宋体" w:cs="宋体"/>
                <w:color w:val="auto"/>
                <w:spacing w:val="-6"/>
                <w:szCs w:val="21"/>
              </w:rPr>
              <w:t xml:space="preserve">客</w:t>
            </w:r>
            <w:r>
              <w:rPr>
                <w:rFonts w:ascii="宋体" w:hAnsi="宋体" w:cs="宋体"/>
                <w:color w:val="auto"/>
                <w:spacing w:val="-4"/>
                <w:szCs w:val="21"/>
              </w:rPr>
              <w:t xml:space="preserve">观</w:t>
            </w:r>
            <w:r>
              <w:rPr>
                <w:rFonts w:hint="eastAsia" w:ascii="宋体" w:hAnsi="宋体" w:cs="宋体"/>
                <w:color w:val="auto"/>
                <w:spacing w:val="-4"/>
                <w:szCs w:val="21"/>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highlight w:val="none"/>
                <w:lang w:eastAsia="zh-CN"/>
              </w:rPr>
            </w:pPr>
            <w:r>
              <w:rPr>
                <w:rFonts w:hint="eastAsia"/>
                <w:color w:val="auto"/>
                <w:szCs w:val="21"/>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项目实施团队能力（不含项目经理和技术负责人）：</w:t>
            </w:r>
            <w:r/>
          </w:p>
          <w:p>
            <w:pPr>
              <w:spacing w:line="264" w:lineRule="auto"/>
              <w:rPr>
                <w:rFonts w:ascii="宋体" w:hAnsi="宋体" w:cs="宋体"/>
                <w:color w:val="auto"/>
                <w:szCs w:val="21"/>
              </w:rPr>
            </w:pPr>
            <w:r>
              <w:rPr>
                <w:rFonts w:ascii="宋体" w:hAnsi="宋体" w:cs="宋体"/>
                <w:color w:val="auto"/>
                <w:szCs w:val="21"/>
              </w:rPr>
              <w:t xml:space="preserve">①</w:t>
            </w:r>
            <w:r>
              <w:rPr>
                <w:rFonts w:hint="eastAsia" w:ascii="宋体" w:hAnsi="宋体" w:cs="宋体"/>
                <w:color w:val="auto"/>
                <w:szCs w:val="21"/>
              </w:rPr>
              <w:t xml:space="preserve">团队成员具有软件设计师证书或注册信息安全工程师证书，每提供1个证书得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分，最高</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分。（多人一证、一人多证不重复计分，提供团队成员证书及供应商为其缴纳的2026年1月以来任意一个月的社保证明材料）</w:t>
            </w:r>
            <w:r/>
          </w:p>
          <w:p>
            <w:pPr>
              <w:rPr>
                <w:rFonts w:hint="default"/>
                <w:color w:val="auto"/>
                <w:highlight w:val="none"/>
                <w:lang w:val="en-US" w:eastAsia="zh-CN"/>
              </w:rPr>
            </w:pPr>
            <w:r>
              <w:rPr>
                <w:rFonts w:ascii="宋体" w:hAnsi="宋体" w:cs="宋体"/>
                <w:color w:val="auto"/>
                <w:szCs w:val="21"/>
              </w:rPr>
              <w:t xml:space="preserve">②</w:t>
            </w:r>
            <w:r>
              <w:rPr>
                <w:rFonts w:hint="eastAsia" w:ascii="宋体" w:hAnsi="宋体" w:cs="宋体"/>
                <w:color w:val="auto"/>
                <w:szCs w:val="21"/>
              </w:rPr>
              <w:t xml:space="preserve">团队成员具有参与信息系统建设的实施经验，每提供一人得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分，最多得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分。（提供团队成员项目实施经验证明材料</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包括项目合同或</w:t>
            </w:r>
            <w:r>
              <w:rPr>
                <w:rFonts w:hint="eastAsia" w:ascii="宋体" w:hAnsi="宋体" w:cs="宋体"/>
                <w:color w:val="auto"/>
                <w:szCs w:val="21"/>
              </w:rPr>
              <w:t xml:space="preserve">甲方</w:t>
            </w:r>
            <w:r>
              <w:rPr>
                <w:rFonts w:hint="eastAsia" w:ascii="宋体" w:hAnsi="宋体" w:cs="宋体"/>
                <w:color w:val="auto"/>
                <w:szCs w:val="21"/>
                <w:lang w:val="en-US" w:eastAsia="zh-CN"/>
              </w:rPr>
              <w:t xml:space="preserve">出具的证明或项目</w:t>
            </w:r>
            <w:r>
              <w:rPr>
                <w:rFonts w:hint="eastAsia" w:ascii="宋体" w:hAnsi="宋体" w:cs="宋体"/>
                <w:color w:val="auto"/>
                <w:szCs w:val="21"/>
              </w:rPr>
              <w:t xml:space="preserve">验收材料</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以</w:t>
            </w:r>
            <w:r>
              <w:rPr>
                <w:rFonts w:hint="eastAsia" w:ascii="宋体" w:hAnsi="宋体" w:cs="宋体"/>
                <w:color w:val="auto"/>
                <w:szCs w:val="21"/>
              </w:rPr>
              <w:t xml:space="preserve">及供应商为其缴纳的2026年1月以来任意一个月的社保证明材料）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 w:val="21"/>
                <w:szCs w:val="22"/>
                <w:highlight w:val="none"/>
                <w:lang w:val="en-US" w:eastAsia="zh-CN" w:bidi="ar-SA"/>
              </w:rPr>
            </w:pPr>
            <w:r>
              <w:rPr>
                <w:rFonts w:hint="eastAsia" w:ascii="宋体" w:hAnsi="宋体" w:cs="宋体"/>
                <w:color w:val="auto"/>
                <w:szCs w:val="21"/>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6"/>
                <w:szCs w:val="21"/>
              </w:rPr>
              <w:t xml:space="preserve">客</w:t>
            </w:r>
            <w:r>
              <w:rPr>
                <w:rFonts w:ascii="宋体" w:hAnsi="宋体" w:cs="宋体"/>
                <w:color w:val="auto"/>
                <w:spacing w:val="-4"/>
                <w:szCs w:val="21"/>
              </w:rPr>
              <w:t xml:space="preserve">观</w:t>
            </w:r>
            <w:r>
              <w:rPr>
                <w:rFonts w:hint="eastAsia" w:ascii="宋体" w:hAnsi="宋体" w:cs="宋体"/>
                <w:color w:val="auto"/>
                <w:spacing w:val="-4"/>
                <w:szCs w:val="21"/>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highlight w:val="none"/>
              </w:rPr>
            </w:pPr>
            <w:r>
              <w:rPr>
                <w:rFonts w:ascii="宋体" w:hAnsi="宋体" w:eastAsia="宋体" w:cs="宋体"/>
                <w:color w:val="auto"/>
                <w:spacing w:val="-3"/>
                <w:highlight w:val="none"/>
              </w:rPr>
              <w:t xml:space="preserve">合</w:t>
            </w:r>
            <w:r>
              <w:rPr>
                <w:rFonts w:ascii="宋体" w:hAnsi="宋体" w:eastAsia="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highlight w:val="none"/>
              </w:rPr>
            </w:pPr>
            <w:r>
              <w:rPr>
                <w:rFonts w:ascii="宋体" w:hAnsi="宋体" w:eastAsia="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highlight w:val="none"/>
              </w:rPr>
            </w:pPr>
            <w:r>
              <w:rPr>
                <w:rFonts w:ascii="宋体" w:hAnsi="宋体" w:eastAsia="宋体" w:cs="宋体"/>
                <w:color w:val="auto"/>
                <w:spacing w:val="-11"/>
                <w:highlight w:val="none"/>
              </w:rPr>
              <w:t xml:space="preserve">100分</w:t>
            </w:r>
            <w:r/>
          </w:p>
        </w:tc>
      </w:tr>
    </w:tbl>
    <w:p>
      <w:pPr>
        <w:keepLines w:val="0"/>
        <w:keepNext w:val="0"/>
        <w:pageBreakBefore w:val="0"/>
        <w:spacing w:line="264" w:lineRule="auto"/>
        <w:widowControl w:val="off"/>
        <w:rPr>
          <w:rFonts w:hint="eastAsia"/>
          <w:color w:val="auto"/>
          <w:highlight w:val="none"/>
        </w:rPr>
      </w:pPr>
      <w:r>
        <w:rPr>
          <w:rFonts w:hint="eastAsia"/>
          <w:color w:val="auto"/>
          <w:highlight w:val="none"/>
        </w:rPr>
      </w:r>
      <w:r/>
    </w:p>
    <w:p>
      <w:pPr>
        <w:keepLines w:val="0"/>
        <w:keepNext w:val="0"/>
        <w:pageBreakBefore w:val="0"/>
        <w:spacing w:line="288" w:lineRule="auto"/>
        <w:widowControl w:val="off"/>
        <w:rPr>
          <w:rFonts w:hint="eastAsia"/>
          <w:color w:val="auto"/>
          <w:highlight w:val="none"/>
        </w:rPr>
      </w:pPr>
      <w:r>
        <w:rPr>
          <w:rFonts w:hint="eastAsia"/>
          <w:color w:val="auto"/>
          <w:highlight w:val="none"/>
        </w:rPr>
      </w:r>
      <w:r/>
    </w:p>
    <w:p>
      <w:pPr>
        <w:pStyle w:val="913"/>
        <w:keepLines w:val="0"/>
        <w:keepNext w:val="0"/>
        <w:pageBreakBefore w:val="0"/>
        <w:spacing w:line="288" w:lineRule="auto"/>
        <w:widowControl w:val="off"/>
        <w:rPr>
          <w:rFonts w:hint="eastAsia"/>
          <w:color w:val="auto"/>
          <w:highlight w:val="none"/>
        </w:rPr>
      </w:pPr>
      <w:r>
        <w:rPr>
          <w:rFonts w:hint="eastAsia"/>
          <w:color w:val="auto"/>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黑体" w:hAnsi="Times New Roman" w:eastAsia="黑体"/>
          <w:bCs/>
          <w:color w:val="auto"/>
          <w:sz w:val="44"/>
          <w:szCs w:val="28"/>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第六章  </w:t>
      </w:r>
      <w:bookmarkEnd w:id="84"/>
      <w:r/>
      <w:bookmarkEnd w:id="85"/>
      <w:r/>
      <w:bookmarkEnd w:id="87"/>
      <w:r>
        <w:rPr>
          <w:rFonts w:hint="eastAsia" w:ascii="方正小标宋简体" w:hAnsi="方正小标宋简体" w:eastAsia="方正小标宋简体" w:cs="方正小标宋简体"/>
          <w:color w:val="auto"/>
          <w:sz w:val="36"/>
          <w:szCs w:val="36"/>
          <w:highlight w:val="none"/>
          <w:lang w:val="en-US" w:eastAsia="zh-CN"/>
        </w:rPr>
        <w:t xml:space="preserve">响应文件格式 </w:t>
      </w:r>
      <w:r/>
    </w:p>
    <w:p>
      <w:pPr>
        <w:jc w:val="center"/>
        <w:rPr>
          <w:rFonts w:hint="eastAsia" w:ascii="宋体" w:hAnsi="宋体"/>
          <w:b/>
          <w:color w:val="auto"/>
          <w:sz w:val="72"/>
          <w:szCs w:val="21"/>
          <w:highlight w:val="none"/>
        </w:rPr>
      </w:pPr>
      <w:r/>
      <w:bookmarkStart w:id="88" w:name="_Hlt26955039"/>
      <w:r/>
      <w:bookmarkEnd w:id="88"/>
      <w:r/>
      <w:bookmarkStart w:id="89" w:name="_Hlt26671244"/>
      <w:r/>
      <w:bookmarkEnd w:id="89"/>
      <w:r/>
      <w:bookmarkStart w:id="90" w:name="_Toc26554094"/>
      <w:r/>
      <w:bookmarkStart w:id="91" w:name="_Toc49090576"/>
      <w:r/>
      <w:bookmarkStart w:id="92"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both"/>
        <w:spacing w:line="240" w:lineRule="auto"/>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49"/>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21"/>
        <w:ind w:firstLine="480"/>
        <w:spacing w:line="420" w:lineRule="exact"/>
        <w:rPr>
          <w:rFonts w:hint="eastAsia"/>
          <w:color w:val="auto"/>
          <w:sz w:val="24"/>
          <w:szCs w:val="24"/>
          <w:highlight w:val="none"/>
        </w:rPr>
      </w:pPr>
      <w:r>
        <w:rPr>
          <w:rFonts w:hint="eastAsia"/>
          <w:color w:val="auto"/>
          <w:sz w:val="24"/>
          <w:szCs w:val="24"/>
          <w:highlight w:val="none"/>
        </w:rPr>
      </w:r>
      <w:r/>
    </w:p>
    <w:p>
      <w:pPr>
        <w:pStyle w:val="921"/>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的政府采购活动，由其代表我方办理上述项目在响应、磋商、澄清确认过程中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21"/>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w:t>
      </w:r>
      <w:r>
        <w:rPr>
          <w:rFonts w:hint="eastAsia"/>
          <w:color w:val="auto"/>
          <w:sz w:val="24"/>
          <w:szCs w:val="24"/>
          <w:highlight w:val="none"/>
          <w:lang w:val="en-US" w:eastAsia="zh-CN"/>
        </w:rPr>
        <w:t xml:space="preserve">磋商</w:t>
      </w:r>
      <w:r>
        <w:rPr>
          <w:rFonts w:hint="eastAsia"/>
          <w:color w:val="auto"/>
          <w:sz w:val="24"/>
          <w:szCs w:val="24"/>
          <w:highlight w:val="none"/>
        </w:rPr>
        <w:t xml:space="preserve">有效期届满之日止。</w:t>
      </w:r>
      <w:r/>
    </w:p>
    <w:p>
      <w:pPr>
        <w:pStyle w:val="921"/>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21"/>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 xml:space="preserve">供应商</w:t>
      </w:r>
      <w:r>
        <w:rPr>
          <w:rFonts w:hint="eastAsia" w:ascii="Times New Roman" w:hAnsi="Times New Roman" w:eastAsia="宋体" w:cs="Times New Roman"/>
          <w:i w:val="0"/>
          <w:color w:val="auto"/>
          <w:sz w:val="24"/>
          <w:szCs w:val="24"/>
          <w:highlight w:val="none"/>
          <w:u w:val="none"/>
        </w:rPr>
        <w:t xml:space="preserve">名称（加盖公章）：________________</w:t>
      </w:r>
      <w:r/>
    </w:p>
    <w:p>
      <w:pPr>
        <w:pStyle w:val="921"/>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21"/>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21"/>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21"/>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722"/>
        <w:ind w:firstLine="0"/>
        <w:rPr>
          <w:rFonts w:hint="eastAsia"/>
          <w:color w:val="auto"/>
          <w:highlight w:val="none"/>
        </w:rPr>
      </w:pPr>
      <w:r>
        <w:rPr>
          <w:rFonts w:hint="eastAsia"/>
          <w:color w:val="auto"/>
          <w:highlight w:val="none"/>
        </w:rPr>
      </w:r>
      <w:r/>
    </w:p>
    <w:p>
      <w:pPr>
        <w:pStyle w:val="921"/>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21"/>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21"/>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供应商</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21"/>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21"/>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3.供应商</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21"/>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供应商应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21"/>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5.未按磋商文件要求和格式提供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的，将作为无效响应处理。</w:t>
      </w:r>
      <w:r/>
    </w:p>
    <w:p>
      <w:pPr>
        <w:rPr>
          <w:rFonts w:hint="eastAsia" w:ascii="黑体" w:hAnsi="黑体" w:eastAsia="黑体" w:cs="Times New Roman"/>
          <w:i w:val="0"/>
          <w:color w:val="auto"/>
          <w:sz w:val="32"/>
          <w:szCs w:val="32"/>
          <w:highlight w:val="none"/>
          <w:u w:val="none"/>
          <w:lang w:val="en-US" w:eastAsia="zh-CN"/>
        </w:rPr>
      </w:pPr>
      <w:r>
        <w:rPr>
          <w:rFonts w:hint="eastAsia" w:ascii="楷体" w:hAnsi="楷体" w:eastAsia="楷体"/>
          <w:bCs/>
          <w:color w:val="auto"/>
          <w:sz w:val="24"/>
          <w:szCs w:val="24"/>
          <w:highlight w:val="none"/>
        </w:rPr>
        <w:br w:type="page" w:clear="all"/>
      </w:r>
      <w:bookmarkEnd w:id="90"/>
      <w:r/>
      <w:bookmarkEnd w:id="91"/>
      <w:r/>
      <w:bookmarkEnd w:id="92"/>
      <w:r/>
      <w:bookmarkStart w:id="93" w:name="_Toc120614284"/>
      <w:r>
        <w:rPr>
          <w:rFonts w:hint="eastAsia" w:ascii="黑体" w:hAnsi="黑体" w:eastAsia="黑体" w:cs="Times New Roman"/>
          <w:i w:val="0"/>
          <w:color w:val="auto"/>
          <w:sz w:val="32"/>
          <w:szCs w:val="32"/>
          <w:highlight w:val="none"/>
          <w:u w:val="none"/>
          <w:lang w:val="en-US" w:eastAsia="zh-CN"/>
        </w:rPr>
        <w:t xml:space="preserve">三、磋商响应函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Cs w:val="21"/>
          <w:highlight w:val="none"/>
        </w:rPr>
        <w:t xml:space="preserve">                    （采购人名称）</w:t>
      </w:r>
      <w:r/>
    </w:p>
    <w:p>
      <w:pPr>
        <w:pStyle w:val="923"/>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olor w:val="auto"/>
          <w:szCs w:val="21"/>
          <w:highlight w:val="none"/>
          <w:lang w:eastAsia="zh-CN"/>
        </w:rPr>
        <w:t xml:space="preserve">磋商</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向贵方提供所需服务（包含与货物相关的服务及与服务相关的货物）。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日期起遵循本响应文件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5.同意向贵方提供贵方可能另外要求的与磋商有关的任何证据或资料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我方将根据磋商文件的规定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严格履行合同的责任和义务,并保证在磋商文件规定的时间完成项目</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交付贵方验收、使用。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719"/>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eastAsia="宋体" w:cs="Times New Roman"/>
          <w:color w:val="auto"/>
          <w:sz w:val="24"/>
          <w:szCs w:val="21"/>
          <w:highlight w:val="none"/>
        </w:rPr>
        <w:t xml:space="preserve">我方与本磋商有关的正式通讯地址为：</w:t>
      </w:r>
      <w:r/>
    </w:p>
    <w:p>
      <w:pPr>
        <w:pStyle w:val="923"/>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23"/>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23"/>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23"/>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23"/>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23"/>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23"/>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宋体" w:hAnsi="宋体"/>
          <w:color w:val="auto"/>
          <w:szCs w:val="21"/>
          <w:highlight w:val="none"/>
        </w:rPr>
        <w:br w:type="page" w:clear="all"/>
      </w:r>
      <w:r>
        <w:rPr>
          <w:rFonts w:hint="eastAsia" w:ascii="黑体" w:hAnsi="黑体" w:eastAsia="黑体" w:cs="Times New Roman"/>
          <w:i w:val="0"/>
          <w:color w:val="auto"/>
          <w:sz w:val="32"/>
          <w:szCs w:val="32"/>
          <w:highlight w:val="none"/>
          <w:u w:val="none"/>
          <w:lang w:val="en-US" w:eastAsia="zh-CN"/>
        </w:rPr>
        <w:t xml:space="preserve">四、磋商报价表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磋商报价表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供应商名称：（加盖电子公章）</w:t>
      </w:r>
      <w:r>
        <w:rPr>
          <w:rFonts w:hint="eastAsia" w:ascii="宋体" w:hAnsi="宋体"/>
          <w:color w:val="auto"/>
          <w:sz w:val="24"/>
          <w:szCs w:val="24"/>
          <w:highlight w:val="none"/>
        </w:rPr>
        <w:t xml:space="preserve"> </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项目名称：</w:t>
      </w:r>
      <w:r/>
    </w:p>
    <w:p>
      <w:pPr>
        <w:ind w:firstLine="0"/>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rPr>
        <w:t xml:space="preserve">编号：                                   </w:t>
      </w:r>
      <w:r>
        <w:rPr>
          <w:rFonts w:hint="eastAsia" w:ascii="宋体" w:hAnsi="宋体" w:eastAsia="宋体" w:cs="Times New Roman"/>
          <w:color w:val="auto"/>
          <w:sz w:val="24"/>
          <w:szCs w:val="24"/>
          <w:highlight w:val="none"/>
          <w:lang w:eastAsia="zh-CN"/>
        </w:rPr>
        <w:t xml:space="preserve">采购包</w:t>
      </w:r>
      <w:r>
        <w:rPr>
          <w:rFonts w:hint="eastAsia" w:ascii="宋体" w:hAnsi="宋体" w:eastAsia="宋体" w:cs="Times New Roman"/>
          <w:color w:val="auto"/>
          <w:sz w:val="24"/>
          <w:szCs w:val="24"/>
          <w:highlight w:val="none"/>
        </w:rPr>
        <w:t xml:space="preserve">号：</w:t>
      </w:r>
      <w:r>
        <w:rPr>
          <w:rFonts w:hint="eastAsia" w:ascii="宋体" w:hAnsi="宋体"/>
          <w:color w:val="auto"/>
          <w:sz w:val="24"/>
          <w:szCs w:val="24"/>
          <w:highlight w:val="none"/>
        </w:rPr>
        <w:t xml:space="preserve">                                 </w:t>
      </w:r>
      <w:r/>
    </w:p>
    <w:tbl>
      <w:tblPr>
        <w:tblStyle w:val="71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23"/>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Style w:val="719"/>
        <w:ind w:firstLine="0"/>
        <w:rPr>
          <w:rFonts w:hint="eastAsia"/>
          <w:color w:val="auto"/>
          <w:highlight w:val="none"/>
        </w:rPr>
      </w:pPr>
      <w:r>
        <w:rPr>
          <w:rFonts w:hint="eastAsia"/>
          <w:color w:val="auto"/>
          <w:highlight w:val="none"/>
        </w:rPr>
      </w:r>
      <w:r/>
    </w:p>
    <w:p>
      <w:pPr>
        <w:pStyle w:val="91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color w:val="auto"/>
          <w:highlight w:val="none"/>
        </w:rPr>
      </w:pPr>
      <w:r>
        <w:rPr>
          <w:rFonts w:hint="eastAsia"/>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913"/>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18"/>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206"/>
        <w:gridCol w:w="970"/>
        <w:gridCol w:w="1790"/>
        <w:gridCol w:w="1470"/>
        <w:gridCol w:w="830"/>
        <w:gridCol w:w="820"/>
        <w:gridCol w:w="826"/>
        <w:gridCol w:w="1434"/>
      </w:tblGrid>
      <w:tr>
        <w:trPr>
          <w:cantSplit/>
          <w:trHeight w:val="544"/>
        </w:trPr>
        <w:tc>
          <w:tcPr>
            <w:tcW w:w="615" w:type="dxa"/>
            <w:vAlign w:val="center"/>
            <w:vMerge w:val="restart"/>
            <w:textDirection w:val="lrTb"/>
            <w:noWrap w:val="false"/>
          </w:tcPr>
          <w:p>
            <w:pPr>
              <w:ind w:right="1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p>
        </w:tc>
        <w:tc>
          <w:tcPr>
            <w:tcW w:w="1206"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615"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46"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rPr>
                <w:rFonts w:hint="eastAsia" w:ascii="宋体" w:hAnsi="宋体"/>
                <w:color w:val="auto"/>
                <w:sz w:val="24"/>
                <w:szCs w:val="24"/>
                <w:highlight w:val="none"/>
                <w:lang w:eastAsia="zh-CN"/>
              </w:rPr>
              <w:t xml:space="preserve">：</w:t>
            </w:r>
            <w:r/>
          </w:p>
        </w:tc>
      </w:tr>
    </w:tbl>
    <w:p>
      <w:pPr>
        <w:keepLines w:val="0"/>
        <w:keepNext w:val="0"/>
        <w:pageBreakBefore w:val="0"/>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p>
      <w:pPr>
        <w:pStyle w:val="75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7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w:t>
      </w:r>
      <w:r>
        <w:rPr>
          <w:rFonts w:hint="eastAsia"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另有规定的除外。</w:t>
      </w:r>
      <w:r/>
    </w:p>
    <w:p>
      <w:pPr>
        <w:pStyle w:val="7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价”应当与《磋商报价表》中“总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价”一致。</w:t>
      </w:r>
      <w:r/>
    </w:p>
    <w:p>
      <w:pPr>
        <w:pStyle w:val="7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分项报价表》中的分项名称须与“第四章</w:t>
      </w:r>
      <w:r>
        <w:rPr>
          <w:rFonts w:hint="eastAsia" w:cs="宋体"/>
          <w:b/>
          <w:bCs/>
          <w:color w:val="auto"/>
          <w:sz w:val="24"/>
          <w:szCs w:val="24"/>
          <w:highlight w:val="none"/>
          <w:lang w:val="en-US" w:eastAsia="zh-CN"/>
        </w:rPr>
        <w:t xml:space="preserve">采购需求</w:t>
      </w:r>
      <w:r>
        <w:rPr>
          <w:rFonts w:hint="eastAsia" w:ascii="宋体" w:hAnsi="宋体" w:eastAsia="宋体" w:cs="宋体"/>
          <w:b/>
          <w:bCs/>
          <w:color w:val="auto"/>
          <w:sz w:val="24"/>
          <w:szCs w:val="24"/>
          <w:highlight w:val="none"/>
          <w:lang w:val="en-US" w:eastAsia="zh-CN"/>
        </w:rPr>
        <w:t xml:space="preserve">-</w:t>
      </w:r>
      <w:r>
        <w:rPr>
          <w:rFonts w:hint="eastAsia"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val="en-US" w:eastAsia="zh-CN"/>
        </w:rPr>
        <w:t xml:space="preserve">清单”中的</w:t>
      </w:r>
      <w:r>
        <w:rPr>
          <w:rFonts w:hint="eastAsia" w:cs="宋体"/>
          <w:b/>
          <w:bCs/>
          <w:color w:val="auto"/>
          <w:sz w:val="24"/>
          <w:szCs w:val="24"/>
          <w:highlight w:val="none"/>
          <w:lang w:val="en-US" w:eastAsia="zh-CN"/>
        </w:rPr>
        <w:t xml:space="preserve">分项</w:t>
      </w:r>
      <w:r>
        <w:rPr>
          <w:rFonts w:hint="eastAsia" w:ascii="宋体" w:hAnsi="宋体" w:eastAsia="宋体" w:cs="宋体"/>
          <w:b/>
          <w:bCs/>
          <w:color w:val="auto"/>
          <w:sz w:val="24"/>
          <w:szCs w:val="24"/>
          <w:highlight w:val="none"/>
          <w:lang w:val="en-US" w:eastAsia="zh-CN"/>
        </w:rPr>
        <w:t xml:space="preserve">名称一一对应，如有缺项、漏项</w:t>
      </w:r>
      <w:r>
        <w:rPr>
          <w:rFonts w:hint="eastAsia" w:cs="宋体"/>
          <w:b/>
          <w:bCs/>
          <w:color w:val="auto"/>
          <w:sz w:val="24"/>
          <w:szCs w:val="24"/>
          <w:highlight w:val="none"/>
          <w:lang w:val="en-US" w:eastAsia="zh-CN"/>
        </w:rPr>
        <w:t xml:space="preserve">或者超出单价上限的</w:t>
      </w:r>
      <w:r>
        <w:rPr>
          <w:rFonts w:hint="eastAsia" w:ascii="宋体" w:hAnsi="宋体" w:eastAsia="宋体" w:cs="宋体"/>
          <w:b/>
          <w:bCs/>
          <w:color w:val="auto"/>
          <w:sz w:val="24"/>
          <w:szCs w:val="24"/>
          <w:highlight w:val="none"/>
          <w:lang w:val="en-US" w:eastAsia="zh-CN"/>
        </w:rPr>
        <w:t xml:space="preserve">，视为无效响应。</w:t>
      </w:r>
      <w:r/>
    </w:p>
    <w:p>
      <w:pPr>
        <w:pStyle w:val="75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82"/>
      <w:r/>
      <w:bookmarkEnd w:id="83"/>
      <w:r/>
      <w:bookmarkEnd w:id="93"/>
      <w:r>
        <w:rPr>
          <w:rFonts w:hint="eastAsia" w:ascii="黑体" w:hAnsi="黑体" w:eastAsia="黑体" w:cs="Times New Roman"/>
          <w:i w:val="0"/>
          <w:iCs/>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18"/>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6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53"/>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val="en-US" w:eastAsia="zh-CN"/>
        </w:rPr>
        <w:t xml:space="preserve">供应商</w:t>
      </w:r>
      <w:r>
        <w:rPr>
          <w:rFonts w:hint="eastAsia"/>
          <w:b/>
          <w:bCs/>
          <w:color w:val="auto"/>
          <w:highlight w:val="none"/>
        </w:rPr>
        <w:t xml:space="preserve">须对</w:t>
      </w:r>
      <w:r>
        <w:rPr>
          <w:rFonts w:hint="eastAsia"/>
          <w:b/>
          <w:bCs/>
          <w:color w:val="auto"/>
          <w:highlight w:val="none"/>
          <w:lang w:val="en-US" w:eastAsia="zh-CN"/>
        </w:rPr>
        <w:t xml:space="preserve">磋商</w:t>
      </w:r>
      <w:r>
        <w:rPr>
          <w:rFonts w:hint="eastAsia"/>
          <w:b/>
          <w:bCs/>
          <w:color w:val="auto"/>
          <w:highlight w:val="none"/>
        </w:rPr>
        <w:t xml:space="preserve">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w:t>
      </w:r>
      <w:r>
        <w:rPr>
          <w:rFonts w:hint="eastAsia"/>
          <w:b/>
          <w:bCs/>
          <w:color w:val="auto"/>
          <w:highlight w:val="none"/>
          <w:lang w:val="en-US" w:eastAsia="zh-CN"/>
        </w:rPr>
        <w:t xml:space="preserve">响应</w:t>
      </w:r>
      <w:r>
        <w:rPr>
          <w:rFonts w:hint="eastAsia"/>
          <w:b/>
          <w:bCs/>
          <w:color w:val="auto"/>
          <w:highlight w:val="none"/>
        </w:rPr>
        <w:t xml:space="preserve">。</w:t>
      </w:r>
      <w:r/>
    </w:p>
    <w:p>
      <w:pPr>
        <w:pStyle w:val="753"/>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2.技术要求中实质性要求及其他要求明确需要提供证明材料的，签订合同时</w:t>
      </w:r>
      <w:r>
        <w:rPr>
          <w:rFonts w:hint="eastAsia"/>
          <w:b/>
          <w:bCs/>
          <w:color w:val="auto"/>
          <w:highlight w:val="none"/>
          <w:lang w:val="en-US" w:eastAsia="zh-CN"/>
        </w:rPr>
        <w:t xml:space="preserve">成交供应商</w:t>
      </w:r>
      <w:r>
        <w:rPr>
          <w:rFonts w:hint="eastAsia"/>
          <w:b/>
          <w:bCs/>
          <w:color w:val="auto"/>
          <w:highlight w:val="none"/>
        </w:rPr>
        <w:t xml:space="preserve">应按</w:t>
      </w:r>
      <w:r>
        <w:rPr>
          <w:rFonts w:hint="eastAsia"/>
          <w:b/>
          <w:bCs/>
          <w:color w:val="auto"/>
          <w:highlight w:val="none"/>
          <w:lang w:val="en-US" w:eastAsia="zh-CN"/>
        </w:rPr>
        <w:t xml:space="preserve">磋商</w:t>
      </w:r>
      <w:r>
        <w:rPr>
          <w:rFonts w:hint="eastAsia"/>
          <w:b/>
          <w:bCs/>
          <w:color w:val="auto"/>
          <w:highlight w:val="none"/>
        </w:rPr>
        <w:t xml:space="preserve">文件要求和</w:t>
      </w:r>
      <w:r>
        <w:rPr>
          <w:rFonts w:hint="eastAsia"/>
          <w:b/>
          <w:bCs/>
          <w:color w:val="auto"/>
          <w:highlight w:val="none"/>
          <w:lang w:val="en-US" w:eastAsia="zh-CN"/>
        </w:rPr>
        <w:t xml:space="preserve">响应</w:t>
      </w:r>
      <w:r>
        <w:rPr>
          <w:rFonts w:hint="eastAsia"/>
          <w:b/>
          <w:bCs/>
          <w:color w:val="auto"/>
          <w:highlight w:val="none"/>
        </w:rPr>
        <w:t xml:space="preserve">文件内容提供相应证明材料供采购人核验，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w:t>
      </w:r>
      <w:r>
        <w:rPr>
          <w:rFonts w:hint="eastAsia"/>
          <w:b/>
          <w:bCs/>
          <w:color w:val="auto"/>
          <w:highlight w:val="none"/>
          <w:lang w:val="en-US" w:eastAsia="zh-CN"/>
        </w:rPr>
        <w:t xml:space="preserve">成交</w:t>
      </w:r>
      <w:r>
        <w:rPr>
          <w:rFonts w:hint="eastAsia"/>
          <w:b/>
          <w:bCs/>
          <w:color w:val="auto"/>
          <w:highlight w:val="none"/>
        </w:rPr>
        <w:t xml:space="preserve">资格。</w:t>
      </w:r>
      <w:r/>
    </w:p>
    <w:p>
      <w:pPr>
        <w:pStyle w:val="75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Arial" w:eastAsia="黑体"/>
          <w:b/>
          <w:color w:val="auto"/>
          <w:sz w:val="36"/>
          <w:szCs w:val="21"/>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18"/>
        <w:tblW w:w="98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94" w:name="_Hlt24879081"/>
            <w:r/>
            <w:bookmarkEnd w:id="94"/>
            <w:r/>
            <w:bookmarkStart w:id="95" w:name="_Hlt26609391"/>
            <w:r/>
            <w:bookmarkEnd w:id="95"/>
            <w:r/>
            <w:bookmarkStart w:id="96" w:name="_Hlt26782999"/>
            <w:r/>
            <w:bookmarkEnd w:id="96"/>
            <w:r/>
            <w:bookmarkStart w:id="97" w:name="_Hlt26580838"/>
            <w:r/>
            <w:bookmarkEnd w:id="97"/>
            <w:r/>
            <w:bookmarkStart w:id="98" w:name="_Hlt26671343"/>
            <w:r/>
            <w:bookmarkEnd w:id="98"/>
            <w:r/>
            <w:bookmarkStart w:id="99" w:name="_Hlt26955056"/>
            <w:r/>
            <w:bookmarkEnd w:id="99"/>
            <w:r/>
            <w:bookmarkStart w:id="100" w:name="_Hlt26955064"/>
            <w:r/>
            <w:bookmarkEnd w:id="100"/>
            <w:r/>
            <w:bookmarkStart w:id="101" w:name="_Hlt26671372"/>
            <w:r/>
            <w:bookmarkEnd w:id="101"/>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53"/>
        <w:ind w:firstLine="482"/>
        <w:jc w:val="both"/>
        <w:spacing w:before="0" w:beforeAutospacing="0" w:after="0" w:afterAutospacing="0"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1.供应商须对磋商文件商务要求中的实质性要求（打“★”内容）做出明确响应，否则视为无效响应。</w:t>
      </w:r>
      <w:r/>
    </w:p>
    <w:p>
      <w:pPr>
        <w:pStyle w:val="75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rPr>
          <w:rFonts w:hint="eastAsia" w:ascii="黑体" w:hAnsi="黑体" w:eastAsia="黑体" w:cs="Times New Roman"/>
          <w:i w:val="0"/>
          <w:iCs/>
          <w:color w:val="auto"/>
          <w:sz w:val="32"/>
          <w:szCs w:val="32"/>
          <w:highlight w:val="none"/>
          <w:u w:val="none"/>
          <w:lang w:val="en-US" w:eastAsia="zh-CN"/>
        </w:rPr>
      </w:pPr>
      <w:r>
        <w:rPr>
          <w:color w:val="auto"/>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w:t>
      </w:r>
      <w:r>
        <w:rPr>
          <w:rFonts w:hint="eastAsia" w:ascii="宋体" w:hAnsi="宋体"/>
          <w:b/>
          <w:bCs/>
          <w:color w:val="auto"/>
          <w:sz w:val="24"/>
          <w:szCs w:val="24"/>
          <w:highlight w:val="none"/>
          <w:lang w:val="en-US" w:eastAsia="zh-CN"/>
        </w:rPr>
        <w:t xml:space="preserve">中</w:t>
      </w:r>
      <w:r>
        <w:rPr>
          <w:rFonts w:hint="eastAsia" w:ascii="宋体" w:hAnsi="宋体"/>
          <w:b/>
          <w:bCs/>
          <w:color w:val="auto"/>
          <w:sz w:val="24"/>
          <w:szCs w:val="24"/>
          <w:highlight w:val="none"/>
        </w:rPr>
        <w:t xml:space="preserve">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pStyle w:val="913"/>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2.服务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。磋商文件第四章采购需求“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360" w:lineRule="auto"/>
        <w:rPr>
          <w:rFonts w:hint="eastAsia" w:ascii="黑体" w:hAnsi="黑体" w:eastAsia="黑体"/>
          <w:b w:val="0"/>
          <w:color w:val="auto"/>
          <w:sz w:val="32"/>
          <w:szCs w:val="32"/>
          <w:highlight w:val="none"/>
        </w:rPr>
      </w:pPr>
      <w:r>
        <w:rPr>
          <w:rFonts w:hint="eastAsia" w:ascii="宋体" w:hAnsi="宋体" w:eastAsia="宋体" w:cs="Times New Roman"/>
          <w:b/>
          <w:bCs/>
          <w:color w:val="auto"/>
          <w:sz w:val="24"/>
          <w:szCs w:val="24"/>
          <w:highlight w:val="none"/>
          <w:lang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913"/>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highlight w:val="none"/>
        </w:rPr>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8915" cy="14795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8812" cy="148232"/>
                      </a:xfrm>
                      <a:prstGeom prst="rect">
                        <a:avLst/>
                      </a:prstGeom>
                      <a:noFill/>
                      <a:ln>
                        <a:noFill/>
                      </a:ln>
                    </wps:spPr>
                    <wps:txbx>
                      <w:txbxContent>
                        <w:p>
                          <w:pPr>
                            <w:pStyle w:val="740"/>
                            <w:rPr>
                              <w:rStyle w:val="761"/>
                              <w:rFonts w:ascii="宋体" w:hAnsi="宋体"/>
                            </w:rPr>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３９</w:t>
                          </w:r>
                          <w:r>
                            <w:rPr>
                              <w:rFonts w:ascii="宋体" w:hAnsi="宋体"/>
                            </w:rP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4pt;height:11.6pt;mso-wrap-distance-left:9.0pt;mso-wrap-distance-top:0.0pt;mso-wrap-distance-right:9.0pt;mso-wrap-distance-bottom:0.0pt;v-text-anchor:top;visibility:visible;" filled="f" stroked="f">
              <v:textbox inset="0,0,0,0">
                <w:txbxContent>
                  <w:p>
                    <w:pPr>
                      <w:pStyle w:val="740"/>
                      <w:rPr>
                        <w:rStyle w:val="761"/>
                        <w:rFonts w:ascii="宋体" w:hAnsi="宋体"/>
                      </w:rPr>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３９</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3"/>
      <w:isLgl w:val="false"/>
      <w:suff w:val="nothing"/>
      <w:lvlText w:val=""/>
      <w:lvlJc w:val="left"/>
      <w:pPr>
        <w:ind w:left="0" w:firstLine="0"/>
      </w:pPr>
      <w:rPr>
        <w:rFonts w:hint="eastAsia"/>
      </w:rPr>
    </w:lvl>
    <w:lvl w:ilvl="6">
      <w:start w:val="1"/>
      <w:numFmt w:val="none"/>
      <w:pStyle w:val="714"/>
      <w:isLgl w:val="false"/>
      <w:suff w:val="nothing"/>
      <w:lvlText w:val=""/>
      <w:lvlJc w:val="left"/>
      <w:pPr>
        <w:ind w:left="0" w:firstLine="0"/>
      </w:pPr>
      <w:rPr>
        <w:rFonts w:hint="eastAsia"/>
      </w:rPr>
    </w:lvl>
    <w:lvl w:ilvl="7">
      <w:start w:val="1"/>
      <w:numFmt w:val="none"/>
      <w:pStyle w:val="715"/>
      <w:isLgl w:val="false"/>
      <w:suff w:val="nothing"/>
      <w:lvlText w:val=""/>
      <w:lvlJc w:val="left"/>
      <w:pPr>
        <w:ind w:left="0" w:firstLine="0"/>
      </w:pPr>
      <w:rPr>
        <w:rFonts w:hint="eastAsia"/>
      </w:rPr>
    </w:lvl>
    <w:lvl w:ilvl="8">
      <w:start w:val="1"/>
      <w:numFmt w:val="none"/>
      <w:pStyle w:val="71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next w:val="7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8">
    <w:name w:val="Heading 1"/>
    <w:basedOn w:val="707"/>
    <w:next w:val="707"/>
    <w:link w:val="962"/>
    <w:uiPriority w:val="0"/>
    <w:qFormat/>
    <w:pPr>
      <w:jc w:val="center"/>
      <w:keepNext/>
      <w:outlineLvl w:val="0"/>
    </w:pPr>
    <w:rPr>
      <w:rFonts w:ascii="楷体_GB2312" w:hAnsi="Times New Roman" w:eastAsia="楷体_GB2312" w:cs="Times New Roman"/>
      <w:sz w:val="28"/>
      <w:szCs w:val="28"/>
    </w:rPr>
  </w:style>
  <w:style w:type="paragraph" w:styleId="709">
    <w:name w:val="Heading 2"/>
    <w:basedOn w:val="707"/>
    <w:next w:val="722"/>
    <w:link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0">
    <w:name w:val="Heading 3"/>
    <w:basedOn w:val="707"/>
    <w:next w:val="722"/>
    <w:link w:val="96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1">
    <w:name w:val="Heading 4"/>
    <w:basedOn w:val="707"/>
    <w:next w:val="722"/>
    <w:link w:val="966"/>
    <w:uiPriority w:val="0"/>
    <w:qFormat/>
    <w:pPr>
      <w:keepLines/>
      <w:keepNext/>
      <w:spacing w:before="280" w:after="290" w:line="376" w:lineRule="auto"/>
      <w:outlineLvl w:val="3"/>
    </w:pPr>
    <w:rPr>
      <w:rFonts w:ascii="Arial" w:hAnsi="Arial" w:eastAsia="黑体" w:cs="Arial"/>
      <w:b/>
      <w:bCs/>
      <w:sz w:val="28"/>
      <w:szCs w:val="28"/>
    </w:rPr>
  </w:style>
  <w:style w:type="paragraph" w:styleId="712">
    <w:name w:val="Heading 5"/>
    <w:basedOn w:val="707"/>
    <w:next w:val="722"/>
    <w:link w:val="967"/>
    <w:uiPriority w:val="0"/>
    <w:qFormat/>
    <w:pPr>
      <w:keepNext/>
      <w:outlineLvl w:val="4"/>
    </w:pPr>
    <w:rPr>
      <w:rFonts w:ascii="宋体" w:hAnsi="Times New Roman" w:eastAsia="宋体" w:cs="Times New Roman"/>
      <w:color w:val="000000"/>
      <w:sz w:val="28"/>
      <w:szCs w:val="28"/>
    </w:rPr>
  </w:style>
  <w:style w:type="paragraph" w:styleId="713">
    <w:name w:val="Heading 6"/>
    <w:basedOn w:val="707"/>
    <w:next w:val="707"/>
    <w:link w:val="96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4">
    <w:name w:val="Heading 7"/>
    <w:basedOn w:val="707"/>
    <w:next w:val="707"/>
    <w:link w:val="96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5">
    <w:name w:val="Heading 8"/>
    <w:basedOn w:val="707"/>
    <w:next w:val="707"/>
    <w:link w:val="97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6">
    <w:name w:val="Heading 9"/>
    <w:basedOn w:val="707"/>
    <w:next w:val="707"/>
    <w:link w:val="97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17" w:default="1">
    <w:name w:val="Default Paragraph Font"/>
    <w:uiPriority w:val="1"/>
    <w:unhideWhenUsed/>
    <w:qFormat/>
  </w:style>
  <w:style w:type="table" w:styleId="718" w:default="1">
    <w:name w:val="Normal Table"/>
    <w:uiPriority w:val="99"/>
    <w:unhideWhenUsed/>
    <w:qFormat/>
    <w:tblPr>
      <w:tblCellMar>
        <w:left w:w="108" w:type="dxa"/>
        <w:top w:w="0" w:type="dxa"/>
        <w:right w:w="108" w:type="dxa"/>
        <w:bottom w:w="0" w:type="dxa"/>
      </w:tblCellMar>
    </w:tblPr>
  </w:style>
  <w:style w:type="paragraph" w:styleId="719">
    <w:name w:val="Body Text First Indent 2"/>
    <w:basedOn w:val="720"/>
    <w:next w:val="707"/>
    <w:link w:val="961"/>
    <w:uiPriority w:val="0"/>
    <w:qFormat/>
    <w:pPr>
      <w:ind w:left="0" w:firstLine="420"/>
      <w:spacing w:after="0" w:line="360" w:lineRule="auto"/>
    </w:pPr>
    <w:rPr>
      <w:rFonts w:ascii="宋体" w:hAnsi="宋体" w:eastAsia="宋体" w:cs="Times New Roman"/>
      <w:szCs w:val="20"/>
    </w:rPr>
  </w:style>
  <w:style w:type="paragraph" w:styleId="720">
    <w:name w:val="Body Text Indent"/>
    <w:basedOn w:val="707"/>
    <w:next w:val="721"/>
    <w:link w:val="960"/>
    <w:uiPriority w:val="0"/>
    <w:unhideWhenUsed/>
    <w:qFormat/>
    <w:pPr>
      <w:ind w:left="420"/>
      <w:spacing w:after="120"/>
    </w:pPr>
  </w:style>
  <w:style w:type="paragraph" w:styleId="721">
    <w:name w:val="envelope return"/>
    <w:basedOn w:val="707"/>
    <w:uiPriority w:val="0"/>
    <w:qFormat/>
    <w:rPr>
      <w:rFonts w:ascii="Arial" w:hAnsi="Arial" w:eastAsia="宋体" w:cs="宋体"/>
    </w:rPr>
  </w:style>
  <w:style w:type="paragraph" w:styleId="722">
    <w:name w:val="Normal Indent"/>
    <w:basedOn w:val="707"/>
    <w:link w:val="964"/>
    <w:uiPriority w:val="0"/>
    <w:qFormat/>
    <w:pPr>
      <w:ind w:firstLine="420"/>
    </w:pPr>
    <w:rPr>
      <w:szCs w:val="21"/>
    </w:rPr>
  </w:style>
  <w:style w:type="paragraph" w:styleId="723">
    <w:name w:val="List 3"/>
    <w:basedOn w:val="707"/>
    <w:uiPriority w:val="0"/>
    <w:qFormat/>
    <w:pPr>
      <w:ind w:left="100" w:hanging="200"/>
    </w:pPr>
    <w:rPr>
      <w:rFonts w:ascii="Times New Roman" w:hAnsi="Times New Roman" w:eastAsia="宋体" w:cs="Times New Roman"/>
      <w:szCs w:val="21"/>
    </w:rPr>
  </w:style>
  <w:style w:type="paragraph" w:styleId="724">
    <w:name w:val="toc 7"/>
    <w:basedOn w:val="707"/>
    <w:next w:val="707"/>
    <w:uiPriority w:val="0"/>
    <w:semiHidden/>
    <w:qFormat/>
    <w:pPr>
      <w:ind w:left="1260"/>
      <w:jc w:val="left"/>
    </w:pPr>
    <w:rPr>
      <w:rFonts w:ascii="Times New Roman" w:hAnsi="Times New Roman" w:eastAsia="宋体" w:cs="Times New Roman"/>
      <w:szCs w:val="21"/>
    </w:rPr>
  </w:style>
  <w:style w:type="paragraph" w:styleId="725">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Document Map"/>
    <w:basedOn w:val="707"/>
    <w:link w:val="972"/>
    <w:uiPriority w:val="0"/>
    <w:semiHidden/>
    <w:qFormat/>
    <w:pPr>
      <w:shd w:val="clear" w:color="auto" w:fill="000080"/>
    </w:pPr>
    <w:rPr>
      <w:rFonts w:ascii="Times New Roman" w:hAnsi="Times New Roman" w:eastAsia="宋体" w:cs="Times New Roman"/>
      <w:szCs w:val="21"/>
    </w:rPr>
  </w:style>
  <w:style w:type="paragraph" w:styleId="727">
    <w:name w:val="annotation text"/>
    <w:basedOn w:val="707"/>
    <w:link w:val="973"/>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28">
    <w:name w:val="Body Text 3"/>
    <w:basedOn w:val="707"/>
    <w:link w:val="974"/>
    <w:uiPriority w:val="0"/>
    <w:qFormat/>
    <w:rPr>
      <w:rFonts w:ascii="仿宋_GB2312" w:hAnsi="Arial" w:eastAsia="仿宋_GB2312" w:cs="Times New Roman"/>
      <w:sz w:val="32"/>
      <w:szCs w:val="32"/>
    </w:rPr>
  </w:style>
  <w:style w:type="paragraph" w:styleId="729">
    <w:name w:val="Body Text"/>
    <w:basedOn w:val="707"/>
    <w:link w:val="975"/>
    <w:uiPriority w:val="0"/>
    <w:qFormat/>
    <w:rPr>
      <w:rFonts w:ascii="楷体_GB2312" w:hAnsi="Arial" w:eastAsia="楷体_GB2312" w:cs="Times New Roman"/>
      <w:sz w:val="28"/>
      <w:szCs w:val="28"/>
    </w:rPr>
  </w:style>
  <w:style w:type="paragraph" w:styleId="730">
    <w:name w:val="List 2"/>
    <w:basedOn w:val="707"/>
    <w:uiPriority w:val="0"/>
    <w:qFormat/>
    <w:pPr>
      <w:ind w:left="100" w:hanging="200"/>
    </w:pPr>
    <w:rPr>
      <w:rFonts w:ascii="Times New Roman" w:hAnsi="Times New Roman" w:eastAsia="宋体" w:cs="Times New Roman"/>
      <w:szCs w:val="21"/>
    </w:rPr>
  </w:style>
  <w:style w:type="paragraph" w:styleId="731">
    <w:name w:val="index 4"/>
    <w:basedOn w:val="707"/>
    <w:next w:val="707"/>
    <w:uiPriority w:val="0"/>
    <w:semiHidden/>
    <w:qFormat/>
    <w:pPr>
      <w:ind w:left="1260"/>
    </w:pPr>
    <w:rPr>
      <w:rFonts w:ascii="Calibri" w:hAnsi="Calibri" w:eastAsia="Calibri" w:cs="宋体"/>
      <w:sz w:val="20"/>
      <w:lang w:val="zh-CN"/>
    </w:rPr>
  </w:style>
  <w:style w:type="paragraph" w:styleId="732">
    <w:name w:val="toc 5"/>
    <w:basedOn w:val="707"/>
    <w:next w:val="707"/>
    <w:uiPriority w:val="0"/>
    <w:semiHidden/>
    <w:qFormat/>
    <w:pPr>
      <w:ind w:left="840"/>
      <w:jc w:val="left"/>
    </w:pPr>
    <w:rPr>
      <w:rFonts w:ascii="Times New Roman" w:hAnsi="Times New Roman" w:eastAsia="宋体" w:cs="Times New Roman"/>
      <w:szCs w:val="21"/>
    </w:rPr>
  </w:style>
  <w:style w:type="paragraph" w:styleId="733">
    <w:name w:val="toc 3"/>
    <w:basedOn w:val="707"/>
    <w:next w:val="707"/>
    <w:uiPriority w:val="0"/>
    <w:semiHidden/>
    <w:qFormat/>
    <w:pPr>
      <w:ind w:left="420"/>
      <w:jc w:val="left"/>
    </w:pPr>
    <w:rPr>
      <w:rFonts w:ascii="Times New Roman" w:hAnsi="Times New Roman" w:eastAsia="宋体" w:cs="Times New Roman"/>
      <w:i/>
      <w:iCs/>
      <w:szCs w:val="24"/>
    </w:rPr>
  </w:style>
  <w:style w:type="paragraph" w:styleId="734">
    <w:name w:val="Plain Text"/>
    <w:basedOn w:val="707"/>
    <w:link w:val="976"/>
    <w:uiPriority w:val="0"/>
    <w:qFormat/>
    <w:rPr>
      <w:rFonts w:ascii="宋体" w:hAnsi="Courier New" w:eastAsia="宋体" w:cs="Courier New"/>
      <w:szCs w:val="21"/>
    </w:rPr>
  </w:style>
  <w:style w:type="paragraph" w:styleId="735">
    <w:name w:val="toc 8"/>
    <w:basedOn w:val="707"/>
    <w:next w:val="707"/>
    <w:uiPriority w:val="0"/>
    <w:semiHidden/>
    <w:qFormat/>
    <w:pPr>
      <w:ind w:left="1470"/>
      <w:jc w:val="left"/>
    </w:pPr>
    <w:rPr>
      <w:rFonts w:ascii="Times New Roman" w:hAnsi="Times New Roman" w:eastAsia="宋体" w:cs="Times New Roman"/>
      <w:szCs w:val="21"/>
    </w:rPr>
  </w:style>
  <w:style w:type="paragraph" w:styleId="736">
    <w:name w:val="Date"/>
    <w:basedOn w:val="707"/>
    <w:next w:val="707"/>
    <w:link w:val="977"/>
    <w:uiPriority w:val="0"/>
    <w:qFormat/>
    <w:rPr>
      <w:rFonts w:ascii="Times New Roman" w:hAnsi="Times New Roman" w:eastAsia="宋体" w:cs="Times New Roman"/>
      <w:sz w:val="24"/>
      <w:szCs w:val="24"/>
    </w:rPr>
  </w:style>
  <w:style w:type="paragraph" w:styleId="737">
    <w:name w:val="Body Text Indent 2"/>
    <w:basedOn w:val="707"/>
    <w:link w:val="978"/>
    <w:uiPriority w:val="0"/>
    <w:qFormat/>
    <w:pPr>
      <w:ind w:left="630" w:firstLine="645"/>
    </w:pPr>
    <w:rPr>
      <w:rFonts w:ascii="Arial" w:hAnsi="Arial" w:eastAsia="仿宋_GB2312" w:cs="Arial"/>
      <w:sz w:val="32"/>
      <w:szCs w:val="32"/>
    </w:rPr>
  </w:style>
  <w:style w:type="paragraph" w:styleId="738">
    <w:name w:val="endnote text"/>
    <w:basedOn w:val="707"/>
    <w:link w:val="911"/>
    <w:uiPriority w:val="99"/>
    <w:semiHidden/>
    <w:unhideWhenUsed/>
    <w:pPr>
      <w:spacing w:after="0" w:line="240" w:lineRule="auto"/>
    </w:pPr>
    <w:rPr>
      <w:sz w:val="20"/>
    </w:rPr>
  </w:style>
  <w:style w:type="paragraph" w:styleId="739">
    <w:name w:val="Balloon Text"/>
    <w:basedOn w:val="707"/>
    <w:link w:val="979"/>
    <w:uiPriority w:val="0"/>
    <w:semiHidden/>
    <w:qFormat/>
    <w:rPr>
      <w:rFonts w:ascii="Times New Roman" w:hAnsi="Times New Roman" w:eastAsia="宋体" w:cs="Times New Roman"/>
      <w:sz w:val="18"/>
      <w:szCs w:val="18"/>
    </w:rPr>
  </w:style>
  <w:style w:type="paragraph" w:styleId="740">
    <w:name w:val="Footer"/>
    <w:basedOn w:val="707"/>
    <w:link w:val="98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1">
    <w:name w:val="Header"/>
    <w:basedOn w:val="707"/>
    <w:link w:val="981"/>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42">
    <w:name w:val="toc 1"/>
    <w:basedOn w:val="707"/>
    <w:next w:val="70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3">
    <w:name w:val="toc 4"/>
    <w:basedOn w:val="707"/>
    <w:next w:val="707"/>
    <w:uiPriority w:val="0"/>
    <w:semiHidden/>
    <w:qFormat/>
    <w:pPr>
      <w:ind w:left="630"/>
      <w:jc w:val="left"/>
    </w:pPr>
    <w:rPr>
      <w:rFonts w:ascii="Times New Roman" w:hAnsi="Times New Roman" w:eastAsia="宋体" w:cs="Times New Roman"/>
      <w:szCs w:val="21"/>
    </w:rPr>
  </w:style>
  <w:style w:type="paragraph" w:styleId="744">
    <w:name w:val="Subtitle"/>
    <w:basedOn w:val="707"/>
    <w:next w:val="707"/>
    <w:link w:val="777"/>
    <w:uiPriority w:val="11"/>
    <w:qFormat/>
    <w:pPr>
      <w:spacing w:before="200" w:after="200"/>
    </w:pPr>
    <w:rPr>
      <w:sz w:val="24"/>
      <w:szCs w:val="24"/>
    </w:rPr>
  </w:style>
  <w:style w:type="paragraph" w:styleId="745">
    <w:name w:val="List"/>
    <w:basedOn w:val="707"/>
    <w:uiPriority w:val="0"/>
    <w:qFormat/>
    <w:pPr>
      <w:ind w:left="200" w:hanging="200"/>
    </w:pPr>
    <w:rPr>
      <w:rFonts w:ascii="Times New Roman" w:hAnsi="Times New Roman" w:eastAsia="宋体" w:cs="Times New Roman"/>
      <w:szCs w:val="21"/>
    </w:rPr>
  </w:style>
  <w:style w:type="paragraph" w:styleId="746">
    <w:name w:val="footnote text"/>
    <w:basedOn w:val="707"/>
    <w:link w:val="910"/>
    <w:uiPriority w:val="99"/>
    <w:semiHidden/>
    <w:unhideWhenUsed/>
    <w:pPr>
      <w:spacing w:after="40" w:line="240" w:lineRule="auto"/>
    </w:pPr>
    <w:rPr>
      <w:sz w:val="18"/>
    </w:rPr>
  </w:style>
  <w:style w:type="paragraph" w:styleId="747">
    <w:name w:val="toc 6"/>
    <w:basedOn w:val="707"/>
    <w:next w:val="707"/>
    <w:uiPriority w:val="0"/>
    <w:semiHidden/>
    <w:qFormat/>
    <w:pPr>
      <w:ind w:left="1050"/>
      <w:jc w:val="left"/>
    </w:pPr>
    <w:rPr>
      <w:rFonts w:ascii="Times New Roman" w:hAnsi="Times New Roman" w:eastAsia="宋体" w:cs="Times New Roman"/>
      <w:szCs w:val="21"/>
    </w:rPr>
  </w:style>
  <w:style w:type="paragraph" w:styleId="748">
    <w:name w:val="Body Text Indent 3"/>
    <w:basedOn w:val="707"/>
    <w:link w:val="982"/>
    <w:uiPriority w:val="0"/>
    <w:qFormat/>
    <w:pPr>
      <w:ind w:left="645" w:firstLine="645"/>
    </w:pPr>
    <w:rPr>
      <w:rFonts w:ascii="Arial" w:hAnsi="Arial" w:eastAsia="仿宋_GB2312" w:cs="Arial"/>
      <w:color w:val="ffff00"/>
      <w:sz w:val="32"/>
      <w:szCs w:val="32"/>
    </w:rPr>
  </w:style>
  <w:style w:type="paragraph" w:styleId="749">
    <w:name w:val="table of figures"/>
    <w:basedOn w:val="707"/>
    <w:next w:val="707"/>
    <w:uiPriority w:val="0"/>
    <w:semiHidden/>
    <w:qFormat/>
    <w:pPr>
      <w:ind w:left="840" w:hanging="420"/>
    </w:pPr>
    <w:rPr>
      <w:rFonts w:ascii="Times New Roman" w:hAnsi="Times New Roman" w:eastAsia="宋体" w:cs="Times New Roman"/>
      <w:szCs w:val="21"/>
    </w:rPr>
  </w:style>
  <w:style w:type="paragraph" w:styleId="750">
    <w:name w:val="toc 2"/>
    <w:basedOn w:val="707"/>
    <w:next w:val="707"/>
    <w:uiPriority w:val="0"/>
    <w:semiHidden/>
    <w:qFormat/>
    <w:pPr>
      <w:ind w:left="210"/>
      <w:jc w:val="left"/>
    </w:pPr>
    <w:rPr>
      <w:rFonts w:ascii="Times New Roman" w:hAnsi="Times New Roman" w:eastAsia="宋体" w:cs="Times New Roman"/>
      <w:smallCaps/>
      <w:szCs w:val="24"/>
    </w:rPr>
  </w:style>
  <w:style w:type="paragraph" w:styleId="751">
    <w:name w:val="toc 9"/>
    <w:basedOn w:val="707"/>
    <w:next w:val="707"/>
    <w:uiPriority w:val="0"/>
    <w:semiHidden/>
    <w:qFormat/>
    <w:pPr>
      <w:ind w:left="1680"/>
      <w:jc w:val="left"/>
    </w:pPr>
    <w:rPr>
      <w:rFonts w:ascii="Times New Roman" w:hAnsi="Times New Roman" w:eastAsia="宋体" w:cs="Times New Roman"/>
      <w:szCs w:val="21"/>
    </w:rPr>
  </w:style>
  <w:style w:type="paragraph" w:styleId="752">
    <w:name w:val="Body Text 2"/>
    <w:basedOn w:val="707"/>
    <w:link w:val="983"/>
    <w:uiPriority w:val="0"/>
    <w:qFormat/>
    <w:pPr>
      <w:jc w:val="center"/>
      <w:widowControl/>
    </w:pPr>
    <w:rPr>
      <w:rFonts w:ascii="楷体_GB2312" w:hAnsi="Times New Roman" w:eastAsia="楷体_GB2312" w:cs="Times New Roman"/>
      <w:sz w:val="28"/>
      <w:szCs w:val="28"/>
    </w:rPr>
  </w:style>
  <w:style w:type="paragraph" w:styleId="753">
    <w:name w:val="Normal (Web)"/>
    <w:basedOn w:val="707"/>
    <w:uiPriority w:val="99"/>
    <w:qFormat/>
    <w:pPr>
      <w:jc w:val="left"/>
      <w:spacing w:before="100" w:beforeAutospacing="1" w:after="100" w:afterAutospacing="1"/>
      <w:widowControl/>
    </w:pPr>
    <w:rPr>
      <w:rFonts w:ascii="宋体" w:hAnsi="宋体" w:eastAsia="宋体" w:cs="宋体"/>
      <w:sz w:val="24"/>
      <w:szCs w:val="24"/>
    </w:rPr>
  </w:style>
  <w:style w:type="paragraph" w:styleId="754">
    <w:name w:val="index 1"/>
    <w:basedOn w:val="707"/>
    <w:next w:val="707"/>
    <w:uiPriority w:val="0"/>
    <w:semiHidden/>
    <w:qFormat/>
    <w:pPr>
      <w:spacing w:line="240" w:lineRule="atLeast"/>
    </w:pPr>
    <w:rPr>
      <w:rFonts w:ascii="Times New Roman" w:hAnsi="Times New Roman" w:eastAsia="宋体" w:cs="Times New Roman"/>
      <w:b/>
      <w:bCs/>
      <w:szCs w:val="21"/>
    </w:rPr>
  </w:style>
  <w:style w:type="paragraph" w:styleId="755">
    <w:name w:val="Title"/>
    <w:basedOn w:val="707"/>
    <w:next w:val="707"/>
    <w:link w:val="776"/>
    <w:uiPriority w:val="10"/>
    <w:qFormat/>
    <w:pPr>
      <w:contextualSpacing/>
      <w:spacing w:before="300" w:after="200"/>
    </w:pPr>
    <w:rPr>
      <w:sz w:val="48"/>
      <w:szCs w:val="48"/>
    </w:rPr>
  </w:style>
  <w:style w:type="paragraph" w:styleId="756">
    <w:name w:val="annotation subject"/>
    <w:basedOn w:val="727"/>
    <w:next w:val="727"/>
    <w:link w:val="984"/>
    <w:uiPriority w:val="0"/>
    <w:semiHidden/>
    <w:qFormat/>
    <w:rPr>
      <w:rFonts w:ascii="Times New Roman" w:hAnsi="Times New Roman" w:eastAsia="宋体" w:cs="Times New Roman"/>
      <w:b/>
      <w:bCs/>
      <w:szCs w:val="21"/>
    </w:rPr>
  </w:style>
  <w:style w:type="paragraph" w:styleId="757">
    <w:name w:val="Body Text First Indent"/>
    <w:basedOn w:val="707"/>
    <w:link w:val="985"/>
    <w:uiPriority w:val="0"/>
    <w:qFormat/>
    <w:pPr>
      <w:ind w:firstLine="200"/>
      <w:spacing w:line="360" w:lineRule="auto"/>
    </w:pPr>
    <w:rPr>
      <w:rFonts w:ascii="仿宋_GB2312" w:hAnsi="Times New Roman" w:eastAsia="仿宋_GB2312" w:cs="Times New Roman"/>
      <w:sz w:val="30"/>
      <w:szCs w:val="30"/>
    </w:rPr>
  </w:style>
  <w:style w:type="table" w:styleId="758">
    <w:name w:val="Table Grid"/>
    <w:basedOn w:val="71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basedOn w:val="717"/>
    <w:uiPriority w:val="99"/>
    <w:semiHidden/>
    <w:unhideWhenUsed/>
    <w:rPr>
      <w:vertAlign w:val="superscript"/>
    </w:rPr>
  </w:style>
  <w:style w:type="character" w:styleId="761">
    <w:name w:val="page number"/>
    <w:uiPriority w:val="0"/>
    <w:qFormat/>
  </w:style>
  <w:style w:type="character" w:styleId="762">
    <w:name w:val="FollowedHyperlink"/>
    <w:uiPriority w:val="0"/>
    <w:qFormat/>
    <w:rPr>
      <w:color w:val="800080"/>
      <w:u w:val="single"/>
    </w:rPr>
  </w:style>
  <w:style w:type="character" w:styleId="763">
    <w:name w:val="Emphasis"/>
    <w:uiPriority w:val="0"/>
    <w:qFormat/>
    <w:rPr>
      <w:i/>
    </w:rPr>
  </w:style>
  <w:style w:type="character" w:styleId="764">
    <w:name w:val="Hyperlink"/>
    <w:uiPriority w:val="0"/>
    <w:qFormat/>
    <w:rPr>
      <w:color w:val="0000ff"/>
      <w:u w:val="single"/>
    </w:rPr>
  </w:style>
  <w:style w:type="character" w:styleId="765">
    <w:name w:val="annotation reference"/>
    <w:uiPriority w:val="0"/>
    <w:semiHidden/>
    <w:qFormat/>
    <w:rPr>
      <w:sz w:val="21"/>
      <w:szCs w:val="21"/>
    </w:rPr>
  </w:style>
  <w:style w:type="character" w:styleId="766">
    <w:name w:val="footnote reference"/>
    <w:basedOn w:val="717"/>
    <w:uiPriority w:val="99"/>
    <w:unhideWhenUsed/>
    <w:rPr>
      <w:vertAlign w:val="superscript"/>
    </w:rPr>
  </w:style>
  <w:style w:type="character" w:styleId="767" w:customStyle="1">
    <w:name w:val="Heading 1 Char"/>
    <w:basedOn w:val="717"/>
    <w:uiPriority w:val="9"/>
    <w:rPr>
      <w:rFonts w:ascii="Arial" w:hAnsi="Arial" w:eastAsia="Arial" w:cs="Arial"/>
      <w:sz w:val="40"/>
      <w:szCs w:val="40"/>
    </w:rPr>
  </w:style>
  <w:style w:type="character" w:styleId="768" w:customStyle="1">
    <w:name w:val="Heading 2 Char"/>
    <w:basedOn w:val="717"/>
    <w:uiPriority w:val="9"/>
    <w:rPr>
      <w:rFonts w:ascii="Arial" w:hAnsi="Arial" w:eastAsia="Arial" w:cs="Arial"/>
      <w:sz w:val="34"/>
    </w:rPr>
  </w:style>
  <w:style w:type="character" w:styleId="769" w:customStyle="1">
    <w:name w:val="Heading 3 Char"/>
    <w:basedOn w:val="717"/>
    <w:uiPriority w:val="9"/>
    <w:rPr>
      <w:rFonts w:ascii="Arial" w:hAnsi="Arial" w:eastAsia="Arial" w:cs="Arial"/>
      <w:sz w:val="30"/>
      <w:szCs w:val="30"/>
    </w:rPr>
  </w:style>
  <w:style w:type="character" w:styleId="770" w:customStyle="1">
    <w:name w:val="Heading 4 Char"/>
    <w:basedOn w:val="717"/>
    <w:uiPriority w:val="9"/>
    <w:rPr>
      <w:rFonts w:ascii="Arial" w:hAnsi="Arial" w:eastAsia="Arial" w:cs="Arial"/>
      <w:b/>
      <w:bCs/>
      <w:sz w:val="26"/>
      <w:szCs w:val="26"/>
    </w:rPr>
  </w:style>
  <w:style w:type="character" w:styleId="771" w:customStyle="1">
    <w:name w:val="Heading 5 Char"/>
    <w:basedOn w:val="717"/>
    <w:uiPriority w:val="9"/>
    <w:rPr>
      <w:rFonts w:ascii="Arial" w:hAnsi="Arial" w:eastAsia="Arial" w:cs="Arial"/>
      <w:b/>
      <w:bCs/>
      <w:sz w:val="24"/>
      <w:szCs w:val="24"/>
    </w:rPr>
  </w:style>
  <w:style w:type="character" w:styleId="772" w:customStyle="1">
    <w:name w:val="Heading 6 Char"/>
    <w:basedOn w:val="717"/>
    <w:uiPriority w:val="9"/>
    <w:rPr>
      <w:rFonts w:ascii="Arial" w:hAnsi="Arial" w:eastAsia="Arial" w:cs="Arial"/>
      <w:b/>
      <w:bCs/>
      <w:sz w:val="22"/>
      <w:szCs w:val="22"/>
    </w:rPr>
  </w:style>
  <w:style w:type="character" w:styleId="773" w:customStyle="1">
    <w:name w:val="Heading 7 Char"/>
    <w:basedOn w:val="717"/>
    <w:uiPriority w:val="9"/>
    <w:rPr>
      <w:rFonts w:ascii="Arial" w:hAnsi="Arial" w:eastAsia="Arial" w:cs="Arial"/>
      <w:b/>
      <w:bCs/>
      <w:i/>
      <w:iCs/>
      <w:sz w:val="22"/>
      <w:szCs w:val="22"/>
    </w:rPr>
  </w:style>
  <w:style w:type="character" w:styleId="774" w:customStyle="1">
    <w:name w:val="Heading 8 Char"/>
    <w:basedOn w:val="717"/>
    <w:uiPriority w:val="9"/>
    <w:qFormat/>
    <w:rPr>
      <w:rFonts w:ascii="Arial" w:hAnsi="Arial" w:eastAsia="Arial" w:cs="Arial"/>
      <w:i/>
      <w:iCs/>
      <w:sz w:val="22"/>
      <w:szCs w:val="22"/>
    </w:rPr>
  </w:style>
  <w:style w:type="character" w:styleId="775" w:customStyle="1">
    <w:name w:val="Heading 9 Char"/>
    <w:basedOn w:val="717"/>
    <w:uiPriority w:val="9"/>
    <w:rPr>
      <w:rFonts w:ascii="Arial" w:hAnsi="Arial" w:eastAsia="Arial" w:cs="Arial"/>
      <w:i/>
      <w:iCs/>
      <w:sz w:val="21"/>
      <w:szCs w:val="21"/>
    </w:rPr>
  </w:style>
  <w:style w:type="character" w:styleId="776" w:customStyle="1">
    <w:name w:val="Title Char"/>
    <w:basedOn w:val="717"/>
    <w:link w:val="755"/>
    <w:uiPriority w:val="10"/>
    <w:rPr>
      <w:sz w:val="48"/>
      <w:szCs w:val="48"/>
    </w:rPr>
  </w:style>
  <w:style w:type="character" w:styleId="777" w:customStyle="1">
    <w:name w:val="Subtitle Char"/>
    <w:basedOn w:val="717"/>
    <w:link w:val="744"/>
    <w:uiPriority w:val="11"/>
    <w:rPr>
      <w:sz w:val="24"/>
      <w:szCs w:val="24"/>
    </w:rPr>
  </w:style>
  <w:style w:type="paragraph" w:styleId="778">
    <w:name w:val="Quote"/>
    <w:basedOn w:val="707"/>
    <w:next w:val="707"/>
    <w:link w:val="779"/>
    <w:uiPriority w:val="29"/>
    <w:qFormat/>
    <w:pPr>
      <w:ind w:left="720" w:right="720"/>
    </w:pPr>
    <w:rPr>
      <w:i/>
    </w:rPr>
  </w:style>
  <w:style w:type="character" w:styleId="779" w:customStyle="1">
    <w:name w:val="Quote Char"/>
    <w:link w:val="778"/>
    <w:uiPriority w:val="29"/>
    <w:rPr>
      <w:i/>
    </w:rPr>
  </w:style>
  <w:style w:type="paragraph" w:styleId="780">
    <w:name w:val="Intense Quote"/>
    <w:basedOn w:val="707"/>
    <w:next w:val="70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rPr>
      <w:i/>
    </w:rPr>
  </w:style>
  <w:style w:type="character" w:styleId="782" w:customStyle="1">
    <w:name w:val="Header Char"/>
    <w:basedOn w:val="717"/>
    <w:uiPriority w:val="99"/>
  </w:style>
  <w:style w:type="character" w:styleId="783" w:customStyle="1">
    <w:name w:val="Footer Char"/>
    <w:basedOn w:val="717"/>
    <w:uiPriority w:val="99"/>
  </w:style>
  <w:style w:type="character" w:styleId="784" w:customStyle="1">
    <w:name w:val="Caption Char"/>
    <w:uiPriority w:val="99"/>
  </w:style>
  <w:style w:type="table" w:styleId="785" w:customStyle="1">
    <w:name w:val="Table Grid Light"/>
    <w:basedOn w:val="71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1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1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1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1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1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1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18"/>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18"/>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18"/>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18"/>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18"/>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18"/>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1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18"/>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18"/>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18"/>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18"/>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18"/>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18"/>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basedOn w:val="71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18"/>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18"/>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18"/>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18"/>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18"/>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18"/>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1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18"/>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basedOn w:val="718"/>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basedOn w:val="718"/>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basedOn w:val="718"/>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basedOn w:val="718"/>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basedOn w:val="718"/>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basedOn w:val="71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18"/>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18"/>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18"/>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18"/>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18"/>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basedOn w:val="7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basedOn w:val="71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18"/>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18"/>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18"/>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18"/>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18"/>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18"/>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1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18"/>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18"/>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18"/>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18"/>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18"/>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18"/>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basedOn w:val="71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18"/>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basedOn w:val="718"/>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basedOn w:val="718"/>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basedOn w:val="718"/>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basedOn w:val="718"/>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basedOn w:val="718"/>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basedOn w:val="71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18"/>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basedOn w:val="718"/>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18"/>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18"/>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18"/>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18"/>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basedOn w:val="71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18"/>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basedOn w:val="718"/>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basedOn w:val="718"/>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basedOn w:val="718"/>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basedOn w:val="718"/>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basedOn w:val="718"/>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basedOn w:val="71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18"/>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18"/>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18"/>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18"/>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18"/>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18"/>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1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18"/>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basedOn w:val="718"/>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basedOn w:val="718"/>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basedOn w:val="718"/>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basedOn w:val="718"/>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basedOn w:val="718"/>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basedOn w:val="71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18"/>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18"/>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18"/>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18"/>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18"/>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18"/>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basedOn w:val="71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18"/>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basedOn w:val="718"/>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basedOn w:val="718"/>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basedOn w:val="718"/>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basedOn w:val="718"/>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basedOn w:val="718"/>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basedOn w:val="71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18"/>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basedOn w:val="718"/>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basedOn w:val="718"/>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basedOn w:val="718"/>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basedOn w:val="718"/>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basedOn w:val="718"/>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46"/>
    <w:uiPriority w:val="99"/>
    <w:rPr>
      <w:sz w:val="18"/>
    </w:rPr>
  </w:style>
  <w:style w:type="character" w:styleId="911" w:customStyle="1">
    <w:name w:val="Endnote Text Char"/>
    <w:link w:val="738"/>
    <w:uiPriority w:val="99"/>
    <w:rPr>
      <w:sz w:val="20"/>
    </w:rPr>
  </w:style>
  <w:style w:type="paragraph" w:styleId="912" w:customStyle="1">
    <w:name w:val="TOC Heading"/>
    <w:uiPriority w:val="39"/>
    <w:unhideWhenUsed/>
    <w:rPr>
      <w:rFonts w:hint="default" w:ascii="Times New Roman" w:hAnsi="Times New Roman" w:eastAsia="宋体" w:cs="Times New Roman"/>
    </w:rPr>
  </w:style>
  <w:style w:type="paragraph" w:styleId="913" w:customStyle="1">
    <w:name w:val="索引 41"/>
    <w:basedOn w:val="707"/>
    <w:next w:val="707"/>
    <w:uiPriority w:val="0"/>
    <w:semiHidden/>
    <w:qFormat/>
    <w:pPr>
      <w:ind w:left="1260"/>
    </w:pPr>
    <w:rPr>
      <w:rFonts w:ascii="Calibri" w:hAnsi="Calibri" w:eastAsia="Calibri" w:cs="宋体"/>
      <w:sz w:val="20"/>
      <w:lang w:val="zh-CN"/>
    </w:rPr>
  </w:style>
  <w:style w:type="paragraph" w:styleId="914" w:customStyle="1">
    <w:name w:val="正文文本缩进1"/>
    <w:basedOn w:val="707"/>
    <w:next w:val="915"/>
    <w:uiPriority w:val="0"/>
    <w:unhideWhenUsed/>
    <w:qFormat/>
    <w:pPr>
      <w:ind w:left="420"/>
      <w:spacing w:after="120"/>
    </w:pPr>
  </w:style>
  <w:style w:type="paragraph" w:styleId="915" w:customStyle="1">
    <w:name w:val="正文文本首行缩进 2"/>
    <w:basedOn w:val="914"/>
    <w:uiPriority w:val="0"/>
    <w:qFormat/>
    <w:pPr>
      <w:ind w:left="0" w:firstLine="420"/>
      <w:spacing w:after="0" w:line="360" w:lineRule="auto"/>
    </w:pPr>
    <w:rPr>
      <w:rFonts w:ascii="宋体" w:hAnsi="宋体"/>
      <w:sz w:val="20"/>
      <w:szCs w:val="20"/>
      <w:lang w:val="en-US" w:eastAsia="en-US"/>
    </w:rPr>
  </w:style>
  <w:style w:type="paragraph" w:styleId="916" w:customStyle="1">
    <w:name w:val="二级目录"/>
    <w:next w:val="707"/>
    <w:link w:val="98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17" w:customStyle="1">
    <w:name w:val="列出段落1"/>
    <w:basedOn w:val="707"/>
    <w:link w:val="988"/>
    <w:uiPriority w:val="0"/>
    <w:qFormat/>
    <w:pPr>
      <w:contextualSpacing/>
      <w:ind w:left="720"/>
      <w:jc w:val="left"/>
      <w:widowControl/>
    </w:pPr>
    <w:rPr>
      <w:rFonts w:ascii="Calibri" w:hAnsi="Calibri"/>
      <w:sz w:val="24"/>
      <w:szCs w:val="24"/>
      <w:lang w:eastAsia="en-US" w:bidi="en-US"/>
    </w:rPr>
  </w:style>
  <w:style w:type="paragraph" w:styleId="918" w:customStyle="1">
    <w:name w:val="Body Text(ch)"/>
    <w:basedOn w:val="707"/>
    <w:next w:val="729"/>
    <w:uiPriority w:val="0"/>
    <w:qFormat/>
    <w:pPr>
      <w:spacing w:after="120"/>
    </w:pPr>
    <w:rPr>
      <w:rFonts w:ascii="宋体" w:hAnsi="Arial" w:eastAsia="宋体" w:cs="Times New Roman"/>
      <w:bCs/>
      <w:iCs/>
      <w:szCs w:val="24"/>
    </w:rPr>
  </w:style>
  <w:style w:type="paragraph" w:styleId="919" w:customStyle="1">
    <w:name w:val="xl27"/>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0" w:customStyle="1">
    <w:name w:val="xl26"/>
    <w:basedOn w:val="7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1" w:customStyle="1">
    <w:name w:val="Char"/>
    <w:basedOn w:val="707"/>
    <w:uiPriority w:val="0"/>
    <w:qFormat/>
    <w:pPr>
      <w:ind w:firstLine="200"/>
      <w:tabs>
        <w:tab w:val="left" w:pos="360" w:leader="none"/>
      </w:tabs>
    </w:pPr>
    <w:rPr>
      <w:rFonts w:ascii="Times New Roman" w:hAnsi="Times New Roman" w:eastAsia="宋体" w:cs="Times New Roman"/>
      <w:sz w:val="28"/>
      <w:szCs w:val="30"/>
    </w:rPr>
  </w:style>
  <w:style w:type="paragraph" w:styleId="922" w:customStyle="1">
    <w:name w:val=" Char"/>
    <w:basedOn w:val="726"/>
    <w:uiPriority w:val="0"/>
    <w:qFormat/>
    <w:rPr>
      <w:rFonts w:ascii="Tahoma" w:hAnsi="Tahoma"/>
      <w:sz w:val="24"/>
      <w:szCs w:val="24"/>
    </w:rPr>
  </w:style>
  <w:style w:type="paragraph" w:styleId="923" w:customStyle="1">
    <w:name w:val="普通正文"/>
    <w:basedOn w:val="707"/>
    <w:uiPriority w:val="0"/>
    <w:qFormat/>
    <w:pPr>
      <w:ind w:firstLine="480"/>
      <w:jc w:val="left"/>
      <w:spacing w:before="120" w:after="120" w:line="360" w:lineRule="auto"/>
    </w:pPr>
    <w:rPr>
      <w:rFonts w:ascii="Arial" w:hAnsi="Arial" w:eastAsia="宋体" w:cs="Times New Roman"/>
      <w:sz w:val="24"/>
      <w:szCs w:val="24"/>
    </w:rPr>
  </w:style>
  <w:style w:type="paragraph" w:styleId="924" w:customStyle="1">
    <w:name w:val="table_lines"/>
    <w:basedOn w:val="707"/>
    <w:uiPriority w:val="0"/>
    <w:qFormat/>
    <w:pPr>
      <w:jc w:val="left"/>
      <w:widowControl/>
    </w:pPr>
    <w:rPr>
      <w:rFonts w:ascii="Times New Roman" w:hAnsi="Times New Roman" w:eastAsia="宋体" w:cs="Times New Roman"/>
      <w:sz w:val="20"/>
      <w:szCs w:val="20"/>
      <w:lang w:val="de-DE" w:eastAsia="de-DE"/>
    </w:rPr>
  </w:style>
  <w:style w:type="paragraph" w:styleId="9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6" w:customStyle="1">
    <w:name w:val="font7"/>
    <w:basedOn w:val="70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27" w:customStyle="1">
    <w:name w:val=" Char Char Char Char"/>
    <w:basedOn w:val="726"/>
    <w:uiPriority w:val="0"/>
    <w:qFormat/>
    <w:pPr>
      <w:spacing w:line="360" w:lineRule="auto"/>
    </w:pPr>
    <w:rPr>
      <w:rFonts w:ascii="Tahoma" w:hAnsi="Tahoma"/>
      <w:sz w:val="24"/>
      <w:szCs w:val="24"/>
    </w:rPr>
  </w:style>
  <w:style w:type="paragraph" w:styleId="928">
    <w:name w:val="List Paragraph"/>
    <w:basedOn w:val="707"/>
    <w:uiPriority w:val="0"/>
    <w:qFormat/>
    <w:pPr>
      <w:contextualSpacing/>
      <w:ind w:left="720"/>
      <w:jc w:val="left"/>
      <w:widowControl/>
    </w:pPr>
    <w:rPr>
      <w:rFonts w:ascii="Calibri" w:hAnsi="Calibri" w:eastAsia="宋体" w:cs="Times New Roman"/>
      <w:sz w:val="24"/>
      <w:szCs w:val="24"/>
      <w:lang w:eastAsia="en-US" w:bidi="en-US"/>
    </w:rPr>
  </w:style>
  <w:style w:type="paragraph" w:styleId="929" w:customStyle="1">
    <w:name w:val="4"/>
    <w:basedOn w:val="707"/>
    <w:next w:val="748"/>
    <w:uiPriority w:val="0"/>
    <w:qFormat/>
    <w:pPr>
      <w:ind w:firstLine="420"/>
      <w:spacing w:line="360" w:lineRule="auto"/>
    </w:pPr>
    <w:rPr>
      <w:rFonts w:ascii="Times New Roman" w:hAnsi="Times New Roman" w:eastAsia="宋体" w:cs="Times New Roman"/>
      <w:color w:val="ff0000"/>
      <w:sz w:val="24"/>
      <w:szCs w:val="24"/>
    </w:rPr>
  </w:style>
  <w:style w:type="paragraph" w:styleId="930" w:customStyle="1">
    <w:name w:val="普通 (Web)"/>
    <w:basedOn w:val="707"/>
    <w:uiPriority w:val="0"/>
    <w:qFormat/>
    <w:pPr>
      <w:jc w:val="left"/>
      <w:spacing w:before="100" w:beforeAutospacing="1" w:after="100" w:afterAutospacing="1"/>
      <w:widowControl/>
    </w:pPr>
    <w:rPr>
      <w:rFonts w:ascii="宋体" w:hAnsi="宋体" w:eastAsia="宋体" w:cs="Times New Roman"/>
      <w:sz w:val="24"/>
      <w:szCs w:val="24"/>
    </w:rPr>
  </w:style>
  <w:style w:type="paragraph" w:styleId="931" w:customStyle="1">
    <w:name w:val=" Char Char Char Char Char Char Char Char Char Char"/>
    <w:basedOn w:val="707"/>
    <w:uiPriority w:val="0"/>
    <w:qFormat/>
    <w:pPr>
      <w:spacing w:line="360" w:lineRule="auto"/>
    </w:pPr>
    <w:rPr>
      <w:rFonts w:ascii="Times New Roman" w:hAnsi="Times New Roman" w:eastAsia="宋体" w:cs="Times New Roman"/>
      <w:sz w:val="24"/>
      <w:szCs w:val="20"/>
    </w:rPr>
  </w:style>
  <w:style w:type="paragraph" w:styleId="932" w:customStyle="1">
    <w:name w:val="样式1"/>
    <w:basedOn w:val="707"/>
    <w:uiPriority w:val="0"/>
    <w:qFormat/>
    <w:pPr>
      <w:numPr>
        <w:ilvl w:val="0"/>
        <w:numId w:val="3"/>
      </w:numPr>
    </w:pPr>
    <w:rPr>
      <w:rFonts w:ascii="宋体" w:hAnsi="宋体" w:eastAsia="宋体" w:cs="Times New Roman"/>
      <w:szCs w:val="21"/>
    </w:rPr>
  </w:style>
  <w:style w:type="paragraph" w:styleId="933" w:customStyle="1">
    <w:name w:val="font6"/>
    <w:basedOn w:val="70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34" w:customStyle="1">
    <w:name w:val="xl25"/>
    <w:basedOn w:val="7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5" w:customStyle="1">
    <w:name w:val="图标"/>
    <w:basedOn w:val="707"/>
    <w:next w:val="70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6" w:customStyle="1">
    <w:name w:val="标题3"/>
    <w:basedOn w:val="707"/>
    <w:next w:val="707"/>
    <w:uiPriority w:val="0"/>
    <w:qFormat/>
    <w:pPr>
      <w:ind w:firstLine="624"/>
      <w:spacing w:line="590" w:lineRule="atLeast"/>
    </w:pPr>
    <w:rPr>
      <w:rFonts w:ascii="方正黑体_GBK" w:hAnsi="Times New Roman" w:eastAsia="方正黑体_GBK" w:cs="Times New Roman"/>
      <w:sz w:val="32"/>
      <w:szCs w:val="32"/>
    </w:rPr>
  </w:style>
  <w:style w:type="paragraph" w:styleId="937" w:customStyle="1">
    <w:name w:val="xl24"/>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8" w:customStyle="1">
    <w:name w:val="xl29"/>
    <w:basedOn w:val="707"/>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39" w:customStyle="1">
    <w:name w:val="Char Char Char Char Char Char Char Char"/>
    <w:basedOn w:val="707"/>
    <w:uiPriority w:val="0"/>
    <w:qFormat/>
    <w:pPr>
      <w:jc w:val="left"/>
      <w:spacing w:after="160" w:line="240" w:lineRule="exact"/>
      <w:widowControl/>
    </w:pPr>
    <w:rPr>
      <w:rFonts w:ascii="Verdana" w:hAnsi="Verdana" w:eastAsia="宋体" w:cs="Times New Roman"/>
      <w:sz w:val="20"/>
      <w:szCs w:val="20"/>
      <w:lang w:eastAsia="en-US"/>
    </w:rPr>
  </w:style>
  <w:style w:type="paragraph" w:styleId="940" w:customStyle="1">
    <w:name w:val="xl28"/>
    <w:basedOn w:val="70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41" w:customStyle="1">
    <w:name w:val=" Char Char Char Char Char Char Char Char"/>
    <w:basedOn w:val="707"/>
    <w:uiPriority w:val="0"/>
    <w:qFormat/>
    <w:pPr>
      <w:jc w:val="left"/>
      <w:spacing w:after="160" w:line="240" w:lineRule="exact"/>
      <w:widowControl/>
    </w:pPr>
    <w:rPr>
      <w:rFonts w:ascii="Verdana" w:hAnsi="Verdana" w:eastAsia="宋体" w:cs="Times New Roman"/>
      <w:sz w:val="20"/>
      <w:szCs w:val="20"/>
      <w:lang w:eastAsia="en-US"/>
    </w:rPr>
  </w:style>
  <w:style w:type="paragraph" w:styleId="942" w:customStyle="1">
    <w:name w:val="xl30"/>
    <w:basedOn w:val="70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3" w:customStyle="1">
    <w:name w:val="Char Char Char Char"/>
    <w:basedOn w:val="726"/>
    <w:uiPriority w:val="0"/>
    <w:qFormat/>
    <w:pPr>
      <w:spacing w:line="360" w:lineRule="auto"/>
    </w:pPr>
    <w:rPr>
      <w:rFonts w:ascii="Tahoma" w:hAnsi="Tahoma"/>
      <w:sz w:val="24"/>
      <w:szCs w:val="24"/>
    </w:rPr>
  </w:style>
  <w:style w:type="paragraph" w:styleId="944" w:customStyle="1">
    <w:name w:val="table_1stline"/>
    <w:basedOn w:val="707"/>
    <w:uiPriority w:val="0"/>
    <w:qFormat/>
    <w:pPr>
      <w:jc w:val="left"/>
      <w:spacing w:before="120"/>
      <w:widowControl/>
    </w:pPr>
    <w:rPr>
      <w:rFonts w:ascii="Times New Roman" w:hAnsi="Times New Roman" w:eastAsia="宋体" w:cs="Times New Roman"/>
      <w:bCs/>
      <w:sz w:val="20"/>
      <w:szCs w:val="20"/>
      <w:lang w:val="de-DE" w:eastAsia="de-DE"/>
    </w:rPr>
  </w:style>
  <w:style w:type="paragraph" w:styleId="945" w:customStyle="1">
    <w:name w:val="font5"/>
    <w:basedOn w:val="70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6" w:customStyle="1">
    <w:name w:val="标题1"/>
    <w:basedOn w:val="707"/>
    <w:next w:val="70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7"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4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9" w:customStyle="1">
    <w:name w:val="正文文本 211"/>
    <w:basedOn w:val="707"/>
    <w:uiPriority w:val="99"/>
    <w:qFormat/>
    <w:pPr>
      <w:jc w:val="center"/>
    </w:pPr>
    <w:rPr>
      <w:b/>
      <w:bCs/>
      <w:sz w:val="20"/>
      <w:szCs w:val="20"/>
    </w:rPr>
  </w:style>
  <w:style w:type="paragraph" w:styleId="950" w:customStyle="1">
    <w:name w:val="正文文本1"/>
    <w:basedOn w:val="707"/>
    <w:next w:val="707"/>
    <w:uiPriority w:val="0"/>
    <w:semiHidden/>
    <w:qFormat/>
    <w:rPr>
      <w:rFonts w:ascii="Arial" w:hAnsi="Arial" w:eastAsia="Arial" w:cs="Arial"/>
      <w:sz w:val="21"/>
      <w:szCs w:val="21"/>
      <w:lang w:val="en-US" w:eastAsia="en-US" w:bidi="ar-SA"/>
    </w:rPr>
  </w:style>
  <w:style w:type="paragraph" w:styleId="951" w:customStyle="1">
    <w:name w:val="正文文本12"/>
    <w:basedOn w:val="707"/>
    <w:uiPriority w:val="1"/>
    <w:qFormat/>
    <w:pPr>
      <w:ind w:left="120"/>
    </w:pPr>
    <w:rPr>
      <w:rFonts w:ascii="宋体" w:hAnsi="宋体" w:eastAsia="宋体" w:cs="宋体"/>
      <w:sz w:val="21"/>
      <w:szCs w:val="21"/>
      <w:lang w:val="zh-CN" w:eastAsia="zh-CN" w:bidi="zh-CN"/>
    </w:rPr>
  </w:style>
  <w:style w:type="paragraph" w:styleId="952" w:customStyle="1">
    <w:name w:val="纯文本1"/>
    <w:basedOn w:val="707"/>
    <w:uiPriority w:val="0"/>
    <w:qFormat/>
    <w:rPr>
      <w:rFonts w:ascii="宋体" w:hAnsi="Courier New" w:cs="Courier New"/>
    </w:rPr>
  </w:style>
  <w:style w:type="paragraph" w:styleId="953" w:customStyle="1">
    <w:name w:val="正文首行缩进 211"/>
    <w:basedOn w:val="954"/>
    <w:next w:val="707"/>
    <w:uiPriority w:val="0"/>
    <w:qFormat/>
    <w:pPr>
      <w:ind w:left="0" w:firstLine="420"/>
      <w:spacing w:after="0" w:line="360" w:lineRule="auto"/>
    </w:pPr>
    <w:rPr>
      <w:rFonts w:ascii="宋体" w:hAnsi="宋体" w:eastAsia="宋体" w:cs="Times New Roman"/>
      <w:szCs w:val="20"/>
    </w:rPr>
  </w:style>
  <w:style w:type="paragraph" w:styleId="954" w:customStyle="1">
    <w:name w:val="正文文本缩进11"/>
    <w:basedOn w:val="707"/>
    <w:next w:val="955"/>
    <w:uiPriority w:val="0"/>
    <w:unhideWhenUsed/>
    <w:qFormat/>
    <w:pPr>
      <w:ind w:left="420"/>
      <w:spacing w:after="120"/>
    </w:pPr>
  </w:style>
  <w:style w:type="paragraph" w:styleId="955" w:customStyle="1">
    <w:name w:val="寄信人地址1"/>
    <w:basedOn w:val="707"/>
    <w:uiPriority w:val="0"/>
    <w:qFormat/>
    <w:rPr>
      <w:rFonts w:ascii="Arial" w:hAnsi="Arial" w:eastAsia="宋体" w:cs="宋体"/>
    </w:rPr>
  </w:style>
  <w:style w:type="paragraph" w:styleId="956" w:customStyle="1">
    <w:name w:val="Table Paragraph"/>
    <w:basedOn w:val="707"/>
    <w:uiPriority w:val="1"/>
    <w:qFormat/>
    <w:pPr>
      <w:jc w:val="left"/>
    </w:pPr>
    <w:rPr>
      <w:rFonts w:ascii="宋体" w:hAnsi="宋体" w:eastAsia="宋体" w:cs="宋体"/>
      <w:sz w:val="22"/>
      <w:szCs w:val="22"/>
      <w:lang w:val="zh-CN" w:bidi="zh-CN"/>
    </w:rPr>
  </w:style>
  <w:style w:type="paragraph" w:styleId="957" w:customStyle="1">
    <w:name w:val="纯文本11"/>
    <w:basedOn w:val="707"/>
    <w:uiPriority w:val="0"/>
    <w:qFormat/>
    <w:rPr>
      <w:rFonts w:ascii="宋体" w:hAnsi="Courier New" w:eastAsia="宋体" w:cs="Courier New"/>
      <w:szCs w:val="21"/>
    </w:rPr>
  </w:style>
  <w:style w:type="paragraph" w:styleId="958" w:customStyle="1">
    <w:name w:val="批注文字1"/>
    <w:basedOn w:val="707"/>
    <w:uiPriority w:val="0"/>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959" w:customStyle="1">
    <w:name w:val="普通(网站)1"/>
    <w:basedOn w:val="707"/>
    <w:uiPriority w:val="99"/>
    <w:qFormat/>
    <w:pPr>
      <w:jc w:val="left"/>
      <w:spacing w:before="100" w:beforeAutospacing="1" w:after="100" w:afterAutospacing="1"/>
      <w:widowControl/>
    </w:pPr>
    <w:rPr>
      <w:rFonts w:ascii="宋体" w:hAnsi="宋体" w:eastAsia="宋体" w:cs="宋体"/>
      <w:sz w:val="24"/>
      <w:szCs w:val="24"/>
    </w:rPr>
  </w:style>
  <w:style w:type="character" w:styleId="960" w:customStyle="1">
    <w:name w:val="正文文本缩进 Char"/>
    <w:basedOn w:val="717"/>
    <w:link w:val="720"/>
    <w:uiPriority w:val="99"/>
    <w:semiHidden/>
    <w:qFormat/>
  </w:style>
  <w:style w:type="character" w:styleId="961" w:customStyle="1">
    <w:name w:val="正文首行缩进 2 Char"/>
    <w:link w:val="719"/>
    <w:uiPriority w:val="0"/>
    <w:qFormat/>
    <w:rPr>
      <w:rFonts w:ascii="宋体" w:hAnsi="宋体" w:eastAsia="宋体" w:cs="Times New Roman"/>
      <w:szCs w:val="20"/>
    </w:rPr>
  </w:style>
  <w:style w:type="character" w:styleId="962" w:customStyle="1">
    <w:name w:val="标题 1 Char"/>
    <w:link w:val="708"/>
    <w:uiPriority w:val="0"/>
    <w:qFormat/>
    <w:rPr>
      <w:rFonts w:ascii="楷体_GB2312" w:hAnsi="Times New Roman" w:eastAsia="楷体_GB2312" w:cs="Times New Roman"/>
      <w:sz w:val="28"/>
      <w:szCs w:val="28"/>
    </w:rPr>
  </w:style>
  <w:style w:type="character" w:styleId="963" w:customStyle="1">
    <w:name w:val="标题 2 Char"/>
    <w:link w:val="709"/>
    <w:uiPriority w:val="0"/>
    <w:qFormat/>
    <w:rPr>
      <w:rFonts w:ascii="Arial" w:hAnsi="Arial" w:eastAsia="幼圆" w:cs="Arial"/>
      <w:b/>
      <w:bCs/>
      <w:sz w:val="44"/>
      <w:szCs w:val="44"/>
    </w:rPr>
  </w:style>
  <w:style w:type="character" w:styleId="964" w:customStyle="1">
    <w:name w:val="正文缩进 Char"/>
    <w:link w:val="722"/>
    <w:uiPriority w:val="0"/>
    <w:qFormat/>
    <w:rPr>
      <w:szCs w:val="21"/>
    </w:rPr>
  </w:style>
  <w:style w:type="character" w:styleId="965" w:customStyle="1">
    <w:name w:val="标题 3 Char"/>
    <w:link w:val="710"/>
    <w:uiPriority w:val="0"/>
    <w:qFormat/>
    <w:rPr>
      <w:rFonts w:ascii="Times New Roman" w:hAnsi="Times New Roman" w:eastAsia="宋体" w:cs="Times New Roman"/>
      <w:b/>
      <w:bCs/>
      <w:sz w:val="32"/>
      <w:szCs w:val="32"/>
    </w:rPr>
  </w:style>
  <w:style w:type="character" w:styleId="966" w:customStyle="1">
    <w:name w:val="标题 4 Char"/>
    <w:link w:val="711"/>
    <w:uiPriority w:val="0"/>
    <w:qFormat/>
    <w:rPr>
      <w:rFonts w:ascii="Arial" w:hAnsi="Arial" w:eastAsia="黑体" w:cs="Arial"/>
      <w:b/>
      <w:bCs/>
      <w:sz w:val="28"/>
      <w:szCs w:val="28"/>
    </w:rPr>
  </w:style>
  <w:style w:type="character" w:styleId="967" w:customStyle="1">
    <w:name w:val="标题 5 Char"/>
    <w:link w:val="712"/>
    <w:uiPriority w:val="0"/>
    <w:qFormat/>
    <w:rPr>
      <w:rFonts w:ascii="宋体" w:hAnsi="Times New Roman" w:eastAsia="宋体" w:cs="Times New Roman"/>
      <w:color w:val="000000"/>
      <w:sz w:val="28"/>
      <w:szCs w:val="28"/>
    </w:rPr>
  </w:style>
  <w:style w:type="character" w:styleId="968" w:customStyle="1">
    <w:name w:val="标题 6 Char"/>
    <w:link w:val="713"/>
    <w:uiPriority w:val="0"/>
    <w:qFormat/>
    <w:rPr>
      <w:rFonts w:ascii="Arial" w:hAnsi="Arial" w:eastAsia="黑体" w:cs="Times New Roman"/>
      <w:b/>
      <w:bCs/>
      <w:sz w:val="24"/>
      <w:szCs w:val="24"/>
    </w:rPr>
  </w:style>
  <w:style w:type="character" w:styleId="969" w:customStyle="1">
    <w:name w:val="标题 7 Char"/>
    <w:link w:val="714"/>
    <w:uiPriority w:val="0"/>
    <w:qFormat/>
    <w:rPr>
      <w:rFonts w:ascii="Times New Roman" w:hAnsi="Times New Roman" w:eastAsia="宋体" w:cs="Times New Roman"/>
      <w:b/>
      <w:bCs/>
      <w:sz w:val="24"/>
      <w:szCs w:val="24"/>
    </w:rPr>
  </w:style>
  <w:style w:type="character" w:styleId="970" w:customStyle="1">
    <w:name w:val="标题 8 Char"/>
    <w:link w:val="715"/>
    <w:uiPriority w:val="0"/>
    <w:qFormat/>
    <w:rPr>
      <w:rFonts w:ascii="Arial" w:hAnsi="Arial" w:eastAsia="黑体" w:cs="Times New Roman"/>
      <w:sz w:val="24"/>
      <w:szCs w:val="24"/>
    </w:rPr>
  </w:style>
  <w:style w:type="character" w:styleId="971" w:customStyle="1">
    <w:name w:val="标题 9 Char"/>
    <w:link w:val="716"/>
    <w:uiPriority w:val="0"/>
    <w:qFormat/>
    <w:rPr>
      <w:rFonts w:ascii="Arial" w:hAnsi="Arial" w:eastAsia="黑体" w:cs="Times New Roman"/>
      <w:szCs w:val="21"/>
    </w:rPr>
  </w:style>
  <w:style w:type="character" w:styleId="972" w:customStyle="1">
    <w:name w:val="文档结构图 Char"/>
    <w:link w:val="726"/>
    <w:uiPriority w:val="0"/>
    <w:semiHidden/>
    <w:qFormat/>
    <w:rPr>
      <w:rFonts w:ascii="Times New Roman" w:hAnsi="Times New Roman" w:eastAsia="宋体" w:cs="Times New Roman"/>
      <w:szCs w:val="21"/>
      <w:shd w:val="clear" w:color="auto" w:fill="000080"/>
    </w:rPr>
  </w:style>
  <w:style w:type="character" w:styleId="973" w:customStyle="1">
    <w:name w:val="批注文字 Char"/>
    <w:basedOn w:val="717"/>
    <w:link w:val="727"/>
    <w:uiPriority w:val="99"/>
    <w:semiHidden/>
    <w:qFormat/>
  </w:style>
  <w:style w:type="character" w:styleId="974" w:customStyle="1">
    <w:name w:val="正文文本 3 Char"/>
    <w:link w:val="728"/>
    <w:uiPriority w:val="0"/>
    <w:qFormat/>
    <w:rPr>
      <w:rFonts w:ascii="仿宋_GB2312" w:hAnsi="Arial" w:eastAsia="仿宋_GB2312" w:cs="Times New Roman"/>
      <w:sz w:val="32"/>
      <w:szCs w:val="32"/>
    </w:rPr>
  </w:style>
  <w:style w:type="character" w:styleId="975" w:customStyle="1">
    <w:name w:val="正文文本 Char"/>
    <w:link w:val="729"/>
    <w:uiPriority w:val="0"/>
    <w:qFormat/>
    <w:rPr>
      <w:rFonts w:ascii="楷体_GB2312" w:hAnsi="Arial" w:eastAsia="楷体_GB2312" w:cs="Times New Roman"/>
      <w:sz w:val="28"/>
      <w:szCs w:val="28"/>
    </w:rPr>
  </w:style>
  <w:style w:type="character" w:styleId="976" w:customStyle="1">
    <w:name w:val="纯文本 Char"/>
    <w:link w:val="734"/>
    <w:uiPriority w:val="0"/>
    <w:qFormat/>
    <w:rPr>
      <w:rFonts w:ascii="宋体" w:hAnsi="Courier New" w:eastAsia="宋体" w:cs="Courier New"/>
      <w:szCs w:val="21"/>
    </w:rPr>
  </w:style>
  <w:style w:type="character" w:styleId="977" w:customStyle="1">
    <w:name w:val="日期 Char"/>
    <w:link w:val="736"/>
    <w:uiPriority w:val="0"/>
    <w:qFormat/>
    <w:rPr>
      <w:rFonts w:ascii="Times New Roman" w:hAnsi="Times New Roman" w:eastAsia="宋体" w:cs="Times New Roman"/>
      <w:sz w:val="24"/>
      <w:szCs w:val="24"/>
    </w:rPr>
  </w:style>
  <w:style w:type="character" w:styleId="978" w:customStyle="1">
    <w:name w:val="正文文本缩进 2 Char"/>
    <w:link w:val="737"/>
    <w:uiPriority w:val="0"/>
    <w:qFormat/>
    <w:rPr>
      <w:rFonts w:ascii="Arial" w:hAnsi="Arial" w:eastAsia="仿宋_GB2312" w:cs="Arial"/>
      <w:sz w:val="32"/>
      <w:szCs w:val="32"/>
    </w:rPr>
  </w:style>
  <w:style w:type="character" w:styleId="979" w:customStyle="1">
    <w:name w:val="批注框文本 Char"/>
    <w:link w:val="739"/>
    <w:uiPriority w:val="0"/>
    <w:semiHidden/>
    <w:qFormat/>
    <w:rPr>
      <w:rFonts w:ascii="Times New Roman" w:hAnsi="Times New Roman" w:eastAsia="宋体" w:cs="Times New Roman"/>
      <w:sz w:val="18"/>
      <w:szCs w:val="18"/>
    </w:rPr>
  </w:style>
  <w:style w:type="character" w:styleId="980" w:customStyle="1">
    <w:name w:val="页脚 Char"/>
    <w:link w:val="740"/>
    <w:uiPriority w:val="0"/>
    <w:qFormat/>
    <w:rPr>
      <w:rFonts w:ascii="Times New Roman" w:hAnsi="Times New Roman" w:eastAsia="宋体" w:cs="Times New Roman"/>
      <w:sz w:val="18"/>
      <w:szCs w:val="18"/>
    </w:rPr>
  </w:style>
  <w:style w:type="character" w:styleId="981" w:customStyle="1">
    <w:name w:val="页眉 Char"/>
    <w:link w:val="741"/>
    <w:uiPriority w:val="0"/>
    <w:qFormat/>
    <w:rPr>
      <w:rFonts w:ascii="Times New Roman" w:hAnsi="Times New Roman" w:eastAsia="宋体" w:cs="Times New Roman"/>
      <w:sz w:val="18"/>
      <w:szCs w:val="18"/>
    </w:rPr>
  </w:style>
  <w:style w:type="character" w:styleId="982" w:customStyle="1">
    <w:name w:val="正文文本缩进 3 Char"/>
    <w:link w:val="748"/>
    <w:uiPriority w:val="0"/>
    <w:qFormat/>
    <w:rPr>
      <w:rFonts w:ascii="Arial" w:hAnsi="Arial" w:eastAsia="仿宋_GB2312" w:cs="Arial"/>
      <w:color w:val="ffff00"/>
      <w:sz w:val="32"/>
      <w:szCs w:val="32"/>
    </w:rPr>
  </w:style>
  <w:style w:type="character" w:styleId="983" w:customStyle="1">
    <w:name w:val="正文文本 2 Char"/>
    <w:link w:val="752"/>
    <w:uiPriority w:val="0"/>
    <w:qFormat/>
    <w:rPr>
      <w:rFonts w:ascii="楷体_GB2312" w:hAnsi="Times New Roman" w:eastAsia="楷体_GB2312" w:cs="Times New Roman"/>
      <w:sz w:val="28"/>
      <w:szCs w:val="28"/>
    </w:rPr>
  </w:style>
  <w:style w:type="character" w:styleId="984" w:customStyle="1">
    <w:name w:val="批注主题 Char"/>
    <w:link w:val="756"/>
    <w:uiPriority w:val="0"/>
    <w:semiHidden/>
    <w:qFormat/>
    <w:rPr>
      <w:rFonts w:ascii="Times New Roman" w:hAnsi="Times New Roman" w:eastAsia="宋体" w:cs="Times New Roman"/>
      <w:b/>
      <w:bCs/>
      <w:szCs w:val="21"/>
    </w:rPr>
  </w:style>
  <w:style w:type="character" w:styleId="985" w:customStyle="1">
    <w:name w:val="正文首行缩进 Char"/>
    <w:link w:val="757"/>
    <w:uiPriority w:val="0"/>
    <w:qFormat/>
    <w:rPr>
      <w:rFonts w:ascii="仿宋_GB2312" w:hAnsi="Times New Roman" w:eastAsia="仿宋_GB2312" w:cs="Times New Roman"/>
      <w:sz w:val="30"/>
      <w:szCs w:val="30"/>
    </w:rPr>
  </w:style>
  <w:style w:type="character" w:styleId="986" w:customStyle="1">
    <w:name w:val="font5 Char"/>
    <w:uiPriority w:val="0"/>
    <w:qFormat/>
    <w:rPr>
      <w:rFonts w:ascii="宋体" w:hAnsi="宋体" w:eastAsia="宋体"/>
      <w:sz w:val="28"/>
      <w:szCs w:val="28"/>
      <w:lang w:val="en-US" w:eastAsia="zh-CN" w:bidi="ar-SA"/>
    </w:rPr>
  </w:style>
  <w:style w:type="character" w:styleId="987" w:customStyle="1">
    <w:name w:val="二级目录 Char"/>
    <w:link w:val="916"/>
    <w:uiPriority w:val="0"/>
    <w:qFormat/>
    <w:rPr>
      <w:b/>
      <w:sz w:val="30"/>
      <w:szCs w:val="28"/>
    </w:rPr>
  </w:style>
  <w:style w:type="character" w:styleId="988" w:customStyle="1">
    <w:name w:val="列出段落 Char"/>
    <w:link w:val="917"/>
    <w:uiPriority w:val="0"/>
    <w:qFormat/>
    <w:rPr>
      <w:rFonts w:ascii="Calibri" w:hAnsi="Calibri"/>
      <w:sz w:val="24"/>
      <w:szCs w:val="24"/>
      <w:lang w:eastAsia="en-US" w:bidi="en-US"/>
    </w:rPr>
  </w:style>
  <w:style w:type="character" w:styleId="989" w:customStyle="1">
    <w:name w:val="15"/>
    <w:basedOn w:val="717"/>
    <w:uiPriority w:val="0"/>
    <w:qFormat/>
    <w:rPr>
      <w:rFonts w:hint="default" w:ascii="Times New Roman" w:hAnsi="Times New Roman" w:cs="Times New Roman"/>
    </w:rPr>
  </w:style>
  <w:style w:type="character" w:styleId="990" w:customStyle="1">
    <w:name w:val="font11"/>
    <w:basedOn w:val="717"/>
    <w:uiPriority w:val="0"/>
    <w:qFormat/>
    <w:rPr>
      <w:rFonts w:hint="default" w:ascii="仿宋" w:hAnsi="仿宋" w:eastAsia="仿宋" w:cs="仿宋"/>
      <w:b/>
      <w:bCs/>
      <w:color w:val="000000"/>
      <w:sz w:val="24"/>
      <w:szCs w:val="24"/>
      <w:u w:val="none"/>
    </w:rPr>
  </w:style>
  <w:style w:type="character" w:styleId="991" w:customStyle="1">
    <w:name w:val="font21"/>
    <w:basedOn w:val="717"/>
    <w:uiPriority w:val="0"/>
    <w:qFormat/>
    <w:rPr>
      <w:rFonts w:hint="default" w:ascii="仿宋" w:hAnsi="仿宋" w:eastAsia="仿宋" w:cs="仿宋"/>
      <w:color w:val="000000"/>
      <w:sz w:val="24"/>
      <w:szCs w:val="24"/>
      <w:u w:val="none"/>
    </w:rPr>
  </w:style>
  <w:style w:type="character" w:styleId="992" w:customStyle="1">
    <w:name w:val="font31"/>
    <w:basedOn w:val="717"/>
    <w:uiPriority w:val="0"/>
    <w:qFormat/>
    <w:rPr>
      <w:rFonts w:hint="default" w:ascii="仿宋" w:hAnsi="仿宋" w:eastAsia="仿宋" w:cs="仿宋"/>
      <w:color w:val="000000"/>
      <w:sz w:val="21"/>
      <w:szCs w:val="21"/>
      <w:u w:val="none"/>
    </w:rPr>
  </w:style>
  <w:style w:type="table" w:styleId="993" w:customStyle="1">
    <w:name w:val="Table Normal"/>
    <w:uiPriority w:val="0"/>
    <w:qFormat/>
    <w:tblPr>
      <w:tblCellMar>
        <w:left w:w="0" w:type="dxa"/>
        <w:top w:w="0" w:type="dxa"/>
        <w:right w:w="0" w:type="dxa"/>
        <w:bottom w:w="0" w:type="dxa"/>
      </w:tblCellMar>
    </w:tblPr>
  </w:style>
  <w:style w:type="table" w:styleId="994" w:customStyle="1">
    <w:name w:val="网格型1"/>
    <w:basedOn w:val="995"/>
    <w:uiPriority w:val="0"/>
    <w:qFormat/>
    <w:pPr>
      <w:jc w:val="both"/>
      <w:widowControl w:val="off"/>
    </w:pPr>
    <w:tblPr/>
  </w:style>
  <w:style w:type="table" w:styleId="995" w:customStyle="1">
    <w:name w:val="普通表格1"/>
    <w:uiPriority w:val="99"/>
    <w:unhideWhenUsed/>
    <w:qFormat/>
    <w:tblPr/>
  </w:style>
  <w:style w:type="numbering" w:styleId="8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6</cp:revision>
  <dcterms:created xsi:type="dcterms:W3CDTF">2023-03-27T07:28:00Z</dcterms:created>
  <dcterms:modified xsi:type="dcterms:W3CDTF">2026-09-30T05:57:16Z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4982BBD26D584F9AA565D9D131D623C8</vt:lpwstr>
  </property>
  <property fmtid="{D5CDD505-2E9C-101B-9397-08002B2CF9AE}" pid="4" name="KSOTemplateDocerSaveRecord">
    <vt:lpwstr>eyJoZGlkIjoiODY0NDk0N2YxNjcwNDgzYTQzZjEyMWRiZjU1ZGU5NWMiLCJ1c2VySWQiOiIxMTY4NTc2NTI5In0=</vt:lpwstr>
  </property>
</Properties>
</file>