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7"/>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江宁区第二人民医院采购电痉挛治疗仪等医疗设备</w:t>
      </w:r>
      <w:r/>
    </w:p>
    <w:p>
      <w:pPr>
        <w:pStyle w:val="69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7"/>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7"/>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JSZC-320115-DJGS-G2026-0012</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7"/>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人：南京市江宁区第二人民医院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第五章  合同主要条款</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7"/>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7"/>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7"/>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5"/>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江宁区第二人民医院采购电痉挛治疗仪等医疗设备</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JSZC-320115-DJGS-G2026-0012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JSZC-320115-DJGS-G2026-0012</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江宁区第二人民医院采购电痉挛治疗仪等医疗设备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115</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115万元，</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5"/>
        <w:tblW w:w="4509" w:type="pct"/>
        <w:jc w:val="center"/>
        <w:tblLayout w:type="autofit"/>
        <w:tblCellMar>
          <w:left w:w="0" w:type="dxa"/>
          <w:top w:w="0" w:type="dxa"/>
          <w:right w:w="0" w:type="dxa"/>
          <w:bottom w:w="0" w:type="dxa"/>
        </w:tblCellMar>
        <w:tblLook w:val="04A0" w:firstRow="1" w:lastRow="0" w:firstColumn="1" w:lastColumn="0" w:noHBand="0" w:noVBand="1"/>
      </w:tblPr>
      <w:tblGrid>
        <w:gridCol w:w="1441"/>
        <w:gridCol w:w="3075"/>
        <w:gridCol w:w="1383"/>
        <w:gridCol w:w="1360"/>
        <w:gridCol w:w="1433"/>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cs="宋体"/>
                <w:color w:val="000000" w:themeColor="text1"/>
                <w:highlight w:val="none"/>
                <w:lang w:val="en-US" w:eastAsia="zh-CN"/>
                <w14:textFill>
                  <w14:solidFill>
                    <w14:schemeClr w14:val="tx1"/>
                  </w14:solidFill>
                </w14:textFill>
              </w:rPr>
              <w:t xml:space="preserve">包</w:t>
            </w:r>
            <w:r>
              <w:rPr>
                <w:rFonts w:hint="eastAsia" w:ascii="宋体" w:hAnsi="宋体" w:eastAsia="宋体" w:cs="宋体"/>
                <w:color w:val="000000" w:themeColor="text1"/>
                <w:highlight w:val="none"/>
                <w14:textFill>
                  <w14:solidFill>
                    <w14:schemeClr w14:val="tx1"/>
                  </w14:solidFill>
                </w14:textFill>
              </w:rPr>
              <w:t xml:space="preserve">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6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2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68" w:type="pct"/>
            <w:vAlign w:val="center"/>
            <w:textDirection w:val="lrTb"/>
            <w:noWrap w:val="false"/>
          </w:tcPr>
          <w:p>
            <w:pPr>
              <w:jc w:val="center"/>
              <w:spacing w:line="4" w:lineRule="atLeast"/>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电痉挛治疗仪</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2" w:type="pct"/>
            <w:vAlign w:val="center"/>
            <w:textDirection w:val="lrTb"/>
            <w:noWrap w:val="false"/>
          </w:tcPr>
          <w:p>
            <w:pPr>
              <w:jc w:val="center"/>
              <w:spacing w:line="4" w:lineRule="atLeast"/>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批</w:t>
            </w:r>
            <w:bookmarkEnd w:id="3"/>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24"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53</w:t>
            </w:r>
            <w:r/>
          </w:p>
        </w:tc>
      </w:tr>
      <w:tr>
        <w:trPr>
          <w:jc w:val="center"/>
          <w:trHeight w:val="72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spacing w:line="4" w:lineRule="atLeast"/>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6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经颅电刺激仪一批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5" w:type="pct"/>
            <w:vAlign w:val="center"/>
            <w:textDirection w:val="lrTb"/>
            <w:noWrap w:val="false"/>
          </w:tcPr>
          <w:p>
            <w:pPr>
              <w:jc w:val="center"/>
              <w:spacing w:line="4" w:lineRule="atLeast"/>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24"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62</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olor w:val="auto"/>
          <w:highlight w:val="none"/>
        </w:rPr>
        <w:t xml:space="preserve">（1）具有独立承担民事责任的能力（提供法人或者其他组织的营业执照，自然人的身份证明，复印件加盖公章）； </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color w:val="auto"/>
          <w:highlight w:val="none"/>
        </w:rPr>
        <w:t xml:space="preserve">（2）具有良好的商业信誉和健全的财务会计制度</w:t>
      </w:r>
      <w:r>
        <w:rPr>
          <w:rFonts w:hint="eastAsia" w:ascii="宋体" w:hAnsi="宋体" w:eastAsia="宋体" w:cs="宋体"/>
          <w:color w:val="auto"/>
          <w:sz w:val="24"/>
          <w:highlight w:val="none"/>
          <w:shd w:val="clear" w:color="auto" w:fill="ffffff"/>
          <w:lang w:val="zh-CN" w:eastAsia="zh-CN"/>
        </w:rPr>
        <w:t xml:space="preserve">（提供参加本次政府采购活动前6个月内至少一个月份的会计报表（至少包括资产负债表和利润表）复印件或其上一年度经审计的财务报告加盖投标人公章，成立不满6个月的无需提供）</w:t>
      </w:r>
      <w:r>
        <w:rPr>
          <w:rFonts w:hint="eastAsia" w:ascii="宋体" w:hAnsi="宋体"/>
          <w:color w:val="auto"/>
          <w:highlight w:val="none"/>
        </w:rPr>
        <w:t xml:space="preserve">；</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color w:val="auto"/>
          <w:highlight w:val="none"/>
        </w:rPr>
        <w:t xml:space="preserve">（3）具有履行合同所必需的设备和专业技术能力（根据项目需求提供履行合同所必需的设备和专业技术能力的证明材料，复印件加盖公章）；</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color w:val="auto"/>
          <w:highlight w:val="none"/>
        </w:rPr>
        <w:t xml:space="preserve">（4）有依法缴纳税收和社会保障资金的良好记录（提供参加本次政府采购活动前半年内（至少一个月）依法缴纳税收和社会保障资金的相关资料，复印件加盖公章）；</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color w:val="auto"/>
          <w:highlight w:val="none"/>
        </w:rPr>
        <w:t xml:space="preserve">（5）参加政府采购活动前三年内，在经营活动中没有重大违法记录（提供参加本次政府采购活动前3年内在经营活动中没有重大违法记录的书面声明的原件）（格式见后附件）；</w:t>
      </w:r>
      <w:r/>
    </w:p>
    <w:p>
      <w:pPr>
        <w:ind w:firstLine="480"/>
        <w:keepLines w:val="0"/>
        <w:keepNext w:val="0"/>
        <w:pageBreakBefore w:val="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olor w:val="auto"/>
          <w:highlight w:val="none"/>
        </w:rPr>
        <w:t xml:space="preserve">（6）法律、行政法规规定的其他条件。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17"/>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w:t>
      </w:r>
      <w:bookmarkStart w:id="96" w:name="_GoBack"/>
      <w:r/>
      <w:bookmarkEnd w:id="96"/>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称：南京市江宁区第二人民医院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址：江宁区上坊</w:t>
      </w:r>
      <w:r>
        <w:rPr>
          <w:rFonts w:hint="eastAsia" w:ascii="宋体" w:hAnsi="宋体" w:cs="宋体"/>
          <w:bCs/>
          <w:color w:val="000000" w:themeColor="text1"/>
          <w:szCs w:val="21"/>
          <w:highlight w:val="none"/>
          <w:lang w:val="en-US" w:eastAsia="zh-CN"/>
          <w14:textFill>
            <w14:solidFill>
              <w14:schemeClr w14:val="tx1"/>
            </w14:solidFill>
          </w14:textFill>
        </w:rPr>
        <w:t xml:space="preserve">社区</w:t>
      </w:r>
      <w:r>
        <w:rPr>
          <w:rFonts w:hint="eastAsia" w:ascii="宋体" w:hAnsi="宋体" w:eastAsia="宋体" w:cs="宋体"/>
          <w:bCs/>
          <w:color w:val="000000" w:themeColor="text1"/>
          <w:szCs w:val="21"/>
          <w:highlight w:val="none"/>
          <w14:textFill>
            <w14:solidFill>
              <w14:schemeClr w14:val="tx1"/>
            </w14:solidFill>
          </w14:textFill>
        </w:rPr>
        <w:t xml:space="preserve">陈陵路50号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5"/>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称：南京市江宁区第二人民医院</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址：江宁区上坊</w:t>
            </w:r>
            <w:r>
              <w:rPr>
                <w:rFonts w:hint="eastAsia" w:ascii="宋体" w:hAnsi="宋体" w:cs="宋体"/>
                <w:color w:val="000000" w:themeColor="text1"/>
                <w:highlight w:val="none"/>
                <w:lang w:val="en-US" w:eastAsia="zh-CN"/>
                <w14:textFill>
                  <w14:solidFill>
                    <w14:schemeClr w14:val="tx1"/>
                  </w14:solidFill>
                </w14:textFill>
              </w:rPr>
              <w:t xml:space="preserve">社区</w:t>
            </w:r>
            <w:r>
              <w:rPr>
                <w:rFonts w:hint="eastAsia" w:ascii="宋体" w:hAnsi="宋体" w:eastAsia="宋体" w:cs="宋体"/>
                <w:color w:val="000000" w:themeColor="text1"/>
                <w:highlight w:val="none"/>
                <w14:textFill>
                  <w14:solidFill>
                    <w14:schemeClr w14:val="tx1"/>
                  </w14:solidFill>
                </w14:textFill>
              </w:rPr>
              <w:t xml:space="preserve">陈陵路50号</w:t>
            </w:r>
            <w:r/>
          </w:p>
          <w:p>
            <w:pP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杨主任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进口产品</w:t>
            </w:r>
            <w:r/>
          </w:p>
        </w:tc>
        <w:tc>
          <w:tcPr>
            <w:tcW w:w="5459" w:type="dxa"/>
            <w:vAlign w:val="center"/>
            <w:textDirection w:val="lrTb"/>
            <w:noWrap w:val="false"/>
          </w:tcPr>
          <w:p>
            <w:pPr>
              <w:spacing w:line="276" w:lineRule="auto"/>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包2不接受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23</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8539"/>
      <w:r/>
      <w:bookmarkStart w:id="6" w:name="_Toc19726"/>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0044"/>
      <w:r/>
      <w:bookmarkStart w:id="8" w:name="_Toc3951"/>
      <w:r/>
      <w:bookmarkStart w:id="9" w:name="_Toc513029204"/>
      <w:r/>
      <w:bookmarkStart w:id="10" w:name="_Toc20823276"/>
      <w:r/>
      <w:bookmarkStart w:id="11" w:name="_Toc16938520"/>
      <w:r/>
      <w:bookmarkStart w:id="12" w:name="_Toc458694821"/>
      <w:r/>
      <w:bookmarkStart w:id="13" w:name="_Toc24947"/>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14" w:name="_Toc10994"/>
      <w:r/>
      <w:bookmarkStart w:id="15" w:name="_Toc1717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eastAsia="宋体" w:cs="宋体"/>
          <w:b/>
          <w:color w:val="000000" w:themeColor="text1"/>
          <w:highlight w:val="none"/>
          <w:u w:val="single"/>
          <w:lang w:eastAsia="zh-CN"/>
          <w14:textFill>
            <w14:solidFill>
              <w14:schemeClr w14:val="tx1"/>
            </w14:solidFill>
          </w14:textFill>
        </w:rPr>
        <w:t xml:space="preserve">南京市江宁区第二人民医院</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18001"/>
      <w:r/>
      <w:bookmarkStart w:id="17" w:name="_Toc25880"/>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462564067"/>
      <w:r/>
      <w:bookmarkStart w:id="19" w:name="_Toc16938523"/>
      <w:r/>
      <w:bookmarkStart w:id="20" w:name="_Toc20823279"/>
      <w:r/>
      <w:bookmarkStart w:id="21" w:name="_Toc4759"/>
      <w:r/>
      <w:bookmarkStart w:id="22" w:name="_Toc513029207"/>
      <w:r/>
      <w:bookmarkStart w:id="23" w:name="_Toc25651"/>
      <w:r/>
      <w:bookmarkStart w:id="24" w:name="_Toc17711"/>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20614215"/>
      <w:r/>
      <w:bookmarkStart w:id="28" w:name="_Toc11232"/>
      <w:r/>
      <w:bookmarkStart w:id="29" w:name="_Toc513029209"/>
      <w:r/>
      <w:bookmarkStart w:id="30" w:name="_Toc15035"/>
      <w:r/>
      <w:bookmarkStart w:id="31" w:name="_Toc20823281"/>
      <w:r/>
      <w:bookmarkStart w:id="32" w:name="_Toc16938525"/>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31631"/>
      <w:r/>
      <w:bookmarkStart w:id="34" w:name="_Toc20823282"/>
      <w:r/>
      <w:bookmarkStart w:id="35" w:name="_Toc513029210"/>
      <w:r/>
      <w:bookmarkStart w:id="36" w:name="_Toc16938526"/>
      <w:r/>
      <w:bookmarkStart w:id="37" w:name="_Toc2899"/>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评标标准</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合同主要条款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9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14415"/>
      <w:r/>
      <w:bookmarkStart w:id="39" w:name="_Toc24838"/>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30894"/>
      <w:r/>
      <w:bookmarkStart w:id="46" w:name="_Toc11547"/>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1"/>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31206"/>
      <w:r/>
      <w:bookmarkStart w:id="50" w:name="_Toc15215"/>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w:t>
      </w:r>
      <w:r>
        <w:rPr>
          <w:rFonts w:hint="eastAsia" w:ascii="宋体" w:hAnsi="宋体" w:cs="宋体"/>
          <w:bCs/>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Cs w:val="21"/>
          <w:highlight w:val="none"/>
          <w14:textFill>
            <w14:solidFill>
              <w14:schemeClr w14:val="tx1"/>
            </w14:solidFill>
          </w14:textFill>
        </w:rPr>
        <w:t xml:space="preserve">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w:t>
      </w:r>
      <w:r>
        <w:rPr>
          <w:rFonts w:hint="eastAsia" w:ascii="宋体" w:hAnsi="宋体" w:cs="宋体"/>
          <w:bCs/>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Cs w:val="21"/>
          <w:highlight w:val="none"/>
          <w14:textFill>
            <w14:solidFill>
              <w14:schemeClr w14:val="tx1"/>
            </w14:solidFill>
          </w14:textFill>
        </w:rPr>
        <w:t xml:space="preserve">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w:t>
      </w:r>
      <w:r>
        <w:rPr>
          <w:rFonts w:hint="eastAsia" w:ascii="宋体" w:hAnsi="宋体" w:cs="宋体"/>
          <w:bCs/>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Cs w:val="21"/>
          <w:highlight w:val="none"/>
          <w14:textFill>
            <w14:solidFill>
              <w14:schemeClr w14:val="tx1"/>
            </w14:solidFill>
          </w14:textFill>
        </w:rPr>
        <w:t xml:space="preserve">和</w:t>
      </w:r>
      <w:r>
        <w:rPr>
          <w:rFonts w:hint="eastAsia" w:ascii="宋体" w:hAnsi="宋体" w:cs="宋体"/>
          <w:bCs/>
          <w:color w:val="000000" w:themeColor="text1"/>
          <w:szCs w:val="21"/>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Cs w:val="21"/>
          <w:highlight w:val="none"/>
          <w14:textFill>
            <w14:solidFill>
              <w14:schemeClr w14:val="tx1"/>
            </w14:solidFill>
          </w14:textFill>
        </w:rPr>
        <w:t xml:space="preserve">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w:t>
      </w:r>
      <w:r>
        <w:rPr>
          <w:rFonts w:hint="eastAsia" w:ascii="宋体" w:hAnsi="宋体" w:cs="宋体"/>
          <w:bCs/>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Cs w:val="21"/>
          <w:highlight w:val="none"/>
          <w14:textFill>
            <w14:solidFill>
              <w14:schemeClr w14:val="tx1"/>
            </w14:solidFill>
          </w14:textFill>
        </w:rPr>
        <w:t xml:space="preserve">要求的证明文件，以及对服务的详细说明，这些文件可以是文字资料、图纸和数据等。提供的服务如与</w:t>
      </w:r>
      <w:r>
        <w:rPr>
          <w:rFonts w:hint="eastAsia" w:ascii="宋体" w:hAnsi="宋体" w:cs="宋体"/>
          <w:bCs/>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Cs w:val="21"/>
          <w:highlight w:val="none"/>
          <w14:textFill>
            <w14:solidFill>
              <w14:schemeClr w14:val="tx1"/>
            </w14:solidFill>
          </w14:textFill>
        </w:rPr>
        <w:t xml:space="preserve">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16938541"/>
      <w:r/>
      <w:bookmarkStart w:id="56" w:name="_Toc513029225"/>
      <w:r/>
      <w:bookmarkStart w:id="57" w:name="_Toc462564084"/>
      <w:r/>
      <w:bookmarkStart w:id="58" w:name="_Toc20823297"/>
      <w:r/>
      <w:bookmarkStart w:id="59" w:name="_Toc415"/>
      <w:r/>
      <w:bookmarkStart w:id="60" w:name="_Toc15509"/>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16938543"/>
      <w:r/>
      <w:bookmarkStart w:id="64" w:name="_Toc20823299"/>
      <w:r/>
      <w:bookmarkStart w:id="65" w:name="_Toc513029227"/>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16938544"/>
      <w:r/>
      <w:bookmarkStart w:id="67" w:name="_Toc513029228"/>
      <w:r/>
      <w:bookmarkStart w:id="68" w:name="_Toc20823300"/>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3"/>
      <w:r/>
      <w:bookmarkStart w:id="70" w:name="_Toc15345"/>
      <w:r/>
      <w:bookmarkStart w:id="71" w:name="_Toc13829"/>
      <w:r/>
      <w:bookmarkStart w:id="72" w:name="OLE_LINK7"/>
      <w:r/>
      <w:bookmarkStart w:id="73" w:name="_Toc3679"/>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16938547"/>
      <w:r/>
      <w:bookmarkStart w:id="78" w:name="_Toc29284"/>
      <w:r/>
      <w:bookmarkStart w:id="79" w:name="_Toc20823303"/>
      <w:r/>
      <w:bookmarkStart w:id="80" w:name="_Toc513029231"/>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w:t>
      </w:r>
      <w:r>
        <w:rPr>
          <w:rFonts w:hint="eastAsia" w:ascii="宋体" w:hAnsi="宋体" w:cs="宋体"/>
          <w:bCs/>
          <w:color w:val="000000" w:themeColor="text1"/>
          <w:highlight w:val="none"/>
          <w:lang w:val="en-US" w:eastAsia="zh-CN"/>
          <w14:textFill>
            <w14:solidFill>
              <w14:schemeClr w14:val="tx1"/>
            </w14:solidFill>
          </w14:textFill>
        </w:rPr>
        <w:t xml:space="preserve">6</w:t>
      </w:r>
      <w:r>
        <w:rPr>
          <w:rFonts w:hint="eastAsia" w:ascii="宋体" w:hAnsi="宋体" w:eastAsia="宋体" w:cs="宋体"/>
          <w:bCs/>
          <w:color w:val="000000" w:themeColor="text1"/>
          <w:highlight w:val="none"/>
          <w14:textFill>
            <w14:solidFill>
              <w14:schemeClr w14:val="tx1"/>
            </w14:solidFill>
          </w14:textFill>
        </w:rPr>
        <w:t xml:space="preserve">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8327"/>
      <w:r/>
      <w:bookmarkStart w:id="85" w:name="_Toc12294"/>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3"/>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1"/>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7"/>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bookmarkStart w:id="90" w:name="_Toc136608882"/>
      <w:r/>
      <w:r/>
    </w:p>
    <w:p>
      <w:pPr>
        <w:pStyle w:val="677"/>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rPr>
          <w:rFonts w:hint="eastAsia"/>
        </w:rPr>
      </w:pPr>
      <w:r>
        <w:rPr>
          <w:rFonts w:hint="eastAsia"/>
        </w:rPr>
      </w:r>
      <w:r/>
    </w:p>
    <w:p>
      <w:pPr>
        <w:pStyle w:val="67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5"/>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271"/>
        <w:gridCol w:w="1698"/>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7271"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1698"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7271"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3"/>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7271" w:type="dxa"/>
            <w:vAlign w:val="top"/>
            <w:textDirection w:val="lrTb"/>
            <w:noWrap w:val="false"/>
          </w:tcPr>
          <w:p>
            <w:pPr>
              <w:numPr>
                <w:ilvl w:val="0"/>
                <w:numId w:val="0"/>
              </w:num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cs="宋体"/>
                <w:color w:val="000000" w:themeColor="text1"/>
                <w:highlight w:val="none"/>
                <w:lang w:val="en-US" w:eastAsia="zh-CN"/>
                <w14:textFill>
                  <w14:solidFill>
                    <w14:schemeClr w14:val="tx1"/>
                  </w14:solidFill>
                </w14:textFill>
              </w:rPr>
              <w:t xml:space="preserve">30.4</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0.8</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numPr>
                <w:ilvl w:val="0"/>
                <w:numId w:val="0"/>
              </w:num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包2</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cs="宋体"/>
                <w:color w:val="000000" w:themeColor="text1"/>
                <w:highlight w:val="none"/>
                <w:lang w:val="en-US" w:eastAsia="zh-CN"/>
                <w14:textFill>
                  <w14:solidFill>
                    <w14:schemeClr w14:val="tx1"/>
                  </w14:solidFill>
                </w14:textFill>
              </w:rPr>
              <w:t xml:space="preserve">32</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698" w:type="dxa"/>
            <w:vAlign w:val="center"/>
            <w:textDirection w:val="lrTb"/>
            <w:noWrap w:val="false"/>
          </w:tcPr>
          <w:p>
            <w:pPr>
              <w:jc w:val="center"/>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包1：30.4分；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包2：32分</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7271"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7271"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w:t>
            </w:r>
            <w:r/>
          </w:p>
          <w:p>
            <w:pPr>
              <w:pStyle w:val="697"/>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265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727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7271"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7271"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27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包1：</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4.6</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包2：</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1698" w:type="dxa"/>
            <w:vAlign w:val="center"/>
            <w:textDirection w:val="lrTb"/>
            <w:noWrap w:val="false"/>
          </w:tcPr>
          <w:p>
            <w:pPr>
              <w:jc w:val="center"/>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包1：4.6分</w:t>
            </w:r>
            <w:r/>
          </w:p>
          <w:p>
            <w:pPr>
              <w:jc w:val="center"/>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包2：3分</w:t>
            </w:r>
            <w:r/>
          </w:p>
        </w:tc>
      </w:tr>
      <w:tr>
        <w:trPr/>
        <w:tc>
          <w:tcPr>
            <w:tcW w:w="789"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7271"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1698"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第四章  </w:t>
      </w:r>
      <w:bookmarkStart w:id="91" w:name="_Toc24432"/>
      <w:r/>
      <w:bookmarkStart w:id="92" w:name="_Toc23314"/>
      <w:r/>
      <w:bookmarkStart w:id="93" w:name="_Toc215"/>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采购需求</w:t>
      </w:r>
      <w:r/>
    </w:p>
    <w:p>
      <w:pPr>
        <w:ind w:firstLine="482"/>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江宁区第二人民医院采购电痉挛治疗仪等医疗设备，拟采购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，供应商负责全部货物的供货、运输、安装、调试、配合招标人验收、技术培训、售后及质保等全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bCs/>
          <w:color w:val="000000" w:themeColor="text1"/>
          <w:sz w:val="24"/>
          <w:szCs w:val="24"/>
          <w:lang w:eastAsia="zh-CN"/>
          <w14:textFill>
            <w14:solidFill>
              <w14:schemeClr w14:val="tx1"/>
            </w14:solidFill>
          </w14:textFill>
        </w:rPr>
        <w:t xml:space="preserve">(投标人在投标文件中体现对质保期限的响应且需要提供生产厂家的质保材料)。</w:t>
      </w:r>
      <w:r/>
    </w:p>
    <w:p>
      <w:pPr>
        <w:pStyle w:val="690"/>
        <w:ind w:firstLine="482"/>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响应时间：</w:t>
      </w:r>
      <w:r>
        <w:rPr>
          <w:rFonts w:hint="eastAsia" w:ascii="宋体" w:hAnsi="宋体" w:cs="宋体"/>
          <w:color w:val="000000" w:themeColor="text1"/>
          <w:sz w:val="24"/>
          <w:szCs w:val="24"/>
          <w:lang w:eastAsia="zh-CN"/>
          <w14:textFill>
            <w14:solidFill>
              <w14:schemeClr w14:val="tx1"/>
            </w14:solidFill>
          </w14:textFill>
        </w:rPr>
        <w:t xml:space="preserve">设备发生故障或异常时</w:t>
      </w:r>
      <w:r>
        <w:rPr>
          <w:rFonts w:hint="eastAsia"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lang w:eastAsia="zh-CN"/>
          <w14:textFill>
            <w14:solidFill>
              <w14:schemeClr w14:val="tx1"/>
            </w14:solidFill>
          </w14:textFill>
        </w:rPr>
        <w:t xml:space="preserve">小时内做出响应，24小时内完成修复</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投标人在售后服务承诺书中体现对售后响应时间的承诺</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w:t>
      </w:r>
      <w:r/>
    </w:p>
    <w:p>
      <w:pPr>
        <w:pStyle w:val="690"/>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4、付款方式：</w:t>
      </w:r>
      <w:bookmarkStart w:id="95" w:name="_Toc35780514"/>
      <w:r>
        <w:rPr>
          <w:rFonts w:hint="eastAsia" w:ascii="宋体" w:hAnsi="宋体" w:cs="宋体"/>
          <w:b/>
          <w:bCs/>
          <w:color w:val="000000" w:themeColor="text1"/>
          <w:sz w:val="24"/>
          <w:szCs w:val="24"/>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4"/>
          <w:szCs w:val="24"/>
          <w:lang w:val="en-US" w:eastAsia="zh-CN"/>
          <w14:textFill>
            <w14:solidFill>
              <w14:schemeClr w14:val="tx1"/>
            </w14:solidFill>
          </w14:textFill>
        </w:rPr>
        <w:t xml:space="preserve">50</w:t>
      </w:r>
      <w:r>
        <w:rPr>
          <w:rFonts w:hint="eastAsia" w:ascii="宋体" w:hAnsi="宋体" w:cs="宋体"/>
          <w:b/>
          <w:bCs/>
          <w:color w:val="000000" w:themeColor="text1"/>
          <w:sz w:val="24"/>
          <w:szCs w:val="24"/>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4"/>
          <w:szCs w:val="24"/>
          <w:lang w:val="en-US" w:eastAsia="zh-CN"/>
          <w14:textFill>
            <w14:solidFill>
              <w14:schemeClr w14:val="tx1"/>
            </w14:solidFill>
          </w14:textFill>
        </w:rPr>
        <w:t xml:space="preserve">5</w:t>
      </w:r>
      <w:r>
        <w:rPr>
          <w:rFonts w:hint="eastAsia" w:ascii="宋体" w:hAnsi="宋体" w:cs="宋体"/>
          <w:b/>
          <w:bCs/>
          <w:color w:val="000000" w:themeColor="text1"/>
          <w:sz w:val="24"/>
          <w:szCs w:val="24"/>
          <w:lang w:eastAsia="zh-CN"/>
          <w14:textFill>
            <w14:solidFill>
              <w14:schemeClr w14:val="tx1"/>
            </w14:solidFill>
          </w14:textFill>
        </w:rPr>
        <w:t xml:space="preserve">0%的余款。</w:t>
      </w:r>
      <w:r/>
    </w:p>
    <w:p>
      <w:pPr>
        <w:pStyle w:val="878"/>
        <w:keepLines w:val="0"/>
        <w:keepNext w:val="0"/>
        <w:pageBreakBefore w:val="0"/>
        <w:spacing w:line="360" w:lineRule="auto"/>
        <w:rPr>
          <w:rFonts w:hint="default" w:ascii="宋体" w:hAnsi="宋体" w:eastAsia="宋体" w:cs="宋体"/>
          <w:b/>
          <w:bCs/>
          <w:color w:val="000000" w:themeColor="text1"/>
          <w:sz w:val="24"/>
          <w:szCs w:val="24"/>
          <w:lang w:val="en-US" w:eastAsia="zh-CN" w:bidi="ar-SA"/>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 xml:space="preserve">5</w:t>
      </w:r>
      <w:r>
        <w:rPr>
          <w:rFonts w:hint="eastAsia" w:ascii="宋体" w:hAnsi="宋体" w:cs="宋体"/>
          <w:b/>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bidi="en-US"/>
          <w14:textFill>
            <w14:solidFill>
              <w14:schemeClr w14:val="tx1"/>
            </w14:solidFill>
          </w14:textFill>
        </w:rPr>
        <w:t xml:space="preserve">所投产品需取得该产品的允许销售证明。(投标时提供承诺函，中标后提供允许销售证明原件)</w:t>
      </w:r>
      <w:r>
        <w:rPr>
          <w:rFonts w:hint="eastAsia" w:eastAsia="宋体" w:cs="宋体"/>
          <w:b/>
          <w:bCs/>
          <w:color w:val="000000" w:themeColor="text1"/>
          <w:sz w:val="24"/>
          <w:szCs w:val="24"/>
          <w:lang w:val="en-US" w:eastAsia="zh-CN" w:bidi="ar-SA"/>
          <w14:textFill>
            <w14:solidFill>
              <w14:schemeClr w14:val="tx1"/>
            </w14:solidFill>
          </w14:textFill>
        </w:rPr>
        <w:t xml:space="preserve">。</w:t>
      </w:r>
      <w:r/>
    </w:p>
    <w:p>
      <w:pPr>
        <w:ind w:firstLine="422"/>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bidi="en-US"/>
          <w14:textFill>
            <w14:solidFill>
              <w14:schemeClr w14:val="tx1"/>
            </w14:solidFill>
          </w14:textFill>
        </w:rPr>
        <w:t xml:space="preserve">★</w:t>
      </w:r>
      <w:r>
        <w:rPr>
          <w:rFonts w:hint="eastAsia" w:eastAsia="宋体" w:cs="宋体"/>
          <w:b/>
          <w:bCs/>
          <w:color w:val="000000" w:themeColor="text1"/>
          <w:sz w:val="24"/>
          <w:szCs w:val="24"/>
          <w:lang w:val="en-US" w:eastAsia="zh-CN" w:bidi="en-US"/>
          <w14:textFill>
            <w14:solidFill>
              <w14:schemeClr w14:val="tx1"/>
            </w14:solidFill>
          </w14:textFill>
        </w:rPr>
        <w:t xml:space="preserve">6、供应商</w:t>
      </w:r>
      <w:r>
        <w:rPr>
          <w:rFonts w:hint="default" w:eastAsia="宋体" w:cs="宋体"/>
          <w:b/>
          <w:bCs/>
          <w:color w:val="000000" w:themeColor="text1"/>
          <w:sz w:val="24"/>
          <w:szCs w:val="24"/>
          <w:lang w:val="en-US" w:eastAsia="zh-CN" w:bidi="en-US"/>
          <w14:textFill>
            <w14:solidFill>
              <w14:schemeClr w14:val="tx1"/>
            </w14:solidFill>
          </w14:textFill>
        </w:rPr>
        <w:t xml:space="preserve">投标产品如果属于医疗器械注册范畴的，根据注册的类别，投标人</w:t>
      </w:r>
      <w:r>
        <w:rPr>
          <w:rFonts w:hint="eastAsia" w:eastAsia="宋体" w:cs="宋体"/>
          <w:b/>
          <w:bCs/>
          <w:color w:val="000000" w:themeColor="text1"/>
          <w:sz w:val="24"/>
          <w:szCs w:val="24"/>
          <w:lang w:val="en-US" w:eastAsia="zh-CN" w:bidi="en-US"/>
          <w14:textFill>
            <w14:solidFill>
              <w14:schemeClr w14:val="tx1"/>
            </w14:solidFill>
          </w14:textFill>
        </w:rPr>
        <w:t xml:space="preserve">必须</w:t>
      </w:r>
      <w:r>
        <w:rPr>
          <w:rFonts w:hint="default" w:eastAsia="宋体" w:cs="宋体"/>
          <w:b/>
          <w:bCs/>
          <w:color w:val="000000" w:themeColor="text1"/>
          <w:sz w:val="24"/>
          <w:szCs w:val="24"/>
          <w:lang w:val="en-US" w:eastAsia="zh-CN" w:bidi="en-US"/>
          <w14:textFill>
            <w14:solidFill>
              <w14:schemeClr w14:val="tx1"/>
            </w14:solidFill>
          </w14:textFill>
        </w:rPr>
        <w:t xml:space="preserve">具有《医疗器械经营许可证》或者《医疗器械经营备案凭证》；投标产品具有《医疗器械注册证》或者《医疗器械备案凭证》（复印件加盖公章）；</w:t>
      </w:r>
      <w:r>
        <w:rPr>
          <w:rFonts w:hint="eastAsia" w:eastAsia="宋体" w:cs="宋体"/>
          <w:b/>
          <w:bCs/>
          <w:color w:val="000000" w:themeColor="text1"/>
          <w:sz w:val="24"/>
          <w:szCs w:val="24"/>
          <w:lang w:val="en-US" w:eastAsia="zh-CN" w:bidi="en-US"/>
          <w14:textFill>
            <w14:solidFill>
              <w14:schemeClr w14:val="tx1"/>
            </w14:solidFill>
          </w14:textFill>
        </w:rPr>
        <w:t xml:space="preserve">且投标产品的信息必须与</w:t>
      </w:r>
      <w:r>
        <w:rPr>
          <w:rFonts w:hint="default" w:eastAsia="宋体" w:cs="宋体"/>
          <w:b/>
          <w:bCs/>
          <w:color w:val="000000" w:themeColor="text1"/>
          <w:sz w:val="24"/>
          <w:szCs w:val="24"/>
          <w:lang w:val="en-US" w:eastAsia="zh-CN" w:bidi="en-US"/>
          <w14:textFill>
            <w14:solidFill>
              <w14:schemeClr w14:val="tx1"/>
            </w14:solidFill>
          </w14:textFill>
        </w:rPr>
        <w:t xml:space="preserve">《医疗器械注册证》或者《医疗器械备案凭证》</w:t>
      </w:r>
      <w:r>
        <w:rPr>
          <w:rFonts w:hint="eastAsia" w:eastAsia="宋体" w:cs="宋体"/>
          <w:b/>
          <w:bCs/>
          <w:color w:val="000000" w:themeColor="text1"/>
          <w:sz w:val="24"/>
          <w:szCs w:val="24"/>
          <w:lang w:val="en-US" w:eastAsia="zh-CN" w:bidi="en-US"/>
          <w14:textFill>
            <w14:solidFill>
              <w14:schemeClr w14:val="tx1"/>
            </w14:solidFill>
          </w14:textFill>
        </w:rPr>
        <w:t xml:space="preserve">一致。否则做无效标处理。</w:t>
      </w:r>
      <w:r/>
    </w:p>
    <w:p>
      <w:pPr>
        <w:ind w:firstLine="482"/>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三、采购清单</w:t>
      </w:r>
      <w:r/>
    </w:p>
    <w:p>
      <w:pPr>
        <w:numPr>
          <w:ilvl w:val="0"/>
          <w:numId w:val="0"/>
        </w:numPr>
        <w:ind w:left="482"/>
        <w:jc w:val="center"/>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采购清单</w:t>
      </w:r>
      <w:r/>
    </w:p>
    <w:tbl>
      <w:tblPr>
        <w:tblStyle w:val="685"/>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1284"/>
        <w:gridCol w:w="1200"/>
        <w:gridCol w:w="1874"/>
      </w:tblGrid>
      <w:tr>
        <w:trPr>
          <w:jc w:val="center"/>
          <w:trHeight w:val="789"/>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pacing w:val="-2"/>
                <w:sz w:val="24"/>
                <w:szCs w:val="24"/>
                <w:highlight w:val="none"/>
                <w14:textFill>
                  <w14:solidFill>
                    <w14:schemeClr w14:val="tx1"/>
                  </w14:solidFill>
                </w14:textFill>
              </w:rPr>
              <w:t xml:space="preserve">产品名称</w:t>
            </w:r>
            <w:r/>
          </w:p>
        </w:tc>
        <w:tc>
          <w:tcPr>
            <w:tcW w:w="1284"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pacing w:val="-5"/>
                <w:sz w:val="24"/>
                <w:szCs w:val="24"/>
                <w:highlight w:val="none"/>
                <w14:textFill>
                  <w14:solidFill>
                    <w14:schemeClr w14:val="tx1"/>
                  </w14:solidFill>
                </w14:textFill>
              </w:rPr>
              <w:t xml:space="preserve">数</w:t>
            </w:r>
            <w:r>
              <w:rPr>
                <w:rFonts w:hint="eastAsia" w:ascii="宋体" w:hAnsi="宋体" w:eastAsia="宋体" w:cs="宋体"/>
                <w:b/>
                <w:color w:val="000000" w:themeColor="text1"/>
                <w:spacing w:val="-4"/>
                <w:sz w:val="24"/>
                <w:szCs w:val="24"/>
                <w:highlight w:val="none"/>
                <w14:textFill>
                  <w14:solidFill>
                    <w14:schemeClr w14:val="tx1"/>
                  </w14:solidFill>
                </w14:textFill>
              </w:rPr>
              <w:t xml:space="preserve">量</w:t>
            </w:r>
            <w:r/>
          </w:p>
        </w:tc>
        <w:tc>
          <w:tcPr>
            <w:tcW w:w="1200"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4"/>
                <w:szCs w:val="24"/>
                <w:highlight w:val="none"/>
                <w14:textFill>
                  <w14:solidFill>
                    <w14:schemeClr w14:val="tx1"/>
                  </w14:solidFill>
                </w14:textFill>
              </w:rPr>
            </w:pPr>
            <w:r>
              <w:rPr>
                <w:rFonts w:hint="eastAsia" w:ascii="宋体" w:hAnsi="宋体" w:eastAsia="宋体" w:cs="宋体"/>
                <w:b/>
                <w:color w:val="000000" w:themeColor="text1"/>
                <w:spacing w:val="-5"/>
                <w:sz w:val="24"/>
                <w:szCs w:val="24"/>
                <w:highlight w:val="none"/>
                <w14:textFill>
                  <w14:solidFill>
                    <w14:schemeClr w14:val="tx1"/>
                  </w14:solidFill>
                </w14:textFill>
              </w:rPr>
              <w:t xml:space="preserve">单</w:t>
            </w:r>
            <w:r>
              <w:rPr>
                <w:rFonts w:hint="eastAsia" w:ascii="宋体" w:hAnsi="宋体" w:eastAsia="宋体" w:cs="宋体"/>
                <w:b/>
                <w:color w:val="000000" w:themeColor="text1"/>
                <w:spacing w:val="-4"/>
                <w:sz w:val="24"/>
                <w:szCs w:val="24"/>
                <w:highlight w:val="none"/>
                <w14:textFill>
                  <w14:solidFill>
                    <w14:schemeClr w14:val="tx1"/>
                  </w14:solidFill>
                </w14:textFill>
              </w:rPr>
              <w:t xml:space="preserve">位</w:t>
            </w:r>
            <w:r/>
          </w:p>
        </w:tc>
        <w:tc>
          <w:tcPr>
            <w:tcW w:w="1874"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4"/>
                <w:szCs w:val="24"/>
                <w:highlight w:val="none"/>
                <w14:textFill>
                  <w14:solidFill>
                    <w14:schemeClr w14:val="tx1"/>
                  </w14:solidFill>
                </w14:textFill>
              </w:rPr>
            </w:pPr>
            <w:r>
              <w:rPr>
                <w:rFonts w:hint="eastAsia" w:ascii="宋体" w:hAnsi="宋体" w:eastAsia="宋体" w:cs="宋体"/>
                <w:b/>
                <w:color w:val="000000" w:themeColor="text1"/>
                <w:spacing w:val="-4"/>
                <w:sz w:val="24"/>
                <w:szCs w:val="24"/>
                <w:highlight w:val="none"/>
                <w14:textFill>
                  <w14:solidFill>
                    <w14:schemeClr w14:val="tx1"/>
                  </w14:solidFill>
                </w14:textFill>
              </w:rPr>
              <w:t xml:space="preserve">最</w:t>
            </w:r>
            <w:r>
              <w:rPr>
                <w:rFonts w:hint="eastAsia" w:ascii="宋体" w:hAnsi="宋体" w:eastAsia="宋体" w:cs="宋体"/>
                <w:b/>
                <w:color w:val="000000" w:themeColor="text1"/>
                <w:spacing w:val="-3"/>
                <w:sz w:val="24"/>
                <w:szCs w:val="24"/>
                <w:highlight w:val="none"/>
                <w14:textFill>
                  <w14:solidFill>
                    <w14:schemeClr w14:val="tx1"/>
                  </w14:solidFill>
                </w14:textFill>
              </w:rPr>
              <w:t xml:space="preserve">高</w:t>
            </w:r>
            <w:r>
              <w:rPr>
                <w:rFonts w:hint="eastAsia" w:ascii="宋体" w:hAnsi="宋体" w:eastAsia="宋体" w:cs="宋体"/>
                <w:b/>
                <w:color w:val="000000" w:themeColor="text1"/>
                <w:spacing w:val="-2"/>
                <w:sz w:val="24"/>
                <w:szCs w:val="24"/>
                <w:highlight w:val="none"/>
                <w14:textFill>
                  <w14:solidFill>
                    <w14:schemeClr w14:val="tx1"/>
                  </w14:solidFill>
                </w14:textFill>
              </w:rPr>
              <w:t xml:space="preserve">限价</w:t>
            </w:r>
            <w:r/>
          </w:p>
          <w:p>
            <w:pPr>
              <w:pStyle w:val="678"/>
              <w:jc w:val="center"/>
              <w:spacing w:line="240" w:lineRule="auto"/>
              <w:widowControl w:val="off"/>
              <w:rPr>
                <w:rFonts w:hint="eastAsia" w:ascii="宋体" w:hAnsi="宋体" w:eastAsia="宋体" w:cs="宋体"/>
                <w:color w:val="000000" w:themeColor="text1"/>
                <w:sz w:val="24"/>
                <w:szCs w:val="24"/>
                <w:highlight w:val="none"/>
                <w:lang w:val="en-US" w:eastAsia="en-US" w:bidi="en-US"/>
                <w14:textFill>
                  <w14:solidFill>
                    <w14:schemeClr w14:val="tx1"/>
                  </w14:solidFill>
                </w14:textFill>
              </w:rPr>
            </w:pPr>
            <w:r>
              <w:rPr>
                <w:rFonts w:hint="eastAsia" w:ascii="宋体" w:hAnsi="宋体" w:eastAsia="宋体" w:cs="宋体"/>
                <w:color w:val="000000" w:themeColor="text1"/>
                <w:sz w:val="24"/>
                <w:szCs w:val="24"/>
                <w:highlight w:val="none"/>
                <w:lang w:val="en-US" w:eastAsia="en-US" w:bidi="en-US"/>
                <w14:textFill>
                  <w14:solidFill>
                    <w14:schemeClr w14:val="tx1"/>
                  </w14:solidFill>
                </w14:textFill>
              </w:rPr>
              <w:t xml:space="preserve">（万元）</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包1</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4"/>
                <w:szCs w:val="24"/>
                <w:lang w:val="en-US" w:eastAsia="zh-CN" w:bidi="en-US"/>
                <w14:textFill>
                  <w14:solidFill>
                    <w14:schemeClr w14:val="tx1"/>
                  </w14:solidFill>
                </w14:textFill>
              </w:rPr>
            </w:pPr>
            <w:r>
              <w:rPr>
                <w:rFonts w:hint="default" w:ascii="宋体" w:hAnsi="宋体" w:eastAsia="宋体" w:cs="宋体"/>
                <w:color w:val="000000" w:themeColor="text1"/>
                <w:spacing w:val="-5"/>
                <w:sz w:val="24"/>
                <w:szCs w:val="24"/>
                <w:lang w:val="en-US" w:eastAsia="zh-CN" w:bidi="en-US"/>
                <w14:textFill>
                  <w14:solidFill>
                    <w14:schemeClr w14:val="tx1"/>
                  </w14:solidFill>
                </w14:textFill>
              </w:rPr>
              <w:t xml:space="preserve">电痉挛治疗仪</w:t>
            </w:r>
            <w:r/>
          </w:p>
        </w:tc>
        <w:tc>
          <w:tcPr>
            <w:tcW w:w="1284" w:type="dxa"/>
            <w:vAlign w:val="center"/>
            <w:textDirection w:val="lrTb"/>
            <w:noWrap w:val="false"/>
          </w:tcPr>
          <w:p>
            <w:pPr>
              <w:ind w:firstLine="240"/>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00" w:type="dxa"/>
            <w:vAlign w:val="center"/>
            <w:textDirection w:val="lrTb"/>
            <w:noWrap w:val="false"/>
          </w:tcPr>
          <w:p>
            <w:pPr>
              <w:ind w:firstLine="240"/>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1874"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53</w:t>
            </w:r>
            <w:r/>
          </w:p>
        </w:tc>
      </w:tr>
      <w:tr>
        <w:trPr>
          <w:jc w:val="center"/>
          <w:trHeight w:val="539"/>
        </w:trPr>
        <w:tc>
          <w:tcPr>
            <w:tcW w:w="1011" w:type="dxa"/>
            <w:vAlign w:val="center"/>
            <w:vMerge w:val="restart"/>
            <w:textDirection w:val="lrTb"/>
            <w:noWrap w:val="false"/>
          </w:tcPr>
          <w:p>
            <w:pPr>
              <w:ind w:firstLine="210"/>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ind w:firstLine="210"/>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包2</w:t>
            </w:r>
            <w:r/>
          </w:p>
          <w:p>
            <w:pPr>
              <w:ind w:firstLine="210"/>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4"/>
                <w:szCs w:val="24"/>
                <w:lang w:val="en-US" w:eastAsia="zh-CN" w:bidi="en-US"/>
                <w14:textFill>
                  <w14:solidFill>
                    <w14:schemeClr w14:val="tx1"/>
                  </w14:solidFill>
                </w14:textFill>
              </w:rPr>
            </w:pPr>
            <w:r>
              <w:rPr>
                <w:rFonts w:hint="eastAsia" w:ascii="宋体" w:hAnsi="宋体" w:eastAsia="宋体" w:cs="宋体"/>
                <w:color w:val="000000" w:themeColor="text1"/>
                <w:spacing w:val="-5"/>
                <w:sz w:val="24"/>
                <w:szCs w:val="24"/>
                <w:lang w:val="en-US" w:eastAsia="zh-CN" w:bidi="en-US"/>
                <w14:textFill>
                  <w14:solidFill>
                    <w14:schemeClr w14:val="tx1"/>
                  </w14:solidFill>
                </w14:textFill>
              </w:rPr>
              <w:t xml:space="preserve">经颅电刺激仪（高精度）</w:t>
            </w:r>
            <w:r/>
          </w:p>
        </w:tc>
        <w:tc>
          <w:tcPr>
            <w:tcW w:w="1284" w:type="dxa"/>
            <w:vAlign w:val="center"/>
            <w:textDirection w:val="lrTb"/>
            <w:noWrap w:val="false"/>
          </w:tcPr>
          <w:p>
            <w:pPr>
              <w:ind w:firstLine="240"/>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00" w:type="dxa"/>
            <w:vAlign w:val="center"/>
            <w:textDirection w:val="lrTb"/>
            <w:noWrap w:val="false"/>
          </w:tcPr>
          <w:p>
            <w:pPr>
              <w:ind w:firstLine="240"/>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1874" w:type="dxa"/>
            <w:vAlign w:val="center"/>
            <w:vMerge w:val="restart"/>
            <w:textDirection w:val="lrTb"/>
            <w:noWrap w:val="false"/>
          </w:tcPr>
          <w:p>
            <w:pPr>
              <w:ind w:firstLine="420"/>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62</w:t>
            </w:r>
            <w:r/>
          </w:p>
        </w:tc>
      </w:tr>
      <w:tr>
        <w:trPr>
          <w:jc w:val="center"/>
          <w:trHeight w:val="567"/>
        </w:trPr>
        <w:tc>
          <w:tcPr>
            <w:tcW w:w="1011" w:type="dxa"/>
            <w:vAlign w:val="center"/>
            <w:vMerge w:val="continue"/>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4"/>
                <w:szCs w:val="24"/>
                <w:lang w:val="en-US" w:eastAsia="zh-CN" w:bidi="en-US"/>
                <w14:textFill>
                  <w14:solidFill>
                    <w14:schemeClr w14:val="tx1"/>
                  </w14:solidFill>
                </w14:textFill>
              </w:rPr>
            </w:pPr>
            <w:r>
              <w:rPr>
                <w:rFonts w:hint="eastAsia" w:ascii="宋体" w:hAnsi="宋体" w:eastAsia="宋体" w:cs="宋体"/>
                <w:color w:val="000000" w:themeColor="text1"/>
                <w:spacing w:val="-5"/>
                <w:sz w:val="24"/>
                <w:szCs w:val="24"/>
                <w:lang w:val="en-US" w:eastAsia="zh-CN" w:bidi="en-US"/>
                <w14:textFill>
                  <w14:solidFill>
                    <w14:schemeClr w14:val="tx1"/>
                  </w14:solidFill>
                </w14:textFill>
              </w:rPr>
              <w:t xml:space="preserve">经颅电刺激仪（四人版）</w:t>
            </w:r>
            <w:r/>
          </w:p>
        </w:tc>
        <w:tc>
          <w:tcPr>
            <w:tcW w:w="1284" w:type="dxa"/>
            <w:vAlign w:val="center"/>
            <w:textDirection w:val="lrTb"/>
            <w:noWrap w:val="false"/>
          </w:tcPr>
          <w:p>
            <w:pPr>
              <w:ind w:firstLine="240"/>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00" w:type="dxa"/>
            <w:vAlign w:val="center"/>
            <w:textDirection w:val="lrTb"/>
            <w:noWrap w:val="false"/>
          </w:tcPr>
          <w:p>
            <w:pPr>
              <w:ind w:firstLine="240"/>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1874"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bl>
    <w:p>
      <w:pPr>
        <w:numPr>
          <w:ilvl w:val="0"/>
          <w:numId w:val="0"/>
        </w:numPr>
        <w:jc w:val="both"/>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r>
      <w:r/>
    </w:p>
    <w:p>
      <w:pPr>
        <w:numPr>
          <w:ilvl w:val="0"/>
          <w:numId w:val="5"/>
        </w:numPr>
        <w:ind w:firstLine="422"/>
        <w:jc w:val="both"/>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技术参数要求</w:t>
      </w:r>
      <w:bookmarkEnd w:id="95"/>
      <w:r/>
      <w:r/>
    </w:p>
    <w:p>
      <w:pPr>
        <w:ind w:left="-226" w:right="-358"/>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包1电痉挛治疗仪技术参数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b/>
          <w:bCs/>
          <w:spacing w:val="1"/>
          <w:sz w:val="24"/>
          <w:szCs w:val="24"/>
        </w:rPr>
        <w:outlineLvl w:val="9"/>
        <w:suppressLineNumbers w:val="0"/>
      </w:pPr>
      <w:r>
        <w:rPr>
          <w:b/>
          <w:bCs/>
          <w:spacing w:val="-3"/>
          <w:sz w:val="24"/>
          <w:szCs w:val="24"/>
        </w:rPr>
        <w:t xml:space="preserve">1</w:t>
      </w:r>
      <w:r>
        <w:rPr>
          <w:rFonts w:hint="eastAsia"/>
          <w:b/>
          <w:bCs/>
          <w:spacing w:val="-3"/>
          <w:sz w:val="24"/>
          <w:szCs w:val="24"/>
          <w:lang w:eastAsia="zh-CN"/>
        </w:rPr>
        <w:t xml:space="preserve">、</w:t>
      </w:r>
      <w:r>
        <w:rPr>
          <w:b/>
          <w:bCs/>
          <w:spacing w:val="1"/>
          <w:sz w:val="24"/>
          <w:szCs w:val="24"/>
        </w:rPr>
        <w:t xml:space="preserve">电刺激输出</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sz w:val="24"/>
          <w:szCs w:val="24"/>
        </w:rPr>
        <w:outlineLvl w:val="9"/>
        <w:suppressLineNumbers w:val="0"/>
      </w:pPr>
      <w:r>
        <w:rPr>
          <w:rFonts w:hint="eastAsia"/>
          <w:b/>
          <w:bCs/>
          <w:spacing w:val="1"/>
          <w:sz w:val="24"/>
          <w:szCs w:val="24"/>
          <w:lang w:val="en-US" w:eastAsia="zh-CN"/>
        </w:rPr>
        <w:t xml:space="preserve">1.1：</w:t>
      </w:r>
      <w:r>
        <w:rPr>
          <w:sz w:val="24"/>
          <w:szCs w:val="24"/>
        </w:rPr>
        <w:t xml:space="preserve">电流：恒定为0.9安培</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sz w:val="24"/>
          <w:szCs w:val="24"/>
        </w:rPr>
        <w:outlineLvl w:val="9"/>
        <w:suppressLineNumbers w:val="0"/>
      </w:pPr>
      <w:r>
        <w:rPr>
          <w:rFonts w:hint="eastAsia"/>
          <w:sz w:val="24"/>
          <w:szCs w:val="24"/>
          <w:lang w:val="en-US" w:eastAsia="zh-CN"/>
        </w:rPr>
        <w:t xml:space="preserve">1.2：</w:t>
      </w:r>
      <w:r>
        <w:rPr>
          <w:sz w:val="24"/>
          <w:szCs w:val="24"/>
        </w:rPr>
        <w:t xml:space="preserve">电压：最高达450V,随阻抗自动调整且与市电独立</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sz w:val="24"/>
          <w:szCs w:val="24"/>
        </w:rPr>
        <w:outlineLvl w:val="9"/>
        <w:suppressLineNumbers w:val="0"/>
      </w:pPr>
      <w:r>
        <w:rPr>
          <w:rFonts w:hint="eastAsia"/>
          <w:sz w:val="24"/>
          <w:szCs w:val="24"/>
          <w:lang w:val="en-US" w:eastAsia="zh-CN"/>
        </w:rPr>
        <w:t xml:space="preserve">1.3：</w:t>
      </w:r>
      <w:r>
        <w:rPr>
          <w:sz w:val="24"/>
          <w:szCs w:val="24"/>
        </w:rPr>
        <w:t xml:space="preserve">波宽：0.25毫秒到1.0毫秒</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sz w:val="24"/>
          <w:szCs w:val="24"/>
        </w:rPr>
        <w:outlineLvl w:val="9"/>
        <w:suppressLineNumbers w:val="0"/>
      </w:pPr>
      <w:r>
        <w:rPr>
          <w:rFonts w:hint="eastAsia"/>
          <w:sz w:val="24"/>
          <w:szCs w:val="24"/>
          <w:lang w:val="en-US" w:eastAsia="zh-CN"/>
        </w:rPr>
        <w:t xml:space="preserve">1.4：</w:t>
      </w:r>
      <w:r>
        <w:rPr>
          <w:sz w:val="24"/>
          <w:szCs w:val="24"/>
        </w:rPr>
        <w:t xml:space="preserve">波形：双相短暂脉冲式矩形波</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spacing w:val="-1"/>
          <w:sz w:val="24"/>
          <w:szCs w:val="24"/>
        </w:rPr>
        <w:outlineLvl w:val="9"/>
        <w:suppressLineNumbers w:val="0"/>
      </w:pPr>
      <w:r>
        <w:rPr>
          <w:rFonts w:hint="eastAsia"/>
          <w:sz w:val="24"/>
          <w:szCs w:val="24"/>
          <w:lang w:val="en-US" w:eastAsia="zh-CN"/>
        </w:rPr>
        <w:t xml:space="preserve">1.5：</w:t>
      </w:r>
      <w:r>
        <w:rPr>
          <w:spacing w:val="-1"/>
          <w:sz w:val="24"/>
          <w:szCs w:val="24"/>
        </w:rPr>
        <w:t xml:space="preserve">频率：10赫兹到120赫兹</w:t>
      </w:r>
      <w:r/>
    </w:p>
    <w:p>
      <w:pPr>
        <w:numPr>
          <w:ilvl w:val="0"/>
          <w:numId w:val="6"/>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b/>
          <w:bCs/>
          <w:spacing w:val="-2"/>
          <w:sz w:val="24"/>
          <w:szCs w:val="24"/>
        </w:rPr>
        <w:outlineLvl w:val="9"/>
        <w:suppressLineNumbers w:val="0"/>
      </w:pPr>
      <w:r>
        <w:rPr>
          <w:b/>
          <w:bCs/>
          <w:spacing w:val="-2"/>
          <w:sz w:val="24"/>
          <w:szCs w:val="24"/>
        </w:rPr>
        <w:t xml:space="preserve">图表记录仪</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2.1：四通道记录仪：实时监测和记录，能监测脑电图(EEG)、肌电图(EMG)及心电图(EKG)</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2.2：图表记录仪的速度可调，可以人工选择</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b/>
          <w:bCs/>
          <w:spacing w:val="-6"/>
          <w:sz w:val="24"/>
          <w:szCs w:val="24"/>
        </w:rPr>
        <w:t xml:space="preserve">安全测试</w:t>
      </w:r>
      <w:r>
        <w:rPr>
          <w:rFonts w:hint="eastAsia"/>
          <w:b/>
          <w:bCs/>
          <w:spacing w:val="-6"/>
          <w:sz w:val="24"/>
          <w:szCs w:val="24"/>
          <w:lang w:eastAsia="zh-CN"/>
        </w:rPr>
        <w:t xml:space="preserve">：</w:t>
      </w:r>
      <w:r>
        <w:rPr>
          <w:rFonts w:hint="eastAsia" w:ascii="Times New Roman" w:hAnsi="Times New Roman" w:eastAsia="宋体" w:cs="Times New Roman"/>
          <w:sz w:val="24"/>
          <w:szCs w:val="24"/>
          <w:lang w:val="en-US" w:eastAsia="zh-CN"/>
        </w:rPr>
        <w:t xml:space="preserve">主机自带安全监测电路报警测试按钮</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b/>
          <w:bCs/>
          <w:spacing w:val="-6"/>
          <w:sz w:val="24"/>
          <w:szCs w:val="24"/>
        </w:rPr>
        <w:outlineLvl w:val="9"/>
        <w:suppressLineNumbers w:val="0"/>
      </w:pPr>
      <w:r>
        <w:rPr>
          <w:b/>
          <w:bCs/>
          <w:spacing w:val="-5"/>
          <w:sz w:val="24"/>
          <w:szCs w:val="24"/>
        </w:rPr>
        <w:t xml:space="preserve">数码显示</w:t>
      </w:r>
      <w:r>
        <w:rPr>
          <w:rFonts w:hint="eastAsia"/>
          <w:b/>
          <w:bCs/>
          <w:spacing w:val="-5"/>
          <w:sz w:val="24"/>
          <w:szCs w:val="24"/>
          <w:lang w:eastAsia="zh-CN"/>
        </w:rPr>
        <w:t xml:space="preserve">：</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4.1：开机仪器测试状态</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4.2：麻醉深度：配置有95%边缘频率分析、中位频率、相对德尔塔功率等的监测功能</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ascii="Times New Roman" w:hAnsi="Times New Roman" w:eastAsia="宋体" w:cs="Times New Roman"/>
          <w:b/>
          <w:bCs/>
          <w:spacing w:val="-6"/>
          <w:sz w:val="24"/>
          <w:szCs w:val="24"/>
        </w:rPr>
        <w:outlineLvl w:val="9"/>
        <w:suppressLineNumbers w:val="0"/>
      </w:pPr>
      <w:r>
        <w:rPr>
          <w:rFonts w:ascii="Times New Roman" w:hAnsi="Times New Roman" w:eastAsia="宋体" w:cs="Times New Roman"/>
          <w:b/>
          <w:bCs/>
          <w:spacing w:val="-6"/>
          <w:sz w:val="24"/>
          <w:szCs w:val="24"/>
        </w:rPr>
        <w:t xml:space="preserve">刺激模式</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5.1：能量百分比调节范围5%-200%,以5%为一增量</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5.2：内置DGX、L0.5、L0.25、LWST、间歇式脉冲齐发刺激治疗模式可选</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5.3可编制多个扩充治疗模式</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ascii="Times New Roman" w:hAnsi="Times New Roman" w:eastAsia="宋体" w:cs="Times New Roman"/>
          <w:b/>
          <w:bCs/>
          <w:spacing w:val="-6"/>
          <w:sz w:val="24"/>
          <w:szCs w:val="24"/>
        </w:rPr>
        <w:outlineLvl w:val="9"/>
        <w:suppressLineNumbers w:val="0"/>
      </w:pPr>
      <w:r>
        <w:rPr>
          <w:rFonts w:ascii="Times New Roman" w:hAnsi="Times New Roman" w:eastAsia="宋体" w:cs="Times New Roman"/>
          <w:b/>
          <w:bCs/>
          <w:spacing w:val="-6"/>
          <w:sz w:val="24"/>
          <w:szCs w:val="24"/>
        </w:rPr>
        <w:t xml:space="preserve">脑电图抽搐监测</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6.1：声化脑电图抽搐监测</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6.2：脑电图打印记录</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6.3：Ictal LineTM发作指示器</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spacing w:val="-1"/>
          <w:sz w:val="24"/>
          <w:szCs w:val="24"/>
        </w:rPr>
        <w:outlineLvl w:val="9"/>
        <w:suppressLineNumbers w:val="0"/>
      </w:pPr>
      <w:r>
        <w:rPr>
          <w:rFonts w:hint="eastAsia" w:ascii="Times New Roman" w:hAnsi="Times New Roman" w:eastAsia="宋体" w:cs="Times New Roman"/>
          <w:sz w:val="24"/>
          <w:szCs w:val="24"/>
          <w:lang w:val="en-US" w:eastAsia="zh-CN"/>
        </w:rPr>
        <w:t xml:space="preserve">6.4：</w:t>
      </w:r>
      <w:r>
        <w:rPr>
          <w:spacing w:val="-1"/>
          <w:sz w:val="24"/>
          <w:szCs w:val="24"/>
        </w:rPr>
        <w:t xml:space="preserve">脑电图结果以及测定值的指数</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ascii="Times New Roman" w:hAnsi="Times New Roman" w:eastAsia="宋体" w:cs="Times New Roman"/>
          <w:b/>
          <w:bCs/>
          <w:spacing w:val="-6"/>
          <w:sz w:val="24"/>
          <w:szCs w:val="24"/>
        </w:rPr>
        <w:outlineLvl w:val="9"/>
        <w:suppressLineNumbers w:val="0"/>
      </w:pPr>
      <w:r>
        <w:rPr>
          <w:rFonts w:ascii="Times New Roman" w:hAnsi="Times New Roman" w:eastAsia="宋体" w:cs="Times New Roman"/>
          <w:b/>
          <w:bCs/>
          <w:spacing w:val="-6"/>
          <w:sz w:val="24"/>
          <w:szCs w:val="24"/>
        </w:rPr>
        <w:t xml:space="preserve">机器储存功能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7.1：本身自带储存，可重复打印当前病人的治疗数据及仪器状态参数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7.2也可通过RS232端口连接用户的电脑，建立治疗工作站</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ascii="Times New Roman" w:hAnsi="Times New Roman" w:eastAsia="宋体" w:cs="Times New Roman"/>
          <w:b/>
          <w:bCs/>
          <w:spacing w:val="-6"/>
          <w:sz w:val="24"/>
          <w:szCs w:val="24"/>
        </w:rPr>
        <w:outlineLvl w:val="9"/>
        <w:suppressLineNumbers w:val="0"/>
      </w:pPr>
      <w:r>
        <w:rPr>
          <w:rFonts w:ascii="Times New Roman" w:hAnsi="Times New Roman" w:eastAsia="宋体" w:cs="Times New Roman"/>
          <w:b/>
          <w:bCs/>
          <w:spacing w:val="-6"/>
          <w:sz w:val="24"/>
          <w:szCs w:val="24"/>
        </w:rPr>
        <w:t xml:space="preserve">抽搐质量的测量</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8.1：发作后抑制指数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8.2：平均抽搐能量指数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8.3：最大持续脑电图功率和到达最大脑电图功率的时间</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8.4：最大持续脑电图一致性和到达最大脑电图一致性的时间</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8.5：杜克大学脑电图测量</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8.6：用快速傅立叶变换进行功率频谱分析</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8.7：最大心率</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8.8：电脑可以根据脑电图、肌电图来估计抽搐的终点</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8.9：抽搐发作过长报警</w:t>
      </w:r>
      <w:r/>
    </w:p>
    <w:p>
      <w:pPr>
        <w:numPr>
          <w:ilvl w:val="0"/>
          <w:numId w:val="6"/>
        </w:numPr>
        <w:ind w:left="0" w:right="0" w:firstLine="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ascii="Times New Roman" w:hAnsi="Times New Roman" w:eastAsia="宋体" w:cs="Times New Roman"/>
          <w:b/>
          <w:bCs/>
          <w:spacing w:val="-6"/>
          <w:sz w:val="24"/>
          <w:szCs w:val="24"/>
        </w:rPr>
        <w:outlineLvl w:val="9"/>
        <w:suppressLineNumbers w:val="0"/>
      </w:pPr>
      <w:r>
        <w:rPr>
          <w:rFonts w:ascii="Times New Roman" w:hAnsi="Times New Roman" w:eastAsia="宋体" w:cs="Times New Roman"/>
          <w:b/>
          <w:bCs/>
          <w:spacing w:val="-6"/>
          <w:sz w:val="24"/>
          <w:szCs w:val="24"/>
        </w:rPr>
        <w:t xml:space="preserve">打印治疗报告</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ascii="Times New Roman" w:hAnsi="Times New Roman" w:eastAsia="宋体" w:cs="Times New Roman"/>
          <w:sz w:val="24"/>
          <w:szCs w:val="24"/>
          <w:lang w:val="en-US" w:eastAsia="zh-CN"/>
        </w:rPr>
        <w:t xml:space="preserve">9.1：提供9个治疗仪参数：能量、电量、电流、刺激时间、频率、波宽、静 态电阻、动态电阻、治疗模式</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Times New Roman" w:hAnsi="Times New Roman" w:eastAsia="宋体" w:cs="Times New Roman"/>
          <w:sz w:val="24"/>
          <w:szCs w:val="24"/>
          <w:lang w:val="en-US" w:eastAsia="zh-CN"/>
        </w:rPr>
        <w:outlineLvl w:val="9"/>
        <w:suppressLineNumbers w:val="0"/>
      </w:pPr>
      <w:r>
        <w:rPr>
          <w:rFonts w:hint="eastAsia"/>
          <w:spacing w:val="-3"/>
          <w:lang w:val="en-US" w:eastAsia="zh-CN"/>
        </w:rPr>
        <w:t xml:space="preserve">▲</w:t>
      </w:r>
      <w:r>
        <w:rPr>
          <w:rFonts w:hint="eastAsia" w:ascii="Times New Roman" w:hAnsi="Times New Roman" w:eastAsia="宋体" w:cs="Times New Roman"/>
          <w:sz w:val="24"/>
          <w:szCs w:val="24"/>
          <w:lang w:val="en-US" w:eastAsia="zh-CN"/>
        </w:rPr>
        <w:t xml:space="preserve">9.2：10个客观治疗报告：脑电发作时间、肌电发作时间、平时心率、发作时 心率、发作强度、抑制指数、最大脑电波功率、达到最大脑电波功率的 时间、最大脑电波一致性、达到最大脑电波一致性的时间</w:t>
      </w:r>
      <w:r/>
    </w:p>
    <w:p>
      <w:pPr>
        <w:rPr>
          <w:rFonts w:hint="default" w:eastAsia="宋体"/>
          <w:sz w:val="24"/>
          <w:szCs w:val="24"/>
          <w:lang w:val="en-US" w:eastAsia="zh-CN"/>
        </w:rPr>
      </w:pPr>
      <w:r>
        <w:rPr>
          <w:rFonts w:hint="eastAsia"/>
          <w:spacing w:val="-3"/>
          <w:lang w:val="en-US" w:eastAsia="zh-CN"/>
        </w:rPr>
        <w:t xml:space="preserve">▲</w:t>
      </w:r>
      <w:r>
        <w:rPr>
          <w:rFonts w:hint="eastAsia"/>
          <w:sz w:val="24"/>
          <w:szCs w:val="24"/>
          <w:lang w:val="en-US" w:eastAsia="zh-CN"/>
        </w:rPr>
        <w:t xml:space="preserve">10：</w:t>
      </w:r>
      <w:r>
        <w:rPr>
          <w:sz w:val="24"/>
          <w:szCs w:val="24"/>
        </w:rPr>
        <w:t xml:space="preserve">适用于对要求快速而确定响应的精神失常的病人进行电抽搐治疗。</w:t>
      </w:r>
      <w:r/>
    </w:p>
    <w:p>
      <w:pPr>
        <w:pStyle w:val="697"/>
        <w:jc w:val="center"/>
        <w:rPr>
          <w:b/>
          <w:bCs/>
          <w:sz w:val="24"/>
          <w:szCs w:val="24"/>
        </w:rPr>
      </w:pPr>
      <w:r>
        <w:rPr>
          <w:rFonts w:hint="eastAsia" w:hAnsi="宋体" w:cs="宋体"/>
          <w:b/>
          <w:bCs/>
          <w:color w:val="000000" w:themeColor="text1"/>
          <w:sz w:val="24"/>
          <w:szCs w:val="24"/>
          <w:highlight w:val="none"/>
          <w:lang w:val="en-US" w:eastAsia="zh-CN"/>
          <w14:textFill>
            <w14:solidFill>
              <w14:schemeClr w14:val="tx1"/>
            </w14:solidFill>
          </w14:textFill>
        </w:rPr>
        <w:t xml:space="preserve">包2</w:t>
      </w:r>
      <w:r>
        <w:rPr>
          <w:rFonts w:hint="eastAsia"/>
          <w:b/>
          <w:bCs/>
          <w:sz w:val="24"/>
          <w:szCs w:val="24"/>
        </w:rPr>
        <w:t xml:space="preserve">经颅电刺激仪</w:t>
      </w:r>
      <w:r>
        <w:rPr>
          <w:rFonts w:hint="eastAsia"/>
          <w:b/>
          <w:bCs/>
          <w:sz w:val="24"/>
          <w:szCs w:val="24"/>
          <w:lang w:eastAsia="zh-CN"/>
        </w:rPr>
        <w:t xml:space="preserve">（</w:t>
      </w:r>
      <w:r>
        <w:rPr>
          <w:rFonts w:hint="eastAsia"/>
          <w:b/>
          <w:bCs/>
          <w:sz w:val="24"/>
          <w:szCs w:val="24"/>
          <w:lang w:val="en-US" w:eastAsia="zh-CN"/>
        </w:rPr>
        <w:t xml:space="preserve">高精度</w:t>
      </w:r>
      <w:r>
        <w:rPr>
          <w:rFonts w:hint="eastAsia"/>
          <w:b/>
          <w:bCs/>
          <w:sz w:val="24"/>
          <w:szCs w:val="24"/>
          <w:lang w:eastAsia="zh-CN"/>
        </w:rPr>
        <w:t xml:space="preserve">）</w:t>
      </w:r>
      <w:r>
        <w:rPr>
          <w:rFonts w:hint="eastAsia"/>
          <w:b/>
          <w:bCs/>
          <w:sz w:val="24"/>
          <w:szCs w:val="24"/>
        </w:rPr>
        <w:t xml:space="preserve">技术参数</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一、主要配置要求：</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lang w:val="en-US" w:eastAsia="zh-CN"/>
        </w:rPr>
        <w:t xml:space="preserve">1.经颅电刺激仪</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套</w:t>
      </w:r>
      <w:r>
        <w:rPr>
          <w:rFonts w:hint="eastAsia" w:ascii="宋体" w:hAnsi="宋体" w:eastAsia="宋体" w:cs="Times New Roman"/>
          <w:sz w:val="24"/>
          <w:szCs w:val="24"/>
        </w:rPr>
        <w:t xml:space="preserve">，直流DC9V电池、交流AC220V双供电模式。</w:t>
      </w:r>
      <w:r/>
    </w:p>
    <w:p>
      <w:pPr>
        <w:spacing w:line="360" w:lineRule="auto"/>
        <w:rPr>
          <w:rFonts w:hint="eastAsia" w:ascii="宋体" w:hAnsi="宋体" w:eastAsia="宋体" w:cs="Times New Roman"/>
          <w:sz w:val="24"/>
          <w:szCs w:val="24"/>
          <w:lang w:eastAsia="zh-CN"/>
        </w:rPr>
        <w:outlineLvl w:val="1"/>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须</w:t>
      </w:r>
      <w:r>
        <w:rPr>
          <w:rFonts w:hint="eastAsia" w:ascii="宋体" w:hAnsi="宋体" w:eastAsia="宋体" w:cs="Times New Roman"/>
          <w:sz w:val="24"/>
          <w:szCs w:val="24"/>
        </w:rPr>
        <w:t xml:space="preserve">具备标准</w:t>
      </w:r>
      <w:r>
        <w:rPr>
          <w:rFonts w:hint="eastAsia" w:ascii="宋体" w:hAnsi="宋体" w:eastAsia="宋体" w:cs="Times New Roman"/>
          <w:sz w:val="24"/>
          <w:szCs w:val="24"/>
          <w:lang w:val="en-US" w:eastAsia="zh-CN"/>
        </w:rPr>
        <w:t xml:space="preserve">5*7cm</w:t>
      </w:r>
      <w:r>
        <w:rPr>
          <w:rFonts w:hint="eastAsia" w:ascii="宋体" w:hAnsi="宋体" w:eastAsia="宋体" w:cs="Times New Roman"/>
          <w:sz w:val="24"/>
          <w:szCs w:val="24"/>
        </w:rPr>
        <w:t xml:space="preserve">矩形电极，同时可选配</w:t>
      </w:r>
      <w:r>
        <w:rPr>
          <w:rFonts w:hint="eastAsia" w:ascii="宋体" w:hAnsi="宋体" w:eastAsia="宋体" w:cs="Times New Roman"/>
          <w:sz w:val="24"/>
          <w:szCs w:val="24"/>
          <w:lang w:val="en-US" w:eastAsia="zh-CN"/>
        </w:rPr>
        <w:t xml:space="preserve">3*5cm小型矩形电极以适合较小头颅</w:t>
      </w:r>
      <w:r>
        <w:rPr>
          <w:rFonts w:hint="eastAsia" w:ascii="宋体" w:hAnsi="宋体" w:eastAsia="宋体" w:cs="Times New Roman"/>
          <w:sz w:val="24"/>
          <w:szCs w:val="24"/>
        </w:rPr>
        <w:t xml:space="preserve">，电极边缘设有防电流边缘聚焦装置，确保电流密度</w:t>
      </w:r>
      <w:r>
        <w:rPr>
          <w:rFonts w:hint="eastAsia" w:ascii="宋体" w:hAnsi="宋体" w:eastAsia="宋体" w:cs="Times New Roman"/>
          <w:sz w:val="24"/>
          <w:szCs w:val="24"/>
          <w:lang w:eastAsia="zh-CN"/>
        </w:rPr>
        <w:t xml:space="preserve">。</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须</w:t>
      </w:r>
      <w:r>
        <w:rPr>
          <w:rFonts w:hint="eastAsia" w:ascii="宋体" w:hAnsi="宋体" w:eastAsia="宋体" w:cs="Times New Roman"/>
          <w:sz w:val="24"/>
          <w:szCs w:val="24"/>
        </w:rPr>
        <w:t xml:space="preserve">具备直径</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12mm的高精度环形电极，可以实现电流的聚焦刺激，支持与</w:t>
      </w:r>
      <w:r>
        <w:rPr>
          <w:rFonts w:hint="eastAsia" w:ascii="宋体" w:hAnsi="宋体" w:eastAsia="宋体" w:cs="Times New Roman"/>
          <w:sz w:val="24"/>
          <w:szCs w:val="24"/>
          <w:lang w:val="en-US" w:eastAsia="zh-CN"/>
        </w:rPr>
        <w:t xml:space="preserve">fMRI、fNIRS、EEG等设备</w:t>
      </w:r>
      <w:r>
        <w:rPr>
          <w:rFonts w:hint="eastAsia" w:ascii="宋体" w:hAnsi="宋体" w:eastAsia="宋体" w:cs="Times New Roman"/>
          <w:sz w:val="24"/>
          <w:szCs w:val="24"/>
        </w:rPr>
        <w:t xml:space="preserve">兼容同步使用。</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二、技术性能要求：</w:t>
      </w:r>
      <w:r/>
    </w:p>
    <w:p>
      <w:pPr>
        <w:spacing w:line="360" w:lineRule="auto"/>
        <w:rPr>
          <w:rFonts w:hint="default" w:ascii="宋体" w:hAnsi="宋体" w:eastAsia="宋体" w:cs="Times New Roman"/>
          <w:sz w:val="24"/>
          <w:szCs w:val="24"/>
          <w:lang w:val="en-US" w:eastAsia="zh-CN"/>
        </w:rPr>
        <w:outlineLvl w:val="1"/>
      </w:pPr>
      <w:r>
        <w:rPr>
          <w:rFonts w:hint="eastAsia"/>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具备常规2通道和</w:t>
      </w:r>
      <w:r>
        <w:rPr>
          <w:rFonts w:hint="eastAsia" w:ascii="宋体" w:hAnsi="宋体" w:eastAsia="宋体" w:cs="Times New Roman"/>
          <w:sz w:val="24"/>
          <w:szCs w:val="24"/>
        </w:rPr>
        <w:t xml:space="preserve">高精度</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5通道环形</w:t>
      </w:r>
      <w:r>
        <w:rPr>
          <w:rFonts w:hint="eastAsia" w:ascii="宋体" w:hAnsi="宋体" w:eastAsia="宋体" w:cs="Times New Roman"/>
          <w:sz w:val="24"/>
          <w:szCs w:val="24"/>
          <w:lang w:val="en-US" w:eastAsia="zh-CN"/>
        </w:rPr>
        <w:t xml:space="preserve">聚焦输出两种输出方式</w:t>
      </w:r>
      <w:r>
        <w:rPr>
          <w:rFonts w:hint="eastAsia" w:ascii="宋体" w:hAnsi="宋体" w:eastAsia="宋体" w:cs="Times New Roman"/>
          <w:sz w:val="24"/>
          <w:szCs w:val="24"/>
        </w:rPr>
        <w:t xml:space="preserve">。</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2.接触质量：通过光柱光标移动来直观体现电极接触质量。</w:t>
      </w:r>
      <w:r/>
    </w:p>
    <w:p>
      <w:pPr>
        <w:spacing w:line="360" w:lineRule="auto"/>
        <w:rPr>
          <w:rFonts w:hint="eastAsia" w:ascii="宋体" w:hAnsi="宋体" w:eastAsia="宋体" w:cs="Times New Roman"/>
          <w:sz w:val="24"/>
          <w:szCs w:val="24"/>
          <w:lang w:val="en-US" w:eastAsia="zh-CN"/>
        </w:rPr>
        <w:outlineLvl w:val="1"/>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所有刺激参数均由置于主机上的专用按键开关实时调节，刺激参数实时显示，无需连接电脑设置</w:t>
      </w:r>
      <w:r>
        <w:rPr>
          <w:rFonts w:hint="eastAsia" w:ascii="宋体" w:hAnsi="宋体" w:eastAsia="宋体" w:cs="Times New Roman"/>
          <w:sz w:val="24"/>
          <w:szCs w:val="24"/>
          <w:lang w:eastAsia="zh-CN"/>
        </w:rPr>
        <w:t xml:space="preserve">。</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4.电流强度                                        </w:t>
      </w:r>
      <w:r/>
    </w:p>
    <w:p>
      <w:pPr>
        <w:spacing w:line="360" w:lineRule="auto"/>
        <w:rPr>
          <w:rFonts w:hint="eastAsia" w:ascii="宋体" w:hAnsi="宋体" w:eastAsia="宋体" w:cs="Times New Roman"/>
          <w:sz w:val="24"/>
          <w:szCs w:val="24"/>
        </w:rPr>
        <w:outlineLvl w:val="1"/>
      </w:pPr>
      <w:r>
        <w:rPr>
          <w:rFonts w:hint="eastAsia"/>
          <w:sz w:val="24"/>
          <w:szCs w:val="24"/>
        </w:rPr>
        <w:t xml:space="preserve">▲</w:t>
      </w:r>
      <w:r>
        <w:rPr>
          <w:rFonts w:hint="eastAsia" w:ascii="宋体" w:hAnsi="宋体" w:eastAsia="宋体" w:cs="Times New Roman"/>
          <w:sz w:val="24"/>
          <w:szCs w:val="24"/>
        </w:rPr>
        <w:t xml:space="preserve">4.1 电流强度范围</w:t>
      </w:r>
      <w:r>
        <w:rPr>
          <w:rFonts w:hint="eastAsia" w:ascii="宋体" w:hAnsi="宋体" w:eastAsia="宋体" w:cs="Times New Roman"/>
          <w:sz w:val="24"/>
          <w:szCs w:val="24"/>
          <w:lang w:eastAsia="zh-CN"/>
        </w:rPr>
        <w:t xml:space="preserve">须≦</w:t>
      </w:r>
      <w:r>
        <w:rPr>
          <w:rFonts w:hint="eastAsia" w:ascii="宋体" w:hAnsi="宋体" w:eastAsia="宋体" w:cs="Times New Roman"/>
          <w:sz w:val="24"/>
          <w:szCs w:val="24"/>
        </w:rPr>
        <w:t xml:space="preserve">2mA，0.5mA、1mA、1.5mA、2mA，四档可选，且在每档强度步进可调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分辨率0.01mA</w:t>
      </w:r>
      <w:r>
        <w:rPr>
          <w:rFonts w:hint="eastAsia" w:ascii="宋体" w:hAnsi="宋体" w:eastAsia="宋体" w:cs="Times New Roman"/>
          <w:sz w:val="24"/>
          <w:szCs w:val="24"/>
        </w:rPr>
        <w:t xml:space="preserve">。</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4.2 电流强度精度：误差应不大于±10%设定值。</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4.3电流控制：在刺激治疗过程可通过调节器实现输出电流的实时线性调节（输出电流上限取决于刺激前设定的最大电流）。</w:t>
      </w:r>
      <w:r/>
    </w:p>
    <w:p>
      <w:pPr>
        <w:spacing w:line="360" w:lineRule="auto"/>
        <w:rPr>
          <w:rFonts w:hint="eastAsia" w:ascii="宋体" w:hAnsi="宋体" w:eastAsia="宋体" w:cs="Times New Roman"/>
          <w:sz w:val="24"/>
          <w:szCs w:val="24"/>
          <w:lang w:val="en-US" w:eastAsia="zh-CN"/>
        </w:rPr>
        <w:outlineLvl w:val="1"/>
      </w:pPr>
      <w:r>
        <w:rPr>
          <w:rFonts w:hint="eastAsia" w:ascii="宋体" w:hAnsi="宋体" w:eastAsia="宋体" w:cs="Times New Roman"/>
          <w:sz w:val="24"/>
          <w:szCs w:val="24"/>
          <w:lang w:val="en-US" w:eastAsia="zh-CN"/>
        </w:rPr>
        <w:t xml:space="preserve">4.4 刺激器在500欧姆的负载电阻下，输出电流不超过80mA。</w:t>
      </w:r>
      <w:r/>
    </w:p>
    <w:p>
      <w:pPr>
        <w:spacing w:line="360" w:lineRule="auto"/>
        <w:rPr>
          <w:rFonts w:hint="default" w:ascii="宋体" w:hAnsi="宋体" w:eastAsia="宋体" w:cs="Times New Roman"/>
          <w:sz w:val="24"/>
          <w:szCs w:val="24"/>
          <w:lang w:val="en-US" w:eastAsia="zh-CN"/>
        </w:rPr>
        <w:outlineLvl w:val="1"/>
      </w:pPr>
      <w:r>
        <w:rPr>
          <w:rFonts w:hint="eastAsia"/>
          <w:sz w:val="24"/>
          <w:szCs w:val="24"/>
        </w:rPr>
        <w:t xml:space="preserve">▲</w:t>
      </w:r>
      <w:r>
        <w:rPr>
          <w:rFonts w:hint="eastAsia" w:ascii="宋体" w:hAnsi="宋体" w:eastAsia="宋体" w:cs="Times New Roman"/>
          <w:sz w:val="24"/>
          <w:szCs w:val="24"/>
          <w:lang w:val="en-US" w:eastAsia="zh-CN"/>
        </w:rPr>
        <w:t xml:space="preserve">4.5 电极阻抗：2通道电极的导电阻抗均应≤200欧姆，5通道电极的导电阻抗均应≤52欧姆，其误差应≤标称值±10%（提供第三方检测报告证明）。</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5.刺激时间</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5.1 刺激时间范围</w:t>
      </w:r>
      <w:r>
        <w:rPr>
          <w:rFonts w:hint="eastAsia" w:ascii="宋体" w:hAnsi="宋体" w:eastAsia="宋体" w:cs="Times New Roman"/>
          <w:sz w:val="24"/>
          <w:szCs w:val="24"/>
          <w:lang w:eastAsia="zh-CN"/>
        </w:rPr>
        <w:t xml:space="preserve">须包含</w:t>
      </w:r>
      <w:r>
        <w:rPr>
          <w:rFonts w:hint="eastAsia" w:ascii="宋体" w:hAnsi="宋体" w:eastAsia="宋体" w:cs="Times New Roman"/>
          <w:sz w:val="24"/>
          <w:szCs w:val="24"/>
        </w:rPr>
        <w:t xml:space="preserve">10Min、20Min、30Min、40Min等多档可选。</w:t>
      </w:r>
      <w:r/>
    </w:p>
    <w:p>
      <w:pPr>
        <w:spacing w:line="360" w:lineRule="auto"/>
        <w:rPr>
          <w:rFonts w:hint="default" w:ascii="宋体" w:hAnsi="宋体" w:eastAsia="宋体" w:cs="Times New Roman"/>
          <w:sz w:val="24"/>
          <w:szCs w:val="24"/>
          <w:lang w:val="en-US" w:eastAsia="zh-CN"/>
        </w:rPr>
        <w:outlineLvl w:val="1"/>
      </w:pPr>
      <w:r>
        <w:rPr>
          <w:rFonts w:hint="eastAsia" w:ascii="宋体" w:hAnsi="宋体" w:eastAsia="宋体" w:cs="Times New Roman"/>
          <w:sz w:val="24"/>
          <w:szCs w:val="24"/>
          <w:lang w:val="en-US" w:eastAsia="zh-CN"/>
        </w:rPr>
        <w:t xml:space="preserve">5.2 刺激时间在档位内自由可调。</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6.刺激模式：</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6.1</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tDCS经颅直流电刺激模式</w:t>
      </w:r>
      <w:r/>
    </w:p>
    <w:p>
      <w:pPr>
        <w:spacing w:line="360" w:lineRule="auto"/>
        <w:rPr>
          <w:rFonts w:hint="default" w:ascii="宋体" w:hAnsi="宋体" w:eastAsia="宋体" w:cs="Times New Roman"/>
          <w:sz w:val="24"/>
          <w:szCs w:val="24"/>
          <w:lang w:val="en-US" w:eastAsia="zh-CN"/>
        </w:rPr>
        <w:outlineLvl w:val="1"/>
      </w:pPr>
      <w:r>
        <w:rPr>
          <w:rFonts w:hint="eastAsia" w:ascii="宋体" w:hAnsi="宋体" w:eastAsia="宋体" w:cs="Times New Roman"/>
          <w:sz w:val="24"/>
          <w:szCs w:val="24"/>
        </w:rPr>
        <w:t xml:space="preserve">6.2</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tACS经颅交流电刺激模式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频率范围0~200Hz，每0.5Hz递增或递减，可实现单相tACS模式</w:t>
      </w:r>
      <w:r/>
    </w:p>
    <w:p>
      <w:pPr>
        <w:spacing w:line="360" w:lineRule="auto"/>
        <w:rPr>
          <w:rFonts w:hint="default" w:ascii="宋体" w:hAnsi="宋体" w:eastAsia="宋体" w:cs="Times New Roman"/>
          <w:sz w:val="24"/>
          <w:szCs w:val="24"/>
          <w:lang w:val="en-US"/>
        </w:rPr>
        <w:outlineLvl w:val="1"/>
      </w:pPr>
      <w:r>
        <w:rPr>
          <w:rFonts w:hint="eastAsia"/>
          <w:sz w:val="24"/>
          <w:szCs w:val="24"/>
        </w:rPr>
        <w:t xml:space="preserve">▲</w:t>
      </w:r>
      <w:r>
        <w:rPr>
          <w:rFonts w:hint="eastAsia" w:ascii="宋体" w:hAnsi="宋体" w:eastAsia="宋体" w:cs="Times New Roman"/>
          <w:sz w:val="24"/>
          <w:szCs w:val="24"/>
        </w:rPr>
        <w:t xml:space="preserve">6.3</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tPCS经颅脉冲电刺激模式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其为占空比50%的方波，占空比误差≤±5%，可实现单相tPCS模式（须提供第三方检测报告证明）；</w:t>
      </w:r>
      <w:r/>
    </w:p>
    <w:p>
      <w:pPr>
        <w:spacing w:line="360" w:lineRule="auto"/>
        <w:rPr>
          <w:rFonts w:hint="default" w:ascii="宋体" w:hAnsi="宋体" w:eastAsia="宋体" w:cs="Times New Roman"/>
          <w:sz w:val="24"/>
          <w:szCs w:val="24"/>
          <w:lang w:val="en-US" w:eastAsia="zh-CN"/>
        </w:rPr>
        <w:outlineLvl w:val="1"/>
      </w:pPr>
      <w:r>
        <w:rPr>
          <w:rFonts w:hint="eastAsia" w:ascii="宋体" w:hAnsi="宋体" w:eastAsia="宋体" w:cs="Times New Roman"/>
          <w:sz w:val="24"/>
          <w:szCs w:val="24"/>
        </w:rPr>
        <w:t xml:space="preserve">6.4</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tRNS经颅随机噪声刺激模式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频率随机</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6.5 </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t</w:t>
      </w:r>
      <w:r>
        <w:rPr>
          <w:rFonts w:hint="eastAsia" w:ascii="宋体" w:hAnsi="宋体" w:eastAsia="宋体" w:cs="Times New Roman"/>
          <w:sz w:val="24"/>
          <w:szCs w:val="24"/>
          <w:lang w:val="en-US" w:eastAsia="zh-CN"/>
        </w:rPr>
        <w:t xml:space="preserve">o</w:t>
      </w:r>
      <w:r>
        <w:rPr>
          <w:rFonts w:hint="eastAsia" w:ascii="宋体" w:hAnsi="宋体" w:eastAsia="宋体" w:cs="Times New Roman"/>
          <w:sz w:val="24"/>
          <w:szCs w:val="24"/>
        </w:rPr>
        <w:t xml:space="preserve">DCS</w:t>
      </w:r>
      <w:r>
        <w:rPr>
          <w:rFonts w:hint="eastAsia" w:ascii="宋体" w:hAnsi="宋体" w:eastAsia="宋体" w:cs="Times New Roman"/>
          <w:sz w:val="24"/>
          <w:szCs w:val="24"/>
          <w:lang w:val="en-US" w:eastAsia="zh-CN"/>
        </w:rPr>
        <w:t xml:space="preserve">经颅</w:t>
      </w:r>
      <w:r>
        <w:rPr>
          <w:rFonts w:hint="eastAsia" w:ascii="宋体" w:hAnsi="宋体" w:eastAsia="宋体" w:cs="Times New Roman"/>
          <w:sz w:val="24"/>
          <w:szCs w:val="24"/>
        </w:rPr>
        <w:t xml:space="preserve">振荡直流</w:t>
      </w:r>
      <w:r>
        <w:rPr>
          <w:rFonts w:hint="eastAsia" w:ascii="宋体" w:hAnsi="宋体" w:eastAsia="宋体" w:cs="Times New Roman"/>
          <w:sz w:val="24"/>
          <w:szCs w:val="24"/>
          <w:lang w:val="en-US" w:eastAsia="zh-CN"/>
        </w:rPr>
        <w:t xml:space="preserve">电</w:t>
      </w:r>
      <w:r>
        <w:rPr>
          <w:rFonts w:hint="eastAsia" w:ascii="宋体" w:hAnsi="宋体" w:eastAsia="宋体" w:cs="Times New Roman"/>
          <w:sz w:val="24"/>
          <w:szCs w:val="24"/>
        </w:rPr>
        <w:t xml:space="preserve">刺激模式</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6.6</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伪刺激模式：在刺激过程中，先上升至预定电流再下降至0，形成与真实刺激的比对功能。</w:t>
      </w:r>
      <w:r/>
    </w:p>
    <w:p>
      <w:pPr>
        <w:spacing w:line="360" w:lineRule="auto"/>
        <w:rPr>
          <w:rFonts w:hint="eastAsia" w:ascii="宋体" w:hAnsi="宋体" w:eastAsia="宋体" w:cs="Times New Roman"/>
          <w:sz w:val="24"/>
          <w:szCs w:val="24"/>
          <w:lang w:eastAsia="zh-CN"/>
        </w:rPr>
        <w:outlineLvl w:val="1"/>
      </w:pPr>
      <w:r>
        <w:rPr>
          <w:rFonts w:hint="eastAsia"/>
          <w:sz w:val="24"/>
          <w:szCs w:val="24"/>
        </w:rPr>
        <w:t xml:space="preserve">▲</w:t>
      </w:r>
      <w:r>
        <w:rPr>
          <w:rFonts w:hint="eastAsia" w:ascii="宋体" w:hAnsi="宋体" w:eastAsia="宋体" w:cs="Times New Roman"/>
          <w:sz w:val="24"/>
          <w:szCs w:val="24"/>
        </w:rPr>
        <w:t xml:space="preserve">6.7</w:t>
      </w:r>
      <w:r>
        <w:rPr>
          <w:rFonts w:hint="eastAsia" w:ascii="宋体" w:hAnsi="宋体" w:eastAsia="宋体" w:cs="Times New Roman"/>
          <w:sz w:val="24"/>
          <w:szCs w:val="24"/>
          <w:lang w:eastAsia="zh-CN"/>
        </w:rPr>
        <w:t xml:space="preserve">须具备</w:t>
      </w:r>
      <w:r>
        <w:rPr>
          <w:rFonts w:hint="eastAsia" w:ascii="宋体" w:hAnsi="宋体" w:eastAsia="宋体" w:cs="Times New Roman"/>
          <w:sz w:val="24"/>
          <w:szCs w:val="24"/>
        </w:rPr>
        <w:t xml:space="preserve">预刺激模式：</w:t>
      </w:r>
      <w:r>
        <w:rPr>
          <w:rFonts w:hint="eastAsia"/>
          <w:sz w:val="24"/>
          <w:szCs w:val="24"/>
        </w:rPr>
        <w:t xml:space="preserve">具备预刺激模式：治疗前进行一定强度电流刺激，测试患者耐受性。</w:t>
      </w:r>
      <w:r>
        <w:rPr>
          <w:rFonts w:hint="eastAsia" w:ascii="宋体" w:hAnsi="宋体" w:eastAsia="宋体" w:cs="Times New Roman"/>
          <w:sz w:val="24"/>
          <w:szCs w:val="24"/>
          <w:lang w:eastAsia="zh-CN"/>
        </w:rPr>
        <w:t xml:space="preserve">激发刺激电流:0.5mA、1mA、1.5mA、2mA，四档可调,电流误差在±10%内，持续时间60s，时间误差在±5%内（</w:t>
      </w:r>
      <w:r>
        <w:rPr>
          <w:rFonts w:hint="eastAsia" w:ascii="宋体" w:hAnsi="宋体" w:eastAsia="宋体" w:cs="Times New Roman"/>
          <w:sz w:val="24"/>
          <w:szCs w:val="24"/>
          <w:lang w:val="en-US" w:eastAsia="zh-CN"/>
        </w:rPr>
        <w:t xml:space="preserve">提供第三方检测报告证明）</w:t>
      </w:r>
      <w:r>
        <w:rPr>
          <w:rFonts w:hint="eastAsia" w:ascii="宋体" w:hAnsi="宋体" w:eastAsia="宋体" w:cs="Times New Roman"/>
          <w:sz w:val="24"/>
          <w:szCs w:val="24"/>
          <w:lang w:eastAsia="zh-CN"/>
        </w:rPr>
        <w:t xml:space="preserve">。 </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lang w:eastAsia="zh-CN"/>
        </w:rPr>
        <w:t xml:space="preserve">7.须具备单双向波切换</w:t>
      </w:r>
      <w:r>
        <w:rPr>
          <w:rFonts w:hint="eastAsia" w:ascii="宋体" w:hAnsi="宋体" w:eastAsia="宋体" w:cs="Times New Roman"/>
          <w:sz w:val="24"/>
          <w:szCs w:val="24"/>
        </w:rPr>
        <w:t xml:space="preserve">功能：</w:t>
      </w:r>
      <w:r>
        <w:rPr>
          <w:rFonts w:hint="eastAsia" w:ascii="宋体" w:hAnsi="宋体" w:eastAsia="宋体" w:cs="Times New Roman"/>
          <w:sz w:val="24"/>
          <w:szCs w:val="24"/>
          <w:lang w:val="en-US" w:eastAsia="zh-CN"/>
        </w:rPr>
        <w:t xml:space="preserve">通过按键切换可实现toDCS经颅振荡直流电刺激模式，其中包括单相经颅交流电刺激、单相经颅脉冲电刺激、单相经颅随机噪声刺激</w:t>
      </w:r>
      <w:r>
        <w:rPr>
          <w:rFonts w:hint="eastAsia" w:ascii="宋体" w:hAnsi="宋体" w:eastAsia="宋体" w:cs="Times New Roman"/>
          <w:sz w:val="24"/>
          <w:szCs w:val="24"/>
        </w:rPr>
        <w:t xml:space="preserve">。</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8.电源条件：直流（DC9V±10％）、交流（AC100~240V）。</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9.设备显示状态</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9.1主机显示功能：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7寸彩色液晶显示屏实时显示电流强度、剩余时间、电极接触质量、刺激波形、工作状态、电池电量、刺激模式等。</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9.2刺激状态指示：指示灯在电流缓升与缓降时闪烁，刺激持续过程中保持常亮。</w:t>
      </w:r>
      <w:r/>
    </w:p>
    <w:p>
      <w:pPr>
        <w:spacing w:line="360" w:lineRule="auto"/>
        <w:rPr>
          <w:rFonts w:hint="eastAsia" w:ascii="宋体" w:hAnsi="宋体" w:eastAsia="宋体" w:cs="Times New Roman"/>
          <w:sz w:val="24"/>
          <w:szCs w:val="24"/>
        </w:rPr>
        <w:outlineLvl w:val="1"/>
      </w:pPr>
      <w:r>
        <w:rPr>
          <w:rFonts w:hint="eastAsia" w:ascii="宋体" w:hAnsi="宋体" w:eastAsia="宋体" w:cs="Times New Roman"/>
          <w:sz w:val="24"/>
          <w:szCs w:val="24"/>
        </w:rPr>
        <w:t xml:space="preserve">9.3扫描显示所有电极电阻值。</w:t>
      </w:r>
      <w:r/>
    </w:p>
    <w:p>
      <w:pPr>
        <w:spacing w:line="360" w:lineRule="auto"/>
        <w:rPr>
          <w:rFonts w:hint="eastAsia" w:ascii="宋体" w:hAnsi="宋体" w:eastAsia="宋体" w:cs="Times New Roman"/>
          <w:sz w:val="24"/>
          <w:szCs w:val="24"/>
          <w:lang w:eastAsia="zh-CN"/>
        </w:rPr>
        <w:outlineLvl w:val="1"/>
      </w:pPr>
      <w:r>
        <w:rPr>
          <w:rFonts w:hint="eastAsia" w:ascii="宋体" w:hAnsi="宋体" w:eastAsia="宋体" w:cs="Times New Roman"/>
          <w:sz w:val="24"/>
          <w:szCs w:val="24"/>
        </w:rPr>
        <w:t xml:space="preserve">10.安全保护功能：刺激过程中，不关闭电源的前提下可随时一键中止电流输出</w:t>
      </w:r>
      <w:r>
        <w:rPr>
          <w:rFonts w:hint="eastAsia" w:ascii="宋体" w:hAnsi="宋体" w:eastAsia="宋体" w:cs="Times New Roman"/>
          <w:sz w:val="24"/>
          <w:szCs w:val="24"/>
          <w:lang w:eastAsia="zh-CN"/>
        </w:rPr>
        <w:t xml:space="preserve">。</w:t>
      </w:r>
      <w:r/>
    </w:p>
    <w:p>
      <w:pPr>
        <w:spacing w:line="360" w:lineRule="auto"/>
        <w:rPr>
          <w:rFonts w:hint="eastAsia" w:ascii="宋体" w:hAnsi="宋体" w:eastAsia="宋体" w:cs="Times New Roman"/>
          <w:sz w:val="24"/>
          <w:szCs w:val="24"/>
          <w:lang w:eastAsia="zh-CN"/>
        </w:rPr>
        <w:outlineLvl w:val="1"/>
      </w:pPr>
      <w:r>
        <w:rPr>
          <w:rFonts w:hint="eastAsia" w:ascii="宋体" w:hAnsi="宋体" w:eastAsia="宋体" w:cs="Times New Roman"/>
          <w:sz w:val="24"/>
          <w:szCs w:val="24"/>
        </w:rPr>
        <w:t xml:space="preserve">11.复位功能：一键复位（按下复位键后，恢复到开机默认状态）</w:t>
      </w:r>
      <w:r>
        <w:rPr>
          <w:rFonts w:hint="eastAsia" w:ascii="宋体" w:hAnsi="宋体" w:eastAsia="宋体" w:cs="Times New Roman"/>
          <w:sz w:val="24"/>
          <w:szCs w:val="24"/>
          <w:lang w:eastAsia="zh-CN"/>
        </w:rPr>
        <w:t xml:space="preserve">。</w:t>
      </w:r>
      <w:r/>
    </w:p>
    <w:p>
      <w:pPr>
        <w:spacing w:line="360" w:lineRule="auto"/>
        <w:rPr>
          <w:rFonts w:hint="eastAsia" w:ascii="宋体" w:hAnsi="宋体" w:eastAsia="宋体" w:cs="Times New Roman"/>
          <w:sz w:val="24"/>
          <w:szCs w:val="24"/>
          <w:lang w:eastAsia="zh-CN"/>
        </w:rPr>
        <w:outlineLvl w:val="1"/>
      </w:pPr>
      <w:r>
        <w:rPr>
          <w:rFonts w:hint="eastAsia"/>
          <w:sz w:val="24"/>
          <w:szCs w:val="24"/>
        </w:rPr>
        <w:t xml:space="preserve">▲</w:t>
      </w:r>
      <w:r>
        <w:rPr>
          <w:rFonts w:hint="eastAsia" w:ascii="宋体" w:hAnsi="宋体" w:eastAsia="宋体" w:cs="Times New Roman"/>
          <w:sz w:val="24"/>
          <w:szCs w:val="24"/>
        </w:rPr>
        <w:t xml:space="preserve">12、具备断电保护功能：因误碰电源线缆导致断电、事故停电等突发断电情况下，可保证设备持续供电，不会造成治疗</w:t>
      </w:r>
      <w:r>
        <w:rPr>
          <w:rFonts w:hint="eastAsia"/>
          <w:sz w:val="24"/>
          <w:szCs w:val="24"/>
        </w:rPr>
        <w:t xml:space="preserve">中断且持续供电≥1小时。</w:t>
      </w:r>
      <w:r/>
    </w:p>
    <w:p>
      <w:pPr>
        <w:spacing w:line="360" w:lineRule="auto"/>
        <w:rPr>
          <w:rFonts w:hint="eastAsia" w:ascii="宋体" w:hAnsi="宋体" w:eastAsia="宋体" w:cs="Times New Roman"/>
          <w:sz w:val="24"/>
          <w:szCs w:val="24"/>
          <w:lang w:eastAsia="zh-CN"/>
        </w:rPr>
        <w:outlineLvl w:val="1"/>
      </w:pPr>
      <w:r>
        <w:rPr>
          <w:rFonts w:hint="eastAsia"/>
          <w:sz w:val="24"/>
          <w:szCs w:val="24"/>
        </w:rPr>
        <w:t xml:space="preserve">▲</w:t>
      </w:r>
      <w:r>
        <w:rPr>
          <w:rFonts w:hint="eastAsia" w:ascii="宋体" w:hAnsi="宋体" w:eastAsia="宋体" w:cs="Times New Roman"/>
          <w:sz w:val="24"/>
          <w:szCs w:val="24"/>
          <w:lang w:val="en-US" w:eastAsia="zh-CN"/>
        </w:rPr>
        <w:t xml:space="preserve">13.支持配置</w:t>
      </w:r>
      <w:r>
        <w:rPr>
          <w:rFonts w:hint="eastAsia" w:ascii="宋体" w:hAnsi="宋体" w:eastAsia="宋体" w:cs="Times New Roman"/>
          <w:sz w:val="24"/>
          <w:szCs w:val="24"/>
        </w:rPr>
        <w:t xml:space="preserve">电流正向解析系统，面向经颅电刺激仿真分析，提供完整的电场建模、快速计算与结果可视化流程，以3D图形显示对应治疗方案的电流在大脑皮层的场强分布</w:t>
      </w:r>
      <w:r>
        <w:rPr>
          <w:rFonts w:hint="eastAsia" w:ascii="宋体" w:hAnsi="宋体" w:eastAsia="宋体" w:cs="Times New Roman"/>
          <w:sz w:val="24"/>
          <w:szCs w:val="24"/>
          <w:lang w:eastAsia="zh-CN"/>
        </w:rPr>
        <w:t xml:space="preserve">（</w:t>
      </w:r>
      <w:r>
        <w:rPr>
          <w:rFonts w:hint="eastAsia" w:ascii="宋体" w:hAnsi="宋体" w:eastAsia="宋体" w:cs="宋体"/>
          <w:color w:val="000000"/>
          <w:sz w:val="24"/>
          <w:szCs w:val="24"/>
          <w:lang w:val="en-US" w:eastAsia="zh-CN"/>
        </w:rPr>
        <w:t xml:space="preserve">须提供计算机软件著作证书</w:t>
      </w:r>
      <w:r>
        <w:rPr>
          <w:rFonts w:hint="eastAsia" w:ascii="宋体" w:hAnsi="宋体" w:eastAsia="宋体" w:cs="Times New Roman"/>
          <w:sz w:val="24"/>
          <w:szCs w:val="24"/>
          <w:lang w:eastAsia="zh-CN"/>
        </w:rPr>
        <w:t xml:space="preserve">）；</w:t>
      </w:r>
      <w:r/>
    </w:p>
    <w:p>
      <w:pPr>
        <w:jc w:val="center"/>
        <w:spacing w:line="360" w:lineRule="auto"/>
        <w:rPr>
          <w:rFonts w:ascii="华文宋体" w:hAnsi="华文宋体" w:eastAsia="华文宋体" w:cs="华文宋体"/>
          <w:b/>
          <w:bCs/>
          <w:sz w:val="24"/>
          <w:szCs w:val="24"/>
        </w:rPr>
      </w:pPr>
      <w:r>
        <w:rPr>
          <w:rFonts w:hint="eastAsia" w:ascii="华文宋体" w:hAnsi="华文宋体" w:eastAsia="华文宋体" w:cs="华文宋体"/>
          <w:b/>
          <w:bCs/>
          <w:sz w:val="24"/>
          <w:szCs w:val="24"/>
          <w:lang w:val="en-US" w:eastAsia="zh-CN"/>
        </w:rPr>
        <w:t xml:space="preserve">包2</w:t>
      </w:r>
      <w:r>
        <w:rPr>
          <w:rFonts w:hint="eastAsia" w:ascii="华文宋体" w:hAnsi="华文宋体" w:eastAsia="华文宋体" w:cs="华文宋体"/>
          <w:b/>
          <w:bCs/>
          <w:sz w:val="24"/>
          <w:szCs w:val="24"/>
        </w:rPr>
        <w:t xml:space="preserve">经颅电刺激仪</w:t>
      </w:r>
      <w:r>
        <w:rPr>
          <w:rFonts w:hint="eastAsia" w:ascii="华文宋体" w:hAnsi="华文宋体" w:eastAsia="华文宋体" w:cs="华文宋体"/>
          <w:b/>
          <w:bCs/>
          <w:sz w:val="24"/>
          <w:szCs w:val="24"/>
          <w:lang w:eastAsia="zh-CN"/>
        </w:rPr>
        <w:t xml:space="preserve">（</w:t>
      </w:r>
      <w:r>
        <w:rPr>
          <w:rFonts w:hint="eastAsia" w:ascii="华文宋体" w:hAnsi="华文宋体" w:eastAsia="华文宋体" w:cs="华文宋体"/>
          <w:b/>
          <w:bCs/>
          <w:sz w:val="24"/>
          <w:szCs w:val="24"/>
          <w:lang w:val="en-US" w:eastAsia="zh-CN"/>
        </w:rPr>
        <w:t xml:space="preserve">四人版</w:t>
      </w:r>
      <w:r>
        <w:rPr>
          <w:rFonts w:hint="eastAsia" w:ascii="华文宋体" w:hAnsi="华文宋体" w:eastAsia="华文宋体" w:cs="华文宋体"/>
          <w:b/>
          <w:bCs/>
          <w:sz w:val="24"/>
          <w:szCs w:val="24"/>
          <w:lang w:eastAsia="zh-CN"/>
        </w:rPr>
        <w:t xml:space="preserve">）</w:t>
      </w:r>
      <w:r>
        <w:rPr>
          <w:rFonts w:hint="eastAsia" w:ascii="华文宋体" w:hAnsi="华文宋体" w:eastAsia="华文宋体" w:cs="华文宋体"/>
          <w:b/>
          <w:bCs/>
          <w:sz w:val="24"/>
          <w:szCs w:val="24"/>
        </w:rPr>
        <w:t xml:space="preserve">技术参数</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1.输出人数：≥</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通道输出，可独立治疗≥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名患者，互不干扰，同时治疗；</w:t>
      </w:r>
      <w:r/>
    </w:p>
    <w:p>
      <w:pPr>
        <w:spacing w:line="360" w:lineRule="auto"/>
        <w:rPr>
          <w:rFonts w:ascii="宋体" w:hAnsi="宋体" w:eastAsia="宋体" w:cs="宋体"/>
          <w:color w:val="000000"/>
          <w:sz w:val="24"/>
          <w:szCs w:val="24"/>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2.传输方式:无线传输（非</w:t>
      </w:r>
      <w:r>
        <w:rPr>
          <w:rFonts w:ascii="宋体" w:hAnsi="宋体" w:eastAsia="宋体" w:cs="宋体"/>
          <w:color w:val="000000"/>
          <w:sz w:val="24"/>
          <w:szCs w:val="24"/>
        </w:rPr>
        <w:t xml:space="preserve">WiFi</w:t>
      </w:r>
      <w:r>
        <w:rPr>
          <w:rFonts w:hint="eastAsia" w:ascii="宋体" w:hAnsi="宋体" w:eastAsia="宋体" w:cs="宋体"/>
          <w:color w:val="000000"/>
          <w:sz w:val="24"/>
          <w:szCs w:val="24"/>
        </w:rPr>
        <w:t xml:space="preserve">或蓝牙传输），电刺激器与主机传输距离≥30米，刺激器脱离主机仍可独立使用，方便病床和门诊同时开展治疗；</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3.接触质量：经颅电刺激控制软件端和刺激器端均可通过光标（非数值）移动来体现电极接触质量；</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4.刺激模式：</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rPr>
        <w:t xml:space="preserve">具有tDCS经颅直流电刺激模式、tACS经颅交流电刺激模式</w:t>
      </w:r>
      <w:r>
        <w:rPr>
          <w:rFonts w:hint="eastAsia" w:ascii="宋体" w:hAnsi="宋体" w:eastAsia="宋体" w:cs="宋体"/>
          <w:color w:val="000000"/>
          <w:sz w:val="24"/>
          <w:szCs w:val="24"/>
          <w:lang w:val="en-US" w:eastAsia="zh-CN"/>
        </w:rPr>
        <w:t xml:space="preserve">、toDCS经颅振荡直流电刺激</w:t>
      </w:r>
      <w:r>
        <w:rPr>
          <w:rFonts w:hint="eastAsia" w:ascii="宋体" w:hAnsi="宋体" w:eastAsia="宋体" w:cs="宋体"/>
          <w:color w:val="000000"/>
          <w:sz w:val="24"/>
          <w:szCs w:val="24"/>
        </w:rPr>
        <w:t xml:space="preserve">、预刺激模式、伪刺激模式；</w:t>
      </w:r>
      <w:r/>
    </w:p>
    <w:p>
      <w:pPr>
        <w:spacing w:line="360" w:lineRule="auto"/>
        <w:rPr>
          <w:rFonts w:ascii="宋体" w:hAnsi="宋体" w:eastAsia="宋体" w:cs="宋体"/>
          <w:color w:val="000000"/>
          <w:sz w:val="24"/>
          <w:szCs w:val="24"/>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5.预刺激模式下：激发电流0.5mA、1mA、1.5mA、2mA、2.5mA五档可调，刺激波形经颅直流电刺激、经颅交流电刺激</w:t>
      </w:r>
      <w:r>
        <w:rPr>
          <w:rFonts w:hint="eastAsia" w:ascii="宋体" w:hAnsi="宋体" w:eastAsia="宋体" w:cs="宋体"/>
          <w:color w:val="000000"/>
          <w:sz w:val="24"/>
          <w:szCs w:val="24"/>
          <w:lang w:val="en-US" w:eastAsia="zh-CN"/>
        </w:rPr>
        <w:t xml:space="preserve">等多</w:t>
      </w:r>
      <w:r>
        <w:rPr>
          <w:rFonts w:hint="eastAsia" w:ascii="宋体" w:hAnsi="宋体" w:eastAsia="宋体" w:cs="宋体"/>
          <w:color w:val="000000"/>
          <w:sz w:val="24"/>
          <w:szCs w:val="24"/>
        </w:rPr>
        <w:t xml:space="preserve">种可选，电流误差应≤±10%，持续时间 60s，时间误差≤±5%（须提供</w:t>
      </w:r>
      <w:r>
        <w:rPr>
          <w:rFonts w:hint="eastAsia" w:ascii="宋体" w:hAnsi="宋体" w:eastAsia="宋体" w:cs="宋体"/>
          <w:color w:val="000000"/>
          <w:sz w:val="24"/>
          <w:szCs w:val="24"/>
          <w:lang w:val="en-US" w:eastAsia="zh-CN"/>
        </w:rPr>
        <w:t xml:space="preserve">第三方</w:t>
      </w:r>
      <w:r>
        <w:rPr>
          <w:rFonts w:hint="eastAsia" w:ascii="宋体" w:hAnsi="宋体" w:eastAsia="宋体" w:cs="宋体"/>
          <w:color w:val="000000"/>
          <w:sz w:val="24"/>
          <w:szCs w:val="24"/>
        </w:rPr>
        <w:t xml:space="preserve">产品检测报告</w:t>
      </w:r>
      <w:r>
        <w:rPr>
          <w:rFonts w:hint="eastAsia" w:ascii="宋体" w:hAnsi="宋体" w:eastAsia="宋体" w:cs="宋体"/>
          <w:color w:val="000000"/>
          <w:sz w:val="24"/>
          <w:szCs w:val="24"/>
          <w:lang w:val="en-US" w:eastAsia="zh-CN"/>
        </w:rPr>
        <w:t xml:space="preserve">证明</w:t>
      </w:r>
      <w:r>
        <w:rPr>
          <w:rFonts w:hint="eastAsia" w:ascii="宋体" w:hAnsi="宋体" w:eastAsia="宋体" w:cs="宋体"/>
          <w:color w:val="000000"/>
          <w:sz w:val="24"/>
          <w:szCs w:val="24"/>
        </w:rPr>
        <w:t xml:space="preserve">）；</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6.单双相模式：经颅交流电刺激波形具有单相/双相波形功能，可通过按键或控制软件进行设置；</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7.电流强度范围：0～2.5mA，0.5mA、1mA、1.5mA、2mA、2.5mA五档可调，且刺激治疗过程中电流实可调，步长 0.01 mA，误差应≤±10%设定值；</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8.输出频率：≤200Hz ，范围可调，步长：0.5Hz，误差≤±10%设定值；</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9.具有认知评估功能，可保存评估记录，查看报告及打印；</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10.内置可充电锂电池（非可拆卸式电池），容量≥5000</w:t>
      </w:r>
      <w:r>
        <w:rPr>
          <w:rFonts w:ascii="宋体" w:hAnsi="宋体" w:eastAsia="宋体" w:cs="宋体"/>
          <w:color w:val="000000"/>
          <w:sz w:val="24"/>
          <w:szCs w:val="24"/>
        </w:rPr>
        <w:t xml:space="preserve">mAh</w:t>
      </w:r>
      <w:r>
        <w:rPr>
          <w:rFonts w:hint="eastAsia" w:ascii="宋体" w:hAnsi="宋体" w:eastAsia="宋体" w:cs="宋体"/>
          <w:color w:val="000000"/>
          <w:sz w:val="24"/>
          <w:szCs w:val="24"/>
        </w:rPr>
        <w:t xml:space="preserve">，满电状态下可连续工作≥8小时；</w:t>
      </w:r>
      <w:r/>
    </w:p>
    <w:p>
      <w:pPr>
        <w:spacing w:line="360" w:lineRule="auto"/>
        <w:rPr>
          <w:rFonts w:ascii="宋体" w:hAnsi="宋体" w:eastAsia="宋体" w:cs="宋体"/>
          <w:color w:val="000000"/>
          <w:sz w:val="24"/>
          <w:szCs w:val="24"/>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11.支持无线磁吸充电和有线</w:t>
      </w:r>
      <w:r>
        <w:rPr>
          <w:rFonts w:ascii="宋体" w:hAnsi="宋体" w:eastAsia="宋体" w:cs="宋体"/>
          <w:color w:val="000000"/>
          <w:sz w:val="24"/>
          <w:szCs w:val="24"/>
        </w:rPr>
        <w:t xml:space="preserve">type-C</w:t>
      </w:r>
      <w:r>
        <w:rPr>
          <w:rFonts w:hint="eastAsia" w:ascii="宋体" w:hAnsi="宋体" w:eastAsia="宋体" w:cs="宋体"/>
          <w:color w:val="000000"/>
          <w:sz w:val="24"/>
          <w:szCs w:val="24"/>
        </w:rPr>
        <w:t xml:space="preserve">充电两种充电方式；（须提供产品说明书和产品功能截图证明）；</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12.安全保护功能：刺激过程中，不关闭电源的前提下可随时一键终止电流输出，按下终止后，刺激结束倒计时≤30秒；</w:t>
      </w:r>
      <w:r/>
    </w:p>
    <w:p>
      <w:pPr>
        <w:spacing w:line="360" w:lineRule="auto"/>
        <w:rPr>
          <w:rFonts w:ascii="宋体" w:hAnsi="宋体" w:eastAsia="宋体" w:cs="宋体"/>
          <w:color w:val="000000"/>
          <w:sz w:val="24"/>
          <w:szCs w:val="24"/>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13.配件要求：具备≥</w:t>
      </w:r>
      <w:r>
        <w:rPr>
          <w:rFonts w:hint="eastAsia" w:ascii="宋体" w:hAnsi="宋体" w:eastAsia="宋体" w:cs="宋体"/>
          <w:color w:val="000000"/>
          <w:sz w:val="24"/>
          <w:szCs w:val="24"/>
          <w:lang w:val="en-US" w:eastAsia="zh-CN"/>
        </w:rPr>
        <w:t xml:space="preserve">4.5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4.5cm</w:t>
      </w:r>
      <w:r>
        <w:rPr>
          <w:rFonts w:hint="eastAsia" w:ascii="宋体" w:hAnsi="宋体" w:eastAsia="宋体" w:cs="宋体"/>
          <w:color w:val="000000"/>
          <w:sz w:val="24"/>
          <w:szCs w:val="24"/>
        </w:rPr>
        <w:t xml:space="preserve">碳橡胶电极，且电阻值范围应在100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330欧姆，同时提供≥</w:t>
      </w:r>
      <w:r>
        <w:rPr>
          <w:rFonts w:hint="eastAsia" w:ascii="宋体" w:hAnsi="宋体" w:eastAsia="宋体" w:cs="宋体"/>
          <w:color w:val="000000"/>
          <w:sz w:val="24"/>
          <w:szCs w:val="24"/>
          <w:lang w:val="en-US" w:eastAsia="zh-CN"/>
        </w:rPr>
        <w:t xml:space="preserve">5*7cm</w:t>
      </w:r>
      <w:r>
        <w:rPr>
          <w:rFonts w:hint="eastAsia" w:ascii="宋体" w:hAnsi="宋体" w:eastAsia="宋体" w:cs="宋体"/>
          <w:color w:val="000000"/>
          <w:sz w:val="24"/>
          <w:szCs w:val="24"/>
        </w:rPr>
        <w:t xml:space="preserve">海绵垫片配套使用；（须提供相应医疗器械备案凭证证明）</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独立电刺激器显示功能，方便快速直接查看患者治疗信息，可实现显示刺激波形、无线连接状态、电池电量、刺激模式、设定电流大小、实时电流大小、频率大小、单双相、接触质量光标、设定时间及剩余刺激时间；（须提供产品说明书和产品功能截图证明）；</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独立电刺激器操作功能，方便快速操作，至少具有模式选择、刺激波形选择、设定电流、实时电流调节、实时频率调节、设定时间、单双相选择、开始/终止等功能；（须提供产品说明书和产品功能截图证明）；</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16.配备经颅电刺激仪控制软件系统，至少具有患者信息管理、方案设置管理、用户账号管理及系统管理等功能；</w:t>
      </w:r>
      <w:r/>
    </w:p>
    <w:p>
      <w:pPr>
        <w:spacing w:line="360" w:lineRule="auto"/>
        <w:rPr>
          <w:rFonts w:hint="eastAsia" w:ascii="宋体" w:hAnsi="宋体" w:eastAsia="宋体" w:cs="宋体"/>
          <w:color w:val="000000"/>
          <w:sz w:val="24"/>
          <w:szCs w:val="24"/>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7.</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可增配</w:t>
      </w:r>
      <w:r>
        <w:rPr>
          <w:rFonts w:hint="eastAsia" w:ascii="宋体" w:hAnsi="宋体" w:eastAsia="宋体" w:cs="宋体"/>
          <w:color w:val="000000"/>
          <w:sz w:val="24"/>
          <w:szCs w:val="24"/>
        </w:rPr>
        <w:t xml:space="preserve">电流正向解析系统，面向经颅电刺激仿真分析，提供完整的电场建模、快速计算与结果可视化流程，以3D图形显示对应治疗方案的电流在大脑皮层的场强分布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须提供计算机软件著作证书</w:t>
      </w:r>
      <w:r>
        <w:rPr>
          <w:rFonts w:hint="eastAsia" w:ascii="宋体" w:hAnsi="宋体" w:eastAsia="宋体" w:cs="宋体"/>
          <w:color w:val="000000"/>
          <w:sz w:val="24"/>
          <w:szCs w:val="24"/>
          <w:lang w:eastAsia="zh-CN"/>
        </w:rPr>
        <w:t xml:space="preserve">）；</w:t>
      </w:r>
      <w:r/>
    </w:p>
    <w:p>
      <w:pPr>
        <w:spacing w:line="360" w:lineRule="auto"/>
        <w:rPr>
          <w:rFonts w:hint="eastAsia" w:ascii="宋体" w:hAnsi="宋体" w:eastAsia="宋体" w:cs="宋体"/>
          <w:color w:val="000000"/>
          <w:sz w:val="24"/>
          <w:szCs w:val="24"/>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.支持常规经颅电刺激、高精度经颅电刺激（HD-tES）标准4×1和HD-tES自由放置三种刺激模式，并可在界面内一键切换；</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支持3D脑表面电场热力图展示，可旋转、缩放查看，并支持矢状面、冠状面和轴位切片联动显示，通过不同角度观察电流在大脑内部的场强分布，实现可视化经颅电刺激；</w:t>
      </w:r>
      <w:r/>
    </w:p>
    <w:p>
      <w:pPr>
        <w:spacing w:line="360" w:lineRule="auto"/>
        <w:rPr>
          <w:rFonts w:hint="eastAsia" w:ascii="宋体" w:hAnsi="宋体" w:eastAsia="宋体" w:cs="宋体"/>
          <w:color w:val="000000"/>
          <w:sz w:val="24"/>
          <w:szCs w:val="24"/>
          <w:lang w:val="en-US" w:eastAsia="zh-CN"/>
        </w:rPr>
      </w:pPr>
      <w:r>
        <w:rPr>
          <w:rFonts w:hint="eastAsia" w:ascii="PingFang SC" w:hAnsi="PingFang SC" w:eastAsia="PingFang SC" w:cs="PingFang SC"/>
          <w:color w:val="000000"/>
          <w:sz w:val="24"/>
          <w:szCs w:val="24"/>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.支持用户自定义电极位置、极性和电流强度，并提供头皮电极分布可视化展示，</w:t>
      </w:r>
      <w:r>
        <w:rPr>
          <w:rFonts w:hint="eastAsia" w:ascii="宋体" w:hAnsi="宋体" w:eastAsia="宋体" w:cs="宋体"/>
          <w:color w:val="000000"/>
          <w:sz w:val="24"/>
          <w:szCs w:val="24"/>
          <w:lang w:val="en-US" w:eastAsia="zh-CN"/>
        </w:rPr>
        <w:t xml:space="preserve">同步标注阳极与阴极位置，内置多种经颅电刺激预设方案。     </w:t>
      </w:r>
      <w:r/>
    </w:p>
    <w:p>
      <w:pPr>
        <w:spacing w:line="360" w:lineRule="auto"/>
        <w:rPr>
          <w:rFonts w:hint="eastAsia"/>
          <w:b/>
          <w:bCs/>
          <w:spacing w:val="-6"/>
          <w:sz w:val="24"/>
          <w:szCs w:val="24"/>
          <w:lang w:val="en-US" w:eastAsia="zh-CN"/>
        </w:rPr>
      </w:pPr>
      <w:r>
        <w:rPr>
          <w:rFonts w:hint="eastAsia" w:ascii="宋体" w:hAnsi="宋体" w:eastAsia="宋体" w:cs="宋体"/>
          <w:color w:val="000000"/>
          <w:sz w:val="24"/>
          <w:szCs w:val="24"/>
          <w:lang w:val="en-US" w:eastAsia="zh-CN"/>
        </w:rPr>
        <w:t xml:space="preserve">18.适用范围至少包括对脑功能损伤引起的运动功能障碍、语言障碍、吞咽障碍进行治疗,辅助治疗或缓解认知障碍，在医生指导下使用辅助改善患者失眠症状，可用于认知障碍的评定。</w:t>
      </w:r>
      <w:r>
        <w:rPr>
          <w:rFonts w:hint="eastAsia" w:ascii="宋体" w:hAnsi="宋体" w:eastAsia="宋体" w:cs="宋体"/>
          <w:color w:val="000000"/>
          <w:sz w:val="24"/>
          <w:szCs w:val="24"/>
        </w:rPr>
        <w:t xml:space="preserve">   </w:t>
      </w:r>
      <w:r/>
    </w:p>
    <w:p>
      <w:pP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default" w:ascii="宋体" w:hAnsi="宋体" w:cs="宋体"/>
          <w:b/>
          <w:color w:val="000000" w:themeColor="text1"/>
          <w:sz w:val="24"/>
          <w:szCs w:val="24"/>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
          <w:bCs w:val="0"/>
          <w:color w:val="000000" w:themeColor="text1"/>
          <w:sz w:val="24"/>
          <w:szCs w:val="24"/>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
          <w:bCs w:val="0"/>
          <w:color w:val="000000" w:themeColor="text1"/>
          <w:sz w:val="24"/>
          <w:szCs w:val="24"/>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
          <w:bCs w:val="0"/>
          <w:color w:val="000000" w:themeColor="text1"/>
          <w:sz w:val="24"/>
          <w:szCs w:val="24"/>
          <w:highlight w:val="none"/>
          <w:lang w:val="en-US" w:eastAsia="zh-CN"/>
          <w14:textFill>
            <w14:solidFill>
              <w14:schemeClr w14:val="tx1"/>
            </w14:solidFill>
          </w14:textFill>
        </w:rPr>
        <w:t xml:space="preserve">应急预案：</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
          <w:bCs w:val="0"/>
          <w:color w:val="000000" w:themeColor="text1"/>
          <w:sz w:val="24"/>
          <w:szCs w:val="24"/>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default" w:ascii="宋体" w:hAnsi="宋体" w:cs="宋体"/>
          <w:b/>
          <w:color w:val="000000" w:themeColor="text1"/>
          <w:sz w:val="24"/>
          <w:szCs w:val="24"/>
          <w:highlight w:val="none"/>
          <w:lang w:val="en-US" w:eastAsia="zh-CN"/>
          <w14:textFill>
            <w14:solidFill>
              <w14:schemeClr w14:val="tx1"/>
            </w14:solidFill>
          </w14:textFill>
        </w:rPr>
        <w:t xml:space="preserve">操作培训方案</w:t>
      </w:r>
      <w:r/>
    </w:p>
    <w:tbl>
      <w:tblPr>
        <w:tblStyle w:val="68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264"/>
        <w:gridCol w:w="3540"/>
        <w:gridCol w:w="198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4"/>
                <w:szCs w:val="24"/>
                <w14:textFill>
                  <w14:solidFill>
                    <w14:schemeClr w14:val="tx1"/>
                  </w14:solidFill>
                </w14:textFill>
              </w:rPr>
              <w:suppressLineNumbers w:val="0"/>
            </w:pPr>
            <w:r>
              <w:rPr>
                <w:rFonts w:ascii="宋体" w:hAnsi="宋体" w:eastAsia="宋体" w:cs="宋体"/>
                <w:b/>
                <w:bCs/>
                <w:color w:val="000000" w:themeColor="text1"/>
                <w:sz w:val="24"/>
                <w:szCs w:val="24"/>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4"/>
                <w:szCs w:val="24"/>
                <w14:textFill>
                  <w14:solidFill>
                    <w14:schemeClr w14:val="tx1"/>
                  </w14:solidFill>
                </w14:textFill>
              </w:rPr>
              <w:suppressLineNumbers w:val="0"/>
            </w:pPr>
            <w:r>
              <w:rPr>
                <w:rFonts w:ascii="宋体" w:hAnsi="宋体" w:eastAsia="宋体" w:cs="宋体"/>
                <w:b/>
                <w:bCs/>
                <w:color w:val="000000" w:themeColor="text1"/>
                <w:sz w:val="24"/>
                <w:szCs w:val="24"/>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4"/>
                <w:szCs w:val="24"/>
                <w14:textFill>
                  <w14:solidFill>
                    <w14:schemeClr w14:val="tx1"/>
                  </w14:solidFill>
                </w14:textFill>
              </w:rPr>
              <w:suppressLineNumbers w:val="0"/>
            </w:pPr>
            <w:r>
              <w:rPr>
                <w:rFonts w:ascii="宋体" w:hAnsi="宋体" w:eastAsia="宋体" w:cs="宋体"/>
                <w:b/>
                <w:bCs/>
                <w:color w:val="000000" w:themeColor="text1"/>
                <w:sz w:val="24"/>
                <w:szCs w:val="24"/>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4"/>
                <w:szCs w:val="24"/>
                <w14:textFill>
                  <w14:solidFill>
                    <w14:schemeClr w14:val="tx1"/>
                  </w14:solidFill>
                </w14:textFill>
              </w:rPr>
              <w:suppressLineNumbers w:val="0"/>
            </w:pPr>
            <w:r>
              <w:rPr>
                <w:rFonts w:ascii="宋体" w:hAnsi="宋体" w:eastAsia="宋体" w:cs="宋体"/>
                <w:color w:val="000000" w:themeColor="text1"/>
                <w:sz w:val="24"/>
                <w:szCs w:val="24"/>
                <w:lang w:val="en-US" w:eastAsia="zh-CN" w:bidi="ar"/>
                <w14:textFill>
                  <w14:solidFill>
                    <w14:schemeClr w14:val="tx1"/>
                  </w14:solidFill>
                </w14:textFill>
              </w:rPr>
              <w:t xml:space="preserve">厂家认证或考核</w:t>
            </w:r>
            <w:r/>
          </w:p>
        </w:tc>
      </w:tr>
    </w:tbl>
    <w:p>
      <w:p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六、</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宁区第二人民医院采购电痉挛治疗仪等医疗设备每年免费设备维护和现场巡检至少1次。因投标方设计安装原因而出现故障，则质保期从故障修复之日起重新开始计算。同步延长江宁区第二人民医院采购电痉挛治疗仪等医疗设备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7"/>
        </w:num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耗材更换</w:t>
      </w:r>
      <w:r/>
    </w:p>
    <w:p>
      <w:pPr>
        <w:numPr>
          <w:ilvl w:val="0"/>
          <w:numId w:val="8"/>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单次更换参考价格</w:t>
      </w:r>
      <w:r/>
    </w:p>
    <w:p>
      <w:pPr>
        <w:numPr>
          <w:ilvl w:val="0"/>
          <w:numId w:val="8"/>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更换服务标准</w:t>
      </w:r>
      <w:r/>
    </w:p>
    <w:p>
      <w:pPr>
        <w:numPr>
          <w:ilvl w:val="0"/>
          <w:numId w:val="0"/>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更换操作规范：由具备资质的技术人员执行，保留旧件供核查</w:t>
      </w:r>
      <w:r/>
    </w:p>
    <w:p>
      <w:pPr>
        <w:numPr>
          <w:ilvl w:val="0"/>
          <w:numId w:val="7"/>
        </w:num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耗材供应保障</w:t>
      </w:r>
      <w:r/>
    </w:p>
    <w:p>
      <w:pPr>
        <w:numPr>
          <w:ilvl w:val="0"/>
          <w:numId w:val="0"/>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原厂耗材优先：如允许兼容耗材，须明确质量等效标准</w:t>
      </w:r>
      <w:r/>
    </w:p>
    <w:p>
      <w:pPr>
        <w:numPr>
          <w:ilvl w:val="0"/>
          <w:numId w:val="7"/>
        </w:num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default" w:ascii="宋体" w:hAnsi="宋体" w:cs="宋体"/>
          <w:b/>
          <w:color w:val="000000" w:themeColor="text1"/>
          <w:sz w:val="24"/>
          <w:szCs w:val="24"/>
          <w:highlight w:val="none"/>
          <w:lang w:val="en-US" w:eastAsia="zh-CN"/>
          <w14:textFill>
            <w14:solidFill>
              <w14:schemeClr w14:val="tx1"/>
            </w14:solidFill>
          </w14:textFill>
        </w:rPr>
        <w:t xml:space="preserve">耗材管理支持</w:t>
      </w:r>
      <w:r/>
    </w:p>
    <w:p>
      <w:pPr>
        <w:numPr>
          <w:ilvl w:val="0"/>
          <w:numId w:val="0"/>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提供耗材库存管理建议</w:t>
      </w:r>
      <w:r/>
    </w:p>
    <w:p>
      <w:pPr>
        <w:numPr>
          <w:ilvl w:val="0"/>
          <w:numId w:val="0"/>
        </w:numPr>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报修响应时间在规定时间内解决。储备足够的零配件备库，并以小于报价80%的扣率予以优惠供应维修零配件。消耗品的供应，应由双方另设协议决定。消耗品价格保证2年不变，以后如有变化，每年幅度不超过5%。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1、质保要求：</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default" w:ascii="宋体" w:hAnsi="宋体" w:cs="宋体"/>
          <w:b/>
          <w:color w:val="000000" w:themeColor="text1"/>
          <w:sz w:val="24"/>
          <w:szCs w:val="24"/>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（中标以后签订合同之前提供）</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3、厂家责任</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2）厂家须保证停产后的备件供应</w:t>
      </w:r>
      <w:r/>
    </w:p>
    <w:p>
      <w:pPr>
        <w:numPr>
          <w:ilvl w:val="0"/>
          <w:numId w:val="0"/>
        </w:numPr>
        <w:ind w:firstLine="480"/>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八、供货方案</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82"/>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default" w:ascii="宋体" w:hAnsi="宋体" w:cs="宋体"/>
          <w:b/>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方案</w:t>
      </w:r>
      <w:r>
        <w:rPr>
          <w:rFonts w:hint="default" w:ascii="宋体" w:hAnsi="宋体" w:cs="宋体"/>
          <w:b/>
          <w:color w:val="000000" w:themeColor="text1"/>
          <w:sz w:val="24"/>
          <w:szCs w:val="24"/>
          <w:highlight w:val="none"/>
          <w:lang w:val="en-US" w:eastAsia="zh-CN"/>
          <w14:textFill>
            <w14:solidFill>
              <w14:schemeClr w14:val="tx1"/>
            </w14:solidFill>
          </w14:textFill>
        </w:rPr>
        <w:t xml:space="preserve">要求</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7×24小时服务热线：400/800电话，配备专业客服专员</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现场服务：持证工程师携带备件工具到场维修</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（2）应急预案</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一</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、故障分级应急响应</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响应措施：</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响应措施：</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定</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义：次要功能异常，不影响核心诊疗功能。</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响应措施：</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（四）四级故障（轻微故障）</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定义：外观瑕疵、非功能性提示等。</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响应措施：</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接报后4小时内响应，远程指导解决或协商约定现场处理时间，5个工作日内完成处置。</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、批量故障与系统性风险应急</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4"/>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备用设备保障：</w:t>
      </w:r>
      <w:r/>
    </w:p>
    <w:p>
      <w:pPr>
        <w:numPr>
          <w:ilvl w:val="0"/>
          <w:numId w:val="0"/>
        </w:numPr>
        <w:ind w:firstLine="480"/>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48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2、由中标方免费将全套设备运送至各指定地点并安装调试到位，</w:t>
      </w:r>
      <w:r>
        <w:rPr>
          <w:rFonts w:hint="eastAsia" w:ascii="宋体" w:hAnsi="宋体" w:cs="宋体"/>
          <w:bCs/>
          <w:color w:val="000000" w:themeColor="text1"/>
          <w:sz w:val="24"/>
          <w:szCs w:val="24"/>
          <w:highlight w:val="none"/>
          <w:lang w:eastAsia="zh-CN"/>
          <w14:textFill>
            <w14:solidFill>
              <w14:schemeClr w14:val="tx1"/>
            </w14:solidFill>
          </w14:textFill>
        </w:rPr>
        <w:t xml:space="preserve">江宁区第二人民医院采购电痉挛治疗仪等医疗设备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、异常低价问题的处理</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关于推动解决政府采购异常低价问题相关工作的通知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（苏财购〔2025〕62号）的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规定如下：</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（一）评审过程中出现下列情形之一的，评审委员会应当启动异常低价投标（响应）审查程序：</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1．投标（响应）报价低于采购项目预算50%的，即投标（响应）报价&lt;采购项目预算×50%；</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2．投标（响应）报价低于采购项目最高限价45%的，即投标（响应）报价&lt;采购项目最高限价×45%；</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themeColor="text1"/>
          <w:sz w:val="36"/>
          <w:highlight w:val="none"/>
          <w:lang w:val="zh-CN" w:eastAsia="zh-CN"/>
          <w14:textFill>
            <w14:solidFill>
              <w14:schemeClr w14:val="tx1"/>
            </w14:solidFill>
          </w14:textFill>
        </w:rPr>
        <w:br w:type="page" w:clear="all"/>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6"/>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6"/>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南京市江宁区医疗设备采购合同</w:t>
      </w:r>
      <w:r/>
    </w:p>
    <w:p>
      <w:pPr>
        <w:ind w:firstLine="31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1918"/>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合同编号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项目名称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xx 医疗</w:t>
      </w:r>
      <w:r>
        <w:rPr>
          <w:rFonts w:hint="eastAsia" w:ascii="宋体" w:hAnsi="宋体" w:eastAsia="宋体" w:cs="宋体"/>
          <w:b/>
          <w:color w:val="000000" w:themeColor="text1"/>
          <w:sz w:val="30"/>
          <w:szCs w:val="30"/>
          <w:u w:val="single"/>
          <w14:textFill>
            <w14:solidFill>
              <w14:schemeClr w14:val="tx1"/>
            </w14:solidFill>
          </w14:textFill>
        </w:rPr>
        <w:t xml:space="preserve">设备</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采购单位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中标单位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签订日期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spacing w:line="24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br w:type="page" w:clear="all"/>
      </w:r>
      <w:r>
        <w:rPr>
          <w:rFonts w:hint="eastAsia" w:ascii="宋体" w:hAnsi="宋体" w:eastAsia="宋体" w:cs="宋体"/>
          <w:color w:val="000000" w:themeColor="text1"/>
          <w:lang w:eastAsia="zh-CN"/>
          <w14:textFill>
            <w14:solidFill>
              <w14:schemeClr w14:val="tx1"/>
            </w14:solidFill>
          </w14:textFill>
        </w:rPr>
        <w:t xml:space="preserve">合同编号: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采购人(以下称甲方) :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供应商(以下称乙方)：</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住所地: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住所地:</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根据《中华人民共和国政府采购法》《中华人民共和国民法典》等法律法规的规定，甲乙双方按照</w:t>
      </w:r>
      <w:r>
        <w:rPr>
          <w:rFonts w:hint="eastAsia" w:ascii="宋体" w:hAnsi="宋体" w:eastAsia="宋体" w:cs="宋体"/>
          <w:b/>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采购结果签订本合同。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第一条 合同标的</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乙方根据甲方要求提供下列货物及服务:</w:t>
      </w:r>
      <w:r/>
    </w:p>
    <w:tbl>
      <w:tblPr>
        <w:tblStyle w:val="685"/>
        <w:tblpPr w:horzAnchor="page" w:tblpX="1297"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规格型号</w:t>
            </w:r>
            <w:r/>
          </w:p>
        </w:tc>
        <w:tc>
          <w:tcPr>
            <w:tcW w:w="776" w:type="dxa"/>
            <w:vAlign w:val="center"/>
            <w:textDirection w:val="lrTb"/>
            <w:noWrap w:val="false"/>
          </w:tcPr>
          <w:p>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品牌</w:t>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单价（元）</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总价（元）</w:t>
            </w:r>
            <w:r/>
          </w:p>
        </w:tc>
        <w:tc>
          <w:tcPr>
            <w:tcW w:w="144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gridSpan w:val="2"/>
            <w:tcW w:w="302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货物及服务内容详见乙方响应性文件等。</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第二条 合同总价款</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本合同项下货物及服务</w:t>
      </w:r>
      <w:r>
        <w:rPr>
          <w:rFonts w:hint="eastAsia" w:ascii="宋体" w:hAnsi="宋体" w:cs="宋体"/>
          <w:color w:val="000000" w:themeColor="text1"/>
          <w:lang w:eastAsia="zh-CN"/>
          <w14:textFill>
            <w14:solidFill>
              <w14:schemeClr w14:val="tx1"/>
            </w14:solidFill>
          </w14:textFill>
        </w:rPr>
        <w:t xml:space="preserve">含税</w:t>
      </w:r>
      <w:r>
        <w:rPr>
          <w:rFonts w:hint="eastAsia" w:ascii="宋体" w:hAnsi="宋体" w:eastAsia="宋体" w:cs="宋体"/>
          <w:color w:val="000000" w:themeColor="text1"/>
          <w:lang w:eastAsia="zh-CN"/>
          <w14:textFill>
            <w14:solidFill>
              <w14:schemeClr w14:val="tx1"/>
            </w14:solidFill>
          </w14:textFill>
        </w:rPr>
        <w:t xml:space="preserve">总价款为</w:t>
      </w:r>
      <w:r>
        <w:rPr>
          <w:rFonts w:hint="eastAsia" w:ascii="宋体" w:hAnsi="宋体" w:eastAsia="宋体" w:cs="宋体"/>
          <w:color w:val="000000" w:themeColor="text1"/>
          <w:u w:val="none"/>
          <w:lang w:eastAsia="zh-CN"/>
          <w14:textFill>
            <w14:solidFill>
              <w14:schemeClr w14:val="tx1"/>
            </w14:solidFill>
          </w14:textFill>
        </w:rPr>
        <w:t xml:space="preserve">(大写)</w:t>
      </w:r>
      <w:r>
        <w:rPr>
          <w:rFonts w:hint="eastAsia" w:ascii="宋体" w:hAnsi="宋体" w:eastAsia="宋体" w:cs="宋体"/>
          <w:color w:val="000000" w:themeColor="text1"/>
          <w:lang w:eastAsia="zh-CN"/>
          <w14:textFill>
            <w14:solidFill>
              <w14:schemeClr w14:val="tx1"/>
            </w14:solidFill>
          </w14:textFill>
        </w:rPr>
        <w:t xml:space="preserve">人民币</w:t>
      </w:r>
      <w:r>
        <w:rPr>
          <w:rFonts w:hint="eastAsia" w:ascii="宋体" w:hAnsi="宋体" w:eastAsia="宋体" w:cs="宋体"/>
          <w:color w:val="000000" w:themeColor="text1"/>
          <w:u w:val="single"/>
          <w:lang w:val="en-US" w:eastAsia="zh-CN"/>
          <w14:textFill>
            <w14:solidFill>
              <w14:schemeClr w14:val="tx1"/>
            </w14:solidFill>
          </w14:textFill>
        </w:rPr>
        <w:t xml:space="preserve">                         元整（￥         ）</w:t>
      </w:r>
      <w:r>
        <w:rPr>
          <w:rFonts w:hint="eastAsia" w:ascii="宋体" w:hAnsi="宋体" w:eastAsia="宋体" w:cs="宋体"/>
          <w:color w:val="000000" w:themeColor="text1"/>
          <w:lang w:eastAsia="zh-CN"/>
          <w14:textFill>
            <w14:solidFill>
              <w14:schemeClr w14:val="tx1"/>
            </w14:solidFill>
          </w14:textFill>
        </w:rPr>
        <w:t xml:space="preserve">。</w:t>
      </w:r>
      <w:r>
        <w:rPr>
          <w:rFonts w:hint="eastAsia"/>
          <w:color w:val="000000" w:themeColor="text1"/>
          <w:lang w:eastAsia="zh-CN"/>
          <w14:textFill>
            <w14:solidFill>
              <w14:schemeClr w14:val="tx1"/>
            </w14:solidFill>
          </w14:textFill>
        </w:rPr>
        <w:t xml:space="preserve">甲方就本合同不再向乙方支付任何其他款项。</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第三条 组成本合同的有关文件</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招标文件和有关附件是本合同不可分割的组成部分，</w:t>
      </w:r>
      <w:r>
        <w:rPr>
          <w:rFonts w:hint="eastAsia" w:ascii="宋体" w:hAnsi="宋体" w:eastAsia="宋体" w:cs="宋体"/>
          <w:color w:val="000000" w:themeColor="text1"/>
          <w:highlight w:val="none"/>
          <w:lang w:eastAsia="zh-CN"/>
          <w14:textFill>
            <w14:solidFill>
              <w14:schemeClr w14:val="tx1"/>
            </w14:solidFill>
          </w14:textFill>
        </w:rPr>
        <w:t xml:space="preserve">以招</w:t>
      </w:r>
      <w:r>
        <w:rPr>
          <w:rFonts w:hint="eastAsia" w:ascii="宋体" w:hAnsi="宋体" w:cs="宋体"/>
          <w:color w:val="000000" w:themeColor="text1"/>
          <w:highlight w:val="none"/>
          <w:lang w:eastAsia="zh-CN"/>
          <w14:textFill>
            <w14:solidFill>
              <w14:schemeClr w14:val="tx1"/>
            </w14:solidFill>
          </w14:textFill>
        </w:rPr>
        <w:t xml:space="preserve">投</w:t>
      </w:r>
      <w:r>
        <w:rPr>
          <w:rFonts w:hint="eastAsia" w:ascii="宋体" w:hAnsi="宋体" w:eastAsia="宋体" w:cs="宋体"/>
          <w:color w:val="000000" w:themeColor="text1"/>
          <w:highlight w:val="none"/>
          <w:lang w:eastAsia="zh-CN"/>
          <w14:textFill>
            <w14:solidFill>
              <w14:schemeClr w14:val="tx1"/>
            </w14:solidFill>
          </w14:textFill>
        </w:rPr>
        <w:t xml:space="preserve">标文件为准</w:t>
      </w:r>
      <w:r>
        <w:rPr>
          <w:rFonts w:hint="eastAsia" w:ascii="宋体" w:hAnsi="宋体" w:eastAsia="宋体" w:cs="宋体"/>
          <w:color w:val="000000" w:themeColor="text1"/>
          <w:lang w:eastAsia="zh-CN"/>
          <w14:textFill>
            <w14:solidFill>
              <w14:schemeClr w14:val="tx1"/>
            </w14:solidFill>
          </w14:textFill>
        </w:rPr>
        <w:t xml:space="preserve">，与本合同具有同等法律效力。</w:t>
      </w:r>
      <w:r/>
    </w:p>
    <w:p>
      <w:pPr>
        <w:ind w:firstLine="482"/>
        <w:keepLines w:val="0"/>
        <w:keepNext w:val="0"/>
        <w:pageBreakBefore w:val="0"/>
        <w:spacing w:after="0" w:line="420" w:lineRule="exact"/>
        <w:widowControl/>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注：原厂质保材料附后。（详见附件1）</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第四条 权利保证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第五条 质量保证</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1、质保期为</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年</w:t>
      </w:r>
      <w:r>
        <w:rPr>
          <w:rFonts w:hint="eastAsia" w:ascii="宋体" w:hAnsi="宋体" w:cs="宋体"/>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质保责任应符合招投标文件中的要求。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第六条 交付使用和验收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1、交付时间:</w:t>
      </w:r>
      <w:r>
        <w:rPr>
          <w:rFonts w:hint="eastAsia" w:ascii="宋体" w:hAnsi="宋体" w:eastAsia="宋体" w:cs="宋体"/>
          <w:color w:val="000000" w:themeColor="text1"/>
          <w:u w:val="single"/>
          <w:lang w:eastAsia="zh-CN"/>
          <w14:textFill>
            <w14:solidFill>
              <w14:schemeClr w14:val="tx1"/>
            </w14:solidFill>
          </w14:textFill>
        </w:rPr>
        <w:t xml:space="preserve">自合同签订之日起10日内完成供货</w:t>
      </w:r>
      <w:r>
        <w:rPr>
          <w:rFonts w:hint="eastAsia" w:ascii="宋体" w:hAnsi="宋体" w:eastAsia="宋体" w:cs="宋体"/>
          <w:color w:val="000000" w:themeColor="text1"/>
          <w:lang w:eastAsia="zh-CN"/>
          <w14:textFill>
            <w14:solidFill>
              <w14:schemeClr w14:val="tx1"/>
            </w14:solidFill>
          </w14:textFill>
        </w:rPr>
        <w:t xml:space="preserve">；</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2、交付地点:采购人指定地点。</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3、验收标准及要求。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第七条 付款条件、时间及方式</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2、付款方式：（1）本合同项下所有款项均以人民币支付。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(2)产品运抵采购人指定的位置，经验收合格，</w:t>
      </w:r>
      <w:r>
        <w:rPr>
          <w:rFonts w:hint="eastAsia"/>
          <w:color w:val="000000" w:themeColor="text1"/>
          <w:lang w:val="en-US" w:eastAsia="zh-CN"/>
          <w14:textFill>
            <w14:solidFill>
              <w14:schemeClr w14:val="tx1"/>
            </w14:solidFill>
          </w14:textFill>
        </w:rPr>
        <w:t xml:space="preserve">乙方开具相应的票据，采购人</w:t>
      </w:r>
      <w:r>
        <w:rPr>
          <w:rFonts w:hint="eastAsia" w:ascii="宋体" w:hAnsi="宋体" w:eastAsia="宋体" w:cs="宋体"/>
          <w:color w:val="000000" w:themeColor="text1"/>
          <w:highlight w:val="none"/>
          <w:lang w:eastAsia="zh-CN"/>
          <w14:textFill>
            <w14:solidFill>
              <w14:schemeClr w14:val="tx1"/>
            </w14:solidFill>
          </w14:textFill>
        </w:rPr>
        <w:t xml:space="preserve">支付合同总价的</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lang w:eastAsia="zh-CN"/>
          <w14:textFill>
            <w14:solidFill>
              <w14:schemeClr w14:val="tx1"/>
            </w14:solidFill>
          </w14:textFill>
        </w:rPr>
        <w:t xml:space="preserve">%货款;自验收合格满一年，</w:t>
      </w:r>
      <w:r>
        <w:rPr>
          <w:rFonts w:hint="eastAsia" w:ascii="宋体" w:hAnsi="宋体" w:cs="宋体"/>
          <w:color w:val="000000" w:themeColor="text1"/>
          <w:highlight w:val="none"/>
          <w:lang w:eastAsia="zh-CN"/>
          <w14:textFill>
            <w14:solidFill>
              <w14:schemeClr w14:val="tx1"/>
            </w14:solidFill>
          </w14:textFill>
        </w:rPr>
        <w:t xml:space="preserve">采购人无息</w:t>
      </w:r>
      <w:r>
        <w:rPr>
          <w:rFonts w:hint="eastAsia" w:ascii="宋体" w:hAnsi="宋体" w:eastAsia="宋体" w:cs="宋体"/>
          <w:color w:val="000000" w:themeColor="text1"/>
          <w:highlight w:val="none"/>
          <w:lang w:eastAsia="zh-CN"/>
          <w14:textFill>
            <w14:solidFill>
              <w14:schemeClr w14:val="tx1"/>
            </w14:solidFill>
          </w14:textFill>
        </w:rPr>
        <w:t xml:space="preserve">付清合同总价</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0%的余款。</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第八条 违约责任</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1、甲方无正当理由拒绝验收或拒付款的，甲方向乙方偿付合同总价的5%违约金。</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第九条 合同的变更和终止</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第十条 合同的转让</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乙方不得擅自部分或全部转让其应履行的合同义务。</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第十一条 争议的解决</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cs="宋体"/>
          <w:color w:val="000000" w:themeColor="text1"/>
          <w:u w:val="single"/>
          <w:lang w:val="en-US" w:eastAsia="zh-CN"/>
          <w14:textFill>
            <w14:solidFill>
              <w14:schemeClr w14:val="tx1"/>
            </w14:solidFill>
          </w14:textFill>
        </w:rPr>
        <w:t xml:space="preserve">1</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种方式解决争议:</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(1)向甲方所在地有管辖权的人民法院提起诉讼；</w:t>
      </w:r>
      <w:r>
        <w:rPr>
          <w:rFonts w:hint="eastAsia" w:ascii="宋体" w:hAnsi="宋体" w:cs="宋体"/>
          <w:color w:val="000000" w:themeColor="text1"/>
          <w:lang w:eastAsia="zh-CN"/>
          <w14:textFill>
            <w14:solidFill>
              <w14:schemeClr w14:val="tx1"/>
            </w14:solidFill>
          </w14:textFill>
        </w:rPr>
        <w:t xml:space="preserve">因一方违约引起</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诉讼纠纷时所产生的诉讼费、保全费、保全担保费、律师费、公证费、鉴定费、差旅费等费用由违约方承担。</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(2)向南京仲裁委员会按其仲裁规则申请仲裁。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2、在仲裁期间，本合同应继续履行。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第十二条 诚实信用</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乙方应诚实信用，严格按照采购文件要求和承诺履行合同，不向甲方进行商业贿赂或者提供不正当利益。</w:t>
      </w:r>
      <w:r>
        <w:rPr>
          <w:rFonts w:hint="eastAsia"/>
          <w:color w:val="000000" w:themeColor="text1"/>
          <w:lang w:val="en-US" w:eastAsia="zh-CN"/>
          <w14:textFill>
            <w14:solidFill>
              <w14:schemeClr w14:val="tx1"/>
            </w14:solidFill>
          </w14:textFill>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第十三条 合同生效及其他</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1、本合同自签订之日起生效。</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2、乙方须在合同签订后七个工作日内提供本合同所有医疗设备厂家授权书原件供甲方核对。</w:t>
      </w:r>
      <w:r/>
    </w:p>
    <w:p>
      <w:pPr>
        <w:ind w:firstLine="482"/>
        <w:keepLines w:val="0"/>
        <w:keepNext w:val="0"/>
        <w:pageBreakBefore w:val="0"/>
        <w:spacing w:after="0" w:line="420" w:lineRule="exact"/>
        <w:widowControl w:val="off"/>
        <w:rPr>
          <w:rFonts w:hint="eastAsia" w:ascii="宋体" w:hAnsi="宋体" w:eastAsia="宋体" w:cs="宋体"/>
          <w:b w:val="0"/>
          <w:bCs/>
          <w:color w:val="000000" w:themeColor="text1"/>
          <w:sz w:val="24"/>
          <w:szCs w:val="24"/>
          <w:lang w:val="en-US" w:eastAsia="zh-CN" w:bidi="ar-SA"/>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、本合同一式肆份，甲乙双方各执贰份。</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lang w:eastAsia="zh-CN"/>
          <w14:textFill>
            <w14:solidFill>
              <w14:schemeClr w14:val="tx1"/>
            </w14:solidFill>
          </w14:textFill>
        </w:rPr>
        <w:t xml:space="preserve">、本合同应按照中华人民共和国的现行法律进行解释。</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left="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甲方（委托方）：                  乙方:</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（盖章）                        （盖章）</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法定或委托代表人：                法定或委托代表人：</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电话:                             电话:</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开户银行:                         开户银行:</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账号:                             账号:</w:t>
      </w:r>
      <w:r/>
    </w:p>
    <w:p>
      <w:pPr>
        <w:jc w:val="both"/>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附件1</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质保及售后服务承诺书</w:t>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致</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b/>
          <w:color w:val="000000" w:themeColor="text1"/>
          <w14:textFill>
            <w14:solidFill>
              <w14:schemeClr w14:val="tx1"/>
            </w14:solidFill>
          </w14:textFill>
        </w:rPr>
        <w:t xml:space="preserve">（招标人）：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我公司是</w:t>
      </w:r>
      <w:r>
        <w:rPr>
          <w:rFonts w:hint="eastAsia" w:ascii="宋体" w:hAnsi="宋体" w:eastAsia="宋体" w:cs="宋体"/>
          <w:color w:val="000000" w:themeColor="text1"/>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14:textFill>
            <w14:solidFill>
              <w14:schemeClr w14:val="tx1"/>
            </w14:solidFill>
          </w14:textFill>
        </w:rPr>
        <w:t xml:space="preserve">的生产厂家，本次由合作方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公司参与该采购项目的投标，招标文件要求</w:t>
      </w:r>
      <w:r>
        <w:rPr>
          <w:rFonts w:hint="eastAsia" w:ascii="宋体" w:hAnsi="宋体" w:eastAsia="宋体" w:cs="宋体"/>
          <w:color w:val="000000" w:themeColor="text1"/>
          <w:u w:val="single"/>
          <w:lang w:val="en-US" w:eastAsia="zh-CN"/>
          <w14:textFill>
            <w14:solidFill>
              <w14:schemeClr w14:val="tx1"/>
            </w14:solidFill>
          </w14:textFill>
        </w:rPr>
        <w:t xml:space="preserve">xxx设备</w:t>
      </w:r>
      <w:r>
        <w:rPr>
          <w:rFonts w:hint="eastAsia" w:ascii="宋体" w:hAnsi="宋体" w:eastAsia="宋体" w:cs="宋体"/>
          <w:color w:val="000000" w:themeColor="text1"/>
          <w14:textFill>
            <w14:solidFill>
              <w14:schemeClr w14:val="tx1"/>
            </w14:solidFill>
          </w14:textFill>
        </w:rPr>
        <w:t xml:space="preserve">质保期为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如合作方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lang w:val="en-US" w:eastAsia="zh-CN"/>
          <w14:textFill>
            <w14:solidFill>
              <w14:schemeClr w14:val="tx1"/>
            </w14:solidFill>
          </w14:textFill>
        </w:rPr>
        <w:t xml:space="preserve">但不仅限于</w:t>
      </w:r>
      <w:r>
        <w:rPr>
          <w:rFonts w:hint="eastAsia" w:ascii="宋体" w:hAnsi="宋体" w:eastAsia="宋体" w:cs="宋体"/>
          <w:color w:val="000000" w:themeColor="text1"/>
          <w14:textFill>
            <w14:solidFill>
              <w14:schemeClr w14:val="tx1"/>
            </w14:solidFill>
          </w14:textFill>
        </w:rPr>
        <w:t xml:space="preserve">以下内容：</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项目</w:t>
      </w:r>
      <w:r>
        <w:rPr>
          <w:rFonts w:hint="eastAsia" w:ascii="宋体" w:hAnsi="宋体" w:eastAsia="宋体" w:cs="宋体"/>
          <w:color w:val="000000" w:themeColor="text1"/>
          <w14:textFill>
            <w14:solidFill>
              <w14:schemeClr w14:val="tx1"/>
            </w14:solidFill>
          </w14:textFill>
        </w:rPr>
        <w:t xml:space="preserve">后期运维管理服务；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特此承诺！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7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生产厂家：（盖章）</w:t>
      </w:r>
      <w:r/>
    </w:p>
    <w:p>
      <w:pPr>
        <w:pStyle w:val="892"/>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p>
    <w:p>
      <w:pPr>
        <w:pStyle w:val="892"/>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年  月  日</w:t>
      </w:r>
      <w:r/>
    </w:p>
    <w:p>
      <w:pPr>
        <w:ind w:firstLine="562"/>
        <w:jc w:val="center"/>
        <w:spacing w:before="67"/>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t xml:space="preserve">医疗产品购销廉洁条例</w:t>
      </w:r>
      <w:r/>
    </w:p>
    <w:p>
      <w:pPr>
        <w:pStyle w:val="892"/>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1.合同双方按照《中华人民共和国民法典》及购销廉洁条例约定购销设备和服务等行为。</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2.甲方应当严格执行采购和服务合同验收、入库制度，对采购产品及发票进行查验，不得违反有关规定合同外采购、违价采购或从非规定渠道采购。</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4.甲方严禁利用任何途径和方式，为乙方个人提供便利。</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5.乙方不得以回扣、宴请等方式影响甲方工作人员采购或使用产品的选择权，不得在为甲方人员提供旅游、超标准支付食宿费用。</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6.乙方指定人员必须在工作时间到甲方指定地点联系商谈，不得借故到甲方相关领导、部门负责人及相关工作人员家中访谈并提供任何好处费等。</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7.乙方如违反本廉洁条例，一经发现，甲方有权立即终止购销合同，并向上级主管部门或本级纪检部门报告。如乙方被列入商业贿赂不良记录，则严格按照国家相关规定处理。</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8.本廉洁条例为甲方产品和服务购销行为的廉洁准则，双方均需严格遵守。</w:t>
      </w:r>
      <w:r/>
    </w:p>
    <w:p>
      <w:pPr>
        <w:ind w:firstLine="44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9.本条例由甲方负责解释。</w:t>
      </w:r>
      <w:r/>
    </w:p>
    <w:p>
      <w:pPr>
        <w:pStyle w:val="906"/>
        <w:ind w:left="132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供应商名称（盖章）：</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                                                法定代表人（签字）：</w:t>
      </w:r>
      <w:r/>
    </w:p>
    <w:p>
      <w:pPr>
        <w:pStyle w:val="906"/>
        <w:ind w:left="1320" w:right="960" w:firstLine="4080"/>
        <w:spacing w:line="360" w:lineRule="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    年    月   日</w:t>
      </w:r>
      <w:r/>
    </w:p>
    <w:p>
      <w:pPr>
        <w:pStyle w:val="6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江宁区第二人民医院采购电痉挛治疗仪等医疗设备</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包1</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992"/>
        <w:gridCol w:w="1273"/>
        <w:gridCol w:w="982"/>
        <w:gridCol w:w="94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二院</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电痉挛治疗仪</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包2</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992"/>
        <w:gridCol w:w="1273"/>
        <w:gridCol w:w="982"/>
        <w:gridCol w:w="94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二院</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经颅电刺激仪（高精度）</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二院</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经颅电刺激仪（四人版）</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both"/>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97"/>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5"/>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7"/>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7"/>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5"/>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97"/>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7"/>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7"/>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7"/>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1"/>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6"/>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6"/>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1"/>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1"/>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1"/>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1"/>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PingFang SC">
    <w:panose1 w:val="020B0503020202020204"/>
  </w:font>
  <w:font w:name="Courier New">
    <w:panose1 w:val="02070309020205020404"/>
  </w:font>
  <w:font w:name="华文宋体">
    <w:panose1 w:val="0201060004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1"/>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7"/>
  </w:num>
  <w:num w:numId="4">
    <w:abstractNumId w:val="0"/>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5">
    <w:name w:val="Heading 1"/>
    <w:basedOn w:val="674"/>
    <w:next w:val="674"/>
    <w:link w:val="873"/>
    <w:uiPriority w:val="9"/>
    <w:qFormat/>
    <w:pPr>
      <w:jc w:val="center"/>
      <w:keepLines/>
      <w:keepNext/>
      <w:spacing w:before="340" w:after="330"/>
      <w:outlineLvl w:val="0"/>
    </w:pPr>
    <w:rPr>
      <w:b/>
      <w:bCs/>
      <w:sz w:val="36"/>
      <w:szCs w:val="44"/>
    </w:rPr>
  </w:style>
  <w:style w:type="paragraph" w:styleId="676">
    <w:name w:val="Heading 2"/>
    <w:basedOn w:val="674"/>
    <w:next w:val="674"/>
    <w:link w:val="722"/>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880"/>
    <w:uiPriority w:val="9"/>
    <w:semiHidden/>
    <w:unhideWhenUsed/>
    <w:qFormat/>
    <w:pPr>
      <w:keepLines/>
      <w:keepNext/>
      <w:spacing w:before="260" w:after="260" w:line="416" w:lineRule="auto"/>
      <w:outlineLvl w:val="2"/>
    </w:pPr>
    <w:rPr>
      <w:b/>
      <w:bCs/>
      <w:sz w:val="32"/>
      <w:szCs w:val="32"/>
    </w:rPr>
  </w:style>
  <w:style w:type="paragraph" w:styleId="678">
    <w:name w:val="Heading 4"/>
    <w:basedOn w:val="674"/>
    <w:next w:val="674"/>
    <w:link w:val="87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725"/>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6"/>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8"/>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9"/>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Normal Indent"/>
    <w:basedOn w:val="674"/>
    <w:link w:val="874"/>
    <w:uiPriority w:val="0"/>
    <w:unhideWhenUsed/>
    <w:qFormat/>
    <w:pPr>
      <w:ind w:firstLine="420"/>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annotation text"/>
    <w:basedOn w:val="674"/>
    <w:link w:val="890"/>
    <w:uiPriority w:val="99"/>
    <w:semiHidden/>
    <w:unhideWhenUsed/>
    <w:qFormat/>
  </w:style>
  <w:style w:type="paragraph" w:styleId="690">
    <w:name w:val="Body Text"/>
    <w:basedOn w:val="674"/>
    <w:next w:val="674"/>
    <w:link w:val="881"/>
    <w:uiPriority w:val="1"/>
    <w:qFormat/>
    <w:pPr>
      <w:spacing w:line="240" w:lineRule="auto"/>
    </w:pPr>
    <w:rPr>
      <w:rFonts w:ascii="宋体" w:hAnsi="宋体" w:cs="宋体"/>
      <w:sz w:val="21"/>
      <w:szCs w:val="21"/>
      <w:lang w:val="zh-CN" w:bidi="zh-CN"/>
    </w:rPr>
  </w:style>
  <w:style w:type="paragraph" w:styleId="691">
    <w:name w:val="Body Text Indent"/>
    <w:basedOn w:val="674"/>
    <w:next w:val="692"/>
    <w:uiPriority w:val="0"/>
    <w:qFormat/>
    <w:pPr>
      <w:ind w:left="420" w:firstLine="1188"/>
      <w:spacing w:line="360" w:lineRule="exact"/>
    </w:pPr>
    <w:rPr>
      <w:rFonts w:ascii="Times New Roman" w:hAnsi="Times New Roman" w:cs="Times New Roman"/>
    </w:rPr>
  </w:style>
  <w:style w:type="paragraph" w:styleId="692">
    <w:name w:val="envelope return"/>
    <w:basedOn w:val="674"/>
    <w:uiPriority w:val="0"/>
    <w:qFormat/>
    <w:rPr>
      <w:rFonts w:ascii="Arial" w:hAnsi="Arial" w:cs="宋体"/>
    </w:rPr>
  </w:style>
  <w:style w:type="paragraph" w:styleId="693">
    <w:name w:val="List Bullet 2"/>
    <w:basedOn w:val="674"/>
    <w:uiPriority w:val="0"/>
    <w:qFormat/>
    <w:pPr>
      <w:numPr>
        <w:ilvl w:val="0"/>
        <w:numId w:val="1"/>
      </w:numPr>
      <w:spacing w:line="240" w:lineRule="auto"/>
    </w:pPr>
    <w:rPr>
      <w:rFonts w:ascii="宋体" w:hAnsi="宋体" w:cs="宋体"/>
      <w:sz w:val="22"/>
      <w:szCs w:val="22"/>
      <w:lang w:val="zh-CN" w:bidi="zh-CN"/>
    </w:rPr>
  </w:style>
  <w:style w:type="paragraph" w:styleId="694">
    <w:name w:val="index 4"/>
    <w:basedOn w:val="674"/>
    <w:next w:val="674"/>
    <w:uiPriority w:val="0"/>
    <w:semiHidden/>
    <w:qFormat/>
    <w:pPr>
      <w:ind w:left="1260"/>
      <w:spacing w:line="240" w:lineRule="auto"/>
    </w:pPr>
    <w:rPr>
      <w:rFonts w:ascii="宋体" w:hAnsi="宋体" w:cs="宋体"/>
      <w:sz w:val="22"/>
      <w:szCs w:val="22"/>
      <w:lang w:val="zh-CN" w:bidi="zh-CN"/>
    </w:rPr>
  </w:style>
  <w:style w:type="paragraph" w:styleId="695">
    <w:name w:val="toc 5"/>
    <w:basedOn w:val="674"/>
    <w:next w:val="674"/>
    <w:uiPriority w:val="39"/>
    <w:unhideWhenUsed/>
    <w:qFormat/>
    <w:pPr>
      <w:ind w:left="1134" w:right="0" w:firstLine="0"/>
      <w:spacing w:after="57"/>
    </w:pPr>
  </w:style>
  <w:style w:type="paragraph" w:styleId="696">
    <w:name w:val="toc 3"/>
    <w:basedOn w:val="674"/>
    <w:next w:val="674"/>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7">
    <w:name w:val="Plain Text"/>
    <w:basedOn w:val="674"/>
    <w:link w:val="872"/>
    <w:uiPriority w:val="0"/>
    <w:unhideWhenUsed/>
    <w:qFormat/>
    <w:rPr>
      <w:rFonts w:ascii="宋体" w:hAnsi="Courier New" w:cs="Courier New"/>
      <w:szCs w:val="21"/>
    </w:rPr>
  </w:style>
  <w:style w:type="paragraph" w:styleId="698">
    <w:name w:val="toc 8"/>
    <w:basedOn w:val="674"/>
    <w:next w:val="674"/>
    <w:uiPriority w:val="39"/>
    <w:unhideWhenUsed/>
    <w:qFormat/>
    <w:pPr>
      <w:ind w:left="1984" w:right="0" w:firstLine="0"/>
      <w:spacing w:after="57"/>
    </w:pPr>
  </w:style>
  <w:style w:type="paragraph" w:styleId="699">
    <w:name w:val="endnote text"/>
    <w:basedOn w:val="674"/>
    <w:link w:val="867"/>
    <w:uiPriority w:val="99"/>
    <w:semiHidden/>
    <w:unhideWhenUsed/>
    <w:qFormat/>
    <w:pPr>
      <w:spacing w:after="0" w:line="240" w:lineRule="auto"/>
    </w:pPr>
    <w:rPr>
      <w:sz w:val="20"/>
    </w:rPr>
  </w:style>
  <w:style w:type="paragraph" w:styleId="700">
    <w:name w:val="Balloon Text"/>
    <w:basedOn w:val="674"/>
    <w:link w:val="889"/>
    <w:uiPriority w:val="99"/>
    <w:semiHidden/>
    <w:unhideWhenUsed/>
    <w:qFormat/>
    <w:pPr>
      <w:spacing w:line="240" w:lineRule="auto"/>
    </w:pPr>
    <w:rPr>
      <w:sz w:val="18"/>
      <w:szCs w:val="18"/>
    </w:rPr>
  </w:style>
  <w:style w:type="paragraph" w:styleId="701">
    <w:name w:val="Footer"/>
    <w:basedOn w:val="674"/>
    <w:link w:val="870"/>
    <w:uiPriority w:val="99"/>
    <w:unhideWhenUsed/>
    <w:qFormat/>
    <w:pPr>
      <w:tabs>
        <w:tab w:val="center" w:pos="4153" w:leader="none"/>
        <w:tab w:val="right" w:pos="8306" w:leader="none"/>
      </w:tabs>
    </w:pPr>
    <w:rPr>
      <w:sz w:val="18"/>
      <w:szCs w:val="18"/>
    </w:rPr>
  </w:style>
  <w:style w:type="paragraph" w:styleId="702">
    <w:name w:val="Header"/>
    <w:basedOn w:val="674"/>
    <w:link w:val="8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3">
    <w:name w:val="toc 1"/>
    <w:basedOn w:val="674"/>
    <w:next w:val="674"/>
    <w:uiPriority w:val="39"/>
    <w:unhideWhenUsed/>
    <w:qFormat/>
    <w:pPr>
      <w:spacing w:line="720" w:lineRule="auto"/>
      <w:tabs>
        <w:tab w:val="right" w:pos="9639" w:leader="dot"/>
      </w:tabs>
    </w:pPr>
  </w:style>
  <w:style w:type="paragraph" w:styleId="704">
    <w:name w:val="toc 4"/>
    <w:basedOn w:val="674"/>
    <w:next w:val="674"/>
    <w:uiPriority w:val="39"/>
    <w:unhideWhenUsed/>
    <w:qFormat/>
    <w:pPr>
      <w:ind w:left="850" w:right="0" w:firstLine="0"/>
      <w:spacing w:after="57"/>
    </w:pPr>
  </w:style>
  <w:style w:type="paragraph" w:styleId="705">
    <w:name w:val="Subtitle"/>
    <w:basedOn w:val="674"/>
    <w:next w:val="674"/>
    <w:link w:val="733"/>
    <w:uiPriority w:val="11"/>
    <w:qFormat/>
    <w:pPr>
      <w:spacing w:before="200" w:after="200"/>
    </w:pPr>
    <w:rPr>
      <w:sz w:val="24"/>
      <w:szCs w:val="24"/>
    </w:rPr>
  </w:style>
  <w:style w:type="paragraph" w:styleId="706">
    <w:name w:val="footnote text"/>
    <w:basedOn w:val="674"/>
    <w:link w:val="866"/>
    <w:uiPriority w:val="99"/>
    <w:semiHidden/>
    <w:unhideWhenUsed/>
    <w:qFormat/>
    <w:pPr>
      <w:spacing w:after="40" w:line="240" w:lineRule="auto"/>
    </w:pPr>
    <w:rPr>
      <w:sz w:val="18"/>
    </w:rPr>
  </w:style>
  <w:style w:type="paragraph" w:styleId="707">
    <w:name w:val="toc 6"/>
    <w:basedOn w:val="674"/>
    <w:next w:val="674"/>
    <w:uiPriority w:val="39"/>
    <w:unhideWhenUsed/>
    <w:qFormat/>
    <w:pPr>
      <w:ind w:left="1417" w:right="0" w:firstLine="0"/>
      <w:spacing w:after="57"/>
    </w:pPr>
  </w:style>
  <w:style w:type="paragraph" w:styleId="708">
    <w:name w:val="table of figures"/>
    <w:basedOn w:val="674"/>
    <w:next w:val="674"/>
    <w:uiPriority w:val="99"/>
    <w:unhideWhenUsed/>
    <w:qFormat/>
    <w:pPr>
      <w:spacing w:after="0" w:afterAutospacing="0"/>
    </w:pPr>
  </w:style>
  <w:style w:type="paragraph" w:styleId="709">
    <w:name w:val="toc 2"/>
    <w:basedOn w:val="674"/>
    <w:next w:val="674"/>
    <w:uiPriority w:val="39"/>
    <w:unhideWhenUsed/>
    <w:qFormat/>
    <w:pPr>
      <w:ind w:left="283" w:right="0" w:firstLine="0"/>
      <w:spacing w:after="57"/>
    </w:pPr>
  </w:style>
  <w:style w:type="paragraph" w:styleId="710">
    <w:name w:val="toc 9"/>
    <w:basedOn w:val="674"/>
    <w:next w:val="674"/>
    <w:uiPriority w:val="39"/>
    <w:unhideWhenUsed/>
    <w:qFormat/>
    <w:pPr>
      <w:ind w:left="2268" w:right="0" w:firstLine="0"/>
      <w:spacing w:after="57"/>
    </w:pPr>
  </w:style>
  <w:style w:type="paragraph" w:styleId="711">
    <w:name w:val="Normal (Web)"/>
    <w:basedOn w:val="674"/>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2">
    <w:name w:val="Title"/>
    <w:basedOn w:val="674"/>
    <w:next w:val="674"/>
    <w:link w:val="732"/>
    <w:uiPriority w:val="10"/>
    <w:qFormat/>
    <w:pPr>
      <w:contextualSpacing/>
      <w:spacing w:before="300" w:after="200"/>
    </w:pPr>
    <w:rPr>
      <w:sz w:val="48"/>
      <w:szCs w:val="48"/>
    </w:rPr>
  </w:style>
  <w:style w:type="paragraph" w:styleId="713">
    <w:name w:val="Body Text First Indent 2"/>
    <w:basedOn w:val="691"/>
    <w:next w:val="674"/>
    <w:uiPriority w:val="0"/>
    <w:qFormat/>
    <w:pPr>
      <w:ind w:left="0" w:firstLine="420"/>
      <w:spacing w:after="0" w:line="360" w:lineRule="auto"/>
    </w:pPr>
    <w:rPr>
      <w:rFonts w:ascii="宋体" w:hAnsi="宋体"/>
      <w:sz w:val="20"/>
      <w:szCs w:val="20"/>
      <w:lang w:eastAsia="en-US"/>
    </w:rPr>
  </w:style>
  <w:style w:type="table" w:styleId="714">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basedOn w:val="684"/>
    <w:uiPriority w:val="99"/>
    <w:semiHidden/>
    <w:unhideWhenUsed/>
    <w:qFormat/>
    <w:rPr>
      <w:vertAlign w:val="superscript"/>
    </w:rPr>
  </w:style>
  <w:style w:type="character" w:styleId="716">
    <w:name w:val="Emphasis"/>
    <w:uiPriority w:val="0"/>
    <w:qFormat/>
    <w:rPr>
      <w:i/>
    </w:rPr>
  </w:style>
  <w:style w:type="character" w:styleId="717">
    <w:name w:val="Hyperlink"/>
    <w:basedOn w:val="684"/>
    <w:uiPriority w:val="99"/>
    <w:unhideWhenUsed/>
    <w:qFormat/>
    <w:rPr>
      <w:color w:val="0000ff" w:themeColor="hyperlink"/>
      <w:u w:val="single"/>
      <w14:textFill>
        <w14:solidFill>
          <w14:schemeClr w14:val="hlink"/>
        </w14:solidFill>
      </w14:textFill>
    </w:rPr>
  </w:style>
  <w:style w:type="character" w:styleId="718">
    <w:name w:val="annotation reference"/>
    <w:basedOn w:val="684"/>
    <w:uiPriority w:val="99"/>
    <w:semiHidden/>
    <w:unhideWhenUsed/>
    <w:qFormat/>
    <w:rPr>
      <w:sz w:val="21"/>
      <w:szCs w:val="21"/>
    </w:rPr>
  </w:style>
  <w:style w:type="character" w:styleId="719">
    <w:name w:val="footnote reference"/>
    <w:basedOn w:val="684"/>
    <w:uiPriority w:val="99"/>
    <w:unhideWhenUsed/>
    <w:qFormat/>
    <w:rPr>
      <w:vertAlign w:val="superscript"/>
    </w:rPr>
  </w:style>
  <w:style w:type="paragraph" w:styleId="720" w:customStyle="1">
    <w:name w:val="Default"/>
    <w:basedOn w:val="697"/>
    <w:next w:val="697"/>
    <w:uiPriority w:val="0"/>
    <w:qFormat/>
    <w:pPr>
      <w:spacing w:after="0" w:line="240" w:lineRule="auto"/>
    </w:pPr>
    <w:rPr>
      <w:rFonts w:ascii=".." w:hAnsi="Calibri" w:eastAsia=".." w:cs=".."/>
      <w:color w:val="000000"/>
      <w:sz w:val="24"/>
      <w:szCs w:val="24"/>
      <w:lang w:val="en-US" w:eastAsia="zh-CN" w:bidi="ar-SA"/>
    </w:rPr>
  </w:style>
  <w:style w:type="character" w:styleId="721" w:customStyle="1">
    <w:name w:val="Heading 1 Char"/>
    <w:basedOn w:val="684"/>
    <w:uiPriority w:val="9"/>
    <w:qFormat/>
    <w:rPr>
      <w:rFonts w:ascii="Arial" w:hAnsi="Arial" w:eastAsia="Arial" w:cs="Arial"/>
      <w:sz w:val="40"/>
      <w:szCs w:val="40"/>
    </w:rPr>
  </w:style>
  <w:style w:type="character" w:styleId="722" w:customStyle="1">
    <w:name w:val="Heading 2 Char"/>
    <w:basedOn w:val="684"/>
    <w:link w:val="676"/>
    <w:uiPriority w:val="9"/>
    <w:qFormat/>
    <w:rPr>
      <w:rFonts w:ascii="Arial" w:hAnsi="Arial" w:eastAsia="Arial" w:cs="Arial"/>
      <w:sz w:val="34"/>
    </w:rPr>
  </w:style>
  <w:style w:type="character" w:styleId="723" w:customStyle="1">
    <w:name w:val="Heading 3 Char"/>
    <w:basedOn w:val="684"/>
    <w:uiPriority w:val="9"/>
    <w:qFormat/>
    <w:rPr>
      <w:rFonts w:ascii="Arial" w:hAnsi="Arial" w:eastAsia="Arial" w:cs="Arial"/>
      <w:sz w:val="30"/>
      <w:szCs w:val="30"/>
    </w:rPr>
  </w:style>
  <w:style w:type="character" w:styleId="724" w:customStyle="1">
    <w:name w:val="Heading 4 Char"/>
    <w:basedOn w:val="684"/>
    <w:uiPriority w:val="9"/>
    <w:qFormat/>
    <w:rPr>
      <w:rFonts w:ascii="Arial" w:hAnsi="Arial" w:eastAsia="Arial" w:cs="Arial"/>
      <w:b/>
      <w:bCs/>
      <w:sz w:val="26"/>
      <w:szCs w:val="26"/>
    </w:rPr>
  </w:style>
  <w:style w:type="character" w:styleId="725" w:customStyle="1">
    <w:name w:val="Heading 5 Char"/>
    <w:basedOn w:val="684"/>
    <w:link w:val="679"/>
    <w:uiPriority w:val="9"/>
    <w:qFormat/>
    <w:rPr>
      <w:rFonts w:ascii="Arial" w:hAnsi="Arial" w:eastAsia="Arial" w:cs="Arial"/>
      <w:b/>
      <w:bCs/>
      <w:sz w:val="24"/>
      <w:szCs w:val="24"/>
    </w:rPr>
  </w:style>
  <w:style w:type="character" w:styleId="726" w:customStyle="1">
    <w:name w:val="Heading 6 Char"/>
    <w:basedOn w:val="684"/>
    <w:link w:val="680"/>
    <w:uiPriority w:val="9"/>
    <w:qFormat/>
    <w:rPr>
      <w:rFonts w:ascii="Arial" w:hAnsi="Arial" w:eastAsia="Arial" w:cs="Arial"/>
      <w:b/>
      <w:bCs/>
      <w:sz w:val="22"/>
      <w:szCs w:val="22"/>
    </w:rPr>
  </w:style>
  <w:style w:type="character" w:styleId="727" w:customStyle="1">
    <w:name w:val="Heading 7 Char"/>
    <w:basedOn w:val="684"/>
    <w:link w:val="681"/>
    <w:uiPriority w:val="9"/>
    <w:qFormat/>
    <w:rPr>
      <w:rFonts w:ascii="Arial" w:hAnsi="Arial" w:eastAsia="Arial" w:cs="Arial"/>
      <w:b/>
      <w:bCs/>
      <w:i/>
      <w:iCs/>
      <w:sz w:val="22"/>
      <w:szCs w:val="22"/>
    </w:rPr>
  </w:style>
  <w:style w:type="character" w:styleId="728" w:customStyle="1">
    <w:name w:val="Heading 8 Char"/>
    <w:basedOn w:val="684"/>
    <w:link w:val="682"/>
    <w:uiPriority w:val="9"/>
    <w:qFormat/>
    <w:rPr>
      <w:rFonts w:ascii="Arial" w:hAnsi="Arial" w:eastAsia="Arial" w:cs="Arial"/>
      <w:i/>
      <w:iCs/>
      <w:sz w:val="22"/>
      <w:szCs w:val="22"/>
    </w:rPr>
  </w:style>
  <w:style w:type="character" w:styleId="729" w:customStyle="1">
    <w:name w:val="Heading 9 Char"/>
    <w:basedOn w:val="684"/>
    <w:link w:val="683"/>
    <w:uiPriority w:val="9"/>
    <w:qFormat/>
    <w:rPr>
      <w:rFonts w:ascii="Arial" w:hAnsi="Arial" w:eastAsia="Arial" w:cs="Arial"/>
      <w:i/>
      <w:iCs/>
      <w:sz w:val="21"/>
      <w:szCs w:val="21"/>
    </w:rPr>
  </w:style>
  <w:style w:type="paragraph" w:styleId="730">
    <w:name w:val="List Paragraph"/>
    <w:basedOn w:val="674"/>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basedOn w:val="684"/>
    <w:link w:val="712"/>
    <w:uiPriority w:val="10"/>
    <w:qFormat/>
    <w:rPr>
      <w:sz w:val="48"/>
      <w:szCs w:val="48"/>
    </w:rPr>
  </w:style>
  <w:style w:type="character" w:styleId="733" w:customStyle="1">
    <w:name w:val="Subtitle Char"/>
    <w:basedOn w:val="684"/>
    <w:link w:val="705"/>
    <w:uiPriority w:val="11"/>
    <w:qFormat/>
    <w:rPr>
      <w:sz w:val="24"/>
      <w:szCs w:val="24"/>
    </w:rPr>
  </w:style>
  <w:style w:type="paragraph" w:styleId="734">
    <w:name w:val="Quote"/>
    <w:basedOn w:val="674"/>
    <w:next w:val="674"/>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4"/>
    <w:next w:val="6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84"/>
    <w:uiPriority w:val="99"/>
    <w:qFormat/>
  </w:style>
  <w:style w:type="character" w:styleId="739" w:customStyle="1">
    <w:name w:val="Footer Char"/>
    <w:basedOn w:val="684"/>
    <w:uiPriority w:val="99"/>
    <w:qFormat/>
  </w:style>
  <w:style w:type="character" w:styleId="740" w:customStyle="1">
    <w:name w:val="Caption Char"/>
    <w:uiPriority w:val="99"/>
    <w:qFormat/>
  </w:style>
  <w:style w:type="table" w:styleId="741"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06"/>
    <w:uiPriority w:val="99"/>
    <w:qFormat/>
    <w:rPr>
      <w:sz w:val="18"/>
    </w:rPr>
  </w:style>
  <w:style w:type="character" w:styleId="867" w:customStyle="1">
    <w:name w:val="Endnote Text Char"/>
    <w:link w:val="699"/>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眉 Char"/>
    <w:basedOn w:val="684"/>
    <w:link w:val="702"/>
    <w:uiPriority w:val="99"/>
    <w:semiHidden/>
    <w:qFormat/>
    <w:rPr>
      <w:sz w:val="18"/>
      <w:szCs w:val="18"/>
    </w:rPr>
  </w:style>
  <w:style w:type="character" w:styleId="870" w:customStyle="1">
    <w:name w:val="页脚 Char"/>
    <w:basedOn w:val="684"/>
    <w:link w:val="701"/>
    <w:uiPriority w:val="99"/>
    <w:qFormat/>
    <w:rPr>
      <w:sz w:val="18"/>
      <w:szCs w:val="18"/>
    </w:rPr>
  </w:style>
  <w:style w:type="character" w:styleId="871" w:customStyle="1">
    <w:name w:val="纯文本 Char"/>
    <w:basedOn w:val="684"/>
    <w:link w:val="697"/>
    <w:uiPriority w:val="99"/>
    <w:semiHidden/>
    <w:qFormat/>
    <w:rPr>
      <w:rFonts w:ascii="宋体" w:hAnsi="Courier New" w:eastAsia="宋体" w:cs="Courier New"/>
      <w:szCs w:val="21"/>
    </w:rPr>
  </w:style>
  <w:style w:type="character" w:styleId="872" w:customStyle="1">
    <w:name w:val="纯文本 Char1"/>
    <w:link w:val="697"/>
    <w:uiPriority w:val="99"/>
    <w:semiHidden/>
    <w:qFormat/>
    <w:rPr>
      <w:rFonts w:ascii="宋体" w:hAnsi="Courier New" w:eastAsia="宋体" w:cs="Courier New"/>
      <w:szCs w:val="21"/>
    </w:rPr>
  </w:style>
  <w:style w:type="character" w:styleId="873" w:customStyle="1">
    <w:name w:val="标题 1 Char"/>
    <w:basedOn w:val="684"/>
    <w:link w:val="675"/>
    <w:uiPriority w:val="9"/>
    <w:qFormat/>
    <w:rPr>
      <w:rFonts w:ascii="Times New Roman" w:hAnsi="Times New Roman" w:eastAsia="宋体" w:cs="Times New Roman"/>
      <w:b/>
      <w:bCs/>
      <w:sz w:val="36"/>
      <w:szCs w:val="44"/>
    </w:rPr>
  </w:style>
  <w:style w:type="character" w:styleId="874" w:customStyle="1">
    <w:name w:val="正文缩进 Char"/>
    <w:link w:val="687"/>
    <w:uiPriority w:val="0"/>
    <w:qFormat/>
    <w:rPr>
      <w:rFonts w:ascii="Times New Roman" w:hAnsi="Times New Roman" w:eastAsia="宋体" w:cs="Times New Roman"/>
      <w:szCs w:val="24"/>
    </w:rPr>
  </w:style>
  <w:style w:type="paragraph" w:styleId="875" w:customStyle="1">
    <w:name w:val="Table Paragraph"/>
    <w:basedOn w:val="674"/>
    <w:uiPriority w:val="1"/>
    <w:qFormat/>
    <w:pPr>
      <w:spacing w:line="240" w:lineRule="auto"/>
    </w:pPr>
    <w:rPr>
      <w:rFonts w:ascii="宋体" w:hAnsi="宋体" w:cs="宋体"/>
      <w:sz w:val="22"/>
      <w:szCs w:val="22"/>
      <w:lang w:val="zh-CN" w:bidi="zh-CN"/>
    </w:rPr>
  </w:style>
  <w:style w:type="paragraph" w:styleId="876" w:customStyle="1">
    <w:name w:val="纯文本1"/>
    <w:basedOn w:val="674"/>
    <w:uiPriority w:val="99"/>
    <w:qFormat/>
    <w:pPr>
      <w:jc w:val="both"/>
      <w:spacing w:line="240" w:lineRule="auto"/>
    </w:pPr>
    <w:rPr>
      <w:rFonts w:ascii="宋体" w:hAnsi="Courier New"/>
      <w:sz w:val="20"/>
      <w:szCs w:val="21"/>
    </w:rPr>
  </w:style>
  <w:style w:type="character" w:styleId="877" w:customStyle="1">
    <w:name w:val="标题 4 Char"/>
    <w:basedOn w:val="684"/>
    <w:link w:val="678"/>
    <w:uiPriority w:val="9"/>
    <w:semiHidden/>
    <w:qFormat/>
    <w:rPr>
      <w:rFonts w:asciiTheme="majorHAnsi" w:hAnsiTheme="majorHAnsi" w:eastAsiaTheme="majorEastAsia" w:cstheme="majorBidi"/>
      <w:b/>
      <w:bCs/>
      <w:sz w:val="28"/>
      <w:szCs w:val="28"/>
    </w:rPr>
  </w:style>
  <w:style w:type="paragraph" w:styleId="878" w:customStyle="1">
    <w:name w:val="首行缩进"/>
    <w:basedOn w:val="879"/>
    <w:uiPriority w:val="0"/>
    <w:qFormat/>
    <w:pPr>
      <w:ind w:firstLine="480"/>
    </w:pPr>
    <w:rPr>
      <w:rFonts w:ascii="宋体" w:hAnsi="宋体" w:cs="宋体"/>
      <w:szCs w:val="22"/>
      <w:lang w:val="zh-CN" w:bidi="zh-CN"/>
    </w:rPr>
  </w:style>
  <w:style w:type="paragraph" w:styleId="879" w:customStyle="1">
    <w:name w:val="正文1"/>
    <w:next w:val="878"/>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0" w:customStyle="1">
    <w:name w:val="标题 3 Char"/>
    <w:basedOn w:val="684"/>
    <w:link w:val="677"/>
    <w:uiPriority w:val="9"/>
    <w:semiHidden/>
    <w:qFormat/>
    <w:rPr>
      <w:rFonts w:ascii="Times New Roman" w:hAnsi="Times New Roman" w:eastAsia="宋体" w:cs="Times New Roman"/>
      <w:b/>
      <w:bCs/>
      <w:sz w:val="32"/>
      <w:szCs w:val="32"/>
    </w:rPr>
  </w:style>
  <w:style w:type="character" w:styleId="881" w:customStyle="1">
    <w:name w:val="正文文本 Char"/>
    <w:basedOn w:val="684"/>
    <w:link w:val="690"/>
    <w:uiPriority w:val="1"/>
    <w:qFormat/>
    <w:rPr>
      <w:rFonts w:ascii="宋体" w:hAnsi="宋体" w:eastAsia="宋体" w:cs="宋体"/>
      <w:szCs w:val="21"/>
      <w:lang w:val="zh-CN" w:bidi="zh-CN"/>
    </w:rPr>
  </w:style>
  <w:style w:type="paragraph" w:styleId="882" w:customStyle="1">
    <w:name w:val="普通正文"/>
    <w:basedOn w:val="674"/>
    <w:uiPriority w:val="0"/>
    <w:qFormat/>
    <w:pPr>
      <w:ind w:firstLine="480"/>
      <w:spacing w:before="120" w:after="120"/>
    </w:pPr>
    <w:rPr>
      <w:rFonts w:ascii="Arial" w:hAnsi="Arial" w:cs="宋体"/>
      <w:lang w:val="zh-CN" w:bidi="zh-CN"/>
    </w:rPr>
  </w:style>
  <w:style w:type="paragraph" w:styleId="883" w:customStyle="1">
    <w:name w:val="彩色列表1"/>
    <w:basedOn w:val="674"/>
    <w:uiPriority w:val="0"/>
    <w:qFormat/>
    <w:pPr>
      <w:ind w:firstLine="420"/>
      <w:spacing w:line="240" w:lineRule="auto"/>
    </w:pPr>
    <w:rPr>
      <w:rFonts w:ascii="宋体" w:hAnsi="宋体" w:cs="宋体"/>
      <w:sz w:val="22"/>
      <w:lang w:val="zh-CN" w:bidi="zh-CN"/>
    </w:rPr>
  </w:style>
  <w:style w:type="paragraph" w:styleId="884" w:customStyle="1">
    <w:name w:val="ListBullet2"/>
    <w:basedOn w:val="674"/>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5" w:customStyle="1">
    <w:name w:val="标题5 Char Char"/>
    <w:link w:val="886"/>
    <w:uiPriority w:val="0"/>
    <w:qFormat/>
    <w:rPr>
      <w:rFonts w:ascii="Arial" w:hAnsi="Arial"/>
      <w:b/>
      <w:bCs/>
      <w:sz w:val="24"/>
      <w:szCs w:val="32"/>
    </w:rPr>
  </w:style>
  <w:style w:type="paragraph" w:styleId="886" w:customStyle="1">
    <w:name w:val="标题5"/>
    <w:basedOn w:val="677"/>
    <w:link w:val="885"/>
    <w:uiPriority w:val="0"/>
    <w:qFormat/>
    <w:pPr>
      <w:jc w:val="both"/>
      <w:spacing w:line="413" w:lineRule="auto"/>
    </w:pPr>
    <w:rPr>
      <w:rFonts w:ascii="Arial" w:hAnsi="Arial" w:eastAsiaTheme="minorEastAsia" w:cstheme="minorBidi"/>
      <w:sz w:val="24"/>
    </w:rPr>
  </w:style>
  <w:style w:type="character" w:styleId="887" w:customStyle="1">
    <w:name w:val="15"/>
    <w:basedOn w:val="684"/>
    <w:uiPriority w:val="0"/>
    <w:qFormat/>
  </w:style>
  <w:style w:type="table" w:styleId="888" w:customStyle="1">
    <w:name w:val="Table Normal"/>
    <w:uiPriority w:val="0"/>
    <w:semiHidden/>
    <w:unhideWhenUsed/>
    <w:qFormat/>
    <w:tblPr>
      <w:tblCellMar>
        <w:left w:w="0" w:type="dxa"/>
        <w:top w:w="0" w:type="dxa"/>
        <w:right w:w="0" w:type="dxa"/>
        <w:bottom w:w="0" w:type="dxa"/>
      </w:tblCellMar>
    </w:tblPr>
  </w:style>
  <w:style w:type="character" w:styleId="889" w:customStyle="1">
    <w:name w:val="批注框文本 Char"/>
    <w:basedOn w:val="684"/>
    <w:link w:val="700"/>
    <w:uiPriority w:val="99"/>
    <w:semiHidden/>
    <w:qFormat/>
    <w:rPr>
      <w:rFonts w:ascii="Times New Roman" w:hAnsi="Times New Roman" w:eastAsia="宋体" w:cs="Times New Roman"/>
      <w:sz w:val="18"/>
      <w:szCs w:val="18"/>
    </w:rPr>
  </w:style>
  <w:style w:type="character" w:styleId="890" w:customStyle="1">
    <w:name w:val="批注文字 Char"/>
    <w:basedOn w:val="684"/>
    <w:link w:val="689"/>
    <w:uiPriority w:val="99"/>
    <w:semiHidden/>
    <w:qFormat/>
    <w:rPr>
      <w:rFonts w:ascii="Times New Roman" w:hAnsi="Times New Roman" w:eastAsia="宋体" w:cs="Times New Roman"/>
      <w:sz w:val="24"/>
      <w:szCs w:val="24"/>
    </w:rPr>
  </w:style>
  <w:style w:type="paragraph" w:styleId="891" w:customStyle="1">
    <w:name w:val="标题 31"/>
    <w:basedOn w:val="674"/>
    <w:next w:val="89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2" w:customStyle="1">
    <w:name w:val="正文缩进1"/>
    <w:basedOn w:val="674"/>
    <w:uiPriority w:val="99"/>
    <w:qFormat/>
    <w:pPr>
      <w:ind w:firstLine="420"/>
    </w:pPr>
    <w:rPr>
      <w:b/>
      <w:sz w:val="24"/>
    </w:rPr>
  </w:style>
  <w:style w:type="character" w:styleId="893" w:customStyle="1">
    <w:name w:val="要点1"/>
    <w:uiPriority w:val="0"/>
    <w:qFormat/>
    <w:rPr>
      <w:sz w:val="22"/>
      <w:szCs w:val="22"/>
      <w:lang w:val="en-US" w:eastAsia="en-US" w:bidi="en-US"/>
    </w:rPr>
  </w:style>
  <w:style w:type="paragraph" w:styleId="894" w:customStyle="1">
    <w:name w:val="正文首行缩进1"/>
    <w:basedOn w:val="895"/>
    <w:uiPriority w:val="0"/>
    <w:qFormat/>
    <w:pPr>
      <w:ind w:firstLine="420"/>
      <w:spacing w:line="360" w:lineRule="auto"/>
    </w:pPr>
    <w:rPr>
      <w:rFonts w:ascii="Times New Roman" w:hAnsi="Times New Roman" w:cs="Times New Roman"/>
      <w:szCs w:val="21"/>
    </w:rPr>
  </w:style>
  <w:style w:type="paragraph" w:styleId="895" w:customStyle="1">
    <w:name w:val="正文文本1"/>
    <w:basedOn w:val="674"/>
    <w:uiPriority w:val="0"/>
    <w:qFormat/>
    <w:rPr>
      <w:rFonts w:ascii="宋体"/>
      <w:sz w:val="28"/>
    </w:rPr>
  </w:style>
  <w:style w:type="paragraph" w:styleId="896" w:customStyle="1">
    <w:name w:val="1"/>
    <w:basedOn w:val="674"/>
    <w:next w:val="674"/>
    <w:uiPriority w:val="0"/>
    <w:qFormat/>
    <w:rPr>
      <w:szCs w:val="20"/>
    </w:rPr>
  </w:style>
  <w:style w:type="paragraph" w:styleId="897" w:customStyle="1">
    <w:name w:val="标题 311"/>
    <w:basedOn w:val="674"/>
    <w:next w:val="674"/>
    <w:uiPriority w:val="0"/>
    <w:qFormat/>
    <w:pPr>
      <w:keepLines/>
      <w:keepNext/>
      <w:spacing w:before="260" w:after="260" w:line="416" w:lineRule="auto"/>
      <w:outlineLvl w:val="2"/>
    </w:pPr>
    <w:rPr>
      <w:b/>
      <w:sz w:val="32"/>
      <w:szCs w:val="20"/>
    </w:rPr>
  </w:style>
  <w:style w:type="paragraph" w:styleId="898" w:customStyle="1">
    <w:name w:val="List Paragraph1"/>
    <w:basedOn w:val="674"/>
    <w:uiPriority w:val="34"/>
    <w:qFormat/>
    <w:pPr>
      <w:contextualSpacing/>
      <w:ind w:left="720"/>
    </w:pPr>
  </w:style>
  <w:style w:type="character" w:styleId="899" w:customStyle="1">
    <w:name w:val="bot_zi"/>
    <w:basedOn w:val="684"/>
    <w:uiPriority w:val="0"/>
    <w:qFormat/>
  </w:style>
  <w:style w:type="paragraph" w:styleId="900" w:customStyle="1">
    <w:name w:val="列表段落1"/>
    <w:basedOn w:val="674"/>
    <w:uiPriority w:val="34"/>
    <w:qFormat/>
    <w:pPr>
      <w:ind w:firstLine="420"/>
    </w:pPr>
  </w:style>
  <w:style w:type="paragraph" w:styleId="901" w:customStyle="1">
    <w:name w:val="普通(网站)1"/>
    <w:basedOn w:val="674"/>
    <w:uiPriority w:val="99"/>
    <w:qFormat/>
    <w:pPr>
      <w:jc w:val="left"/>
      <w:spacing w:before="100" w:beforeAutospacing="1" w:after="100" w:afterAutospacing="1"/>
      <w:widowControl/>
    </w:pPr>
    <w:rPr>
      <w:sz w:val="24"/>
    </w:rPr>
  </w:style>
  <w:style w:type="paragraph" w:styleId="902" w:customStyle="1">
    <w:name w:val="null3"/>
    <w:hidden/>
    <w:uiPriority w:val="0"/>
    <w:qFormat/>
    <w:rPr>
      <w:rFonts w:hint="eastAsia" w:asciiTheme="minorHAnsi" w:hAnsiTheme="minorHAnsi" w:eastAsiaTheme="minorEastAsia" w:cstheme="minorBidi"/>
      <w:lang w:val="en-US" w:eastAsia="zh-Hans"/>
    </w:rPr>
  </w:style>
  <w:style w:type="paragraph" w:styleId="903" w:customStyle="1">
    <w:name w:val="标题1"/>
    <w:basedOn w:val="674"/>
    <w:next w:val="674"/>
    <w:uiPriority w:val="10"/>
    <w:qFormat/>
    <w:pPr>
      <w:contextualSpacing/>
      <w:spacing w:after="300" w:line="240" w:lineRule="auto"/>
    </w:pPr>
    <w:rPr>
      <w:smallCaps/>
      <w:sz w:val="52"/>
      <w:szCs w:val="52"/>
      <w:lang w:bidi="ar-SA"/>
    </w:rPr>
  </w:style>
  <w:style w:type="paragraph" w:styleId="904" w:customStyle="1">
    <w:name w:val="正文缩进11"/>
    <w:basedOn w:val="674"/>
    <w:next w:val="674"/>
    <w:uiPriority w:val="99"/>
    <w:qFormat/>
    <w:pPr>
      <w:ind w:firstLine="420"/>
    </w:pPr>
    <w:rPr>
      <w:szCs w:val="20"/>
    </w:rPr>
  </w:style>
  <w:style w:type="paragraph" w:styleId="905" w:customStyle="1">
    <w:name w:val="标题 41"/>
    <w:basedOn w:val="674"/>
    <w:next w:val="674"/>
    <w:uiPriority w:val="9"/>
    <w:qFormat/>
    <w:pPr>
      <w:spacing w:after="0" w:line="271" w:lineRule="auto"/>
      <w:outlineLvl w:val="3"/>
    </w:pPr>
    <w:rPr>
      <w:b/>
      <w:bCs/>
      <w:spacing w:val="5"/>
      <w:sz w:val="24"/>
      <w:szCs w:val="24"/>
      <w:lang w:bidi="ar-SA"/>
    </w:rPr>
  </w:style>
  <w:style w:type="paragraph" w:styleId="906" w:customStyle="1">
    <w:name w:val="索引 41"/>
    <w:basedOn w:val="674"/>
    <w:next w:val="674"/>
    <w:uiPriority w:val="0"/>
    <w:qFormat/>
    <w:pPr>
      <w:ind w:left="600"/>
    </w:pPr>
  </w:style>
  <w:style w:type="paragraph" w:styleId="907" w:customStyle="1">
    <w:name w:val="Table Text"/>
    <w:basedOn w:val="674"/>
    <w:uiPriority w:val="0"/>
    <w:semiHidden/>
    <w:qFormat/>
    <w:rPr>
      <w:rFonts w:ascii="宋体" w:hAnsi="宋体" w:eastAsia="宋体" w:cs="宋体"/>
      <w:sz w:val="25"/>
      <w:szCs w:val="25"/>
      <w:lang w:val="en-US" w:eastAsia="en-US" w:bidi="ar-SA"/>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29</cp:revision>
  <dcterms:created xsi:type="dcterms:W3CDTF">2023-09-21T04:43:00Z</dcterms:created>
  <dcterms:modified xsi:type="dcterms:W3CDTF">2026-09-17T05:48:29Z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CCC87DA811F0400A869D8FFF1C36F192_13</vt:lpwstr>
  </property>
  <property fmtid="{D5CDD505-2E9C-101B-9397-08002B2CF9AE}" pid="4" name="KSOTemplateDocerSaveRecord">
    <vt:lpwstr>eyJoZGlkIjoiOWI0NTJjM2IwNDY2NWI2MTBhOTYxZTNjMDViODlmZWYiLCJ1c2VySWQiOiIzNTYwMDE3MjEifQ==</vt:lpwstr>
  </property>
</Properties>
</file>