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5"/>
        <w:rPr>
          <w:highlight w:val="none"/>
        </w:rPr>
      </w:pPr>
      <w:r>
        <w:rPr>
          <w:highlight w:val="none"/>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项目名称：盐城市长江路实验学校理化生实验室标准化考场项目（二次）</w:t>
      </w:r>
      <w:r/>
    </w:p>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项目编号：JSZC-320991-JSZH-G2026-0083</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285"/>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采 购 人：盐城市长江路实验学校</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招标代理：江苏智汇锡建工程项目管理有限公司</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2026年9月</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940"/>
        <w:spacing w:before="0" w:after="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Hei" w:hAnsi="SimHei" w:eastAsia="SimHei" w:cs="SimHei"/>
          <w:b/>
          <w:color w:val="000000"/>
          <w:sz w:val="44"/>
        </w:rPr>
        <w:t xml:space="preserve">总  目</w:t>
      </w:r>
      <w:r>
        <w:rPr>
          <w:rFonts w:ascii="SimSun" w:hAnsi="SimSun" w:eastAsia="SimSun" w:cs="SimSun"/>
          <w:b/>
          <w:color w:val="000000"/>
          <w:sz w:val="44"/>
        </w:rPr>
        <w:t xml:space="preserve">  </w:t>
      </w:r>
      <w:r>
        <w:rPr>
          <w:rFonts w:ascii="SimHei" w:hAnsi="SimHei" w:eastAsia="SimHei" w:cs="SimHei"/>
          <w:b/>
          <w:color w:val="000000"/>
          <w:sz w:val="44"/>
        </w:rPr>
        <w:t xml:space="preserve">录</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160" w:right="0" w:hanging="1440"/>
        <w:jc w:val="both"/>
        <w:spacing w:before="100" w:after="100" w:line="249" w:lineRule="atLeast"/>
        <w:rPr>
          <w:rFonts w:ascii="黑体" w:hAnsi="黑体" w:cs="黑体"/>
          <w:sz w:val="36"/>
          <w:szCs w:val="36"/>
        </w:r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36"/>
          <w:szCs w:val="36"/>
        </w:rPr>
        <w:t xml:space="preserve">招标公告……………………………………3</w:t>
      </w:r>
      <w:r>
        <w:rPr>
          <w:rFonts w:ascii="黑体" w:hAnsi="黑体" w:cs="黑体"/>
          <w:sz w:val="36"/>
          <w:szCs w:val="36"/>
        </w:rPr>
      </w:r>
    </w:p>
    <w:p>
      <w:pPr>
        <w:ind w:left="2160" w:right="0" w:hanging="1440"/>
        <w:jc w:val="both"/>
        <w:spacing w:before="100" w:after="100" w:line="249" w:lineRule="atLeast"/>
        <w:rPr>
          <w:rFonts w:ascii="黑体" w:hAnsi="黑体" w:cs="黑体"/>
          <w:sz w:val="36"/>
          <w:szCs w:val="36"/>
        </w:r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36"/>
          <w:szCs w:val="36"/>
        </w:rPr>
        <w:t xml:space="preserve">投标人须知…………………………………6</w:t>
      </w:r>
      <w:r>
        <w:rPr>
          <w:rFonts w:ascii="黑体" w:hAnsi="黑体" w:eastAsia="SimSun" w:cs="黑体"/>
          <w:color w:val="000000"/>
          <w:sz w:val="36"/>
          <w:szCs w:val="36"/>
        </w:rPr>
        <w:t xml:space="preserve">  </w:t>
      </w:r>
      <w:r>
        <w:rPr>
          <w:rFonts w:ascii="黑体" w:hAnsi="黑体" w:cs="黑体"/>
          <w:sz w:val="36"/>
          <w:szCs w:val="36"/>
        </w:rPr>
      </w:r>
    </w:p>
    <w:p>
      <w:pPr>
        <w:ind w:left="2160" w:right="0" w:hanging="1440"/>
        <w:jc w:val="both"/>
        <w:spacing w:before="100" w:after="100" w:line="249" w:lineRule="atLeast"/>
        <w:rPr>
          <w:rFonts w:ascii="黑体" w:hAnsi="黑体" w:cs="黑体"/>
          <w:sz w:val="36"/>
          <w:szCs w:val="36"/>
        </w:rPr>
        <w:pBdr>
          <w:top w:val="none" w:color="000000" w:sz="4" w:space="0"/>
          <w:left w:val="none" w:color="000000" w:sz="4" w:space="0"/>
          <w:bottom w:val="none" w:color="000000" w:sz="4" w:space="0"/>
          <w:right w:val="none" w:color="000000" w:sz="4" w:space="0"/>
        </w:pBdr>
      </w:pPr>
      <w:r>
        <w:rPr>
          <w:rFonts w:ascii="黑体" w:hAnsi="黑体" w:eastAsia="SimHei" w:cs="黑体"/>
          <w:color w:val="000000"/>
          <w:sz w:val="36"/>
          <w:szCs w:val="36"/>
        </w:rPr>
      </w:r>
      <w:r>
        <w:rPr>
          <w:rFonts w:ascii="黑体" w:hAnsi="黑体" w:eastAsia="黑体" w:cs="黑体"/>
          <w:color w:val="000000"/>
          <w:sz w:val="36"/>
          <w:szCs w:val="36"/>
        </w:rPr>
        <w:t xml:space="preserve">合同条款及格式</w:t>
      </w:r>
      <w:r>
        <w:rPr>
          <w:rFonts w:ascii="黑体" w:hAnsi="黑体" w:eastAsia="SimHei" w:cs="黑体"/>
          <w:color w:val="000000"/>
          <w:sz w:val="36"/>
          <w:szCs w:val="36"/>
        </w:rPr>
        <w:t xml:space="preserve">……………………</w:t>
      </w:r>
      <w:r>
        <w:rPr>
          <w:rFonts w:ascii="黑体" w:hAnsi="黑体" w:eastAsia="SimHei" w:cs="黑体"/>
          <w:color w:val="000000"/>
          <w:sz w:val="36"/>
          <w:szCs w:val="36"/>
        </w:rPr>
        <w:t xml:space="preserve">…</w:t>
      </w:r>
      <w:r/>
      <w:r>
        <w:rPr>
          <w:rFonts w:ascii="黑体" w:hAnsi="黑体" w:eastAsia="SimHei" w:cs="黑体"/>
          <w:color w:val="000000"/>
          <w:sz w:val="36"/>
          <w:szCs w:val="36"/>
        </w:rPr>
      </w:r>
      <w:r>
        <w:rPr>
          <w:rFonts w:ascii="黑体" w:hAnsi="黑体" w:eastAsia="SimHei" w:cs="黑体"/>
          <w:color w:val="000000"/>
          <w:sz w:val="36"/>
          <w:szCs w:val="36"/>
        </w:rPr>
        <w:t xml:space="preserve">…</w:t>
      </w:r>
      <w:r/>
      <w:r>
        <w:rPr>
          <w:rFonts w:ascii="黑体" w:hAnsi="黑体" w:eastAsia="SimHei" w:cs="黑体"/>
          <w:color w:val="000000"/>
          <w:sz w:val="36"/>
          <w:szCs w:val="36"/>
        </w:rPr>
        <w:t xml:space="preserve">…19</w:t>
      </w:r>
      <w:r>
        <w:rPr>
          <w:rFonts w:ascii="黑体" w:hAnsi="黑体" w:cs="黑体"/>
          <w:sz w:val="36"/>
          <w:szCs w:val="36"/>
        </w:rPr>
      </w:r>
    </w:p>
    <w:p>
      <w:pPr>
        <w:ind w:left="2160" w:right="0" w:hanging="1440"/>
        <w:jc w:val="both"/>
        <w:spacing w:before="100" w:after="100" w:line="249" w:lineRule="atLeast"/>
        <w:rPr>
          <w:rFonts w:ascii="黑体" w:hAnsi="黑体" w:cs="黑体"/>
          <w:sz w:val="36"/>
          <w:szCs w:val="36"/>
        </w:r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36"/>
          <w:szCs w:val="36"/>
        </w:rPr>
        <w:t xml:space="preserve">采购需求……………………………………26</w:t>
      </w:r>
      <w:r>
        <w:rPr>
          <w:rFonts w:ascii="黑体" w:hAnsi="黑体" w:cs="黑体"/>
          <w:sz w:val="36"/>
          <w:szCs w:val="36"/>
        </w:rPr>
      </w:r>
    </w:p>
    <w:p>
      <w:pPr>
        <w:ind w:left="2160" w:right="0" w:hanging="1440"/>
        <w:jc w:val="both"/>
        <w:spacing w:before="100" w:after="100" w:line="249" w:lineRule="atLeast"/>
        <w:rPr>
          <w:rFonts w:ascii="黑体" w:hAnsi="黑体" w:cs="黑体"/>
          <w:sz w:val="36"/>
          <w:szCs w:val="36"/>
        </w:r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36"/>
          <w:szCs w:val="36"/>
        </w:rPr>
        <w:t xml:space="preserve">评标方法与评标标准………………………59</w:t>
      </w:r>
      <w:r>
        <w:rPr>
          <w:rFonts w:ascii="黑体" w:hAnsi="黑体" w:cs="黑体"/>
          <w:sz w:val="36"/>
          <w:szCs w:val="36"/>
        </w:rPr>
      </w:r>
    </w:p>
    <w:p>
      <w:pPr>
        <w:ind w:left="0" w:right="0" w:firstLine="720"/>
        <w:jc w:val="both"/>
        <w:spacing w:before="0" w:after="0" w:line="249" w:lineRule="atLeast"/>
        <w:rPr>
          <w:rFonts w:ascii="黑体" w:hAnsi="黑体" w:cs="黑体"/>
          <w:sz w:val="36"/>
          <w:szCs w:val="36"/>
        </w:rPr>
        <w:pBdr>
          <w:top w:val="none" w:color="000000" w:sz="4" w:space="0"/>
          <w:left w:val="none" w:color="000000" w:sz="4" w:space="0"/>
          <w:bottom w:val="none" w:color="000000" w:sz="4" w:space="0"/>
          <w:right w:val="none" w:color="000000" w:sz="4" w:space="0"/>
        </w:pBdr>
      </w:pPr>
      <w:r>
        <w:rPr>
          <w:rFonts w:ascii="黑体" w:hAnsi="黑体" w:eastAsia="黑体" w:cs="黑体"/>
          <w:color w:val="000000"/>
          <w:sz w:val="36"/>
          <w:szCs w:val="36"/>
        </w:rPr>
        <w:t xml:space="preserve">投标文件格式………………………………65</w:t>
      </w:r>
      <w:r>
        <w:rPr>
          <w:rFonts w:ascii="黑体" w:hAnsi="黑体" w:cs="黑体"/>
          <w:sz w:val="36"/>
          <w:szCs w:val="36"/>
        </w:rPr>
      </w:r>
    </w:p>
    <w:p>
      <w:pPr>
        <w:ind w:left="0" w:right="0" w:firstLine="0"/>
        <w:spacing w:before="0" w:after="0"/>
        <w:pBdr>
          <w:top w:val="none" w:color="000000" w:sz="4" w:space="0"/>
          <w:left w:val="none" w:color="000000" w:sz="4" w:space="0"/>
          <w:bottom w:val="none" w:color="000000" w:sz="4" w:space="0"/>
          <w:right w:val="none" w:color="000000" w:sz="4" w:space="0"/>
        </w:pBdr>
      </w:pPr>
      <w:r>
        <w:rPr>
          <w:rFonts w:ascii="黑体" w:hAnsi="黑体" w:cs="黑体"/>
          <w:sz w:val="36"/>
          <w:szCs w:val="36"/>
        </w:rPr>
        <w:br w:type="page" w:clear="all"/>
      </w:r>
      <w:r/>
    </w:p>
    <w:p>
      <w:pPr>
        <w:pStyle w:val="684"/>
        <w:ind w:left="0" w:right="0" w:firstLine="3200"/>
        <w:spacing w:before="480" w:after="200" w:line="456"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0"/>
        </w:rPr>
        <w:t xml:space="preserve">第一章招标公告</w:t>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盐城市长江路实验学校理化生实验室标准化考场项目 JSZC-320991-JSZH-G2026-0083 招标项目的潜在投标人应在“苏采云”系统内免费下载（投标人必须在苏采云系统中获取采购文件，方能参与政府采购项目） 获取招标文件，并于2026-11-09 09:00  （北京时间）前递交投标文件。</w:t>
            </w:r>
            <w:r/>
          </w:p>
        </w:tc>
      </w:tr>
    </w:tbl>
    <w:p>
      <w:pPr>
        <w:pStyle w:val="685"/>
        <w:ind w:left="0" w:right="0" w:firstLine="0"/>
        <w:spacing w:before="361" w:after="105" w:line="3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项目编号：JSZC-320991-JSZH-G2026-0083 </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项目名称：盐城市长江路实验学校理化生实验室标准化考场项目 </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预算金额：270万元 </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最高限价（如有）：270万元  </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盐城市长江路实验学校理化生实验室标准化考场项目，主要包括物理、化学、生物三个学科各1间标准化实验考场建设以及校级实验操作考试管理中心建设。具体详见招标文件第四章项目需求。</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合同履行期限：供货总周期60天。 </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pStyle w:val="685"/>
        <w:ind w:left="0" w:right="0" w:firstLine="0"/>
        <w:spacing w:before="0" w:after="105" w:line="3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0"/>
        <w:spacing w:before="0" w:after="21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0"/>
        <w:spacing w:before="0" w:after="21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2.上一年度的财务状况报表（成立不满一年无需提供）</w:t>
      </w:r>
      <w:r/>
    </w:p>
    <w:p>
      <w:pPr>
        <w:ind w:left="0" w:right="0" w:firstLine="0"/>
        <w:spacing w:before="0" w:after="21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3.具备履行合同所必需的设备和专业技术能力的书面声明</w:t>
      </w:r>
      <w:r/>
    </w:p>
    <w:p>
      <w:pPr>
        <w:ind w:left="0" w:right="0" w:firstLine="0"/>
        <w:spacing w:before="0" w:after="21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0"/>
        <w:spacing w:before="0" w:after="21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0"/>
        <w:spacing w:before="0" w:after="21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 </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2.单位负责人为同一人或者存在直接控股、管理关系的不同供应商，不得参加同一合同项下的政府采购活动</w:t>
      </w:r>
      <w:r/>
    </w:p>
    <w:p>
      <w:pPr>
        <w:pStyle w:val="685"/>
        <w:ind w:left="0" w:right="0" w:firstLine="0"/>
        <w:spacing w:before="0" w:after="105" w:line="3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 </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地点：“苏采云”系统内免费下载（投标人必须在苏采云系统中获取采购文件，方能参与政府采购项目）  </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方式：本项目采用网上注册登记方式 </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pStyle w:val="685"/>
        <w:ind w:left="0" w:right="0" w:firstLine="0"/>
        <w:spacing w:before="0" w:after="105" w:line="3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2026-11-09 09:00 （北京时间）</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 </w:t>
      </w:r>
      <w:r/>
    </w:p>
    <w:p>
      <w:pPr>
        <w:pStyle w:val="685"/>
        <w:ind w:left="0" w:right="0" w:firstLine="0"/>
        <w:spacing w:before="0" w:after="105" w:line="3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pStyle w:val="685"/>
        <w:ind w:left="0" w:right="0" w:firstLine="0"/>
        <w:spacing w:before="0" w:after="105" w:line="3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0"/>
        <w:jc w:val="both"/>
        <w:spacing w:before="0" w:after="21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0"/>
        <w:jc w:val="both"/>
        <w:spacing w:before="0" w:after="21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盐城市府西路1号盐城市公共资源交易中心四楼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left="0" w:right="0" w:firstLine="0"/>
        <w:jc w:val="both"/>
        <w:spacing w:before="0" w:after="21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2.潜在供应商访问电子招标响应交易平台的网络地址和方法：</w:t>
      </w:r>
      <w:r/>
    </w:p>
    <w:p>
      <w:pPr>
        <w:ind w:left="0" w:right="0" w:firstLine="0"/>
        <w:jc w:val="both"/>
        <w:spacing w:before="0" w:after="21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left="0" w:right="0" w:firstLine="0"/>
        <w:jc w:val="both"/>
        <w:spacing w:before="0" w:after="21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潜在投标人访问“苏采云”系统方法：江苏省政府采购网首页-“苏采云”链接。</w:t>
      </w:r>
      <w:r/>
    </w:p>
    <w:p>
      <w:pPr>
        <w:ind w:left="0" w:right="0" w:firstLine="0"/>
        <w:jc w:val="both"/>
        <w:spacing w:before="0" w:after="21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采购文件（后缀名为“.kedt”）、供应商操作手册及政府采购客户端 工具可通过“苏采云”系统相应链接进行下载。</w:t>
      </w:r>
      <w:r/>
    </w:p>
    <w:p>
      <w:pPr>
        <w:ind w:left="0" w:right="0" w:firstLine="0"/>
        <w:jc w:val="both"/>
        <w:spacing w:before="0" w:after="21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采购代理机构将数据电文形式的采购文件加载至“苏采云”系统，供潜在供应商下载或者查阅。</w:t>
      </w:r>
      <w:r/>
    </w:p>
    <w:p>
      <w:pPr>
        <w:ind w:left="0" w:right="0" w:firstLine="0"/>
        <w:jc w:val="both"/>
        <w:spacing w:before="0" w:after="21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请潜在投标单位提前安装相应的控件（详见《“苏采云”系统供应商操作手册》）并使用谷歌浏览器登录“苏采云”系统参与不见面开评标。</w:t>
      </w:r>
      <w:r/>
    </w:p>
    <w:p>
      <w:pPr>
        <w:ind w:left="0" w:right="0" w:firstLine="0"/>
        <w:jc w:val="both"/>
        <w:spacing w:before="0" w:after="21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如潜在投标人未按上述要求操作，将自行承担所产生的风险。</w:t>
      </w:r>
      <w:r/>
    </w:p>
    <w:p>
      <w:pPr>
        <w:ind w:left="0" w:right="0" w:firstLine="0"/>
        <w:jc w:val="both"/>
        <w:spacing w:before="0" w:after="21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3.有关本次招标的事项若存在变动或修改，敬请及时关注盐城市政府采购中心在“中国政府采购网”、“江苏政府采购网”、“盐城市政府采购网”发布的更正公告。</w:t>
      </w:r>
      <w:r/>
    </w:p>
    <w:p>
      <w:pPr>
        <w:ind w:left="0" w:right="0" w:firstLine="0"/>
        <w:jc w:val="both"/>
        <w:spacing w:before="0" w:after="21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4.本次招标不收取投标保证金，不收取质量保证金。</w:t>
      </w:r>
      <w:r/>
    </w:p>
    <w:p>
      <w:pPr>
        <w:pStyle w:val="685"/>
        <w:ind w:left="0" w:right="0" w:firstLine="0"/>
        <w:spacing w:before="0" w:after="105" w:line="3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 </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单位名称：盐城市长江路实验学校</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单位地址：盐城经济技术开发区长江路23号</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联系人：陈先生</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联系电话：134 0750 5052</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2.采购代理机构信息（如有）</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单位名称：江苏智汇锡建工程项目管理有限公司</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单位地址：盐城市盐都区瞰都公馆10号楼1001</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联系人：张先生</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联系电话：15061668067</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项目联系人：张先生</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电话：15061668067</w:t>
      </w:r>
      <w:r/>
    </w:p>
    <w:p>
      <w:pPr>
        <w:ind w:left="0" w:right="0" w:firstLine="0"/>
        <w:jc w:val="center"/>
        <w:spacing w:before="203" w:after="203"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03" w:after="203"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第二章投标人须知</w:t>
      </w:r>
      <w:r/>
    </w:p>
    <w:p>
      <w:pPr>
        <w:pStyle w:val="686"/>
        <w:ind w:left="0" w:right="0" w:firstLine="118"/>
        <w:jc w:val="both"/>
        <w:spacing w:before="203" w:after="203" w:line="3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pStyle w:val="687"/>
        <w:ind w:left="0" w:right="0" w:firstLine="361"/>
        <w:jc w:val="both"/>
        <w:spacing w:before="0" w:after="0" w:line="2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1、招标方式</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687"/>
        <w:ind w:left="0" w:right="0" w:firstLine="361"/>
        <w:jc w:val="both"/>
        <w:spacing w:before="0" w:after="0" w:line="2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2、合格的投标人</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2.1满足招标公告中投标人的资格要求的规定。</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满足本文件实质性条款的规定。</w:t>
      </w:r>
      <w:r/>
    </w:p>
    <w:p>
      <w:pPr>
        <w:pStyle w:val="687"/>
        <w:ind w:left="0" w:right="0" w:firstLine="361"/>
        <w:jc w:val="both"/>
        <w:spacing w:before="0" w:after="0" w:line="2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w:t>
      </w:r>
      <w:r/>
    </w:p>
    <w:p>
      <w:pPr>
        <w:ind w:left="0" w:right="0" w:firstLine="42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687"/>
        <w:ind w:left="0" w:right="0" w:firstLine="361"/>
        <w:jc w:val="both"/>
        <w:spacing w:before="0" w:after="0" w:line="2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4、投标费用</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投标人应自行承担所有与参加投标有关的费用，无论投标过程中的做法和结果如何，采购人在任何情况下均无义务和责任承担这些费用。</w:t>
      </w:r>
      <w:r/>
    </w:p>
    <w:p>
      <w:pPr>
        <w:pStyle w:val="687"/>
        <w:ind w:left="0" w:right="0" w:firstLine="482"/>
        <w:jc w:val="both"/>
        <w:spacing w:before="0" w:after="0" w:line="2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5、招标文件的约束力</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投标人一旦参加本项目采购活动，即被认为接受了本招标文件的规定和约束，并且视为自招标公告期限届满之日起知道或应当知道自身权益是否受到了损害。</w:t>
      </w:r>
      <w:r/>
    </w:p>
    <w:p>
      <w:pPr>
        <w:pStyle w:val="687"/>
        <w:ind w:left="0" w:right="0" w:firstLine="482"/>
        <w:jc w:val="both"/>
        <w:spacing w:before="0" w:after="0" w:line="2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6、招标文件的解释</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本招标文件由采购人负责解释。</w:t>
      </w:r>
      <w:r/>
    </w:p>
    <w:p>
      <w:pPr>
        <w:pStyle w:val="686"/>
        <w:ind w:left="0" w:right="0" w:firstLine="241"/>
        <w:jc w:val="both"/>
        <w:spacing w:before="203" w:after="203" w:line="3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pStyle w:val="687"/>
        <w:ind w:left="0" w:right="0" w:firstLine="361"/>
        <w:jc w:val="both"/>
        <w:spacing w:before="0" w:after="0" w:line="2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7、招标文件构成</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招标文件有以下部分组成：</w:t>
      </w:r>
      <w:r/>
    </w:p>
    <w:p>
      <w:pPr>
        <w:ind w:left="0" w:right="0" w:firstLine="3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3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（3）合同条款及格式</w:t>
      </w:r>
      <w:r/>
    </w:p>
    <w:p>
      <w:pPr>
        <w:ind w:left="0" w:right="0" w:firstLine="3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（4）项目需求</w:t>
      </w:r>
      <w:r/>
    </w:p>
    <w:p>
      <w:pPr>
        <w:ind w:left="0" w:right="0" w:firstLine="3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请仔细检查招标文件是否齐全，如有缺漏请立即与采购人或招标代理机构联系解决。</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8、招标文件的询问及澄清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任何要求对招标文件进行询问的投标人，应在投标截止日期10日前按招标公告中的通讯地址，向采购人或者采购代理机构提出。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澄清或者修改的内容可能影响投标文件编制的，采购人或者采购代理机构应当在投标截止时间至少15日前，以书面形式或在网上发布更正公告通知所有获取招标文件的潜在投标人；不足15日的，采购人或者采购代理机构应当顺延提交投标文件的截止时间。</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9、招标文件的修改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在投标截止时间前，采购人或者采购代理机构可以对招标文件进行修改。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采购人有权依法推迟投标截止日期和开标日期。</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招标文件的修改将在中国政府采购网、江苏政府采购网、盐城市政府采购网公布，补充文件将作为招标文件的组成部分，并对投标人具有约束力。</w:t>
      </w:r>
      <w:r/>
    </w:p>
    <w:p>
      <w:pPr>
        <w:pStyle w:val="686"/>
        <w:ind w:left="0" w:right="0" w:firstLine="361"/>
        <w:jc w:val="both"/>
        <w:spacing w:before="203" w:after="203" w:line="3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pStyle w:val="687"/>
        <w:ind w:left="0" w:right="0" w:firstLine="482"/>
        <w:jc w:val="both"/>
        <w:spacing w:before="0" w:after="0" w:line="2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10、投标文件的语言及度量衡单位</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投标人提交的投标文件以及投标人与采购人就有关投标的所有来往通知、函件和文件均应使用简体中文。</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除技术性能另有规定外，投标文件所使用的度量衡单位，均须采用国家法定计量单位。</w:t>
      </w:r>
      <w:r/>
    </w:p>
    <w:p>
      <w:pPr>
        <w:pStyle w:val="687"/>
        <w:ind w:left="0" w:right="0" w:firstLine="361"/>
        <w:jc w:val="both"/>
        <w:spacing w:before="0" w:after="0" w:line="2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11、投标文件构成</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投标人编写的投标文件应包括资格证明文件、符合性证明文件、投标分项报价表、技术参数响应及偏离表、商务条款响应及偏离表、其他证明文件、投标函、开标一览表等部分。</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11.2如标书制作工具中格式和内容与中国政府采购网、江苏政府采购网、盐城市政府采购网发布的招标文件不一致，请以中国政府采购网、江苏政府采购网、盐城市政府采购网发布的招标文件为准。</w:t>
      </w:r>
      <w:r/>
    </w:p>
    <w:p>
      <w:pPr>
        <w:pStyle w:val="687"/>
        <w:ind w:left="0" w:right="0" w:firstLine="482"/>
        <w:jc w:val="both"/>
        <w:spacing w:before="0" w:after="0" w:line="2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12、证明投标人资格及符合招标文件规定的文件</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投标人应按照招标文件要求提交证明文件，证明其及投标标的符合招标文件规定。</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12.2招标文件对证明文件无明确形式要求的，证明文件可以以文字资料、图纸和数据等形式提交。</w:t>
      </w:r>
      <w:r/>
    </w:p>
    <w:p>
      <w:pPr>
        <w:pStyle w:val="687"/>
        <w:ind w:left="0" w:right="0" w:firstLine="361"/>
        <w:jc w:val="both"/>
        <w:spacing w:before="0" w:after="0" w:line="2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13、投标分项报价表</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投标人应按照招标文件规定格式填报投标分项报价表。</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标的物</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采购人需求的设备及技术服务等。</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13.3有关费用处理的约定</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13.3.1投标人根据现场实际情况、采购人提供的维保清单报价表、自身实力、结合市场行情报价，此报价应包括为完成招标文件中的所有内容。即主要包括（但不限于）：设备费用（含全套设备、辅材、配件、备品备件、专用工具、技术资料等）、直接和间接成本费、劳务费、清洁费、包装费、采购费、生产费、运杂费（含运输费）、招标代理费、装卸费、保险费、保修费、管理费、配合费、安装费、调试费、检测费、技术（含操作、维护等）培训及售后服务费、招标代理服务费、税金、利润、风险费、成品保护费、不可预见费及其他一切相关费用等所需的全部费用。</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13.3.2本项目报价为全费用固定综合单价（即将所有费用均摊销至各综合单价中），投标人根据采购人提供的清单报全费用综合单价和总价。项目结算时，供货量按实结算；除设计变更或采购人调整项目内容或合同约定调整外，一律不调整中标全费用综合单价。</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13.3.3本项目招标代理服务费按苏招协【2022】002号收费标准的55%收取。</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上述费用由中标人支付，投标人投标时综合考虑进报价中，不得单列，凡漏项或少计均视为优惠招标人，不另行增加费用。中标后中标单位在领取中标通知书前直接将招标代理服务费向招标代理公司一次性付清。</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13.4其它费用处理</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招标文件未列明，而投标人认为必需的费用也需列入报价。</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13.5投标货币</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投标文件中的单价和总价无特殊规定的采用人民币报价，以元为单位标注。招标文件中另有规定的按规定执行。</w:t>
      </w:r>
      <w:r/>
    </w:p>
    <w:p>
      <w:pPr>
        <w:ind w:left="0" w:right="0" w:firstLine="482"/>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14、技术参数响应及偏离表、商务条款响应及偏离表</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14.1对招标文件中的技术与商务条款要求逐项作出响应或偏离，并说明原因（如有）。</w:t>
      </w:r>
      <w:r/>
    </w:p>
    <w:p>
      <w:pPr>
        <w:ind w:left="0" w:right="0" w:firstLine="482"/>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15、投标函和开标一览表</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2"/>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16、投标有效期</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16.1投标有效期为采购中心规定的开标之日后</w:t>
      </w:r>
      <w:r>
        <w:rPr>
          <w:rFonts w:ascii="FangSong" w:hAnsi="FangSong" w:eastAsia="FangSong" w:cs="FangSong"/>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82"/>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17、投标有效期的延长</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686"/>
        <w:ind w:left="0" w:right="0" w:firstLine="361"/>
        <w:jc w:val="both"/>
        <w:spacing w:before="203" w:after="203" w:line="3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四、投标文件的递交</w:t>
      </w:r>
      <w:r/>
    </w:p>
    <w:p>
      <w:pPr>
        <w:ind w:left="0" w:right="0" w:firstLine="42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18、电子投标文件的递交</w:t>
      </w:r>
      <w:r/>
    </w:p>
    <w:p>
      <w:pPr>
        <w:ind w:left="525"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18.1投标人应当按照《操作手册》规定，在投标截止时间前制作并上传电子投标</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w:t>
      </w:r>
      <w:r/>
    </w:p>
    <w:p>
      <w:pPr>
        <w:ind w:left="0" w:right="0" w:firstLine="42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19、投标截止日期</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 投标人上传电子投标文件的时间不得迟于招标公告中规定的投标截止时间。</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采购人可以按照规定，通过修改招标文件酌情延长投标截止日期，在此情况下，投标人的所有权利和义务以及投标人受制的截止日期均应以延长后新的截止日期为准。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20、投标文件的拒收</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采购人拒绝接收在其规定的投标截止时间后上传的任何投标文件。</w:t>
      </w:r>
      <w:r/>
    </w:p>
    <w:p>
      <w:pPr>
        <w:ind w:left="0" w:right="0" w:firstLine="42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21、投标文件的撤回和修改</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21.2.1投标人可在投标截止时间前，对其电子投标文件进行修改，具体操作方法见《操作手册》。</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82"/>
        <w:jc w:val="both"/>
        <w:spacing w:before="145" w:after="145"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五、开标与评标</w:t>
      </w:r>
      <w:r/>
    </w:p>
    <w:p>
      <w:pPr>
        <w:ind w:left="0" w:right="0" w:firstLine="42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22、开标</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采购人将在招标公告中规定的时间和地点组织公开开标。投标人应当按照《操作手册》规定，参加开标活动和在苏采云系统规定的时间内对投标文件进行解密。</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22.2开标仪式由采购人组织。苏采云系统将自动对项目进行开标，并宣布各投标人名称和投标价格。</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22.3投标人在开标过程中涉及到的投标文件解密、开标结果确认等工作，应按照《操作手册》规定执行。</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22.4投标人如果对开标过程和开标记录有疑义，应当根据《操作手册》规定提出，如苏采云系统中《开标记录表》宣布后5分钟内未提出的，视同认可开标结果。</w:t>
      </w:r>
      <w:r/>
    </w:p>
    <w:p>
      <w:pPr>
        <w:ind w:left="0" w:right="0" w:firstLine="42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23、评标委员会</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23.1开标后，采购人将立即组织评标委员会（以下简称评委会）进行评标。</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23.3评委会独立工作，负责评审所有投标文件并确定中标侯选人。</w:t>
      </w:r>
      <w:r/>
    </w:p>
    <w:p>
      <w:pPr>
        <w:ind w:left="0" w:right="0" w:firstLine="42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24、评标过程的保密与公正</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24.1凡是与审查、澄清、评价和比较投标的有关资料以及授标建议等，采购人、评委、采购代理机构均不得向投标人或与评标无关的其他人员透露。</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24.2在评标过程中，投标人不得以任何行为影响评标过程，否则其投标文件将被作为无效投标文件。</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采购人和评标委员会不向未中标的投标人解释未中标原因，也不公布评标过程中的相关细节。</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2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25、投标文件的澄清</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25.1评标期间，评委会对投标文件中含义不明确、同类问题表述不一致或者有明显文字和计算错误的内容，有权要求投标人作出必要的澄清、说明或者补正。</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2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26、对投标文件的初审</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26.1投标文件初审分为资格审查和符合性审查。</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未通过资格审查或符合性审查的投标人，采购人将在苏采云系统中告知未通过资格审查或符合性审查的原因，评审结束后，采购人将不再告知未通过资格审查或符合性审查的原因。</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采用最低评标价法的采购项目，报价相同的，由评标委员会按照招标文件规定的方式（招标文件未规定的通过随机提供相同品牌产品的不同投标人参加同一合同项下投标的，以其中通过资格审查、符合性审查且报价最低的参加评标；抽取的方式）确定一个参加评标的投标人，其他投标无效。</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2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26.7投标人在开、评标全过程中应保持通讯畅通，及时登录苏采云系统查阅、答复相关信息，并安排专人与采购中心及评标委员会联系。</w:t>
      </w:r>
      <w:r/>
    </w:p>
    <w:p>
      <w:pPr>
        <w:ind w:left="0" w:right="0" w:firstLine="42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27、无效投标条款和废标条款</w:t>
      </w:r>
      <w:r/>
    </w:p>
    <w:p>
      <w:pPr>
        <w:ind w:left="479"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27.1无效投标条款</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479"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27.1.3同一投标人提交两个（含两个）以上不同的投标报价的。</w:t>
      </w:r>
      <w:r/>
    </w:p>
    <w:p>
      <w:pPr>
        <w:ind w:left="479"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27.1.4投标人不具备招标文件中规定资格要求的。</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27.1.5投标人的报价超过了采购预算或最高限价的。</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0" w:right="0" w:firstLine="36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p>
    <w:p>
      <w:pPr>
        <w:ind w:left="0" w:right="0" w:firstLine="36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27.1.9投标文件含有采购人不能接受的附加条件的。</w:t>
      </w:r>
      <w:r/>
    </w:p>
    <w:p>
      <w:pPr>
        <w:ind w:left="40" w:right="40" w:firstLine="480"/>
        <w:jc w:val="both"/>
        <w:spacing w:before="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w:t>
      </w:r>
      <w:r>
        <w:rPr>
          <w:rFonts w:ascii="SimSun" w:hAnsi="SimSun" w:eastAsia="SimSun" w:cs="SimSun"/>
          <w:b/>
          <w:color w:val="000000"/>
          <w:sz w:val="24"/>
        </w:rPr>
        <w:t xml:space="preserve">投标人不能证明其报价合理性的，评标委员会应当将其作为无效投标处理。</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（一）评审过程中出现下列情形之一的，评标委员会应当启动异常低价投标审查程序：</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1.投标（响应）报价低于全部通过符合性审查投标人投标（响应）报价平均值50%的，即投标（响应）报价&lt;全部通过符合性审查投标人投标（响应）报价平均值×50%；</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2.投标（响应）报价低于通过符合性审查的次低报价投标人投标（响应）报价50%的，即投标（响应）报价&lt;通过符合性审查的次低报价投标人投标（响应）报价×50%；</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3.投标（响应）报价低于采购项目最高限价45%的，即投标（响应）报价&lt;采购项目最高限价×45%；</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4.评审委员会基于专业判断，认为投标人报价过低，有可能影响产品质量或者不能诚信履约的其他情形。</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采购人可以结合具体项目实际情况，提高上述第1项至第3项中启动异常低价投标（响应）审查的数值标准，但是最高不得超过65%。</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相关法律法规对投标人报价有规定的，从其规定。</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异常低价投标（响应）审查的启动原因、审查意见和审查结果应当在评审报告中记录，并随投标人提供的相关书面说明及证明材料，以及评审委员会有关互联网浏览、查询历史一并归档。</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投标文件未按照招标文件要求加盖CA电子公章的。</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27.1.12其他法律、法规及本招标文件规定的属无效投标的情形。</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27.1.13不同投标人从同一个投标单位或者同一个自然人的互联网协议地址下载招标文件、上传投标文件（IP、MAC地址一致的）。</w:t>
      </w:r>
      <w:r/>
    </w:p>
    <w:p>
      <w:pPr>
        <w:ind w:left="479"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27.2废标条款</w:t>
      </w:r>
      <w:r/>
    </w:p>
    <w:p>
      <w:pPr>
        <w:ind w:left="479"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27.2.1符合专业条件的供应商或者对招标文件作实质响应的供应商不足三家的。</w:t>
      </w:r>
      <w:r/>
    </w:p>
    <w:p>
      <w:pPr>
        <w:ind w:left="479"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27.2.2出现影响采购公正的违法、违规行为的。</w:t>
      </w:r>
      <w:r/>
    </w:p>
    <w:p>
      <w:pPr>
        <w:ind w:left="479"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27.2.3因重大变故，采购任务取消的。</w:t>
      </w:r>
      <w:r/>
    </w:p>
    <w:p>
      <w:pPr>
        <w:ind w:left="479"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27.2.4评标委员会认定招标文件存在歧义、重大缺陷导致评审工作无法进行。</w:t>
      </w:r>
      <w:r/>
    </w:p>
    <w:p>
      <w:pPr>
        <w:ind w:left="479"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因苏采云系统系统故障原因造成开标不成功的。</w:t>
      </w:r>
      <w:r/>
    </w:p>
    <w:p>
      <w:pPr>
        <w:ind w:left="479"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0"/>
        <w:jc w:val="both"/>
        <w:spacing w:before="145" w:after="145"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42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28、确定中标单位</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28.1中标候选人的选取原则和数量见招标文件第五章规定。 </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采购人将在中国政府采购网、江苏政府采购网、盐城市政府采购网发布中标公告，公告期限为1个工作日。</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28.4若有充分证据证明，中标人出现下列情况之一的，一经查实，将被取消中标资格：</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28.4.1提供虚假材料谋取中标的。</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28.4.2向采购人、采购代理机构行贿或者提供其他不正当利益的。</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28.4.3属于本文件规定的无效条件，但在评标过程中又未被评委会发现的。</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28.4.4与采购人或者其他供应商恶意串通的。</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28.4.5采取不正当手段诋毁、排挤其他供应商的。</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有下列情形之一的，视为投标人串通投标，投标无效：</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28.5.1不同投标人的投标文件由同一单位或者个人编制；</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28.5.2不同投标人委托同一单位或者个人办理投标事宜；</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28.5.4不同投标人的投标文件异常一致或者投标报价呈规律性差异；</w:t>
      </w:r>
      <w:r/>
    </w:p>
    <w:p>
      <w:pPr>
        <w:ind w:left="0" w:right="0" w:firstLine="42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29、质疑处理</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left="0" w:right="0" w:firstLine="482"/>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r>
      <w:r/>
    </w:p>
    <w:p>
      <w:pPr>
        <w:ind w:left="0" w:right="0" w:firstLine="482"/>
        <w:jc w:val="both"/>
        <w:spacing w:before="100" w:after="10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29.2.2对采购过程提出质疑的，为各采购程序环节结束之日；</w:t>
      </w:r>
      <w:r/>
    </w:p>
    <w:p>
      <w:pPr>
        <w:ind w:left="0" w:right="0" w:firstLine="482"/>
        <w:jc w:val="both"/>
        <w:spacing w:before="100" w:after="10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29.2.3对中标或者成交结果提出质疑的，为中标或者成交结果公告期限届满之日。</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供应商（含潜在供应商）对采购方式、招标文件中采购需求、供应商资格条件、评标方法和评标标准、合同文本及资格审查结果的询问、质疑请向采购人提出，由采购人负责答复。</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采购人及采购代理机构只接收以纸质原件形式送达的质疑,采购人和采购代理机构不接受未填写快递运单的快件。</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29.5.5供应商组成联合体参加投标，联合体中任何一方或多方未按要求签字、盖章、加盖公章的质疑。</w:t>
      </w:r>
      <w:r/>
    </w:p>
    <w:p>
      <w:pPr>
        <w:ind w:left="0" w:right="0" w:firstLine="468"/>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2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30、中标通知书</w:t>
      </w:r>
      <w:r/>
    </w:p>
    <w:p>
      <w:pPr>
        <w:ind w:left="0" w:right="0" w:firstLine="60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60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482"/>
        <w:jc w:val="both"/>
        <w:spacing w:before="145" w:after="145"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31、签订合同</w:t>
      </w:r>
      <w:r/>
    </w:p>
    <w:p>
      <w:pPr>
        <w:ind w:left="0" w:right="0" w:firstLine="60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60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31.2招标文件、中标人的投标文件及招标过程中有关澄清、承诺文件均应作为合同附件。</w:t>
      </w:r>
      <w:r/>
    </w:p>
    <w:p>
      <w:pPr>
        <w:ind w:left="0" w:right="0" w:firstLine="60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60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32、货物（包含与货物相关的服务）的追加</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60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33、政府采购履约资金扶持政策</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33.政府采购政策功能落实</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33.1政府采购线上合同信用融资政策</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33.2进口产品</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33.3中小企业、监狱企业及残疾人福利性单位</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33.3.1中小企业定义：</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4"/>
        </w:rPr>
        <w:t xml:space="preserve">6 号）。</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33.3.2供应商提供的货物、工程或者服务符合下列情形的，享受中小企业扶持政策：</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33.3.2.1在货物采购项目中，货物由中小企业制造，即货物由中小企业生产且使用该中小企业商号或者注册商标；</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33.3.2.2在工程采购项目中，工程由中小企业承建，即工程施工单位为中小企业；</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33.3.2.3在服务采购项目中，服务由中小企业承接，即提供服务的人员为中小企业依照《中华人民共和国劳动合同法》订立劳动合同的从业人员。</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33.3.3在货物采购项目中，供应商提供的货物既有中小企业制造货物，也有大型企业制造货物的，不享受中小企业扶持政策。</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33.3.4以联合体形式参加政府采购活动，联合体各方均为中小企业的，联合体视同中小企业。其中，联合体各方均为小微企业的，联合体视同小微企业。</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33.3.6残疾人福利单位定义：享受政府采购支持政策的残疾人福利性单位应当同时满足以下条件：</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33.3.6.1安置的残疾人占本单位在职职工人数的比例不低于25%（含25%），并且安置的残疾人人数不少于10 人（含10 人）；</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33.3.6.2依法与安置的每位残疾人签订了一年以上（含一年）的劳动合同或服务协议；</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33.3.6.3为安置的每位残疾人按月足额缴纳了基本养老保险、基本医疗保险、失业保险、工伤保险和生育保险等社会保险费；</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33.3.6.4通过银行等金融机构向安置的每位残疾人，按月支付了不低于单位所在区县适用的经省级人民政府批准的月最低工资标准的工资；</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33.3.6.5提供本单位制造的货物、承担的工程或者服务（以下简称产品），或者提供其他残疾人福利性单位制造的货物（不包括使用非残疾人福利性单位注册商标的货物）；</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33.3.7本项目是否专门面向中小企业预留采购份额见第一章《招标公告》。</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33.3.8采购标的对应的中小企业划分标准所属行业见第四章《采购需求》。</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33.3.9小微企业价格评审优惠的政策：见第五章《评标方法和评标标准》。</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33.4政府采购节能产品、环境标志产品</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w:t>
      </w:r>
      <w:r>
        <w:rPr>
          <w:rFonts w:ascii="SimSun" w:hAnsi="SimSun" w:eastAsia="SimSun" w:cs="SimSun"/>
          <w:color w:val="000000"/>
          <w:sz w:val="24"/>
        </w:rPr>
        <w:t xml:space="preserve">应当优先采购节能产品、环境标志产品。</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33.5绿色包装</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33.6政府采购创新产品</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招标人优先采购各级政府部门公开发布的有效期内的创新产品、创新服务、首台套、首购首用等《目录》的创新产品。</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33.7绿色数据中心政策 </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文件中若涉及到数据中心采购，招标人应依据《绿色数据中心政府采购需求标准（试行）》（财办库〔2023〕7号）文件精神，在采购数据中心相关设备、运维服务，应当有利于节约能源、环境保护和资源循环利用，按照《需求标准》实施相关采购活动。招标人应当加强采购需求管理，根据《需求标准》提出的指标编制数据中心相关设备、运维服务政府采购项目的招标文件，并在合同中明确对相关指标的验收方式和违约责任。招标人应当在履约验收中对供应商提供的产品或服务进行抽查检测，必要时可委托取得相关资质的第三方机构对其进行检测、认证。因检测、认证</w:t>
      </w:r>
      <w:r>
        <w:rPr>
          <w:rFonts w:ascii="SimSun" w:hAnsi="SimSun" w:eastAsia="SimSun" w:cs="SimSun"/>
          <w:color w:val="000000"/>
          <w:sz w:val="24"/>
        </w:rPr>
        <w:t xml:space="preserve">涉及生产过程或检测时间长等原因，不能在验收过程中开展检测、认证的，可要求供应商在验收阶段提供相关检测报告、认证报告。</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34、履约保证金</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签订合同时，须向采购人缴纳履约保证金合同金额的10%，于合同履行后无息退还。履约保证金用以约束成交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取履约保证金的，须在采购合同中约定退还履约保证金的方式、时间、条件和不予退还的情形，明确逾期退还履约保证金的违约责任；不得在政府采购货物和服务采购项目中收取质量保证金，不得将已收取的履约保证金转为质量保证金情况。</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35、电子履约保函（保险）政策</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36、本文件中若涉及到数据中心采购，应按照《&lt;绿色数据中心政府采购需求标准（试行）&gt;的通知》（财库〔2023〕7号）执行。</w:t>
      </w:r>
      <w:r/>
    </w:p>
    <w:p>
      <w:pPr>
        <w:ind w:left="0" w:right="0" w:firstLine="240"/>
        <w:jc w:val="both"/>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36、预付款制度</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本项目落实预付款制度，预付款比例为30%。在签订合同时，中标、成交供应商明确书面表示无需预付款或者主动要求降低预付款比例的，采购人可就预付款比例作相应调整。</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760"/>
        <w:jc w:val="both"/>
        <w:spacing w:before="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17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17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176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第三章 合同条款及格式</w:t>
      </w:r>
      <w:r/>
    </w:p>
    <w:p>
      <w:pPr>
        <w:ind w:left="0" w:right="0" w:firstLine="0"/>
        <w:jc w:val="center"/>
        <w:spacing w:before="145" w:after="145"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盐城经济技术开发区政府采购合同（货物）（合同编号）</w:t>
      </w:r>
      <w:r/>
    </w:p>
    <w:p>
      <w:pPr>
        <w:ind w:left="0" w:right="0" w:firstLine="0"/>
        <w:jc w:val="both"/>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0"/>
        <w:jc w:val="both"/>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120" w:after="12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SimSun" w:hAnsi="SimSun" w:eastAsia="SimSun" w:cs="SimSun"/>
          <w:color w:val="000000"/>
          <w:sz w:val="24"/>
          <w:u w:val="single"/>
        </w:rPr>
        <w:t xml:space="preserve">盐城市长江路实验学校</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            </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甲、乙双方根据</w:t>
      </w:r>
      <w:r>
        <w:rPr>
          <w:rFonts w:ascii="SimSun" w:hAnsi="SimSun" w:eastAsia="SimSun" w:cs="SimSun"/>
          <w:color w:val="000000"/>
          <w:sz w:val="24"/>
          <w:u w:val="single"/>
        </w:rPr>
        <w:t xml:space="preserve">盐城市长江路实验学校理化生实验室标准化考场项目</w:t>
      </w:r>
      <w:r>
        <w:rPr>
          <w:rFonts w:ascii="SimSun" w:hAnsi="SimSun" w:eastAsia="SimSun" w:cs="SimSun"/>
          <w:color w:val="000000"/>
          <w:sz w:val="24"/>
        </w:rPr>
        <w:t xml:space="preserve">公开招标的结果，签署本合同。</w:t>
      </w:r>
      <w:r/>
    </w:p>
    <w:p>
      <w:pPr>
        <w:ind w:left="0" w:right="0" w:firstLine="463"/>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一、采购范围及内容：</w:t>
      </w:r>
      <w:r/>
    </w:p>
    <w:p>
      <w:pPr>
        <w:ind w:left="0" w:right="0" w:firstLine="463"/>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1.1货物名称：盐城市长江路实验学校理化生实验室标准化考场项目</w:t>
      </w:r>
      <w:r/>
    </w:p>
    <w:p>
      <w:pPr>
        <w:ind w:left="0" w:right="0" w:firstLine="463"/>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1.2型号规格：详见采购需求</w:t>
      </w:r>
      <w:r/>
    </w:p>
    <w:p>
      <w:pPr>
        <w:ind w:left="0" w:right="0" w:firstLine="463"/>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1.3数量（单位）：详见采购需求</w:t>
      </w:r>
      <w:r/>
    </w:p>
    <w:p>
      <w:pPr>
        <w:ind w:left="0" w:right="0" w:firstLine="463"/>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二、设备质量与供货期</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1、质量要求：设备质量等级为“合格”，并符合招标文件中技术要求、国家现行的相关规范标准及有关部门最新颁布的相应的最新标准；项目确保按规范和标准验收，且达国家合格标准。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货期：供货总周期60天。本项目具体供货批次、供货时间、供货数量均以招标人通知为准，收到招标人通知后5日内中标人需将全套设备运送至招标指定的各地点并由专业人员安装调试到位。安装标准须符合国家有关安全技术规范和技术标准。</w:t>
      </w:r>
      <w:r/>
    </w:p>
    <w:p>
      <w:pPr>
        <w:ind w:left="0" w:right="0" w:firstLine="463"/>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三、合同价</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1、总价为</w:t>
      </w:r>
      <w:r>
        <w:rPr>
          <w:rFonts w:ascii="SimSun" w:hAnsi="SimSun" w:eastAsia="SimSun" w:cs="SimSun"/>
          <w:b/>
          <w:color w:val="000000"/>
          <w:sz w:val="24"/>
          <w:u w:val="single"/>
        </w:rPr>
        <w:t xml:space="preserve">人民币元整（¥：    ）</w:t>
      </w:r>
      <w:r>
        <w:rPr>
          <w:rFonts w:ascii="SimSun" w:hAnsi="SimSun" w:eastAsia="SimSun" w:cs="SimSun"/>
          <w:color w:val="000000"/>
          <w:sz w:val="24"/>
        </w:rPr>
        <w:t xml:space="preserve">，本合同价是指乙方为完成招标文件、采购清单中确定的所有内容。乙方已充分考虑为完成上述内容所必须的全部设备并进行相关服务所需的所有费用，即主要包括（但不限于）：设备费用（含全套设备、配件、备品备件、专用工具、技术资料等）、招标代理费、直接和间接成本费、劳务费、清洁费、包装费、采购费、生产费、运杂费（含运输费）、装卸费、保险费、保修费、管理费、配合费、安装费、调试费、检测费、技术（含操作、维护等）培训及售后服务费、税金、利润、风险费、成品保护费、不可预见费及其他一切相关费用等所需的全部费用，凡漏项或少计均视为优</w:t>
      </w:r>
      <w:r>
        <w:rPr>
          <w:rFonts w:ascii="SimSun" w:hAnsi="SimSun" w:eastAsia="SimSun" w:cs="SimSun"/>
          <w:color w:val="000000"/>
          <w:sz w:val="24"/>
        </w:rPr>
        <w:t xml:space="preserve">惠，甲方不另行增加费用。各类风险和政策性调整等风险已包括在合同价中，最终结算时除合同约定调整外一律不予调整。</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2、乙方已充分考虑人工、材料、生产、供货周期等一切导致设备上涨的风险因素，其一切风险均由乙方自行负责。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3、如合同履行过程中根据现场实际情况设备数量增加或者减少，以经甲方核实认定后的设备数量为准调整合同价。调整部分数量的综合单价应按乙方投标时投标文件中所报的设备综合单价为准。</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四、付款方式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1、合同签订后支付预付合同价款的30%（签订合同时，乙方明确表示无需预付款的或主动要求降低预付款比例的，可作出相应调整）；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2、设备供应完成，安装、调试、完成，项目竣工验收合格后支付至合同总价的55%；</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3、设备供应完成，安装、调试、完成，项目竣工验收合格后，经审计2027年年底付至审定价的95%；</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4、2028年年底按审定价付清余款。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注：1、以上付款均不计任何利息和相关费用，付款一律通过银行结转。</w:t>
      </w:r>
      <w:r/>
    </w:p>
    <w:p>
      <w:pPr>
        <w:ind w:left="0" w:right="0" w:firstLine="482"/>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五、结算方式</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1、项目结算总价=∑中标综合单价×实际供货量±甲方调整项目内容或合同约定调整价款；其中中标综合单价结算时一律不予调整（除甲方调整项目内容或合同约定调整外），供货量按实结算。</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2、甲方调整项目内容或合同约定调整价款的确定：</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1）在投标报价书中有相同单价的，执行投标报价书中的单价；</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2）在投标报价书中有类似单价的，参照投标报价书中的类似单价执行；</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3）在投标报价书中没有单价或类似单价的，其单价由乙方提出，经甲方认可执行。</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3、因乙方自身原因造成供货量增加的，乙方无权要求任何补偿。</w:t>
      </w:r>
      <w:r/>
    </w:p>
    <w:p>
      <w:pPr>
        <w:ind w:left="0" w:right="0" w:firstLine="463"/>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六、交付与验收</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保证所供设备必须为全新配套原装的，技术上先进和成熟的，是用一流的工艺和最佳材料制造而成的，并完全符合招标文件要求、采购清单和投标承诺、国家现行的相关规范标准、有关部门最新颁布的相应的最新标准及合同规定的质量、技术要求和性能的要求。</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2、乙方向甲方提供设备供货清单。当设备到达交货地点后，甲方对设备数量和外包装进行验收，并签发“收到设备证明”文件。</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3、乙方完成本项目的采购、运输、安装、调试后可向甲方申请项目验收。</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4、乙方交付验收时应先用书面、电传等方式通告甲方。</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5、甲方在收到乙方提交的项目验收书面申请后，将在15个工作日内安排测试，具体验收时间由甲方商定。</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6、设备运行测试和验收</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6.1甲方依据合同对设备品质进行逐项验收，工程师现场安装测试和仪器校正，提供中英文仪器使用说明书，并进行加电测试。此期间，设备应正常运行。</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6.2不合格的设备需无条件更换。</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7、甲方在收到验收报告后一月内未书面签收也未提出异议的，视为甲方验收合格。</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项目验收不通过的，乙方应在甲方规定的期限内进行整改；整改后仍不能通过验收的，甲方有权聘请第三方进行整改，由此产生的费用由乙方承担（费用总额不超过本合同总价），同时乙方还应承担逾期支付项目成果对甲方造成的经济损失。</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9、验收标准根据有关规定及技术要求，直至验收通过为准。</w:t>
      </w:r>
      <w:r/>
    </w:p>
    <w:p>
      <w:pPr>
        <w:ind w:left="0" w:right="0" w:firstLine="463"/>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七、售后服务</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1、乙方应按招标文件规定的货物性能、技术要求、质量标准向甲方提供未经使用的全新产品。</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2、乙方提供的货物在质保期内因货物本身的质量问题发生故障，乙方应负责免费更换。对达不到技术要求者，根据实际情况，经双方协商，可按以下办法处理：</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⑴更换：由乙方承担所发生的全部费用。</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⑵贬值处理：由甲乙双方合议定价。</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⑶退货处理：乙方应退还甲方支付的合同款，同时应承担该货物的直接费用（运输、保险、检验、货款利息及银行手续费等）。</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3、如在使用过程中发生质量问题，乙方在接到甲方通知后在 2小时内到达甲方现场。</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在质保期内，乙方应对货物出现的质量及安全问题负责处理解决并承担一切费用。</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5、上述的货物免费质量保修期为</w:t>
      </w:r>
      <w:r>
        <w:rPr>
          <w:rFonts w:ascii="SimSun" w:hAnsi="SimSun" w:eastAsia="SimSun" w:cs="SimSun"/>
          <w:color w:val="000000"/>
          <w:sz w:val="24"/>
          <w:u w:val="single"/>
        </w:rPr>
        <w:t xml:space="preserve"> 2 </w:t>
      </w:r>
      <w:r>
        <w:rPr>
          <w:rFonts w:ascii="SimSun" w:hAnsi="SimSun" w:eastAsia="SimSun" w:cs="SimSun"/>
          <w:color w:val="000000"/>
          <w:sz w:val="24"/>
        </w:rPr>
        <w:t xml:space="preserve">年，因人为因素出现的故障不在免费保修范围内。超过免费质量保修期的机器设备，终生维修（除采购人不再要求继续维修外），维修时只收部件成本费。</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6、售后服务：投标人须按招标文件要求和投标人的承诺执行。</w:t>
      </w:r>
      <w:r/>
    </w:p>
    <w:p>
      <w:pPr>
        <w:ind w:left="0" w:right="0" w:firstLine="463"/>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注：其它按照乙方在投标文件中承诺的优于招标文件要求的服务执行。</w:t>
      </w:r>
      <w:r/>
    </w:p>
    <w:p>
      <w:pPr>
        <w:ind w:left="0" w:right="0" w:firstLine="463"/>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八、双方的权利与义务</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甲方的权利与义务</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1、自本合同生效后向乙方提供本项目相关的资料，向乙方提供必要的支持，协助乙方履行工作。 </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2、在履行合同时保守在履行本合同过程中获知的对方商业秘密。</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3、可随时监督、检查乙方的工作进度、现场作业情况。</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4、依据本合同约定按时支付合同价款。</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乙方的权利与义务</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1、严格按投标文件、合同约定完成本项目的全部内容。</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2、对甲方提供的要求保密的相关资料负有保密责任。</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3、设备发运时附相关技术资料，包括设备安装前对安装环境的要求、设备安装图、操作手册、应用指南和故障处理等。</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4、向甲方技术人员及运行、维修操作人员进行培训，直到能够单独操作及进行简单的日常维修、维护为止。</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5、随时接受甲方的监督与检查。</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6、提交进度付款申请表，要求支付进度款。</w:t>
      </w:r>
      <w:r/>
    </w:p>
    <w:p>
      <w:pPr>
        <w:ind w:left="0" w:right="0" w:firstLine="463"/>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九、违约</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1、甲方不能按时支付进度款，由甲方承担违约责任，每迟延支付一天，向乙方支付逾期支付部分万分之五的违约金。</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2、因乙方原因，不能按时交付验收的，乙方应承担违约责任，向甲方支付合同总价30%的违约金。</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3、其他违约责任按照《中华人民共和国民法典》、《中华人民共和国招投标法》等法律法规执行。</w:t>
      </w:r>
      <w:r/>
    </w:p>
    <w:p>
      <w:pPr>
        <w:ind w:left="0" w:right="0" w:firstLine="463"/>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十、争议</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甲、乙双方应通过友好协商，解决在执行本合同中所发生的或与本合同有关的一切争议，如协商仍得不到解决，任何一方均可依法向项目所在地人民法院起诉。</w:t>
      </w:r>
      <w:r/>
    </w:p>
    <w:p>
      <w:pPr>
        <w:ind w:left="0" w:right="0" w:firstLine="463"/>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十一、不可抗力</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1、不可抗力事故系指甲、乙双方当事人在缔结合同时所不能预见的，并且它的发生及其后果是无法避免和无法克服的事故,如战争，严重火灾、洪水、台风、地震等。</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2、受阻一方应在不可抗力事故发生后尽快用电报、传真或电传通知对方，并于事故发生后7天内将有关当局出具的证明文件用特快专递或挂号信寄给对方审阅确认。</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签约任一方由于受诸不可抗力事故的影响而不能执行合同时，履行合同的期限应予以延长，延长的期限应相当于事故所影响的时间；一旦不可抗力事故的影响持续30天以上，甲、乙双方应通过友好协商在合理的时间内达成进一步履行合同的协议；如果不可抗力事故的影响使得本合同的履行不可能、不必要或者无意义的，任一方征得对方同意可以解除本合同。</w:t>
      </w:r>
      <w:r/>
    </w:p>
    <w:p>
      <w:pPr>
        <w:ind w:left="0" w:right="0" w:firstLine="463"/>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十二、保修期限</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1、根据招标文件要求及投标承诺，待合同所供设备由乙方按期、按质、按量供货及安装、调试完毕，并经甲方验收合格之日起开始计算质保期。</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质保期为</w:t>
      </w:r>
      <w:r>
        <w:rPr>
          <w:rFonts w:ascii="SimSun" w:hAnsi="SimSun" w:eastAsia="SimSun" w:cs="SimSun"/>
          <w:b/>
          <w:color w:val="000000"/>
          <w:sz w:val="24"/>
          <w:u w:val="single"/>
        </w:rPr>
        <w:t xml:space="preserve">  2  </w:t>
      </w:r>
      <w:r>
        <w:rPr>
          <w:rFonts w:ascii="SimSun" w:hAnsi="SimSun" w:eastAsia="SimSun" w:cs="SimSun"/>
          <w:b/>
          <w:color w:val="000000"/>
          <w:sz w:val="24"/>
        </w:rPr>
        <w:t xml:space="preserve">年（自甲方验收单签字日期之日起计），</w:t>
      </w:r>
      <w:r>
        <w:rPr>
          <w:rFonts w:ascii="SimSun" w:hAnsi="SimSun" w:eastAsia="SimSun" w:cs="SimSun"/>
          <w:color w:val="000000"/>
          <w:sz w:val="24"/>
        </w:rPr>
        <w:t xml:space="preserve">具体按乙方投标承诺执行。</w:t>
      </w:r>
      <w:r/>
    </w:p>
    <w:p>
      <w:pPr>
        <w:ind w:left="0" w:right="0" w:firstLine="463"/>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十三、履约保证金</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1、本项目履约保证金为人民币</w:t>
      </w:r>
      <w:r>
        <w:rPr>
          <w:rFonts w:ascii="SimSun" w:hAnsi="SimSun" w:eastAsia="SimSun" w:cs="SimSun"/>
          <w:color w:val="000000"/>
          <w:sz w:val="24"/>
          <w:u w:val="single"/>
        </w:rPr>
        <w:t xml:space="preserve">     元整</w:t>
      </w:r>
      <w:r>
        <w:rPr>
          <w:rFonts w:ascii="SimSun" w:hAnsi="SimSun" w:eastAsia="SimSun" w:cs="SimSun"/>
          <w:color w:val="000000"/>
          <w:sz w:val="24"/>
        </w:rPr>
        <w:t xml:space="preserve">（¥</w:t>
      </w:r>
      <w:r>
        <w:rPr>
          <w:rFonts w:ascii="SimSun" w:hAnsi="SimSun" w:eastAsia="SimSun" w:cs="SimSun"/>
          <w:color w:val="000000"/>
          <w:sz w:val="24"/>
          <w:u w:val="single"/>
        </w:rPr>
        <w:t xml:space="preserve">：元</w:t>
      </w:r>
      <w:r>
        <w:rPr>
          <w:rFonts w:ascii="SimSun" w:hAnsi="SimSun" w:eastAsia="SimSun" w:cs="SimSun"/>
          <w:color w:val="000000"/>
          <w:sz w:val="24"/>
        </w:rPr>
        <w:t xml:space="preserve">）（合同价的10%），履约保证金鼓励采购人对AA评级及以上政府采购投标人（需提供信用管理部门备案的第三方信用报告），免收履约保证金或降低履约保证金缴纳比例（本项目约定降低履约保证金缴纳比例，履约保证金调整为合同价的5%）。依据《关于在全省政府采购领域推行电子履约保函（保险）的通知》，鼓励供应商自愿使用履约保函（保险）代替缴纳履约保证金</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缴纳形式：除单位基本账户缴纳的现金之外，采购人接受供应商以支票、汇票、本票、保函、政府采购电子履约保函（保险）平台（www.jsdzbh.com）在线申请履约保函（保险）等非现金形式缴纳或提交履约保证金。</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3、履约保证金的退还：</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3.1方式：无息退还至投标人缴纳履约保证金的账户。如为保函，在到期时自行失效。</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3.2时间：验收合格且采购人收到发票后30日内。</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3.3条件：按合同要求全部履约完成并经采购人验收合格，且采购人收到中标人出具的发票。</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4、不予退还情形：</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除不可抗力情况外，投标人出现下列情形之一的，其履约保证金，采购人将视情节决定不予退还或部分不予退还。</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（1）中标人无正当理由拒绝签订合同的，或者在签订合同时向采购人提出附加条件或者更改合同实质性内容要求的；</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（2）中标人不履行与采购人订立的合同的；</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（3）中标人所供货物或服务不符合招标文件规定要求的；</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（4）中标人采取欺骗、弄虚作假方式投标的或与其它投标人串通投标的；</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（5）中标人将合同内容转包、违法分包的；</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（6）中标人故意捏造事实或伪造证明材料，进行虚假恶意投诉或反映的；</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（7）中标人出现无故不履约的行为的。</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5、逾期退还的违约责任：采购人逾期无故未退还履约保证金的，按中国人民银行同期贷款基准利率上浮20%后的利率支付超期资金占用费，但因供应商自身原因导致无法及时退还的除外。</w:t>
      </w:r>
      <w:r/>
    </w:p>
    <w:p>
      <w:pPr>
        <w:ind w:left="0" w:right="0" w:firstLine="463"/>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十四、合同的解除、转让、修改、补充</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一）合同的解除</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1、甲方和乙方协商一致，可以解除合同；</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2、因不可抗力致使不能实现合同目的，未受不可抗力影响的一方有权解除合同；</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3、有权解除合同的一方，应当在不可抗力发生之后三十天内书面通知对方以主张解除合同，合同在书面通知到达对方时解除。</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二）合同的转让</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合同的部分和全部都不得转让。</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三）合同修改、补充</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合同的修改、补充应事先经甲、乙双方同意，并签字、盖章确认，作为补充合同。签字、盖章后立即生效。若补充合同与前合同发生冲突，以最新的补充合同为准。</w:t>
      </w:r>
      <w:r/>
    </w:p>
    <w:p>
      <w:pPr>
        <w:ind w:left="0" w:right="0" w:firstLine="463"/>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十五、合同份数</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本合同一式陆份，以中文书写，甲、乙双方各执叁份。</w:t>
      </w:r>
      <w:r/>
    </w:p>
    <w:p>
      <w:pPr>
        <w:ind w:left="0" w:right="0" w:firstLine="463"/>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十六、补充</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1、合同文件组成及解释顺序：</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①本合同；</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②投标文件；</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③中标通知书；</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④相关技术规范、标准； </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⑤招标文件。</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甲、乙双方有关项目的洽商、变更等书面协议或文件视为本合同的组成部分。</w:t>
      </w:r>
      <w:r/>
    </w:p>
    <w:p>
      <w:pPr>
        <w:ind w:left="0" w:right="0" w:firstLine="47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2、本合同签订后，经甲、乙双方当事人协商一致，可以对本合同有关条款进行变更或者补充但应当以书面形式确认。</w:t>
      </w:r>
      <w:r/>
    </w:p>
    <w:p>
      <w:pPr>
        <w:ind w:left="0" w:right="0" w:firstLine="47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乙方所供设备在供货、安装、调试及验收过程中发现技术参数及要求不符合招标文件规定要求的，则甲方有权视为乙方放弃中标资格，且履约保证金不予退还（如给甲方造成的损失超过投标保证金数额的，乙方还应当对超过部分予以赔偿）。</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任意一方欲提前解除本合同，应提前通知对方。甲方提前解除合同的，无权要求乙方返还已付费用并应对乙方遭受的损失承担赔偿责任；乙方无故解除合同的，除返还甲方全部已支付费用外，还应支付甲方合同总金额的10%作为赔偿。</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5、任何一方没有行使其权利或没有就对方的违约行为采取任何行动，不应被视为是对权利的放弃或对追究违约责任或义务的放弃。</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6、未经甲方书面同意，乙方不得部分转包或分包其应履行的合同项下的义务。</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7、合同书写应用简体中文。甲、乙双方所有的来往函电以及与合同有关的文件均应以简体中文书写。</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甲、乙双方可以以书面、口头或电子邮件的方式进行沟通，重要事件（有关合同履行）的沟通应以书面的方式进行。有当事人签字或单位盖章的原件为正式文件，具有法律效力。其他沟通记录在各方均认同的情况下可作为正式文件使用。</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9、未尽事宜</w:t>
      </w:r>
      <w:r/>
    </w:p>
    <w:p>
      <w:pPr>
        <w:ind w:left="0" w:right="0" w:firstLine="46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合同未尽事宜，按《中华人民共和国民法典》和国家其他相关法律法规的有关规定及甲、乙双方协商解决。</w:t>
      </w:r>
      <w:r/>
    </w:p>
    <w:p>
      <w:pPr>
        <w:ind w:left="0" w:right="0" w:firstLine="463"/>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十七、合同的生效</w:t>
      </w:r>
      <w:r/>
    </w:p>
    <w:p>
      <w:pPr>
        <w:ind w:left="613"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合同订立时间：</w:t>
      </w:r>
      <w:r>
        <w:rPr>
          <w:rFonts w:ascii="SimSun" w:hAnsi="SimSun" w:eastAsia="SimSun" w:cs="SimSun"/>
          <w:color w:val="000000"/>
          <w:sz w:val="24"/>
          <w:u w:val="single"/>
        </w:rPr>
        <w:t xml:space="preserve">    </w:t>
      </w:r>
      <w:r>
        <w:rPr>
          <w:rFonts w:ascii="SimSun" w:hAnsi="SimSun" w:eastAsia="SimSun" w:cs="SimSun"/>
          <w:color w:val="000000"/>
          <w:sz w:val="24"/>
        </w:rPr>
        <w:t xml:space="preserve"> 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613" w:right="0" w:firstLine="0"/>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合同订立地点：</w:t>
      </w:r>
      <w:r>
        <w:rPr>
          <w:rFonts w:ascii="SimSun" w:hAnsi="SimSun" w:eastAsia="SimSun" w:cs="SimSun"/>
          <w:color w:val="000000"/>
          <w:sz w:val="24"/>
          <w:u w:val="single"/>
        </w:rPr>
        <w:t xml:space="preserve">盐城市长江路实验学校</w:t>
      </w:r>
      <w:r>
        <w:rPr>
          <w:rFonts w:ascii="SimSun" w:hAnsi="SimSun" w:eastAsia="SimSun" w:cs="SimSun"/>
          <w:color w:val="000000"/>
          <w:sz w:val="24"/>
        </w:rPr>
        <w:t xml:space="preserve">本合同甲、乙双方约定</w:t>
      </w:r>
      <w:r>
        <w:rPr>
          <w:rFonts w:ascii="SimSun" w:hAnsi="SimSun" w:eastAsia="SimSun" w:cs="SimSun"/>
          <w:color w:val="000000"/>
          <w:sz w:val="24"/>
          <w:u w:val="single"/>
        </w:rPr>
        <w:t xml:space="preserve"> 签字、盖章后 </w:t>
      </w:r>
      <w:r>
        <w:rPr>
          <w:rFonts w:ascii="SimSun" w:hAnsi="SimSun" w:eastAsia="SimSun" w:cs="SimSun"/>
          <w:color w:val="000000"/>
          <w:sz w:val="24"/>
        </w:rPr>
        <w:t xml:space="preserve">生效。</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                                          乙方（盖章）： </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法定代表人或授权代表：</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（签章/签字）                                         （签章/签字）</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w:t>
      </w:r>
      <w:r/>
    </w:p>
    <w:p>
      <w:pPr>
        <w:ind w:left="0" w:right="0" w:firstLine="45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年    月   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第四章项目需求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1、项目编号：JSZC-320991-JSZH-G2026-0083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2、项目名称：盐城市长江路实验学校理化生实验室标准化考场项目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3、采购方式：公开招标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w:t>
      </w:r>
      <w:r>
        <w:rPr>
          <w:rFonts w:ascii="SimSun" w:hAnsi="SimSun" w:eastAsia="SimSun" w:cs="SimSun"/>
          <w:b/>
          <w:color w:val="000000"/>
          <w:sz w:val="24"/>
        </w:rPr>
        <w:t xml:space="preserve">270万元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5、最高限价：</w:t>
      </w:r>
      <w:r>
        <w:rPr>
          <w:rFonts w:ascii="SimSun" w:hAnsi="SimSun" w:eastAsia="SimSun" w:cs="SimSun"/>
          <w:b/>
          <w:color w:val="000000"/>
          <w:sz w:val="24"/>
        </w:rPr>
        <w:t xml:space="preserve">270万元</w:t>
      </w:r>
      <w:r>
        <w:rPr>
          <w:rFonts w:ascii="SimSun" w:hAnsi="SimSun" w:eastAsia="SimSun" w:cs="SimSun"/>
          <w:color w:val="000000"/>
          <w:sz w:val="24"/>
        </w:rPr>
        <w:t xml:space="preserve">，投标报价高于最高限价的，采购人将不予接受，视为无效标书。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6、合同履行期限：供货总周期60天。</w:t>
      </w:r>
      <w:r/>
    </w:p>
    <w:p>
      <w:pPr>
        <w:ind w:left="0" w:right="0" w:firstLine="480"/>
        <w:jc w:val="both"/>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7、质量要求：设备质量等级为“合格”，并符合招标文件中技术要求、国家现行的相关规范标准及有关部门最新颁布的相应的最新标准；项目确保按规范和标准验收，且达国家合格标准。</w:t>
      </w:r>
      <w:r/>
    </w:p>
    <w:p>
      <w:pPr>
        <w:ind w:left="0" w:right="0" w:firstLine="480"/>
        <w:jc w:val="both"/>
        <w:spacing w:before="0" w:after="0" w:line="85" w:lineRule="atLeast"/>
        <w:rPr>
          <w:rFonts w:ascii="Arial" w:hAnsi="Arial" w:eastAsia="Arial" w:cs="Arial"/>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8、质保期：2年</w:t>
      </w:r>
      <w:r>
        <w:rPr>
          <w:rFonts w:ascii="SimSun" w:hAnsi="SimSun" w:eastAsia="SimSun" w:cs="SimSun"/>
          <w:color w:val="000000"/>
          <w:sz w:val="24"/>
          <w:highlight w:val="none"/>
        </w:rP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二、采购清单</w:t>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5"/>
        <w:gridCol w:w="1057"/>
        <w:gridCol w:w="7088"/>
        <w:gridCol w:w="295"/>
        <w:gridCol w:w="274"/>
      </w:tblGrid>
      <w:tr>
        <w:trPr>
          <w:trHeight w:val="5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技术参数要求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r>
      <w:tr>
        <w:trPr>
          <w:trHeight w:val="55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9"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一、考场实验操作教考管理平台软件</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实验考试监考管理系统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1</w:t>
            </w:r>
            <w:r>
              <w:rPr>
                <w:rFonts w:ascii="SimSun" w:hAnsi="SimSun" w:eastAsia="SimSun" w:cs="SimSun"/>
                <w:color w:val="000000"/>
                <w:sz w:val="20"/>
              </w:rPr>
              <w:t xml:space="preserve">、</w:t>
            </w:r>
            <w:r>
              <w:rPr>
                <w:rFonts w:ascii="Arial" w:hAnsi="Arial" w:eastAsia="Arial" w:cs="Arial"/>
                <w:color w:val="000000"/>
                <w:sz w:val="20"/>
              </w:rPr>
              <w:t xml:space="preserve">考试列表</w:t>
            </w:r>
            <w:r>
              <w:rPr>
                <w:rFonts w:ascii="SimSun" w:hAnsi="SimSun" w:eastAsia="SimSun" w:cs="SimSun"/>
                <w:color w:val="000000"/>
                <w:sz w:val="20"/>
              </w:rPr>
              <w:t xml:space="preserve">：</w:t>
            </w:r>
            <w:r>
              <w:rPr>
                <w:rFonts w:ascii="Arial" w:hAnsi="Arial" w:eastAsia="Arial" w:cs="Arial"/>
                <w:color w:val="000000"/>
                <w:sz w:val="20"/>
              </w:rPr>
              <w:t xml:space="preserve">支持查看、导入数据包、删除考试数据，可查看校级模拟考、市区级统考两种类型考试。</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2</w:t>
            </w:r>
            <w:r>
              <w:rPr>
                <w:rFonts w:ascii="SimSun" w:hAnsi="SimSun" w:eastAsia="SimSun" w:cs="SimSun"/>
                <w:color w:val="000000"/>
                <w:sz w:val="20"/>
              </w:rPr>
              <w:t xml:space="preserve">、</w:t>
            </w:r>
            <w:r>
              <w:rPr>
                <w:rFonts w:ascii="Arial" w:hAnsi="Arial" w:eastAsia="Arial" w:cs="Arial"/>
                <w:color w:val="000000"/>
                <w:sz w:val="20"/>
              </w:rPr>
              <w:t xml:space="preserve">边考边阅：校级类型考试支持边考边阅，可以按批次提交已考完的考生数据，上传至阅卷管理进行阅卷。</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3</w:t>
            </w:r>
            <w:r>
              <w:rPr>
                <w:rFonts w:ascii="SimSun" w:hAnsi="SimSun" w:eastAsia="SimSun" w:cs="SimSun"/>
                <w:color w:val="000000"/>
                <w:sz w:val="20"/>
              </w:rPr>
              <w:t xml:space="preserve">、</w:t>
            </w:r>
            <w:r>
              <w:rPr>
                <w:rFonts w:ascii="Arial" w:hAnsi="Arial" w:eastAsia="Arial" w:cs="Arial"/>
                <w:color w:val="000000"/>
                <w:sz w:val="20"/>
              </w:rPr>
              <w:t xml:space="preserve">统一阅卷</w:t>
            </w:r>
            <w:r>
              <w:rPr>
                <w:rFonts w:ascii="SimSun" w:hAnsi="SimSun" w:eastAsia="SimSun" w:cs="SimSun"/>
                <w:color w:val="000000"/>
                <w:sz w:val="20"/>
              </w:rPr>
              <w:t xml:space="preserve">：</w:t>
            </w:r>
            <w:r>
              <w:rPr>
                <w:rFonts w:ascii="Arial" w:hAnsi="Arial" w:eastAsia="Arial" w:cs="Arial"/>
                <w:color w:val="000000"/>
                <w:sz w:val="20"/>
              </w:rPr>
              <w:t xml:space="preserve">市区级统考待考试全部结束可一次性线上提交阅卷数据，如有后续再产生备用批的考试数据，可以在开始阅卷前，再次提交阅卷数据；如遇网络异常，支持导出考试数据。</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4</w:t>
            </w:r>
            <w:r>
              <w:rPr>
                <w:rFonts w:ascii="SimSun" w:hAnsi="SimSun" w:eastAsia="SimSun" w:cs="SimSun"/>
                <w:color w:val="000000"/>
                <w:sz w:val="20"/>
              </w:rPr>
              <w:t xml:space="preserve">、</w:t>
            </w:r>
            <w:r>
              <w:rPr>
                <w:rFonts w:ascii="Arial" w:hAnsi="Arial" w:eastAsia="Arial" w:cs="Arial"/>
                <w:color w:val="000000"/>
                <w:sz w:val="20"/>
              </w:rPr>
              <w:t xml:space="preserve">备用批管理</w:t>
            </w:r>
            <w:r>
              <w:rPr>
                <w:rFonts w:ascii="SimSun" w:hAnsi="SimSun" w:eastAsia="SimSun" w:cs="SimSun"/>
                <w:color w:val="000000"/>
                <w:sz w:val="20"/>
              </w:rPr>
              <w:t xml:space="preserve">：</w:t>
            </w:r>
            <w:r>
              <w:rPr>
                <w:rFonts w:ascii="Arial" w:hAnsi="Arial" w:eastAsia="Arial" w:cs="Arial"/>
                <w:color w:val="000000"/>
                <w:sz w:val="20"/>
              </w:rPr>
              <w:t xml:space="preserve">支持对异常考生安排备用批考试，可设置按原抽签结果安排或随机安排的两种编排方式。系统生成批次后，可查看生成的备用批批次考生数据详情，打印备用批考生凭证。</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5</w:t>
            </w:r>
            <w:r>
              <w:rPr>
                <w:rFonts w:ascii="SimSun" w:hAnsi="SimSun" w:eastAsia="SimSun" w:cs="SimSun"/>
                <w:color w:val="000000"/>
                <w:sz w:val="20"/>
              </w:rPr>
              <w:t xml:space="preserve">、</w:t>
            </w:r>
            <w:r>
              <w:rPr>
                <w:rFonts w:ascii="Arial" w:hAnsi="Arial" w:eastAsia="Arial" w:cs="Arial"/>
                <w:color w:val="000000"/>
                <w:sz w:val="20"/>
              </w:rPr>
              <w:t xml:space="preserve">考题预览</w:t>
            </w:r>
            <w:r>
              <w:rPr>
                <w:rFonts w:ascii="SimSun" w:hAnsi="SimSun" w:eastAsia="SimSun" w:cs="SimSun"/>
                <w:color w:val="000000"/>
                <w:sz w:val="20"/>
              </w:rPr>
              <w:t xml:space="preserve">：</w:t>
            </w:r>
            <w:r>
              <w:rPr>
                <w:rFonts w:ascii="Arial" w:hAnsi="Arial" w:eastAsia="Arial" w:cs="Arial"/>
                <w:color w:val="000000"/>
                <w:sz w:val="20"/>
              </w:rPr>
              <w:t xml:space="preserve">支持以学生端页面示意预览考试数据，包含但不限于考试试卷、答题卡、器耗材清单等。</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★6、抽签管理：支持严格按批次顺序依次抽签或不按顺序对指定批次进行抽签。（提供软件功能界面截图、操作手册或功能演示视频等任一能够证明具备该功能的材料）</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7</w:t>
            </w:r>
            <w:r>
              <w:rPr>
                <w:rFonts w:ascii="SimSun" w:hAnsi="SimSun" w:eastAsia="SimSun" w:cs="SimSun"/>
                <w:color w:val="000000"/>
                <w:sz w:val="20"/>
              </w:rPr>
              <w:t xml:space="preserve">、插入补考：支持对没有排满的批次或每场的备用座位中，插入考试异常的考生加入本批次的考试。（提供软件功能界面截图、操作手册或功能演示视频等任一能够证明具备该功能的材料）</w:t>
            </w:r>
            <w:r/>
          </w:p>
          <w:p>
            <w:pPr>
              <w:numPr>
                <w:ilvl w:val="0"/>
                <w:numId w:val="8"/>
              </w:numPr>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结果打印</w:t>
            </w:r>
            <w:r>
              <w:rPr>
                <w:rFonts w:ascii="SimSun" w:hAnsi="SimSun" w:eastAsia="SimSun" w:cs="SimSun"/>
                <w:color w:val="000000"/>
                <w:sz w:val="20"/>
              </w:rPr>
              <w:t xml:space="preserve">：</w:t>
            </w:r>
            <w:r>
              <w:rPr>
                <w:rFonts w:ascii="Arial" w:hAnsi="Arial" w:eastAsia="Arial" w:cs="Arial"/>
                <w:color w:val="000000"/>
                <w:sz w:val="20"/>
              </w:rPr>
              <w:t xml:space="preserve">支持打印抽签结果。</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9、考前检查：支持进行考前检查，检查每个座位的摄像头有无异常，检查考生端呈现的考题展示效果是否达到考务要求标准。</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10、考生验证：支持系统批量下发考试验证消息，实时查看摄像头、平板情况及考生是否通过验证，对因设备异常原因导致未收到验证信息的，可以重发验证，对在考生端验证失败的考生，可以由监考老师核对考生信息后，在监考端手动通过验证。</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11、缺考标记：支持对缺考、故障、违纪情况进行系统标记，统计已验证和应验证考生数量，缺考、故障、违纪考生数量。</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12、系统监考：支持通过系统查看所有座位的摄像头画面，可统一切换不同机位查看，监考界面统计已交卷和应交卷考生人数，显示异常设备数量，可查看异常设备所在座位及异常情况。</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★13、遮挡提示：支持接收摄像头遮挡警示消息。（提供软件功能界面截图、操作手册或功能演示视频等任一能够证明具备该功能的材料）</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14、统一收卷：支持考试时间结束系统统一收卷或手动提前统一收卷。</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15、视频检查：支持考后查看视频，可将录制失败的考生安排至备用批考试。</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16、统计数据：支持查看系统统计考试数据，包括不限于已考批次和总批次、已考场次和总场次、缺考考生数、故障考生数、违纪考生数。</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17、场次列表：支持查看考场在考试期间不同日期的批次场次详情，各场次的考试状态。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实验考试学生端管理系统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1、模式锁定：考试模式下，终端自动唤起考试APP，考试过程中锁定不可退出。</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2、连接状态：支持显示考试座位号及设备链接情况，含服务器及显微镜。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3、考生验证：支持通过人脸验证或准考证方式进行身份确认。</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4、考前确认：支持通过终端考前确认考试注意事项、个人信息、实验器材清单。</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★5、考生答题：支持考生查看试卷并进行电子答题，终端支持单选、多选、判断、填空、填表、简答、标注等多种题型。（提供软件功能界面截图、操作手册或功能演示视频等任一能够证明具备该功能的材料）</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6、重新录制：支持考生在交卷后，查看录制的考试视频并可以在允许的时间内选择重新答题，再次交卷。</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7、拍照标注：支持外接电子目镜或电子显微镜抓拍画面，对其进行编辑和标注；支持通过原摄像头对纸质答题卡进行拍照保存。</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8、异常恢复：支持发生异常后，重启APP能自动恢复考试，即现场发生异常后 ,学生端重新点击进入程序，学生端可继续考试，答题信息实时保存，无需再次输入。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实验教学学生端管理系统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1、系统登录：学生可通过学号及密码完成身份验证并登录系统。支持单台设备同时登录多个学生账号，满足课堂分组实验场景下的使用需要。</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2、课堂互动：学生可加入由教师发起的实验教学活动并参与其中。学生可参与教师发起的课堂问题互动，互动题型涵盖抢答与抽选两种形式。</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3、自评互评：学生可接收教师下发的本人实验操作视频，并基于该视频开展自我评价。</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4、实验视频：学生端支持按实验名称检索、筛选实验资源；每项实验资源包含实验基础信息、演示视频、仪器耗材清单、操作步骤、评分要点及注意事项等完整内容。</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实验评测支持学生自行选择实验，可通过年级、科目、实验名称进行筛选，点击AI评分的实验，有摄像头检测的弹框，所有摄像头打勾，表示摄像头正常工作，完成练习，可查看历史评测报告。（提供软件功能界面截图、操作手册或功能演示视频等任一能够证明具备该功能的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实验教学教师端管理系统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1、系统登录：教师可通过账号及密码完成身份验证并登录系统。</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2、上课管理：支持教师快速选定班级与实验内容，一键开启课堂教学。支持实时查看学生签到状态，对学生奖励数量进行调整，并自动统计缺勤人数。</w:t>
              <w:br/>
              <w:t xml:space="preserve">3.支持教师使用移动端进行板书教学，板书内容可实时同步学生端屏。</w:t>
              <w:br/>
              <w:t xml:space="preserve">4.支持将教师端的教学资源画面同步推送至学生终端进行展示。</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5.支持教师下发实验操作试题；学生完成实验操作后，可开启自评或分组互评模式，系统对操作过程进行全程录像，教师可在当堂调取视频回放并进行点评。</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支持教师进行互动，可进行随机答题、抢答、测试等多种提问方式，及时反馈学生答题统计结果。（提供软件功能界面截图、操作手册或功能演示视频等任一能够证明具备该功能的材料）7.支持任选一台实验桌，将其操作画面同步至大屏幕及小屏幕，用于开展学生操作示范。</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8.支持实时呈现设备异常状态，便于及时排查处理。</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9、我的课本：支持在线查看教案内容。支持浏览标准题库及个人题库，并可将题目加入收藏。支持查看其他类别的教学资源。</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10、班级管理：支持教师查阅班级课堂数据统计信息，内容包括上课时长、互动次数以及学生实验视频等实验过程详情。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r>
      <w:tr>
        <w:trPr>
          <w:trHeight w:val="45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9"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二、考试终端、管理终端及网络设备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实验室智慧工作站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1、处理器：核心数≥8，≥16线程，主频≥3.0GHz</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2、内存：≥16GB   DDR4，</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3、硬盘：≥512GB 固态硬盘</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4、显示器：≥23.8寸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5、网卡：千兆网卡，并提供同品牌信号防雷器。</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6、显卡：≥2G独显,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7、工作站前置面板具有6个USB3.0， 1个type C，一个音频二合，一个麦克风；</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8、配备键盘鼠标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教考一体终端（核心产品）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numPr>
                <w:ilvl w:val="0"/>
                <w:numId w:val="9"/>
              </w:numP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终端采用一体化设计，支架、主机、屏幕、摄像头等不可随意拆卸，其中支架结构满足俯拍摄像取景需求；</w:t>
            </w:r>
            <w:r/>
          </w:p>
          <w:p>
            <w:pPr>
              <w:numPr>
                <w:ilvl w:val="0"/>
                <w:numId w:val="9"/>
              </w:numP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终端底部具有吸盘、支架，可根据需要固定在桌面也可便携移动；</w:t>
            </w:r>
            <w:r/>
          </w:p>
          <w:p>
            <w:pPr>
              <w:numPr>
                <w:ilvl w:val="0"/>
                <w:numId w:val="9"/>
              </w:numP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能实时视频采集考生考试过程，视频数据自动存储到本机，并自动传输至上一级存储设备上；4、处理器：≥6核处理器、 频率≥1.8GHz、存储：≥4G RAM+32G存储；</w:t>
            </w:r>
            <w:r/>
          </w:p>
          <w:p>
            <w:pPr>
              <w:numPr>
                <w:ilvl w:val="0"/>
                <w:numId w:val="9"/>
              </w:numP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设备应≥15英寸触摸屏，分辨率≥1920*1080，并可以在可活动角度悬停并上下可调自动悬停；</w:t>
            </w:r>
            <w:r/>
          </w:p>
          <w:p>
            <w:pPr>
              <w:numPr>
                <w:ilvl w:val="0"/>
                <w:numId w:val="9"/>
              </w:numP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具有≥1个USB2.0接口，≥1个USB3.0接口；</w:t>
            </w:r>
            <w:r/>
          </w:p>
          <w:p>
            <w:pPr>
              <w:numPr>
                <w:ilvl w:val="0"/>
                <w:numId w:val="9"/>
              </w:numP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视频采集：≥3路摄像头，每路摄像头≥450万像素，每路摄像头均支持≥1920*1080分辨率，支持多码流传输，视频帧率≥25 帧/秒，支持H.264/H.265/MJPEG视频压缩编码，支持本地存储或本地视频汇聚与缓存功能；</w:t>
            </w:r>
            <w:r/>
          </w:p>
          <w:p>
            <w:pPr>
              <w:numPr>
                <w:ilvl w:val="0"/>
                <w:numId w:val="9"/>
              </w:numP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拍摄角度：每个摄像头均固定机位，满足正视角、侧视角、俯视角度等角度的拍摄，且画面均无翻转，满足实验考试和教学的拍摄需要；</w:t>
            </w:r>
            <w:r/>
          </w:p>
          <w:p>
            <w:pPr>
              <w:numPr>
                <w:ilvl w:val="0"/>
                <w:numId w:val="9"/>
              </w:numP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俯拍摄像头支架打开与收纳操作便捷可靠，取景位置定位准确，满足日常使用及安全要求；10、侧拍摄像头支架上升与收纳过程平稳可靠，取景位置定位准确，满足日常使用及安全要求11、供电：具有220V转DC持续供电；</w:t>
            </w:r>
            <w:r/>
          </w:p>
          <w:p>
            <w:pPr>
              <w:numPr>
                <w:ilvl w:val="0"/>
                <w:numId w:val="10"/>
              </w:numP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终端机的每路摄像头均具有独立的IP地址，均能提供独立的IP网络视频流供第三方监控系统调用，支持标准RTSP、ONVIF协议；当终端软件停止运行时，监考端、服务器以及第三方NVR依然可正常获取摄像头的视频画面，确保录制安全性；支持本机视频录制，与其它端的视频录制功能互不影响，即使在断网或服务器故障的情况下也能正常使用；支持在本机视频录制过程中进行书写批注，批注方式多样，包括但不限于手写、方框、箭头、圆圈等，可以调整批注笔触的粗细、颜色，批注完成后可以截图保存；提供文件管理页面，方便查看所有录制的视频和批注截图</w:t>
            </w:r>
            <w:r>
              <w:rPr>
                <w:rFonts w:ascii="SimSun" w:hAnsi="SimSun" w:eastAsia="SimSun" w:cs="SimSun"/>
                <w:color w:val="000000"/>
                <w:sz w:val="20"/>
              </w:rPr>
              <w:t xml:space="preserve">；</w:t>
            </w:r>
            <w:r/>
          </w:p>
          <w:p>
            <w:pPr>
              <w:numPr>
                <w:ilvl w:val="0"/>
                <w:numId w:val="10"/>
              </w:numP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整体采用压铸铝合金+塑料材质，辅助结构为高强度镀锌钢。</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★14、教考一体终端技术要求满足：</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（1）高温工作试验依据GB/T2423.2-2008试验，试验方法B:在40℃温度下通电工作2h,试验期间无损坏、无死机，试验后样品应能正常工作，测试结果符合要求。</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（2）低温工作试验依据GB/T2423.1-2008试验，试验方法A:在0℃温度下通电工作2h,试验期间无损坏、无死机，试验后样品应能正常工作，测试结果符合要求。</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提供满足以上技术要求具有CMA 或CNAS 认证的第三方检测机构出具的检测报告扫描件加盖投标人电子签章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高清电子目镜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numPr>
                <w:ilvl w:val="0"/>
                <w:numId w:val="11"/>
              </w:numPr>
              <w:spacing w:before="0" w:after="0" w:line="24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≥200万像素高清分辨率</w:t>
            </w:r>
            <w:r/>
          </w:p>
          <w:p>
            <w:pPr>
              <w:numPr>
                <w:ilvl w:val="0"/>
                <w:numId w:val="11"/>
              </w:numPr>
              <w:spacing w:before="0" w:after="0" w:line="24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适配传统光学单目显微镜</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3.配备USB接口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智慧终端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1、处理器：≥八核性能处理器,</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2、屏幕：≥12英寸</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3、分辨率：≥2560*1600</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4、内存：≥8+256G,5、电池：≥10000mAh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无线投屏器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1.高清无线投屏器，支持扫码连接，≥4K高清2.实现手机、平板、教学终端，无线投屏功能，画面流畅、端到端延迟≤200ms。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桌垫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材质：橡胶+防水布，尺寸：≥1200*600MM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1.性能：整机交换容量：≥240Gbps；转发性能：≥78Mpps</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2.端口：48个10/100/1000Base-T以太网端口；4个1000Base-X以太网端口</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3.静态MAC配置；支持MAC地址学习数目限制；支持端口镜像和流镜像功能；支持端口聚合；支持端口隔离；支持STP/RSTP/MSTP；支持IEEE 802.3ad（动态链路聚合）、静态端口聚合</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4.支持DHCP Relay；支持DHCP Client；支持DHCP Snooping；支持DHCP Snooping Option82</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5.支持用户分级管理和口令保护；支持SSHv2，为用户登录提供安全加密通道；支持SSL，保障数据传输安全；支持可控IP地址的FTP登录和口令机制；支持防Dos攻击；支持MAC地址限制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r>
      <w:tr>
        <w:trPr>
          <w:trHeight w:val="44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9"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三、实验室设备</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教师演示讲台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1、台面：采用≥12.7mm厚实芯理化板制作，切割处正反面去毛刺切口打磨平整。表面有良好的耐腐蚀性及具有良好的承重性能。</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柜体：全钢结构，采用≥1.0mm高强度镀锌钢板，切割折弯成型，组件焊接工艺，打磨平整，表面经环氧树脂喷涂处理；整体结构设计合理，预留电脑主机、实物展台、教师电源安装位置，中间部分无底板设计便于地面线管进讲台，前后预留检修板。</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3、拉手：采用不锈钢拉手。</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4、储物柜门和抽面：采用双层结构，组装式设计，保证单层钢板双面都喷涂处理，门板中间填充隔音材料，减少关门时产生的噪音。防撞胶垫：装于抽屉及门板内侧，减缓碰撞，保护柜体。</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5、不锈钢防腐合页：采用优质不锈钢模具一体成型。</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6、防腐三节静音导轨：三节滚珠滑轨，承重性强，滑动顺滑。</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7、固定桌脚：采用柜体内置可调ABS调整脚，保证调整脚前后都可以调节高低。8.规格：≥2400mm×700mm×900mm</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★教师演示讲台技术要求满足:GB/T 24820《实验室家具通用技术条件》（含现行有效版本）</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（1）实验台力学性能-实验台耐久性：1）符合水平耐久性试验标准；2）符合垂直耐久性试验标准。</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（2）实验台力学性能-独立式实验台稳定性：1）符合水平冲击稳定性试验标准；2）符合垂直加载稳定性试验标准；3）符合具有推拉构件的稳定性试验标准。</w:t>
              <w:br/>
              <w:t xml:space="preserve">提供满足以上技术要求具有CMA或CNAS认证的第三方检测机构出具的检测报告扫描件加盖投标人电子签章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教师演示讲台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台面：采用≥15mm厚陶瓷台面，陶瓷台面坯体黑色一体实芯和釉面经高温一体煅烧而成。陶瓷台面表面釉面为实验室专业釉面不会受外界环境影响而脱落脱层，具有耐污染、耐化学腐蚀、无放射性物质、防撞抗冲击、承重力强等功能。</w:t>
              <w:br/>
              <w:t xml:space="preserve">★陶瓷台面技术要求：</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（1）耐冷热循环性能：为避免热胀冷缩对台面造成的伤害，参照GB/T 17657（含现行有效版本）标准，检测结果需达到台面表面无裂纹无鼓包现象。</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（2）颜色稳定性：为保证台面的美观度，参照GB/T 17657（含现行有效版本）标准，耐光色牢度不低于4级。</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（3）产品平整性：参照GB/T 19367（含现行有效版本）标准，对产品的平整性进行检测。其中，长度±2mm、宽度±2mm、厚度±0.5mm、垂直度≤1mm/m、边缘直度≤1mm/m、平整度≤1mm/m。需满足上述检测要求。</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提供满足以上技术要求具有CMA 或CNAS 认证的第三方检测机构出具的检测报告扫描件加盖投标人电子签章</w:t>
              <w:br/>
              <w:t xml:space="preserve">2、柜体：全钢结构，采用≥1.0mm高强度镀锌钢板，切割折弯成型，组件焊接工艺，打磨平整，表面经环氧树脂喷涂处理；整体结构设计合理，预留电脑主机、实物展台、教师电源安装位置，中间部分无底板设计便于地面线管进讲台，前后预留检修板。</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3、拉手：采用不锈钢拉手。</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4、储物柜门和抽面：采用双层结构，组装式设计，保证单层钢板双面都喷涂处理，门板中间填充隔音材料，减少关门时产生的噪音。防撞胶垫：装于抽屉及门板内侧，减缓碰撞，保护柜体。</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5、不锈钢防腐合页：采用优质不锈钢模具一体成型。</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6、防腐三节静音导轨：三节滚珠滑轨，承重性强，滑动顺滑。</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7、固定桌脚：采用柜体内置可调ABS调整脚，保证调整脚前后都可以调节高低。</w:t>
              <w:br/>
              <w:t xml:space="preserve">8.规格：≥3000mm×700mm×900mm。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教师演示讲台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1、台面：采用≥12.7mm厚实芯理化板制作，切割处正反面去毛刺切口打磨平整。表面有良好的耐腐蚀性及具有良好的承重性能。</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柜体：全钢结构，采用≥1.0mm高强度镀锌钢板，切割折弯成型，组件焊接工艺，打磨平整，表面经环氧树脂喷涂处理；整体结构设计合理，预留电脑主机、实物展台、教师电源安装位置，中间部分无底板设计便于地面线管进讲台，前后预留检修板。</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3、拉手：采用不锈钢拉手。</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4、储物柜门和抽面：采用双层结构，组装式设计，保证单层钢板双面都喷涂处理，门板中间填充隔音材料，减少关门时产生的噪音。防撞胶垫：装于抽屉及门板内侧，减缓碰撞，保护柜体。</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5、不锈钢防腐合页：采用优质不锈钢模具一体成型。</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6、防腐三节静音导轨：三节滚珠滑轨，承重性强，滑动顺滑。</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7、固定桌脚：采用柜体内置可调ABS调整脚，保证调整脚前后都可以调节高低。</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8.规格：≥3000mm×700mm×900mm。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实验室专用水槽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1.规格：≥550mm×450mm×300mm</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2.采用PP一体化成型水槽，易清洁，耐腐蚀特点。</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★实验室专用水槽技术要求满足：GB/T 32487-2016塑料家具通用技术条件</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（1）耐老化性（室内≥500h）满足：外观颜色≥4级</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提供满足以上技术要求具有CMA或CNAS认证的第三方检测机构出具的检测报告扫描件加盖投标人电子签章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三联高低位龙头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鹅颈式实验室专用优质化验水嘴：主体采用铜质，表面环氧树脂喷涂。阀芯采用陶瓷阀芯，配置一个高位水龙头，两个低位水龙头，便于多用途使用。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洗眼器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洗眼喷头：采用不助燃PC材质模铸一体成形制作，具有防尘功能，上面防尘盖平常可防尘，使用时可随时被水冲开，并降低突然打开时短暂的高水压，避免冲伤眼睛。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紧急冲淋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不锈钢材质</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1、紧急冲淋洗眼装置的关节采用插拔式的连接方式，既缩短整个产品的安装工时，又能彻底解决管件连接处的漏水问题，轻松满足360度任意定位安装的人性化需要，外观整洁大方，检修及部件更换更加便捷。</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2、主体、冲淋阀、洗眼阀、洗眼盆、拉手、推手和脚踏等部件均采用卫生级304不锈钢无缝钢管，镍含量超过8%，耐腐蚀性能出众。</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3、采用冷轧工艺生产，不易变形，同时管壁光滑无油脂，经久耐用。</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4、洗眼喷头内置减压装置，防止对眼睛二次伤害；配置水压调节系统来适应不同场所的水压。</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5、冲淋球阀和洗眼球阀均采用双片式阀门结构，密封性和抗压性能更好，使用寿命更长。</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6、阀门管道采用由任（即活接头）的管道连接设计，使维修保养费用极低，避免了由于阀门或部件损坏后无法更换而导致整个洗眼器报废的情况。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化学学生实验桌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1.新型塑钢铝结构：≥1200mm×600mm×780mm。</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台面：采用≥15mm厚陶瓷台面，陶瓷台面坯体黑色一体实芯和釉面经高温一体煅烧而成。陶瓷台面表面釉面为实验室专业釉面不会受外界环境影响而脱落脱层，具有耐污染、耐化学腐蚀、无放射性物质、防撞抗冲击、承重力强等功能。</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3.结构：新型塑钢铝结构，学生位镂空式。</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4.专用书包斗ABS注塑一体注塑成型尺寸≥410mm×320mm×110mm，中间设挂凳卡。</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★化学学生实验桌技术要求满足: GB/T 24820《实验室家具通用技术条件》（含现行有效版本）。</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（1）实验台力学性能-实验台强度 1）水平静载荷试验，符合标准；2）主台面垂直静载荷试验，符合标准；3）台面挠度试验，符合标准；4）跌落试验，符合标准；</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（2）实验台力学性能-独立式实验台稳定性1）水平冲击稳定性试验，符合标准；2）垂直加载稳定性试验，符合标准；</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提供满足以上技术要求具有CMA或CNAS认证的第三方检测机构出具的检测报告扫描件加盖投标人电子签章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学生实验桌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学生实验桌</w:t>
              <w:br/>
              <w:t xml:space="preserve">1.新型塑钢铝结构：≥1200mm×600mm×780mm。</w:t>
              <w:br/>
              <w:t xml:space="preserve">2.台面：采用≥12.7m实芯理化板.</w:t>
              <w:br/>
              <w:t xml:space="preserve">3.结构：新型塑钢铝结构，学生位镂空式，。</w:t>
              <w:br/>
              <w:t xml:space="preserve">4.专用书包斗ABS注塑一体注塑成型尺寸≥390mm×320mm×110mm，中间设挂凳卡。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多功能防溅水槽柜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1、水槽柜整体尺寸为≥600mm×450mm×820mm</w:t>
              <w:br/>
              <w:t xml:space="preserve">2、底围：≥550mm×440mm×60mm，中间部分尺寸≥600mm×450mm×700mm；材质≥1.0mm镀锌钢板，表面环氧喷涂；</w:t>
              <w:br/>
              <w:t xml:space="preserve">3、一体水槽，PP改性材质，水槽尺寸≥450mmx600mmx450mm，水槽内上部尺寸≥400mm×480mm，底部尺寸≥340mm×420mm，水槽最高深度≥370mm，最低深度≥300mm，保障洗涤时水不外飞溅；水槽内部带滴水架，滴水架带不少于10根滴水棒，滴水棒可以翻转收纳；</w:t>
              <w:br/>
              <w:t xml:space="preserve">4、水槽柜预留收纳翻盖，有收纳</w:t>
            </w:r>
            <w:r>
              <w:rPr>
                <w:rFonts w:ascii="SimSun" w:hAnsi="SimSun" w:eastAsia="SimSun" w:cs="SimSun"/>
                <w:color w:val="000000"/>
                <w:sz w:val="20"/>
              </w:rPr>
              <w:t xml:space="preserve">水管功能；检修门带锁，底围安装1寸定向轮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升降折叠水龙头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1.主体材质为加厚铜管，主管管径≥25mm铜管，表面经环氧树脂喷涂处理。</w:t>
              <w:br/>
              <w:t xml:space="preserve">2.双龙头可以独立折叠式设计，使用时打开折叠双联龙头在使用过程中可以自由升降水嘴，以满足不同身高的高度仪器清洗要求使用。其中一个出水嘴加装了可调节水花装置，保证实验过程中对水花的不同要求，调节方便，美观耐用。</w:t>
              <w:br/>
              <w:t xml:space="preserve">3.实验室龙头采用壁式安装，壁厚≥2.5mm，固定底座直径≥50mm，底座锁母与台面中间添加齿形止退垫，使连接后不易松动稳定性强，与台面安装牢固。双联龙头可以分开折叠90度收纳，保证实验室的整洁美观。</w:t>
              <w:br/>
              <w:t xml:space="preserve">4.开关旋钮：材质PP，符</w:t>
            </w:r>
            <w:r>
              <w:rPr>
                <w:rFonts w:ascii="SimSun" w:hAnsi="SimSun" w:eastAsia="SimSun" w:cs="SimSun"/>
                <w:color w:val="000000"/>
                <w:sz w:val="20"/>
              </w:rPr>
              <w:t xml:space="preserve">合人体工学设计，启闭方式为平面式，开关标识清晰醒目，装配好的开关旋钮应平稳轻便无卡阻，与阀杆连接后不易松动稳定性强。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下水装置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底部带S弯防臭设计，与地面下水管密封连接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多功能柱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1、规格≥360mm×245mm×720mm，整体采用实验室专用PP材质，四周圆弧处理，前后二块拼接而成，可拆装，内部隐藏实验线管及通风管道，方便检修。</w:t>
              <w:br/>
              <w:t xml:space="preserve">2、多功能柱技术要求满足：GB/T 32487-2016塑料家具通用技术条件</w:t>
              <w:br/>
              <w:t xml:space="preserve">（1）耐老化性（室内≥500h）满足：外观颜色≥4级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实验凳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1.规格：≥Φ310mm×450mm～500mm                          </w:t>
              <w:br/>
              <w:t xml:space="preserve">2.凳脚材质：4个凳脚采用≥15mm×30mm×1.7mm钢管模具弯制一次成型，全圆满焊接完成，结构牢固，经高温粉体烤漆处理，长时间使用也不会产生表面烤漆剥落现象 螺旋升降式，升降距离≥50mm，最高离地距离≥500mm。</w:t>
              <w:br/>
              <w:t xml:space="preserve">3.聚丙烯凳面材质：采用聚丙烯共聚级注塑。表面细纹咬花，防滑不发光，凳面底部镶嵌4枚螺纹，采用标准螺栓与圆型托盘固定。</w:t>
              <w:br/>
              <w:t xml:space="preserve">4.脚垫材质：采用PP加耐磨纤维增强塑料，实心倒勾式一体射出成型。</w:t>
            </w:r>
            <w:r>
              <w:rPr>
                <w:rFonts w:ascii="SimSun" w:hAnsi="SimSun" w:eastAsia="SimSun" w:cs="SimSun"/>
                <w:color w:val="000000"/>
                <w:sz w:val="20"/>
              </w:rPr>
              <w:br/>
              <w:t xml:space="preserve">5.凳托与凳脚留有一定的空间便于凳子挂在挂凳扣上，方便教室的打扫。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144</w:t>
            </w:r>
            <w:r/>
          </w:p>
        </w:tc>
      </w:tr>
      <w:tr>
        <w:trPr>
          <w:trHeight w:val="5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9"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四、物理吊装及控制系统</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教师演示电源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1、教师演示台配备总漏电保护和分组保护，可分组控制学生的高低压电源，确保学生实验安全方便；</w:t>
              <w:br/>
              <w:t xml:space="preserve">2、教师电源总控采用≥220mm×125mm尺寸的面板，具备智能控制按键，并能显示电源电压；</w:t>
              <w:br/>
              <w:t xml:space="preserve">3、教师交流电源通过智能控制按键直接选取0～24V电压，最小调节单元可达1V,额定电流3A；</w:t>
              <w:br/>
              <w:t xml:space="preserve">4、教师直流电源也是通过智能控制按键直接选取，调节范围为1.5～24V，分辨率可达0.1V,额定电流3A；</w:t>
              <w:br/>
              <w:t xml:space="preserve">5、低压大电流值为10A，自动关断；</w:t>
              <w:br/>
              <w:t xml:space="preserve">6、教学电源：220V交流输出为带安全门的插座，带有电源指示，学生低压交流电源可通过智</w:t>
            </w:r>
            <w:r>
              <w:rPr>
                <w:rFonts w:ascii="SimSun" w:hAnsi="SimSun" w:eastAsia="SimSun" w:cs="SimSun"/>
                <w:color w:val="000000"/>
                <w:sz w:val="20"/>
              </w:rPr>
              <w:t xml:space="preserve">能控制按键直接选取0～24V电压，最小调节单元为1V，分组输送至学生桌；低压直流电压教师能准确控制，最小调节单元为0.1V。</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集中控制系统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集中控制系统。可执行各分项分页控制；</w:t>
              <w:br/>
              <w:t xml:space="preserve">（1）升降控制：可以实现单个控制，可以集中控制，可以任意组合控制；</w:t>
              <w:br/>
              <w:t xml:space="preserve">（2）220V电源控制：控制学生AC220V电源；</w:t>
              <w:br/>
              <w:t xml:space="preserve">（3）低压控制：教室主控，分组控制。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电源供应装置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1、采用ABS材质，模具一体成型。模块内预留220V高压电源、0-24V低压电源、网络接口位置。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模块储藏装置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采用ABS材质，模具一体成型。四周带氛围灯设计。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低压电源模块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1、教师主控型，学生低压电源都可接收主控电源发送的锁定信号，在锁定指示灯点亮后，学生接收老师输送的设定电源电压，教师锁定时,学生自己无法操作，这样可避免学生的误操作。可以分组或独立控制；</w:t>
              <w:br/>
              <w:t xml:space="preserve">2、学生电源采用耐磨、耐腐蚀、耐高温的PC亮光薄膜面板，学生电源的控制采用按钮式按键，可以随意设置电压，贴片元件生产技术，微电脑控制，采用≥40mm×20mm尺寸面板，用于展示学生的交直流电压数据；</w:t>
              <w:br/>
              <w:t xml:space="preserve">3、学生交流电源通过上下键0～24V电压，最小调节单元可达1V,额定电流2A；</w:t>
              <w:br/>
              <w:t xml:space="preserve">4、学生直流电源也是通过上下键选取，调节范围</w:t>
            </w:r>
            <w:r>
              <w:rPr>
                <w:rFonts w:ascii="SimSun" w:hAnsi="SimSun" w:eastAsia="SimSun" w:cs="SimSun"/>
                <w:color w:val="000000"/>
                <w:sz w:val="20"/>
              </w:rPr>
              <w:t xml:space="preserve">为1.5～24V，分辨率可达0.1V,额定电流2.5A。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伸缩线束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numPr>
                <w:ilvl w:val="0"/>
                <w:numId w:val="12"/>
              </w:numP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配备220V电源线，导线外径是15.5mm±5mm，内部有不同线径电源线7根及信号线外包铝箔屏蔽层。</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2、网络线缆：采用国际标准网线配置，配置网线2组及外包铝箔屏蔽层。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预留220V交流输出的插座安装孔。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智能升降系统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采用自动升降系统，自带保护功能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综合布线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≥2.5mm²电线，给学生低压电源供电；≥0.5mm²屏蔽电源线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支架：采用镀锌钢板材质，规格≥50mm×25mm，板材厚度≥0.6mm，总供货长度≥10m。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9"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五、化学吊装及控制，通风系统</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教师演示电源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1、教师演示台配备总漏电保护和分组保护，可分组控制学生的高低压电源，确保学生实验安全方便；</w:t>
              <w:br/>
              <w:t xml:space="preserve">2、教师电源总控采用≥220mm×125mm尺寸的面板，具备智能控制按键，并能显示电源电压；</w:t>
              <w:br/>
              <w:t xml:space="preserve">3、教师交流电源通过智能控制按键直接选取0～24V电压，最小调节单元可达1V,额定电流3A；</w:t>
              <w:br/>
              <w:t xml:space="preserve">4、教师直流电源也是通过智能控制按键直接选取，调节范围为1.5～24V，分辨率可达0.1V,额定电流3A；</w:t>
              <w:br/>
              <w:t xml:space="preserve">5、低压大电流值为10A，自动关断；</w:t>
              <w:br/>
              <w:t xml:space="preserve">6、教学电源：220V交流输出为带安全门的插座，带有电源指示，学生低压交流电源可通过智</w:t>
            </w:r>
            <w:r>
              <w:rPr>
                <w:rFonts w:ascii="SimSun" w:hAnsi="SimSun" w:eastAsia="SimSun" w:cs="SimSun"/>
                <w:color w:val="000000"/>
                <w:sz w:val="20"/>
              </w:rPr>
              <w:t xml:space="preserve">能控制按键直接选取0～24V电压，最小调节单元为1V，分组输送至学生桌；低压直流电压教师能准确控制，最小调节单元为0.1V。</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通风矢量控制系统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风机矢量控制变频器：应用空间电压矢量控制原理，采用模块化设计、双CPU控制，是集数字技术、计算机技术、现代自控技术于一体的高科技产品，具有精度高、噪音低、转矩大、性能可靠等特点。主要参数指标为：1.频率指示、异常指示、转速指示、状态指示等均由LED显示；2.输入额定电压：三相380V，±15%；3.输入额定频率：50/60HZ；4.控制方式：空间电压矢量控制；5.输出频率：1.00~400.0HZ；6.过载能力：150%额定电流；7.保护功能：输入缺相、输入欠压、直流过压、过载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顶装智能控制平台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集中控制系统。可执行各分项分页控制。</w:t>
              <w:br/>
              <w:t xml:space="preserve">照明控制：控制顶装照明。</w:t>
              <w:br/>
              <w:t xml:space="preserve">电源控制：控制学生AC220V电源和低压电源。</w:t>
              <w:br/>
              <w:t xml:space="preserve">摇臂控制：控制摇臂升降。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远程控制系统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1、APP登入有网络注册功能，注册后登入系统操作，使用者忘记密码方便找回，同时方便升级系统，带来新的体验。</w:t>
              <w:br/>
              <w:t xml:space="preserve">2、能使用APP能控制总电源关闭；</w:t>
              <w:br/>
              <w:t xml:space="preserve">3、APP能显示当前温度、相对湿度及当前时间；</w:t>
              <w:br/>
              <w:t xml:space="preserve">4、使用APP能控制学生低压电源的交流电压，且电压值为实测值。如APP给学生交流3V，学生电源电压实测电压为3V；</w:t>
              <w:br/>
              <w:t xml:space="preserve">5、使用APP同时控制电风光源开启与关闭，同时可以扩展功能（监控布防、空调控制等等）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温湿度监视系统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内置精密温湿度传感装置，实时监控房间内的温度和湿度，保障室内舒适的环境舒适性，能在智能控制平台中实时显示当前环境的温度和湿度。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铝合金万向罩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1、关节：高密度PP材质表面磨砂，可360°旋转调节。</w:t>
              <w:br/>
              <w:t xml:space="preserve">2、关节密封圈：高密度橡胶。在关节之间随着旋钮压力加大而产生阻尼效果。</w:t>
              <w:br/>
              <w:t xml:space="preserve">3、关节连接杆：304不锈钢双头连接杆。</w:t>
              <w:br/>
              <w:t xml:space="preserve">4、关节盖：高密度PP材质表面磨砂，组合式安装拆装方便。</w:t>
              <w:br/>
              <w:t xml:space="preserve">5、关节松紧选钮：高密度PP材质，调节旋流可以调节关节旋转扭矩。</w:t>
              <w:br/>
              <w:t xml:space="preserve">6、铝合金万向罩口：直径直径≥230mm，高密度铝合金制成，防止实验时的火焰使其燃烧。</w:t>
              <w:br/>
              <w:t xml:space="preserve">7、导管：4节直径≥55mm的抗氧化抗腐蚀的镁硅铝合金，表面做特氟龙表面处理，耐酸、耐碱、耐划痕。</w:t>
              <w:br/>
              <w:t xml:space="preserve">8、旋转关节：采用抗氧化抗腐蚀</w:t>
            </w:r>
            <w:r>
              <w:rPr>
                <w:rFonts w:ascii="SimSun" w:hAnsi="SimSun" w:eastAsia="SimSun" w:cs="SimSun"/>
                <w:color w:val="000000"/>
                <w:sz w:val="20"/>
              </w:rPr>
              <w:t xml:space="preserve">的镁硅铝合金，和铝合金万向罩口连接的导管设计旋转功能。</w:t>
              <w:br/>
              <w:t xml:space="preserve">9、扭簧：使用90度的≥4mm专用弹簧钢抗氧化处理，防止吸风罩自重导致导管下滑。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万向吸风罩底座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钢制固定底座，抗氧化抗腐蚀的镁硅铝合金方管，根据不同的组合方式可选择丝口和挂口结构，拆装方便。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行程通风系统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1、室内管道，采用防腐蚀PP材质，具有整体结构性能好、严密性高等优点大小管道组成，各支管风速小于8m/s。</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2、规格：600*250mm，φ200mm，φ160mm组合使用。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行程通风系统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1、室外管道，采用防腐蚀PP材质，具有整体结构性能好、严密性高等优点大小管道组成，各主管风速小于12m/s。</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2、规格：φ400mm或600*250mm,或500*320mm等。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防腐风机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功率：≥5.5KW。风量：7100-13500m3/h。风压：926-735Pa。噪音：≤55dB(A)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风机控制线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4.0mm²×3+2.5mm²×2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主体框架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规格：≥1500mm×560mm×290mm，整体采用≥1.5mm冷轧钢板，经激光雕刻机精细雕刻，数控折弯成型，表面经环氧树脂粉末喷涂高温固化处理。要做到承重性能强和耐酸碱、耐腐蚀。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防尘保护罩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采用厚度≥ 1mm 的环氧树脂绝缘板，其中 2 块尺寸≥ 420mm×320mm、1 块尺寸≥ 420mm×280mm，铺设于主框架上方，用于防尘并方便后期检修维护。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智能摇臂升降系统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规格：≥990mm×115mm×185mm，接收智能控制系统信号实现远程遥控，动力为直流24V低压电机推送杆，固定于≥3mm厚专用铝合金模具一体成型，外部保护罩为ABS注塑成型，摇臂上装电源、选配网络。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多功能电源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规格：≥65mm×65mm×8mm（2个/组）接收智能化控制系统控制，内含多功能插座2个。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采用RJ45网络模块接口，含设备中网线，方便与教室网络对接，不含教室网络布线及网线。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急停装置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铝合金材质，在电系统出现故障时紧急制动，确保实验时安全。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供电线路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1、本项目用于智能控制模块及关联设备终端电源回路布设、供电接驳及点位配电连接，全覆盖系统设备用电需求。</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2、供电线缆采用2.5mm²国标优质铜芯电线，线缆总配置长度不低于450m，线缆须符合国家电气标准，绝缘、阻燃、导电性能满足现场长期稳定运行要求。</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3、线路防护采用国标DN25阻燃绝缘穿线管，管材总配置长度不低于150m，管材阻燃、防腐蚀、抗老化，符合国家建筑电气布线规范要求。</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工作内容包含线管敷设、线缆穿引、线路接驳、智能控制模块及终端设备接线压接、线缆挂牌标识、回路编号、线路绝缘及通断检测、系统通电调试、试运行验收等全部配套工作；本项为保障整套设备系统正常运行的一体化配套综合布线工程，按完整系统包干综合单价计价，不另行按线缆、线管长度单独计量结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7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智能控制系统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规格：≥1170mm×85mm，接收智能化控制系统控制，功能面板采用≥1170mm×85mm，配置≥1根DC24v，15W的LED日光灯，灯罩采用ABS一次成型，设计安装磨砂透明均光板，不仅能使光线扩散均匀更能起到安全防护作用。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系统安装辅件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双槽钢横梁吊装方式，减少楼板承重，防止左右晃动，可进行上下、左右的平衡调节，实验功能板离地2m左右。主要辅件有：槽钢、三角构件、直角座、龙骨架连接件、吊装挂件、安装连接板等。（不含桁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3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9"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六、生物吊装及控制系统</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教师演示电源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1、教师演示台配备总漏电保护和分组保护，可分组控制学生的高低压电源，确保学生实验安全方便；</w:t>
              <w:br/>
              <w:t xml:space="preserve">2、教师电源总控采用≥220mm×125mm尺寸的面板，具备智能控制按键，并能显示电源电压；</w:t>
              <w:br/>
              <w:t xml:space="preserve">3、教师交流电源通过智能控制按键直接选取0～24V电压，最小调节单元可达1V,额定电流3A；</w:t>
              <w:br/>
              <w:t xml:space="preserve">4、教师直流电源也是通过智能控制按键直接选取，调节范围为1.5～24V，分辨率可达0.1V,额定电流3A；</w:t>
              <w:br/>
              <w:t xml:space="preserve">5、低压大电流值为10A，自动关断；</w:t>
              <w:br/>
              <w:t xml:space="preserve">6、教学电源：220V交流输出为带安全门的插座，带有电源指示，学生低压交流电源可通过智</w:t>
            </w:r>
            <w:r>
              <w:rPr>
                <w:rFonts w:ascii="SimSun" w:hAnsi="SimSun" w:eastAsia="SimSun" w:cs="SimSun"/>
                <w:color w:val="000000"/>
                <w:sz w:val="20"/>
              </w:rPr>
              <w:t xml:space="preserve">能控制按键直接选取0～24V电压，最小调节单元为1V，分组输送至学生桌；低压直流电压教师能准确控制，最小调节单元为0.1V。</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智能控制平台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集中控制系统。可执行各分项分页控制。</w:t>
              <w:br/>
              <w:t xml:space="preserve">照明控制：控制顶装照明。</w:t>
              <w:br/>
              <w:t xml:space="preserve">电源控制：控制学生AC220V电源和低压电源。</w:t>
              <w:br/>
              <w:t xml:space="preserve">摇臂控制：控制摇臂升降。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远程控制系统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1、APP登入有网络注册功能，注册后登入系统操作，使用者忘记密码方便找回，同时方便升级系统，带来新的体验。</w:t>
              <w:br/>
              <w:t xml:space="preserve">2、能使用APP能控制总电源关闭；</w:t>
              <w:br/>
              <w:t xml:space="preserve">3、APP能显示当前温度、相对湿度及当前时间；</w:t>
              <w:br/>
              <w:t xml:space="preserve">4、使用APP能控制学生低压电源的交流电压，且电压值为实测值。如APP给学生交流3V，学生电源电压实测电压为3V；</w:t>
              <w:br/>
              <w:t xml:space="preserve">5、使用APP同时控制电风光源开启与关闭，同时可以扩展功能（监控布防、空调控制等等）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监视系统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内置精密温湿度传感装置，实时监控房间内的温度和湿度，保障室内舒适的环境舒适性，能在智能控制平台中实时显示当前环境的温度和湿度。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主体框架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规格：≥1500mm×560mm×290mm，整体采用≥1.5mm冷轧钢板，经激光雕刻机精细雕刻，数控折弯成型，表面经环氧树脂粉末喷涂高温固化处理。要做到承重性能强和耐酸碱、耐腐蚀。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防尘保护罩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采用厚度≥ 1mm 的环氧树脂绝缘板，其中 2 块尺寸≥ 420mm×320mm、1 块尺寸≥ 420mm×280mm，铺设于主框架上方，用于防尘并方便后期检修维护。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升降系统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规格：≥990mm×115mm×185mm，接收智能控制系统信号实现远程遥控，动力为直流24V低压电机推送杆，固定于≥3mm厚专用铝合金模具一体成型，外部保护罩为ABS注塑成型，摇臂上装电源、选配网络。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规格：≥65mm×65mm×8mm（2个/组）接收智能化控制系统控制，内含多功能插座2个。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采用RJ45网络模块接口，含设备中网线，方便与教室网络对接，不含教室网络布线及网线。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急停装置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铝合金材质，在电系统出现故障时紧急制动，确保实验时安全。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供电线路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1、本项目用于智能控制模块及关联设备终端电源回路布设、供电接驳及点位配电连接，全覆盖系统设备用电需求。</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2、供电线缆采用2.5mm²国标优质铜芯电线，线缆总配置长度不低于450m，线缆须符合国家电气标准，绝缘、阻燃、导电性能满足现场长期稳定运行要求。</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3、线路防护采用国标DN25阻燃绝缘穿线管，管材总配置长度不低于150m，管材阻燃、防腐蚀、抗老化，符合国家建筑电气布线规范要求。</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工作内容包含线管敷设、线缆穿引、线路接驳、智能控制模块及终端设备接线压接、线缆挂牌标识、回路编号、线路绝缘及通断检测、系统通电调试、试运行验收等全部配套工作；本项为保障整套设备系统正常运行的一体化配套综合布线工程，按完整系统包干综合单价计价，不另行按线缆、线管长度单独计量结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智能控制系统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规格：≥1170mm×85mm，接收智能化控制系统控制，功能面板采用≥1170mm×85mm，配置≥1根DC24v，15W的LED日光灯，灯罩采用ABS一次成型，设计安装磨砂透明均光板，不仅能使光线扩散均匀更能起到安全防护作用。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系统安装辅件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双槽钢横梁吊装方式，减少楼板承重，防止左右晃动，可进行上下、左右的平衡调节，实验功能板离地2m左右。主要辅件有：槽钢、三角构件、直角座、龙骨架连接件、吊装挂件、安装连接板等。（不含桁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43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9"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七、考场辅助设备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spacing w:before="0" w:after="8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spacing w:before="0" w:after="8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巡考摄像头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1、1/2.8"500万像素CMOS传感器</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2、内嵌智能深度学习人脸算法，自身提取目标特征，形成深层可供学习的人脸图像</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3、支持多种人脸抓拍模式：支持设置离开后抓拍、离开后识别优先、识别优先立即上传、间隔抓拍-秒为单位、间隔抓拍-帧为单位等抓拍模式</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4、支持人脸检测与抓拍，人脸记录及人脸库容量满足本项目考场规模需求</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5、支持人脸图片，人型图及原图上传，图片编码质量可调</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6、支持人脸属性提取:性别、年龄、眼镜、口罩等</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7、支持白名单、黑名单、vip名单管理</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8、支持设置白名单、黑名单、陌生人等分类智能语音提示，支持设置时间来控制语音提示</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9、支持红外/全彩/双光模式，支持PWM调光</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10、支持光敏及软光敏灯光信号控制，支持手动调整灯光亮度</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11、支持标准ONVIF、GB/T 28181协议</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12、支持电动变焦（可选）、自动光圈（可选）</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13、支持设置普通、逆光场景等曝光模式</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14、提供SDK开发包，支持二次开发，支持CGI、HTTP、WEBSOCK协议对接</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15、支持AIISP图像增强，增强低噪效果</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16、支持区域入侵智能分析功能，</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17、支持智能分析功能联动声光预警</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18、支持部分内核浏览器免插件</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19、数据传输安全：采用加密传输人脸数据</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20、支持摄像机端到目标IP的PING包测试</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21、支持扩展外接麦克风与扬声器，支持语音对讲功能</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spacing w:before="0" w:after="8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spacing w:before="0" w:after="8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拾音器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麦克风: 一个高灵敏度全指向驻极体麦动态范围: 0 dB~90 dB最大承受音压: 120 dBSPL拾音范围: 0 m~5 m灵敏度: -32 dB输出信号幅度: 2.5 Vpp信噪比: ≥80 dB频率响应: 20 Hz~20 kHz音频传输距离: ≥100 m接口类型: LINE OUT输出阻抗: 600Ω保护电路: 雷击保护、电源极性反转保护、静电防护工作温度: -10℃～50℃（室内）降噪调节: 数字降噪，自适应调节（和主机搭配使用时支持）音量调节: 支持软件调节（与主拾音器级联时可用）指向特性:</w:t>
            </w:r>
            <w:r>
              <w:rPr>
                <w:rFonts w:ascii="SimSun" w:hAnsi="SimSun" w:eastAsia="SimSun" w:cs="SimSun"/>
                <w:color w:val="000000"/>
                <w:sz w:val="20"/>
              </w:rPr>
              <w:t xml:space="preserve"> 全指向采样率: 8khz、16khz、32khz可选，默认16khz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信号屏蔽器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屏蔽范围广：发射功率及屏蔽范围满足考场屏蔽需求；产品须符合国家无线电管理相关规定，经无线电管理机构批准后方可使用。;工作频率：CDMA：869-884 MHz;GSM:925-962MHz;3G1:2008-2026MHz;WIFI:2400-2485MHz;4G:1805-1995MHz;3G2:2110-2174MHz;4G1:2298-2404MHz;4G2:2515-2677MHz;5G1:3299-3603MHz;5G2:4798-4903MHz;5G3:703-801MHz;5.8G:5725-</w:t>
            </w:r>
            <w:r>
              <w:rPr>
                <w:rFonts w:ascii="SimSun" w:hAnsi="SimSun" w:eastAsia="SimSun" w:cs="SimSun"/>
                <w:color w:val="000000"/>
                <w:sz w:val="20"/>
              </w:rPr>
              <w:t xml:space="preserve">5850MHz; 网络通信：可实现联网互通，搭配平台实现设备统一管理，统一开关。 电源：200V-242V ，50/60Hz功耗：＜300W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r>
      <w:tr>
        <w:trPr>
          <w:trHeight w:val="61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9"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八、校级平台</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实验考试智能管理平台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1、系统设置：支持对系统进行基础信息设置，譬如名称、logo、配色、服务器地址及存储策略等。</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2、字典管理：支持对字典进行增删改操作，可在系统字典基础上可自定义字典。</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rPr>
                <w:rFonts w:ascii="Arial" w:hAnsi="Arial" w:eastAsia="Arial" w:cs="Arial"/>
                <w:color w:val="000000"/>
                <w:sz w:val="20"/>
              </w:rPr>
              <w:t xml:space="preserve">日志管理：支持导</w:t>
            </w:r>
            <w:r>
              <w:rPr>
                <w:rFonts w:ascii="SimSun" w:hAnsi="SimSun" w:eastAsia="SimSun" w:cs="SimSun"/>
                <w:color w:val="000000"/>
                <w:sz w:val="20"/>
              </w:rPr>
              <w:t xml:space="preserve">出操作日志和异常日志。操作日志需记录用户在每个模块所点击的按钮操作，异常日志需记录服务器异常、网络异常、一体机、摄像头异常、App异常数据等异常情况。</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4、角色管理：系统内置默认角色及权限，可新增自定义新角色，并进行权限分配，权限可细分至每一模块、每一个按钮。</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5、用户管理：支持对用户数据进行增删改查操作。</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6、座位模板管理：支持查看、编辑座位模板名称、行列座位数，可配置座位编号，可根据列数自动增加一行备用座位，用户编辑座位编号后生效。</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7、考点管理：支持对考点进行增删改查操作。</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8、知识库管理：支持上传、下载及删除文件，文件格式需支持zip、xls、pdf、docx、ppt等。</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9、实验室管理：支持自动生成考点实验室，对实验室进行设备检测及摄像头配置操作。</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10、摄像头配置：可对实验室内的一体机摄像头进行配置，可进行单个或批量设置摄像头主、子码流参数，可导出和导入摄像头配置。</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★11、设备检测：支持对实验室进行设备检测，可检测设备状态，排查异常设备，譬如摄像头、平板等（提供软件功能界面截图、操作手册或功能演示视频等任一能够证明具备该功能的材料）</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录制检测：支持对实验室中的摄像头进行录制检测，可自定义录制检测时长，可查看每台摄像头的录制状态、录制时长、录制大小及预览录制的视频；可统计录制失败的摄像头数据，查看单次录制检测使用的磁盘空间用量及当前总的可用磁盘用量。</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13、终端控制：支持对平板及APP进行单个或批量的启动、关闭、重启、卸载、安装、清除缓存等操作。</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14、运维单据：支持导出PDF样式的运维单据，单据内容需包含但不限于基础数据、用户数据、实验室数据、录制检测数据等。</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15、视频管理：支持按日期区间查询视频、批量删除考试视频；可查看视频所属考试、考生、场次、机位、大小及录制时间及预览视频详情，可查看当前视频存储策略、视频服务器存储剩余空间、总空间。</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16、服务器管理：支持对服务器数据进行增删改查操作，可查看服务器IP地址、性能参数、部署系统、CPU使用率、内存占用率、磁盘占用率等。</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17、安装包管理：支持新增上传、查看、删除、下载安装包。</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18、设备信息管理：支持新增、查看、编辑、删除实验室设备，包括但不限于一体机、摄像头、平板等。</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实验考试阅卷管理系统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1、考试列表：支持导入阅卷包，实时显示阅卷状态及相关数据。</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2、规则设置：支持对阅卷规则进行灵活设置，包含但不限于答卷分配模式、阅卷视频、阅卷轮次、阅卷仲裁规则、样卷配置、标准卷配置、信息脱敏、阅卷记录、阅卷界面模式、阅卷质检规则、AI成绩对接等。</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3、视频配置：在规则设置中，阅卷视频可配置是完整视频或重做后的视频两种类型。</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4、仲裁启用：在规则设置中，可配置是否允许仲裁，配置仲裁答卷来源，偏差分值及类型等。</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5、默认界面：在规则设置中，阅卷界面模式可选择标准模式、全屏模式及双视频模式三种阅卷界面模式。</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6、老师安排：支持下载模板导入老师数据，支持以小组为单位管理老师，可管理阅卷状态，譬如开启测试阅卷及开启正式阅卷。</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7、机位设置：支持预览本场考试的考题数据，可对每套题进行默认机位设置并预留评分点配置。</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8、样卷管理：支持对每套答卷进行样卷采样，可查看样卷采样进度、采样记录及每份采样的评分详情。</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9、标准卷管理：支持对每套答卷进行标准卷采样，可查看采样进度、评分偏差、测试份数及测试通过率，可查看标准卷测试记录，查看每份测试标准卷老师的评分详情。</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10、我的阅卷：支持统计查看我的阅卷数据、阅卷记录及进行阅卷。</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11、阅卷数据：阅卷数据包含不限于阅卷数量、平均得分、仲裁率、累计阅卷时长、平均阅卷时长、问题卷提交份数等。</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12、阅卷记录：阅卷记录可查看评分详情。</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13、阅卷功能：阅卷时可进行选择阅卷界面模式、可一键全对、可取AI得分、可切换机位、可倍速播放、可标记问题卷、可输入得分分值等操作。</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14、仲裁管理：支持查看仲裁统计、仲裁记录及进行仲裁。</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仲裁统计：仲裁统计包含每个科目的仲裁率、平均仲裁时长、仲裁与一阅一致率、仲裁与二阅一致率、仲裁高于一阅率、仲裁高于二阅率、仲裁时间最长试卷仲裁老师及时长、仲裁时间最短试卷仲裁老师及时长等。</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16、仲裁记录：仲裁记录可查看仲裁详情。</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17、仲裁功能：仲裁时系统会自动标记有偏差的得分点且可对视频答卷进行重新仲裁得分不限于偏差得分点。</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18、质检管理：支持查看质检统计及质检。</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质检统计：质检统计数据可按照科目及答卷统计数据，包含但不限于质检答卷总份数、质检答卷总分、差错分值合计、差错分值率、答卷质检进度、答卷质检率、质检普通卷份数、质检仲裁卷份数、质检通过份数、提交质疑卷份数等。（提供软件功能界面截图、操作手册或功能演示视频等任一能够证明具备该功能的材料）</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20、质检功能：质检可根据答卷选择随机质检或指定质检，导出质检报告。</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21、审查管理：支持对阅卷过程中老师提交的问题卷和质检过程中提交的质疑卷进行审查，可查看每套答卷的质疑卷和问题卷的审查进度，查看审查详情，含提交老师及提交原因等信息。</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阅卷统计：支持统计查看统计数据及阅卷排行榜，数据含阅卷进度概览、分组阅卷数据及答卷阅卷数据，可实时按学科答卷查看阅卷进度，可以组为单位查看阅卷进度，可按照答卷查看一阅、二阅评分平均偏差、评分标准差等数据。</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23、成绩复核：支持按考生准考证号查询考生成绩，对有疑议的答卷成绩进行复核。</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24、成绩统计：支持以学校、科目、答卷不同维度查看导出统计数据。</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25、学校维度数据：学校维度可查看参考考点、参考学校、参考考生、考生参考率、满分考生数、满分考生学校分布、学校满分考生占比排行、考试平均分、学校考生平均分排行等数据。</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科目维度数据：科目维度可产看每个科目满分考生数、满分考生占比、满分考生在各参考学校的分布及排行、学校满分考生的占比及排行、每个科目考试平均分、每个参考学校考生科目的平均分及排行、每个科目得分在不同分段的人数分布及占比等。</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27、答卷维度数据：答卷维度可查看答卷总份数、满分份数、最高得分、最低得分、平均得分、每套答卷得分在不同分段的人数分布及占比等数据。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实验教学智能管理平台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1、用户管理：具备用户信息的创建、维护、检索与移除能力；管理员可对用户账号执行密码初始化操作，恢复默认登录凭证。</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2、角色管理：提供角色的建立与维护入口；管理员可为角色分配并调整对应的权限集合，实现角色与权限的关联配置。</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3、平台对接与个性化配置：系统预留与上级教育主管部门平台的对接能力；支持按学校实际情况配置系统展示名称，并可上传、更换校徽等标识图片。</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4、课本管理：支持电子教材目录结构的维护，可对教材的章、节层级进行建立与修改。</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题库管理：提供试题的录入、编辑与移除功能，保障题库内容的持续更新。</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5、仪器耗材管理：涵盖仪器耗材信息的建立、查询、修改与移除；提供标准导入模板下载，并支持按模板批量录入数据。</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6、危化品管理：涵盖危化品信息的建立、查询、修改与移除；提供标准导入模板下载，并支持按模板批量录入数据。</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7、实验管理：支持实验项目档案的完整录入，内容覆盖实验基本信息、所需仪器耗材、涉及危化品、操作流程步骤、评分标准要点、实验说明、安全注意事项及配套演示视频等。</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8、教师管理：涵盖教师信息的建立、查询、修改与移除；提供标准导入模板下载，并支持按模板批量录入教师数据。</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9、学生管理：涵盖学生信息的建立、查询、修改与移除；提供标准导入模板下载，支持批量录入学生数据，并可查看单个学生的详细档案。</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班级管理：支持对班级的教师、学生等相关数据管理，包含管理班级各科老师、学生，查看班级每堂课课堂报告，包括出勤人数，上课时长，互动次数，学生获得奖励数量、答题数量及平均正确率，查看学生实验视频等。（提供软件功能界面截图、操作手册或功能演示视频等任一能够证明具备该功能的材料）</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11、.实验室管理：涵盖实验室信息的建立、查询、修改与移除；支持对实验室空间布局（行数、列数）、使用状态及监控摄像头参数进行配置。</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12、电子课本：提供电子教材的在线浏览功能，内容按教材版本、学科、年级、章节等维度组织呈现。</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13、实验教案：教师可收藏系统内置的标准教案，也可上传个人撰写的教案、习题及其他教学素材，形成个性化资源库。</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14、实验资源：支持按实验名称检索、筛选实验资源；每个实验资源包含基础信息、演示视频、仪器耗材清单、操作步骤、评分要点及注意事项等完整内容。</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AI智能赋分系统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1、支持用户通过主流常用浏览器登录系统，对算力终端设备实施统一管理；</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2、实验评分包管理：支持算法评分包的批量导入；评分包上传完成后，可在线查看对应的实验原理视频；每个算法评分包均关联相应的实验科目、实验题目及唯一实验ID标识；评分包支持移除操作；</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3、评分记录查询：可完整查阅AI评分的历史记录，记录中包含对应实验视频的回放入口链接，以及实验得分的各项明细数据；</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4、评分数据导出：评分数据记录支持导出，便于存档与统计分析；</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5、AI考题设置：支持将指定考题设定为AI评分题；设定完成后，阅卷组长可在阅卷配置中启用AI评分功能；</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6、置信阈值管理：支持设定置信度阈值；当考卷的AI评分结果低于该阈值时，系统自动将该考卷标记为异常状态，并转入人工阅卷流程；</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7、AI评分结果配置：支持设置AI评分结果是否直接作为最终成绩；若不启用该选项，则AI评分结果须由人工复核确认；</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AI评分任务列表：系统提供AI评分列表，集中展示考试名称、考试状态、阅卷状态、考试科目、评卷方式、考试时间等信息；支持一键启动AI评卷，启动后由系统自动将学生实验视频分配至算力终端设备进行处理；</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9、AI历史评分查看：支持查阅各考卷的实验评分结果，查看时可同屏回放两路视频画面；AI评分依据包含关键帧截图及关键帧视频回放入口，支持直接跳转至关键帧对应的时间点，实现快速复核；</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10、人工复核机制：当AI评分结果未设为最终成绩时，阅卷老师可在AI评分结果的基础上进行复核打分，复核提交后以阅卷老师评定的分数作为最终成绩；每份考卷同时展示AI评分与老师评分两项信息；</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11、实验题目管理：支持展示AI实验评分题目清单，并可对题目执行建立、修改、查询与移除操作；</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实验个性化配置：支持对特定实验进行差异化参数配置，配置内容包括：实验时长设定、实验应用模式选择、实验步骤内容定义、AI可接受的误差范围设定，以及分层级的实验评分标准配置——可按不同层级评分点灵活设定各自分值。系统可根据实验题目的评分标准，对实验物体进行智能识别与分析，针对学生的实验操作过程及完成情况实施全自动评价；</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自定义实验创建：支持以标准实验库为基础创建新实验；可依据实际业务需要，对实验库中的评分点进行灵活组合与拆分，形成一套自定义实验方案；并可按指定要求对实验名称、实验分值、实验报告习题等内容进行匹配设置后直接使用；</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14、AI练习模式：学生可自主选择物理、化学、生物学科的实验题目开展练习；练习开始前可预先查看实验仪器清单；系统可针对学生的实验操作过程给出点评反馈；</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AI测评模式：学生可自主选择物理、化学、生物学科的实验考题进行测评；测评全程不呈现任何步骤提示信息；测评过程中学生可填写实验报告；实验操作结束后点击提交，系统自动生成测评成绩单，并统计各得分点的得分与失分情况，同时支持查看实验操作过程回放；</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16、支持在常规教学过程中由AI完成评分，可依据实验题的评分点对学生各操作步骤进行点评；</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17、支持AI赋分过程的可视化展示。</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竞赛模式：支持在同一科目范围内选取一个或多个实验中的步骤进行组合命题；比赛开始前，系统先行执行仪器识别校验，确保仪器配备完整；比赛进行中，主持端可实时查看选手的比赛画面及得分动态，并可随时终止比赛；选手端实时展示评分要求与当前得分；比赛结束后系统自动生成比赛结果并评定优胜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应用管理服务器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1、CPU 国产 X86 架构服务器专用处理器；主频 ≥2.2GHz；核心数≥16核 </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2、散热系统 与上述 CPU 适配的冗余风扇模块，支持热插拔*2</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3、主板 国产 X86 服务器主板，支持≥2路CPU扩展 </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4、内存 DDR4 服务器专用内存；单条容量 ≥16GB；类型 ECC REG；频率≥2666MHz</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5、系统盘 企业级固态硬盘；容量 ≥480GB；接口 SATA 3.0；规格 2.5寸；顺序读写 ≥500MB/s；MTBF ≥200 万小时 </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6、数据盘 企业级机械硬盘；容量 ≥2TB；接口 SAS 12Gbps；规格 3.5寸；转速7200RPM；MTBF ≥200 万小时 </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7、网卡 PCI-e 接口千兆以太网卡；≥4 个 RJ45 接口；支持 VLAN、Jumbo Frame、Wake-on-LAN</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8、电源 服务器冗余电源模块；单模块功率 ≥550W；1+1 冗余配置；80PLUS 金牌及以上认证 </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9、机箱 2U 机架式机箱；高度 ≤88mm；支持 ≥8 个 3.5 寸热插拔硬盘位；支持 SGPIO</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AI算法服务器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CPU总数≥3个，支持主控+算力节点分布式部署；2、处理器：每个主控节点≥8核，工作频率2.4GHz；每个算力节点8核，主频2.2GHz；3、运行内存：算力节点总内存128GB，主控节点总内存8GB；4、标准机架式，采用国产算力芯片；算力芯片核心数≥8核，主频≥2.0G，RAM≥16G，ROM≥64G，INT8算力≥16TOPS；5、视频解码能力：具备H.265、H.264解码和智能分析，支持≥216路1080P@25fps高清视频解码，满足本项目全部考场视频接入需求；6、网络接口：≥2个10GE光口，</w:t>
            </w:r>
            <w:r>
              <w:rPr>
                <w:rFonts w:ascii="SimSun" w:hAnsi="SimSun" w:eastAsia="SimSun" w:cs="SimSun"/>
                <w:color w:val="000000"/>
                <w:sz w:val="20"/>
              </w:rPr>
              <w:t xml:space="preserve">2个千兆RJ45口；7、支持≥3.5寸SATA存储扩展；8、支持HDMI2.0接口；9、集成BMC管理系统，提供基于Web的管理界面，BMC管理系统可进行二次开发；10、应具备多种部署方式，同时满足部署于校级机房和部署考场方案，满足考试及教学的AI赋分要求。11、操作系统：出厂预装正版操作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监控硬盘录像机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2U机架式嵌入式网络硬盘录像机，整机采用短机箱设计，搭载高性能ATX电源</w:t>
              <w:br/>
              <w:t xml:space="preserve">存储接口：配4*8T;9个SATA接口，可满配12TB硬盘</w:t>
              <w:br/>
              <w:t xml:space="preserve">视频接口：≥2×HDMI，2×VGA</w:t>
              <w:br/>
              <w:t xml:space="preserve">网络接口：≥2×RJ45 10/100/1000Mbps自适应以太网口</w:t>
              <w:br/>
              <w:t xml:space="preserve">报警接口：≥16路报警输入，4路报警输出</w:t>
              <w:br/>
              <w:t xml:space="preserve">串行接口：1路RS-232接口，1路全双工RS-485接口</w:t>
              <w:br/>
              <w:t xml:space="preserve">USB接口：2×USB 2.0，2×USB 3.0</w:t>
              <w:br/>
              <w:t xml:space="preserve">扩展接口：1×eSATA</w:t>
              <w:br/>
              <w:t xml:space="preserve">输入带宽：256Mbps</w:t>
              <w:br/>
              <w:t xml:space="preserve">输出带宽：256Mbps</w:t>
              <w:br/>
              <w:t xml:space="preserve">接入能力：16路H.264、H.26</w:t>
            </w:r>
            <w:r>
              <w:rPr>
                <w:rFonts w:ascii="SimSun" w:hAnsi="SimSun" w:eastAsia="SimSun" w:cs="SimSun"/>
                <w:color w:val="000000"/>
                <w:sz w:val="20"/>
              </w:rPr>
              <w:t xml:space="preserve">5格式高清码流接入</w:t>
              <w:br/>
              <w:t xml:space="preserve">解码能力：最大支持32×1080P</w:t>
              <w:br/>
              <w:t xml:space="preserve">显示能力：最大支持8K+1080P、2×4K异源输出</w:t>
              <w:br/>
              <w:t xml:space="preserve">RAID模式：RAID0、RAID1、RAID5、RAID6、RAID10，支持全局热备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三层交换机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1.性能：整机交换容量 ≥336Gbps；转发性能 ≥96Mpps</w:t>
              <w:br/>
              <w:t xml:space="preserve">2.端口：≥24个10/100/1000M以太网电接口；≥4个SFP端口</w:t>
              <w:br/>
              <w:t xml:space="preserve">3.支持IPv4/IPv6静态路由</w:t>
              <w:br/>
              <w:t xml:space="preserve">4.支持端口镜像和流镜像功能</w:t>
              <w:br/>
              <w:t xml:space="preserve">5.支持MAC地址认证</w:t>
              <w:br/>
              <w:t xml:space="preserve">6.支持IP Source Guard</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1、容量：≥32U机柜</w:t>
              <w:br/>
              <w:t xml:space="preserve">2、尺寸：≥1600*600*1000mm </w:t>
              <w:br/>
              <w:t xml:space="preserve">3、产品承重：静载≥800KG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路由器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1.双WAN+4LAN口千兆企业级高速有线路由器</w:t>
              <w:br/>
              <w:t xml:space="preserve">2.适用带宽：≥1Gbps</w:t>
              <w:br/>
              <w:t xml:space="preserve">3.IPSec VPN 隧道数：128</w:t>
              <w:br/>
              <w:t xml:space="preserve">4.AC电源额定范围：100～240V 50/60Hz</w:t>
              <w:br/>
              <w:t xml:space="preserve">5.带机量：250-350个</w:t>
              <w:br/>
              <w:t xml:space="preserve">6.支持 Ethernet，Ethernet II，VLAN，端口镜像、PPP、PPPOE Client、PPPOE Server 等</w:t>
              <w:br/>
              <w:t xml:space="preserve">7.支持包过滤防火墙</w:t>
              <w:br/>
              <w:t xml:space="preserve">8.支持 IPSec 和 L2TP VPN</w:t>
              <w:br/>
              <w:t xml:space="preserve">9.支持 HTTP 协议 URL 过滤，网站黑白名单，关键字模糊匹配10.支持 DDoS 攻击防范和统计</w:t>
              <w:br/>
            </w:r>
            <w:r>
              <w:rPr>
                <w:rFonts w:ascii="SimSun" w:hAnsi="SimSun" w:eastAsia="SimSun" w:cs="SimSun"/>
                <w:color w:val="000000"/>
                <w:sz w:val="20"/>
              </w:rPr>
              <w:t xml:space="preserve">11.支持基于 IP 地址和接口连接数限制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校机房改造及配件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光纤、光模块等配件及施工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03"/>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9"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九、抽签室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抽签打印机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1、彩色激光打印机；</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2、供纸容量:≥250页；</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3、打印速度:≥18ppm(A4)；</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4、连接方式:USB/有线网络/无线wifi；</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5、月负载打印量:≥30000页；</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6、能效等级:1级；</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7、U盘直接打印:支持JEPG,TIFF,PDF格式文件打印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实验室智慧工作站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1、处理器：核心数≥8，≥16线程，主频≥3.0GHz</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2、内存：≥16GB   DDR4，</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3、硬盘：≥512GB 固态硬盘</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4、显示器：≥23.8寸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5、网卡：千兆网卡，并提供同品牌信号防雷器。</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6、显卡：≥2G独显,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7、工作站前置面板具有6个USB3.0， 1个type C，一个音频二合，一个麦克风；</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8、键盘、鼠标：抗菌键盘、抗菌鼠标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巡考摄像头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1、1/2.8"500万像素CMOS传感器</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2、内嵌智能深度学习人脸算法，自身提取目标特征，形成深层可供学习的人脸图像</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3、支持多种人脸抓拍模式：支持设置离开后抓拍、离开后识别优先、识别优先立即上传、间隔抓拍-秒为单位、间隔抓拍-帧为单位等抓拍模式</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4、支持人脸检测与抓拍，人脸记录及人脸库容量满足本项目考场规模需求</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5、支持人脸图片，人型图及原图上传，图片编码质量可调</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6、支持人脸属性提取:性别、年龄、眼镜、口罩等</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7、支持白名单、黑名单、vip名单管理</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8、支持设置白名单、黑名单、陌生人等分类智能语音提示，支持设置时间来控制语音提示</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9、支持红外/全彩/双光模式，支持PWM调光</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10、支持光敏及软光敏灯光信号控制，支持手动调整灯光亮度</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11、支持标准ONVIF、GB/T 28181协议</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12、支持电动变焦（可选）、自动光圈（可选）</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13、支持设置普通、逆光场景等曝光模式</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14、提供SDK开发包，支持二次开发，支持CGI、HTTP、WEBSOCK协议对接</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15、支持AIISP图像增强，增强低噪效果</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16、支持区域入侵智能分析功能，</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17、支持智能分析功能联动声光预警</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18、支持部分内核浏览器免插件</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19、数据传输安全：采用加密传输人脸数据</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20、支持摄像机端到目标IP的PING包测试</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21、支持扩展外接麦克风与扬声器，支持语音对讲功能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拾音器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采用高灵敏度高保真麦克风，全向拾音、声音清晰、抗干扰能力强 动态范围: 0 dB~90 dB 最大承受音压: 120 dBSPL 拾音范围: 0 m~5 m 灵敏度: -32 dB 输出信号幅度: 2.5 Vpp 信噪比: ≥80 dB 频率响应: 20 Hz~20 kHz 音频传输距离: ≥100 m 接口类型: LINE OUT 输出阻抗: 600Ω 电源电压: DC12V 保护电路: 雷击保护、电源极性反转保护、静电防护 工作温度: -10℃～50℃（室内） 降噪调节: 数字降噪，自适应调节（和主机搭</w:t>
            </w:r>
            <w:r>
              <w:rPr>
                <w:rFonts w:ascii="SimSun" w:hAnsi="SimSun" w:eastAsia="SimSun" w:cs="SimSun"/>
                <w:color w:val="000000"/>
                <w:sz w:val="20"/>
              </w:rPr>
              <w:t xml:space="preserve">配使用时支持） 音量调节: 支持软件调节（与主拾音器级联时可用） 指向特性: 全指向 采样率: 8khz、16khz、32khz可选，默认16khz</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66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9"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十、装修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室内文化布置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1、实验室制度牌：包含实验室管理制度、工作职责等相关内容2幅。 </w:t>
              <w:br/>
              <w:t xml:space="preserve">2、学科元素展示：内容包含学科文化知识点，营造学科氛围。 </w:t>
              <w:br/>
              <w:t xml:space="preserve">3、投标前请自行勘察现场，整体装修以使用方认可为准。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辅材、综合布线、安装调试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顶面改造，面积约85.17㎡，顶面彩色乳胶漆，石膏板天花吊顶（38轻钢龙骨，12mm纸面石膏板，样式符合不校要求），≥50*75*0.4铝方通，铝单板表面经过铬化等前处理，在采取氟碳喷涂处理，配备与吊顶适配的光源。</w:t>
              <w:br/>
              <w:t xml:space="preserve">2、地面铺设PVC地板胶（线管：DN25国标阻燃PVC线管，电线：国标优质铜芯线4m²、2.5㎡ ）</w:t>
              <w:br/>
              <w:t xml:space="preserve">3、教室原有地面清理，面积约85.17㎡。</w:t>
              <w:br/>
              <w:t xml:space="preserve">4、网络布线信号控制线：RVVP 聚氯乙烯护套纯无氧铜屏蔽2芯线，  </w:t>
              <w:br/>
              <w:t xml:space="preserve">每个终端配1个网络插座、1个电源插座，含以下材料和布线施工：六类网线，网络</w:t>
            </w:r>
            <w:r>
              <w:rPr>
                <w:rFonts w:ascii="SimSun" w:hAnsi="SimSun" w:eastAsia="SimSun" w:cs="SimSun"/>
                <w:color w:val="000000"/>
                <w:sz w:val="20"/>
              </w:rPr>
              <w:t xml:space="preserve">插座、网络跳线，电源插座，电源线，线槽、PVC水管等及人工费，调试费等。   </w:t>
              <w:br/>
              <w:t xml:space="preserve">6、原有教室设备拆除并搬运到甲方指定位置及垃圾清运。 </w:t>
              <w:br/>
              <w:t xml:space="preserve">7、投标前请自行勘察现场，整体装修以使用方认可为准。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室内文化布置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1、实验室制度牌：包含实验室管理制度、工作职责等相关内容2幅。 </w:t>
              <w:br/>
              <w:t xml:space="preserve">2、学科元素展示：内容包含学科文化知识点，营造学科氛围。 </w:t>
              <w:br/>
              <w:t xml:space="preserve">3、投标前请自行勘察现场，整体装修以使用方认可为准。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辅材、综合布线、安装调试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1、顶面改造，面积约76.17㎡，顶面乳胶漆，石膏板天花吊顶（38轻钢龙骨，12mm纸面石膏板），50*75*0.4铝方通，铝单板表面经过铬化等前处理，在采取氟碳喷涂处理，配备与吊顶适配的光源。 </w:t>
              <w:br/>
              <w:t xml:space="preserve">2、地面铺设PVC地板胶（线管：DN25国标阻燃PVC线管，电线：国标优质铜芯线4m²、2.5㎡ ）       </w:t>
              <w:br/>
              <w:t xml:space="preserve">3、教室原有地面清理，面积约76.17㎡。</w:t>
              <w:br/>
              <w:t xml:space="preserve">4、网络布线信号控制线：RVVP 聚氯乙烯护套纯无氧铜屏蔽2芯线，  </w:t>
              <w:br/>
              <w:t xml:space="preserve">5、每个终端配1个网络插座、1个电源插座，含以下材料和布线施工：六类网线，网络插座</w:t>
            </w:r>
            <w:r>
              <w:rPr>
                <w:rFonts w:ascii="SimSun" w:hAnsi="SimSun" w:eastAsia="SimSun" w:cs="SimSun"/>
                <w:color w:val="000000"/>
                <w:sz w:val="20"/>
              </w:rPr>
              <w:t xml:space="preserve">、网络跳线，电源插座，电源线，线槽、PVC水管等及人工费，调试费、等。  </w:t>
              <w:br/>
              <w:t xml:space="preserve">6、原有教室设备拆除并搬运到甲方指定位置及垃圾清运。  </w:t>
              <w:br/>
              <w:t xml:space="preserve">7、投标前请自行勘察现场，整体装修以使用方认可为准。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室外装饰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1.走廊理化生文化氛围建设； </w:t>
              <w:br/>
              <w:t xml:space="preserve">2.投标前请自行勘察现场，整体文化布置以使用方认可为准。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3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9"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十一、户外LED显示屏</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室外LED模组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1.像素点间距：≤4mm，模组尺寸：320mm*160mm，像素密度：≥62500Dots/㎡，水平视角≥140°，垂直视角≥130°；</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2.水平相对错位等级：CS≤1％；</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3.失真效果检测：显示画面无几何畸变、扭曲、比例失调情况，无亮度、色温非线性失真；</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4.具有高密集成光学设计技术和哑光涂层技术，有效降低光强辐射，抑制摩尔纹、避免长时间观看产生的眩目和刺痛感不易产生视觉疲劳</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5.产品耐候性能满足室外安装使用环境要求，符合相关国家标准；</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6.散热结构设计合理，满足长期连续工作散热要求；</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7.色度补偿：在最常规的白场应用场景下，具有白场亮色度补偿技术，能够快速准确地对当前LED显示屏亮色度进行补偿，使显示屏白场亮色度达到目标状态；</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8.信号衰减：≤200mV；</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9.LED显示屏通过高温高湿工作、低温工作、高温高湿存储、低温存储等测试，试验后，产品外观结构和功能无异常；</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10.支持HDR、HDR10 optima和HLG，高对比度的逆光场景下，HDR高亮度动态范围兼顾高光和阴影细节，接近人眼所见；</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11.防电击保护分类：依据GB4943.1-2022标准，使用基本绝缘作为基本安全防护，同时使用保护连接和保护接地作为附加安全防护，达到防电击保护I类设备；</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12.延迟时间：≤1帧，降低视频源播放延迟效果；</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13.像素光强均匀性：LRJ≤10％、LGJ≤10％、LBJ≤10％；</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14.温度变化试验：-40℃~85℃、循环次数：6次、暴露时间：4h、温度变化速率：1K/min，试验前后样品无异常；</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15.蓝光辐射等级：具有蓝光护眼功能，符合A级要求；</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16.屏幕温升：显示屏在点亮5分钟后的温度升幅≤5℃，点亮15分钟后的温度升幅＜10℃，点亮30分钟以上温度＜15℃，最大亮度白色连续工作2小时，表面温升＜18℃，符合GB 4943.1-2022要求；</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17.具有防信息泄漏功能；</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18.白平衡补偿和修正功能：具有智能的白平衡补偿和修正功能，白平衡点要求，出厂白平衡调校依据标准要求：x=0.313±5％ y=0.329±5％；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平方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29.49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LED专用电源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1.输入电压：176VAC~264VAC，输出电压：4.5V，输出电流：40A；2.工作温度：-40℃-70℃，工作湿度：20%RH-90%RH；3.散热方式：自然对流散热，需紧贴金属机箱外壳散热；4.耐压：I/P-O/P：3.0KVAC I/P-FG：1.5KVAC O/P-FG：0.5KVAC；5.所投开关电源通过过载保护测试。6.为保证系统的一致性与稳定性，开关电源应与LED显示屏匹配兼容、质量可靠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全彩接收卡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1.单卡最大支持40组数据输出。</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2.为保证接收卡工作稳定性，减少接插连接件，减少故障点，接收卡不得使用转接板连接。</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3.为保证显示效果，接收卡需支持高灰高刷、低亮高灰显示。</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4.为保证接收卡带载冗余，接收卡可最高带载不得低于2048，最宽带载不得低于1024。</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5.为减少电压波动对显示屏的影响，接收卡需支持宽电压输入。</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6.为保证显示屏的画质一致性，接收卡需支持逐点校正功能。</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7.为解决因箱体及模组拼接造成的显示屏亮暗线问题，接收卡需支持修缝功能。</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8.为方便显示屏后期维护，接收卡需支持测试屏幕连接功能，维护人员无需工程文件，即可快速定位接收卡顺序。</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9.为提高屏幕调试的多样性和便捷性，需同时支持设备和千兆网络调屏。</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10.为有效提高画质色彩，显示屏需具备gama调节功能，修正颜色跳变及偏色，有效控制显示屏低灰不均匀、白平衡漂移等问题，提高画质色彩。</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11.为让LED模组还原真实色彩，接收卡需具备颜色空间调整功能，使显示屏的色彩呈现更精准，可解决因显示屏色域差异而导致的颜色失真问题。</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12.为方便后期维护，接收卡需支持参数回读，接收卡信息回读，接收卡固件升级，提高显示效果。</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13.为保证产品性能不断优化、更新迭代，接收需支持升级的功能，且接收卡升级过程中需具备有断电保护功能。</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14.为保证显示屏持续无故障安全运行，接收卡需支持网线热备份功能。</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15.为方便调试、维护，接收卡需支持通过指示灯判断屏体工作状态。</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16.为方便后期模组调试、维护，接收卡需支持硬件测试功能。</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17.为防止固件加载错误，方便后期系统升级，升级固件需由软件根据接收卡版本自动推荐。</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18.为方便后期系统可扩展，接收卡需配合多功能卡实现音频的远距离传输。</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19.为提高快速安装搭建的便捷性，接收卡需支持免设置维护。</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20.为提高接收卡供电的可靠性，接收卡需具备两种电源接口。</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21.为有效提高维护效率，接收卡需坏板快速定位功能。</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22.为保证产品使用安全，产品具备抗电击及能量危险防护特性。</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23.为节约使用和维护成本，接收卡需支持数据组交换功能，在特殊单元板或接口顺序接错或接口有余量的情况下、部分接口损坏等，可通过仿真图拖动修改HUB接口位置、进行数据组交换，并单独固化到接收卡中。</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24.为提高模组兼容性及适应多样化显示屏，接收卡支持列译码、行译码、抽点显示、位置留空与数据偏移功能，支持行信号自定义、接收卡旋转、镜像画面显示、反扫设置、OE微调和数据模式、RGB组数设置。</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25.为保障系统信息安全，要求核心运算芯片和通讯芯片必须为高性能国产芯片；</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26.为保障接收卡稳定性，接收卡需具备防静电措施。</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27.为便于显示屏维护，在不改变网线连接的情况下，支持对指定接收卡参数单独调整，同时不影响其他接收卡参数和显示。</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28.为保证控制系统兼容性、稳定性，控制系统（视频控制器、独立主控、同步接收卡）应与LED显示屏兼容匹配、稳定可靠</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29.为有效消除手机拍摄时出现的扫描线，提高观赏性，接收卡需支持1/2/4/8/16/32倍倍频技术。</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30.为保证显示效果，接收卡的亮度有效率与刷新率、灰度等级相对独立，可单独对亮度有效率进行调节而不引起其他两项参数变化。</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31.为保障信号传输稳定性，图像数据由发送端到接收端只有一帧延迟。</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32.为避免接收卡电源接反造成损失，需具备电源接反保护电路。</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33.为满足复杂显示屏的安装、调试和维护，接收卡需支持Mapping功能和端口Mapping功能，快速查找所有接收卡位置和单个接收卡连接模组位置。</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34.为适用不同场景使用需求，接收卡需支持选择保留最后一帧或黑屏。</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35.为方便安装、灵活带载模组，接收卡需支持多开功能，支持正常/2/3/4/6/8开输出选择。</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36.为方便快速点亮、测试屏幕模组，接收卡需支持智能设置和自定义模组功能。</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37.为增强屏幕的实用性和多样化，接收卡需支持不规则箱体构造功能，可任意接插模组位置、旋转模组方向、加载不同模组文件、添加扇形箱体等，完成异形屏幕显示。</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38.为满足任意模组和IC的支持，接收卡需支持不同芯片厂商各种PWM芯片、双锁存芯片、通用芯片.支持静态屏、1/2~1/128扫之间的任意扫描类型。</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39.为支持非标准形状的屏幕调试和维护，接收卡需支持复杂屏幕配置，进行非标准异形屏幕设置。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视频处理器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1.为方便安装，设备应符合标准机架式结构。</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2.支持以下输出信号接口：</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LAN(RJ45)×4（带网口连接状态指示），支持上下、左右任意拼接；整机最大支持分辨率为260万像素，最宽8192像素，最高2160像素，支持自定义分辨率。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为方便查看设备工作状态：设备需自带128*64液晶屏，可通过液晶屏显示设备运行参数与状态，包括：按键锁定状态、信号源状态、LED屏幕分辨率等。支持窗口属性设置、输入设置、保存/调用场景、亮度设置、画面冻结、LED测试、按键锁定、语言和版本信息。</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4.支持至少6路信号输入，不低于1路 HDMI、1路DVI、1路VGA、2路CVBS 和1路USB。</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5.为保障大屏清晰度，设备需支持3840*2160@30HZ输入分辨率。</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6.为达到音视频同步切换效果，视频处理器应同时具备HDMI、、DVI、VGA、USB信号源带音频输入功能，达到音视频同步切换效果。</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7.为方便对接音响设备，处理器需自带Audio（PJ35）音频输出。（不得使用多功能卡）8.为避免因网线故障引起的显示屏显示异常，设备需支持备份功能。</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9.为提高设备分辨率兼容性，设备需支持EDID配置管理。</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10.为解决输入信号产生的黑边问题，保证满屏显示，设备需具备对任意信号源做任意裁剪/去黑边。</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11.为解决画面尺寸缩小限制，保留图像细节，减轻画面放大多倍后产生的失焦现象，设备需支持Super Resolution放大技术及视频补偿处理算法功能。</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12.为避免过电压、过电流的冲击，保护输入输出I/O接口，设备需具备通道保护功能，通道间相互独立且彼此互补。</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13.为保证显示屏的画质一致性，处理器需支持逐点校正功能。</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14.为方便使用，设备需同时支持面板和PC 2种调试方式，支持可可查看场景设置、保存场景和调用场景功能，，场景数不低于8个。</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15.为方便使用中快速切换信号，设备需支持快捷切换任意画面信道的功能。</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16.支持LED屏幕测试，黑屏、红屏、绿屏、蓝屏、白屏等任意显示切换。</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17.支持亮度调节。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18.支持色温、对比度、饱和度调节。</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19.支持画面冻结。</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20.为方便后期使用，随时随地查看设备状态，设备需支持远程查看运行状态功能。</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21.设备需具备网线检测功能，通过指示灯状态判断网线通断问题。</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22.为方便调试和使用，处理器旋钮需具备自动精准对位功能（需提供相关证书）。</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23.支持编辑定时任务，支持定时切换通道、场景。</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24.为防止误操作，导致显示屏参数紊乱，需具备菜单锁功能，锁定后不能进行参数更改，但不影响信道正常切换。</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25.为防止误操作，需支持全键锁锁定功能。</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26.为保证系统稳定，操作简单方便，以及售后服务统一可靠，控制系统（含视频控制器、独立主控、同步接收卡）及播控系统应与LED显示系统兼容匹配、稳定可靠，满足整体显示效果要求。</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27.为方便屏幕带载显示，设备网口需支持单网口带载最长2048点，最高1920点，总点数65万。</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28.为方便管理使用，设备需支持串口中控协议对接，方便管理使用。</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29.为兼容不同输入信号的显示，设备需支持HDCP2.0\1.4。</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30.正常工作时，噪声不大于45dB(A)(距离 1m处）。</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31.设备外壳防护等级符合GB/T 4208-2017中IP20等级的要求。</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32.为有效降低设备温度和噪音，设备需支持散热风扇智能管理，可根据温度自动调节转速。</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33.为配合不同类型屏幕使用，设备需支持通过PC配置软件在线完成固件升级，以及对输出后连设备（接收卡、多功能卡）升级，升级完成后可实时刷新显示设备的固件版本信息。</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34.为保障视频同步性，设备需支持视频输入源为60Hz时，视频拼接处理+LED发送部分整体延迟≤16.67ms。</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35.为方便播放使用，设备需支持U盘即插即播功能，且支持控制素材播放、暂停、上一个、下一个等。</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36.为减少光污染，达到节能环保，设备需支持接入亮度传感器，根据环境亮度自动调节大屏亮度。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钢架结构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LED屏现场定制框架结构，采用国产优质材料，符合安全载重标准，不锈钢烤漆或铝塑板包边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平方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31.75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箱体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由冷轧钢板制成，采用表面静电喷涂。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平方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29.49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屏体后盖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后盖或铝塑板包边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平方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29.49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智能配电柜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1.控制方式：RS485转USB控制，+中控485协议，网络TCP协议，网络UDP协议,+多台联控+RF无线遥控+按键启动+网口控制</w:t>
              <w:br/>
              <w:t xml:space="preserve">2.产品特点: 手自动一体，遥控开关，PLC远程控制，定时开关，分步上电，温度监测，烟雾监测，温湿度采集保护</w:t>
              <w:br/>
              <w:t xml:space="preserve">3.软件实时监控温度，烟雾。</w:t>
              <w:br/>
              <w:t xml:space="preserve">4.支持分布式阶级上电/断电功能。</w:t>
              <w:br/>
              <w:t xml:space="preserve">5.支持高温断电，烟雾断电，过流，短路断电。</w:t>
              <w:br/>
              <w:t xml:space="preserve">6.支持遥控，电脑控制。</w:t>
              <w:br/>
              <w:t xml:space="preserve">7.设备前端和电脑端同时报警。</w:t>
              <w:br/>
              <w:t xml:space="preserve">8.可自定义编辑启动时间，停止时间，每日定时开关机编辑点不少于4个，每个定时点带是否启用功能，在一</w:t>
            </w:r>
            <w:r>
              <w:rPr>
                <w:rFonts w:ascii="SimSun" w:hAnsi="SimSun" w:eastAsia="SimSun" w:cs="SimSun"/>
                <w:color w:val="000000"/>
                <w:sz w:val="20"/>
              </w:rPr>
              <w:t xml:space="preserve">周内每天可设置不同的定时点和每组星期；每组定时单独控制，每组星期单独选项。</w:t>
              <w:br/>
              <w:t xml:space="preserve">9.功率≥40KW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前门为玻璃门，后门为高密度网孔门；可同时安装脚轮和支撑脚；可关闭的上部、下部多处走线通道，底部大直线孔尺寸可按需调整；可选配安装底座，达到固定机柜、底部过线、底部送冷风、防鼠的要求；可方便拆御的左右侧门和前后门；防护等级：IP 20；表面处理：脱脂、酸洗、磷化、静电喷塑；≥600×600×1200mm。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辅材及安装调试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屏体内电源线、电源至配电箱接线、控制线、信号线、YJV4*35+1*16主电缆、超五类网线、RVV 3X4电线、高清线、制冷设备、控制主机、管材等。</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制冷设备【制冷量（W）：3510（200-4200）；制冷功率（W）：975（80-1550）；能效比APF：4.29 循环风量：650】，控制主机【1.处理器：核心数≥8，主频≥2.8GHz2.内存容量：≥8G  3.硬盘：≥512GB 固态硬盘，4.显卡: 集成显卡，接口支持；HDMI+VGA，5.声卡: 集成声卡，6.网卡：主板集成10/100/1000M以太网卡】</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用电接入及恢复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室外大屏至配电箱连接到配电箱，墙面地面开槽及原状恢复。施工时应符合相关法律法规及安全标准。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含安装调试、开关面板等辅材在内的一切相关费用。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r>
      <w:tr>
        <w:trPr>
          <w:trHeight w:val="285"/>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5"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十二、初中理化虚拟现实AI教学系统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学生端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88" w:type="dxa"/>
            <w:vAlign w:val="top"/>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1.智能学习显示模块：采用 LED 背光液晶模组，显示尺寸不小于 23 英寸，屏幕宽高比 16：9，最大支持分辨率 1920*1080。</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屏幕触控：屏幕采用人机交互触控模式，手指轻触式多点（不小于 8点触控）互动体验。连续响应速度≤40ms，触摸精度≤±3mm。</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 屏幕支持专用智能手写笔进行数字绘画，具备原笔迹三维压感识别。</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 要求采用符合人机交互的屏桌双面一体化结构：桌面与屏幕采用一体化双面结构，一面为物理实体桌面，一面为人机交互屏幕，桌面和屏幕绕中轴在0-180°角度之间调节，实现传统桌面与数字终端的随手切换；屏幕、桌面、主机、桌体采用一体化结构。</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桌面显示屏翻转：桌面和显示屏可同时在角度 0-180°手动调节翻转。</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材质要求：台腿框架材质采用轻质铝合金材质，外观富有科技感。屏幕表面采用AF防指纹钢化玻璃，铝合金边框包边，防滑防撞，表面硬度≥6H。主屏采用零距离全贴合工艺，钢化玻璃和液晶之间零间隙，无空气层，减少反射、折射，使得显示和画面更加清晰通透，可视角度更广。</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 开关机键：屏幕面配置触摸式开关机键，具有一键开关机功能和开关机状态指示功能，便于管理维护。</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 智能录播模块：屏幕内前置麦克风及高清前置摄像头，摄像头像素≥200万像素，可实现学生影像录制及播放，可以接受线上课堂和接受远程授课。</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 输入输出接口：包括 USB 接口。电源接口。RJ45 接口。HDMI 接口，3.5mm 音频输出，3.5mm MIC 输入。</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学习算力模块：CPU 采用酷睿≥I5处理器；运行内存≥ 8G。固态存储空间≥256G。</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 高度调节：通过手动摇臂，可实现屏幕及桌面离地高度在 700mm—900mm 之间无级调节。</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 设备供电方式：整机采用外置电源适配器单电源线供电，安全可靠，机身输入电压低于 20V，整机功耗不超过 90W。</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 网络支持：支持网线接入网络。</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 操作系统：64 位 Windows 操作系统，支持 Windows 应用软件安装和卸载，支持重装系统。支持 WMV、AVI、FLV、RM、RMVB、MPEG、TS、MP4 等常用格式彩色视频播放，支持 BMP、JPEG、PNG、GIF 等格式彩色图片查看等功能。</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 护眼健康：支持软件调整屏显色温，一键去蓝光。</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 要求支持一机多场景，在主系统界面上体现固定的功能图标，图标不可从用户界面进行移动和更改，通过触控可以直接打开虚拟仿真实验、数字绘画、仿真乐器等应用软件，可以一键进入国家教育智慧平台。支持仿真实验课堂、数字绘画课堂、数字音乐课堂等多场景教学。</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 智能导航：搭载智能导航系统，开机自动进入未来学习空间导航界面，界面分为三大类目：各级教育资源、教育AI智能体、学科工具；可视化图标，支持一键触达教育资源及工具体系，内置多模态AI智能体，支持语音、手写、智能笔多元交互，适配教与学全场景；配套数字音乐馆、虚拟仿真实验、虚拟数字研学等专业学科工具；界面布局、功能模块及资源接入均支持定制化配置，可灵活适配不同校情与教学需求；在智能导航系统界面上可以设置快捷按键，主页图标≥15个，可第二屏添加，折叠页图标≥100个；全屏化显示可通过触控屏和智能笔点击进入连接</w:t>
            </w:r>
            <w:r>
              <w:rPr>
                <w:rFonts w:ascii="SimSun" w:hAnsi="SimSun" w:eastAsia="SimSun" w:cs="SimSun"/>
                <w:color w:val="000000"/>
                <w:sz w:val="20"/>
              </w:rPr>
              <w:t xml:space="preserve">网站及应用程序。</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 专用智能手写笔：充电式主动智能书写笔。具有柔性笔尖，在屏幕上模拟纸面书写阻尼感。具有原笔迹压感识别技术。充满电支持续航时间不低于 200 小时。</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 复合型学习空间功能</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智能学习空间系统：在Windows界面上全屏覆盖智能教学空间系统，通过触控可以直接打开虚拟仿真实验、数字绘画、仿真乐器等应用软件，可以一键进入国家教育智慧平台，支持仿真实验课堂、数字绘画课堂、数字音乐课堂等多场景教学。可以实现一键启动应用、一键返回桌面等功能。</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（2）仿真实验教学：不需通过头戴式显示器、键盘、鼠标等其他辅助设备，可直接在屏幕上进行仿真实验素材的拖动、连接及演示，全彩呈现数字化实验素材，体现虚拟仿真实验的颜色、动画、声音效果。</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数字绘画教学：可进行数字化绘画作品及创作过程的教学演示，支持播放多媒体美术教学素材和临摹样板，支持在同一屏幕内同时显示临摹样板和数字画板，通过手写笔及手指在屏幕进行数字绘画，支持笔优先机制，使用手写笔进行屏幕绘画时，手触不会造成误触。</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数字绘画：内嵌数字画板，支持新建自定义画布尺寸，并提供网格和标尺对照。提供不少9种的仿真笔刷，4个等级线条粗细。提供不少于48种基本颜色，支持RGB和HSV调色，支持不少24种自定义颜色。提供不少于23种基本几何形状，并可对图形提供不少6种笔刷轮廓线。支持分图层绘画，图层叠加数量不少10层。支持导入图片文件进行裁剪、重设尺寸、角度翻转及删除背景编辑。支持作品的本地化保存。屏幕可根据绘画要求进行度0°-180°的调整。</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（5）数字音乐教学：支持教学多媒体文件的播放，支持通过手写笔及手机在屏幕进行乐器的弹奏，支持双手同时进行触控弹奏，还原真实乐器的弹奏姿态。支持外放声音，支持通过外接耳机听音。</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电子钢琴：内嵌电子钢琴，通过触摸屏进行电子钢琴的弹奏，支持双手十指同时进行触控弹奏支持音调变化，具有5档调节，数字化显示钢琴键频率。可仿真不少于97键的钢琴音色，支持八度移位。内置节拍器，2~4可见八度音阶。琴键上显示琴键符号，显示键盘与琴键的对应关系。选项设置支持复位，保存等操作。</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（7）电子鼓：内嵌电子鼓，可以通过手触直接触摸来敲击虚拟琴键，支持多点触控。 内置高品质的实体鼓音色样本，模拟10种鼓的发音，发音高度还原真实鼓的音质。</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（8）电子木琴：内嵌电子木琴，模拟实体木琴的键盘布局， 用户可以通过手触直接触摸来敲击虚拟琴键，支持多点触控。内置高品质的木琴音色样本，每一键的发音都能高度还原真实木琴的音质。 琴键有五线谱音符标识。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（9）数字书法临摹台：内嵌数字书法台，可播放多媒体数字书法教学资源和字帖图片，支持不小于A3纸尺寸的蒙纸临摹。</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可视化编程教学：支持通过手写笔及手指直接在屏幕上进行拖拽式编程，并且支持硬件扩展功能库，直接使用即可以对上百种硬件模块，包括各种传感器、执行器、通讯模块、显示器、功能模块进行编程控制。使用图形化积木编程时可以自动转换为Python或C代码。</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（11）文档处理助手：支持文档创建与编辑各种类型的文档，如Word、Excel、 PPT等。支持多种格式设置，如字体、字号行距、对齐方式等。支持在文档中插入图片、表格、图表、符号等元素。支持文档页面布局调整，如页边距、纸张大小等。支持文档字词查找和替换功能，以提高文档编辑效率。</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（12）智能书写功能：支持通过手写笔在屏幕上书写，屏幕显示手写原笔迹，执笔书写时支持笔优先机制，笔写同时手触不会造成误触。支持中文、英文、数字和标点符号的手写识别。</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（13）屏幕键盘输入功能：不需要键盘鼠标，通过触控和虚拟键盘可进行文字的输入。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教师端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top"/>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面：集成桌面扩展接口，前方具备立板可用于安装校徽；台面中央区域为主屏，主屏一面为触控屏幕，一面为普通台面，双面可在角度0-180°之间调节和中轴翻转，可停留在0-180°任意角度；普通台面可翻转至与台面平齐，可放置笔记本电脑和教材教具等。</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要求采用符合人机交互的屏桌双面一体化结构：桌面与屏幕采用一体化双面结构，一面为物理实体桌面，一面为人机交互屏幕，桌面和屏幕绕中轴在0-180°角度之间调节，实现传统桌面与数字终端的随手切换；屏幕、桌面、主机、桌体采用一体化结构。</w:t>
            </w:r>
            <w:r/>
          </w:p>
          <w:p>
            <w:pPr>
              <w:numPr>
                <w:ilvl w:val="0"/>
                <w:numId w:val="13"/>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材质要求：台腿框架采用轻质铝合金材质，屏幕表面采用AF防指纹钢化玻璃，铝合金边框包边，防滑防撞，表面硬度≥6H；主屏采用零距离全贴合工艺，钢化玻璃和液晶之间零间隙，无空气层，减少反射、折射，使得显示和画面更加清晰通透，可视角度更广。</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2.智能学习显示模块：采用 LED 背光液晶模组，显示尺寸不小于 23 英寸，屏幕宽高比 16：9，最大支持分辨率 1920*1080。</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3.屏幕可使用专用智能手写笔进行数字绘画，具备原笔迹三维压感识别。</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主屏屏幕触控：屏幕采用人机交互触控模式，支持有源主动式触控笔，手指轻触式（不小于8点触控）互动体验。连续响应速度≤40ms，触摸精度≤±3mm；触摸屏识别为鼠标点击操作，手触操作或专用智能手写笔操作。</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5.专用智能手写笔：充电式主动智能书写笔。具有柔性笔尖，在屏幕上模拟纸面书写阻尼感。具有原笔迹压感识别技术。充满电支持续航时间不低于 200 小时。</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6.开关机键：屏幕面配置独立触摸式开关机键，具有一键开关机功能和开关机状态指示功能，便于管理维护。</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7.智能配件模块：屏幕内前置麦克风及高清前置摄像头，摄像头像素≥200万像素。</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8.输入输出接口：为满足不同设备接入需求，整机提供多种接口，包括USB 接口、DC电源接口、网线接口、HDMI输出接口、3.5mm 音频输出和3.5mm MIC 输入。</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9.学习算力模块：CPU 采用酷睿I5处理器；运行内存≥ 16G。固态存储空间≥256G。</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10.整机高度调节：整机高度可调，通过电动升降控制可实现控制台面离地高度在700mm—900mm 之间无级调节，具备升降功能。</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11.设备接入电源：通过直流电源适配器供电，主机接入电压≤36V 。</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12.网络支持：提供多样化的网络接入方式，可使用网线接入网络或外置WiFi、蓝牙模块设备接入网络。</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13.操作系统：64 位 Windows 操作系统，Windows具备应用软件安装、卸载，可重装系统。具备 WMV、AVI、FLV、RM、RMVB、MPEG、TS、MP4 等常用格式彩色视频播放功能，具备 BMP、JPEG、PNG、GIF 等格式彩色图片查看等功能。</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14.护眼健康：具备软件调整屏显色温，一键去蓝光。</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智能导航：搭载智能导航系统，开机自动进入未来学习空间导航界面，界面分为三大类目：各级教育资源、教育AI智能体、学科工具；可视化图标，支持一键触达教育资源及工具体系，内置多模态AI智能体，支持语音、手写、智能笔多元交互，适配教与学全场景；配套数字音乐馆、虚拟仿真实验、虚拟数字研学等专业学科工具；界面布局、功能模块及资源接入均支持定制化配置，可灵活适配不同校情与教学需求；在智能导航系统界面上可以设置快捷按键，主页图标≥15个，可第二屏添加，折叠页图标≥100个；全屏化显示可通过触控屏和智能笔点击进入连接网</w:t>
            </w:r>
            <w:r>
              <w:rPr>
                <w:rFonts w:ascii="SimSun" w:hAnsi="SimSun" w:eastAsia="SimSun" w:cs="SimSun"/>
                <w:color w:val="000000"/>
                <w:sz w:val="20"/>
              </w:rPr>
              <w:t xml:space="preserve">站及应用程序。</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16.显示联动：具备主屏与智能黑板互动功能，满足老师教学时显示画面同步、智能黑板操作控制、板书书写、批注，老师讲课无需转身背对学生，提高授课效率;</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17.数字批注：具备批注功能，多种笔形选择在教学时，可以通过批注功能将当前教学的重点内容进行批注；批注有多种笔型和颜色供选择，包含铅笔、荧光笔、激光笔；</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数字板书：老师在屏幕上可以自由进行涂画和书写，白板模式下书写效果提供铅笔、毛笔、马克笔、印章笔、纹理笔、粉笔等多种书写功能，支持擦除、清空、页面选择、保存板书等操作;可自由调节书写粗细、颜色、线型，方便板书，模拟真实粉笔板书体验，不仅能模拟粉笔笔迹，同时带有粉尘下落效果。</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19.智能截屏：具备截屏、录屏功能，可截全屏、自由区域截屏，截屏、录屏自动保存到本地电脑指定文件目录，便于课后分享给学生。</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20.复合型学习空间功能</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智能学习空间系统：在系统界面上全屏覆盖智能教学空间系统，整合多个教育网站和应用，通过触控可以直接打开虚拟现实空间、智能体、数字绘画、仿真乐器等应用软件，可以一键进入国家智慧中小学教育平台，具备数字绘画课堂、数字音乐课堂等多场景教学功能。可以实现一键启动应用、一键返回桌面等功能。</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数字绘画教学：可进行数字化绘画作品及创作过程的教学演示，具备播放多媒体美术教学素材和临摹样板功能，可在同一屏幕内同时显示临摹样板和数字画板，通过手写笔及手指在屏幕进行数字绘画，具备笔优先机制，使用手写笔进行屏幕绘画时，手触不会造成误触。</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数字绘画：内嵌数字画板，具备新建自定义画布尺寸，并提供网格和标尺对照。提供不少于9种的仿真笔刷，4个等级线条粗细。提供不少于48种基本颜色，具备RGB、HSV调色及不少于24种自定义颜色。提供不少于23种基本几何形状，并可对图形提供不少于6种笔刷轮廓线。具备分图层绘画，图层叠加数量不少于10层。可导入图片文件进行裁剪、重设尺寸、角度翻转、删除背景以及编辑作品的本地化保存。屏幕可根据绘画要求进行度0°-180°的调整。</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（4）数字音乐教学：具备教学多媒体文件的播放功能，通过手写笔或手指在屏幕进行乐器的弹奏，可双手同时进行触控弹奏，还原真实乐器的弹奏姿态。具备外放声音或通过外接耳机听音。</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电子钢琴：内嵌电子钢琴，通过触摸屏进行电子钢琴的弹奏，可双手十指同时进行触控弹奏支持音调变化，具有5档调节，数字化显示钢琴键频率。可仿真不少于97键的钢琴音色以及八度移位。内置节拍器，2~4可见八度音阶。琴键上显示琴键符号，显示键盘与琴键的对应关系。选项设置具备复位，保存等操作功能。</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（6）电子鼓：内嵌电子鼓，可以通过手触直接触摸来敲击虚拟琴键，具备多点触控功能。 内置高品质的实体鼓音色样本，模拟10种鼓的发音，发音高度还原真实鼓的音质。</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（7）电子木琴：内嵌电子木琴，模拟实体木琴的键盘布局， 用户可以通过手触直接触摸来敲击虚拟琴键，具备多点触控功能。内置高品质的木琴音色样本，每一键的发音都能高度还原真实木琴的音质。 琴键有五线谱音符标识。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（8）数字书法临摹台：可做数字书法台，可播放多媒体数字书法教学资源和字帖图片，可使用不小于A3纸尺寸的蒙纸临摹。</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（9）可视化编程教学：可通过手写笔或手指直接在屏幕上进行拖拽式编程，并且具有硬件扩展功能库，直接使用即可以对上百种硬件模块，包括各种传感器、执行器、通讯模块、显示器、功能模块进行编程。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智慧课堂系统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top"/>
            <w:textDirection w:val="lrTb"/>
            <w:noWrap w:val="false"/>
          </w:tcPr>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一、课堂教学</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屏幕广播：将教师机屏幕和教师讲话实时广播给单一、部分或全体学生，可选择全屏或窗口方式。窗口模式下或教师机与学生机分辨率不同情况下，学生机可以以不同的窗口方式接收广播。</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扩展屏广播模式：教师机连接两个显示器，可在广播时选择将任意一个显示器的内容广播到学生机。</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 屏幕广播速度增强：屏幕广播时支持多种画面质量的调节，根据网络的不同选择最好的效果进行教学。</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 屏幕笔：教师教学使用的辅助工具，突出显示项目、添加注释，添加批注等等。</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共享白板：教师可共享白板、桌面或图片与选定的学生共同完成相同的学习任务或绘画作品，提供学生也可以单独完成。</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 网络影院：实现教师机播放的视频同步广播到学生机。</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 视频直播：通过USB摄像头将教师的画面实时广播到学生机，达到更形象的教学效果，具有引导客户选择视频设备的提示画面，以便客户快速完成摄像头设备的设置。</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 语音广播：将教师机麦克风的声音广播给学生，教学过程中，可以请任何一位已登录的学生发言，其他学生和教师收听该学生发言。</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 语音对讲：教师可以选择任意一名已登录学生与其进行双向语音交谈，除教师和此学生外，其他学生不会受到干扰，可以动态切换对讲对象。</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学生演示：教师可选定一台学生机作为示范，由此学生代替教师进行示范教学。</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 分组教学：教师分派组长执行指定的功能，组长代替教师进行小组教学，小组不需要再临时创建，可以直接使用既有分组信息，教师可以监控每个分组的教学过程，以了解分组教学的进度。</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 分组讨论：教师可以创建多个小组进行讨论活动，并可任意选择分组加入讨论活动。同组师生支持多种方式进行交流，包括文字，表情，图片等。</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 屏幕录制：教师机可以将本地的操作和讲解过程录制为ASF录像文件，可以用 Windows 自带的 Media Player 直接播放。</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 学生端屏幕录制、回放：学生端接收教师端广播的时候可以自动录制教师机广播教学的过程，课后可以重复观看学习。</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 文件分发：允许教师将教师机不同盘符中的目录或文件一起发送至生机的某目录下。目录不存在自动新建此目录；盘符不存在或路径非法不允许分发；文件已存在选择自动覆盖或保留原始文件。</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 文件提交：学生把做好的作业直接提交到教师机，方便教师批改作业要收取的麻烦。通过特殊设置，学生提交作业时必需经过教师审批通过后才可提交，教师可以选择接收和拒绝学生提交的文件。并且教师可以限制学生提交文件的数目和大小。</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 网络快照：教师可以在监控学生的时候，对学生画面拍快照，保存学生画面的截图。</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 屏幕监视：教师机可以监视单一、部分、全体学生机的屏幕，教师机每屏可监视多个学生屏幕（最多36个）。可以控制教师机监控的同屏幕各窗口间、屏幕与屏幕间的切换速度。可手动或自动循环监视。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 多频道教学：支持多达32个频道的划分，一个教师可对单个班级或多个班级同时上课；多个教师可同时对多个班级进行不同内容的教学。</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二、教学评测</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 </w:t>
            </w:r>
            <w:r>
              <w:rPr>
                <w:rFonts w:ascii="SimSun" w:hAnsi="SimSun" w:eastAsia="SimSun" w:cs="SimSun"/>
                <w:color w:val="000000"/>
                <w:sz w:val="20"/>
              </w:rPr>
              <w:t xml:space="preserve">试卷编辑：教师能够在家中编辑试题，试题类型支持单选、多选、判断、简答，可插入图片，设置试卷名称、教师名称、班级、考试时间和总分。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 </w:t>
            </w:r>
            <w:r>
              <w:rPr>
                <w:rFonts w:ascii="SimSun" w:hAnsi="SimSun" w:eastAsia="SimSun" w:cs="SimSun"/>
                <w:color w:val="000000"/>
                <w:sz w:val="20"/>
              </w:rPr>
              <w:t xml:space="preserve">开始考试：教师将试卷分发给学生即可开始考试，考试过程中可以教师如有问题补充，可暂停考试，在特殊情况下，可以暂挂考试，下次启动系统后可继续考试；考试过程中如有断电、关机等意外情况学生机可断线重连，考试结束后学生可提交或时间到自动提交。</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 </w:t>
            </w:r>
            <w:r>
              <w:rPr>
                <w:rFonts w:ascii="SimSun" w:hAnsi="SimSun" w:eastAsia="SimSun" w:cs="SimSun"/>
                <w:color w:val="000000"/>
                <w:sz w:val="20"/>
              </w:rPr>
              <w:t xml:space="preserve">阅卷评分：收取的试卷系统可自动评分，教师添加批注，查看柱状图显示的考试统计结果，并能够将评分结果以网页形式发送给相应的学生。</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4. </w:t>
            </w:r>
            <w:r>
              <w:rPr>
                <w:rFonts w:ascii="SimSun" w:hAnsi="SimSun" w:eastAsia="SimSun" w:cs="SimSun"/>
                <w:color w:val="000000"/>
                <w:sz w:val="20"/>
              </w:rPr>
              <w:t xml:space="preserve">答题卡考试：教师导入</w:t>
            </w:r>
            <w:r>
              <w:rPr>
                <w:rFonts w:ascii="Calibri" w:hAnsi="Calibri" w:eastAsia="Calibri" w:cs="Calibri"/>
                <w:color w:val="000000"/>
                <w:sz w:val="20"/>
              </w:rPr>
              <w:t xml:space="preserve">Word</w:t>
            </w:r>
            <w:r>
              <w:rPr>
                <w:rFonts w:ascii="SimSun" w:hAnsi="SimSun" w:eastAsia="SimSun" w:cs="SimSun"/>
                <w:color w:val="000000"/>
                <w:sz w:val="20"/>
              </w:rPr>
              <w:t xml:space="preserve">、</w:t>
            </w:r>
            <w:r>
              <w:rPr>
                <w:rFonts w:ascii="Calibri" w:hAnsi="Calibri" w:eastAsia="Calibri" w:cs="Calibri"/>
                <w:color w:val="000000"/>
                <w:sz w:val="20"/>
              </w:rPr>
              <w:t xml:space="preserve">PPT</w:t>
            </w:r>
            <w:r>
              <w:rPr>
                <w:rFonts w:ascii="SimSun" w:hAnsi="SimSun" w:eastAsia="SimSun" w:cs="SimSun"/>
                <w:color w:val="000000"/>
                <w:sz w:val="20"/>
              </w:rPr>
              <w:t xml:space="preserve">、</w:t>
            </w:r>
            <w:r>
              <w:rPr>
                <w:rFonts w:ascii="Calibri" w:hAnsi="Calibri" w:eastAsia="Calibri" w:cs="Calibri"/>
                <w:color w:val="000000"/>
                <w:sz w:val="20"/>
              </w:rPr>
              <w:t xml:space="preserve">Excel</w:t>
            </w:r>
            <w:r>
              <w:rPr>
                <w:rFonts w:ascii="SimSun" w:hAnsi="SimSun" w:eastAsia="SimSun" w:cs="SimSun"/>
                <w:color w:val="000000"/>
                <w:sz w:val="20"/>
              </w:rPr>
              <w:t xml:space="preserve">、</w:t>
            </w:r>
            <w:r>
              <w:rPr>
                <w:rFonts w:ascii="Calibri" w:hAnsi="Calibri" w:eastAsia="Calibri" w:cs="Calibri"/>
                <w:color w:val="000000"/>
                <w:sz w:val="20"/>
              </w:rPr>
              <w:t xml:space="preserve">PDF</w:t>
            </w:r>
            <w:r>
              <w:rPr>
                <w:rFonts w:ascii="SimSun" w:hAnsi="SimSun" w:eastAsia="SimSun" w:cs="SimSun"/>
                <w:color w:val="000000"/>
                <w:sz w:val="20"/>
              </w:rPr>
              <w:t xml:space="preserve">等文档类型的考试内容共享给学生，直接生成答题卡用于学生作答，包含多种不同的题型：多选题，判断题，填空题和论述题。</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5. </w:t>
            </w:r>
            <w:r>
              <w:rPr>
                <w:rFonts w:ascii="SimSun" w:hAnsi="SimSun" w:eastAsia="SimSun" w:cs="SimSun"/>
                <w:color w:val="000000"/>
                <w:sz w:val="20"/>
              </w:rPr>
              <w:t xml:space="preserve">随堂小考：教师启动快速的单题考试或随堂调查，限定考试时间，学生答题后立即给出结果，结果显示学生答案柱状图分析和答题时间，可作为抢答依据。</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6. </w:t>
            </w:r>
            <w:r>
              <w:rPr>
                <w:rFonts w:ascii="SimSun" w:hAnsi="SimSun" w:eastAsia="SimSun" w:cs="SimSun"/>
                <w:color w:val="000000"/>
                <w:sz w:val="20"/>
              </w:rPr>
              <w:t xml:space="preserve">抢答竞赛：教师可以出任意题目请学生作答，学生抢答时只需按下按钮即可。</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三、课堂管理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 </w:t>
            </w:r>
            <w:r>
              <w:rPr>
                <w:rFonts w:ascii="SimSun" w:hAnsi="SimSun" w:eastAsia="SimSun" w:cs="SimSun"/>
                <w:color w:val="000000"/>
                <w:sz w:val="20"/>
              </w:rPr>
              <w:t xml:space="preserve">登录模式：支持频道登录、选择教师登录和</w:t>
            </w:r>
            <w:r>
              <w:rPr>
                <w:rFonts w:ascii="Calibri" w:hAnsi="Calibri" w:eastAsia="Calibri" w:cs="Calibri"/>
                <w:color w:val="000000"/>
                <w:sz w:val="20"/>
              </w:rPr>
              <w:t xml:space="preserve">IP</w:t>
            </w:r>
            <w:r>
              <w:rPr>
                <w:rFonts w:ascii="SimSun" w:hAnsi="SimSun" w:eastAsia="SimSun" w:cs="SimSun"/>
                <w:color w:val="000000"/>
                <w:sz w:val="20"/>
              </w:rPr>
              <w:t xml:space="preserve">地址段登录。</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 </w:t>
            </w:r>
            <w:r>
              <w:rPr>
                <w:rFonts w:ascii="SimSun" w:hAnsi="SimSun" w:eastAsia="SimSun" w:cs="SimSun"/>
                <w:color w:val="000000"/>
                <w:sz w:val="20"/>
              </w:rPr>
              <w:t xml:space="preserve">签到：提供学生名单管理工具，为软件和考试模块提供实名验证。提供点名功能，支持保留学生多次登录记录、考勤统计、签到信息的导出与对比。</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 </w:t>
            </w:r>
            <w:r>
              <w:rPr>
                <w:rFonts w:ascii="SimSun" w:hAnsi="SimSun" w:eastAsia="SimSun" w:cs="SimSun"/>
                <w:color w:val="000000"/>
                <w:sz w:val="20"/>
              </w:rPr>
              <w:t xml:space="preserve">班级模型：有单独的管理界面，实现对班级模型的统一管理，并能够导入、导出，调用不同网络教室中的班级模型。</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4. </w:t>
            </w:r>
            <w:r>
              <w:rPr>
                <w:rFonts w:ascii="SimSun" w:hAnsi="SimSun" w:eastAsia="SimSun" w:cs="SimSun"/>
                <w:color w:val="000000"/>
                <w:sz w:val="20"/>
              </w:rPr>
              <w:t xml:space="preserve">打印和光盘限制：对打印的权限和光盘使用做限制。</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5. U</w:t>
            </w:r>
            <w:r>
              <w:rPr>
                <w:rFonts w:ascii="SimSun" w:hAnsi="SimSun" w:eastAsia="SimSun" w:cs="SimSun"/>
                <w:color w:val="000000"/>
                <w:sz w:val="20"/>
              </w:rPr>
              <w:t xml:space="preserve">盘限制：对</w:t>
            </w:r>
            <w:r>
              <w:rPr>
                <w:rFonts w:ascii="Calibri" w:hAnsi="Calibri" w:eastAsia="Calibri" w:cs="Calibri"/>
                <w:color w:val="000000"/>
                <w:sz w:val="20"/>
              </w:rPr>
              <w:t xml:space="preserve">U</w:t>
            </w:r>
            <w:r>
              <w:rPr>
                <w:rFonts w:ascii="SimSun" w:hAnsi="SimSun" w:eastAsia="SimSun" w:cs="SimSun"/>
                <w:color w:val="000000"/>
                <w:sz w:val="20"/>
              </w:rPr>
              <w:t xml:space="preserve">盘访问权限的设定（完全开放、只读、只写、完全限制），有效控制学生使用</w:t>
            </w:r>
            <w:r>
              <w:rPr>
                <w:rFonts w:ascii="Calibri" w:hAnsi="Calibri" w:eastAsia="Calibri" w:cs="Calibri"/>
                <w:color w:val="000000"/>
                <w:sz w:val="20"/>
              </w:rPr>
              <w:t xml:space="preserve">U</w:t>
            </w:r>
            <w:r>
              <w:rPr>
                <w:rFonts w:ascii="SimSun" w:hAnsi="SimSun" w:eastAsia="SimSun" w:cs="SimSun"/>
                <w:color w:val="000000"/>
                <w:sz w:val="20"/>
              </w:rPr>
              <w:t xml:space="preserve">盘，防止资料的流失和病毒的引入。</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6. </w:t>
            </w:r>
            <w:r>
              <w:rPr>
                <w:rFonts w:ascii="SimSun" w:hAnsi="SimSun" w:eastAsia="SimSun" w:cs="SimSun"/>
                <w:color w:val="000000"/>
                <w:sz w:val="20"/>
              </w:rPr>
              <w:t xml:space="preserve">网页限制：设定学生访问网站的黑名单或白名单，对学生可以访问的</w:t>
            </w:r>
            <w:r>
              <w:rPr>
                <w:rFonts w:ascii="Calibri" w:hAnsi="Calibri" w:eastAsia="Calibri" w:cs="Calibri"/>
                <w:color w:val="000000"/>
                <w:sz w:val="20"/>
              </w:rPr>
              <w:t xml:space="preserve">Internet</w:t>
            </w:r>
            <w:r>
              <w:rPr>
                <w:rFonts w:ascii="SimSun" w:hAnsi="SimSun" w:eastAsia="SimSun" w:cs="SimSun"/>
                <w:color w:val="000000"/>
                <w:sz w:val="20"/>
              </w:rPr>
              <w:t xml:space="preserve">站点进行管理。支持多浏览器限制，如</w:t>
            </w:r>
            <w:r>
              <w:rPr>
                <w:rFonts w:ascii="Calibri" w:hAnsi="Calibri" w:eastAsia="Calibri" w:cs="Calibri"/>
                <w:color w:val="000000"/>
                <w:sz w:val="20"/>
              </w:rPr>
              <w:t xml:space="preserve">QQ</w:t>
            </w:r>
            <w:r>
              <w:rPr>
                <w:rFonts w:ascii="SimSun" w:hAnsi="SimSun" w:eastAsia="SimSun" w:cs="SimSun"/>
                <w:color w:val="000000"/>
                <w:sz w:val="20"/>
              </w:rPr>
              <w:t xml:space="preserve">、</w:t>
            </w:r>
            <w:r>
              <w:rPr>
                <w:rFonts w:ascii="Calibri" w:hAnsi="Calibri" w:eastAsia="Calibri" w:cs="Calibri"/>
                <w:color w:val="000000"/>
                <w:sz w:val="20"/>
              </w:rPr>
              <w:t xml:space="preserve">IE</w:t>
            </w:r>
            <w:r>
              <w:rPr>
                <w:rFonts w:ascii="SimSun" w:hAnsi="SimSun" w:eastAsia="SimSun" w:cs="SimSun"/>
                <w:color w:val="000000"/>
                <w:sz w:val="20"/>
              </w:rPr>
              <w:t xml:space="preserve">、谷歌、</w:t>
            </w:r>
            <w:r>
              <w:rPr>
                <w:rFonts w:ascii="Calibri" w:hAnsi="Calibri" w:eastAsia="Calibri" w:cs="Calibri"/>
                <w:color w:val="000000"/>
                <w:sz w:val="20"/>
              </w:rPr>
              <w:t xml:space="preserve">360</w:t>
            </w:r>
            <w:r>
              <w:rPr>
                <w:rFonts w:ascii="SimSun" w:hAnsi="SimSun" w:eastAsia="SimSun" w:cs="SimSun"/>
                <w:color w:val="000000"/>
                <w:sz w:val="20"/>
              </w:rPr>
              <w:t xml:space="preserve">、遨游等浏览器。</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7. </w:t>
            </w:r>
            <w:r>
              <w:rPr>
                <w:rFonts w:ascii="SimSun" w:hAnsi="SimSun" w:eastAsia="SimSun" w:cs="SimSun"/>
                <w:color w:val="000000"/>
                <w:sz w:val="20"/>
              </w:rPr>
              <w:t xml:space="preserve">程序限制：通过各种策略的应用，可防止学生在教学过程中打游戏，或使用</w:t>
            </w:r>
            <w:r>
              <w:rPr>
                <w:rFonts w:ascii="Calibri" w:hAnsi="Calibri" w:eastAsia="Calibri" w:cs="Calibri"/>
                <w:color w:val="000000"/>
                <w:sz w:val="20"/>
              </w:rPr>
              <w:t xml:space="preserve">QQ</w:t>
            </w:r>
            <w:r>
              <w:rPr>
                <w:rFonts w:ascii="SimSun" w:hAnsi="SimSun" w:eastAsia="SimSun" w:cs="SimSun"/>
                <w:color w:val="000000"/>
                <w:sz w:val="20"/>
              </w:rPr>
              <w:t xml:space="preserve">，</w:t>
            </w:r>
            <w:r>
              <w:rPr>
                <w:rFonts w:ascii="Calibri" w:hAnsi="Calibri" w:eastAsia="Calibri" w:cs="Calibri"/>
                <w:color w:val="000000"/>
                <w:sz w:val="20"/>
              </w:rPr>
              <w:t xml:space="preserve">MSN</w:t>
            </w:r>
            <w:r>
              <w:rPr>
                <w:rFonts w:ascii="SimSun" w:hAnsi="SimSun" w:eastAsia="SimSun" w:cs="SimSun"/>
                <w:color w:val="000000"/>
                <w:sz w:val="20"/>
              </w:rPr>
              <w:t xml:space="preserve">等聊天工具，支持限制</w:t>
            </w:r>
            <w:r>
              <w:rPr>
                <w:rFonts w:ascii="Calibri" w:hAnsi="Calibri" w:eastAsia="Calibri" w:cs="Calibri"/>
                <w:color w:val="000000"/>
                <w:sz w:val="20"/>
              </w:rPr>
              <w:t xml:space="preserve">U</w:t>
            </w:r>
            <w:r>
              <w:rPr>
                <w:rFonts w:ascii="SimSun" w:hAnsi="SimSun" w:eastAsia="SimSun" w:cs="SimSun"/>
                <w:color w:val="000000"/>
                <w:sz w:val="20"/>
              </w:rPr>
              <w:t xml:space="preserve">盘，网络映射盘，硬盘虚拟盘，虚拟光盘，内存虚拟盘里的程序。</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8. </w:t>
            </w:r>
            <w:r>
              <w:rPr>
                <w:rFonts w:ascii="SimSun" w:hAnsi="SimSun" w:eastAsia="SimSun" w:cs="SimSun"/>
                <w:color w:val="000000"/>
                <w:sz w:val="20"/>
              </w:rPr>
              <w:t xml:space="preserve">学生端属性查看：教师可以获取学生端计算机的名称、登录名和其它常用信息，并可以列出学生端的应用程序、进程和进程 </w:t>
            </w:r>
            <w:r>
              <w:rPr>
                <w:rFonts w:ascii="Calibri" w:hAnsi="Calibri" w:eastAsia="Calibri" w:cs="Calibri"/>
                <w:color w:val="000000"/>
                <w:sz w:val="20"/>
              </w:rPr>
              <w:t xml:space="preserve">ID</w:t>
            </w:r>
            <w:r>
              <w:rPr>
                <w:rFonts w:ascii="SimSun" w:hAnsi="SimSun" w:eastAsia="SimSun" w:cs="SimSun"/>
                <w:color w:val="000000"/>
                <w:sz w:val="20"/>
              </w:rPr>
              <w:t xml:space="preserve">，教师还可以远程终止学生端的进程。</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9. </w:t>
            </w:r>
            <w:r>
              <w:rPr>
                <w:rFonts w:ascii="SimSun" w:hAnsi="SimSun" w:eastAsia="SimSun" w:cs="SimSun"/>
                <w:color w:val="000000"/>
                <w:sz w:val="20"/>
              </w:rPr>
              <w:t xml:space="preserve">系统日志：显示和自动保存系统运行过程中的关键事件，包括学生登录登出，资源不足，提交文件等。</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10. </w:t>
            </w:r>
            <w:r>
              <w:rPr>
                <w:rFonts w:ascii="SimSun" w:hAnsi="SimSun" w:eastAsia="SimSun" w:cs="SimSun"/>
                <w:color w:val="000000"/>
                <w:sz w:val="20"/>
              </w:rPr>
              <w:t xml:space="preserve">黑屏肃静：教师可以对单一、部分、全体学生执行黑屏肃静来禁止其进行任何操作，达到专心听课目的，教师可自定义黑屏的内容与图片。</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11. </w:t>
            </w:r>
            <w:r>
              <w:rPr>
                <w:rFonts w:ascii="SimSun" w:hAnsi="SimSun" w:eastAsia="SimSun" w:cs="SimSun"/>
                <w:color w:val="000000"/>
                <w:sz w:val="20"/>
              </w:rPr>
              <w:t xml:space="preserve">远程命令：可以进行远程开机、关机、重启等操作，支持远程打开网页、远程启动程序和远程关闭所有学生正在执行的应用程序。</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12. </w:t>
            </w:r>
            <w:r>
              <w:rPr>
                <w:rFonts w:ascii="SimSun" w:hAnsi="SimSun" w:eastAsia="SimSun" w:cs="SimSun"/>
                <w:color w:val="000000"/>
                <w:sz w:val="20"/>
              </w:rPr>
              <w:t xml:space="preserve">分组管理：教师可以新建，删除，重命名分组，添加和删除分组中的成员，设置小组长。分组信息随班级模型永久保存，下次上课可以直接使用保存的分组。</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13. </w:t>
            </w:r>
            <w:r>
              <w:rPr>
                <w:rFonts w:ascii="SimSun" w:hAnsi="SimSun" w:eastAsia="SimSun" w:cs="SimSun"/>
                <w:color w:val="000000"/>
                <w:sz w:val="20"/>
              </w:rPr>
              <w:t xml:space="preserve">图标监看：班级模型中可以显示学生机桌面的缩图。缩图显示大小也可自由设定。</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14. </w:t>
            </w:r>
            <w:r>
              <w:rPr>
                <w:rFonts w:ascii="SimSun" w:hAnsi="SimSun" w:eastAsia="SimSun" w:cs="SimSun"/>
                <w:color w:val="000000"/>
                <w:sz w:val="20"/>
              </w:rPr>
              <w:t xml:space="preserve">自动锁屏：独有的断线保护自动锁屏技术，通过网卡的是否激活来锁定屏幕，避免学生拔掉网线违反纪律。</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15. </w:t>
            </w:r>
            <w:r>
              <w:rPr>
                <w:rFonts w:ascii="SimSun" w:hAnsi="SimSun" w:eastAsia="SimSun" w:cs="SimSun"/>
                <w:color w:val="000000"/>
                <w:sz w:val="20"/>
              </w:rPr>
              <w:t xml:space="preserve">防杀进程：为安全起见，学生端程序运行后，防止学生通过任务管理器结束学生端程序进程来逃脱教师控制。</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16. </w:t>
            </w:r>
            <w:r>
              <w:rPr>
                <w:rFonts w:ascii="SimSun" w:hAnsi="SimSun" w:eastAsia="SimSun" w:cs="SimSun"/>
                <w:color w:val="000000"/>
                <w:sz w:val="20"/>
              </w:rPr>
              <w:t xml:space="preserve">请求帮助：学生端遇到问题可请求帮助，教师端可远程遥控帮助学生解决问题。</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17. </w:t>
            </w:r>
            <w:r>
              <w:rPr>
                <w:rFonts w:ascii="SimSun" w:hAnsi="SimSun" w:eastAsia="SimSun" w:cs="SimSun"/>
                <w:color w:val="000000"/>
                <w:sz w:val="20"/>
              </w:rPr>
              <w:t xml:space="preserve">远程消息：教师与学生能够使用远程消息进行交流，并可以允许和阻止学生发送文字消息。 </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18. </w:t>
            </w:r>
            <w:r>
              <w:rPr>
                <w:rFonts w:ascii="SimSun" w:hAnsi="SimSun" w:eastAsia="SimSun" w:cs="SimSun"/>
                <w:color w:val="000000"/>
                <w:sz w:val="20"/>
              </w:rPr>
              <w:t xml:space="preserve">远程设置：远程设置学生桌面主题、桌面背景、屏幕保护方案、学生的频道号和音量、学生的卸载密码，是否启用进程保护，断线锁屏，热键退出等</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四、同传还原</w:t>
              <w:br/>
              <w:t xml:space="preserve">1.系统支持通过U盘、PXE等多种方式引导安装，支持外部交换机提供DHCP、固定IP、自动提供三种方式配置方式。</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2.支持对机房设备进行资产统计，可查询全部设备使用状态，包含编号、IP、MAC、CPU信息、内存使用率、运行时间以及硬盘容量等信息。</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3.系统支持操作系统的一键切换，支持Windows、银河麒麟、统信、中科方德等操作系统。</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4.为便于管理员对需要帮助的学生进行远程指导，还原系统无需借助第三方平台软件即可支持远程控制功能。</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5.为保障同传传输速度，系统具备BT服务端和BT客户端功能。</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6.支持Windows、银河麒麟、统信、中科方德等主流操作系统还原属性的设置，包含立即还原、关机还原、每天还原、每周还原等方式，在还原属性生效后系统都会重新恢复至模板状态，保障系统流畅性。</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7.支持对操作系统创建多个还原点，可对还原点进行删除、合并、备注，还原点数量无限制，当系统损坏时，可快速恢复到上一次保存的状态。</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8.为帮助教师营造良好的教学环境，系统支持对正在使用的桌面环境开启广告拦截功能，避免学生电脑出现各种弹窗。</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9.支持日常、考试场景的快速巡检功能，可巡查出学生操作系统的关键信息，如出现网络异常、键鼠未链接将会高亮告警，提醒管理员处理。</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10.支持静默更新功能，可对正在上课的学生进行文件的增量下发，不会影响学生的正常使用，待课间重启即可完成应用的部署。</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11.为减轻管理员维护压力，系统需具备网络排障能力，并支持对常规网络问题进行修复，可检查网络服务是否正常。</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12.无需额外配置服务器，即可对所有设备进行统一管理维护。</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13.为便于管理员可以给不同的课程制作不同的镜像，支持子镜像功能，在基础镜像的基础上安装不同课程的软件成为不同子镜像，分配给不同的课程。</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14.支持Windows及国产操作系统的IP以及计算机名的批量自动分配。</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15.系统需支持日志记录功能，便于在出现问题时进行回溯，快速排查问题原因。</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16.为防止管理员镜像下发时出现错误，可支持中止下发，中止后进行重新下发即可。</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17.支持屏幕水印功能，可设置数字编号、计算机名为水印属性，水印将映射在桌面的右上角，便于管理员进行查看。</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18.为应对大课件的日常教学，需支持系统盘、数据盘的同传功能。</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19.支持添加数据盘功能，支持对不同操作系统添加同一份数据盘，实现数据互通，也支持为不同操作系统添加不同的数据盘空间，实现数据隔离。</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20.为避免设备因中毒导致教学环境异常，还原系统需支持对操作系统硬盘使用分析,可选择式分析指定目录、显示各文件占用空间大小，便于用户寻找出隐藏的大文件。</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21.为便于考试场景的数据保护，系统可将自定义内容进行加密处理，并以二维码模式导出。</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22.系统支持对教学任务的引导功能，学生可添加本期课程的待办事项，并对已完成的事项进行标注，便于教师查看，为不影响机房上课使用，学生支持对待办事项栏隐藏或设置透明度。</w:t>
            </w:r>
            <w:r/>
          </w:p>
          <w:p>
            <w:pPr>
              <w:ind w:left="0" w:right="0" w:firstLine="0"/>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23.支持开机logo自定义，可以自定义设备开机登录页面logo及文字定制，便于学校进行资产管理。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运动单车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top"/>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一、产品配置：运动单车+VR眼镜+显示屏+运动单车系统+VR骑行系统二、运动单车技术参数：2-1.单车尺寸：≥106cm*66cm*125cm；2-2．阻力调节：≥32档电磁控阻力调节 2-3．方向控制：四色实体按键2-4．心率检测：手握式脉搏传感运动心率2-5．惯性飞轮：≥10kg2-6．展开尺寸：≥1060*660*1250(mm)2-7．整机承重：≥120kg2-8．净重/毛重：≥30kg/35.5kg 2-9.使用终端≥10英寸，设备自身集成摄录像、蓝牙、扩展口、互联网等功能。触摸响应灵敏，支持多点</w:t>
            </w:r>
            <w:r>
              <w:rPr>
                <w:rFonts w:ascii="SimSun" w:hAnsi="SimSun" w:eastAsia="SimSun" w:cs="SimSun"/>
                <w:color w:val="000000"/>
                <w:sz w:val="20"/>
              </w:rPr>
              <w:t xml:space="preserve">触摸。三、VR眼镜技术参数：3-1.VR眼镜：显示屏≥5.5英寸，分辨率≥2880×1600像素，视场角≥95°，配USB3.0 扩展口，兼容佩戴眼镜，连续使用时间≥2.5小时，处理器：≥ 8 核 最高主频≥2.0GHz，运存≥6GB，电池容量≥5000mAh。四、显示屏技术参数：4-1.尺寸:≥43吋4-2.分辨率:≥1920*1080像素4-3.屏幕长宽比例:≥16：94-4.显示尺寸(mm) ≥942.2(宽)×530.4(高) mm4-5.可视角度:全视角4-6.面板操作方式:支持触控4-7.内置电</w:t>
            </w:r>
            <w:r>
              <w:rPr>
                <w:rFonts w:ascii="SimSun" w:hAnsi="SimSun" w:eastAsia="SimSun" w:cs="SimSun"/>
                <w:color w:val="000000"/>
                <w:sz w:val="20"/>
              </w:rPr>
              <w:t xml:space="preserve">脑:工控主板；4核以上嵌入式处理器，主频达到1.8GHz，内存:≥4GB，储存:≥32G，外接口:至少HDMI/VGA/音频/串口各一个，有线网卡:板载千兆网卡，无线网卡:≥双频2.4GHz4-8.功耗:≤110W4-9.喇叭:≥2*8W4-10.电源:AC220V五、运动单车系统技术参数：5-1系统至少包含运动减压、休闲放松、档案管理、注册登录模块5-2运动减压区：包含相关运动游戏。可通过单车前把按钮控制系统运行。 5-3休闲放松区 ：包含相关绿色休闲放松场景。 5-4档案管理： 自动生成用户使用档案，训</w:t>
            </w:r>
            <w:r>
              <w:rPr>
                <w:rFonts w:ascii="SimSun" w:hAnsi="SimSun" w:eastAsia="SimSun" w:cs="SimSun"/>
                <w:color w:val="000000"/>
                <w:sz w:val="20"/>
              </w:rPr>
              <w:t xml:space="preserve">练反馈报告反馈体验者个人信息、时间、模块等信息。包括消耗卡路里、运动历程等数据。 5-5注册登录：注册登录功能，支持账户、密码、出生日期、性别等用户数据的登录系统。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49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VR双人蛋椅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设备尺寸：长宽高≥</w:t>
            </w:r>
            <w:r>
              <w:rPr>
                <w:rFonts w:ascii="Calibri" w:hAnsi="Calibri" w:eastAsia="Calibri" w:cs="Calibri"/>
                <w:color w:val="000000"/>
                <w:sz w:val="20"/>
              </w:rPr>
              <w:t xml:space="preserve">2m*1.1m*1.9 m</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1.</w:t>
            </w:r>
            <w:r>
              <w:rPr>
                <w:rFonts w:ascii="SimSun" w:hAnsi="SimSun" w:eastAsia="SimSun" w:cs="SimSun"/>
                <w:color w:val="000000"/>
                <w:sz w:val="20"/>
              </w:rPr>
              <w:t xml:space="preserve">主机配置：处理器：核心数≥</w:t>
            </w:r>
            <w:r>
              <w:rPr>
                <w:rFonts w:ascii="Calibri" w:hAnsi="Calibri" w:eastAsia="Calibri" w:cs="Calibri"/>
                <w:color w:val="000000"/>
                <w:sz w:val="20"/>
              </w:rPr>
              <w:t xml:space="preserve">4 </w:t>
            </w:r>
            <w:r>
              <w:rPr>
                <w:rFonts w:ascii="SimSun" w:hAnsi="SimSun" w:eastAsia="SimSun" w:cs="SimSun"/>
                <w:color w:val="000000"/>
                <w:sz w:val="20"/>
              </w:rPr>
              <w:t xml:space="preserve">；内存容量≥</w:t>
            </w:r>
            <w:r>
              <w:rPr>
                <w:rFonts w:ascii="Calibri" w:hAnsi="Calibri" w:eastAsia="Calibri" w:cs="Calibri"/>
                <w:color w:val="000000"/>
                <w:sz w:val="20"/>
              </w:rPr>
              <w:t xml:space="preserve">8GB,</w:t>
            </w:r>
            <w:r>
              <w:rPr>
                <w:rFonts w:ascii="SimSun" w:hAnsi="SimSun" w:eastAsia="SimSun" w:cs="SimSun"/>
                <w:color w:val="000000"/>
                <w:sz w:val="20"/>
              </w:rPr>
              <w:t xml:space="preserve">硬盘容量：固态≥</w:t>
            </w:r>
            <w:r>
              <w:rPr>
                <w:rFonts w:ascii="Calibri" w:hAnsi="Calibri" w:eastAsia="Calibri" w:cs="Calibri"/>
                <w:color w:val="000000"/>
                <w:sz w:val="20"/>
              </w:rPr>
              <w:t xml:space="preserve">240GB,</w:t>
            </w:r>
            <w:r>
              <w:rPr>
                <w:rFonts w:ascii="SimSun" w:hAnsi="SimSun" w:eastAsia="SimSun" w:cs="SimSun"/>
                <w:color w:val="000000"/>
                <w:sz w:val="20"/>
              </w:rPr>
              <w:t xml:space="preserve">独立显卡：显存容量≥</w:t>
            </w:r>
            <w:r>
              <w:rPr>
                <w:rFonts w:ascii="Calibri" w:hAnsi="Calibri" w:eastAsia="Calibri" w:cs="Calibri"/>
                <w:color w:val="000000"/>
                <w:sz w:val="20"/>
              </w:rPr>
              <w:t xml:space="preserve">4GB;</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2.</w:t>
            </w:r>
            <w:r>
              <w:rPr>
                <w:rFonts w:ascii="SimSun" w:hAnsi="SimSun" w:eastAsia="SimSun" w:cs="SimSun"/>
                <w:color w:val="000000"/>
                <w:sz w:val="20"/>
              </w:rPr>
              <w:t xml:space="preserve">外置显示屏：显示屏≥</w:t>
            </w:r>
            <w:r>
              <w:rPr>
                <w:rFonts w:ascii="Calibri" w:hAnsi="Calibri" w:eastAsia="Calibri" w:cs="Calibri"/>
                <w:color w:val="000000"/>
                <w:sz w:val="20"/>
              </w:rPr>
              <w:t xml:space="preserve">19</w:t>
            </w:r>
            <w:r>
              <w:rPr>
                <w:rFonts w:ascii="SimSun" w:hAnsi="SimSun" w:eastAsia="SimSun" w:cs="SimSun"/>
                <w:color w:val="000000"/>
                <w:sz w:val="20"/>
              </w:rPr>
              <w:t xml:space="preserve">寸高清屏</w:t>
            </w:r>
            <w:r>
              <w:rPr>
                <w:rFonts w:ascii="Calibri" w:hAnsi="Calibri" w:eastAsia="Calibri" w:cs="Calibri"/>
                <w:color w:val="000000"/>
                <w:sz w:val="20"/>
              </w:rPr>
              <w:t xml:space="preserve">,</w:t>
            </w:r>
            <w:r>
              <w:rPr>
                <w:rFonts w:ascii="SimSun" w:hAnsi="SimSun" w:eastAsia="SimSun" w:cs="SimSun"/>
                <w:color w:val="000000"/>
                <w:sz w:val="20"/>
              </w:rPr>
              <w:t xml:space="preserve">分辨率：≥</w:t>
            </w:r>
            <w:r>
              <w:rPr>
                <w:rFonts w:ascii="Calibri" w:hAnsi="Calibri" w:eastAsia="Calibri" w:cs="Calibri"/>
                <w:color w:val="000000"/>
                <w:sz w:val="20"/>
              </w:rPr>
              <w:t xml:space="preserve">1920*1080,</w:t>
            </w:r>
            <w:r>
              <w:rPr>
                <w:rFonts w:ascii="SimSun" w:hAnsi="SimSun" w:eastAsia="SimSun" w:cs="SimSun"/>
                <w:color w:val="000000"/>
                <w:sz w:val="20"/>
              </w:rPr>
              <w:t xml:space="preserve">鼠标、键盘</w:t>
            </w:r>
            <w:r>
              <w:rPr>
                <w:rFonts w:ascii="Calibri" w:hAnsi="Calibri" w:eastAsia="Calibri" w:cs="Calibri"/>
                <w:color w:val="000000"/>
                <w:sz w:val="20"/>
              </w:rPr>
              <w:t xml:space="preserve">,</w:t>
            </w:r>
            <w:r>
              <w:rPr>
                <w:rFonts w:ascii="SimSun" w:hAnsi="SimSun" w:eastAsia="SimSun" w:cs="SimSun"/>
                <w:color w:val="000000"/>
                <w:sz w:val="20"/>
              </w:rPr>
              <w:t xml:space="preserve">数量：</w:t>
            </w:r>
            <w:r>
              <w:rPr>
                <w:rFonts w:ascii="Calibri" w:hAnsi="Calibri" w:eastAsia="Calibri" w:cs="Calibri"/>
                <w:color w:val="000000"/>
                <w:sz w:val="20"/>
              </w:rPr>
              <w:t xml:space="preserve">1</w:t>
            </w:r>
            <w:r>
              <w:rPr>
                <w:rFonts w:ascii="SimSun" w:hAnsi="SimSun" w:eastAsia="SimSun" w:cs="SimSun"/>
                <w:color w:val="000000"/>
                <w:sz w:val="20"/>
              </w:rPr>
              <w:t xml:space="preserve">套</w:t>
            </w:r>
            <w:r>
              <w:rPr>
                <w:rFonts w:ascii="Calibri" w:hAnsi="Calibri" w:eastAsia="Calibri" w:cs="Calibri"/>
                <w:color w:val="000000"/>
                <w:sz w:val="20"/>
              </w:rPr>
              <w:t xml:space="preserve">;</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3.VR</w:t>
            </w:r>
            <w:r>
              <w:rPr>
                <w:rFonts w:ascii="SimSun" w:hAnsi="SimSun" w:eastAsia="SimSun" w:cs="SimSun"/>
                <w:color w:val="000000"/>
                <w:sz w:val="20"/>
              </w:rPr>
              <w:t xml:space="preserve">体验装置：</w:t>
            </w:r>
            <w:r>
              <w:rPr>
                <w:rFonts w:ascii="Calibri" w:hAnsi="Calibri" w:eastAsia="Calibri" w:cs="Calibri"/>
                <w:color w:val="000000"/>
                <w:sz w:val="20"/>
              </w:rPr>
              <w:t xml:space="preserve">VR</w:t>
            </w:r>
            <w:r>
              <w:rPr>
                <w:rFonts w:ascii="SimSun" w:hAnsi="SimSun" w:eastAsia="SimSun" w:cs="SimSun"/>
                <w:color w:val="000000"/>
                <w:sz w:val="20"/>
              </w:rPr>
              <w:t xml:space="preserve">头戴：</w:t>
            </w:r>
            <w:r>
              <w:rPr>
                <w:rFonts w:ascii="Calibri" w:hAnsi="Calibri" w:eastAsia="Calibri" w:cs="Calibri"/>
                <w:color w:val="000000"/>
                <w:sz w:val="20"/>
              </w:rPr>
              <w:t xml:space="preserve">Fast-LCD</w:t>
            </w:r>
            <w:r>
              <w:rPr>
                <w:rFonts w:ascii="SimSun" w:hAnsi="SimSun" w:eastAsia="SimSun" w:cs="SimSun"/>
                <w:color w:val="000000"/>
                <w:sz w:val="20"/>
              </w:rPr>
              <w:t xml:space="preserve">高清屏、瞳距范围：</w:t>
            </w:r>
            <w:r>
              <w:rPr>
                <w:rFonts w:ascii="Calibri" w:hAnsi="Calibri" w:eastAsia="Calibri" w:cs="Calibri"/>
                <w:color w:val="000000"/>
                <w:sz w:val="20"/>
              </w:rPr>
              <w:t xml:space="preserve">54mm-74mm</w:t>
            </w:r>
            <w:r>
              <w:rPr>
                <w:rFonts w:ascii="SimSun" w:hAnsi="SimSun" w:eastAsia="SimSun" w:cs="SimSun"/>
                <w:color w:val="000000"/>
                <w:sz w:val="20"/>
              </w:rPr>
              <w:t xml:space="preserve">、视场角：</w:t>
            </w:r>
            <w:r>
              <w:rPr>
                <w:rFonts w:ascii="Calibri" w:hAnsi="Calibri" w:eastAsia="Calibri" w:cs="Calibri"/>
                <w:color w:val="000000"/>
                <w:sz w:val="20"/>
              </w:rPr>
              <w:t xml:space="preserve">110</w:t>
            </w:r>
            <w:r>
              <w:rPr>
                <w:rFonts w:ascii="SimSun" w:hAnsi="SimSun" w:eastAsia="SimSun" w:cs="SimSun"/>
                <w:color w:val="000000"/>
                <w:sz w:val="20"/>
              </w:rPr>
              <w:t xml:space="preserve">°、分辨率：</w:t>
            </w:r>
            <w:r>
              <w:rPr>
                <w:rFonts w:ascii="Calibri" w:hAnsi="Calibri" w:eastAsia="Calibri" w:cs="Calibri"/>
                <w:color w:val="000000"/>
                <w:sz w:val="20"/>
              </w:rPr>
              <w:t xml:space="preserve">2560*1440</w:t>
            </w:r>
            <w:r>
              <w:rPr>
                <w:rFonts w:ascii="SimSun" w:hAnsi="SimSun" w:eastAsia="SimSun" w:cs="SimSun"/>
                <w:color w:val="000000"/>
                <w:sz w:val="20"/>
              </w:rPr>
              <w:t xml:space="preserve">、镜片：菲涅尔透镜、传感器：重力传感器、指南针、陀螺仪、接口：</w:t>
            </w:r>
            <w:r>
              <w:rPr>
                <w:rFonts w:ascii="Calibri" w:hAnsi="Calibri" w:eastAsia="Calibri" w:cs="Calibri"/>
                <w:color w:val="000000"/>
                <w:sz w:val="20"/>
              </w:rPr>
              <w:t xml:space="preserve">HDMI</w:t>
            </w:r>
            <w:r>
              <w:rPr>
                <w:rFonts w:ascii="SimSun" w:hAnsi="SimSun" w:eastAsia="SimSun" w:cs="SimSun"/>
                <w:color w:val="000000"/>
                <w:sz w:val="20"/>
              </w:rPr>
              <w:t xml:space="preserve">接口</w:t>
            </w:r>
            <w:r>
              <w:rPr>
                <w:rFonts w:ascii="Calibri" w:hAnsi="Calibri" w:eastAsia="Calibri" w:cs="Calibri"/>
                <w:color w:val="000000"/>
                <w:sz w:val="20"/>
              </w:rPr>
              <w:t xml:space="preserve">/2*USB2.0</w:t>
            </w:r>
            <w:r>
              <w:rPr>
                <w:rFonts w:ascii="SimSun" w:hAnsi="SimSun" w:eastAsia="SimSun" w:cs="SimSun"/>
                <w:color w:val="000000"/>
                <w:sz w:val="20"/>
              </w:rPr>
              <w:t xml:space="preserve">接口、重量：</w:t>
            </w:r>
            <w:r>
              <w:rPr>
                <w:rFonts w:ascii="Calibri" w:hAnsi="Calibri" w:eastAsia="Calibri" w:cs="Calibri"/>
                <w:color w:val="000000"/>
                <w:sz w:val="20"/>
              </w:rPr>
              <w:t xml:space="preserve">305g</w:t>
            </w:r>
            <w:r>
              <w:rPr>
                <w:rFonts w:ascii="SimSun" w:hAnsi="SimSun" w:eastAsia="SimSun" w:cs="SimSun"/>
                <w:color w:val="000000"/>
                <w:sz w:val="20"/>
              </w:rPr>
              <w:t xml:space="preserve">、设计：采用人体工学设计，贴合面部，可拆卸、延时：</w:t>
            </w:r>
            <w:r>
              <w:rPr>
                <w:rFonts w:ascii="Calibri" w:hAnsi="Calibri" w:eastAsia="Calibri" w:cs="Calibri"/>
                <w:color w:val="000000"/>
                <w:sz w:val="20"/>
              </w:rPr>
              <w:t xml:space="preserve">16ms</w:t>
            </w:r>
            <w:r>
              <w:rPr>
                <w:rFonts w:ascii="SimSun" w:hAnsi="SimSun" w:eastAsia="SimSun" w:cs="SimSun"/>
                <w:color w:val="000000"/>
                <w:sz w:val="20"/>
              </w:rPr>
              <w:t xml:space="preserve">、定时精度：≤</w:t>
            </w:r>
            <w:r>
              <w:rPr>
                <w:rFonts w:ascii="Calibri" w:hAnsi="Calibri" w:eastAsia="Calibri" w:cs="Calibri"/>
                <w:color w:val="000000"/>
                <w:sz w:val="20"/>
              </w:rPr>
              <w:t xml:space="preserve">2min</w:t>
            </w:r>
            <w:r>
              <w:rPr>
                <w:rFonts w:ascii="SimSun" w:hAnsi="SimSun" w:eastAsia="SimSun" w:cs="SimSun"/>
                <w:color w:val="000000"/>
                <w:sz w:val="20"/>
              </w:rPr>
              <w:t xml:space="preserve">；</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4.</w:t>
            </w:r>
            <w:r>
              <w:rPr>
                <w:rFonts w:ascii="SimSun" w:hAnsi="SimSun" w:eastAsia="SimSun" w:cs="SimSun"/>
                <w:color w:val="000000"/>
                <w:sz w:val="20"/>
              </w:rPr>
              <w:t xml:space="preserve">伺服电机：通信方式： </w:t>
            </w:r>
            <w:r>
              <w:rPr>
                <w:rFonts w:ascii="Calibri" w:hAnsi="Calibri" w:eastAsia="Calibri" w:cs="Calibri"/>
                <w:color w:val="000000"/>
                <w:sz w:val="20"/>
              </w:rPr>
              <w:t xml:space="preserve">RSCAN</w:t>
            </w:r>
            <w:r>
              <w:rPr>
                <w:rFonts w:ascii="SimSun" w:hAnsi="SimSun" w:eastAsia="SimSun" w:cs="SimSun"/>
                <w:color w:val="000000"/>
                <w:sz w:val="20"/>
              </w:rPr>
              <w:t xml:space="preserve">或</w:t>
            </w:r>
            <w:r>
              <w:rPr>
                <w:rFonts w:ascii="Calibri" w:hAnsi="Calibri" w:eastAsia="Calibri" w:cs="Calibri"/>
                <w:color w:val="000000"/>
                <w:sz w:val="20"/>
              </w:rPr>
              <w:t xml:space="preserve">RS485 </w:t>
            </w:r>
            <w:r>
              <w:rPr>
                <w:rFonts w:ascii="SimSun" w:hAnsi="SimSun" w:eastAsia="SimSun" w:cs="SimSun"/>
                <w:color w:val="000000"/>
                <w:sz w:val="20"/>
              </w:rPr>
              <w:t xml:space="preserve">、支持工业以太网通信接口，可用于多机组网、可用播放软件采集影片的动作和播放影片的动作、内置</w:t>
            </w:r>
            <w:r>
              <w:rPr>
                <w:rFonts w:ascii="Calibri" w:hAnsi="Calibri" w:eastAsia="Calibri" w:cs="Calibri"/>
                <w:color w:val="000000"/>
                <w:sz w:val="20"/>
              </w:rPr>
              <w:t xml:space="preserve">12</w:t>
            </w:r>
            <w:r>
              <w:rPr>
                <w:rFonts w:ascii="SimSun" w:hAnsi="SimSun" w:eastAsia="SimSun" w:cs="SimSun"/>
                <w:color w:val="000000"/>
                <w:sz w:val="20"/>
              </w:rPr>
              <w:t xml:space="preserve">路数字输出、</w:t>
            </w:r>
            <w:r>
              <w:rPr>
                <w:rFonts w:ascii="Calibri" w:hAnsi="Calibri" w:eastAsia="Calibri" w:cs="Calibri"/>
                <w:color w:val="000000"/>
                <w:sz w:val="20"/>
              </w:rPr>
              <w:t xml:space="preserve">2</w:t>
            </w:r>
            <w:r>
              <w:rPr>
                <w:rFonts w:ascii="SimSun" w:hAnsi="SimSun" w:eastAsia="SimSun" w:cs="SimSun"/>
                <w:color w:val="000000"/>
                <w:sz w:val="20"/>
              </w:rPr>
              <w:t xml:space="preserve">路模拟输出、</w:t>
            </w:r>
            <w:r>
              <w:rPr>
                <w:rFonts w:ascii="Calibri" w:hAnsi="Calibri" w:eastAsia="Calibri" w:cs="Calibri"/>
                <w:color w:val="000000"/>
                <w:sz w:val="20"/>
              </w:rPr>
              <w:t xml:space="preserve">8</w:t>
            </w:r>
            <w:r>
              <w:rPr>
                <w:rFonts w:ascii="SimSun" w:hAnsi="SimSun" w:eastAsia="SimSun" w:cs="SimSun"/>
                <w:color w:val="000000"/>
                <w:sz w:val="20"/>
              </w:rPr>
              <w:t xml:space="preserve">路数字输入信号接口 、通讯接口、数字式特效编程系统、支持</w:t>
            </w:r>
            <w:r>
              <w:rPr>
                <w:rFonts w:ascii="Calibri" w:hAnsi="Calibri" w:eastAsia="Calibri" w:cs="Calibri"/>
                <w:color w:val="000000"/>
                <w:sz w:val="20"/>
              </w:rPr>
              <w:t xml:space="preserve">16</w:t>
            </w:r>
            <w:r>
              <w:rPr>
                <w:rFonts w:ascii="SimSun" w:hAnsi="SimSun" w:eastAsia="SimSun" w:cs="SimSun"/>
                <w:color w:val="000000"/>
                <w:sz w:val="20"/>
              </w:rPr>
              <w:t xml:space="preserve">路特效数字输出、最大支持</w:t>
            </w:r>
            <w:r>
              <w:rPr>
                <w:rFonts w:ascii="Calibri" w:hAnsi="Calibri" w:eastAsia="Calibri" w:cs="Calibri"/>
                <w:color w:val="000000"/>
                <w:sz w:val="20"/>
              </w:rPr>
              <w:t xml:space="preserve">256</w:t>
            </w:r>
            <w:r>
              <w:rPr>
                <w:rFonts w:ascii="SimSun" w:hAnsi="SimSun" w:eastAsia="SimSun" w:cs="SimSun"/>
                <w:color w:val="000000"/>
                <w:sz w:val="20"/>
              </w:rPr>
              <w:t xml:space="preserve">路视频放映系统、帧同步精度</w:t>
            </w:r>
            <w:r>
              <w:rPr>
                <w:rFonts w:ascii="Calibri" w:hAnsi="Calibri" w:eastAsia="Calibri" w:cs="Calibri"/>
                <w:color w:val="000000"/>
                <w:sz w:val="20"/>
              </w:rPr>
              <w:t xml:space="preserve">0.01s</w:t>
            </w:r>
            <w:r>
              <w:rPr>
                <w:rFonts w:ascii="SimSun" w:hAnsi="SimSun" w:eastAsia="SimSun" w:cs="SimSun"/>
                <w:color w:val="000000"/>
                <w:sz w:val="20"/>
              </w:rPr>
              <w:t xml:space="preserve">控制卡：控制系统：计算机自动控制、功率</w:t>
            </w:r>
            <w:r>
              <w:rPr>
                <w:rFonts w:ascii="Calibri" w:hAnsi="Calibri" w:eastAsia="Calibri" w:cs="Calibri"/>
                <w:color w:val="000000"/>
                <w:sz w:val="20"/>
              </w:rPr>
              <w:t xml:space="preserve">750W</w:t>
            </w:r>
            <w:r>
              <w:rPr>
                <w:rFonts w:ascii="SimSun" w:hAnsi="SimSun" w:eastAsia="SimSun" w:cs="SimSun"/>
                <w:color w:val="000000"/>
                <w:sz w:val="20"/>
              </w:rPr>
              <w:t xml:space="preserve">、</w:t>
            </w:r>
            <w:r>
              <w:rPr>
                <w:rFonts w:ascii="Calibri" w:hAnsi="Calibri" w:eastAsia="Calibri" w:cs="Calibri"/>
                <w:color w:val="000000"/>
                <w:sz w:val="20"/>
              </w:rPr>
              <w:t xml:space="preserve">Pmax:10A</w:t>
            </w:r>
            <w:r>
              <w:rPr>
                <w:rFonts w:ascii="SimSun" w:hAnsi="SimSun" w:eastAsia="SimSun" w:cs="SimSun"/>
                <w:color w:val="000000"/>
                <w:sz w:val="20"/>
              </w:rPr>
              <w:t xml:space="preserve">、</w:t>
            </w:r>
            <w:r>
              <w:rPr>
                <w:rFonts w:ascii="Calibri" w:hAnsi="Calibri" w:eastAsia="Calibri" w:cs="Calibri"/>
                <w:color w:val="000000"/>
                <w:sz w:val="20"/>
              </w:rPr>
              <w:t xml:space="preserve">Fuse:self reset</w:t>
            </w:r>
            <w:r>
              <w:rPr>
                <w:rFonts w:ascii="SimSun" w:hAnsi="SimSun" w:eastAsia="SimSun" w:cs="SimSun"/>
                <w:color w:val="000000"/>
                <w:sz w:val="20"/>
              </w:rPr>
              <w:t xml:space="preserve">、</w:t>
            </w:r>
            <w:r>
              <w:rPr>
                <w:rFonts w:ascii="Calibri" w:hAnsi="Calibri" w:eastAsia="Calibri" w:cs="Calibri"/>
                <w:color w:val="000000"/>
                <w:sz w:val="20"/>
              </w:rPr>
              <w:t xml:space="preserve">Volt:24Vdc</w:t>
            </w:r>
            <w:r>
              <w:rPr>
                <w:rFonts w:ascii="SimSun" w:hAnsi="SimSun" w:eastAsia="SimSun" w:cs="SimSun"/>
                <w:color w:val="000000"/>
                <w:sz w:val="20"/>
              </w:rPr>
              <w:t xml:space="preserve">±</w:t>
            </w:r>
            <w:r>
              <w:rPr>
                <w:rFonts w:ascii="Calibri" w:hAnsi="Calibri" w:eastAsia="Calibri" w:cs="Calibri"/>
                <w:color w:val="000000"/>
                <w:sz w:val="20"/>
              </w:rPr>
              <w:t xml:space="preserve">30%</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5.</w:t>
            </w:r>
            <w:r>
              <w:rPr>
                <w:rFonts w:ascii="SimSun" w:hAnsi="SimSun" w:eastAsia="SimSun" w:cs="SimSun"/>
                <w:color w:val="000000"/>
                <w:sz w:val="20"/>
              </w:rPr>
              <w:t xml:space="preserve">手柄：双手柄按钮，实现和内容实时互动</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6.</w:t>
            </w:r>
            <w:r>
              <w:rPr>
                <w:rFonts w:ascii="SimSun" w:hAnsi="SimSun" w:eastAsia="SimSun" w:cs="SimSun"/>
                <w:color w:val="000000"/>
                <w:sz w:val="20"/>
              </w:rPr>
              <w:t xml:space="preserve">软件场景包含：</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Calibri" w:hAnsi="Calibri" w:eastAsia="Calibri" w:cs="Calibri"/>
                <w:color w:val="000000"/>
                <w:sz w:val="20"/>
              </w:rPr>
              <w:t xml:space="preserve">1</w:t>
            </w:r>
            <w:r>
              <w:rPr>
                <w:rFonts w:ascii="SimSun" w:hAnsi="SimSun" w:eastAsia="SimSun" w:cs="SimSun"/>
                <w:color w:val="000000"/>
                <w:sz w:val="20"/>
              </w:rPr>
              <w:t xml:space="preserve">）各类场景内容体验≥</w:t>
            </w:r>
            <w:r>
              <w:rPr>
                <w:rFonts w:ascii="Calibri" w:hAnsi="Calibri" w:eastAsia="Calibri" w:cs="Calibri"/>
                <w:color w:val="000000"/>
                <w:sz w:val="20"/>
              </w:rPr>
              <w:t xml:space="preserve">100</w:t>
            </w:r>
            <w:r>
              <w:rPr>
                <w:rFonts w:ascii="SimSun" w:hAnsi="SimSun" w:eastAsia="SimSun" w:cs="SimSun"/>
                <w:color w:val="000000"/>
                <w:sz w:val="20"/>
              </w:rPr>
              <w:t xml:space="preserve">款</w:t>
            </w:r>
            <w:r/>
          </w:p>
          <w:p>
            <w:pPr>
              <w:numPr>
                <w:ilvl w:val="0"/>
                <w:numId w:val="14"/>
              </w:numP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具备心理综合管理软件、正向引导语音和背景音乐，每个场景不低于</w:t>
            </w:r>
            <w:r>
              <w:rPr>
                <w:rFonts w:ascii="Calibri" w:hAnsi="Calibri" w:eastAsia="Calibri" w:cs="Calibri"/>
                <w:color w:val="000000"/>
                <w:sz w:val="20"/>
              </w:rPr>
              <w:t xml:space="preserve">2</w:t>
            </w:r>
            <w:r>
              <w:rPr>
                <w:rFonts w:ascii="SimSun" w:hAnsi="SimSun" w:eastAsia="SimSun" w:cs="SimSun"/>
                <w:color w:val="000000"/>
                <w:sz w:val="20"/>
              </w:rPr>
              <w:t xml:space="preserve">个互动体验。</w:t>
            </w:r>
            <w:r/>
          </w:p>
          <w:p>
            <w:pPr>
              <w:numPr>
                <w:ilvl w:val="0"/>
                <w:numId w:val="14"/>
              </w:numP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放松场景内容≥</w:t>
            </w:r>
            <w:r>
              <w:rPr>
                <w:rFonts w:ascii="Calibri" w:hAnsi="Calibri" w:eastAsia="Calibri" w:cs="Calibri"/>
                <w:color w:val="000000"/>
                <w:sz w:val="20"/>
              </w:rPr>
              <w:t xml:space="preserve">15</w:t>
            </w:r>
            <w:r>
              <w:rPr>
                <w:rFonts w:ascii="SimSun" w:hAnsi="SimSun" w:eastAsia="SimSun" w:cs="SimSun"/>
                <w:color w:val="000000"/>
                <w:sz w:val="20"/>
              </w:rPr>
              <w:t xml:space="preserve">款 </w:t>
            </w:r>
            <w:r>
              <w:rPr>
                <w:rFonts w:ascii="Calibri" w:hAnsi="Calibri" w:eastAsia="Calibri" w:cs="Calibri"/>
                <w:color w:val="000000"/>
                <w:sz w:val="20"/>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Calibri" w:hAnsi="Calibri" w:eastAsia="Calibri" w:cs="Calibri"/>
                <w:color w:val="000000"/>
                <w:sz w:val="20"/>
              </w:rPr>
              <w:t xml:space="preserve">4</w:t>
            </w:r>
            <w:r>
              <w:rPr>
                <w:rFonts w:ascii="SimSun" w:hAnsi="SimSun" w:eastAsia="SimSun" w:cs="SimSun"/>
                <w:color w:val="000000"/>
                <w:sz w:val="20"/>
              </w:rPr>
              <w:t xml:space="preserve">）通过</w:t>
            </w:r>
            <w:r>
              <w:rPr>
                <w:rFonts w:ascii="Calibri" w:hAnsi="Calibri" w:eastAsia="Calibri" w:cs="Calibri"/>
                <w:color w:val="000000"/>
                <w:sz w:val="20"/>
              </w:rPr>
              <w:t xml:space="preserve">VR</w:t>
            </w:r>
            <w:r>
              <w:rPr>
                <w:rFonts w:ascii="SimSun" w:hAnsi="SimSun" w:eastAsia="SimSun" w:cs="SimSun"/>
                <w:color w:val="000000"/>
                <w:sz w:val="20"/>
              </w:rPr>
              <w:t xml:space="preserve">头盔进行心理量表测试，可采用头盔定位操控，检测量表≥</w:t>
            </w:r>
            <w:r>
              <w:rPr>
                <w:rFonts w:ascii="Calibri" w:hAnsi="Calibri" w:eastAsia="Calibri" w:cs="Calibri"/>
                <w:color w:val="000000"/>
                <w:sz w:val="20"/>
              </w:rPr>
              <w:t xml:space="preserve">20</w:t>
            </w:r>
            <w:r>
              <w:rPr>
                <w:rFonts w:ascii="SimSun" w:hAnsi="SimSun" w:eastAsia="SimSun" w:cs="SimSun"/>
                <w:color w:val="000000"/>
                <w:sz w:val="20"/>
              </w:rPr>
              <w:t xml:space="preserve">款，测试完成对结果进行评定并引导。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r>
      <w:tr>
        <w:trPr>
          <w:trHeight w:val="57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39"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十三、演示</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实验考试监考管理系统演示（演示项）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1.教考一体终端摄像头支架可便捷调整至取景位置并可靠固定，收纳操作简便，满足考试快速开展需要。（演示）</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2.在考试过程中教考一体终端摄像头支架位置被移动后，可便捷恢复至正常取景位置，操作简单可靠。（演示）</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3.试题编制：通过考务模块，可以编制理化生任一门实验的实操试题。（演示）</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4.教师监考：教师通过监考机可以正常开展实验实操考试监考工作。（演示）</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5.视频录制：开启实验考试，学生操作实验的过程通过视频采集系统可以录制成视频。（演示）</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6.断网考试：采集终端断网后，可以正常完成一场考试，考试结果不影响后续的正常阅卷。（演示）</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视频评卷：通过阅卷模块，可以导入答题包，支持查看评卷配置、样卷及标准卷管理、智能賦分、普通评卷、仲裁卷管理、评卷质检、评卷进度、成绩复核、成绩复核中心组、现场评分、成绩统计、分析等功能。（演示）</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演示要求：“演示项”投标时需提供上述顺序的演示视频，演示产品型号须与所投产品型号一致，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如超过15分钟，超出15分钟的视频不予认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5"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4"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采购标的对应的中小企业划分标准所属行业一览表</w:t>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5"/>
        <w:gridCol w:w="5147"/>
        <w:gridCol w:w="33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20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47" w:type="dxa"/>
            <w:vAlign w:val="center"/>
            <w:textDirection w:val="lrTb"/>
            <w:noWrap w:val="false"/>
          </w:tcPr>
          <w:p>
            <w:pPr>
              <w:ind w:left="0" w:right="0" w:firstLine="420"/>
              <w:jc w:val="center"/>
              <w:spacing w:before="0" w:after="20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92" w:type="dxa"/>
            <w:vAlign w:val="center"/>
            <w:textDirection w:val="lrTb"/>
            <w:noWrap w:val="false"/>
          </w:tcPr>
          <w:p>
            <w:pPr>
              <w:ind w:left="0" w:right="0" w:firstLine="0"/>
              <w:jc w:val="center"/>
              <w:spacing w:before="0" w:after="20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 w:type="dxa"/>
            <w:vAlign w:val="center"/>
            <w:textDirection w:val="lrTb"/>
            <w:noWrap w:val="false"/>
          </w:tcPr>
          <w:p>
            <w:pPr>
              <w:ind w:left="0" w:right="0" w:firstLine="0"/>
              <w:jc w:val="center"/>
              <w:spacing w:before="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47" w:type="dxa"/>
            <w:vAlign w:val="center"/>
            <w:textDirection w:val="lrTb"/>
            <w:noWrap w:val="false"/>
          </w:tcPr>
          <w:p>
            <w:pPr>
              <w:ind w:left="0" w:right="0" w:firstLine="0"/>
              <w:jc w:val="center"/>
              <w:spacing w:before="0" w:after="20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盐城市长江路实验学校理化生实验室标准化考场项目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2" w:type="dxa"/>
            <w:vAlign w:val="center"/>
            <w:textDirection w:val="lrTb"/>
            <w:noWrap w:val="false"/>
          </w:tcPr>
          <w:p>
            <w:pPr>
              <w:ind w:left="0" w:right="0" w:firstLine="0"/>
              <w:jc w:val="center"/>
              <w:spacing w:before="0" w:after="20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工业</w:t>
            </w:r>
            <w:r/>
          </w:p>
        </w:tc>
      </w:tr>
    </w:tbl>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第五章评标方法与评标标准</w:t>
      </w:r>
      <w:r/>
    </w:p>
    <w:p>
      <w:pPr>
        <w:pStyle w:val="687"/>
        <w:ind w:left="0" w:right="0" w:firstLine="482"/>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一、评标方法与定标原则</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本项目采用</w:t>
      </w:r>
      <w:r>
        <w:rPr>
          <w:rFonts w:ascii="Arial" w:hAnsi="Arial" w:eastAsia="Arial" w:cs="Arial"/>
          <w:color w:val="000000"/>
          <w:sz w:val="24"/>
          <w:u w:val="single"/>
        </w:rPr>
        <w:t xml:space="preserve"> 综合评分 </w:t>
      </w:r>
      <w:r>
        <w:rPr>
          <w:rFonts w:ascii="Arial" w:hAnsi="Arial" w:eastAsia="Arial" w:cs="Arial"/>
          <w:color w:val="000000"/>
          <w:sz w:val="24"/>
        </w:rPr>
        <w:t xml:space="preserve">法。投标文件满足招标文件全部实质性要求，且按照评审因素的量化指标评审得分最高的投标人为中标候选人。</w:t>
      </w:r>
      <w:r/>
    </w:p>
    <w:p>
      <w:pPr>
        <w:ind w:left="0" w:right="-4" w:firstLine="480"/>
        <w:spacing w:before="0" w:after="200" w:line="438"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r/>
    </w:p>
    <w:p>
      <w:pPr>
        <w:ind w:left="0" w:right="-4" w:firstLine="480"/>
        <w:spacing w:before="0" w:after="200" w:line="438"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排名第一的中标候选人放弃中标，或因不可抗力提出不能履行合同，或者被查实存在影响中标结果的违法行为等情形，不符合中标条件的，本项目直接重新招标，不确定其他投标人为中标人。</w:t>
      </w:r>
      <w:r/>
    </w:p>
    <w:p>
      <w:pPr>
        <w:pStyle w:val="687"/>
        <w:ind w:left="0" w:right="0" w:firstLine="482"/>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二、对投标文件的初审</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投标文件初审分为资格审查和符合性审查。</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资格审查</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开标结束后，采购人或者采购代理机构依法对投标人的资格进行审查。</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审查投标文件中的资格、资信证明文件等，以确定投标人是否具备投标资格。（资格审查需提供的材料详见《资格信誉等证明文件要求》）</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符合性审查</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评标委员会对符合资格的投标人的投标文件进行符合性审查。</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依据招标文件的规定，从投标文件的有效性、完整性和对招标文件的响应程度进行审查，以确定其是否满足招标文件的实质性要求。</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明确响应的投标应该是与招标文件要求的全部条款、条件和规格相符，没有重大偏离或保留的投标。</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评委决定投标文件的响应性只根据投标文件本身的内容，而不寻求外部的证据。</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如果投标文件没有明确响应招标文件的要求，评标委员会将按无效投标处理，投标人不得通过修改或撤销不合要求的偏离或保留而使其投标成为明确响应的投标。</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评标委员会将对确定为明确响应的投标进行进一步审核，投标文件报价出现前后不一致的，除招标文件另有规定外，按照下列规定修正：</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投标文件中开标一览表内容与投标文件中相应内容不一致的，以开标一览表为准；</w:t>
      </w:r>
      <w:r/>
    </w:p>
    <w:p>
      <w:pPr>
        <w:ind w:left="0" w:right="0" w:firstLine="0"/>
        <w:spacing w:before="0" w:after="20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大写金额和小写金额不一致的，以大写金额为准；</w:t>
      </w:r>
      <w:r/>
    </w:p>
    <w:p>
      <w:pPr>
        <w:ind w:left="0" w:right="0" w:firstLine="0"/>
        <w:spacing w:before="0" w:after="20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单价金额小数点或者百分比有明显错位的，以开标一览表的总价为准，并修改单价；</w:t>
      </w:r>
      <w:r/>
    </w:p>
    <w:p>
      <w:pPr>
        <w:ind w:left="0" w:right="0" w:firstLine="0"/>
        <w:spacing w:before="0" w:after="20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总价金额与按单价汇总金额不一致的，以单价金额计算结果为准。</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评标委员会将按上述修正错误的方法调整投标文件中的投标报价，修正后的报价应当采用书面形式，并加盖公章，或者由法定代表人或其授权的代表签字，经投标人确认后产生约束力，投标人不确认的，其投标无效。</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非单一产品采购，采购人根据采购项目技术构成、产品价格比重等合理确定核心产品，并在招标文件中载明。多家投标人提供的核心产品品牌相同的按上述规定处理。</w:t>
      </w:r>
      <w:r/>
    </w:p>
    <w:p>
      <w:pPr>
        <w:pStyle w:val="687"/>
        <w:ind w:left="0" w:right="0" w:firstLine="482"/>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三、评分标准</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政府采购政策功能落实</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、小微型企业价格扣除</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）本项目对小型和微型企业产品给予</w:t>
      </w:r>
      <w:r>
        <w:rPr>
          <w:rFonts w:ascii="SimSun" w:hAnsi="SimSun" w:eastAsia="SimSun" w:cs="SimSun"/>
          <w:color w:val="000000"/>
          <w:sz w:val="24"/>
        </w:rPr>
        <w:t xml:space="preserve">20%</w:t>
      </w:r>
      <w:r>
        <w:rPr>
          <w:rFonts w:ascii="Arial" w:hAnsi="Arial" w:eastAsia="Arial" w:cs="Arial"/>
          <w:color w:val="000000"/>
          <w:sz w:val="24"/>
        </w:rPr>
        <w:t xml:space="preserve">的扣除价格，用扣除后的价格参与评审。</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）供应商需按照采购文件的要求提供相应的《企业声明函》。</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）企业标准请参照《关于印发中小企业划型标准规定的通知》（工信部联企业</w:t>
      </w:r>
      <w:r>
        <w:rPr>
          <w:rFonts w:ascii="SimSun" w:hAnsi="SimSun" w:eastAsia="SimSun" w:cs="SimSun"/>
          <w:color w:val="000000"/>
          <w:sz w:val="24"/>
        </w:rPr>
        <w:t xml:space="preserve">[2011]300</w:t>
      </w:r>
      <w:r>
        <w:rPr>
          <w:rFonts w:ascii="Arial" w:hAnsi="Arial" w:eastAsia="Arial" w:cs="Arial"/>
          <w:color w:val="000000"/>
          <w:sz w:val="24"/>
        </w:rPr>
        <w:t xml:space="preserve">号）文件规定自行填写。</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4</w:t>
      </w:r>
      <w:r>
        <w:rPr>
          <w:rFonts w:ascii="Arial" w:hAnsi="Arial" w:eastAsia="Arial" w:cs="Arial"/>
          <w:color w:val="000000"/>
          <w:sz w:val="24"/>
        </w:rPr>
        <w:t xml:space="preserve">）在货物采购项目中，供应商提供的货物既有中小企业制造货物，也有大型企业制造货物的，不享受本办法规定的中小企业扶持政策。</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、残疾人福利单位价格扣除</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）本项目对残疾人福利性单位视同小型、微型企业，给予</w:t>
      </w:r>
      <w:r>
        <w:rPr>
          <w:rFonts w:ascii="SimSun" w:hAnsi="SimSun" w:eastAsia="SimSun" w:cs="SimSun"/>
          <w:color w:val="000000"/>
          <w:sz w:val="24"/>
        </w:rPr>
        <w:t xml:space="preserve">20%</w:t>
      </w:r>
      <w:r>
        <w:rPr>
          <w:rFonts w:ascii="Arial" w:hAnsi="Arial" w:eastAsia="Arial" w:cs="Arial"/>
          <w:color w:val="000000"/>
          <w:sz w:val="24"/>
        </w:rPr>
        <w:t xml:space="preserve">的价格扣除，用扣除后的价格参与评审。</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）残疾人福利单位标准请参照《关于促进残疾人就业政府采购政策的通知》（财库〔</w:t>
      </w:r>
      <w:r>
        <w:rPr>
          <w:rFonts w:ascii="SimSun" w:hAnsi="SimSun" w:eastAsia="SimSun" w:cs="SimSun"/>
          <w:color w:val="000000"/>
          <w:sz w:val="24"/>
        </w:rPr>
        <w:t xml:space="preserve">2017</w:t>
      </w:r>
      <w:r>
        <w:rPr>
          <w:rFonts w:ascii="Arial" w:hAnsi="Arial" w:eastAsia="Arial" w:cs="Arial"/>
          <w:color w:val="000000"/>
          <w:sz w:val="24"/>
        </w:rPr>
        <w:t xml:space="preserve">〕</w:t>
      </w:r>
      <w:r>
        <w:rPr>
          <w:rFonts w:ascii="SimSun" w:hAnsi="SimSun" w:eastAsia="SimSun" w:cs="SimSun"/>
          <w:color w:val="000000"/>
          <w:sz w:val="24"/>
        </w:rPr>
        <w:t xml:space="preserve">141</w:t>
      </w:r>
      <w:r>
        <w:rPr>
          <w:rFonts w:ascii="Arial" w:hAnsi="Arial" w:eastAsia="Arial" w:cs="Arial"/>
          <w:color w:val="000000"/>
          <w:sz w:val="24"/>
        </w:rPr>
        <w:t xml:space="preserve">号），需提供《残疾人福利性单位声明函》，格式自拟。</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、监狱和戒毒企业价格扣除</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（1）本项目对监狱和戒毒企业（简称监狱企业）视同小型、微型企业，给予20%的价格扣除，用扣除后的价格参与评审。</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）监狱企业参加政府采购活动时，需提供由省级以上监狱管理局、戒毒管理局</w:t>
      </w:r>
      <w:r>
        <w:rPr>
          <w:rFonts w:ascii="SimSun" w:hAnsi="SimSun" w:eastAsia="SimSun" w:cs="SimSun"/>
          <w:color w:val="000000"/>
          <w:sz w:val="24"/>
        </w:rPr>
        <w:t xml:space="preserve">(</w:t>
      </w:r>
      <w:r>
        <w:rPr>
          <w:rFonts w:ascii="Arial" w:hAnsi="Arial" w:eastAsia="Arial" w:cs="Arial"/>
          <w:color w:val="000000"/>
          <w:sz w:val="24"/>
        </w:rPr>
        <w:t xml:space="preserve">含新疆生产建设兵团</w:t>
      </w:r>
      <w:r>
        <w:rPr>
          <w:rFonts w:ascii="SimSun" w:hAnsi="SimSun" w:eastAsia="SimSun" w:cs="SimSun"/>
          <w:color w:val="000000"/>
          <w:sz w:val="24"/>
        </w:rPr>
        <w:t xml:space="preserve">)</w:t>
      </w:r>
      <w:r>
        <w:rPr>
          <w:rFonts w:ascii="Arial" w:hAnsi="Arial" w:eastAsia="Arial" w:cs="Arial"/>
          <w:color w:val="000000"/>
          <w:sz w:val="24"/>
        </w:rPr>
        <w:t xml:space="preserve">出具的属于监狱企业的证明文件。供应商如不提供上述证明文件，价格将不做相应扣除。</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）监狱企业标准请参照《关于政府采购支持监狱企业发展有关问题的通知》（财库</w:t>
      </w:r>
      <w:r>
        <w:rPr>
          <w:rFonts w:ascii="SimSun" w:hAnsi="SimSun" w:eastAsia="SimSun" w:cs="SimSun"/>
          <w:color w:val="000000"/>
          <w:sz w:val="24"/>
        </w:rPr>
        <w:t xml:space="preserve">[2014]68</w:t>
      </w:r>
      <w:r>
        <w:rPr>
          <w:rFonts w:ascii="Arial" w:hAnsi="Arial" w:eastAsia="Arial" w:cs="Arial"/>
          <w:color w:val="000000"/>
          <w:sz w:val="24"/>
        </w:rPr>
        <w:t xml:space="preserve">号）。</w:t>
      </w:r>
      <w:r/>
    </w:p>
    <w:p>
      <w:pPr>
        <w:ind w:left="0" w:right="0" w:firstLine="480"/>
        <w:spacing w:before="0" w:after="20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、残疾人福利单位、监狱企业属于小型、微型企业的，不重复享受政策。</w:t>
      </w:r>
      <w:r/>
    </w:p>
    <w:p>
      <w:pPr>
        <w:ind w:left="0" w:right="0" w:firstLine="48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4"/>
        </w:rPr>
        <w:t xml:space="preserve">采购节能产品、环境标志产品。</w:t>
      </w:r>
      <w:r/>
    </w:p>
    <w:p>
      <w:pPr>
        <w:ind w:left="0" w:right="0" w:firstLine="48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6、供应商对于投标产品的商品包装、快递包装应按照“财办库〔2020〕123号《关于印发《商品包装政府采购需求标准（试行）》、《快递包装政府采购需求标准（试行）》的通知》”执行。</w:t>
      </w:r>
      <w:r/>
    </w:p>
    <w:p>
      <w:pPr>
        <w:ind w:left="0" w:right="0" w:firstLine="48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7、本文件中若涉及到数据中心采购，应按照《&lt;绿色数据中心政府采购需求标准（试行）&gt;的通知》（财库〔2023〕7号）执行。</w:t>
      </w:r>
      <w:r/>
    </w:p>
    <w:p>
      <w:pPr>
        <w:ind w:left="0" w:right="0" w:firstLine="48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评标委员会仅对通过以上评审、确定为实质性响应招标文件要求的投标文件进行评价和比较。本次招标的评审方法采用综合评分法，评标委员会将按以下评审方法和标准进行评分，总分值为100分。</w:t>
      </w:r>
      <w:r/>
    </w:p>
    <w:p>
      <w:pPr>
        <w:ind w:left="0" w:right="0" w:firstLine="482"/>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9"/>
        <w:gridCol w:w="1000"/>
        <w:gridCol w:w="1040"/>
        <w:gridCol w:w="6126"/>
        <w:gridCol w:w="530"/>
      </w:tblGrid>
      <w:tr>
        <w:trPr>
          <w:trHeight w:val="5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评分项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分值</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满足采购文件要求且投标报价最低的投标报价为评标基准价，其价格分为满分。其他投标单位的价格分统一按照下列公式计算：投标报价得分=（评标基准价/投标报价）×30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w:t>
            </w:r>
            <w:r/>
          </w:p>
        </w:tc>
      </w:tr>
      <w:tr>
        <w:trPr>
          <w:trHeight w:val="21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vMerge w:val="restart"/>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vMerge w:val="restart"/>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综合实力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技术指标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根据投标人提供的投标文件，对招标文件所要求的“采购内容及技术参数要求”的响应和满足程度进行评分，完全满足或正偏离招标文件“采购内容及技术参数要求”的得满分30分，负偏离扣分。</w:t>
            </w:r>
            <w:r/>
          </w:p>
          <w:p>
            <w:pPr>
              <w:numPr>
                <w:ilvl w:val="0"/>
                <w:numId w:val="15"/>
              </w:numPr>
              <w:spacing w:before="0" w:after="0" w:line="25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加“★”项的，每负偏离一项扣1分，共计：13分；</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2.带“演示”项的，每负偏离一项扣1分，共计7分；</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3.除“★”“演示”以外项的，每负偏离一项扣0.5分，扣完为止。</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注：各投标人需针对“技术参数要求”在投标文件《技术参数偏离表》中逐条列出响应及偏差情况并予以说明。如需提供证明材料的，以提供的证明材料内容为准；未提供证明材料但通过演示视频、功能截图或书面承诺等方式能够证明满足要求的，不视为负偏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w:t>
            </w:r>
            <w:r/>
          </w:p>
        </w:tc>
      </w:tr>
      <w:tr>
        <w:trPr>
          <w:trHeight w:val="117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软件产品质量保证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1、为保证所提供软件的成熟性以及版权的合法性，投标人须提供“实验考试监考管理系统、实验教学学生端管理系统、实验考试智能管理平台”相关的软件著作权证书扫描件加盖投标人公章。</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提供上述所材料扫描件的，每提供一个的得1分，最高得3分。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r>
      <w:tr>
        <w:trPr>
          <w:trHeight w:val="21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18"/>
              </w:rPr>
              <w:t xml:space="preserve">综合实力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rPr>
                <w:rFonts w:ascii="SimSun" w:hAnsi="SimSun" w:eastAsia="SimSun" w:cs="SimSun"/>
                <w:color w:val="000000"/>
                <w:sz w:val="18"/>
              </w:rPr>
              <w:t xml:space="preserve">投标人或产品生产厂家通过质量管理体系认证、环境管理体系认证、职业健康安全管理体系，提供有效期内的认证证书每提供一项得1分，本项最高得3分。（投标时须同时提供证书原件扫描件和官网查询截图加盖投标人公章，提供不全不得分）。认证证书查询官网“全国认证认可信息公共服务平台http://cx.cnca.cn/CertECloud/index/index/page”</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2、提供所投软件产品制造商有效期内的认证证书：ITSS信息技术服务运维标准认证；提供此项证书得1分，不提供不得分。提供对应证书扫描件，并加盖投标人公章。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r>
      <w:tr>
        <w:trPr>
          <w:trHeight w:val="139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人拟派技术负责人具有系统集成项目管理工程师（或信息系统项目管理师）证书、网络信息安全类工程师证书、注册信息安全专业人员（CISP）等信息安全类证书，每提供1项得1分，同项证书不重复得分，本项最高得3分。（提供相应证书原件扫描件及相应人员2026年7月以来任意月份在本单位缴纳养老保险的证明扫描件加盖投标人公章，未提供或提供不全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r>
      <w:tr>
        <w:trPr>
          <w:trHeight w:val="10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jc w:val="both"/>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投标人或核心产品制造商自2023年1月1日以来（以合同签订时间为准），具有本项目类似业绩的，每提供一个案例得1分，最高得3分。</w:t>
            </w:r>
            <w:r/>
          </w:p>
          <w:p>
            <w:pPr>
              <w:ind w:left="0" w:right="0" w:firstLine="0"/>
              <w:jc w:val="both"/>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证明材料：1、须提供合同、验收单（或验收报告）加盖投标人公章；2、提供的证明材料须能体现相关评审因素，不提供或者不能提供有效证明的不得分。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r>
      <w:tr>
        <w:trPr>
          <w:trHeight w:val="1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9" w:type="dxa"/>
            <w:vAlign w:val="center"/>
            <w:vMerge w:val="restart"/>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vMerge w:val="restart"/>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方案设计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本项目的采购需求，提供项目设计方案，主要包括平面布局图、效果图、水电施工图，图纸设计科学、布局合理、图纸内容详细完整。提供的设计方案内容详细全面，具有科学性、针对性、可行性、逻辑合理的，得8分；方案完整基本可行的得6分；方案内容完整性欠缺的得4分；不提供或不满足需求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r>
      <w:tr>
        <w:trPr>
          <w:trHeight w:val="126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提供详尽的项目实施方案包含供货安装方案的制定，落实送货安装时间和人员安排，确保按期保质保量交付使用。内容完善可实施性强得6分，内容完善基本可行的得4分，内容有缺陷需完善后实施的得2分，不满足需求或不可行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6</w:t>
            </w:r>
            <w:r/>
          </w:p>
        </w:tc>
      </w:tr>
      <w:tr>
        <w:trPr>
          <w:trHeight w:val="10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进度保证措施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有明确的进度保证措施，从运输、安装、调试等方面进行进度安排，有完善的体系。措施完善可实施性强、体系内容详细满足项目需求的得4分，措施基本完善、体系内容基本满足项目需求的得2分，措施粗略、内容有缺陷需完善后实施的得1分，不满足需求或不可行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w:t>
            </w:r>
            <w:r/>
          </w:p>
        </w:tc>
      </w:tr>
      <w:tr>
        <w:trPr>
          <w:trHeight w:val="10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质量保障方案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有明确的质量保障目标、质量保障措施、有完善的自检体系，有独立品管部门和专门品管人员。方案完善可实施性强、自检体系内容详细满足项目需求的得4分，方案基本完善、基本满足项目需求的得3分，方案粗略、内容有缺陷需完善后实施的得2分，不满足需求或不可行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4</w:t>
            </w:r>
            <w:r/>
          </w:p>
        </w:tc>
      </w:tr>
      <w:tr>
        <w:trPr>
          <w:trHeight w:val="104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售后服务及培训方案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6" w:type="dxa"/>
            <w:vAlign w:val="center"/>
            <w:textDirection w:val="lrTb"/>
            <w:noWrap w:val="false"/>
          </w:tcPr>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提供详细完整的售后服务措施和方案、保障措施，主要包括售后服务资质、服务团队专业人员、响应程度、质保期外维修服务网点及数量、备品备件的准备等内容进行打分。培训方案，包括不限于：培训方式与计划、培训讲师、形成正式文件等，评委会根据方案内容综合评分，最高得5分。</w:t>
              <w:br/>
              <w:t xml:space="preserve">1、售后服务及培训方案方案内容详细完整、售后服务体系完备、维护人员及驻场服务人员充足且服务方案针对性强，措施合理，故障响应及修复时间及反馈机制；培训方案完整合理，培训讲师经验丰富、教材完备、可行性强的，得5分；</w:t>
              <w:br/>
              <w:t xml:space="preserve">2、提供的方案在售后服务、培训方案中存在不</w:t>
            </w:r>
            <w:r>
              <w:rPr>
                <w:rFonts w:ascii="SimSun" w:hAnsi="SimSun" w:eastAsia="SimSun" w:cs="SimSun"/>
                <w:color w:val="000000"/>
                <w:sz w:val="18"/>
              </w:rPr>
              <w:t xml:space="preserve">足，但不影响项目实施的，得 4分；</w:t>
              <w:br/>
              <w:t xml:space="preserve">3、提供的方案售后服务、培训方案中有缺漏或相关度不高的，得 3 分；</w:t>
              <w:br/>
              <w:t xml:space="preserve">4、未提交任何方案，或方案完全不符合项目实际需要，得 0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20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5</w:t>
            </w:r>
            <w:r/>
          </w:p>
        </w:tc>
      </w:tr>
    </w:tbl>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br w:type="page" w:clear="all"/>
      </w:r>
      <w:r/>
    </w:p>
    <w:p>
      <w:pPr>
        <w:pStyle w:val="684"/>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第六章投标文件格式</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（正本或副本）</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招标 编 号：</w:t>
      </w:r>
      <w:r>
        <w:rPr>
          <w:rFonts w:ascii="SimSun" w:hAnsi="SimSun" w:eastAsia="SimSun" w:cs="SimSun"/>
          <w:b/>
          <w:color w:val="000000"/>
          <w:sz w:val="36"/>
          <w:u w:val="single"/>
        </w:rPr>
        <w:t xml:space="preserve">              </w:t>
      </w:r>
      <w:r/>
    </w:p>
    <w:p>
      <w:pPr>
        <w:ind w:left="0" w:right="0" w:firstLine="1084"/>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w:t>
      </w:r>
      <w:r>
        <w:rPr>
          <w:rFonts w:ascii="SimSun" w:hAnsi="SimSun" w:eastAsia="SimSun" w:cs="SimSun"/>
          <w:b/>
          <w:color w:val="000000"/>
          <w:sz w:val="36"/>
          <w:u w:val="single"/>
        </w:rPr>
        <w:t xml:space="preserve">  （加盖CA电子公章）    </w:t>
      </w:r>
      <w:r/>
    </w:p>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2891"/>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投标主要文件目录</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一、法人或者其他组织的营业执照等证明文件，自然人的身份证明</w:t>
      </w:r>
      <w:r/>
    </w:p>
    <w:p>
      <w:pPr>
        <w:ind w:left="0" w:right="0" w:firstLine="48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二、上一年度的财务状况报表</w:t>
      </w:r>
      <w:r>
        <w:rPr>
          <w:rFonts w:ascii="SimSun" w:hAnsi="SimSun" w:eastAsia="SimSun" w:cs="SimSun"/>
          <w:b/>
          <w:color w:val="000000"/>
          <w:sz w:val="24"/>
          <w:u w:val="single"/>
        </w:rPr>
        <w:t xml:space="preserve">（至少提供资产负债表、利润表、现金流量表，</w:t>
      </w:r>
      <w:r/>
    </w:p>
    <w:p>
      <w:pPr>
        <w:ind w:left="48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投标人成立不满一年无需提供）</w:t>
      </w:r>
      <w:r/>
    </w:p>
    <w:p>
      <w:pPr>
        <w:ind w:left="48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三、具备履行合同所必需的设备和专业技术能力的书面声明</w:t>
      </w:r>
      <w:r/>
    </w:p>
    <w:p>
      <w:pPr>
        <w:ind w:left="48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五、参加政府采购活动前 3 年内在经营活动中没有重大违法记录的书面声明</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六、法人授权书</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七、投标函</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八、小微企业声明函</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九、残疾人福利性单位声明函</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十、投标分项报价表</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十一、技术参数响应及偏离表</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十二、商务条款响应及偏离表</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十三、开标一览表</w:t>
      </w:r>
      <w:r/>
    </w:p>
    <w:p>
      <w:pPr>
        <w:ind w:left="0" w:right="0" w:firstLine="480"/>
        <w:jc w:val="both"/>
        <w:spacing w:before="50" w:after="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十四、技术文件</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十五、盐城经济技术开发区政府采购事前信用承诺书</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十六、招标文件中规定要求提供的证明材料和投标人认为需要提供的其他材料</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二、上一年度的财务状况报表</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投标人成立不满一年无需提供</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三、具备履行合同所必需的设备和专业技术能力的书面声明</w:t>
      </w:r>
      <w:r/>
    </w:p>
    <w:p>
      <w:pPr>
        <w:ind w:left="0" w:right="0" w:firstLine="492"/>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3840"/>
        <w:spacing w:before="0" w:after="20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供应商名称（公章）：</w:t>
      </w:r>
      <w:r>
        <w:rPr>
          <w:rFonts w:ascii="Arial" w:hAnsi="Arial" w:eastAsia="Arial" w:cs="Arial"/>
          <w:b/>
          <w:i/>
          <w:color w:val="000000"/>
          <w:sz w:val="24"/>
          <w:u w:val="single"/>
        </w:rPr>
        <w:t xml:space="preserve">（加盖</w:t>
      </w:r>
      <w:r>
        <w:rPr>
          <w:rFonts w:ascii="SimSun" w:hAnsi="SimSun" w:eastAsia="SimSun" w:cs="SimSun"/>
          <w:b/>
          <w:i/>
          <w:color w:val="000000"/>
          <w:sz w:val="24"/>
          <w:u w:val="single"/>
        </w:rPr>
        <w:t xml:space="preserve">CA</w:t>
      </w:r>
      <w:r>
        <w:rPr>
          <w:rFonts w:ascii="Arial" w:hAnsi="Arial" w:eastAsia="Arial" w:cs="Arial"/>
          <w:b/>
          <w:i/>
          <w:color w:val="000000"/>
          <w:sz w:val="24"/>
          <w:u w:val="single"/>
        </w:rPr>
        <w:t xml:space="preserve">电子公章）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法定代表人或授权代表（签字或盖章）：</w:t>
      </w:r>
      <w:r/>
    </w:p>
    <w:p>
      <w:pPr>
        <w:ind w:left="0" w:right="0" w:firstLine="480"/>
        <w:jc w:val="both"/>
        <w:spacing w:before="240" w:after="24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rPr>
          <w:rFonts w:ascii="SimSun" w:hAnsi="SimSun" w:eastAsia="SimSun" w:cs="SimSun"/>
          <w:color w:val="000000"/>
          <w:sz w:val="24"/>
        </w:rPr>
        <w:t xml:space="preserve">                                 </w:t>
      </w:r>
      <w:r>
        <w:rPr>
          <w:rFonts w:ascii="Arial" w:hAnsi="Arial" w:eastAsia="Arial" w:cs="Arial"/>
          <w:color w:val="000000"/>
          <w:sz w:val="24"/>
        </w:rPr>
        <w:t xml:space="preserve">日期：</w:t>
      </w:r>
      <w:r>
        <w:rPr>
          <w:rFonts w:ascii="Arial" w:hAnsi="Arial" w:eastAsia="Arial" w:cs="Arial"/>
          <w:color w:val="000000"/>
          <w:sz w:val="24"/>
          <w:u w:val="single"/>
        </w:rPr>
        <w:t xml:space="preserve">     </w:t>
      </w:r>
      <w:r>
        <w:rPr>
          <w:rFonts w:ascii="Arial" w:hAnsi="Arial" w:eastAsia="Arial" w:cs="Arial"/>
          <w:color w:val="000000"/>
          <w:sz w:val="24"/>
        </w:rPr>
        <w:t xml:space="preserve">年</w:t>
      </w:r>
      <w:r>
        <w:rPr>
          <w:rFonts w:ascii="Arial" w:hAnsi="Arial" w:eastAsia="Arial" w:cs="Arial"/>
          <w:color w:val="000000"/>
          <w:sz w:val="24"/>
          <w:u w:val="single"/>
        </w:rPr>
        <w:t xml:space="preserve">    </w:t>
      </w:r>
      <w:r>
        <w:rPr>
          <w:rFonts w:ascii="Arial" w:hAnsi="Arial" w:eastAsia="Arial" w:cs="Arial"/>
          <w:color w:val="000000"/>
          <w:sz w:val="24"/>
        </w:rPr>
        <w:t xml:space="preserve">月</w:t>
      </w:r>
      <w:r>
        <w:rPr>
          <w:rFonts w:ascii="Arial" w:hAnsi="Arial" w:eastAsia="Arial" w:cs="Arial"/>
          <w:color w:val="000000"/>
          <w:sz w:val="24"/>
          <w:u w:val="single"/>
        </w:rPr>
        <w:t xml:space="preserve">    </w:t>
      </w:r>
      <w:r>
        <w:rPr>
          <w:rFonts w:ascii="Arial" w:hAnsi="Arial" w:eastAsia="Arial" w:cs="Arial"/>
          <w:color w:val="000000"/>
          <w:sz w:val="24"/>
        </w:rPr>
        <w:t xml:space="preserve">日</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四、依法缴纳税收和社会保障资金的相关材料</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rPr>
          <w:rFonts w:ascii="SimSun" w:hAnsi="SimSun" w:eastAsia="SimSun" w:cs="SimSun"/>
          <w:b/>
          <w:color w:val="000000"/>
          <w:sz w:val="44"/>
        </w:rPr>
        <w:t xml:space="preserve">      </w:t>
      </w:r>
      <w:r/>
    </w:p>
    <w:p>
      <w:pPr>
        <w:ind w:left="0" w:right="0" w:firstLine="3092"/>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  明</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60"/>
        <w:spacing w:before="0" w:after="20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供应商名称（公章）：</w:t>
      </w:r>
      <w:r>
        <w:rPr>
          <w:rFonts w:ascii="Arial" w:hAnsi="Arial" w:eastAsia="Arial" w:cs="Arial"/>
          <w:b/>
          <w:i/>
          <w:color w:val="000000"/>
          <w:sz w:val="24"/>
          <w:u w:val="single"/>
        </w:rPr>
        <w:t xml:space="preserve">（加盖</w:t>
      </w:r>
      <w:r>
        <w:rPr>
          <w:rFonts w:ascii="SimSun" w:hAnsi="SimSun" w:eastAsia="SimSun" w:cs="SimSun"/>
          <w:b/>
          <w:i/>
          <w:color w:val="000000"/>
          <w:sz w:val="24"/>
          <w:u w:val="single"/>
        </w:rPr>
        <w:t xml:space="preserve">CA</w:t>
      </w:r>
      <w:r>
        <w:rPr>
          <w:rFonts w:ascii="Arial" w:hAnsi="Arial" w:eastAsia="Arial" w:cs="Arial"/>
          <w:b/>
          <w:i/>
          <w:color w:val="000000"/>
          <w:sz w:val="24"/>
          <w:u w:val="single"/>
        </w:rPr>
        <w:t xml:space="preserve">电子公章）</w:t>
      </w:r>
      <w:r/>
    </w:p>
    <w:p>
      <w:pPr>
        <w:ind w:left="0" w:right="0" w:firstLine="0"/>
        <w:spacing w:before="0" w:after="20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法定代表人或授权代表（签字或盖章）：</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rPr>
          <w:rFonts w:ascii="SimSun" w:hAnsi="SimSun" w:eastAsia="SimSun" w:cs="SimSun"/>
          <w:color w:val="000000"/>
          <w:sz w:val="24"/>
        </w:rPr>
        <w:t xml:space="preserve">                                              </w:t>
      </w:r>
      <w:r>
        <w:rPr>
          <w:rFonts w:ascii="Arial" w:hAnsi="Arial" w:eastAsia="Arial" w:cs="Arial"/>
          <w:color w:val="000000"/>
          <w:sz w:val="24"/>
        </w:rPr>
        <w:t xml:space="preserve">     日期：</w:t>
      </w:r>
      <w:r>
        <w:rPr>
          <w:rFonts w:ascii="Arial" w:hAnsi="Arial" w:eastAsia="Arial" w:cs="Arial"/>
          <w:color w:val="000000"/>
          <w:sz w:val="24"/>
          <w:u w:val="single"/>
        </w:rPr>
        <w:t xml:space="preserve">     </w:t>
      </w:r>
      <w:r>
        <w:rPr>
          <w:rFonts w:ascii="Arial" w:hAnsi="Arial" w:eastAsia="Arial" w:cs="Arial"/>
          <w:color w:val="000000"/>
          <w:sz w:val="24"/>
        </w:rPr>
        <w:t xml:space="preserve">年</w:t>
      </w:r>
      <w:r>
        <w:rPr>
          <w:rFonts w:ascii="Arial" w:hAnsi="Arial" w:eastAsia="Arial" w:cs="Arial"/>
          <w:color w:val="000000"/>
          <w:sz w:val="24"/>
          <w:u w:val="single"/>
        </w:rPr>
        <w:t xml:space="preserve">    </w:t>
      </w:r>
      <w:r>
        <w:rPr>
          <w:rFonts w:ascii="Arial" w:hAnsi="Arial" w:eastAsia="Arial" w:cs="Arial"/>
          <w:color w:val="000000"/>
          <w:sz w:val="24"/>
        </w:rPr>
        <w:t xml:space="preserve">月</w:t>
      </w:r>
      <w:r>
        <w:rPr>
          <w:rFonts w:ascii="Arial" w:hAnsi="Arial" w:eastAsia="Arial" w:cs="Arial"/>
          <w:color w:val="000000"/>
          <w:sz w:val="24"/>
          <w:u w:val="single"/>
        </w:rPr>
        <w:t xml:space="preserve">    </w:t>
      </w:r>
      <w:r>
        <w:rPr>
          <w:rFonts w:ascii="Arial" w:hAnsi="Arial" w:eastAsia="Arial" w:cs="Arial"/>
          <w:color w:val="000000"/>
          <w:sz w:val="24"/>
        </w:rPr>
        <w:t xml:space="preserve">日</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六、法人授权书</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72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jc w:val="both"/>
        <w:spacing w:before="0" w:after="20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2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ind w:left="0" w:right="0" w:firstLine="3390"/>
        <w:jc w:val="both"/>
        <w:spacing w:before="260" w:after="26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Hei" w:hAnsi="SimHei" w:eastAsia="SimHei" w:cs="SimHei"/>
          <w:b/>
          <w:i/>
          <w:color w:val="000000"/>
          <w:sz w:val="32"/>
          <w:u w:val="single"/>
        </w:rPr>
        <w:t xml:space="preserve">七、投标函</w:t>
      </w:r>
      <w:r/>
    </w:p>
    <w:p>
      <w:pPr>
        <w:ind w:left="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盐城市长江路实验学校</w:t>
      </w:r>
      <w:r/>
    </w:p>
    <w:p>
      <w:pPr>
        <w:ind w:left="0" w:right="0" w:firstLine="48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b/>
          <w:color w:val="000000"/>
          <w:sz w:val="36"/>
          <w:u w:val="single"/>
        </w:rPr>
        <w:t xml:space="preserve">           </w:t>
      </w:r>
      <w:r>
        <w:rPr>
          <w:rFonts w:ascii="SimSun" w:hAnsi="SimSun" w:eastAsia="SimSun" w:cs="SimSun"/>
          <w:color w:val="000000"/>
          <w:sz w:val="24"/>
        </w:rPr>
        <w:t xml:space="preserve">号招标文件，正式授权下述签字人_________________(姓名)代表我方______________（投标人的名称），全权处理本次项目投标的有关事宜。</w:t>
      </w:r>
      <w:r/>
    </w:p>
    <w:p>
      <w:pPr>
        <w:ind w:left="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1.按招标文件规定的各项要求，向贵方提供所需服务。</w:t>
      </w:r>
      <w:r/>
    </w:p>
    <w:p>
      <w:pPr>
        <w:ind w:left="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2.我方完全理解贵方不一定将合同授予最低报价的投标人。</w:t>
      </w:r>
      <w:r/>
    </w:p>
    <w:p>
      <w:pPr>
        <w:ind w:left="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3.我方已详细审核全部招标文件及其有效补充文件，我方知道必须放弃提出含糊不清或误解问题的权利。</w:t>
      </w:r>
      <w:r/>
    </w:p>
    <w:p>
      <w:pPr>
        <w:ind w:left="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4.我方同意从规定的开标日期起遵循本投标文件，并在规定的投标有效期期满之前均具有约束力。</w:t>
      </w:r>
      <w:r/>
    </w:p>
    <w:p>
      <w:pPr>
        <w:ind w:left="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5.如果在开标后规定的投标有效期内撤回投标或中标后拒绝签订合同，则按照国家相关法律法规受到相应处罚。</w:t>
      </w:r>
      <w:r/>
    </w:p>
    <w:p>
      <w:pPr>
        <w:ind w:left="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6.同意向贵方提供贵方可能另外要求的与投标有关的任何证据或资料，并保证我方已提供和将要提供的文件是真实的、准确的。</w:t>
      </w:r>
      <w:r/>
    </w:p>
    <w:p>
      <w:pPr>
        <w:ind w:left="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7.一旦我方中标,我方将根据招标文件的规定，严格履行合同的责任和义务,并保证在招标文件规定的时间完成项目，交付买方验收、使用。</w:t>
      </w:r>
      <w:r/>
    </w:p>
    <w:p>
      <w:pPr>
        <w:ind w:left="425"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8.与本投标有关的正式通讯地址为：</w:t>
      </w:r>
      <w:r/>
    </w:p>
    <w:p>
      <w:pPr>
        <w:ind w:left="56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56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56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56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56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56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 </w:t>
      </w:r>
      <w:r/>
    </w:p>
    <w:p>
      <w:pPr>
        <w:ind w:left="56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投标人授权代表姓名（签字）： </w:t>
      </w:r>
      <w:r/>
    </w:p>
    <w:p>
      <w:pPr>
        <w:ind w:left="56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 </w:t>
      </w:r>
      <w:r/>
    </w:p>
    <w:p>
      <w:pPr>
        <w:ind w:left="56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560" w:right="0" w:firstLine="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321"/>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321"/>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八、小微企业声明函（货物）</w:t>
      </w:r>
      <w:r/>
    </w:p>
    <w:p>
      <w:pPr>
        <w:ind w:left="0" w:right="0" w:firstLine="36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组织的采购编号为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  </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36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color w:val="000000"/>
          <w:sz w:val="32"/>
        </w:rPr>
        <w:t xml:space="preserve">九、残疾人福利性单位声明函</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624"/>
        <w:jc w:val="center"/>
        <w:spacing w:before="100" w:after="100" w:line="24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十、投标分项报价表</w:t>
      </w:r>
      <w:r/>
    </w:p>
    <w:p>
      <w:pPr>
        <w:ind w:left="0" w:right="0" w:firstLine="120"/>
        <w:spacing w:before="0" w:after="20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投标人全称：</w:t>
      </w:r>
      <w:r>
        <w:rPr>
          <w:rFonts w:ascii="SimSun" w:hAnsi="SimSun" w:eastAsia="SimSun" w:cs="SimSun"/>
          <w:color w:val="000000"/>
          <w:sz w:val="24"/>
        </w:rPr>
        <w:t xml:space="preserve">（加盖CA电子签章）</w:t>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4"/>
        <w:gridCol w:w="2319"/>
        <w:gridCol w:w="2256"/>
        <w:gridCol w:w="591"/>
        <w:gridCol w:w="728"/>
        <w:gridCol w:w="728"/>
        <w:gridCol w:w="7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所投货物品牌(或生产企业)及型号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合价（元）</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3"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一、考场实验操作教考管理平台软件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实验考试监考管理系统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实验考试学生端管理系统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实验教学学生端管理系统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实验教学教师端管理系统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3"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二、考试终端、管理终端及网络设备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16"/>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实验室智慧工作站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教考一体终端（核心产品）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高清电子目镜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智慧终端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无线投屏器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桌垫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3"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三、实验室设备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教师演示讲台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教师演示讲台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教师演示讲台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实验室专用水槽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三联高低位龙头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洗眼器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紧急冲淋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化学学生实验桌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学生实验桌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多功能防溅水槽柜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升降折叠水龙头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下水装置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多功能柱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3"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四、物理吊装及控制系统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教师演示电源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集中控制系统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电源供应装置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模块储藏装置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低压电源模块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伸缩线束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电源模块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智能升降系统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综合布线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安装支架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3"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五、化学吊装及控制，通风系统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教师演示电源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通风矢量控制系统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顶装智能控制平台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远程控制系统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温湿度监视系统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铝合金万向罩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万向吸风罩底座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行程通风系统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行程通风系统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防腐风机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风机控制线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主体框架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防尘保护罩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智能摇臂升降系统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多功能电源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急停装置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供电线路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智能控制系统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系统安装辅件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3"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六、生物吊装及控制系统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教师演示电源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智能控制平台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远程控制系统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监视系统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主体框架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防尘保护罩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升降系统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急停装置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供电线路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智能控制系统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系统安装辅件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3"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七、考场辅助设备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巡考摄像头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拾音器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信号屏蔽器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3"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八、校级平台</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实验考试智能管理平台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实验考试阅卷管理系统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实验教学智能管理平台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AI智能赋分系统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运维监管系统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应用管理服务器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AI算法服务器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监控硬盘录像机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三层交换机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路由器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校机房改造及配件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3"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九、抽签室</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抽签打印机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实验室智慧工作站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巡考摄像头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拾音器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3"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十、装修</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室内文化布置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辅材、综合布线、安装调试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室内文化布置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辅材、综合布线、安装调试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室外装饰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3" w:type="dxa"/>
            <w:vAlign w:val="center"/>
            <w:textDirection w:val="lrTb"/>
            <w:noWrap/>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十一、户外LED显示屏</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室外LED模组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平方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29.49</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LED专用电源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全彩接收卡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视频处理器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钢架结构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平方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箱体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平方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屏体后盖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平方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智能配电柜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辅材及安装调试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用电接入及恢复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安装调试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3"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十二、初中理化虚拟现实AI教学系统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学生端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教师端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智慧课堂系统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运动单车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9"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VR双人蛋椅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6"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8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84" w:type="dxa"/>
            <w:vAlign w:val="center"/>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合计：</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0" w:type="dxa"/>
            <w:vAlign w:val="center"/>
            <w:textDirection w:val="lrTb"/>
            <w:noWrap w:val="false"/>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大写：</w:t>
            </w:r>
            <w:r>
              <w:rPr>
                <w:rFonts w:ascii="SimSun" w:hAnsi="SimSun" w:eastAsia="SimSun" w:cs="SimSun"/>
                <w:b/>
                <w:color w:val="000000"/>
                <w:sz w:val="18"/>
                <w:u w:val="single"/>
              </w:rPr>
              <w:t xml:space="preserve">          </w:t>
            </w:r>
            <w:r>
              <w:rPr>
                <w:rFonts w:ascii="SimSun" w:hAnsi="SimSun" w:eastAsia="SimSun" w:cs="SimSun"/>
                <w:b/>
                <w:color w:val="000000"/>
                <w:sz w:val="18"/>
              </w:rPr>
              <w:t xml:space="preserve"> 小写：</w:t>
            </w:r>
            <w:r>
              <w:rPr>
                <w:rFonts w:ascii="SimSun" w:hAnsi="SimSun" w:eastAsia="SimSun" w:cs="SimSun"/>
                <w:b/>
                <w:color w:val="000000"/>
                <w:sz w:val="28"/>
                <w:u w:val="single"/>
              </w:rPr>
              <w:t xml:space="preserve">       </w:t>
            </w:r>
            <w:r/>
          </w:p>
        </w:tc>
      </w:tr>
    </w:tbl>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0"/>
        <w:spacing w:before="0" w:after="20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注</w:t>
      </w:r>
      <w:r>
        <w:rPr>
          <w:rFonts w:ascii="SimSun" w:hAnsi="SimSun" w:eastAsia="SimSun" w:cs="SimSun"/>
          <w:color w:val="000000"/>
          <w:sz w:val="24"/>
        </w:rPr>
        <w:t xml:space="preserve">1.</w:t>
      </w:r>
      <w:r>
        <w:rPr>
          <w:rFonts w:ascii="Arial" w:hAnsi="Arial" w:eastAsia="Arial" w:cs="Arial"/>
          <w:color w:val="000000"/>
          <w:sz w:val="24"/>
        </w:rPr>
        <w:t xml:space="preserve">投标报价应是招标文件所确定招标范围内全部工作内容的价格体现，投标人的报价应包括所投产品（含相关附配件、软件）费用、包装费、运输费、装卸费、安装调试费、测试费、培训费、验收费、质量保修期内维保费、售后服务费、投标费用、税金、各类风险费、管理费、利润、招标代理费及其他有关的为完成本项目发生的所有费用，对投标人认为没有考虑到的费用项目采购人将不予支付，并认为此项费用已包含在投标报价中；</w:t>
      </w:r>
      <w:r/>
    </w:p>
    <w:p>
      <w:pPr>
        <w:ind w:left="0" w:right="0" w:firstLine="48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本项目提供相同品牌</w:t>
      </w:r>
      <w:r>
        <w:rPr>
          <w:rFonts w:ascii="Arial" w:hAnsi="Arial" w:eastAsia="Arial" w:cs="Arial"/>
          <w:b/>
          <w:color w:val="000000"/>
          <w:sz w:val="24"/>
        </w:rPr>
        <w:t xml:space="preserve">核心产品</w:t>
      </w:r>
      <w:r>
        <w:rPr>
          <w:rFonts w:ascii="SimSun" w:hAnsi="SimSun" w:eastAsia="SimSun" w:cs="SimSun"/>
          <w:b/>
          <w:color w:val="000000"/>
          <w:sz w:val="24"/>
        </w:rPr>
        <w:t xml:space="preserve">（</w:t>
      </w:r>
      <w:r>
        <w:rPr>
          <w:rFonts w:ascii="Arial" w:hAnsi="Arial" w:eastAsia="Arial" w:cs="Arial"/>
          <w:b/>
          <w:color w:val="000000"/>
          <w:sz w:val="24"/>
        </w:rPr>
        <w:t xml:space="preserve">教考一体终端</w:t>
      </w:r>
      <w:r>
        <w:rPr>
          <w:rFonts w:ascii="SimSun" w:hAnsi="SimSun" w:eastAsia="SimSun" w:cs="SimSun"/>
          <w:b/>
          <w:color w:val="000000"/>
          <w:sz w:val="24"/>
        </w:rPr>
        <w:t xml:space="preserve">）</w:t>
      </w:r>
      <w:r>
        <w:rPr>
          <w:rFonts w:ascii="Arial" w:hAnsi="Arial" w:eastAsia="Arial" w:cs="Arial"/>
          <w:color w:val="000000"/>
          <w:sz w:val="24"/>
        </w:rPr>
        <w:t xml:space="preserve">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p>
    <w:p>
      <w:pPr>
        <w:ind w:left="0" w:right="0" w:firstLine="480"/>
        <w:spacing w:before="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w:t>
      </w:r>
      <w:r>
        <w:rPr>
          <w:rFonts w:ascii="Arial" w:hAnsi="Arial" w:eastAsia="Arial" w:cs="Arial"/>
          <w:color w:val="000000"/>
          <w:sz w:val="24"/>
        </w:rPr>
        <w:t xml:space="preserve">高于最高限价的作无效标</w:t>
      </w:r>
      <w:r>
        <w:rPr>
          <w:rFonts w:ascii="SimSun" w:hAnsi="SimSun" w:eastAsia="SimSun" w:cs="SimSun"/>
          <w:color w:val="000000"/>
          <w:sz w:val="24"/>
        </w:rPr>
        <w:t xml:space="preserve">处理</w:t>
      </w:r>
      <w:r>
        <w:rPr>
          <w:rFonts w:ascii="Arial" w:hAnsi="Arial" w:eastAsia="Arial" w:cs="Arial"/>
          <w:color w:val="000000"/>
          <w:sz w:val="24"/>
        </w:rPr>
        <w:t xml:space="preserve">。</w:t>
      </w:r>
      <w:r/>
    </w:p>
    <w:p>
      <w:pPr>
        <w:ind w:left="0" w:right="0" w:firstLine="48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20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投标单位：</w:t>
      </w:r>
      <w:r>
        <w:rPr>
          <w:rFonts w:ascii="SimSun" w:hAnsi="SimSun" w:eastAsia="SimSun" w:cs="SimSun"/>
          <w:color w:val="000000"/>
          <w:sz w:val="24"/>
        </w:rPr>
        <w:t xml:space="preserve">（加盖CA电子签章）</w:t>
      </w:r>
      <w:r/>
    </w:p>
    <w:p>
      <w:pPr>
        <w:ind w:left="0" w:right="0" w:firstLine="48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20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法定代表人或代理人：</w:t>
      </w:r>
      <w:r>
        <w:rPr>
          <w:rFonts w:ascii="SimSun" w:hAnsi="SimSun" w:eastAsia="SimSun" w:cs="SimSun"/>
          <w:color w:val="000000"/>
          <w:sz w:val="24"/>
        </w:rPr>
        <w:t xml:space="preserve"> </w:t>
      </w:r>
      <w:r>
        <w:rPr>
          <w:rFonts w:ascii="Arial" w:hAnsi="Arial" w:eastAsia="Arial" w:cs="Arial"/>
          <w:color w:val="000000"/>
          <w:sz w:val="24"/>
        </w:rPr>
        <w:t xml:space="preserve">（签字或盖章）</w:t>
      </w:r>
      <w:r/>
    </w:p>
    <w:p>
      <w:pPr>
        <w:ind w:left="0" w:right="0" w:firstLine="0"/>
        <w:jc w:val="right"/>
        <w:spacing w:before="0" w:after="200" w:line="273" w:lineRule="atLeast"/>
        <w:tabs>
          <w:tab w:val="left" w:pos="180" w:leader="none"/>
        </w:tabs>
        <w:pBdr>
          <w:top w:val="none" w:color="000000" w:sz="4" w:space="0"/>
          <w:left w:val="none" w:color="000000" w:sz="4" w:space="0"/>
          <w:bottom w:val="none" w:color="000000" w:sz="4" w:space="0"/>
          <w:right w:val="none" w:color="000000" w:sz="4" w:space="0"/>
        </w:pBdr>
      </w:pPr>
      <w:r>
        <w:rPr>
          <w:rFonts w:ascii="Tahoma" w:hAnsi="Tahoma" w:eastAsia="Tahoma" w:cs="Tahoma"/>
          <w:color w:val="000000"/>
          <w:sz w:val="24"/>
        </w:rPr>
        <w:t xml:space="preserve"> </w:t>
      </w:r>
      <w:r/>
    </w:p>
    <w:p>
      <w:pPr>
        <w:ind w:left="0" w:right="480" w:firstLine="1440"/>
        <w:jc w:val="right"/>
        <w:spacing w:before="0" w:after="200" w:line="273" w:lineRule="atLeast"/>
        <w:tabs>
          <w:tab w:val="left" w:pos="1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日期：年月日</w:t>
      </w:r>
      <w:r/>
    </w:p>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十一、技术参数响应及偏离表</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4"/>
        <w:gridCol w:w="2852"/>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注：1、按照基本技术要求详细填列。</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480"/>
        <w:spacing w:before="0" w:after="20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投标人按照自身实际服务能力填写投标技术参数要求，所有技术参数要求必须在此表体现，不接受其他形式的投标技术响应说明；投标技术参数要求不得低于招标文件要求的技术参数，未填写投标技术参数要求及达不到技术参数要求的按本项目评分标准中技术符合性的约定作相应处理。</w:t>
      </w:r>
      <w:r/>
    </w:p>
    <w:p>
      <w:pPr>
        <w:ind w:left="0" w:right="0" w:firstLine="480"/>
        <w:spacing w:before="0" w:after="20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4.投标人如在投标过程中提供虚假材料谋取中标成交的或采取不正当手段诋毁、排挤其他供应商的,将承担相应法律责任。</w:t>
      </w:r>
      <w:r/>
    </w:p>
    <w:p>
      <w:pPr>
        <w:pStyle w:val="685"/>
        <w:ind w:left="0" w:right="0" w:firstLine="3213"/>
        <w:jc w:val="both"/>
        <w:spacing w:before="120" w:after="249"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十二、商务条款响应及偏离表</w:t>
      </w:r>
      <w:r/>
    </w:p>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48"/>
        <w:gridCol w:w="2700"/>
        <w:gridCol w:w="1260"/>
        <w:gridCol w:w="3020"/>
      </w:tblGrid>
      <w:tr>
        <w:trPr>
          <w:trHeight w:val="6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投标人的承诺或说明</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售后技术服务要求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43"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43"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交验方式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43"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43"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52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投标人（加盖CA电子签章）：</w:t>
      </w:r>
      <w:r/>
    </w:p>
    <w:p>
      <w:pPr>
        <w:ind w:left="0" w:right="0" w:firstLine="3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pStyle w:val="685"/>
        <w:ind w:left="0" w:right="0" w:firstLine="3213"/>
        <w:jc w:val="both"/>
        <w:spacing w:before="120" w:after="249"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85"/>
        <w:ind w:left="0" w:right="0" w:firstLine="3213"/>
        <w:jc w:val="both"/>
        <w:spacing w:before="120" w:after="249"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85"/>
        <w:ind w:left="0" w:right="0" w:firstLine="3213"/>
        <w:jc w:val="both"/>
        <w:spacing w:before="120" w:after="249"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85"/>
        <w:ind w:left="0" w:right="0" w:firstLine="3213"/>
        <w:jc w:val="both"/>
        <w:spacing w:before="120" w:after="249"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685"/>
        <w:ind w:left="0" w:right="0" w:firstLine="3213"/>
        <w:jc w:val="both"/>
        <w:spacing w:before="120" w:after="249"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十三、开标一览表</w:t>
      </w:r>
      <w:r/>
    </w:p>
    <w:tbl>
      <w:tblPr>
        <w:tblStyle w:val="7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47"/>
        <w:gridCol w:w="6971"/>
      </w:tblGrid>
      <w:tr>
        <w:trPr>
          <w:trHeight w:val="9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 目 编 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71" w:type="dxa"/>
            <w:vAlign w:val="center"/>
            <w:textDirection w:val="lrTb"/>
            <w:noWrap w:val="false"/>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 目 名 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1" w:type="dxa"/>
            <w:vAlign w:val="center"/>
            <w:textDirection w:val="lrTb"/>
            <w:noWrap w:val="false"/>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盐城市长江路实验学校理化生实验室标准化考场项目</w:t>
            </w:r>
            <w:r/>
          </w:p>
        </w:tc>
      </w:tr>
      <w:tr>
        <w:trPr>
          <w:trHeight w:val="85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8" w:type="dxa"/>
            <w:vAlign w:val="center"/>
            <w:textDirection w:val="lrTb"/>
            <w:noWrap w:val="false"/>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项目投标报价：（大写）</w:t>
            </w:r>
            <w:r>
              <w:rPr>
                <w:rFonts w:ascii="SimSun" w:hAnsi="SimSun" w:eastAsia="SimSun" w:cs="SimSun"/>
                <w:b/>
                <w:color w:val="000000"/>
                <w:sz w:val="28"/>
                <w:u w:val="single"/>
              </w:rPr>
              <w:t xml:space="preserve">         </w:t>
            </w:r>
            <w:r>
              <w:rPr>
                <w:rFonts w:ascii="SimSun" w:hAnsi="SimSun" w:eastAsia="SimSun" w:cs="SimSun"/>
                <w:b/>
                <w:color w:val="000000"/>
                <w:sz w:val="28"/>
              </w:rPr>
              <w:t xml:space="preserve">（小写）</w:t>
            </w:r>
            <w:r>
              <w:rPr>
                <w:rFonts w:ascii="SimSun" w:hAnsi="SimSun" w:eastAsia="SimSun" w:cs="SimSun"/>
                <w:b/>
                <w:color w:val="000000"/>
                <w:sz w:val="28"/>
                <w:u w:val="single"/>
              </w:rPr>
              <w:t xml:space="preserve">                 </w:t>
            </w:r>
            <w:r>
              <w:rPr>
                <w:rFonts w:ascii="SimSun" w:hAnsi="SimSun" w:eastAsia="SimSun" w:cs="SimSun"/>
                <w:b/>
                <w:color w:val="000000"/>
                <w:sz w:val="28"/>
              </w:rPr>
              <w:t xml:space="preserve"> </w:t>
            </w:r>
            <w:r/>
          </w:p>
        </w:tc>
      </w:tr>
      <w:tr>
        <w:trPr>
          <w:trHeight w:val="75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8" w:type="dxa"/>
            <w:vAlign w:val="center"/>
            <w:textDirection w:val="lrTb"/>
            <w:noWrap w:val="false"/>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供货期限：</w:t>
            </w:r>
            <w:r/>
          </w:p>
        </w:tc>
      </w:tr>
      <w:tr>
        <w:trPr>
          <w:trHeight w:val="7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8" w:type="dxa"/>
            <w:vAlign w:val="center"/>
            <w:textDirection w:val="lrTb"/>
            <w:noWrap w:val="false"/>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质量要求：</w:t>
            </w:r>
            <w:r/>
          </w:p>
        </w:tc>
      </w:tr>
      <w:tr>
        <w:trPr>
          <w:trHeight w:val="85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8" w:type="dxa"/>
            <w:vAlign w:val="center"/>
            <w:textDirection w:val="lrTb"/>
            <w:noWrap w:val="false"/>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我方承诺：本项目免费质量保修期为</w:t>
            </w:r>
            <w:r>
              <w:rPr>
                <w:rFonts w:ascii="SimSun" w:hAnsi="SimSun" w:eastAsia="SimSun" w:cs="SimSun"/>
                <w:color w:val="000000"/>
                <w:sz w:val="28"/>
                <w:u w:val="single"/>
              </w:rPr>
              <w:t xml:space="preserve">      </w:t>
            </w:r>
            <w:r>
              <w:rPr>
                <w:rFonts w:ascii="SimSun" w:hAnsi="SimSun" w:eastAsia="SimSun" w:cs="SimSun"/>
                <w:color w:val="000000"/>
                <w:sz w:val="28"/>
              </w:rPr>
              <w:t xml:space="preserve">年。如果我方中标，将派出</w:t>
            </w:r>
            <w:r>
              <w:rPr>
                <w:rFonts w:ascii="SimSun" w:hAnsi="SimSun" w:eastAsia="SimSun" w:cs="SimSun"/>
                <w:color w:val="000000"/>
                <w:sz w:val="28"/>
                <w:u w:val="single"/>
              </w:rPr>
              <w:t xml:space="preserve">     </w:t>
            </w:r>
            <w:r>
              <w:rPr>
                <w:rFonts w:ascii="SimSun" w:hAnsi="SimSun" w:eastAsia="SimSun" w:cs="SimSun"/>
                <w:color w:val="000000"/>
                <w:sz w:val="28"/>
              </w:rPr>
              <w:t xml:space="preserve">（姓名）作为本项目的项目负责人（项目经理）。</w:t>
            </w:r>
            <w:r/>
          </w:p>
        </w:tc>
      </w:tr>
      <w:tr>
        <w:trPr>
          <w:trHeight w:val="86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8" w:type="dxa"/>
            <w:vAlign w:val="center"/>
            <w:textDirection w:val="lrTb"/>
            <w:noWrap w:val="false"/>
          </w:tcPr>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是否提供《投标人企业（单位）类型声明函》：见</w:t>
            </w:r>
            <w:r>
              <w:rPr>
                <w:rFonts w:ascii="SimSun" w:hAnsi="SimSun" w:eastAsia="SimSun" w:cs="SimSun"/>
                <w:b/>
                <w:color w:val="000000"/>
                <w:sz w:val="28"/>
                <w:u w:val="single"/>
              </w:rPr>
              <w:t xml:space="preserve">（    ）</w:t>
            </w:r>
            <w:r>
              <w:rPr>
                <w:rFonts w:ascii="SimSun" w:hAnsi="SimSun" w:eastAsia="SimSun" w:cs="SimSun"/>
                <w:b/>
                <w:color w:val="000000"/>
                <w:sz w:val="28"/>
              </w:rPr>
              <w:t xml:space="preserve">页</w:t>
            </w:r>
            <w:r/>
          </w:p>
        </w:tc>
      </w:tr>
    </w:tbl>
    <w:p>
      <w:pPr>
        <w:ind w:left="0" w:right="0" w:firstLine="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填写说明：</w:t>
      </w:r>
      <w:r/>
    </w:p>
    <w:p>
      <w:pPr>
        <w:numPr>
          <w:ilvl w:val="0"/>
          <w:numId w:val="16"/>
        </w:numPr>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开标一览表不得填报选择性报价，否则将作为无效投标；</w:t>
      </w:r>
      <w:r/>
    </w:p>
    <w:p>
      <w:pPr>
        <w:numPr>
          <w:ilvl w:val="0"/>
          <w:numId w:val="16"/>
        </w:numPr>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开标一览表中报价与投标价格明细表中不符时，以开标一览表为准；</w:t>
      </w:r>
      <w:r/>
    </w:p>
    <w:p>
      <w:pPr>
        <w:ind w:left="0" w:right="0" w:firstLine="264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0"/>
        <w:spacing w:before="0" w:after="0" w:line="41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投标人（加盖CA电子签章）： </w:t>
      </w:r>
      <w:r/>
    </w:p>
    <w:p>
      <w:pPr>
        <w:ind w:left="0" w:right="0" w:firstLine="480"/>
        <w:jc w:val="right"/>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0" w:firstLine="480"/>
        <w:jc w:val="both"/>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br w:type="page" w:clear="all"/>
      </w:r>
      <w:r/>
    </w:p>
    <w:p>
      <w:pPr>
        <w:pStyle w:val="685"/>
        <w:ind w:left="0" w:right="0" w:firstLine="3213"/>
        <w:jc w:val="both"/>
        <w:spacing w:before="120" w:after="249"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十四、技术文件</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十五、盐城经济技术开发区政府采购事前信用承诺书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为营造我区公开、公平、公正、诚实守信的政府采购交易环境，树立诚信守法的投标人形象，本人代表本单位作出以下承诺：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（三）严格依照国家和省、市关于政府采购的法律、法规、规章、规范性文件，参加政府采购投标活动；积极履行社会责任，促进廉政建设；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（四）严格遵守即时信息公示规定，及时维护和更新维护和更新盐城市政府采购网中与本单位相关的信息；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十六、招标文件中规定要求提供的证明材料和投标人认为需要提供的其他材料</w:t>
      </w:r>
      <w:r/>
    </w:p>
    <w:p>
      <w:pPr>
        <w:ind w:left="0" w:right="0" w:firstLine="0"/>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100" w:after="10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86"/>
        <w:ind w:left="0" w:right="0" w:firstLine="0"/>
        <w:jc w:val="both"/>
        <w:spacing w:before="0" w:after="0" w:line="4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20"/>
        <w:spacing w:before="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20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pStyle w:val="695"/>
        <w:ind w:firstLine="0"/>
        <w:rPr>
          <w:highlight w:val="none"/>
        </w:rPr>
      </w:pPr>
      <w:r>
        <w:rPr>
          <w:highlight w:val="none"/>
        </w:rPr>
      </w:r>
      <w:r/>
    </w:p>
    <w:sectPr>
      <w:footerReference w:type="default" r:id="rId9"/>
      <w:footnotePr/>
      <w:endnotePr/>
      <w:type w:val="nextPage"/>
      <w:pgSz w:w="11906" w:h="16838" w:orient="portrait"/>
      <w:pgMar w:top="1134" w:right="850" w:bottom="1134" w:left="1701" w:header="709" w:footer="709" w:gutter="0"/>
      <w:pgNumType w:start="1"/>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黑体">
    <w:panose1 w:val="02010609060101010101"/>
  </w:font>
  <w:font w:name="仿宋_GB2312">
    <w:panose1 w:val="02010609060101010101"/>
  </w:font>
  <w:font w:name="幼圆">
    <w:panose1 w:val="02010509060101010101"/>
  </w:font>
  <w:font w:name="Tahoma">
    <w:panose1 w:val="020B060403050404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jc w:val="center"/>
    </w:pPr>
    <w:fldSimple w:instr="PAGE \* MERGEFORMAT">
      <w:r>
        <w:t xml:space="preserve">1</w:t>
      </w:r>
    </w:fldSimple>
    <w:r/>
    <w:r/>
  </w:p>
  <w:p>
    <w:pPr>
      <w:pStyle w:val="705"/>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80" w:hanging="48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rPr>
        <w:rFonts w:hint="default"/>
        <w:sz w:val="20"/>
        <w:szCs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rPr>
        <w:rFonts w:hint="eastAsia"/>
      </w:rPr>
    </w:lvl>
    <w:lvl w:ilvl="1">
      <w:start w:val="1"/>
      <w:numFmt w:val="decimal"/>
      <w:isLgl w:val="false"/>
      <w:suff w:val="tab"/>
      <w:lvlText w:val="%2."/>
      <w:lvlJc w:val="left"/>
      <w:pPr>
        <w:ind w:left="0" w:firstLine="0"/>
        <w:tabs>
          <w:tab w:val="left" w:pos="862" w:leader="none"/>
        </w:tabs>
      </w:pPr>
      <w:rPr>
        <w:rFonts w:hint="eastAsia"/>
      </w:rPr>
    </w:lvl>
    <w:lvl w:ilvl="2">
      <w:start w:val="1"/>
      <w:numFmt w:val="decimal"/>
      <w:isLgl w:val="false"/>
      <w:suff w:val="tab"/>
      <w:lvlText w:val="%3."/>
      <w:lvlJc w:val="left"/>
      <w:pPr>
        <w:ind w:left="0" w:firstLine="0"/>
        <w:tabs>
          <w:tab w:val="left" w:pos="862" w:leader="none"/>
        </w:tabs>
      </w:pPr>
      <w:rPr>
        <w:rFonts w:hint="eastAsia"/>
      </w:rPr>
    </w:lvl>
    <w:lvl w:ilvl="3">
      <w:start w:val="1"/>
      <w:numFmt w:val="decimal"/>
      <w:isLgl w:val="false"/>
      <w:suff w:val="tab"/>
      <w:lvlText w:val="%4."/>
      <w:lvlJc w:val="left"/>
      <w:pPr>
        <w:ind w:left="0" w:firstLine="0"/>
        <w:tabs>
          <w:tab w:val="left" w:pos="862" w:leader="none"/>
        </w:tabs>
      </w:pPr>
      <w:rPr>
        <w:rFonts w:hint="eastAsia"/>
      </w:rPr>
    </w:lvl>
    <w:lvl w:ilvl="4">
      <w:start w:val="1"/>
      <w:numFmt w:val="decimal"/>
      <w:isLgl w:val="false"/>
      <w:suff w:val="tab"/>
      <w:lvlText w:val="%5."/>
      <w:lvlJc w:val="left"/>
      <w:pPr>
        <w:ind w:left="0" w:firstLine="0"/>
        <w:tabs>
          <w:tab w:val="left" w:pos="862" w:leader="none"/>
        </w:tabs>
      </w:pPr>
      <w:rPr>
        <w:rFonts w:hint="eastAsia"/>
      </w:rPr>
    </w:lvl>
    <w:lvl w:ilvl="5">
      <w:start w:val="1"/>
      <w:numFmt w:val="decimal"/>
      <w:isLgl w:val="false"/>
      <w:suff w:val="tab"/>
      <w:lvlText w:val="%6."/>
      <w:lvlJc w:val="left"/>
      <w:pPr>
        <w:ind w:left="0" w:firstLine="0"/>
        <w:tabs>
          <w:tab w:val="left" w:pos="862" w:leader="none"/>
        </w:tabs>
      </w:pPr>
      <w:rPr>
        <w:rFonts w:hint="eastAsia"/>
      </w:rPr>
    </w:lvl>
    <w:lvl w:ilvl="6">
      <w:start w:val="1"/>
      <w:numFmt w:val="decimal"/>
      <w:isLgl w:val="false"/>
      <w:suff w:val="tab"/>
      <w:lvlText w:val="%7."/>
      <w:lvlJc w:val="left"/>
      <w:pPr>
        <w:ind w:left="0" w:firstLine="0"/>
        <w:tabs>
          <w:tab w:val="left" w:pos="862" w:leader="none"/>
        </w:tabs>
      </w:pPr>
      <w:rPr>
        <w:rFonts w:hint="eastAsia"/>
      </w:rPr>
    </w:lvl>
    <w:lvl w:ilvl="7">
      <w:start w:val="1"/>
      <w:numFmt w:val="decimal"/>
      <w:isLgl w:val="false"/>
      <w:suff w:val="tab"/>
      <w:lvlText w:val="%8."/>
      <w:lvlJc w:val="left"/>
      <w:pPr>
        <w:ind w:left="0" w:firstLine="0"/>
        <w:tabs>
          <w:tab w:val="left" w:pos="862" w:leader="none"/>
        </w:tabs>
      </w:pPr>
      <w:rPr>
        <w:rFonts w:hint="eastAsia"/>
      </w:rPr>
    </w:lvl>
    <w:lvl w:ilvl="8">
      <w:start w:val="1"/>
      <w:numFmt w:val="decimal"/>
      <w:isLgl w:val="false"/>
      <w:suff w:val="tab"/>
      <w:lvlText w:val="%9."/>
      <w:lvlJc w:val="left"/>
      <w:pPr>
        <w:ind w:left="0" w:firstLine="0"/>
        <w:tabs>
          <w:tab w:val="left" w:pos="862" w:leader="none"/>
        </w:tabs>
      </w:pPr>
      <w:rPr>
        <w:rFonts w:hint="eastAsia"/>
      </w:rPr>
    </w:lvl>
  </w:abstractNum>
  <w:abstractNum w:abstractNumId="6">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rPr>
        <w:rFonts w:ascii="SimSun" w:hAnsi="SimSun" w:eastAsia="SimSun" w:cs="SimSun"/>
      </w:rPr>
    </w:lvl>
    <w:lvl w:ilvl="1">
      <w:start w:val="1"/>
      <w:numFmt w:val="decimal"/>
      <w:isLgl w:val="false"/>
      <w:suff w:val="tab"/>
      <w:lvlText w:val="%2."/>
      <w:lvlJc w:val="left"/>
      <w:pPr>
        <w:ind w:left="0" w:firstLine="0"/>
      </w:pPr>
      <w:rPr>
        <w:rFonts w:ascii="SimSun" w:hAnsi="SimSun" w:eastAsia="SimSun" w:cs="SimSun"/>
      </w:rPr>
    </w:lvl>
    <w:lvl w:ilvl="2">
      <w:start w:val="1"/>
      <w:numFmt w:val="decimal"/>
      <w:isLgl w:val="false"/>
      <w:suff w:val="tab"/>
      <w:lvlText w:val="%3."/>
      <w:lvlJc w:val="left"/>
      <w:pPr>
        <w:ind w:left="0" w:firstLine="0"/>
      </w:pPr>
      <w:rPr>
        <w:rFonts w:ascii="SimSun" w:hAnsi="SimSun" w:eastAsia="SimSun" w:cs="SimSun"/>
      </w:rPr>
    </w:lvl>
    <w:lvl w:ilvl="3">
      <w:start w:val="1"/>
      <w:numFmt w:val="decimal"/>
      <w:isLgl w:val="false"/>
      <w:suff w:val="tab"/>
      <w:lvlText w:val="%4."/>
      <w:lvlJc w:val="left"/>
      <w:pPr>
        <w:ind w:left="0" w:firstLine="0"/>
      </w:pPr>
      <w:rPr>
        <w:rFonts w:ascii="SimSun" w:hAnsi="SimSun" w:eastAsia="SimSun" w:cs="SimSun"/>
      </w:rPr>
    </w:lvl>
    <w:lvl w:ilvl="4">
      <w:start w:val="1"/>
      <w:numFmt w:val="decimal"/>
      <w:isLgl w:val="false"/>
      <w:suff w:val="tab"/>
      <w:lvlText w:val="%5."/>
      <w:lvlJc w:val="left"/>
      <w:pPr>
        <w:ind w:left="0" w:firstLine="0"/>
      </w:pPr>
      <w:rPr>
        <w:rFonts w:ascii="SimSun" w:hAnsi="SimSun" w:eastAsia="SimSun" w:cs="SimSun"/>
      </w:rPr>
    </w:lvl>
    <w:lvl w:ilvl="5">
      <w:start w:val="1"/>
      <w:numFmt w:val="decimal"/>
      <w:isLgl w:val="false"/>
      <w:suff w:val="tab"/>
      <w:lvlText w:val="%6."/>
      <w:lvlJc w:val="left"/>
      <w:pPr>
        <w:ind w:left="0" w:firstLine="0"/>
      </w:pPr>
      <w:rPr>
        <w:rFonts w:ascii="SimSun" w:hAnsi="SimSun" w:eastAsia="SimSun" w:cs="SimSun"/>
      </w:rPr>
    </w:lvl>
    <w:lvl w:ilvl="6">
      <w:start w:val="1"/>
      <w:numFmt w:val="decimal"/>
      <w:isLgl w:val="false"/>
      <w:suff w:val="tab"/>
      <w:lvlText w:val="%7."/>
      <w:lvlJc w:val="left"/>
      <w:pPr>
        <w:ind w:left="0" w:firstLine="0"/>
      </w:pPr>
      <w:rPr>
        <w:rFonts w:ascii="SimSun" w:hAnsi="SimSun" w:eastAsia="SimSun" w:cs="SimSun"/>
      </w:rPr>
    </w:lvl>
    <w:lvl w:ilvl="7">
      <w:start w:val="1"/>
      <w:numFmt w:val="decimal"/>
      <w:isLgl w:val="false"/>
      <w:suff w:val="tab"/>
      <w:lvlText w:val="%8."/>
      <w:lvlJc w:val="left"/>
      <w:pPr>
        <w:ind w:left="0" w:firstLine="0"/>
      </w:pPr>
      <w:rPr>
        <w:rFonts w:ascii="SimSun" w:hAnsi="SimSun" w:eastAsia="SimSun" w:cs="SimSun"/>
      </w:rPr>
    </w:lvl>
    <w:lvl w:ilvl="8">
      <w:start w:val="1"/>
      <w:numFmt w:val="decimal"/>
      <w:isLgl w:val="false"/>
      <w:suff w:val="tab"/>
      <w:lvlText w:val="%9."/>
      <w:lvlJc w:val="left"/>
      <w:pPr>
        <w:ind w:left="0" w:firstLine="0"/>
      </w:pPr>
      <w:rPr>
        <w:rFonts w:ascii="SimSun" w:hAnsi="SimSun" w:eastAsia="SimSun" w:cs="SimSun"/>
      </w:r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80" w:hanging="48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num w:numId="1">
    <w:abstractNumId w:val="6"/>
  </w:num>
  <w:num w:numId="2">
    <w:abstractNumId w:val="2"/>
  </w:num>
  <w:num w:numId="3">
    <w:abstractNumId w:val="3"/>
  </w:num>
  <w:num w:numId="4">
    <w:abstractNumId w:val="5"/>
  </w:num>
  <w:num w:numId="5">
    <w:abstractNumId w:val="0"/>
  </w:num>
  <w:num w:numId="6">
    <w:abstractNumId w:val="4"/>
  </w:num>
  <w:num w:numId="7">
    <w:abstractNumId w:val="1"/>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next w:val="695"/>
    <w:uiPriority w:val="0"/>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684">
    <w:name w:val="Heading 1"/>
    <w:basedOn w:val="683"/>
    <w:next w:val="683"/>
    <w:link w:val="726"/>
    <w:uiPriority w:val="9"/>
    <w:qFormat/>
    <w:pPr>
      <w:keepLines/>
      <w:keepNext/>
      <w:spacing w:before="480" w:after="200"/>
      <w:outlineLvl w:val="0"/>
    </w:pPr>
    <w:rPr>
      <w:rFonts w:ascii="Arial" w:hAnsi="Arial" w:eastAsia="Arial" w:cs="Arial"/>
      <w:sz w:val="40"/>
      <w:szCs w:val="40"/>
    </w:rPr>
  </w:style>
  <w:style w:type="paragraph" w:styleId="685">
    <w:name w:val="Heading 2"/>
    <w:basedOn w:val="683"/>
    <w:next w:val="683"/>
    <w:link w:val="727"/>
    <w:uiPriority w:val="9"/>
    <w:unhideWhenUsed/>
    <w:qFormat/>
    <w:pPr>
      <w:keepLines/>
      <w:keepNext/>
      <w:spacing w:before="360" w:after="200"/>
      <w:outlineLvl w:val="1"/>
    </w:pPr>
    <w:rPr>
      <w:rFonts w:ascii="Arial" w:hAnsi="Arial" w:eastAsia="Arial" w:cs="Arial"/>
      <w:sz w:val="34"/>
    </w:rPr>
  </w:style>
  <w:style w:type="paragraph" w:styleId="686">
    <w:name w:val="Heading 3"/>
    <w:basedOn w:val="683"/>
    <w:next w:val="683"/>
    <w:link w:val="728"/>
    <w:uiPriority w:val="9"/>
    <w:unhideWhenUsed/>
    <w:qFormat/>
    <w:pPr>
      <w:keepLines/>
      <w:keepNext/>
      <w:spacing w:before="320" w:after="200"/>
      <w:outlineLvl w:val="2"/>
    </w:pPr>
    <w:rPr>
      <w:rFonts w:ascii="Arial" w:hAnsi="Arial" w:eastAsia="Arial" w:cs="Arial"/>
      <w:sz w:val="30"/>
      <w:szCs w:val="30"/>
    </w:rPr>
  </w:style>
  <w:style w:type="paragraph" w:styleId="687">
    <w:name w:val="Heading 4"/>
    <w:basedOn w:val="683"/>
    <w:next w:val="683"/>
    <w:link w:val="729"/>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basedOn w:val="683"/>
    <w:next w:val="683"/>
    <w:link w:val="730"/>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683"/>
    <w:next w:val="683"/>
    <w:link w:val="731"/>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683"/>
    <w:next w:val="683"/>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33"/>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34"/>
    <w:uiPriority w:val="9"/>
    <w:unhideWhenUsed/>
    <w:qFormat/>
    <w:pPr>
      <w:keepLines/>
      <w:keepNext/>
      <w:spacing w:before="320" w:after="200"/>
      <w:outlineLvl w:val="8"/>
    </w:pPr>
    <w:rPr>
      <w:rFonts w:ascii="Arial" w:hAnsi="Arial" w:eastAsia="Arial" w:cs="Arial"/>
      <w:i/>
      <w:iCs/>
      <w:sz w:val="21"/>
      <w:szCs w:val="21"/>
    </w:rPr>
  </w:style>
  <w:style w:type="character" w:styleId="693" w:default="1">
    <w:name w:val="Default Paragraph Font"/>
    <w:uiPriority w:val="1"/>
    <w:semiHidden/>
    <w:unhideWhenUsed/>
    <w:qFormat/>
  </w:style>
  <w:style w:type="table" w:styleId="694" w:default="1">
    <w:name w:val="Normal Table"/>
    <w:uiPriority w:val="99"/>
    <w:semiHidden/>
    <w:unhideWhenUsed/>
    <w:qFormat/>
    <w:tblPr>
      <w:tblCellMar>
        <w:left w:w="108" w:type="dxa"/>
        <w:top w:w="0" w:type="dxa"/>
        <w:right w:w="108" w:type="dxa"/>
        <w:bottom w:w="0" w:type="dxa"/>
      </w:tblCellMar>
    </w:tblPr>
  </w:style>
  <w:style w:type="paragraph" w:styleId="695" w:customStyle="1">
    <w:name w:val="正文1"/>
    <w:basedOn w:val="683"/>
    <w:uiPriority w:val="0"/>
    <w:qFormat/>
    <w:pPr>
      <w:ind w:firstLine="420"/>
      <w:spacing w:line="400" w:lineRule="exact"/>
    </w:pPr>
    <w:rPr>
      <w:rFonts w:ascii="宋体" w:hAnsi="宋体"/>
    </w:rPr>
  </w:style>
  <w:style w:type="paragraph" w:styleId="696">
    <w:name w:val="toc 7"/>
    <w:basedOn w:val="683"/>
    <w:next w:val="683"/>
    <w:uiPriority w:val="39"/>
    <w:unhideWhenUsed/>
    <w:qFormat/>
    <w:pPr>
      <w:ind w:left="1701" w:right="0" w:firstLine="0"/>
      <w:spacing w:after="57"/>
    </w:pPr>
  </w:style>
  <w:style w:type="paragraph" w:styleId="697">
    <w:name w:val="Caption"/>
    <w:basedOn w:val="683"/>
    <w:next w:val="68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8">
    <w:name w:val="annotation text"/>
    <w:basedOn w:val="683"/>
    <w:uiPriority w:val="0"/>
    <w:qFormat/>
    <w:pPr>
      <w:jc w:val="left"/>
    </w:pPr>
  </w:style>
  <w:style w:type="paragraph" w:styleId="699">
    <w:name w:val="Body Text Indent"/>
    <w:basedOn w:val="683"/>
    <w:next w:val="700"/>
    <w:uiPriority w:val="0"/>
    <w:qFormat/>
    <w:pPr>
      <w:ind w:firstLine="480"/>
      <w:tabs>
        <w:tab w:val="left" w:pos="180" w:leader="none"/>
      </w:tabs>
    </w:pPr>
    <w:rPr>
      <w:rFonts w:ascii="Tahoma" w:hAnsi="Tahoma"/>
      <w:sz w:val="24"/>
    </w:rPr>
  </w:style>
  <w:style w:type="paragraph" w:styleId="700">
    <w:name w:val="envelope return"/>
    <w:basedOn w:val="683"/>
    <w:uiPriority w:val="0"/>
    <w:qFormat/>
    <w:rPr>
      <w:rFonts w:ascii="Arial" w:hAnsi="Arial"/>
    </w:rPr>
  </w:style>
  <w:style w:type="paragraph" w:styleId="701">
    <w:name w:val="toc 5"/>
    <w:basedOn w:val="683"/>
    <w:next w:val="683"/>
    <w:uiPriority w:val="39"/>
    <w:unhideWhenUsed/>
    <w:qFormat/>
    <w:pPr>
      <w:ind w:left="1134" w:right="0" w:firstLine="0"/>
      <w:spacing w:after="57"/>
    </w:pPr>
  </w:style>
  <w:style w:type="paragraph" w:styleId="702">
    <w:name w:val="toc 3"/>
    <w:basedOn w:val="683"/>
    <w:next w:val="683"/>
    <w:uiPriority w:val="39"/>
    <w:unhideWhenUsed/>
    <w:qFormat/>
    <w:pPr>
      <w:ind w:left="567" w:right="0" w:firstLine="0"/>
      <w:spacing w:after="57"/>
    </w:pPr>
  </w:style>
  <w:style w:type="paragraph" w:styleId="703">
    <w:name w:val="toc 8"/>
    <w:basedOn w:val="683"/>
    <w:next w:val="683"/>
    <w:uiPriority w:val="39"/>
    <w:unhideWhenUsed/>
    <w:qFormat/>
    <w:pPr>
      <w:ind w:left="1984" w:right="0" w:firstLine="0"/>
      <w:spacing w:after="57"/>
    </w:pPr>
  </w:style>
  <w:style w:type="paragraph" w:styleId="704">
    <w:name w:val="endnote text"/>
    <w:basedOn w:val="683"/>
    <w:link w:val="870"/>
    <w:uiPriority w:val="99"/>
    <w:semiHidden/>
    <w:unhideWhenUsed/>
    <w:qFormat/>
    <w:pPr>
      <w:spacing w:after="0" w:line="240" w:lineRule="auto"/>
    </w:pPr>
    <w:rPr>
      <w:sz w:val="20"/>
    </w:rPr>
  </w:style>
  <w:style w:type="paragraph" w:styleId="705">
    <w:name w:val="Footer"/>
    <w:basedOn w:val="683"/>
    <w:link w:val="743"/>
    <w:uiPriority w:val="99"/>
    <w:unhideWhenUsed/>
    <w:qFormat/>
    <w:pPr>
      <w:spacing w:after="0" w:line="240" w:lineRule="auto"/>
      <w:tabs>
        <w:tab w:val="center" w:pos="7143" w:leader="none"/>
        <w:tab w:val="right" w:pos="14287" w:leader="none"/>
      </w:tabs>
    </w:pPr>
  </w:style>
  <w:style w:type="paragraph" w:styleId="706">
    <w:name w:val="Header"/>
    <w:basedOn w:val="683"/>
    <w:link w:val="741"/>
    <w:uiPriority w:val="99"/>
    <w:unhideWhenUsed/>
    <w:qFormat/>
    <w:pPr>
      <w:spacing w:after="0" w:line="240" w:lineRule="auto"/>
      <w:tabs>
        <w:tab w:val="center" w:pos="7143" w:leader="none"/>
        <w:tab w:val="right" w:pos="14287" w:leader="none"/>
      </w:tabs>
    </w:pPr>
  </w:style>
  <w:style w:type="paragraph" w:styleId="707">
    <w:name w:val="toc 1"/>
    <w:basedOn w:val="683"/>
    <w:next w:val="683"/>
    <w:uiPriority w:val="39"/>
    <w:unhideWhenUsed/>
    <w:qFormat/>
    <w:pPr>
      <w:ind w:left="0" w:right="0" w:firstLine="0"/>
      <w:spacing w:after="57"/>
    </w:pPr>
  </w:style>
  <w:style w:type="paragraph" w:styleId="708">
    <w:name w:val="toc 4"/>
    <w:basedOn w:val="683"/>
    <w:next w:val="683"/>
    <w:uiPriority w:val="39"/>
    <w:unhideWhenUsed/>
    <w:qFormat/>
    <w:pPr>
      <w:ind w:left="850" w:right="0" w:firstLine="0"/>
      <w:spacing w:after="57"/>
    </w:pPr>
  </w:style>
  <w:style w:type="paragraph" w:styleId="709">
    <w:name w:val="Subtitle"/>
    <w:basedOn w:val="683"/>
    <w:next w:val="683"/>
    <w:link w:val="736"/>
    <w:uiPriority w:val="11"/>
    <w:qFormat/>
    <w:pPr>
      <w:spacing w:before="200" w:after="200"/>
    </w:pPr>
    <w:rPr>
      <w:sz w:val="24"/>
      <w:szCs w:val="24"/>
    </w:rPr>
  </w:style>
  <w:style w:type="paragraph" w:styleId="710">
    <w:name w:val="footnote text"/>
    <w:basedOn w:val="683"/>
    <w:link w:val="869"/>
    <w:uiPriority w:val="99"/>
    <w:semiHidden/>
    <w:unhideWhenUsed/>
    <w:qFormat/>
    <w:pPr>
      <w:spacing w:after="40" w:line="240" w:lineRule="auto"/>
    </w:pPr>
    <w:rPr>
      <w:sz w:val="18"/>
    </w:rPr>
  </w:style>
  <w:style w:type="paragraph" w:styleId="711">
    <w:name w:val="toc 6"/>
    <w:basedOn w:val="683"/>
    <w:next w:val="683"/>
    <w:uiPriority w:val="39"/>
    <w:unhideWhenUsed/>
    <w:qFormat/>
    <w:pPr>
      <w:ind w:left="1417" w:right="0" w:firstLine="0"/>
      <w:spacing w:after="57"/>
    </w:pPr>
  </w:style>
  <w:style w:type="paragraph" w:styleId="712">
    <w:name w:val="table of figures"/>
    <w:basedOn w:val="683"/>
    <w:next w:val="683"/>
    <w:uiPriority w:val="99"/>
    <w:unhideWhenUsed/>
    <w:qFormat/>
    <w:pPr>
      <w:spacing w:after="0" w:afterAutospacing="0"/>
    </w:pPr>
  </w:style>
  <w:style w:type="paragraph" w:styleId="713">
    <w:name w:val="toc 2"/>
    <w:basedOn w:val="683"/>
    <w:next w:val="683"/>
    <w:uiPriority w:val="39"/>
    <w:unhideWhenUsed/>
    <w:qFormat/>
    <w:pPr>
      <w:ind w:left="283" w:right="0" w:firstLine="0"/>
      <w:spacing w:after="57"/>
    </w:pPr>
  </w:style>
  <w:style w:type="paragraph" w:styleId="714">
    <w:name w:val="toc 9"/>
    <w:basedOn w:val="683"/>
    <w:next w:val="683"/>
    <w:uiPriority w:val="39"/>
    <w:unhideWhenUsed/>
    <w:qFormat/>
    <w:pPr>
      <w:ind w:left="2268" w:right="0" w:firstLine="0"/>
      <w:spacing w:after="57"/>
    </w:pPr>
  </w:style>
  <w:style w:type="paragraph" w:styleId="715">
    <w:name w:val="Normal (Web)"/>
    <w:basedOn w:val="683"/>
    <w:uiPriority w:val="0"/>
    <w:qFormat/>
    <w:pPr>
      <w:jc w:val="left"/>
      <w:spacing w:beforeAutospacing="1" w:afterAutospacing="1"/>
    </w:pPr>
    <w:rPr>
      <w:rFonts w:cs="Times New Roman"/>
      <w:sz w:val="24"/>
    </w:rPr>
  </w:style>
  <w:style w:type="paragraph" w:styleId="716">
    <w:name w:val="Title"/>
    <w:basedOn w:val="683"/>
    <w:next w:val="683"/>
    <w:link w:val="735"/>
    <w:uiPriority w:val="10"/>
    <w:qFormat/>
    <w:pPr>
      <w:contextualSpacing/>
      <w:spacing w:before="300" w:after="200"/>
    </w:pPr>
    <w:rPr>
      <w:sz w:val="48"/>
      <w:szCs w:val="48"/>
    </w:rPr>
  </w:style>
  <w:style w:type="paragraph" w:styleId="717">
    <w:name w:val="Body Text First Indent 2"/>
    <w:basedOn w:val="699"/>
    <w:uiPriority w:val="0"/>
    <w:qFormat/>
    <w:pPr>
      <w:ind w:firstLine="420"/>
    </w:pPr>
  </w:style>
  <w:style w:type="table" w:styleId="718">
    <w:name w:val="Table Grid"/>
    <w:basedOn w:val="69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Strong"/>
    <w:basedOn w:val="693"/>
    <w:uiPriority w:val="22"/>
    <w:qFormat/>
    <w:rPr>
      <w:b/>
    </w:rPr>
  </w:style>
  <w:style w:type="character" w:styleId="720">
    <w:name w:val="endnote reference"/>
    <w:uiPriority w:val="99"/>
    <w:semiHidden/>
    <w:unhideWhenUsed/>
    <w:qFormat/>
    <w:rPr>
      <w:vertAlign w:val="superscript"/>
    </w:rPr>
  </w:style>
  <w:style w:type="character" w:styleId="721">
    <w:name w:val="Hyperlink"/>
    <w:basedOn w:val="693"/>
    <w:uiPriority w:val="99"/>
    <w:unhideWhenUsed/>
    <w:qFormat/>
    <w:rPr>
      <w:color w:val="0563c1" w:themeColor="hyperlink"/>
      <w:u w:val="single"/>
      <w14:textFill>
        <w14:solidFill>
          <w14:schemeClr w14:val="hlink"/>
        </w14:solidFill>
      </w14:textFill>
    </w:rPr>
  </w:style>
  <w:style w:type="character" w:styleId="722">
    <w:name w:val="footnote reference"/>
    <w:uiPriority w:val="99"/>
    <w:unhideWhenUsed/>
    <w:qFormat/>
    <w:rPr>
      <w:vertAlign w:val="superscript"/>
    </w:rPr>
  </w:style>
  <w:style w:type="character" w:styleId="723" w:customStyle="1">
    <w:name w:val="font41"/>
    <w:basedOn w:val="693"/>
    <w:uiPriority w:val="0"/>
    <w:qFormat/>
    <w:rPr>
      <w:rFonts w:hint="eastAsia" w:ascii="宋体" w:hAnsi="宋体" w:eastAsia="宋体" w:cs="宋体"/>
      <w:color w:val="000000"/>
      <w:sz w:val="18"/>
      <w:szCs w:val="18"/>
      <w:u w:val="none"/>
    </w:rPr>
  </w:style>
  <w:style w:type="paragraph" w:styleId="724" w:customStyle="1">
    <w:name w:val="标题 21"/>
    <w:basedOn w:val="683"/>
    <w:next w:val="683"/>
    <w:uiPriority w:val="0"/>
    <w:qFormat/>
    <w:pPr>
      <w:jc w:val="center"/>
      <w:keepLines/>
      <w:keepNext/>
      <w:spacing w:before="260" w:after="260" w:line="416" w:lineRule="auto"/>
      <w:outlineLvl w:val="1"/>
    </w:pPr>
    <w:rPr>
      <w:rFonts w:ascii="Arial" w:hAnsi="Arial" w:eastAsia="幼圆"/>
      <w:b/>
      <w:sz w:val="44"/>
      <w:szCs w:val="20"/>
    </w:rPr>
  </w:style>
  <w:style w:type="paragraph" w:styleId="725" w:customStyle="1">
    <w:name w:val="彩色列表1"/>
    <w:basedOn w:val="683"/>
    <w:uiPriority w:val="0"/>
    <w:qFormat/>
    <w:pPr>
      <w:ind w:firstLine="420"/>
    </w:pPr>
    <w:rPr>
      <w:szCs w:val="24"/>
    </w:rPr>
  </w:style>
  <w:style w:type="character" w:styleId="726" w:customStyle="1">
    <w:name w:val="Heading 1 Char"/>
    <w:link w:val="684"/>
    <w:uiPriority w:val="9"/>
    <w:qFormat/>
    <w:rPr>
      <w:rFonts w:ascii="Arial" w:hAnsi="Arial" w:eastAsia="Arial" w:cs="Arial"/>
      <w:sz w:val="40"/>
      <w:szCs w:val="40"/>
    </w:rPr>
  </w:style>
  <w:style w:type="character" w:styleId="727" w:customStyle="1">
    <w:name w:val="Heading 2 Char"/>
    <w:link w:val="685"/>
    <w:uiPriority w:val="9"/>
    <w:qFormat/>
    <w:rPr>
      <w:rFonts w:ascii="Arial" w:hAnsi="Arial" w:eastAsia="Arial" w:cs="Arial"/>
      <w:sz w:val="34"/>
    </w:rPr>
  </w:style>
  <w:style w:type="character" w:styleId="728" w:customStyle="1">
    <w:name w:val="Heading 3 Char"/>
    <w:link w:val="686"/>
    <w:uiPriority w:val="9"/>
    <w:qFormat/>
    <w:rPr>
      <w:rFonts w:ascii="Arial" w:hAnsi="Arial" w:eastAsia="Arial" w:cs="Arial"/>
      <w:sz w:val="30"/>
      <w:szCs w:val="30"/>
    </w:rPr>
  </w:style>
  <w:style w:type="character" w:styleId="729" w:customStyle="1">
    <w:name w:val="Heading 4 Char"/>
    <w:link w:val="687"/>
    <w:uiPriority w:val="9"/>
    <w:qFormat/>
    <w:rPr>
      <w:rFonts w:ascii="Arial" w:hAnsi="Arial" w:eastAsia="Arial" w:cs="Arial"/>
      <w:b/>
      <w:bCs/>
      <w:sz w:val="26"/>
      <w:szCs w:val="26"/>
    </w:rPr>
  </w:style>
  <w:style w:type="character" w:styleId="730" w:customStyle="1">
    <w:name w:val="Heading 5 Char"/>
    <w:link w:val="688"/>
    <w:uiPriority w:val="9"/>
    <w:qFormat/>
    <w:rPr>
      <w:rFonts w:ascii="Arial" w:hAnsi="Arial" w:eastAsia="Arial" w:cs="Arial"/>
      <w:b/>
      <w:bCs/>
      <w:sz w:val="24"/>
      <w:szCs w:val="24"/>
    </w:rPr>
  </w:style>
  <w:style w:type="character" w:styleId="731" w:customStyle="1">
    <w:name w:val="Heading 6 Char"/>
    <w:link w:val="689"/>
    <w:uiPriority w:val="9"/>
    <w:qFormat/>
    <w:rPr>
      <w:rFonts w:ascii="Arial" w:hAnsi="Arial" w:eastAsia="Arial" w:cs="Arial"/>
      <w:b/>
      <w:bCs/>
      <w:sz w:val="22"/>
      <w:szCs w:val="22"/>
    </w:rPr>
  </w:style>
  <w:style w:type="character" w:styleId="732" w:customStyle="1">
    <w:name w:val="Heading 7 Char"/>
    <w:link w:val="690"/>
    <w:uiPriority w:val="9"/>
    <w:qFormat/>
    <w:rPr>
      <w:rFonts w:ascii="Arial" w:hAnsi="Arial" w:eastAsia="Arial" w:cs="Arial"/>
      <w:b/>
      <w:bCs/>
      <w:i/>
      <w:iCs/>
      <w:sz w:val="22"/>
      <w:szCs w:val="22"/>
    </w:rPr>
  </w:style>
  <w:style w:type="character" w:styleId="733" w:customStyle="1">
    <w:name w:val="Heading 8 Char"/>
    <w:link w:val="691"/>
    <w:uiPriority w:val="9"/>
    <w:qFormat/>
    <w:rPr>
      <w:rFonts w:ascii="Arial" w:hAnsi="Arial" w:eastAsia="Arial" w:cs="Arial"/>
      <w:i/>
      <w:iCs/>
      <w:sz w:val="22"/>
      <w:szCs w:val="22"/>
    </w:rPr>
  </w:style>
  <w:style w:type="character" w:styleId="734" w:customStyle="1">
    <w:name w:val="Heading 9 Char"/>
    <w:link w:val="692"/>
    <w:uiPriority w:val="9"/>
    <w:qFormat/>
    <w:rPr>
      <w:rFonts w:ascii="Arial" w:hAnsi="Arial" w:eastAsia="Arial" w:cs="Arial"/>
      <w:i/>
      <w:iCs/>
      <w:sz w:val="21"/>
      <w:szCs w:val="21"/>
    </w:rPr>
  </w:style>
  <w:style w:type="character" w:styleId="735" w:customStyle="1">
    <w:name w:val="Title Char"/>
    <w:link w:val="716"/>
    <w:uiPriority w:val="10"/>
    <w:qFormat/>
    <w:rPr>
      <w:sz w:val="48"/>
      <w:szCs w:val="48"/>
    </w:rPr>
  </w:style>
  <w:style w:type="character" w:styleId="736" w:customStyle="1">
    <w:name w:val="Subtitle Char"/>
    <w:link w:val="709"/>
    <w:uiPriority w:val="11"/>
    <w:qFormat/>
    <w:rPr>
      <w:sz w:val="24"/>
      <w:szCs w:val="24"/>
    </w:rPr>
  </w:style>
  <w:style w:type="paragraph" w:styleId="737">
    <w:name w:val="Quote"/>
    <w:basedOn w:val="683"/>
    <w:next w:val="683"/>
    <w:link w:val="738"/>
    <w:uiPriority w:val="29"/>
    <w:qFormat/>
    <w:pPr>
      <w:ind w:left="720" w:right="720"/>
    </w:pPr>
    <w:rPr>
      <w:i/>
    </w:rPr>
  </w:style>
  <w:style w:type="character" w:styleId="738" w:customStyle="1">
    <w:name w:val="Quote Char"/>
    <w:link w:val="737"/>
    <w:uiPriority w:val="29"/>
    <w:qFormat/>
    <w:rPr>
      <w:i/>
    </w:rPr>
  </w:style>
  <w:style w:type="paragraph" w:styleId="739">
    <w:name w:val="Intense Quote"/>
    <w:basedOn w:val="683"/>
    <w:next w:val="683"/>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Intense Quote Char"/>
    <w:link w:val="739"/>
    <w:uiPriority w:val="30"/>
    <w:qFormat/>
    <w:rPr>
      <w:i/>
    </w:rPr>
  </w:style>
  <w:style w:type="character" w:styleId="741" w:customStyle="1">
    <w:name w:val="Header Char"/>
    <w:link w:val="706"/>
    <w:uiPriority w:val="99"/>
    <w:qFormat/>
  </w:style>
  <w:style w:type="character" w:styleId="742" w:customStyle="1">
    <w:name w:val="Footer Char"/>
    <w:link w:val="705"/>
    <w:uiPriority w:val="99"/>
    <w:qFormat/>
  </w:style>
  <w:style w:type="character" w:styleId="743" w:customStyle="1">
    <w:name w:val="Caption Char"/>
    <w:link w:val="705"/>
    <w:uiPriority w:val="99"/>
    <w:qFormat/>
  </w:style>
  <w:style w:type="table" w:styleId="744" w:customStyle="1">
    <w:name w:val="Table Grid Light"/>
    <w:basedOn w:val="6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Plain Table 1"/>
    <w:basedOn w:val="6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basedOn w:val="6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basedOn w:val="6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basedOn w:val="69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basedOn w:val="69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basedOn w:val="69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basedOn w:val="69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basedOn w:val="69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basedOn w:val="69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basedOn w:val="69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basedOn w:val="69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basedOn w:val="69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basedOn w:val="69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basedOn w:val="69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3" w:customStyle="1">
    <w:name w:val="Grid Table 2 - Accent 6"/>
    <w:basedOn w:val="69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4" w:customStyle="1">
    <w:name w:val="Grid Table 3"/>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basedOn w:val="69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basedOn w:val="69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basedOn w:val="69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basedOn w:val="69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basedOn w:val="69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basedOn w:val="69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basedOn w:val="6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basedOn w:val="69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3" w:customStyle="1">
    <w:name w:val="Grid Table 4 - Accent 2"/>
    <w:basedOn w:val="69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4" w:customStyle="1">
    <w:name w:val="Grid Table 4 - Accent 3"/>
    <w:basedOn w:val="69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5" w:customStyle="1">
    <w:name w:val="Grid Table 4 - Accent 4"/>
    <w:basedOn w:val="69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6" w:customStyle="1">
    <w:name w:val="Grid Table 4 - Accent 5"/>
    <w:basedOn w:val="69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7" w:customStyle="1">
    <w:name w:val="Grid Table 4 - Accent 6"/>
    <w:basedOn w:val="69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8" w:customStyle="1">
    <w:name w:val="Grid Table 5 Dark"/>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0" w:customStyle="1">
    <w:name w:val="Grid Table 5 Dark - Accent 2"/>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1" w:customStyle="1">
    <w:name w:val="Grid Table 5 Dark - Accent 3"/>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2" w:customStyle="1">
    <w:name w:val="Grid Table 5 Dark- Accent 4"/>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3" w:customStyle="1">
    <w:name w:val="Grid Table 5 Dark - Accent 5"/>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4" w:customStyle="1">
    <w:name w:val="Grid Table 5 Dark - Accent 6"/>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5" w:customStyle="1">
    <w:name w:val="Grid Table 6 Colorful"/>
    <w:basedOn w:val="6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6 Colorful - Accent 1"/>
    <w:basedOn w:val="69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7" w:customStyle="1">
    <w:name w:val="Grid Table 6 Colorful - Accent 2"/>
    <w:basedOn w:val="69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8" w:customStyle="1">
    <w:name w:val="Grid Table 6 Colorful - Accent 3"/>
    <w:basedOn w:val="69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9" w:customStyle="1">
    <w:name w:val="Grid Table 6 Colorful - Accent 4"/>
    <w:basedOn w:val="69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0" w:customStyle="1">
    <w:name w:val="Grid Table 6 Colorful - Accent 5"/>
    <w:basedOn w:val="69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1" w:customStyle="1">
    <w:name w:val="Grid Table 6 Colorful - Accent 6"/>
    <w:basedOn w:val="69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2" w:customStyle="1">
    <w:name w:val="Grid Table 7 Colorful"/>
    <w:basedOn w:val="6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basedOn w:val="69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basedOn w:val="69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basedOn w:val="69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basedOn w:val="69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basedOn w:val="69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basedOn w:val="69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9" w:customStyle="1">
    <w:name w:val="List Table 1 Light"/>
    <w:basedOn w:val="6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basedOn w:val="69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1" w:customStyle="1">
    <w:name w:val="List Table 1 Light - Accent 2"/>
    <w:basedOn w:val="69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2" w:customStyle="1">
    <w:name w:val="List Table 1 Light - Accent 3"/>
    <w:basedOn w:val="69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3" w:customStyle="1">
    <w:name w:val="List Table 1 Light - Accent 4"/>
    <w:basedOn w:val="69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4" w:customStyle="1">
    <w:name w:val="List Table 1 Light - Accent 5"/>
    <w:basedOn w:val="69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5" w:customStyle="1">
    <w:name w:val="List Table 1 Light - Accent 6"/>
    <w:basedOn w:val="69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6" w:customStyle="1">
    <w:name w:val="List Table 2"/>
    <w:basedOn w:val="6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basedOn w:val="69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8" w:customStyle="1">
    <w:name w:val="List Table 2 - Accent 2"/>
    <w:basedOn w:val="69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9" w:customStyle="1">
    <w:name w:val="List Table 2 - Accent 3"/>
    <w:basedOn w:val="69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0" w:customStyle="1">
    <w:name w:val="List Table 2 - Accent 4"/>
    <w:basedOn w:val="69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1" w:customStyle="1">
    <w:name w:val="List Table 2 - Accent 5"/>
    <w:basedOn w:val="69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2" w:customStyle="1">
    <w:name w:val="List Table 2 - Accent 6"/>
    <w:basedOn w:val="69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3" w:customStyle="1">
    <w:name w:val="List Table 3"/>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basedOn w:val="69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5" w:customStyle="1">
    <w:name w:val="List Table 3 - Accent 2"/>
    <w:basedOn w:val="69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6" w:customStyle="1">
    <w:name w:val="List Table 3 - Accent 3"/>
    <w:basedOn w:val="69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7" w:customStyle="1">
    <w:name w:val="List Table 3 - Accent 4"/>
    <w:basedOn w:val="69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8" w:customStyle="1">
    <w:name w:val="List Table 3 - Accent 5"/>
    <w:basedOn w:val="69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9" w:customStyle="1">
    <w:name w:val="List Table 3 - Accent 6"/>
    <w:basedOn w:val="69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0" w:customStyle="1">
    <w:name w:val="List Table 4"/>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basedOn w:val="69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2" w:customStyle="1">
    <w:name w:val="List Table 4 - Accent 2"/>
    <w:basedOn w:val="69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3" w:customStyle="1">
    <w:name w:val="List Table 4 - Accent 3"/>
    <w:basedOn w:val="69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4" w:customStyle="1">
    <w:name w:val="List Table 4 - Accent 4"/>
    <w:basedOn w:val="69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5" w:customStyle="1">
    <w:name w:val="List Table 4 - Accent 5"/>
    <w:basedOn w:val="69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6" w:customStyle="1">
    <w:name w:val="List Table 4 - Accent 6"/>
    <w:basedOn w:val="69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7" w:customStyle="1">
    <w:name w:val="List Table 5 Dark"/>
    <w:basedOn w:val="6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1"/>
    <w:basedOn w:val="69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2"/>
    <w:basedOn w:val="69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3"/>
    <w:basedOn w:val="69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4"/>
    <w:basedOn w:val="69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5"/>
    <w:basedOn w:val="69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6"/>
    <w:basedOn w:val="69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basedOn w:val="6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6 Colorful - Accent 1"/>
    <w:basedOn w:val="69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6" w:customStyle="1">
    <w:name w:val="List Table 6 Colorful - Accent 2"/>
    <w:basedOn w:val="69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7" w:customStyle="1">
    <w:name w:val="List Table 6 Colorful - Accent 3"/>
    <w:basedOn w:val="69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8" w:customStyle="1">
    <w:name w:val="List Table 6 Colorful - Accent 4"/>
    <w:basedOn w:val="69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9" w:customStyle="1">
    <w:name w:val="List Table 6 Colorful - Accent 5"/>
    <w:basedOn w:val="69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0" w:customStyle="1">
    <w:name w:val="List Table 6 Colorful - Accent 6"/>
    <w:basedOn w:val="69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1" w:customStyle="1">
    <w:name w:val="List Table 7 Colorful"/>
    <w:basedOn w:val="6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basedOn w:val="69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basedOn w:val="69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basedOn w:val="69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basedOn w:val="69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basedOn w:val="69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basedOn w:val="69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8" w:customStyle="1">
    <w:name w:val="Lined - Accent"/>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0" w:customStyle="1">
    <w:name w:val="Lined - Accent 2"/>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1" w:customStyle="1">
    <w:name w:val="Lined - Accent 3"/>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2" w:customStyle="1">
    <w:name w:val="Lined - Accent 4"/>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3" w:customStyle="1">
    <w:name w:val="Lined - Accent 5"/>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4" w:customStyle="1">
    <w:name w:val="Lined - Accent 6"/>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5" w:customStyle="1">
    <w:name w:val="Bordered &amp; Lined - Accent"/>
    <w:basedOn w:val="69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basedOn w:val="69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7" w:customStyle="1">
    <w:name w:val="Bordered &amp; Lined - Accent 2"/>
    <w:basedOn w:val="69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8" w:customStyle="1">
    <w:name w:val="Bordered &amp; Lined - Accent 3"/>
    <w:basedOn w:val="69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9" w:customStyle="1">
    <w:name w:val="Bordered &amp; Lined - Accent 4"/>
    <w:basedOn w:val="69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0" w:customStyle="1">
    <w:name w:val="Bordered &amp; Lined - Accent 5"/>
    <w:basedOn w:val="69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1" w:customStyle="1">
    <w:name w:val="Bordered &amp; Lined - Accent 6"/>
    <w:basedOn w:val="69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2" w:customStyle="1">
    <w:name w:val="Bordered"/>
    <w:basedOn w:val="69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basedOn w:val="69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4" w:customStyle="1">
    <w:name w:val="Bordered - Accent 2"/>
    <w:basedOn w:val="69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5" w:customStyle="1">
    <w:name w:val="Bordered - Accent 3"/>
    <w:basedOn w:val="69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6" w:customStyle="1">
    <w:name w:val="Bordered - Accent 4"/>
    <w:basedOn w:val="69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7" w:customStyle="1">
    <w:name w:val="Bordered - Accent 5"/>
    <w:basedOn w:val="69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8" w:customStyle="1">
    <w:name w:val="Bordered - Accent 6"/>
    <w:basedOn w:val="69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9" w:customStyle="1">
    <w:name w:val="Footnote Text Char"/>
    <w:link w:val="710"/>
    <w:uiPriority w:val="99"/>
    <w:qFormat/>
    <w:rPr>
      <w:sz w:val="18"/>
    </w:rPr>
  </w:style>
  <w:style w:type="character" w:styleId="870" w:customStyle="1">
    <w:name w:val="Endnote Text Char"/>
    <w:link w:val="704"/>
    <w:uiPriority w:val="99"/>
    <w:qFormat/>
    <w:rPr>
      <w:sz w:val="20"/>
    </w:rPr>
  </w:style>
  <w:style w:type="paragraph" w:styleId="871" w:customStyle="1">
    <w:name w:val="TOC Heading"/>
    <w:uiPriority w:val="39"/>
    <w:unhideWhenUsed/>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872">
    <w:name w:val="No Spacing"/>
    <w:basedOn w:val="683"/>
    <w:uiPriority w:val="1"/>
    <w:qFormat/>
    <w:pPr>
      <w:spacing w:after="0" w:line="240" w:lineRule="auto"/>
    </w:pPr>
  </w:style>
  <w:style w:type="paragraph" w:styleId="873">
    <w:name w:val="List Paragraph"/>
    <w:basedOn w:val="683"/>
    <w:uiPriority w:val="34"/>
    <w:qFormat/>
    <w:pPr>
      <w:contextualSpacing/>
      <w:ind w:left="720"/>
    </w:pPr>
  </w:style>
  <w:style w:type="paragraph" w:styleId="874" w:customStyle="1">
    <w:name w:val="正文首行缩进1"/>
    <w:basedOn w:val="875"/>
    <w:next w:val="879"/>
    <w:uiPriority w:val="0"/>
    <w:qFormat/>
    <w:pPr>
      <w:ind w:firstLine="200"/>
      <w:spacing w:line="360" w:lineRule="auto"/>
    </w:pPr>
    <w:rPr>
      <w:rFonts w:ascii="仿宋_GB2312" w:eastAsia="仿宋_GB2312"/>
      <w:sz w:val="30"/>
      <w:szCs w:val="30"/>
    </w:rPr>
  </w:style>
  <w:style w:type="paragraph" w:styleId="875" w:customStyle="1">
    <w:name w:val="正文文本1"/>
    <w:basedOn w:val="683"/>
    <w:next w:val="876"/>
    <w:uiPriority w:val="0"/>
    <w:qFormat/>
    <w:rPr>
      <w:rFonts w:ascii="楷体_GB2312" w:hAnsi="Arial" w:eastAsia="楷体_GB2312"/>
      <w:sz w:val="28"/>
      <w:szCs w:val="28"/>
    </w:rPr>
  </w:style>
  <w:style w:type="paragraph" w:styleId="876" w:customStyle="1">
    <w:name w:val="一级条标题"/>
    <w:basedOn w:val="877"/>
    <w:next w:val="87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7" w:customStyle="1">
    <w:name w:val="章标题"/>
    <w:next w:val="68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8" w:customStyle="1">
    <w:name w:val="段"/>
    <w:next w:val="683"/>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879" w:customStyle="1">
    <w:name w:val="目录 61"/>
    <w:basedOn w:val="683"/>
    <w:next w:val="683"/>
    <w:uiPriority w:val="0"/>
    <w:semiHidden/>
    <w:qFormat/>
    <w:pPr>
      <w:ind w:left="1050"/>
      <w:jc w:val="left"/>
    </w:pPr>
  </w:style>
  <w:style w:type="paragraph" w:styleId="880" w:customStyle="1">
    <w:name w:val="正文 A"/>
    <w:next w:val="878"/>
    <w:uiPriority w:val="0"/>
    <w:qFormat/>
    <w:pPr>
      <w:jc w:val="both"/>
      <w:widowControl w:val="off"/>
    </w:pPr>
    <w:rPr>
      <w:rFonts w:hint="default" w:ascii="Calibri" w:hAnsi="Calibri" w:eastAsia="Calibri" w:cs="Calibri"/>
      <w:color w:val="000000"/>
      <w:sz w:val="21"/>
      <w:szCs w:val="21"/>
      <w:lang w:val="en-US" w:eastAsia="zh-CN" w:bidi="ar-SA"/>
    </w:rPr>
  </w:style>
  <w:style w:type="paragraph" w:styleId="881" w:customStyle="1">
    <w:name w:val="普通(网站)1"/>
    <w:basedOn w:val="683"/>
    <w:uiPriority w:val="0"/>
    <w:qFormat/>
    <w:pPr>
      <w:jc w:val="left"/>
      <w:spacing w:beforeAutospacing="1" w:afterAutospacing="1"/>
    </w:pPr>
    <w:rPr>
      <w:rFonts w:cs="Times New Roman"/>
      <w:sz w:val="24"/>
    </w:rPr>
  </w:style>
  <w:style w:type="character" w:styleId="882" w:customStyle="1">
    <w:name w:val="font71"/>
    <w:basedOn w:val="693"/>
    <w:uiPriority w:val="0"/>
    <w:qFormat/>
    <w:rPr>
      <w:rFonts w:hint="eastAsia" w:ascii="宋体" w:hAnsi="宋体" w:eastAsia="宋体" w:cs="宋体"/>
      <w:color w:val="c00000"/>
      <w:sz w:val="18"/>
      <w:szCs w:val="18"/>
      <w:u w:val="none"/>
    </w:rPr>
  </w:style>
  <w:style w:type="paragraph" w:styleId="883" w:customStyle="1">
    <w:name w:val="批注文字1"/>
    <w:basedOn w:val="683"/>
    <w:uiPriority w:val="0"/>
    <w:qFormat/>
    <w:pPr>
      <w:jc w:val="left"/>
    </w:pPr>
  </w:style>
  <w:style w:type="character" w:styleId="884" w:customStyle="1">
    <w:name w:val="font11"/>
    <w:basedOn w:val="693"/>
    <w:uiPriority w:val="0"/>
    <w:qFormat/>
    <w:rPr>
      <w:rFonts w:hint="eastAsia" w:ascii="宋体" w:hAnsi="宋体" w:eastAsia="宋体" w:cs="宋体"/>
      <w:color w:val="000000"/>
      <w:sz w:val="18"/>
      <w:szCs w:val="18"/>
      <w:u w:val="none"/>
    </w:rPr>
  </w:style>
  <w:style w:type="character" w:styleId="885" w:customStyle="1">
    <w:name w:val="font61"/>
    <w:basedOn w:val="693"/>
    <w:uiPriority w:val="0"/>
    <w:qFormat/>
    <w:rPr>
      <w:rFonts w:hint="eastAsia" w:ascii="宋体" w:hAnsi="宋体" w:eastAsia="宋体" w:cs="宋体"/>
      <w:color w:val="000000"/>
      <w:sz w:val="18"/>
      <w:szCs w:val="18"/>
      <w:u w:val="none"/>
    </w:rPr>
  </w:style>
  <w:style w:type="paragraph" w:styleId="886" w:customStyle="1">
    <w:name w:val="正文_5"/>
    <w:uiPriority w:val="0"/>
    <w:qFormat/>
    <w:pPr>
      <w:jc w:val="both"/>
      <w:widowControl w:val="off"/>
    </w:pPr>
    <w:rPr>
      <w:rFonts w:ascii="Calibri" w:hAnsi="Calibri" w:eastAsia="宋体" w:cs="Times New Roman"/>
      <w:sz w:val="21"/>
      <w:szCs w:val="22"/>
      <w:lang w:val="en-US" w:eastAsia="zh-CN" w:bidi="ar-SA"/>
    </w:rPr>
  </w:style>
  <w:style w:type="numbering" w:styleId="225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李想</dc:creator>
  <cp:lastModifiedBy>张俊东</cp:lastModifiedBy>
  <cp:revision>11</cp:revision>
  <dcterms:created xsi:type="dcterms:W3CDTF">2024-06-14T06:57:00Z</dcterms:created>
  <dcterms:modified xsi:type="dcterms:W3CDTF">2026-10-15T08:45:54Z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DE7194E4FD914C84981BAD8E1F0005D1_13</vt:lpwstr>
  </property>
  <property fmtid="{D5CDD505-2E9C-101B-9397-08002B2CF9AE}" pid="4" name="KSOTemplateDocerSaveRecord">
    <vt:lpwstr>eyJoZGlkIjoiMDljYzUzMWQ4OWI0YzBkYjYzMDRhZTY5ZjZkYmFmYTgiLCJ1c2VySWQiOiIzNzA2MTg2In0=</vt:lpwstr>
  </property>
</Properties>
</file>