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Cs/>
          <w:color w:val="auto"/>
          <w:spacing w:val="20"/>
          <w:sz w:val="44"/>
          <w:highlight w:val="none"/>
        </w:rPr>
      </w:pPr>
      <w:r>
        <w:rPr>
          <w:rFonts w:ascii="宋体" w:hAnsi="宋体" w:cs="宋体"/>
          <w:bCs/>
          <w:color w:val="auto"/>
          <w:spacing w:val="20"/>
          <w:sz w:val="44"/>
          <w:highlight w:val="none"/>
        </w:rPr>
      </w:r>
      <w:r/>
    </w:p>
    <w:p>
      <w:pPr>
        <w:ind w:firstLine="0"/>
        <w:jc w:val="center"/>
        <w:keepLines w:val="0"/>
        <w:keepNext w:val="0"/>
        <w:pageBreakBefore w:val="0"/>
        <w:spacing w:line="300" w:lineRule="auto"/>
        <w:widowControl w:val="off"/>
        <w:tabs>
          <w:tab w:val="left" w:pos="6300" w:leader="none"/>
        </w:tabs>
        <w:rPr>
          <w:rFonts w:hint="eastAsia" w:ascii="宋体" w:hAnsi="宋体" w:eastAsia="宋体" w:cs="宋体"/>
          <w:b/>
          <w:bCs/>
          <w:color w:val="auto"/>
          <w:sz w:val="48"/>
          <w:szCs w:val="48"/>
          <w:highlight w:val="none"/>
          <w:lang w:val="en-US" w:eastAsia="zh-CN"/>
        </w:rPr>
      </w:pPr>
      <w:r>
        <w:rPr>
          <w:rFonts w:hint="eastAsia" w:ascii="宋体" w:hAnsi="宋体" w:eastAsia="宋体" w:cs="宋体"/>
          <w:b/>
          <w:bCs/>
          <w:color w:val="auto"/>
          <w:sz w:val="48"/>
          <w:szCs w:val="48"/>
          <w:highlight w:val="none"/>
          <w:lang w:val="en-US" w:eastAsia="zh-CN"/>
        </w:rPr>
        <w:t xml:space="preserve">2026-2027年度南通市大气污染精准治理技术支撑项目</w:t>
      </w:r>
      <w:r/>
    </w:p>
    <w:p>
      <w:pPr>
        <w:pStyle w:val="668"/>
        <w:ind w:firstLine="0"/>
        <w:keepLines w:val="0"/>
        <w:keepNext w:val="0"/>
        <w:pageBreakBefore w:val="0"/>
        <w:widowControl w:val="off"/>
        <w:rPr>
          <w:rFonts w:hint="eastAsia" w:ascii="宋体" w:hAnsi="宋体" w:eastAsia="宋体" w:cs="宋体"/>
          <w:b/>
          <w:bCs/>
          <w:color w:val="auto"/>
          <w:sz w:val="48"/>
          <w:szCs w:val="48"/>
          <w:highlight w:val="none"/>
          <w:lang w:val="en-US" w:eastAsia="zh-CN"/>
        </w:rPr>
      </w:pPr>
      <w:r>
        <w:rPr>
          <w:rFonts w:hint="eastAsia" w:ascii="宋体" w:hAnsi="宋体" w:eastAsia="宋体" w:cs="宋体"/>
          <w:b/>
          <w:bCs/>
          <w:color w:val="auto"/>
          <w:sz w:val="48"/>
          <w:szCs w:val="48"/>
          <w:highlight w:val="none"/>
          <w:lang w:val="en-US" w:eastAsia="zh-CN"/>
        </w:rPr>
      </w:r>
      <w:r/>
    </w:p>
    <w:p>
      <w:pPr>
        <w:ind w:firstLine="0"/>
        <w:keepLines w:val="0"/>
        <w:keepNext w:val="0"/>
        <w:pageBreakBefore w:val="0"/>
        <w:widowControl w:val="off"/>
        <w:rPr>
          <w:rFonts w:hint="eastAsia" w:ascii="宋体" w:hAnsi="宋体" w:eastAsia="宋体" w:cs="宋体"/>
          <w:b/>
          <w:bCs/>
          <w:color w:val="auto"/>
          <w:sz w:val="48"/>
          <w:szCs w:val="48"/>
          <w:highlight w:val="none"/>
          <w:lang w:val="en-US" w:eastAsia="zh-CN"/>
        </w:rPr>
      </w:pPr>
      <w:r>
        <w:rPr>
          <w:rFonts w:hint="eastAsia" w:ascii="宋体" w:hAnsi="宋体" w:eastAsia="宋体" w:cs="宋体"/>
          <w:b/>
          <w:bCs/>
          <w:color w:val="auto"/>
          <w:sz w:val="48"/>
          <w:szCs w:val="48"/>
          <w:highlight w:val="none"/>
          <w:lang w:val="en-US" w:eastAsia="zh-CN"/>
        </w:rPr>
      </w:r>
      <w:r/>
    </w:p>
    <w:p>
      <w:pPr>
        <w:pStyle w:val="668"/>
        <w:ind w:firstLine="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68"/>
        <w:ind w:firstLine="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0"/>
        <w:jc w:val="center"/>
        <w:keepLines w:val="0"/>
        <w:keepNext w:val="0"/>
        <w:pageBreakBefore w:val="0"/>
        <w:spacing w:line="300" w:lineRule="auto"/>
        <w:widowControl w:val="off"/>
        <w:tabs>
          <w:tab w:val="left" w:pos="6300" w:leader="none"/>
        </w:tabs>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公开招标文件</w:t>
      </w:r>
      <w:r/>
    </w:p>
    <w:p>
      <w:pPr>
        <w:ind w:firstLine="0"/>
        <w:keepLines w:val="0"/>
        <w:pageBreakBefore w:val="0"/>
        <w:spacing w:line="360" w:lineRule="auto"/>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ind w:firstLine="0"/>
        <w:jc w:val="center"/>
        <w:keepLines w:val="0"/>
        <w:pageBreakBefore w:val="0"/>
        <w:spacing w:line="360" w:lineRule="auto"/>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项目编号： JSZC-320600-CJZD-G2026-0030</w:t>
      </w:r>
      <w:r/>
    </w:p>
    <w:p>
      <w:pPr>
        <w:pStyle w:val="658"/>
        <w:ind w:firstLine="0"/>
        <w:keepLines w:val="0"/>
        <w:pageBreakBefore w:val="0"/>
        <w:spacing w:line="500" w:lineRule="exact"/>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ind w:firstLine="0"/>
        <w:jc w:val="center"/>
        <w:keepLines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671"/>
        <w:ind w:firstLine="0"/>
        <w:keepLines w:val="0"/>
        <w:pageBreakBefore w:val="0"/>
        <w:widowControl w:val="off"/>
        <w:tabs>
          <w:tab w:val="left" w:pos="2020" w:leader="none"/>
          <w:tab w:val="center" w:pos="453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10"/>
        <w:ind w:firstLine="0"/>
        <w:keepLines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10"/>
        <w:ind w:firstLine="0"/>
        <w:keepLines w:val="0"/>
        <w:pageBreakBefore w:val="0"/>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10"/>
        <w:ind w:firstLine="0"/>
        <w:keepLines w:val="0"/>
        <w:pageBreakBefore w:val="0"/>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center"/>
        <w:keepLines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采购单位：南通市生态环境局</w:t>
      </w:r>
      <w:r/>
    </w:p>
    <w:p>
      <w:pPr>
        <w:ind w:firstLine="0"/>
        <w:jc w:val="center"/>
        <w:keepLines w:val="0"/>
        <w:pageBreakBefore w:val="0"/>
        <w:spacing w:line="36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采购代理机构：</w:t>
      </w:r>
      <w:r>
        <w:rPr>
          <w:rFonts w:hint="eastAsia" w:ascii="宋体" w:hAnsi="宋体" w:eastAsia="宋体" w:cs="宋体"/>
          <w:b/>
          <w:color w:val="auto"/>
          <w:sz w:val="32"/>
          <w:szCs w:val="32"/>
          <w:highlight w:val="none"/>
          <w:lang w:eastAsia="zh-CN"/>
        </w:rPr>
        <w:t xml:space="preserve">江苏澄建正达工程项目管理有限公司</w:t>
      </w:r>
      <w:r/>
    </w:p>
    <w:p>
      <w:pPr>
        <w:ind w:firstLine="0"/>
        <w:jc w:val="center"/>
        <w:keepLines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二〇二六</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rPr>
        <w:t xml:space="preserve">月</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bCs/>
          <w:color w:val="auto"/>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 xml:space="preserve">评标方法与评标标准</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第五部分  合同格式</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第六部分  投标文件组成</w:t>
      </w:r>
      <w:r/>
    </w:p>
    <w:p>
      <w:pPr>
        <w:jc w:val="left"/>
        <w:spacing w:line="240" w:lineRule="auto"/>
        <w:rPr>
          <w:rFonts w:hint="eastAsia" w:ascii="宋体" w:hAnsi="宋体" w:eastAsia="宋体" w:cs="宋体"/>
          <w:bCs/>
          <w:color w:val="auto"/>
          <w:sz w:val="36"/>
          <w:szCs w:val="36"/>
          <w:highlight w:val="none"/>
        </w:rPr>
        <w:outlineLvl w:val="9"/>
      </w:pPr>
      <w:r>
        <w:rPr>
          <w:rFonts w:hint="eastAsia" w:ascii="宋体" w:hAnsi="宋体" w:eastAsia="宋体" w:cs="宋体"/>
          <w:bCs/>
          <w:color w:val="auto"/>
          <w:sz w:val="36"/>
          <w:szCs w:val="36"/>
          <w:highlight w:val="none"/>
        </w:rPr>
        <w:br w:type="page" w:clear="all"/>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rPr>
        <w:outlineLvl w:val="0"/>
      </w:pPr>
      <w:r>
        <w:rPr>
          <w:rFonts w:hint="eastAsia" w:ascii="宋体" w:hAnsi="宋体" w:eastAsia="宋体" w:cs="宋体"/>
          <w:bCs/>
          <w:color w:val="auto"/>
          <w:sz w:val="36"/>
          <w:szCs w:val="36"/>
          <w:highlight w:val="none"/>
        </w:rPr>
        <w:t xml:space="preserve">第一部分  </w:t>
      </w:r>
      <w:bookmarkStart w:id="0" w:name="OLE_LINK7"/>
      <w:r/>
      <w:bookmarkStart w:id="1" w:name="OLE_LINK5"/>
      <w:r>
        <w:rPr>
          <w:rFonts w:hint="eastAsia" w:ascii="宋体" w:hAnsi="宋体" w:eastAsia="宋体" w:cs="宋体"/>
          <w:bCs/>
          <w:color w:val="auto"/>
          <w:sz w:val="36"/>
          <w:szCs w:val="36"/>
          <w:highlight w:val="none"/>
        </w:rPr>
        <w:t xml:space="preserve">投标邀请</w:t>
      </w:r>
      <w:bookmarkStart w:id="2" w:name="OLE_LINK6"/>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bookmarkStart w:id="3" w:name="OLE_LINK1"/>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lang w:val="en-US" w:eastAsia="zh-CN"/>
        </w:rPr>
        <w:t xml:space="preserve">2026-2027年度南通市大气污染精准治理技术支撑项目</w:t>
      </w:r>
      <w:r>
        <w:rPr>
          <w:rFonts w:hint="eastAsia" w:ascii="宋体" w:hAnsi="宋体" w:eastAsia="宋体" w:cs="宋体"/>
          <w:color w:val="auto"/>
          <w:sz w:val="24"/>
          <w:highlight w:val="none"/>
        </w:rPr>
        <w:t xml:space="preserve">的潜在投标人应在</w:t>
      </w:r>
      <w:r>
        <w:rPr>
          <w:rFonts w:hint="eastAsia" w:ascii="宋体" w:hAnsi="宋体" w:eastAsia="宋体" w:cs="宋体"/>
          <w:color w:val="auto"/>
          <w:sz w:val="24"/>
          <w:highlight w:val="none"/>
          <w:u w:val="single"/>
        </w:rPr>
        <w:t xml:space="preserve">“江苏政府采购网”自行免费下载</w:t>
      </w:r>
      <w:r>
        <w:rPr>
          <w:rFonts w:hint="eastAsia" w:ascii="宋体" w:hAnsi="宋体" w:eastAsia="宋体" w:cs="宋体"/>
          <w:color w:val="auto"/>
          <w:sz w:val="24"/>
          <w:highlight w:val="none"/>
        </w:rPr>
        <w:t xml:space="preserve">招标文件，并于202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点</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0分（北京时间）前递交投标文件。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spacing w:line="360" w:lineRule="auto"/>
        <w:rPr>
          <w:rFonts w:ascii="Segoe UI" w:hAnsi="Segoe UI" w:eastAsia="Segoe UI" w:cs="Segoe UI"/>
          <w:i w:val="0"/>
          <w:iCs w:val="0"/>
          <w:caps w:val="0"/>
          <w:spacing w:val="0"/>
          <w:sz w:val="21"/>
          <w:szCs w:val="21"/>
          <w:highlight w:val="none"/>
          <w:shd w:val="clear" w:color="auto" w:fill="ffffff"/>
        </w:rPr>
      </w:pPr>
      <w:r>
        <w:rPr>
          <w:rFonts w:hint="eastAsia" w:ascii="宋体" w:hAnsi="宋体" w:eastAsia="宋体" w:cs="宋体"/>
          <w:color w:val="auto"/>
          <w:sz w:val="24"/>
          <w:highlight w:val="none"/>
        </w:rPr>
        <w:t xml:space="preserve">项目编号：</w:t>
      </w:r>
      <w:r>
        <w:rPr>
          <w:rFonts w:ascii="Segoe UI" w:hAnsi="Segoe UI" w:eastAsia="Segoe UI" w:cs="Segoe UI"/>
          <w:i w:val="0"/>
          <w:iCs w:val="0"/>
          <w:caps w:val="0"/>
          <w:spacing w:val="0"/>
          <w:sz w:val="21"/>
          <w:szCs w:val="21"/>
          <w:highlight w:val="none"/>
          <w:shd w:val="clear" w:color="auto" w:fill="ffffff"/>
        </w:rPr>
        <w:t xml:space="preserve">JSZC-320600-CJZD-G2026-0030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val="en-US" w:eastAsia="zh-CN"/>
        </w:rPr>
        <w:t xml:space="preserve">2026-2027年度南通市大气污染精准治理技术支撑项目</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人民币 415</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人民币 415</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（投标人投标报价不得超过最高限价金额，否则将作无效投标处理）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采购需求：详见招标文件第三部分，请仔细研究。</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val="en-US" w:eastAsia="zh-CN"/>
        </w:rPr>
        <w:t xml:space="preserve">自合同签订之日起</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本项目是否专门面向中小企业：</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本项目（是/否）接受联合体投标：否</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460" w:lineRule="exact"/>
        <w:rPr>
          <w:rFonts w:hint="eastAsia" w:ascii="宋体" w:hAnsi="宋体" w:eastAsia="宋体" w:cs="宋体"/>
          <w:b/>
          <w:szCs w:val="24"/>
          <w:highlight w:val="none"/>
        </w:rPr>
      </w:pPr>
      <w:r>
        <w:rPr>
          <w:rFonts w:hint="eastAsia" w:ascii="宋体" w:hAnsi="宋体" w:eastAsia="宋体" w:cs="宋体"/>
          <w:color w:val="auto"/>
          <w:sz w:val="24"/>
          <w:highlight w:val="none"/>
        </w:rPr>
        <w:t xml:space="preserve">（二）落实政府采购政策需满足的资格要求：</w:t>
      </w:r>
      <w:r>
        <w:rPr>
          <w:rFonts w:hint="eastAsia" w:ascii="宋体" w:hAnsi="宋体" w:eastAsia="宋体" w:cs="宋体"/>
          <w:b/>
          <w:sz w:val="24"/>
          <w:szCs w:val="32"/>
          <w:highlight w:val="none"/>
          <w:u w:val="single"/>
        </w:rPr>
        <w:t xml:space="preserve">本项目属于专门面向中小企业采购的项目,供应商应为中小微企业、监狱企业或残疾人福利性单位，并按照采购文件要求提供《中小企业声明函》、《残疾人福利性单位声明函》或监狱和戒毒企业证明材料</w:t>
      </w:r>
      <w:r>
        <w:rPr>
          <w:rFonts w:hint="eastAsia" w:ascii="宋体" w:hAnsi="宋体" w:eastAsia="宋体" w:cs="宋体"/>
          <w:b/>
          <w:sz w:val="24"/>
          <w:szCs w:val="32"/>
          <w:highlight w:val="none"/>
          <w:u w:val="single"/>
          <w:lang w:eastAsia="zh-CN"/>
        </w:rPr>
        <w:t xml:space="preserve">。</w:t>
      </w:r>
      <w:r>
        <w:rPr>
          <w:rFonts w:hint="eastAsia" w:ascii="宋体" w:hAnsi="宋体" w:eastAsia="宋体" w:cs="宋体"/>
          <w:sz w:val="24"/>
          <w:szCs w:val="32"/>
          <w:highlight w:val="none"/>
        </w:rPr>
        <w:t xml:space="preserve">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（三）本项目的特定资格要求：</w:t>
      </w:r>
      <w:r>
        <w:rPr>
          <w:rFonts w:hint="eastAsia" w:ascii="宋体" w:hAnsi="宋体" w:eastAsia="宋体" w:cs="宋体"/>
          <w:color w:val="auto"/>
          <w:sz w:val="24"/>
          <w:highlight w:val="none"/>
          <w:lang w:val="en-US" w:eastAsia="zh-CN"/>
        </w:rPr>
        <w:t xml:space="preserve">无</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其他资格要求：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信用中国”网站（www.creditchina.gov.cn）查询，无被列入失信被执行人、重大税收违法失信主体名单、严重失信主体名单及其他不符合《中华人民共和国政府采购法》第二十二条规定条件的信用记录。（投标文件中无需提供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2.单位负责人为同一人或者存在直接控股、管理关系的不同投标人，不得参加同一合同项下的政府采购活动。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时间：自公告发布之日起5个工作日；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en-US"/>
        </w:rPr>
        <w:t xml:space="preserve">地点</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江苏省政府采购一体化平台“苏采云”系统（网址：http://jszfcg.jsczt.cn/，下文简称“苏采云”系统）自行获取；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获取方式：自行在苏采云系统获取；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售价：0.00元</w:t>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0（北京时间）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自本公告发布之日起5个工作日。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1.投标保证金：免收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2.获取招标文件的方式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2.1潜在投标人访问电子招标响应交易平台的网络地址和方法：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2.2“CA数字证书”的获取：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投标人需办理“CA 数字证书”，CA办理指南及“苏采云”操作手册可至江苏省政府采购网―办事指南-资料下载中心下载。</w:t>
      </w:r>
      <w:r/>
    </w:p>
    <w:p>
      <w:pPr>
        <w:ind w:firstLine="480"/>
        <w:spacing w:line="360" w:lineRule="auto"/>
        <w:rPr>
          <w:rFonts w:hint="eastAsia" w:ascii="宋体" w:hAnsi="宋体" w:eastAsia="宋体" w:cs="宋体"/>
          <w:bCs/>
          <w:color w:val="auto"/>
          <w:sz w:val="24"/>
          <w:highlight w:val="none"/>
          <w:lang w:eastAsia="en-US"/>
        </w:rPr>
      </w:pPr>
      <w:r>
        <w:rPr>
          <w:rFonts w:hint="eastAsia" w:ascii="宋体" w:hAnsi="宋体" w:eastAsia="宋体" w:cs="宋体"/>
          <w:bCs/>
          <w:color w:val="auto"/>
          <w:sz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2.4采购人或采购代理机构将数据电文形式的招标文件加载至“苏采云”系统，供潜在投标人下载或者查阅。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2.5请潜在投标人提前安装相应的控件（详见《江苏省政府采购管理交易系统（苏采云）供应商操作手册》）并使用谷歌浏览器登录“苏采云”系统参与不见面开评标。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3.项目开标活动模式：不见面远程开标模式，投标人在各自地点通过“苏采云”系统参加开标会。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4.项目演示、样品、答辩等：无。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bCs/>
          <w:color w:val="auto"/>
          <w:sz w:val="24"/>
          <w:highlight w:val="none"/>
        </w:rPr>
        <w:t xml:space="preserve">有关本次招标的事项若存在变动或修改，</w:t>
      </w:r>
      <w:r>
        <w:rPr>
          <w:rFonts w:hint="eastAsia" w:ascii="宋体" w:hAnsi="宋体" w:eastAsia="宋体" w:cs="宋体"/>
          <w:color w:val="auto"/>
          <w:sz w:val="24"/>
          <w:highlight w:val="none"/>
        </w:rPr>
        <w:t xml:space="preserve">均以江苏政府采购网发布的更正或补充通知为准，</w:t>
      </w:r>
      <w:r>
        <w:rPr>
          <w:rFonts w:hint="eastAsia" w:ascii="宋体" w:hAnsi="宋体" w:eastAsia="宋体" w:cs="宋体"/>
          <w:bCs/>
          <w:color w:val="auto"/>
          <w:sz w:val="24"/>
          <w:highlight w:val="none"/>
        </w:rPr>
        <w:t xml:space="preserve">敬请及时关注。</w:t>
      </w:r>
      <w:r/>
    </w:p>
    <w:p>
      <w:pPr>
        <w:ind w:firstLine="480"/>
        <w:jc w:val="left"/>
        <w:spacing w:line="360" w:lineRule="auto"/>
        <w:tabs>
          <w:tab w:val="left" w:pos="90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7.“苏采云”系统使用相关提醒</w:t>
      </w:r>
      <w:r/>
    </w:p>
    <w:p>
      <w:pPr>
        <w:ind w:firstLine="480"/>
        <w:jc w:val="left"/>
        <w:spacing w:line="360" w:lineRule="auto"/>
        <w:tabs>
          <w:tab w:val="left" w:pos="90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7.1根据省财政厅《关于更换全省政府采购交易系统C A数字证书和电子签章的通知》（苏财购〔2023〕101号），“苏采云”政府采购交易系统（以下简称苏采云系统）</w:t>
      </w:r>
      <w:r>
        <w:rPr>
          <w:rFonts w:hint="eastAsia" w:ascii="宋体" w:hAnsi="宋体" w:eastAsia="宋体" w:cs="宋体"/>
          <w:bCs/>
          <w:color w:val="auto"/>
          <w:sz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highlight w:val="none"/>
        </w:rPr>
        <w:t xml:space="preserve">参与政府采购项目，需要更换CA数字证书和电子签章。</w:t>
      </w:r>
      <w:r>
        <w:rPr>
          <w:rFonts w:hint="eastAsia" w:ascii="宋体" w:hAnsi="宋体" w:eastAsia="宋体" w:cs="宋体"/>
          <w:b/>
          <w:bCs/>
          <w:color w:val="auto"/>
          <w:sz w:val="24"/>
          <w:highlight w:val="none"/>
        </w:rPr>
        <w:t xml:space="preserve">具体办理指南和操作手册见链接：http://www.ccgp-jiangsu.gov.cn/jiangsu/zlxz/ee/ee3a4bc5a3454aa2b0d9312230633ce9.html。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7.2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7.3</w:t>
      </w:r>
      <w:r>
        <w:rPr>
          <w:rFonts w:hint="eastAsia" w:ascii="宋体" w:hAnsi="宋体" w:eastAsia="宋体" w:cs="宋体"/>
          <w:color w:val="auto"/>
          <w:sz w:val="24"/>
          <w:highlight w:val="none"/>
        </w:rPr>
        <w:t xml:space="preserve">开标当天投标人应及时登录“苏采云”不见面开标大厅，并在规定时间内自行实施远程解密。</w:t>
      </w:r>
      <w:r>
        <w:rPr>
          <w:rFonts w:hint="eastAsia" w:ascii="宋体" w:hAnsi="宋体" w:eastAsia="宋体" w:cs="宋体"/>
          <w:b/>
          <w:color w:val="auto"/>
          <w:sz w:val="24"/>
          <w:highlight w:val="none"/>
        </w:rPr>
        <w:t xml:space="preserve">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eastAsia="宋体" w:cs="宋体"/>
          <w:color w:val="auto"/>
          <w:sz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本项目获取招标文件时间明确为：</w:t>
      </w:r>
      <w:r>
        <w:rPr>
          <w:rFonts w:hint="eastAsia" w:ascii="宋体" w:hAnsi="宋体" w:eastAsia="宋体" w:cs="宋体"/>
          <w:color w:val="auto"/>
          <w:sz w:val="24"/>
          <w:highlight w:val="none"/>
          <w:lang w:val="en-US" w:eastAsia="zh-CN"/>
        </w:rPr>
        <w:t xml:space="preserve">自公告发布之日起</w:t>
      </w:r>
      <w:r>
        <w:rPr>
          <w:rFonts w:hint="eastAsia" w:ascii="宋体" w:hAnsi="宋体" w:eastAsia="宋体" w:cs="宋体"/>
          <w:color w:val="auto"/>
          <w:sz w:val="24"/>
          <w:highlight w:val="none"/>
        </w:rPr>
        <w:t xml:space="preserve">至2026年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20</w:t>
      </w:r>
      <w:bookmarkStart w:id="129" w:name="_GoBack"/>
      <w:r/>
      <w:bookmarkEnd w:id="129"/>
      <w:r>
        <w:rPr>
          <w:rFonts w:hint="eastAsia" w:ascii="宋体" w:hAnsi="宋体" w:eastAsia="宋体" w:cs="宋体"/>
          <w:color w:val="auto"/>
          <w:sz w:val="24"/>
          <w:highlight w:val="none"/>
        </w:rPr>
        <w:t xml:space="preserve">日17:00（北京时间）</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称：南通市生态环境局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址：南通市崇川区姚港路52号G座南楼</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杨女士  </w:t>
      </w:r>
      <w:r>
        <w:rPr>
          <w:rFonts w:hint="eastAsia" w:ascii="宋体" w:hAnsi="宋体" w:eastAsia="宋体" w:cs="宋体"/>
          <w:color w:val="auto"/>
          <w:sz w:val="24"/>
          <w:szCs w:val="24"/>
          <w:highlight w:val="none"/>
        </w:rPr>
        <w:t xml:space="preserve">0513-59002796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江苏澄建正达工程项目管理有限公司</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南通市崇川区通京大道14号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郑</w:t>
      </w:r>
      <w:r>
        <w:rPr>
          <w:rFonts w:hint="eastAsia" w:ascii="宋体" w:hAnsi="宋体" w:eastAsia="宋体" w:cs="宋体"/>
          <w:color w:val="auto"/>
          <w:sz w:val="24"/>
          <w:highlight w:val="none"/>
        </w:rPr>
        <w:t xml:space="preserve">女士</w:t>
      </w:r>
      <w:r>
        <w:rPr>
          <w:rFonts w:hint="eastAsia" w:ascii="宋体" w:hAnsi="宋体" w:eastAsia="宋体" w:cs="宋体"/>
          <w:color w:val="auto"/>
          <w:sz w:val="24"/>
          <w:highlight w:val="none"/>
          <w:lang w:val="en-US" w:eastAsia="zh-CN"/>
        </w:rPr>
        <w:t xml:space="preserve"> 0513-85679898 18651320756</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项目负责人：王先生18851386789</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软件技术支持：0519-86722801。</w:t>
      </w:r>
      <w:bookmarkEnd w:id="3"/>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ind w:firstLine="0"/>
        <w:jc w:val="center"/>
        <w:keepLines w:val="0"/>
        <w:keepNext w:val="0"/>
        <w:pageBreakBefore w:val="0"/>
        <w:spacing w:line="500" w:lineRule="exact"/>
        <w:widowControl w:val="off"/>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第二部分  投标须知</w:t>
      </w:r>
      <w:r/>
    </w:p>
    <w:p>
      <w:pPr>
        <w:pStyle w:val="655"/>
        <w:ind w:firstLine="482"/>
        <w:spacing w:before="0" w:after="0" w:line="360" w:lineRule="auto"/>
        <w:rPr>
          <w:rFonts w:hint="eastAsia" w:ascii="宋体" w:hAnsi="宋体" w:eastAsia="宋体" w:cs="宋体"/>
          <w:color w:val="auto"/>
          <w:sz w:val="24"/>
          <w:szCs w:val="24"/>
          <w:highlight w:val="none"/>
        </w:rPr>
      </w:pPr>
      <w:r/>
      <w:bookmarkStart w:id="4" w:name="_Toc513029203"/>
      <w:r/>
      <w:bookmarkStart w:id="5" w:name="_Toc20823275"/>
      <w:r/>
      <w:bookmarkStart w:id="6" w:name="_Toc16938519"/>
      <w:r/>
      <w:bookmarkStart w:id="7" w:name="_Toc120614214"/>
      <w:r>
        <w:rPr>
          <w:rFonts w:hint="eastAsia" w:ascii="宋体" w:hAnsi="宋体" w:eastAsia="宋体" w:cs="宋体"/>
          <w:color w:val="auto"/>
          <w:sz w:val="24"/>
          <w:szCs w:val="24"/>
          <w:highlight w:val="none"/>
        </w:rPr>
        <w:t xml:space="preserve">（一）总则</w:t>
      </w:r>
      <w:bookmarkEnd w:id="4"/>
      <w:r/>
      <w:bookmarkEnd w:id="5"/>
      <w:r/>
      <w:bookmarkEnd w:id="6"/>
      <w:r/>
      <w:bookmarkEnd w:id="7"/>
      <w:r/>
      <w:r/>
    </w:p>
    <w:p>
      <w:pPr>
        <w:pStyle w:val="656"/>
        <w:ind w:firstLine="480"/>
        <w:jc w:val="both"/>
        <w:spacing w:line="360" w:lineRule="auto"/>
        <w:rPr>
          <w:rFonts w:hint="eastAsia" w:ascii="宋体" w:hAnsi="宋体" w:eastAsia="宋体" w:cs="宋体"/>
          <w:b/>
          <w:bCs/>
          <w:color w:val="auto"/>
          <w:sz w:val="24"/>
          <w:szCs w:val="24"/>
          <w:highlight w:val="none"/>
        </w:rPr>
      </w:pPr>
      <w:r/>
      <w:bookmarkStart w:id="8" w:name="_Hlt16619475"/>
      <w:r/>
      <w:bookmarkEnd w:id="8"/>
      <w:r/>
      <w:bookmarkStart w:id="9" w:name="_Toc458694821"/>
      <w:r/>
      <w:bookmarkStart w:id="10" w:name="_Toc20823276"/>
      <w:r/>
      <w:bookmarkStart w:id="11" w:name="_Toc16938520"/>
      <w:r/>
      <w:bookmarkStart w:id="12" w:name="_Toc513029204"/>
      <w:r>
        <w:rPr>
          <w:rFonts w:hint="eastAsia" w:ascii="宋体" w:hAnsi="宋体" w:eastAsia="宋体" w:cs="宋体"/>
          <w:color w:val="auto"/>
          <w:sz w:val="24"/>
          <w:szCs w:val="24"/>
          <w:highlight w:val="none"/>
        </w:rPr>
        <w:t xml:space="preserve">1</w:t>
      </w:r>
      <w:bookmarkEnd w:id="9"/>
      <w:r>
        <w:rPr>
          <w:rFonts w:hint="eastAsia" w:ascii="宋体" w:hAnsi="宋体" w:eastAsia="宋体" w:cs="宋体"/>
          <w:color w:val="auto"/>
          <w:sz w:val="24"/>
          <w:szCs w:val="24"/>
          <w:highlight w:val="none"/>
        </w:rPr>
        <w:t xml:space="preserve">.招标方式</w:t>
      </w:r>
      <w:bookmarkEnd w:id="10"/>
      <w:r/>
      <w:bookmarkEnd w:id="11"/>
      <w:r/>
      <w:bookmarkEnd w:id="1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656"/>
        <w:ind w:firstLine="480"/>
        <w:jc w:val="both"/>
        <w:spacing w:line="360" w:lineRule="auto"/>
        <w:rPr>
          <w:rFonts w:hint="eastAsia" w:ascii="宋体" w:hAnsi="宋体" w:eastAsia="宋体" w:cs="宋体"/>
          <w:b/>
          <w:bCs/>
          <w:color w:val="auto"/>
          <w:sz w:val="24"/>
          <w:szCs w:val="24"/>
          <w:highlight w:val="none"/>
        </w:rPr>
      </w:pPr>
      <w:r/>
      <w:bookmarkStart w:id="13" w:name="_Toc20823277"/>
      <w:r/>
      <w:bookmarkStart w:id="14" w:name="_Toc16938521"/>
      <w:r/>
      <w:bookmarkStart w:id="15" w:name="_Toc513029205"/>
      <w:r>
        <w:rPr>
          <w:rFonts w:hint="eastAsia" w:ascii="宋体" w:hAnsi="宋体" w:eastAsia="宋体" w:cs="宋体"/>
          <w:color w:val="auto"/>
          <w:sz w:val="24"/>
          <w:szCs w:val="24"/>
          <w:highlight w:val="none"/>
        </w:rPr>
        <w:t xml:space="preserve">2.合格的</w:t>
      </w:r>
      <w:bookmarkEnd w:id="13"/>
      <w:r/>
      <w:bookmarkEnd w:id="14"/>
      <w:r/>
      <w:bookmarkEnd w:id="15"/>
      <w:r>
        <w:rPr>
          <w:rFonts w:hint="eastAsia" w:ascii="宋体" w:hAnsi="宋体" w:eastAsia="宋体" w:cs="宋体"/>
          <w:color w:val="auto"/>
          <w:sz w:val="24"/>
          <w:szCs w:val="24"/>
          <w:highlight w:val="none"/>
        </w:rPr>
        <w:t xml:space="preserve">投标人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2.1满足招标公告中投标人的资格要求的规定。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2.2满足本文件实质性条款的规定。</w:t>
      </w:r>
      <w:r/>
    </w:p>
    <w:p>
      <w:pPr>
        <w:pStyle w:val="656"/>
        <w:ind w:firstLine="480"/>
        <w:jc w:val="both"/>
        <w:spacing w:line="360" w:lineRule="auto"/>
        <w:rPr>
          <w:rFonts w:hint="eastAsia" w:ascii="宋体" w:hAnsi="宋体" w:eastAsia="宋体" w:cs="宋体"/>
          <w:b/>
          <w:bCs/>
          <w:color w:val="auto"/>
          <w:sz w:val="24"/>
          <w:szCs w:val="24"/>
          <w:highlight w:val="none"/>
        </w:rPr>
      </w:pPr>
      <w:r/>
      <w:bookmarkStart w:id="16" w:name="_Toc20823278"/>
      <w:r/>
      <w:bookmarkStart w:id="17" w:name="_Toc513029206"/>
      <w:r/>
      <w:bookmarkStart w:id="18" w:name="_Toc16938522"/>
      <w:r>
        <w:rPr>
          <w:rFonts w:hint="eastAsia" w:ascii="宋体" w:hAnsi="宋体" w:eastAsia="宋体" w:cs="宋体"/>
          <w:color w:val="auto"/>
          <w:sz w:val="24"/>
          <w:szCs w:val="24"/>
          <w:highlight w:val="none"/>
        </w:rPr>
        <w:t xml:space="preserve">3.适用法律</w:t>
      </w:r>
      <w:bookmarkEnd w:id="16"/>
      <w:r/>
      <w:bookmarkEnd w:id="17"/>
      <w:r/>
      <w:bookmarkEnd w:id="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3.1本次招标及由此产生的合同受中华人民共和国有关的法律法规制约和保护。</w:t>
      </w:r>
      <w:r/>
    </w:p>
    <w:p>
      <w:pPr>
        <w:pStyle w:val="656"/>
        <w:ind w:firstLine="480"/>
        <w:jc w:val="both"/>
        <w:spacing w:line="360" w:lineRule="auto"/>
        <w:rPr>
          <w:rFonts w:hint="eastAsia" w:ascii="宋体" w:hAnsi="宋体" w:eastAsia="宋体" w:cs="宋体"/>
          <w:b/>
          <w:bCs/>
          <w:color w:val="auto"/>
          <w:sz w:val="24"/>
          <w:szCs w:val="24"/>
          <w:highlight w:val="none"/>
        </w:rPr>
      </w:pPr>
      <w:r/>
      <w:bookmarkStart w:id="19" w:name="_Toc462564067"/>
      <w:r/>
      <w:bookmarkStart w:id="20" w:name="_Toc513029207"/>
      <w:r/>
      <w:bookmarkStart w:id="21" w:name="_Toc16938523"/>
      <w:r/>
      <w:bookmarkStart w:id="22" w:name="_Toc20823279"/>
      <w:r>
        <w:rPr>
          <w:rFonts w:hint="eastAsia" w:ascii="宋体" w:hAnsi="宋体" w:eastAsia="宋体" w:cs="宋体"/>
          <w:color w:val="auto"/>
          <w:sz w:val="24"/>
          <w:szCs w:val="24"/>
          <w:highlight w:val="none"/>
        </w:rPr>
        <w:t xml:space="preserve">4.投标费用</w:t>
      </w:r>
      <w:bookmarkEnd w:id="19"/>
      <w:r/>
      <w:bookmarkEnd w:id="20"/>
      <w:r/>
      <w:bookmarkEnd w:id="21"/>
      <w:r/>
      <w:bookmarkEnd w:id="22"/>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4.1投标人应自行承担所有与参加投标有关的费用，无论招标过程中的做法和结果如何，采购人在任何情况下均无义务和责任承担这些费用。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4.2本项目不收取标书工本费。</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4.3</w:t>
      </w:r>
      <w:r>
        <w:rPr>
          <w:rFonts w:hint="eastAsia" w:ascii="宋体" w:hAnsi="宋体" w:eastAsia="宋体" w:cs="宋体"/>
          <w:color w:val="auto"/>
          <w:sz w:val="24"/>
          <w:highlight w:val="none"/>
        </w:rPr>
        <w:t xml:space="preserve">本</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采购代理服务费人民币</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000元整</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供应商须综合考虑在响应报价内（不得单列），由</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供应商承担并在领取</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通知书前支付给采购代理机构。</w:t>
      </w:r>
      <w:r/>
    </w:p>
    <w:p>
      <w:pPr>
        <w:pStyle w:val="656"/>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5.1</w:t>
      </w:r>
      <w:r>
        <w:rPr>
          <w:rFonts w:hint="eastAsia" w:ascii="宋体" w:hAnsi="宋体" w:eastAsia="宋体" w:cs="宋体"/>
          <w:color w:val="auto"/>
          <w:sz w:val="24"/>
          <w:highlight w:val="none"/>
        </w:rPr>
        <w:t xml:space="preserve">投标人一旦参加本项目采购活动，即被认为接受了本招标文件的规定和约束。</w:t>
      </w:r>
      <w:r/>
    </w:p>
    <w:p>
      <w:pPr>
        <w:pStyle w:val="65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6.招标文件的解释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招标文件需求部分（投标人资格要求、项目需求、商务技术评分标准）由采购人解释，其他部分由采购代理机构解释。</w:t>
      </w:r>
      <w:r/>
    </w:p>
    <w:p>
      <w:pPr>
        <w:pStyle w:val="655"/>
        <w:ind w:firstLine="482"/>
        <w:spacing w:before="0" w:after="0" w:line="360" w:lineRule="auto"/>
        <w:rPr>
          <w:rFonts w:hint="eastAsia" w:ascii="宋体" w:hAnsi="宋体" w:eastAsia="宋体" w:cs="宋体"/>
          <w:color w:val="auto"/>
          <w:sz w:val="24"/>
          <w:szCs w:val="24"/>
          <w:highlight w:val="none"/>
        </w:rPr>
      </w:pPr>
      <w:r/>
      <w:bookmarkStart w:id="23" w:name="_Toc20823281"/>
      <w:r/>
      <w:bookmarkStart w:id="24" w:name="_Toc16938525"/>
      <w:r/>
      <w:bookmarkStart w:id="25" w:name="_Toc120614215"/>
      <w:r/>
      <w:bookmarkStart w:id="26" w:name="_Toc513029209"/>
      <w:r>
        <w:rPr>
          <w:rFonts w:hint="eastAsia" w:ascii="宋体" w:hAnsi="宋体" w:eastAsia="宋体" w:cs="宋体"/>
          <w:color w:val="auto"/>
          <w:sz w:val="24"/>
          <w:szCs w:val="24"/>
          <w:highlight w:val="none"/>
        </w:rPr>
        <w:t xml:space="preserve">（二）招标文件</w:t>
      </w:r>
      <w:bookmarkEnd w:id="23"/>
      <w:r/>
      <w:bookmarkEnd w:id="24"/>
      <w:r/>
      <w:bookmarkEnd w:id="25"/>
      <w:r/>
      <w:bookmarkEnd w:id="26"/>
      <w:r/>
      <w:r/>
    </w:p>
    <w:p>
      <w:pPr>
        <w:pStyle w:val="656"/>
        <w:ind w:firstLine="480"/>
        <w:jc w:val="both"/>
        <w:spacing w:line="360" w:lineRule="auto"/>
        <w:rPr>
          <w:rFonts w:hint="eastAsia" w:ascii="宋体" w:hAnsi="宋体" w:eastAsia="宋体" w:cs="宋体"/>
          <w:b/>
          <w:bCs/>
          <w:color w:val="auto"/>
          <w:sz w:val="24"/>
          <w:szCs w:val="24"/>
          <w:highlight w:val="none"/>
        </w:rPr>
      </w:pPr>
      <w:r/>
      <w:bookmarkStart w:id="27" w:name="_Toc16938526"/>
      <w:r/>
      <w:bookmarkStart w:id="28" w:name="_Toc20823282"/>
      <w:r/>
      <w:bookmarkStart w:id="29" w:name="_Toc513029210"/>
      <w:r>
        <w:rPr>
          <w:rFonts w:hint="eastAsia" w:ascii="宋体" w:hAnsi="宋体" w:eastAsia="宋体" w:cs="宋体"/>
          <w:color w:val="auto"/>
          <w:sz w:val="24"/>
          <w:szCs w:val="24"/>
          <w:highlight w:val="none"/>
        </w:rPr>
        <w:t xml:space="preserve">1.招标文件构成</w:t>
      </w:r>
      <w:bookmarkEnd w:id="27"/>
      <w:r/>
      <w:bookmarkEnd w:id="28"/>
      <w:r/>
      <w:bookmarkEnd w:id="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1.1</w:t>
      </w:r>
      <w:r>
        <w:rPr>
          <w:rFonts w:hint="eastAsia" w:ascii="宋体" w:hAnsi="宋体" w:eastAsia="宋体" w:cs="宋体"/>
          <w:color w:val="auto"/>
          <w:sz w:val="24"/>
          <w:highlight w:val="none"/>
        </w:rPr>
        <w:t xml:space="preserve">招标文件由以下部分组成：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（4）评标方法与评标标准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（7）附件（如有）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请仔细检查招标文件是否齐全，如有缺漏请立即与采购人或采购代理机构联系解决。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w:t>
      </w:r>
      <w:r>
        <w:rPr>
          <w:rFonts w:hint="eastAsia" w:ascii="宋体" w:hAnsi="宋体" w:eastAsia="宋体" w:cs="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firstLine="480"/>
        <w:jc w:val="both"/>
        <w:spacing w:line="360" w:lineRule="auto"/>
        <w:rPr>
          <w:rFonts w:hint="eastAsia" w:ascii="宋体" w:hAnsi="宋体" w:eastAsia="宋体" w:cs="宋体"/>
          <w:b/>
          <w:bCs/>
          <w:color w:val="auto"/>
          <w:sz w:val="24"/>
          <w:szCs w:val="24"/>
          <w:highlight w:val="none"/>
        </w:rPr>
      </w:pPr>
      <w:r/>
      <w:bookmarkStart w:id="30" w:name="_Toc513029211"/>
      <w:r/>
      <w:bookmarkStart w:id="31" w:name="_Toc462564070"/>
      <w:r/>
      <w:bookmarkStart w:id="32" w:name="_Toc20823283"/>
      <w:r/>
      <w:bookmarkStart w:id="33" w:name="_Toc16938527"/>
      <w:r>
        <w:rPr>
          <w:rFonts w:hint="eastAsia" w:ascii="宋体" w:hAnsi="宋体" w:eastAsia="宋体" w:cs="宋体"/>
          <w:color w:val="auto"/>
          <w:sz w:val="24"/>
          <w:szCs w:val="24"/>
          <w:highlight w:val="none"/>
        </w:rPr>
        <w:t xml:space="preserve">2.招标文件的澄清</w:t>
      </w:r>
      <w:bookmarkEnd w:id="30"/>
      <w:r/>
      <w:bookmarkEnd w:id="31"/>
      <w:r/>
      <w:bookmarkEnd w:id="32"/>
      <w:r/>
      <w:bookmarkEnd w:id="3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w:t>
      </w:r>
      <w:r>
        <w:rPr>
          <w:rFonts w:hint="eastAsia" w:ascii="宋体" w:hAnsi="宋体" w:eastAsia="宋体" w:cs="宋体"/>
          <w:color w:val="auto"/>
          <w:sz w:val="24"/>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2.2采购人视情组织答疑会</w:t>
      </w:r>
      <w:r/>
    </w:p>
    <w:p>
      <w:pPr>
        <w:pStyle w:val="656"/>
        <w:ind w:firstLine="480"/>
        <w:jc w:val="both"/>
        <w:spacing w:line="360" w:lineRule="auto"/>
        <w:rPr>
          <w:rFonts w:hint="eastAsia" w:ascii="宋体" w:hAnsi="宋体" w:eastAsia="宋体" w:cs="宋体"/>
          <w:b/>
          <w:bCs/>
          <w:color w:val="auto"/>
          <w:sz w:val="24"/>
          <w:szCs w:val="24"/>
          <w:highlight w:val="none"/>
        </w:rPr>
      </w:pPr>
      <w:r/>
      <w:bookmarkStart w:id="34" w:name="_Toc462564071"/>
      <w:r/>
      <w:bookmarkStart w:id="35" w:name="_Toc513029212"/>
      <w:r/>
      <w:bookmarkStart w:id="36" w:name="_Toc16938528"/>
      <w:r/>
      <w:bookmarkStart w:id="37" w:name="_Toc20823284"/>
      <w:r>
        <w:rPr>
          <w:rFonts w:hint="eastAsia" w:ascii="宋体" w:hAnsi="宋体" w:eastAsia="宋体" w:cs="宋体"/>
          <w:color w:val="auto"/>
          <w:sz w:val="24"/>
          <w:szCs w:val="24"/>
          <w:highlight w:val="none"/>
        </w:rPr>
        <w:t xml:space="preserve">3.招标文件的修改</w:t>
      </w:r>
      <w:bookmarkEnd w:id="34"/>
      <w:r/>
      <w:bookmarkEnd w:id="35"/>
      <w:r/>
      <w:bookmarkEnd w:id="36"/>
      <w:r/>
      <w:bookmarkEnd w:id="3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3.1</w:t>
      </w:r>
      <w:r>
        <w:rPr>
          <w:rFonts w:hint="eastAsia" w:ascii="宋体" w:hAnsi="宋体" w:eastAsia="宋体" w:cs="宋体"/>
          <w:color w:val="auto"/>
          <w:sz w:val="24"/>
          <w:highlight w:val="none"/>
        </w:rPr>
        <w:t xml:space="preserve">在投标截止时间前，采购人或采购代理机构可以对招标文件进行修改。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3.2</w:t>
      </w:r>
      <w:r>
        <w:rPr>
          <w:rFonts w:hint="eastAsia" w:ascii="宋体" w:hAnsi="宋体" w:eastAsia="宋体" w:cs="宋体"/>
          <w:color w:val="auto"/>
          <w:sz w:val="24"/>
          <w:highlight w:val="none"/>
        </w:rPr>
        <w:t xml:space="preserve">采购人或采购代理机构有权按照法定的要求推迟投标截止日期和开标日期。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3.3</w:t>
      </w:r>
      <w:r>
        <w:rPr>
          <w:rFonts w:hint="eastAsia" w:ascii="宋体" w:hAnsi="宋体" w:eastAsia="宋体" w:cs="宋体"/>
          <w:color w:val="auto"/>
          <w:sz w:val="24"/>
          <w:highlight w:val="none"/>
        </w:rPr>
        <w:t xml:space="preserve">招标文件的修改将在江苏政府采购网公布，补充文件将作为招标文件的组成部分，并对投标人具有约束力。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投标响应截止日期前，采购人对招标文件进行澄清或者修改的，通过“苏采云”系统发布澄清公告或者修改的内容。澄清或者修改的内容以所发布的本项目的“更正（澄清）公告”的形式通知所有获取招标文件的投标人。发布本项目的“更正（澄清）公告”后采购代理机构已尽通知义务。敬请各潜投标人关注本项目的“更正（澄清）公告”，并通过“苏采云”系统重新下载更正（澄清）后的招标文件（后缀名为“.kedt”），离线编制投标文件，否则，将自行承担相应的风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5.投标人对采购人提供的招标文件所做出的推论、解释和结论，采购人概不负责。投标人由于对招标文件的任何推论和误解以及采购人对有关问题的口头解释所造成的后果，均由各潜在投标人自负。</w:t>
      </w:r>
      <w:r/>
    </w:p>
    <w:p>
      <w:pPr>
        <w:pStyle w:val="655"/>
        <w:ind w:firstLine="482"/>
        <w:spacing w:before="0" w:after="0" w:line="360" w:lineRule="auto"/>
        <w:rPr>
          <w:rFonts w:hint="eastAsia" w:ascii="宋体" w:hAnsi="宋体" w:eastAsia="宋体" w:cs="宋体"/>
          <w:color w:val="auto"/>
          <w:sz w:val="24"/>
          <w:szCs w:val="24"/>
          <w:highlight w:val="none"/>
        </w:rPr>
      </w:pPr>
      <w:r/>
      <w:bookmarkStart w:id="38" w:name="_Toc20823285"/>
      <w:r/>
      <w:bookmarkStart w:id="39" w:name="_Toc16938529"/>
      <w:r/>
      <w:bookmarkStart w:id="40" w:name="_Toc513029213"/>
      <w:r/>
      <w:bookmarkStart w:id="41" w:name="_Toc120614216"/>
      <w:r/>
      <w:bookmarkStart w:id="42" w:name="_Toc462564072"/>
      <w:r>
        <w:rPr>
          <w:rFonts w:hint="eastAsia" w:ascii="宋体" w:hAnsi="宋体" w:eastAsia="宋体" w:cs="宋体"/>
          <w:color w:val="auto"/>
          <w:sz w:val="24"/>
          <w:szCs w:val="24"/>
          <w:highlight w:val="none"/>
        </w:rPr>
        <w:t xml:space="preserve">（三）投标文件的编制</w:t>
      </w:r>
      <w:bookmarkEnd w:id="38"/>
      <w:r/>
      <w:bookmarkEnd w:id="39"/>
      <w:r/>
      <w:bookmarkEnd w:id="40"/>
      <w:r/>
      <w:bookmarkEnd w:id="41"/>
      <w:r/>
      <w:bookmarkEnd w:id="42"/>
      <w:r/>
      <w:r/>
    </w:p>
    <w:p>
      <w:pPr>
        <w:pStyle w:val="656"/>
        <w:ind w:firstLine="480"/>
        <w:jc w:val="both"/>
        <w:spacing w:line="360" w:lineRule="auto"/>
        <w:rPr>
          <w:rFonts w:hint="eastAsia" w:ascii="宋体" w:hAnsi="宋体" w:eastAsia="宋体" w:cs="宋体"/>
          <w:bCs/>
          <w:color w:val="auto"/>
          <w:sz w:val="24"/>
          <w:szCs w:val="24"/>
          <w:highlight w:val="none"/>
        </w:rPr>
      </w:pPr>
      <w:r/>
      <w:bookmarkStart w:id="43" w:name="_Toc462564073"/>
      <w:r/>
      <w:bookmarkStart w:id="44" w:name="_Toc513029214"/>
      <w:r/>
      <w:bookmarkStart w:id="45" w:name="_Toc16938530"/>
      <w:r/>
      <w:bookmarkStart w:id="46" w:name="_Toc20823286"/>
      <w:r>
        <w:rPr>
          <w:rFonts w:hint="eastAsia" w:ascii="宋体" w:hAnsi="宋体" w:eastAsia="宋体" w:cs="宋体"/>
          <w:color w:val="auto"/>
          <w:sz w:val="24"/>
          <w:szCs w:val="24"/>
          <w:highlight w:val="none"/>
        </w:rPr>
        <w:t xml:space="preserve">1.投标文件的语言及度量衡单位</w:t>
      </w:r>
      <w:bookmarkEnd w:id="43"/>
      <w:r/>
      <w:bookmarkEnd w:id="44"/>
      <w:r/>
      <w:bookmarkEnd w:id="45"/>
      <w:r/>
      <w:bookmarkEnd w:id="46"/>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1.1投标人提交的投标文件以及投标人与采购人或采购代理机构就有关投标的所有来往通知、函件和文件均应使用简体中文。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1.2除技术性能另有规定外，投标文件所使用的度量衡单位，均须采用国家法定计量单位。</w:t>
      </w:r>
      <w:r/>
    </w:p>
    <w:p>
      <w:pPr>
        <w:pStyle w:val="656"/>
        <w:ind w:firstLine="480"/>
        <w:jc w:val="both"/>
        <w:spacing w:line="360" w:lineRule="auto"/>
        <w:rPr>
          <w:rFonts w:hint="eastAsia" w:ascii="宋体" w:hAnsi="宋体" w:eastAsia="宋体" w:cs="宋体"/>
          <w:b/>
          <w:bCs/>
          <w:color w:val="auto"/>
          <w:sz w:val="24"/>
          <w:szCs w:val="24"/>
          <w:highlight w:val="none"/>
        </w:rPr>
      </w:pPr>
      <w:r/>
      <w:bookmarkStart w:id="47" w:name="_Toc462564074"/>
      <w:r/>
      <w:bookmarkStart w:id="48" w:name="_Toc513029215"/>
      <w:r/>
      <w:bookmarkStart w:id="49" w:name="_Toc16938531"/>
      <w:r/>
      <w:bookmarkStart w:id="50" w:name="_Toc20823287"/>
      <w:r>
        <w:rPr>
          <w:rFonts w:hint="eastAsia" w:ascii="宋体" w:hAnsi="宋体" w:eastAsia="宋体" w:cs="宋体"/>
          <w:color w:val="auto"/>
          <w:sz w:val="24"/>
          <w:szCs w:val="24"/>
          <w:highlight w:val="none"/>
        </w:rPr>
        <w:t xml:space="preserve">2.投标文件构成</w:t>
      </w:r>
      <w:bookmarkEnd w:id="47"/>
      <w:r/>
      <w:bookmarkEnd w:id="48"/>
      <w:r/>
      <w:bookmarkEnd w:id="49"/>
      <w:r/>
      <w:bookmarkEnd w:id="50"/>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2.1投标人编写的投标文件应包括资格证明文件、符合性证明文件、投标分项报价表、技术要求响应及偏离表、商务要求响应及偏离表、其他证明文件、投标函、开标一览表等部分。投标人按“第六部分 投标文件组成”要求编写投标文件。</w:t>
      </w:r>
      <w:r/>
    </w:p>
    <w:p>
      <w:pPr>
        <w:ind w:firstLine="480"/>
        <w:spacing w:line="360" w:lineRule="auto"/>
        <w:rPr>
          <w:rFonts w:hint="eastAsia" w:ascii="宋体" w:hAnsi="宋体" w:eastAsia="宋体" w:cs="宋体"/>
          <w:bCs/>
          <w:color w:val="auto"/>
          <w:sz w:val="24"/>
          <w:highlight w:val="none"/>
        </w:rPr>
      </w:pPr>
      <w:r/>
      <w:bookmarkStart w:id="51" w:name="_Hlt26670360"/>
      <w:r/>
      <w:bookmarkEnd w:id="51"/>
      <w:r/>
      <w:bookmarkStart w:id="52" w:name="_Hlt26954838"/>
      <w:r/>
      <w:bookmarkEnd w:id="52"/>
      <w:r/>
      <w:bookmarkStart w:id="53" w:name="_Hlt26668975"/>
      <w:r/>
      <w:bookmarkEnd w:id="53"/>
      <w:r/>
      <w:bookmarkStart w:id="54" w:name="_Toc49090511"/>
      <w:r/>
      <w:bookmarkStart w:id="55" w:name="_Toc14577360"/>
      <w:r>
        <w:rPr>
          <w:rFonts w:hint="eastAsia" w:ascii="宋体" w:hAnsi="宋体" w:eastAsia="宋体" w:cs="宋体"/>
          <w:bCs/>
          <w:color w:val="auto"/>
          <w:sz w:val="24"/>
          <w:highlight w:val="none"/>
        </w:rPr>
        <w:t xml:space="preserve">2.2如标书制作工具中格式和内容与“江苏政府采购网”发布的招标文件不一致，请以“江苏政府采购网”发布的招标文件为准。</w:t>
      </w:r>
      <w:bookmarkStart w:id="56" w:name="_Toc49090509"/>
      <w:r/>
      <w:bookmarkStart w:id="57" w:name="_Toc513029216"/>
      <w:r/>
      <w:bookmarkStart w:id="58" w:name="_Toc49090507"/>
      <w:r/>
      <w:bookmarkStart w:id="59" w:name="_Toc14577357"/>
      <w:r/>
      <w:bookmarkStart w:id="60" w:name="_Toc14577354"/>
      <w:r/>
      <w:bookmarkStart w:id="61" w:name="_Toc513029219"/>
      <w:r/>
      <w:bookmarkStart w:id="62" w:name="_Toc49090508"/>
      <w:r/>
      <w:bookmarkStart w:id="63" w:name="_Toc1457735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3.证明投标人及投标标的符合招标文件规定的文件</w:t>
      </w:r>
      <w:bookmarkEnd w:id="56"/>
      <w:r/>
      <w:bookmarkEnd w:id="57"/>
      <w:r/>
      <w:bookmarkEnd w:id="58"/>
      <w:r/>
      <w:bookmarkEnd w:id="59"/>
      <w:r/>
      <w:bookmarkEnd w:id="60"/>
      <w:r/>
      <w:bookmarkEnd w:id="61"/>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3.1投标人应按照法律、法规、规章和规范性文件以及招标文件要求提交证明文件，证明其及投标标的符合招标文件规定。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3.2招标文件对证明文件无明确形式要求的，证明文件可以以文字资料、图纸和数据等形式提交。</w:t>
      </w:r>
      <w:bookmarkEnd w:id="62"/>
      <w:r/>
      <w:bookmarkEnd w:id="63"/>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4.投标分项报价表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4.1投标人应按照招标文件规定格式填报投标分项报价表。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4.2投标货币。投标文件中的单价和总价无特殊规定的采用人民币报价，以元为单位标注。招标文件中另有规定的按规定执行。</w:t>
      </w:r>
      <w:bookmarkStart w:id="64" w:name="_Hlt26954848"/>
      <w:r/>
      <w:bookmarkEnd w:id="64"/>
      <w:r/>
      <w:bookmarkStart w:id="65" w:name="_Hlt26670482"/>
      <w:r/>
      <w:bookmarkEnd w:id="65"/>
      <w:r/>
      <w:bookmarkStart w:id="66" w:name="_Hlt26670486"/>
      <w:r/>
      <w:bookmarkEnd w:id="66"/>
      <w:r/>
      <w:bookmarkStart w:id="67" w:name="_Hlt26954846"/>
      <w:r/>
      <w:bookmarkEnd w:id="67"/>
      <w:r/>
      <w:bookmarkStart w:id="68" w:name="_Hlt26954731"/>
      <w:r/>
      <w:bookmarkEnd w:id="6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5.技术要求响应及偏离表、商务要求响应及偏离表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.1投标</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需对招标文件中的技术要求与商务要求逐项作出响应或偏离，并说明原因。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.2投标人可在投标文件中提供认为需要的其他技术文件或说明。</w:t>
      </w:r>
      <w:r/>
    </w:p>
    <w:p>
      <w:pPr>
        <w:pStyle w:val="656"/>
        <w:ind w:firstLine="480"/>
        <w:jc w:val="both"/>
        <w:spacing w:line="360" w:lineRule="auto"/>
        <w:rPr>
          <w:rFonts w:hint="eastAsia" w:ascii="宋体" w:hAnsi="宋体" w:eastAsia="宋体" w:cs="宋体"/>
          <w:color w:val="auto"/>
          <w:sz w:val="24"/>
          <w:szCs w:val="24"/>
          <w:highlight w:val="none"/>
        </w:rPr>
      </w:pPr>
      <w:r/>
      <w:bookmarkStart w:id="69" w:name="_Toc14577359"/>
      <w:r/>
      <w:bookmarkStart w:id="70" w:name="_Toc49090510"/>
      <w:r>
        <w:rPr>
          <w:rFonts w:hint="eastAsia" w:ascii="宋体" w:hAnsi="宋体" w:eastAsia="宋体" w:cs="宋体"/>
          <w:color w:val="auto"/>
          <w:sz w:val="24"/>
          <w:szCs w:val="24"/>
          <w:highlight w:val="none"/>
        </w:rPr>
        <w:t xml:space="preserve">6.投标函和开标一览表</w:t>
      </w:r>
      <w:r/>
    </w:p>
    <w:p>
      <w:pPr>
        <w:pStyle w:val="65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6.1投标人应按照招标文件中提供的格式完整、正确填写投标函、开标一览表。</w:t>
      </w:r>
      <w:r/>
    </w:p>
    <w:p>
      <w:pPr>
        <w:pStyle w:val="656"/>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6.2对于采用货币报价的项目，开标一览表中的投标总报价应与投标分项报价表中的投标总报价一致，如不一致，不作为无效投标处理，但评标时按开标一览表中价格为准。</w:t>
      </w:r>
      <w:bookmarkEnd w:id="69"/>
      <w:r/>
      <w:bookmarkEnd w:id="70"/>
      <w:r/>
      <w:r/>
    </w:p>
    <w:p>
      <w:pPr>
        <w:pStyle w:val="656"/>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7.投标有效期</w:t>
      </w:r>
      <w:bookmarkEnd w:id="54"/>
      <w:r/>
      <w:bookmarkEnd w:id="55"/>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7.1投标有效期为采购人规定的开标之日后</w:t>
      </w:r>
      <w:r>
        <w:rPr>
          <w:rFonts w:hint="eastAsia" w:ascii="宋体" w:hAnsi="宋体" w:eastAsia="宋体" w:cs="宋体"/>
          <w:b/>
          <w:color w:val="auto"/>
          <w:sz w:val="24"/>
          <w:highlight w:val="none"/>
          <w:u w:val="single"/>
        </w:rPr>
        <w:t xml:space="preserve">六十（60）天</w:t>
      </w:r>
      <w:r>
        <w:rPr>
          <w:rFonts w:hint="eastAsia" w:ascii="宋体" w:hAnsi="宋体" w:eastAsia="宋体" w:cs="宋体"/>
          <w:bCs/>
          <w:color w:val="auto"/>
          <w:sz w:val="24"/>
          <w:highlight w:val="none"/>
        </w:rPr>
        <w:t xml:space="preserve">。投标有效期比规定短的将被视为非响应性投标而予以拒绝。</w:t>
      </w:r>
      <w:r/>
    </w:p>
    <w:p>
      <w:pPr>
        <w:pStyle w:val="656"/>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8.投标有效期的延长</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w:t>
      </w:r>
      <w:r>
        <w:rPr>
          <w:rFonts w:hint="eastAsia" w:ascii="宋体" w:hAnsi="宋体" w:eastAsia="宋体" w:cs="宋体"/>
          <w:color w:val="auto"/>
          <w:sz w:val="24"/>
          <w:highlight w:val="none"/>
        </w:rPr>
        <w:t xml:space="preserve">受投标有效期约束的所有权利与义务均延长至新的有效期</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9.电子投标文件其他要求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9.1电子招标投标交易平台（即“苏采云”系统）相关要求是本招标文件的组成部分。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9.2投标人应对CA证书妥善保管，如被他人盗用投标，因此带来的后果均由投标人自行承担。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9.3投标人应当对招标文件提出的实质性要求和条件作出实质性响应，并在电子投标系统逐条应答。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9.4投标人应对要求提供的资格证明文件（如资质证书、资格证书）、技术资料（如白皮书、彩页、手册、检测报告等）扫描上传至投标系统。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pStyle w:val="655"/>
        <w:ind w:firstLine="482"/>
        <w:spacing w:before="0" w:after="0" w:line="360" w:lineRule="auto"/>
        <w:rPr>
          <w:rFonts w:hint="eastAsia" w:ascii="宋体" w:hAnsi="宋体" w:eastAsia="宋体" w:cs="宋体"/>
          <w:color w:val="auto"/>
          <w:sz w:val="24"/>
          <w:szCs w:val="24"/>
          <w:highlight w:val="none"/>
        </w:rPr>
      </w:pPr>
      <w:r/>
      <w:bookmarkStart w:id="71" w:name="_Hlt26954852"/>
      <w:r/>
      <w:bookmarkEnd w:id="71"/>
      <w:r/>
      <w:bookmarkStart w:id="72" w:name="_Hlt26954739"/>
      <w:r/>
      <w:bookmarkEnd w:id="72"/>
      <w:r/>
      <w:bookmarkStart w:id="73" w:name="_Toc513029224"/>
      <w:r/>
      <w:bookmarkStart w:id="74" w:name="_Toc16938540"/>
      <w:r/>
      <w:bookmarkStart w:id="75" w:name="_Toc120614217"/>
      <w:r/>
      <w:bookmarkStart w:id="76" w:name="_Toc20823296"/>
      <w:r>
        <w:rPr>
          <w:rFonts w:hint="eastAsia" w:ascii="宋体" w:hAnsi="宋体" w:eastAsia="宋体" w:cs="宋体"/>
          <w:color w:val="auto"/>
          <w:sz w:val="24"/>
          <w:szCs w:val="24"/>
          <w:highlight w:val="none"/>
        </w:rPr>
        <w:t xml:space="preserve">（四）投标文件的递交</w:t>
      </w:r>
      <w:bookmarkEnd w:id="73"/>
      <w:r/>
      <w:bookmarkEnd w:id="74"/>
      <w:r/>
      <w:bookmarkEnd w:id="75"/>
      <w:r/>
      <w:bookmarkEnd w:id="76"/>
      <w:r/>
      <w:r/>
    </w:p>
    <w:p>
      <w:pPr>
        <w:pStyle w:val="656"/>
        <w:ind w:firstLine="480"/>
        <w:jc w:val="both"/>
        <w:spacing w:line="360" w:lineRule="auto"/>
        <w:rPr>
          <w:rFonts w:hint="eastAsia" w:ascii="宋体" w:hAnsi="宋体" w:eastAsia="宋体" w:cs="宋体"/>
          <w:b/>
          <w:bCs/>
          <w:color w:val="auto"/>
          <w:sz w:val="24"/>
          <w:szCs w:val="24"/>
          <w:highlight w:val="none"/>
        </w:rPr>
      </w:pPr>
      <w:r/>
      <w:bookmarkStart w:id="77" w:name="_Toc462564084"/>
      <w:r/>
      <w:bookmarkStart w:id="78" w:name="_Toc16938541"/>
      <w:r/>
      <w:bookmarkStart w:id="79" w:name="_Toc20823297"/>
      <w:r/>
      <w:bookmarkStart w:id="80" w:name="_Toc513029225"/>
      <w:r>
        <w:rPr>
          <w:rFonts w:hint="eastAsia" w:ascii="宋体" w:hAnsi="宋体" w:eastAsia="宋体" w:cs="宋体"/>
          <w:color w:val="auto"/>
          <w:sz w:val="24"/>
          <w:szCs w:val="24"/>
          <w:highlight w:val="none"/>
        </w:rPr>
        <w:t xml:space="preserve">1.投标文件</w:t>
      </w:r>
      <w:bookmarkEnd w:id="77"/>
      <w:r/>
      <w:bookmarkEnd w:id="78"/>
      <w:r/>
      <w:bookmarkEnd w:id="79"/>
      <w:r/>
      <w:bookmarkEnd w:id="80"/>
      <w:r>
        <w:rPr>
          <w:rFonts w:hint="eastAsia" w:ascii="宋体" w:hAnsi="宋体" w:eastAsia="宋体" w:cs="宋体"/>
          <w:color w:val="auto"/>
          <w:sz w:val="24"/>
          <w:szCs w:val="24"/>
          <w:highlight w:val="none"/>
        </w:rPr>
        <w:t xml:space="preserve">的递交</w:t>
      </w:r>
      <w:r/>
    </w:p>
    <w:p>
      <w:pPr>
        <w:ind w:firstLine="480"/>
        <w:spacing w:line="360" w:lineRule="auto"/>
        <w:rPr>
          <w:rFonts w:hint="eastAsia" w:ascii="宋体" w:hAnsi="宋体" w:eastAsia="宋体" w:cs="宋体"/>
          <w:bCs/>
          <w:color w:val="auto"/>
          <w:sz w:val="24"/>
          <w:highlight w:val="none"/>
        </w:rPr>
      </w:pPr>
      <w:r/>
      <w:bookmarkStart w:id="81" w:name="_Toc20823298"/>
      <w:r/>
      <w:bookmarkStart w:id="82" w:name="_Toc513029226"/>
      <w:r/>
      <w:bookmarkStart w:id="83" w:name="_Toc16938542"/>
      <w:r>
        <w:rPr>
          <w:rFonts w:hint="eastAsia" w:ascii="宋体" w:hAnsi="宋体" w:eastAsia="宋体" w:cs="宋体"/>
          <w:bCs/>
          <w:color w:val="auto"/>
          <w:sz w:val="24"/>
          <w:highlight w:val="none"/>
        </w:rPr>
        <w:t xml:space="preserve">1.1线上提交与接收地点：投标人应当通过“苏采云”系统提交数据电文形式的投标文件（即电子投标），“苏采云”系统自动接收。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2.投标截止日期</w:t>
      </w:r>
      <w:bookmarkEnd w:id="81"/>
      <w:r/>
      <w:bookmarkEnd w:id="82"/>
      <w:r/>
      <w:bookmarkEnd w:id="83"/>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2.1 投标人上传电子投标文件的时间不得迟于招标公告中规定的投标截止时间。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2.2采购人或采购代理机构</w:t>
      </w:r>
      <w:r>
        <w:rPr>
          <w:rFonts w:hint="eastAsia" w:ascii="宋体" w:hAnsi="宋体" w:eastAsia="宋体" w:cs="宋体"/>
          <w:bCs/>
          <w:color w:val="auto"/>
          <w:sz w:val="24"/>
          <w:highlight w:val="none"/>
        </w:rPr>
        <w:t xml:space="preserve">可以按照规定，通过修改招标文件酌情延长投标截止日期，在此情况下，投标人的所有权利和义务以及投标人受制的截止日期均应以延长后新的截止日期为准。</w:t>
      </w:r>
      <w:bookmarkStart w:id="84" w:name="_Toc513029227"/>
      <w:r/>
      <w:bookmarkStart w:id="85" w:name="_Toc20823299"/>
      <w:r/>
      <w:bookmarkStart w:id="86" w:name="_Toc1693854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3.投标文件的密封（加密）要求：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3.2投标人须通过“苏采云”系统提供的政府采购客户端工具（使用“CA数字证书”）加盖电子签章。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说明：投标人应在用CA数字证书以及自备的能够登录“苏采云”系统的电脑，在达到开标时间后，使用CA数字证书解密各自投标文件。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3.3投标人未按规定加密的投标文件，“苏采云”系统应当拒收并提示。</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4.投标文件</w:t>
      </w:r>
      <w:bookmarkEnd w:id="84"/>
      <w:r/>
      <w:bookmarkEnd w:id="85"/>
      <w:r/>
      <w:bookmarkEnd w:id="86"/>
      <w:r>
        <w:rPr>
          <w:rFonts w:hint="eastAsia" w:ascii="宋体" w:hAnsi="宋体" w:eastAsia="宋体" w:cs="宋体"/>
          <w:color w:val="auto"/>
          <w:sz w:val="24"/>
          <w:highlight w:val="none"/>
        </w:rPr>
        <w:t xml:space="preserve">的拒收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4.1采购人或采购代理机构拒绝接收在其规定的投标截止时间后上传的任何投标文件。</w:t>
      </w:r>
      <w:r/>
    </w:p>
    <w:p>
      <w:pPr>
        <w:pStyle w:val="656"/>
        <w:ind w:firstLine="480"/>
        <w:jc w:val="both"/>
        <w:spacing w:line="360" w:lineRule="auto"/>
        <w:rPr>
          <w:rFonts w:hint="eastAsia" w:ascii="宋体" w:hAnsi="宋体" w:eastAsia="宋体" w:cs="宋体"/>
          <w:b/>
          <w:bCs/>
          <w:color w:val="auto"/>
          <w:sz w:val="24"/>
          <w:szCs w:val="24"/>
          <w:highlight w:val="none"/>
        </w:rPr>
      </w:pPr>
      <w:r/>
      <w:bookmarkStart w:id="87" w:name="_Toc513029228"/>
      <w:r/>
      <w:bookmarkStart w:id="88" w:name="_Toc16938544"/>
      <w:r/>
      <w:bookmarkStart w:id="89" w:name="_Toc20823300"/>
      <w:r>
        <w:rPr>
          <w:rFonts w:hint="eastAsia" w:ascii="宋体" w:hAnsi="宋体" w:eastAsia="宋体" w:cs="宋体"/>
          <w:color w:val="auto"/>
          <w:sz w:val="24"/>
          <w:szCs w:val="24"/>
          <w:highlight w:val="none"/>
        </w:rPr>
        <w:t xml:space="preserve">5.投标文件的撤回和修改</w:t>
      </w:r>
      <w:bookmarkEnd w:id="87"/>
      <w:r/>
      <w:bookmarkEnd w:id="88"/>
      <w:r/>
      <w:bookmarkEnd w:id="8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投标人可在投标截止时间前，撤回其电子投标文件，具体操作方法见《操作手册》，可至江苏省政府采购网—办事指南-资料下载中心下载。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5.1.2投标人撤回电子投标文件，则认为其不再参与本项目投标活动。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5.2投标文件的修改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投标人可在投标截止时间前，对其电子投标文件进行修改，</w:t>
      </w:r>
      <w:r>
        <w:rPr>
          <w:rFonts w:hint="eastAsia" w:ascii="宋体" w:hAnsi="宋体" w:eastAsia="宋体" w:cs="宋体"/>
          <w:color w:val="auto"/>
          <w:sz w:val="24"/>
          <w:highlight w:val="none"/>
        </w:rPr>
        <w:t xml:space="preserve">具体操作方法见《操作手册》。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5.3</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5.4</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655"/>
        <w:ind w:firstLine="482"/>
        <w:spacing w:before="0" w:after="0" w:line="360" w:lineRule="auto"/>
        <w:rPr>
          <w:rFonts w:hint="eastAsia" w:ascii="宋体" w:hAnsi="宋体" w:eastAsia="宋体" w:cs="宋体"/>
          <w:color w:val="auto"/>
          <w:sz w:val="24"/>
          <w:szCs w:val="24"/>
          <w:highlight w:val="none"/>
        </w:rPr>
      </w:pPr>
      <w:r/>
      <w:bookmarkStart w:id="90" w:name="_Toc20823301"/>
      <w:r/>
      <w:bookmarkStart w:id="91" w:name="_Toc120614218"/>
      <w:r/>
      <w:bookmarkStart w:id="92" w:name="_Toc513029229"/>
      <w:r/>
      <w:bookmarkStart w:id="93" w:name="_Toc16938545"/>
      <w:r>
        <w:rPr>
          <w:rFonts w:hint="eastAsia" w:ascii="宋体" w:hAnsi="宋体" w:eastAsia="宋体" w:cs="宋体"/>
          <w:color w:val="auto"/>
          <w:sz w:val="24"/>
          <w:szCs w:val="24"/>
          <w:highlight w:val="none"/>
        </w:rPr>
        <w:t xml:space="preserve">（五）开标与评标</w:t>
      </w:r>
      <w:bookmarkEnd w:id="90"/>
      <w:r/>
      <w:bookmarkEnd w:id="91"/>
      <w:r/>
      <w:bookmarkEnd w:id="92"/>
      <w:r/>
      <w:bookmarkEnd w:id="93"/>
      <w:r/>
      <w:r/>
    </w:p>
    <w:p>
      <w:pPr>
        <w:pStyle w:val="656"/>
        <w:ind w:firstLine="480"/>
        <w:jc w:val="both"/>
        <w:spacing w:line="360" w:lineRule="auto"/>
        <w:rPr>
          <w:rFonts w:hint="eastAsia" w:ascii="宋体" w:hAnsi="宋体" w:eastAsia="宋体" w:cs="宋体"/>
          <w:b/>
          <w:bCs/>
          <w:color w:val="auto"/>
          <w:sz w:val="24"/>
          <w:szCs w:val="24"/>
          <w:highlight w:val="none"/>
        </w:rPr>
      </w:pPr>
      <w:r/>
      <w:bookmarkStart w:id="94" w:name="_Toc20823302"/>
      <w:r/>
      <w:bookmarkStart w:id="95" w:name="_Toc513029230"/>
      <w:r/>
      <w:bookmarkStart w:id="96" w:name="_Toc16938546"/>
      <w:r>
        <w:rPr>
          <w:rFonts w:hint="eastAsia" w:ascii="宋体" w:hAnsi="宋体" w:eastAsia="宋体" w:cs="宋体"/>
          <w:color w:val="auto"/>
          <w:sz w:val="24"/>
          <w:szCs w:val="24"/>
          <w:highlight w:val="none"/>
        </w:rPr>
        <w:t xml:space="preserve">1.开标</w:t>
      </w:r>
      <w:bookmarkEnd w:id="94"/>
      <w:r/>
      <w:bookmarkEnd w:id="95"/>
      <w:r/>
      <w:bookmarkEnd w:id="96"/>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1.1采购人或采购代理机构将在招标公告中规定的时间和地点组织公开开标。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开标当天投标人及时登录不见面开标大厅，投标文件递交截止时间后，采购</w:t>
      </w:r>
      <w:r>
        <w:rPr>
          <w:rFonts w:hint="eastAsia" w:ascii="宋体" w:hAnsi="宋体" w:eastAsia="宋体" w:cs="宋体"/>
          <w:bCs/>
          <w:color w:val="auto"/>
          <w:sz w:val="24"/>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1.2开标仪</w:t>
      </w:r>
      <w:r>
        <w:rPr>
          <w:rFonts w:hint="eastAsia" w:ascii="宋体" w:hAnsi="宋体" w:eastAsia="宋体" w:cs="宋体"/>
          <w:color w:val="auto"/>
          <w:sz w:val="24"/>
          <w:highlight w:val="none"/>
        </w:rPr>
        <w:t xml:space="preserve">式由采购代理机构组织，苏采云系统将自动对项目进行开标，并宣布各投标人名称和投标价格。</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1.3投标人在开标过程中涉及到的投标文件解密、开标结果确认等工作，应按照《操作手册》规定执行。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eastAsia="宋体" w:cs="宋体"/>
          <w:color w:val="auto"/>
          <w:sz w:val="24"/>
          <w:highlight w:val="none"/>
        </w:rPr>
      </w:pPr>
      <w:r/>
      <w:bookmarkStart w:id="97" w:name="_Toc513029231"/>
      <w:r/>
      <w:bookmarkStart w:id="98" w:name="_Toc16938547"/>
      <w:r/>
      <w:bookmarkStart w:id="99" w:name="_Toc20823303"/>
      <w:r>
        <w:rPr>
          <w:rFonts w:hint="eastAsia" w:ascii="宋体" w:hAnsi="宋体" w:eastAsia="宋体" w:cs="宋体"/>
          <w:color w:val="auto"/>
          <w:sz w:val="24"/>
          <w:highlight w:val="none"/>
        </w:rPr>
        <w:t xml:space="preserve">2.评标委员会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2.1开标后，采购人或采购代理机构将立即组织评标委员会（以下简称评委会）进行评标。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2.2评委会由采购人代表和有关技术、经济等方面的专家组成，且人员构成符合政府采购有关规定。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2.3评委会独立工作，负责评审所有投标文件并确定中标候选人。</w:t>
      </w:r>
      <w:r/>
    </w:p>
    <w:p>
      <w:pPr>
        <w:pStyle w:val="656"/>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3.评标过程的保密与公正</w:t>
      </w:r>
      <w:bookmarkEnd w:id="97"/>
      <w:r/>
      <w:bookmarkEnd w:id="98"/>
      <w:r/>
      <w:bookmarkEnd w:id="99"/>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3.1</w:t>
      </w:r>
      <w:r>
        <w:rPr>
          <w:rFonts w:hint="eastAsia" w:ascii="宋体" w:hAnsi="宋体" w:eastAsia="宋体" w:cs="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3.2在评标过程中，投标人不得以任何行为影响评标过程，否则其投标文件将被作为无效投标文件。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3.3在评标期间，采购代理机构将设专门人员与投标人联系。</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3.4采购人或采购代理机构和评标委员会不向未中标的投标人解释未中标原因，也不公布评标过程中的相关细节。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3.5采用综合评分法的项目，未中标的投标人可于中标结果公告期限届满之日起通过苏采云系统查看自己的评审得分及排序情况。</w:t>
      </w:r>
      <w:r/>
    </w:p>
    <w:p>
      <w:pPr>
        <w:pStyle w:val="656"/>
        <w:ind w:firstLine="480"/>
        <w:jc w:val="both"/>
        <w:spacing w:line="360" w:lineRule="auto"/>
        <w:rPr>
          <w:rFonts w:hint="eastAsia" w:ascii="宋体" w:hAnsi="宋体" w:eastAsia="宋体" w:cs="宋体"/>
          <w:b/>
          <w:bCs/>
          <w:color w:val="auto"/>
          <w:sz w:val="24"/>
          <w:szCs w:val="24"/>
          <w:highlight w:val="none"/>
        </w:rPr>
      </w:pPr>
      <w:r/>
      <w:bookmarkStart w:id="100" w:name="_Toc16938548"/>
      <w:r/>
      <w:bookmarkStart w:id="101" w:name="_Toc513029232"/>
      <w:r/>
      <w:bookmarkStart w:id="102" w:name="_Toc20823304"/>
      <w:r>
        <w:rPr>
          <w:rFonts w:hint="eastAsia" w:ascii="宋体" w:hAnsi="宋体" w:eastAsia="宋体" w:cs="宋体"/>
          <w:color w:val="auto"/>
          <w:sz w:val="24"/>
          <w:szCs w:val="24"/>
          <w:highlight w:val="none"/>
        </w:rPr>
        <w:t xml:space="preserve">4.投标文件的澄清</w:t>
      </w:r>
      <w:bookmarkEnd w:id="100"/>
      <w:r/>
      <w:bookmarkEnd w:id="101"/>
      <w:r/>
      <w:bookmarkEnd w:id="102"/>
      <w:r/>
      <w:r/>
    </w:p>
    <w:p>
      <w:pPr>
        <w:ind w:firstLine="480"/>
        <w:spacing w:line="360" w:lineRule="auto"/>
        <w:rPr>
          <w:rFonts w:hint="eastAsia" w:ascii="宋体" w:hAnsi="宋体" w:eastAsia="宋体" w:cs="宋体"/>
          <w:color w:val="auto"/>
          <w:sz w:val="24"/>
          <w:highlight w:val="none"/>
        </w:rPr>
      </w:pPr>
      <w:r/>
      <w:bookmarkStart w:id="103" w:name="_Toc16938549"/>
      <w:r/>
      <w:bookmarkStart w:id="104" w:name="_Toc513029233"/>
      <w:r/>
      <w:bookmarkStart w:id="105" w:name="_Toc20823305"/>
      <w:r>
        <w:rPr>
          <w:rFonts w:hint="eastAsia" w:ascii="宋体" w:hAnsi="宋体" w:eastAsia="宋体" w:cs="宋体"/>
          <w:color w:val="auto"/>
          <w:sz w:val="24"/>
          <w:highlight w:val="none"/>
        </w:rPr>
        <w:t xml:space="preserve">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4.3接到评委会澄清、说明和补正要求的投标人如未按规定做出澄清、说明和补正，其风险由投标人自行承担。</w:t>
      </w:r>
      <w:r/>
    </w:p>
    <w:p>
      <w:pPr>
        <w:pStyle w:val="656"/>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5.对投标文件的初审</w:t>
      </w:r>
      <w:bookmarkEnd w:id="103"/>
      <w:r/>
      <w:bookmarkEnd w:id="104"/>
      <w:r/>
      <w:bookmarkEnd w:id="105"/>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5.1.1资格审查：依据法律法规和招标文件的规定，由采购人对投标文件中的资格证明文件进行审查。资格审查的结论，采购人以书面形式向评委会进行反馈。</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5.1.2符合性审查：依据招标文件的规定，由评委会从投标文件的有效性、完整性和对招标文件的响应程度进行审查，以确定是否对招标文件的实质性要求作出响应。</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5.1.3未通过资格审查或符合性审查的投标人，采购人或采购代理机构告知未通过资格审查或符合性审查的原因，评审结束后，采购人或采购代理机构将不再告知未通过资格审查或符合性审查的原因。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highlight w:val="none"/>
        </w:rPr>
        <w:t xml:space="preserve">评委决定投标文件的响应性只根据投标文件本身的内容，而不寻求外部的证据。</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5.3</w:t>
      </w:r>
      <w:r>
        <w:rPr>
          <w:rFonts w:hint="eastAsia" w:ascii="宋体" w:hAnsi="宋体" w:eastAsia="宋体" w:cs="宋体"/>
          <w:bCs/>
          <w:color w:val="auto"/>
          <w:sz w:val="24"/>
          <w:highlight w:val="none"/>
        </w:rPr>
        <w:t xml:space="preserve">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5.5</w:t>
      </w:r>
      <w:r>
        <w:rPr>
          <w:rFonts w:hint="eastAsia" w:ascii="宋体" w:hAnsi="宋体" w:eastAsia="宋体" w:cs="宋体"/>
          <w:bCs/>
          <w:color w:val="auto"/>
          <w:sz w:val="24"/>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5.6</w:t>
      </w:r>
      <w:r>
        <w:rPr>
          <w:rFonts w:hint="eastAsia" w:ascii="宋体" w:hAnsi="宋体" w:eastAsia="宋体" w:cs="宋体"/>
          <w:bCs/>
          <w:color w:val="auto"/>
          <w:sz w:val="24"/>
          <w:highlight w:val="none"/>
        </w:rPr>
        <w:t xml:space="preserve">评委会将允许修正投标文件中不构成重大偏离的、微小的、非正规的、不一致的或不规则的地方，但这些修改不能影响任何投标人相应的名次排列。</w:t>
      </w:r>
      <w:r/>
    </w:p>
    <w:p>
      <w:pPr>
        <w:ind w:firstLine="480"/>
        <w:spacing w:line="360" w:lineRule="auto"/>
        <w:rPr>
          <w:rFonts w:hint="eastAsia" w:ascii="宋体" w:hAnsi="宋体" w:eastAsia="宋体" w:cs="宋体"/>
          <w:color w:val="auto"/>
          <w:sz w:val="24"/>
          <w:highlight w:val="none"/>
        </w:rPr>
      </w:pPr>
      <w:r/>
      <w:bookmarkStart w:id="106" w:name="_Toc20823306"/>
      <w:r/>
      <w:bookmarkStart w:id="107" w:name="_Toc16938550"/>
      <w:r/>
      <w:bookmarkStart w:id="108" w:name="_Toc513029234"/>
      <w:r>
        <w:rPr>
          <w:rFonts w:hint="eastAsia" w:ascii="宋体" w:hAnsi="宋体" w:eastAsia="宋体" w:cs="宋体"/>
          <w:color w:val="auto"/>
          <w:sz w:val="24"/>
          <w:highlight w:val="none"/>
        </w:rPr>
        <w:t xml:space="preserve">5.7投标人在开、评标全过程中应保持通讯畅通，及时登录苏采云系统查阅、答复相关信息，并安排专人与采购人或采购代理机构联系。</w:t>
      </w:r>
      <w:bookmarkEnd w:id="106"/>
      <w:r/>
      <w:bookmarkEnd w:id="107"/>
      <w:r/>
      <w:bookmarkEnd w:id="108"/>
      <w:r/>
      <w:r/>
    </w:p>
    <w:p>
      <w:pPr>
        <w:pStyle w:val="656"/>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6.无效投标条款和废标条款</w:t>
      </w:r>
      <w:r/>
    </w:p>
    <w:p>
      <w:pPr>
        <w:ind w:firstLine="480"/>
        <w:spacing w:line="360" w:lineRule="auto"/>
        <w:rPr>
          <w:rFonts w:hint="eastAsia" w:ascii="宋体" w:hAnsi="宋体" w:eastAsia="宋体" w:cs="宋体"/>
          <w:bCs/>
          <w:color w:val="auto"/>
          <w:sz w:val="24"/>
          <w:highlight w:val="none"/>
        </w:rPr>
      </w:pPr>
      <w:r/>
      <w:bookmarkStart w:id="109" w:name="_Toc20823307"/>
      <w:r/>
      <w:bookmarkStart w:id="110" w:name="_Toc513029235"/>
      <w:r/>
      <w:bookmarkStart w:id="111" w:name="_Toc16938551"/>
      <w:r>
        <w:rPr>
          <w:rFonts w:hint="eastAsia" w:ascii="宋体" w:hAnsi="宋体" w:eastAsia="宋体" w:cs="宋体"/>
          <w:bCs/>
          <w:color w:val="auto"/>
          <w:sz w:val="24"/>
          <w:highlight w:val="none"/>
        </w:rPr>
        <w:t xml:space="preserve">6.1无效投标条款</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6.1.1投标人在苏采云系统规定的时间内未成功解密电子投标文件的。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6.1.2投标人未按照招标文件要求上传电子投标文件的。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6.1.3同一投标人提交两个（含两个）以上不同的投标报价的。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6.1.4投标人不具备招标文件中规定资格要求的。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6.1.5投标人的报价超过了采购预算或最高限价或</w:t>
      </w:r>
      <w:r>
        <w:rPr>
          <w:rFonts w:hint="eastAsia" w:ascii="宋体" w:hAnsi="宋体" w:eastAsia="宋体" w:cs="宋体"/>
          <w:bCs/>
          <w:color w:val="auto"/>
          <w:spacing w:val="-2"/>
          <w:sz w:val="24"/>
          <w:highlight w:val="none"/>
        </w:rPr>
        <w:t xml:space="preserve">云网融合及情报板维护和基础电信服务报价之和低于其余服务工作费用报价的4</w:t>
      </w:r>
      <w:r>
        <w:rPr>
          <w:rFonts w:hint="eastAsia" w:ascii="宋体" w:hAnsi="宋体" w:eastAsia="宋体" w:cs="宋体"/>
          <w:bCs/>
          <w:color w:val="auto"/>
          <w:spacing w:val="-2"/>
          <w:sz w:val="24"/>
          <w:highlight w:val="none"/>
          <w:lang w:val="en-US" w:eastAsia="zh-CN"/>
        </w:rPr>
        <w:t xml:space="preserve">9</w:t>
      </w:r>
      <w:r>
        <w:rPr>
          <w:rFonts w:hint="eastAsia" w:ascii="宋体" w:hAnsi="宋体" w:eastAsia="宋体" w:cs="宋体"/>
          <w:bCs/>
          <w:color w:val="auto"/>
          <w:spacing w:val="-2"/>
          <w:sz w:val="24"/>
          <w:highlight w:val="none"/>
        </w:rPr>
        <w:t xml:space="preserve">%</w:t>
      </w:r>
      <w:r>
        <w:rPr>
          <w:rFonts w:hint="eastAsia" w:ascii="宋体" w:hAnsi="宋体" w:eastAsia="宋体" w:cs="宋体"/>
          <w:bCs/>
          <w:color w:val="auto"/>
          <w:sz w:val="24"/>
          <w:highlight w:val="none"/>
        </w:rPr>
        <w:t xml:space="preserve">的。</w:t>
      </w:r>
      <w:r/>
    </w:p>
    <w:p>
      <w:pPr>
        <w:ind w:firstLine="480"/>
        <w:spacing w:line="360" w:lineRule="auto"/>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 xml:space="preserve">6.1.6未通过符合性审查的。</w:t>
      </w:r>
      <w:r/>
    </w:p>
    <w:p>
      <w:pPr>
        <w:ind w:firstLine="480"/>
        <w:spacing w:line="360" w:lineRule="auto"/>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 xml:space="preserve">6.1.7不符合招标文件中规定的其他实质性要求和条件的</w:t>
      </w:r>
      <w:r>
        <w:rPr>
          <w:rFonts w:hint="eastAsia" w:ascii="宋体" w:hAnsi="宋体" w:eastAsia="宋体" w:cs="宋体"/>
          <w:bCs/>
          <w:i/>
          <w:iCs/>
          <w:color w:val="auto"/>
          <w:sz w:val="24"/>
          <w:highlight w:val="none"/>
          <w:u w:val="single"/>
        </w:rPr>
        <w:t xml:space="preserve">（本招标文件中斜体且有下划线部分为实质性要求）</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6.1.8投标截止当日投标人被 “信用中国”网站列入失信被执行人或重大税收违法失信主体名单或严重失信主体名单。或查询“信用中国”网站后发现投标人存在其他不符合《中华人民共和国政府采购法》第二十二条规定条件的信用记录。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6.1.9投标文件含有采购人不能接受的附加条件的。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6.1.10评</w:t>
      </w:r>
      <w:r>
        <w:rPr>
          <w:rFonts w:hint="eastAsia" w:ascii="宋体" w:hAnsi="宋体" w:eastAsia="宋体" w:cs="宋体"/>
          <w:bCs/>
          <w:color w:val="auto"/>
          <w:sz w:val="24"/>
          <w:highlight w:val="none"/>
        </w:rPr>
        <w:t xml:space="preserve">标委员会认为投标人的报价明显低于其他通过符合性审查投标人的报价，有可能影响产品质量或者不能诚信履约的其他情形。评标委员会将启动异常低价投标审查程序。评标委员会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认可的认证机构出具的、处于有效期之内的该节能产品认证证书图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6.1.12投标文件未按照招标文件要求加盖CA电子签章。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6.1.13不同的投标人投标文件制作机器码、文件创建标识码一致的。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6.1.14投标人的商务技术部分得分相差悬殊，评标委员会一致认为得分畸低者没有实质性响应的。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6.1.15其他法律、法规及本招标文件规定的属无效投标的情形。</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6.2废标条款：</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6.2.1符合专业条件的投标人或者对招标文件作实质响应的投标人不足三家的。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6.2.2出现影响采购公正的违法、违规行为的。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6.2.3因重大变故，采购任务取消的。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6.2.4评标委员会认定招标文件存在歧义、重大缺陷导致评审工作无法进行。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6.2.5因苏采云系统故障原因造成开标不成功的。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6.3投标截止时间结束后参加投标的投标人不足三家的处理：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7.投标文件线上格式要求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7.1投标人应当通过“苏采云”系统提交数据电文形式的投标文件（即电子投标）。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7.2通过“苏采云”系统提交政府采购客户端工具导出加密的投标文件（后缀名为zip）。投标文件不得超过150M！</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7.3本项目采用线上投标，即投标人的投标文件从政府采购客户端工具制作通过“苏采云”系统提交，未提供线上投标文件的，投标无效。</w:t>
      </w:r>
      <w:bookmarkEnd w:id="109"/>
      <w:r/>
      <w:bookmarkEnd w:id="110"/>
      <w:r/>
      <w:bookmarkEnd w:id="111"/>
      <w:r/>
      <w:r/>
    </w:p>
    <w:p>
      <w:pPr>
        <w:pStyle w:val="655"/>
        <w:ind w:firstLine="482"/>
        <w:spacing w:before="0" w:after="0" w:line="360" w:lineRule="auto"/>
        <w:rPr>
          <w:rFonts w:hint="eastAsia" w:ascii="宋体" w:hAnsi="宋体" w:eastAsia="宋体" w:cs="宋体"/>
          <w:color w:val="auto"/>
          <w:sz w:val="24"/>
          <w:szCs w:val="24"/>
          <w:highlight w:val="none"/>
        </w:rPr>
      </w:pPr>
      <w:r/>
      <w:bookmarkStart w:id="112" w:name="_Toc120614219"/>
      <w:r>
        <w:rPr>
          <w:rFonts w:hint="eastAsia" w:ascii="宋体" w:hAnsi="宋体" w:eastAsia="宋体" w:cs="宋体"/>
          <w:color w:val="auto"/>
          <w:sz w:val="24"/>
          <w:szCs w:val="24"/>
          <w:highlight w:val="none"/>
        </w:rPr>
        <w:t xml:space="preserve">（六）定标</w:t>
      </w:r>
      <w:bookmarkEnd w:id="112"/>
      <w:r/>
      <w:r/>
    </w:p>
    <w:p>
      <w:pPr>
        <w:pStyle w:val="656"/>
        <w:ind w:firstLine="480"/>
        <w:jc w:val="both"/>
        <w:spacing w:line="360" w:lineRule="auto"/>
        <w:rPr>
          <w:rFonts w:hint="eastAsia" w:ascii="宋体" w:hAnsi="宋体" w:eastAsia="宋体" w:cs="宋体"/>
          <w:b/>
          <w:color w:val="auto"/>
          <w:sz w:val="24"/>
          <w:szCs w:val="24"/>
          <w:highlight w:val="none"/>
        </w:rPr>
      </w:pPr>
      <w:r/>
      <w:bookmarkStart w:id="113" w:name="_Toc20823310"/>
      <w:r/>
      <w:bookmarkStart w:id="114" w:name="_Toc16938554"/>
      <w:r>
        <w:rPr>
          <w:rFonts w:hint="eastAsia" w:ascii="宋体" w:hAnsi="宋体" w:eastAsia="宋体" w:cs="宋体"/>
          <w:color w:val="auto"/>
          <w:sz w:val="24"/>
          <w:szCs w:val="24"/>
          <w:highlight w:val="none"/>
        </w:rPr>
        <w:t xml:space="preserve">1.确定</w:t>
      </w:r>
      <w:bookmarkEnd w:id="113"/>
      <w:r/>
      <w:bookmarkEnd w:id="114"/>
      <w:r>
        <w:rPr>
          <w:rFonts w:hint="eastAsia" w:ascii="宋体" w:hAnsi="宋体" w:eastAsia="宋体" w:cs="宋体"/>
          <w:color w:val="auto"/>
          <w:sz w:val="24"/>
          <w:szCs w:val="24"/>
          <w:highlight w:val="none"/>
        </w:rPr>
        <w:t xml:space="preserve">中标人</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1.1中标候选人的选取原则和数量见招标文件第四部分规定。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1.2采购人应根据评标委员会推荐的中标候选人确定中标人。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color w:val="auto"/>
          <w:sz w:val="24"/>
          <w:highlight w:val="none"/>
        </w:rPr>
        <w:t xml:space="preserve">采购人或采购代理机构将在“江苏政府采购网”发布中标公告，公告期限为1个工作日。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1.4若有充分证据证明，中标人出现下列情况之一的，一经查实，将被取消中标资格：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1.4.1提供虚假材料谋取中标的。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1.4.2向采购人、采购代理机构行贿或者提供其他不正当利益的。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1.4.3恶意竞争，投标总报价明显低于其自身合理成本且又无法提供证明的。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1.4.4属于本文件规定的无效条件，但在评标过程中又未被评委会发现的。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1.4.5与采购人或者其他投标人恶意串通的。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1.4.6采取不正当手段诋毁、排挤其他投标人的。</w:t>
      </w:r>
      <w:r/>
    </w:p>
    <w:p>
      <w:pPr>
        <w:ind w:firstLine="480"/>
        <w:spacing w:line="360" w:lineRule="auto"/>
        <w:rPr>
          <w:rFonts w:hint="eastAsia" w:ascii="宋体" w:hAnsi="宋体" w:eastAsia="宋体" w:cs="宋体"/>
          <w:color w:val="auto"/>
          <w:sz w:val="24"/>
          <w:highlight w:val="none"/>
        </w:rPr>
      </w:pPr>
      <w:r/>
      <w:bookmarkStart w:id="115" w:name="_Toc200451960"/>
      <w:r>
        <w:rPr>
          <w:rFonts w:hint="eastAsia" w:ascii="宋体" w:hAnsi="宋体" w:eastAsia="宋体" w:cs="宋体"/>
          <w:color w:val="auto"/>
          <w:sz w:val="24"/>
          <w:highlight w:val="none"/>
        </w:rPr>
        <w:t xml:space="preserve">1.5有下列情形之一的，视为投标人串通投标，投标无效：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1.5.5不同投标人的投标文件相互混装。</w:t>
      </w:r>
      <w:r/>
    </w:p>
    <w:p>
      <w:pPr>
        <w:pStyle w:val="656"/>
        <w:ind w:firstLine="48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2.质疑处理</w:t>
      </w:r>
      <w:bookmarkEnd w:id="11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2.1提出质疑的投标人应当是参与所质疑项目采购活动的投标人。潜在投标人依法获取其可质疑的招标文件的，可以对招标文件提出质疑。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投标人认为招标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2.2.1对可以质疑的招标文件提出质疑的，为收到招标文件之日或者招标文件公告期限届满之日；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2.2.2对采购过程提出质疑的，为各采购程序环节结束之日；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投标人应当在法定质疑期内一次性提出针对同一采购程序环节的质疑。投标人如在法定期限内对同一采购程序环节提出多次质疑的，采购人或采购代理机构将只对投标人第一次质疑作出答复。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2.4质疑答复依据《政府采购质疑和投诉办法》（财政部令第94号）。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采购人质疑接收人及联系方式，见招标文件第一部分。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2.5以下情形的质疑不予受理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2.5.1内容不符合《政府采购质疑和投诉办法》第十二条规定的质疑。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2.5.2超出政府采购法定期限的质疑。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2.5.3不符合上述2.2的质疑。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2.5.4投标人组成联合体参加投标，联合体中任何一方或多方未按要求签字、盖章、加盖公章的质疑。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pStyle w:val="656"/>
        <w:ind w:firstLine="48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3.中标通知书</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3.1中标结果确定后，</w:t>
      </w:r>
      <w:r>
        <w:rPr>
          <w:rFonts w:hint="eastAsia" w:ascii="宋体" w:hAnsi="宋体" w:eastAsia="宋体" w:cs="宋体"/>
          <w:bCs/>
          <w:color w:val="auto"/>
          <w:sz w:val="24"/>
          <w:highlight w:val="none"/>
        </w:rPr>
        <w:t xml:space="preserve">采购人或采购代理机构</w:t>
      </w:r>
      <w:r>
        <w:rPr>
          <w:rFonts w:hint="eastAsia" w:ascii="宋体" w:hAnsi="宋体" w:eastAsia="宋体" w:cs="宋体"/>
          <w:color w:val="auto"/>
          <w:sz w:val="24"/>
          <w:highlight w:val="none"/>
        </w:rPr>
        <w:t xml:space="preserve">将向中标人发出中标通知书。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3.3中标人在下载中标通知书后须提供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套加盖红章的系统内打印的纸质投标文件给采购代理机构。</w:t>
      </w:r>
      <w:r/>
    </w:p>
    <w:p>
      <w:pPr>
        <w:pStyle w:val="655"/>
        <w:ind w:firstLine="482"/>
        <w:keepLines w:val="0"/>
        <w:keepNext w:val="0"/>
        <w:spacing w:before="0" w:after="0" w:line="360" w:lineRule="auto"/>
        <w:rPr>
          <w:rFonts w:hint="eastAsia" w:ascii="宋体" w:hAnsi="宋体" w:eastAsia="宋体" w:cs="宋体"/>
          <w:color w:val="auto"/>
          <w:sz w:val="24"/>
          <w:szCs w:val="24"/>
          <w:highlight w:val="none"/>
        </w:rPr>
      </w:pPr>
      <w:r/>
      <w:bookmarkStart w:id="116" w:name="_Toc20823308"/>
      <w:r/>
      <w:bookmarkStart w:id="117" w:name="_Toc120614220"/>
      <w:r/>
      <w:bookmarkStart w:id="118" w:name="_Toc16938552"/>
      <w:r/>
      <w:bookmarkStart w:id="119" w:name="_Toc513029236"/>
      <w:r>
        <w:rPr>
          <w:rFonts w:hint="eastAsia" w:ascii="宋体" w:hAnsi="宋体" w:eastAsia="宋体" w:cs="宋体"/>
          <w:color w:val="auto"/>
          <w:sz w:val="24"/>
          <w:szCs w:val="24"/>
          <w:highlight w:val="none"/>
        </w:rPr>
        <w:t xml:space="preserve">（七）授予合同</w:t>
      </w:r>
      <w:bookmarkEnd w:id="116"/>
      <w:r/>
      <w:bookmarkEnd w:id="117"/>
      <w:r/>
      <w:bookmarkEnd w:id="118"/>
      <w:r/>
      <w:bookmarkEnd w:id="119"/>
      <w:r/>
      <w:r/>
    </w:p>
    <w:p>
      <w:pPr>
        <w:pStyle w:val="656"/>
        <w:ind w:firstLine="480"/>
        <w:jc w:val="both"/>
        <w:keepNext w:val="0"/>
        <w:spacing w:line="360" w:lineRule="auto"/>
        <w:rPr>
          <w:rFonts w:hint="eastAsia" w:ascii="宋体" w:hAnsi="宋体" w:eastAsia="宋体" w:cs="宋体"/>
          <w:b/>
          <w:color w:val="auto"/>
          <w:sz w:val="24"/>
          <w:szCs w:val="24"/>
          <w:highlight w:val="none"/>
        </w:rPr>
      </w:pPr>
      <w:r/>
      <w:bookmarkStart w:id="120" w:name="_Toc513029237"/>
      <w:r/>
      <w:bookmarkStart w:id="121" w:name="_Toc20823309"/>
      <w:r/>
      <w:bookmarkStart w:id="122" w:name="_Toc16938553"/>
      <w:r>
        <w:rPr>
          <w:rFonts w:hint="eastAsia" w:ascii="宋体" w:hAnsi="宋体" w:eastAsia="宋体" w:cs="宋体"/>
          <w:color w:val="auto"/>
          <w:sz w:val="24"/>
          <w:szCs w:val="24"/>
          <w:highlight w:val="none"/>
        </w:rPr>
        <w:t xml:space="preserve">1.签订合同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.l中标人应当在中标通知书发出之日起三十日内，按照招标文件确定的事项与采购人签订政府采购合同。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1.2招标文件、中标人的投标文件及招标过程中有关澄清、承诺文件均应作为合同附件。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签订合同后，中标人不得将合同标的进行转包。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656"/>
        <w:ind w:firstLine="48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2.货物和服务的追加、减少和添购。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0"/>
      <w:r/>
      <w:bookmarkEnd w:id="121"/>
      <w:r/>
      <w:bookmarkEnd w:id="1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3.政府采购合同信用融资扶持政策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3.1根据《关于深入开展南通市政府采购线上合同信用融资业务的通知》（通财购〔2022〕68号），中标人可通过中征应收账款融资服务平台（简称“中征平台”）办理“政采贷”融资贷款，具体业务操作流程如下：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3.1.1确定融资意向。中标人取得中标通知书后，联系意向金融机构，商洽融资事项，确定融资意向。</w:t>
      </w:r>
      <w:r/>
    </w:p>
    <w:p>
      <w:pPr>
        <w:pStyle w:val="656"/>
        <w:ind w:firstLine="48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3.1.2签订采购合同。中标人与采购人签订政府采购合同时，应将自身融资需求告知采购人或其委托的采购代理机构，提醒 (或协助 ) 其当天在“苏采云”上传合同的同时将“供应商是否融资”选为“是”。</w:t>
      </w:r>
      <w:r/>
    </w:p>
    <w:p>
      <w:pPr>
        <w:pStyle w:val="656"/>
        <w:ind w:firstLine="48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3.1.3提交融资申请。中标人登录“中征平台”进行用户注册，查看“政采贷”融资产品，向确定合作的金融机构提交融资申请。</w:t>
      </w:r>
      <w:r/>
    </w:p>
    <w:p>
      <w:pPr>
        <w:pStyle w:val="656"/>
        <w:ind w:firstLine="48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3.1.4确认回款账户。金融机构填写需要锁定的回款账户信息后中标人应登录“中征平台”确认账户信息，以实现回款账户的锁定。</w:t>
      </w:r>
      <w:r/>
    </w:p>
    <w:p>
      <w:pPr>
        <w:ind w:firstLine="0"/>
        <w:jc w:val="center"/>
        <w:keepLines w:val="0"/>
        <w:keepNext w:val="0"/>
        <w:pageBreakBefore w:val="0"/>
        <w:spacing w:line="360" w:lineRule="auto"/>
        <w:widowControl w:val="off"/>
        <w:rPr>
          <w:rFonts w:hint="eastAsia" w:ascii="宋体" w:hAnsi="宋体" w:eastAsia="宋体" w:cs="宋体"/>
          <w:bCs/>
          <w:color w:val="auto"/>
          <w:sz w:val="36"/>
          <w:szCs w:val="36"/>
          <w:highlight w:val="none"/>
        </w:rPr>
        <w:outlineLvl w:val="0"/>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36"/>
          <w:szCs w:val="36"/>
          <w:highlight w:val="none"/>
        </w:rPr>
        <w:t xml:space="preserve">第三部分  项目需求</w:t>
      </w:r>
      <w:bookmarkEnd w:id="0"/>
      <w:bookmarkEnd w:id="1"/>
      <w:bookmarkEnd w:id="2"/>
      <w:r/>
    </w:p>
    <w:p>
      <w:pPr>
        <w:ind w:firstLine="482"/>
        <w:jc w:val="left"/>
        <w:keepLines w:val="0"/>
        <w:keepNext w:val="0"/>
        <w:pageBreakBefore w:val="0"/>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r>
        <w:rPr>
          <w:rFonts w:hint="eastAsia" w:ascii="宋体" w:hAnsi="宋体" w:eastAsia="宋体" w:cs="宋体"/>
          <w:b/>
          <w:color w:val="auto"/>
          <w:sz w:val="24"/>
          <w:szCs w:val="24"/>
          <w:highlight w:val="none"/>
          <w:shd w:val="clear" w:color="auto" w:fill="auto"/>
          <w:lang w:val="en-US" w:eastAsia="zh-CN"/>
        </w:rPr>
        <w:t xml:space="preserve">如不明示的视同完全响应。</w:t>
      </w:r>
      <w:r/>
    </w:p>
    <w:p>
      <w:pPr>
        <w:ind w:firstLine="48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一、项目概述</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为贯彻落实国家、省《深入打好污染防治攻坚战的实施意见》，根据当前我市空气质量现状和改善需求，我局拟邀请专家团队开展大气污染精准治理技术支撑</w:t>
      </w:r>
      <w:r>
        <w:rPr>
          <w:rFonts w:hint="eastAsia" w:ascii="宋体" w:hAnsi="宋体" w:eastAsia="宋体" w:cs="宋体"/>
          <w:bCs/>
          <w:sz w:val="24"/>
          <w:szCs w:val="24"/>
          <w:highlight w:val="none"/>
        </w:rPr>
        <w:t xml:space="preserve">，服务内容包括</w:t>
      </w:r>
      <w:r>
        <w:rPr>
          <w:rFonts w:hint="eastAsia" w:ascii="宋体" w:hAnsi="宋体" w:eastAsia="宋体" w:cs="宋体"/>
          <w:bCs/>
          <w:color w:val="000000"/>
          <w:sz w:val="24"/>
          <w:szCs w:val="24"/>
          <w:highlight w:val="none"/>
        </w:rPr>
        <w:t xml:space="preserve">大气环境立体监测、综合驻场管控、污染物动态监测、污染物组分解析等方面，为南通市大气精准治理提供技术支撑，对落后或下滑的区县开展技术帮扶。</w:t>
      </w:r>
      <w:r/>
    </w:p>
    <w:p>
      <w:pPr>
        <w:ind w:firstLine="48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二、服务内容</w:t>
      </w:r>
      <w:r/>
    </w:p>
    <w:p>
      <w:pPr>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（一）大气环境立体监测网络服务</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1、微站网格化监测服务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在国控站点周边布设不少于71台微站，包括不少于56台六参数网格化微站和不少于15台TVOCs微站。除固定布设的网格化微站外，供应商提供5台备用微站按需调用。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投标人所提供监测点位设备的技术参数应符合生态环境部《大气PM</w:t>
      </w:r>
      <w:r>
        <w:rPr>
          <w:rFonts w:hint="eastAsia" w:ascii="宋体" w:hAnsi="宋体" w:cs="宋体"/>
          <w:color w:val="000000"/>
          <w:sz w:val="24"/>
          <w:highlight w:val="none"/>
          <w:vertAlign w:val="subscript"/>
        </w:rPr>
        <w:t xml:space="preserve">2.5</w:t>
      </w:r>
      <w:r>
        <w:rPr>
          <w:rFonts w:hint="eastAsia" w:ascii="宋体" w:hAnsi="宋体" w:cs="宋体"/>
          <w:color w:val="000000"/>
          <w:sz w:val="24"/>
          <w:highlight w:val="none"/>
        </w:rPr>
        <w:t xml:space="preserve">网格化监测点位布设技术指南（试行）》、《大气PM</w:t>
      </w:r>
      <w:r>
        <w:rPr>
          <w:rFonts w:hint="eastAsia" w:ascii="宋体" w:hAnsi="宋体" w:cs="宋体"/>
          <w:color w:val="000000"/>
          <w:sz w:val="24"/>
          <w:highlight w:val="none"/>
          <w:vertAlign w:val="subscript"/>
        </w:rPr>
        <w:t xml:space="preserve">2.5</w:t>
      </w:r>
      <w:r>
        <w:rPr>
          <w:rFonts w:hint="eastAsia" w:ascii="宋体" w:hAnsi="宋体" w:cs="宋体"/>
          <w:color w:val="000000"/>
          <w:sz w:val="24"/>
          <w:highlight w:val="none"/>
        </w:rPr>
        <w:t xml:space="preserve">网格化监测技术要求和检验方法技术指南（试行）》、《大气PM</w:t>
      </w:r>
      <w:r>
        <w:rPr>
          <w:rFonts w:hint="eastAsia" w:ascii="宋体" w:hAnsi="宋体" w:cs="宋体"/>
          <w:color w:val="000000"/>
          <w:sz w:val="24"/>
          <w:highlight w:val="none"/>
          <w:vertAlign w:val="subscript"/>
        </w:rPr>
        <w:t xml:space="preserve">2.5</w:t>
      </w:r>
      <w:r>
        <w:rPr>
          <w:rFonts w:hint="eastAsia" w:ascii="宋体" w:hAnsi="宋体" w:cs="宋体"/>
          <w:color w:val="000000"/>
          <w:sz w:val="24"/>
          <w:highlight w:val="none"/>
        </w:rPr>
        <w:t xml:space="preserve">网格化监测系统质保质控与运行技术指南（试行）》、《大气PM</w:t>
      </w:r>
      <w:r>
        <w:rPr>
          <w:rFonts w:hint="eastAsia" w:ascii="宋体" w:hAnsi="宋体" w:cs="宋体"/>
          <w:color w:val="000000"/>
          <w:sz w:val="24"/>
          <w:highlight w:val="none"/>
          <w:vertAlign w:val="subscript"/>
        </w:rPr>
        <w:t xml:space="preserve">2.5</w:t>
      </w:r>
      <w:r>
        <w:rPr>
          <w:rFonts w:hint="eastAsia" w:ascii="宋体" w:hAnsi="宋体" w:cs="宋体"/>
          <w:color w:val="000000"/>
          <w:sz w:val="24"/>
          <w:highlight w:val="none"/>
        </w:rPr>
        <w:t xml:space="preserve">网格化监测系统安装和验收技术指南（试行）》的有关规定。</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1.1、设备性能指标要求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（1）总体要求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①</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投标人所提供的六参空气质量监测设备指标应包括PM</w:t>
      </w:r>
      <w:r>
        <w:rPr>
          <w:rFonts w:hint="eastAsia" w:ascii="宋体" w:hAnsi="宋体" w:cs="宋体"/>
          <w:color w:val="000000"/>
          <w:sz w:val="24"/>
          <w:highlight w:val="none"/>
          <w:vertAlign w:val="subscript"/>
        </w:rPr>
        <w:t xml:space="preserve">2.5</w:t>
      </w:r>
      <w:r>
        <w:rPr>
          <w:rFonts w:hint="eastAsia" w:ascii="宋体" w:hAnsi="宋体" w:cs="宋体"/>
          <w:color w:val="000000"/>
          <w:sz w:val="24"/>
          <w:highlight w:val="none"/>
        </w:rPr>
        <w:t xml:space="preserve">、PM</w:t>
      </w:r>
      <w:r>
        <w:rPr>
          <w:rFonts w:hint="eastAsia" w:ascii="宋体" w:hAnsi="宋体" w:cs="宋体"/>
          <w:color w:val="000000"/>
          <w:sz w:val="24"/>
          <w:highlight w:val="none"/>
          <w:vertAlign w:val="subscript"/>
        </w:rPr>
        <w:t xml:space="preserve">10</w:t>
      </w:r>
      <w:r>
        <w:rPr>
          <w:rFonts w:hint="eastAsia" w:ascii="宋体" w:hAnsi="宋体" w:cs="宋体"/>
          <w:color w:val="000000"/>
          <w:sz w:val="24"/>
          <w:highlight w:val="none"/>
        </w:rPr>
        <w:t xml:space="preserve">、SO</w:t>
      </w:r>
      <w:r>
        <w:rPr>
          <w:rFonts w:hint="eastAsia" w:ascii="宋体" w:hAnsi="宋体" w:cs="宋体"/>
          <w:color w:val="000000"/>
          <w:sz w:val="24"/>
          <w:highlight w:val="none"/>
          <w:vertAlign w:val="subscript"/>
        </w:rPr>
        <w:t xml:space="preserve">2</w:t>
      </w:r>
      <w:r>
        <w:rPr>
          <w:rFonts w:hint="eastAsia" w:ascii="宋体" w:hAnsi="宋体" w:cs="宋体"/>
          <w:color w:val="000000"/>
          <w:sz w:val="24"/>
          <w:highlight w:val="none"/>
        </w:rPr>
        <w:t xml:space="preserve">、NO</w:t>
      </w:r>
      <w:r>
        <w:rPr>
          <w:rFonts w:hint="eastAsia" w:ascii="宋体" w:hAnsi="宋体" w:cs="宋体"/>
          <w:color w:val="000000"/>
          <w:sz w:val="24"/>
          <w:highlight w:val="none"/>
          <w:vertAlign w:val="subscript"/>
        </w:rPr>
        <w:t xml:space="preserve">2</w:t>
      </w:r>
      <w:r>
        <w:rPr>
          <w:rFonts w:hint="eastAsia" w:ascii="宋体" w:hAnsi="宋体" w:cs="宋体"/>
          <w:color w:val="000000"/>
          <w:sz w:val="24"/>
          <w:highlight w:val="none"/>
        </w:rPr>
        <w:t xml:space="preserve">、O</w:t>
      </w:r>
      <w:r>
        <w:rPr>
          <w:rFonts w:hint="eastAsia" w:ascii="宋体" w:hAnsi="宋体" w:cs="宋体"/>
          <w:color w:val="000000"/>
          <w:sz w:val="24"/>
          <w:highlight w:val="none"/>
          <w:vertAlign w:val="subscript"/>
        </w:rPr>
        <w:t xml:space="preserve">3</w:t>
      </w:r>
      <w:r>
        <w:rPr>
          <w:rFonts w:hint="eastAsia" w:ascii="宋体" w:hAnsi="宋体" w:cs="宋体"/>
          <w:color w:val="000000"/>
          <w:sz w:val="24"/>
          <w:highlight w:val="none"/>
        </w:rPr>
        <w:t xml:space="preserve">、TVOC</w:t>
      </w:r>
      <w:r>
        <w:rPr>
          <w:rFonts w:hint="eastAsia" w:ascii="宋体" w:hAnsi="宋体" w:cs="宋体"/>
          <w:color w:val="000000"/>
          <w:sz w:val="24"/>
          <w:highlight w:val="none"/>
          <w:lang w:val="en-US" w:eastAsia="zh-CN"/>
        </w:rPr>
        <w:t xml:space="preserve">或CO</w:t>
      </w:r>
      <w:r>
        <w:rPr>
          <w:rFonts w:hint="eastAsia" w:ascii="宋体" w:hAnsi="宋体" w:cs="宋体"/>
          <w:color w:val="000000"/>
          <w:sz w:val="24"/>
          <w:highlight w:val="none"/>
        </w:rPr>
        <w:t xml:space="preserve">，单参空气质量监测设备指标应包括TVOC。</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）性能指标</w:t>
      </w:r>
      <w:r/>
    </w:p>
    <w:tbl>
      <w:tblPr>
        <w:tblStyle w:val="66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8"/>
        <w:gridCol w:w="1262"/>
        <w:gridCol w:w="1176"/>
        <w:gridCol w:w="1031"/>
        <w:gridCol w:w="1176"/>
        <w:gridCol w:w="1176"/>
        <w:gridCol w:w="1028"/>
        <w:gridCol w:w="925"/>
      </w:tblGrid>
      <w:tr>
        <w:trPr>
          <w:jc w:val="center"/>
        </w:trPr>
        <w:tc>
          <w:tcPr>
            <w:tcW w:w="83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测量参数</w:t>
            </w:r>
            <w:r/>
          </w:p>
        </w:tc>
        <w:tc>
          <w:tcPr>
            <w:tcW w:w="675"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PM</w:t>
            </w:r>
            <w:r>
              <w:rPr>
                <w:rFonts w:hint="default" w:ascii="Times New Roman" w:hAnsi="Times New Roman" w:eastAsia="等线" w:cs="Times New Roman"/>
                <w:sz w:val="20"/>
                <w:szCs w:val="20"/>
                <w:highlight w:val="none"/>
                <w:vertAlign w:val="subscript"/>
              </w:rPr>
              <w:t xml:space="preserve">2.5</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PM</w:t>
            </w:r>
            <w:r>
              <w:rPr>
                <w:rFonts w:hint="default" w:ascii="Times New Roman" w:hAnsi="Times New Roman" w:eastAsia="等线" w:cs="Times New Roman"/>
                <w:sz w:val="20"/>
                <w:szCs w:val="20"/>
                <w:highlight w:val="none"/>
                <w:vertAlign w:val="subscript"/>
              </w:rPr>
              <w:t xml:space="preserve">10</w:t>
            </w:r>
            <w:r/>
          </w:p>
        </w:tc>
        <w:tc>
          <w:tcPr>
            <w:tcW w:w="551"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SO</w:t>
            </w:r>
            <w:r>
              <w:rPr>
                <w:rFonts w:hint="default" w:ascii="Times New Roman" w:hAnsi="Times New Roman" w:eastAsia="等线" w:cs="Times New Roman"/>
                <w:sz w:val="20"/>
                <w:szCs w:val="20"/>
                <w:highlight w:val="none"/>
                <w:vertAlign w:val="subscript"/>
              </w:rPr>
              <w:t xml:space="preserve">2</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NO</w:t>
            </w:r>
            <w:r>
              <w:rPr>
                <w:rFonts w:hint="default" w:ascii="Times New Roman" w:hAnsi="Times New Roman" w:eastAsia="等线" w:cs="Times New Roman"/>
                <w:sz w:val="20"/>
                <w:szCs w:val="20"/>
                <w:highlight w:val="none"/>
                <w:vertAlign w:val="subscript"/>
              </w:rPr>
              <w:t xml:space="preserve">2</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O</w:t>
            </w:r>
            <w:r>
              <w:rPr>
                <w:rFonts w:hint="default" w:ascii="Times New Roman" w:hAnsi="Times New Roman" w:eastAsia="等线" w:cs="Times New Roman"/>
                <w:sz w:val="20"/>
                <w:szCs w:val="20"/>
                <w:highlight w:val="none"/>
                <w:vertAlign w:val="subscript"/>
              </w:rPr>
              <w:t xml:space="preserve">3</w:t>
            </w:r>
            <w:r/>
          </w:p>
        </w:tc>
        <w:tc>
          <w:tcPr>
            <w:tcW w:w="550"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CO</w:t>
            </w:r>
            <w:r/>
          </w:p>
        </w:tc>
        <w:tc>
          <w:tcPr>
            <w:tcW w:w="494" w:type="pct"/>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TVOC</w:t>
            </w:r>
            <w:r/>
          </w:p>
        </w:tc>
      </w:tr>
      <w:tr>
        <w:trPr>
          <w:jc w:val="center"/>
        </w:trPr>
        <w:tc>
          <w:tcPr>
            <w:tcW w:w="83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量程</w:t>
            </w:r>
            <w:r/>
          </w:p>
        </w:tc>
        <w:tc>
          <w:tcPr>
            <w:tcW w:w="675" w:type="pct"/>
            <w:vAlign w:val="center"/>
            <w:textDirection w:val="lrTb"/>
            <w:noWrap w:val="false"/>
          </w:tcPr>
          <w:p>
            <w:pPr>
              <w:jc w:val="center"/>
              <w:spacing w:line="360" w:lineRule="auto"/>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（0~1000）</w:t>
            </w:r>
            <w:r/>
          </w:p>
          <w:p>
            <w:pPr>
              <w:jc w:val="center"/>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μg/m³</w:t>
            </w:r>
            <w:r/>
          </w:p>
        </w:tc>
        <w:tc>
          <w:tcPr>
            <w:tcW w:w="629" w:type="pct"/>
            <w:vAlign w:val="center"/>
            <w:textDirection w:val="lrTb"/>
            <w:noWrap w:val="false"/>
          </w:tcPr>
          <w:p>
            <w:pPr>
              <w:jc w:val="center"/>
              <w:spacing w:line="360" w:lineRule="auto"/>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（0~1000）</w:t>
            </w:r>
            <w:r/>
          </w:p>
          <w:p>
            <w:pPr>
              <w:jc w:val="center"/>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μg/m³</w:t>
            </w:r>
            <w:r/>
          </w:p>
        </w:tc>
        <w:tc>
          <w:tcPr>
            <w:tcW w:w="551" w:type="pct"/>
            <w:vAlign w:val="center"/>
            <w:textDirection w:val="lrTb"/>
            <w:noWrap w:val="false"/>
          </w:tcPr>
          <w:p>
            <w:pPr>
              <w:jc w:val="center"/>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（0-0.5）ppm</w:t>
            </w:r>
            <w:r/>
          </w:p>
        </w:tc>
        <w:tc>
          <w:tcPr>
            <w:tcW w:w="629" w:type="pct"/>
            <w:vAlign w:val="center"/>
            <w:textDirection w:val="lrTb"/>
            <w:noWrap w:val="false"/>
          </w:tcPr>
          <w:p>
            <w:pPr>
              <w:jc w:val="center"/>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（0-0.5）ppm</w:t>
            </w:r>
            <w:r/>
          </w:p>
        </w:tc>
        <w:tc>
          <w:tcPr>
            <w:tcW w:w="629" w:type="pct"/>
            <w:vAlign w:val="center"/>
            <w:textDirection w:val="lrTb"/>
            <w:noWrap w:val="false"/>
          </w:tcPr>
          <w:p>
            <w:pPr>
              <w:jc w:val="center"/>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（0-0.5）ppm</w:t>
            </w:r>
            <w:r/>
          </w:p>
        </w:tc>
        <w:tc>
          <w:tcPr>
            <w:tcW w:w="550" w:type="pct"/>
            <w:vAlign w:val="center"/>
            <w:textDirection w:val="lrTb"/>
            <w:noWrap w:val="false"/>
          </w:tcPr>
          <w:p>
            <w:pPr>
              <w:jc w:val="center"/>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（0-20）ppm</w:t>
            </w:r>
            <w:r/>
          </w:p>
        </w:tc>
        <w:tc>
          <w:tcPr>
            <w:tcW w:w="494" w:type="pct"/>
            <w:vAlign w:val="center"/>
            <w:textDirection w:val="lrTb"/>
            <w:noWrap w:val="false"/>
          </w:tcPr>
          <w:p>
            <w:pPr>
              <w:jc w:val="center"/>
              <w:rPr>
                <w:rFonts w:hint="default" w:ascii="Times New Roman" w:hAnsi="Times New Roman" w:eastAsia="等线" w:cs="Times New Roman"/>
                <w:sz w:val="16"/>
                <w:szCs w:val="16"/>
                <w:highlight w:val="none"/>
              </w:rPr>
            </w:pPr>
            <w:r>
              <w:rPr>
                <w:rFonts w:hint="default" w:ascii="Times New Roman" w:hAnsi="Times New Roman" w:eastAsia="等线" w:cs="Times New Roman"/>
                <w:sz w:val="16"/>
                <w:szCs w:val="16"/>
                <w:highlight w:val="none"/>
              </w:rPr>
              <w:t xml:space="preserve">（0-10）ppm</w:t>
            </w:r>
            <w:r/>
          </w:p>
        </w:tc>
      </w:tr>
      <w:tr>
        <w:trPr>
          <w:jc w:val="center"/>
        </w:trPr>
        <w:tc>
          <w:tcPr>
            <w:tcW w:w="83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测量原理</w:t>
            </w:r>
            <w:r/>
          </w:p>
        </w:tc>
        <w:tc>
          <w:tcPr>
            <w:tcW w:w="675"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光散射</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光散射</w:t>
            </w:r>
            <w:r/>
          </w:p>
        </w:tc>
        <w:tc>
          <w:tcPr>
            <w:tcW w:w="551"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电化学</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电化学</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电化学</w:t>
            </w:r>
            <w:r/>
          </w:p>
        </w:tc>
        <w:tc>
          <w:tcPr>
            <w:tcW w:w="550"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电化学</w:t>
            </w:r>
            <w:r/>
          </w:p>
        </w:tc>
        <w:tc>
          <w:tcPr>
            <w:tcW w:w="494" w:type="pct"/>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电化学</w:t>
            </w:r>
            <w:r/>
          </w:p>
        </w:tc>
      </w:tr>
      <w:tr>
        <w:trPr>
          <w:jc w:val="center"/>
        </w:trPr>
        <w:tc>
          <w:tcPr>
            <w:tcW w:w="83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平行性/示值误差</w:t>
            </w:r>
            <w:r/>
          </w:p>
        </w:tc>
        <w:tc>
          <w:tcPr>
            <w:tcW w:w="675"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平行性：≤</w:t>
            </w:r>
            <w:r>
              <w:rPr>
                <w:rFonts w:hint="eastAsia" w:eastAsia="等线" w:cs="Times New Roman"/>
                <w:sz w:val="20"/>
                <w:szCs w:val="20"/>
                <w:highlight w:val="none"/>
                <w:lang w:val="en-US" w:eastAsia="zh-CN"/>
              </w:rPr>
              <w:t xml:space="preserve">15</w:t>
            </w:r>
            <w:r>
              <w:rPr>
                <w:rFonts w:hint="default" w:ascii="Times New Roman" w:hAnsi="Times New Roman" w:eastAsia="等线" w:cs="Times New Roman"/>
                <w:sz w:val="20"/>
                <w:szCs w:val="20"/>
                <w:highlight w:val="none"/>
              </w:rPr>
              <w:t xml:space="preserve">%</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平行性：≤</w:t>
            </w:r>
            <w:r>
              <w:rPr>
                <w:rFonts w:hint="eastAsia" w:eastAsia="等线" w:cs="Times New Roman"/>
                <w:sz w:val="20"/>
                <w:szCs w:val="20"/>
                <w:highlight w:val="none"/>
                <w:lang w:val="en-US" w:eastAsia="zh-CN"/>
              </w:rPr>
              <w:t xml:space="preserve">15</w:t>
            </w:r>
            <w:r>
              <w:rPr>
                <w:rFonts w:hint="default" w:ascii="Times New Roman" w:hAnsi="Times New Roman" w:eastAsia="等线" w:cs="Times New Roman"/>
                <w:sz w:val="20"/>
                <w:szCs w:val="20"/>
                <w:highlight w:val="none"/>
              </w:rPr>
              <w:t xml:space="preserve">%</w:t>
            </w:r>
            <w:r/>
          </w:p>
        </w:tc>
        <w:tc>
          <w:tcPr>
            <w:tcW w:w="551"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示值误差：≤±</w:t>
            </w:r>
            <w:r>
              <w:rPr>
                <w:rFonts w:hint="eastAsia" w:eastAsia="等线" w:cs="Times New Roman"/>
                <w:sz w:val="20"/>
                <w:szCs w:val="20"/>
                <w:highlight w:val="none"/>
                <w:lang w:val="en-US" w:eastAsia="zh-CN"/>
              </w:rPr>
              <w:t xml:space="preserve">10</w:t>
            </w:r>
            <w:r>
              <w:rPr>
                <w:rFonts w:hint="default" w:ascii="Times New Roman" w:hAnsi="Times New Roman" w:eastAsia="等线" w:cs="Times New Roman"/>
                <w:sz w:val="20"/>
                <w:szCs w:val="20"/>
                <w:highlight w:val="none"/>
              </w:rPr>
              <w:t xml:space="preserve">%F.S</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示值误差：≤±</w:t>
            </w:r>
            <w:r>
              <w:rPr>
                <w:rFonts w:hint="eastAsia" w:eastAsia="等线" w:cs="Times New Roman"/>
                <w:sz w:val="20"/>
                <w:szCs w:val="20"/>
                <w:highlight w:val="none"/>
                <w:lang w:val="en-US" w:eastAsia="zh-CN"/>
              </w:rPr>
              <w:t xml:space="preserve">10</w:t>
            </w:r>
            <w:r>
              <w:rPr>
                <w:rFonts w:hint="default" w:ascii="Times New Roman" w:hAnsi="Times New Roman" w:eastAsia="等线" w:cs="Times New Roman"/>
                <w:sz w:val="20"/>
                <w:szCs w:val="20"/>
                <w:highlight w:val="none"/>
              </w:rPr>
              <w:t xml:space="preserve">%F.S</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示值误差：≤±</w:t>
            </w:r>
            <w:r>
              <w:rPr>
                <w:rFonts w:hint="eastAsia" w:eastAsia="等线" w:cs="Times New Roman"/>
                <w:sz w:val="20"/>
                <w:szCs w:val="20"/>
                <w:highlight w:val="none"/>
                <w:lang w:val="en-US" w:eastAsia="zh-CN"/>
              </w:rPr>
              <w:t xml:space="preserve">10</w:t>
            </w:r>
            <w:r>
              <w:rPr>
                <w:rFonts w:hint="default" w:ascii="Times New Roman" w:hAnsi="Times New Roman" w:eastAsia="等线" w:cs="Times New Roman"/>
                <w:sz w:val="20"/>
                <w:szCs w:val="20"/>
                <w:highlight w:val="none"/>
              </w:rPr>
              <w:t xml:space="preserve">%F.S</w:t>
            </w:r>
            <w:r/>
          </w:p>
        </w:tc>
        <w:tc>
          <w:tcPr>
            <w:tcW w:w="550"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示值误差：≤±</w:t>
            </w:r>
            <w:r>
              <w:rPr>
                <w:rFonts w:hint="eastAsia" w:eastAsia="等线" w:cs="Times New Roman"/>
                <w:sz w:val="20"/>
                <w:szCs w:val="20"/>
                <w:highlight w:val="none"/>
                <w:lang w:val="en-US" w:eastAsia="zh-CN"/>
              </w:rPr>
              <w:t xml:space="preserve">10</w:t>
            </w:r>
            <w:r>
              <w:rPr>
                <w:rFonts w:hint="default" w:ascii="Times New Roman" w:hAnsi="Times New Roman" w:eastAsia="等线" w:cs="Times New Roman"/>
                <w:sz w:val="20"/>
                <w:szCs w:val="20"/>
                <w:highlight w:val="none"/>
              </w:rPr>
              <w:t xml:space="preserve">%F.S</w:t>
            </w:r>
            <w:r/>
          </w:p>
        </w:tc>
        <w:tc>
          <w:tcPr>
            <w:tcW w:w="494"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示值误差：≤±</w:t>
            </w:r>
            <w:r>
              <w:rPr>
                <w:rFonts w:hint="eastAsia" w:eastAsia="等线" w:cs="Times New Roman"/>
                <w:sz w:val="20"/>
                <w:szCs w:val="20"/>
                <w:highlight w:val="none"/>
                <w:lang w:val="en-US" w:eastAsia="zh-CN"/>
              </w:rPr>
              <w:t xml:space="preserve">10</w:t>
            </w:r>
            <w:r>
              <w:rPr>
                <w:rFonts w:hint="default" w:ascii="Times New Roman" w:hAnsi="Times New Roman" w:eastAsia="等线" w:cs="Times New Roman"/>
                <w:sz w:val="20"/>
                <w:szCs w:val="20"/>
                <w:highlight w:val="none"/>
              </w:rPr>
              <w:t xml:space="preserve">%F.S</w:t>
            </w:r>
            <w:r/>
          </w:p>
        </w:tc>
      </w:tr>
      <w:tr>
        <w:trPr>
          <w:jc w:val="center"/>
          <w:trHeight w:val="467"/>
        </w:trPr>
        <w:tc>
          <w:tcPr>
            <w:tcW w:w="83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重复性</w:t>
            </w:r>
            <w:r/>
          </w:p>
        </w:tc>
        <w:tc>
          <w:tcPr>
            <w:tcW w:w="675"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w:t>
            </w:r>
            <w:r/>
          </w:p>
        </w:tc>
        <w:tc>
          <w:tcPr>
            <w:tcW w:w="551"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w:t>
            </w:r>
            <w:r/>
          </w:p>
        </w:tc>
        <w:tc>
          <w:tcPr>
            <w:tcW w:w="550"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w:t>
            </w:r>
            <w:r/>
          </w:p>
        </w:tc>
        <w:tc>
          <w:tcPr>
            <w:tcW w:w="494"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w:t>
            </w:r>
            <w:r/>
          </w:p>
        </w:tc>
      </w:tr>
      <w:tr>
        <w:trPr>
          <w:jc w:val="center"/>
        </w:trPr>
        <w:tc>
          <w:tcPr>
            <w:tcW w:w="83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响应时间（T</w:t>
            </w:r>
            <w:r>
              <w:rPr>
                <w:rFonts w:hint="default" w:ascii="Times New Roman" w:hAnsi="Times New Roman" w:eastAsia="等线" w:cs="Times New Roman"/>
                <w:sz w:val="16"/>
                <w:szCs w:val="16"/>
                <w:highlight w:val="none"/>
              </w:rPr>
              <w:t xml:space="preserve">90</w:t>
            </w:r>
            <w:r>
              <w:rPr>
                <w:rFonts w:hint="default" w:ascii="Times New Roman" w:hAnsi="Times New Roman" w:eastAsia="等线" w:cs="Times New Roman"/>
                <w:sz w:val="20"/>
                <w:szCs w:val="20"/>
                <w:highlight w:val="none"/>
              </w:rPr>
              <w:t xml:space="preserve">）</w:t>
            </w:r>
            <w:r/>
          </w:p>
        </w:tc>
        <w:tc>
          <w:tcPr>
            <w:tcW w:w="675"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r>
            <w:r/>
          </w:p>
        </w:tc>
        <w:tc>
          <w:tcPr>
            <w:tcW w:w="551" w:type="pct"/>
            <w:vAlign w:val="center"/>
            <w:textDirection w:val="lrTb"/>
            <w:noWrap w:val="false"/>
          </w:tcPr>
          <w:p>
            <w:pPr>
              <w:jc w:val="center"/>
              <w:widowControl/>
              <w:rPr>
                <w:rFonts w:hint="default" w:ascii="Times New Roman" w:hAnsi="Times New Roman" w:eastAsia="等线" w:cs="Times New Roman"/>
                <w:sz w:val="20"/>
                <w:szCs w:val="20"/>
                <w:highlight w:val="none"/>
              </w:rPr>
            </w:pPr>
            <w:r>
              <w:rPr>
                <w:sz w:val="24"/>
                <w:highlight w:val="none"/>
              </w:rPr>
              <w:t xml:space="preserve">≤2min</w:t>
            </w:r>
            <w:r/>
          </w:p>
        </w:tc>
        <w:tc>
          <w:tcPr>
            <w:tcW w:w="629" w:type="pct"/>
            <w:vAlign w:val="center"/>
            <w:textDirection w:val="lrTb"/>
            <w:noWrap w:val="false"/>
          </w:tcPr>
          <w:p>
            <w:pPr>
              <w:jc w:val="center"/>
              <w:widowControl/>
              <w:rPr>
                <w:rFonts w:hint="default" w:ascii="Times New Roman" w:hAnsi="Times New Roman" w:eastAsia="等线" w:cs="Times New Roman"/>
                <w:sz w:val="20"/>
                <w:szCs w:val="20"/>
                <w:highlight w:val="none"/>
              </w:rPr>
            </w:pPr>
            <w:r>
              <w:rPr>
                <w:sz w:val="24"/>
                <w:highlight w:val="none"/>
              </w:rPr>
              <w:t xml:space="preserve">≤2min</w:t>
            </w:r>
            <w:r/>
          </w:p>
        </w:tc>
        <w:tc>
          <w:tcPr>
            <w:tcW w:w="629" w:type="pct"/>
            <w:vAlign w:val="center"/>
            <w:textDirection w:val="lrTb"/>
            <w:noWrap w:val="false"/>
          </w:tcPr>
          <w:p>
            <w:pPr>
              <w:jc w:val="center"/>
              <w:widowControl/>
              <w:rPr>
                <w:rFonts w:hint="default" w:ascii="Times New Roman" w:hAnsi="Times New Roman" w:eastAsia="等线" w:cs="Times New Roman"/>
                <w:sz w:val="20"/>
                <w:szCs w:val="20"/>
                <w:highlight w:val="none"/>
              </w:rPr>
            </w:pPr>
            <w:r>
              <w:rPr>
                <w:sz w:val="24"/>
                <w:highlight w:val="none"/>
              </w:rPr>
              <w:t xml:space="preserve">≤2min</w:t>
            </w:r>
            <w:r/>
          </w:p>
        </w:tc>
        <w:tc>
          <w:tcPr>
            <w:tcW w:w="550" w:type="pct"/>
            <w:vAlign w:val="center"/>
            <w:textDirection w:val="lrTb"/>
            <w:noWrap w:val="false"/>
          </w:tcPr>
          <w:p>
            <w:pPr>
              <w:jc w:val="center"/>
              <w:widowControl/>
              <w:rPr>
                <w:rFonts w:hint="default" w:ascii="Times New Roman" w:hAnsi="Times New Roman" w:eastAsia="等线" w:cs="Times New Roman"/>
                <w:sz w:val="20"/>
                <w:szCs w:val="20"/>
                <w:highlight w:val="none"/>
              </w:rPr>
            </w:pPr>
            <w:r>
              <w:rPr>
                <w:sz w:val="24"/>
                <w:highlight w:val="none"/>
              </w:rPr>
              <w:t xml:space="preserve">≤2min</w:t>
            </w:r>
            <w:r/>
          </w:p>
        </w:tc>
        <w:tc>
          <w:tcPr>
            <w:tcW w:w="494" w:type="pct"/>
            <w:vAlign w:val="center"/>
            <w:textDirection w:val="lrTb"/>
            <w:noWrap w:val="false"/>
          </w:tcPr>
          <w:p>
            <w:pPr>
              <w:jc w:val="center"/>
              <w:widowControl/>
              <w:rPr>
                <w:rFonts w:hint="default" w:ascii="Times New Roman" w:hAnsi="Times New Roman" w:eastAsia="等线" w:cs="Times New Roman"/>
                <w:sz w:val="20"/>
                <w:szCs w:val="20"/>
                <w:highlight w:val="none"/>
              </w:rPr>
            </w:pPr>
            <w:r>
              <w:rPr>
                <w:sz w:val="24"/>
                <w:highlight w:val="none"/>
              </w:rPr>
              <w:t xml:space="preserve">≤2min</w:t>
            </w:r>
            <w:r/>
          </w:p>
        </w:tc>
      </w:tr>
      <w:tr>
        <w:trPr>
          <w:jc w:val="center"/>
        </w:trPr>
        <w:tc>
          <w:tcPr>
            <w:tcW w:w="83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零点漂移(6h)</w:t>
            </w:r>
            <w:r/>
          </w:p>
        </w:tc>
        <w:tc>
          <w:tcPr>
            <w:tcW w:w="675"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r>
            <w:r/>
          </w:p>
        </w:tc>
        <w:tc>
          <w:tcPr>
            <w:tcW w:w="551"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c>
          <w:tcPr>
            <w:tcW w:w="550"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c>
          <w:tcPr>
            <w:tcW w:w="494"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r>
      <w:tr>
        <w:trPr>
          <w:jc w:val="center"/>
        </w:trPr>
        <w:tc>
          <w:tcPr>
            <w:tcW w:w="83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量程漂移(6h)</w:t>
            </w:r>
            <w:r/>
          </w:p>
        </w:tc>
        <w:tc>
          <w:tcPr>
            <w:tcW w:w="675"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r>
            <w:r/>
          </w:p>
        </w:tc>
        <w:tc>
          <w:tcPr>
            <w:tcW w:w="551"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c>
          <w:tcPr>
            <w:tcW w:w="629"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default" w:ascii="Times New Roman" w:hAnsi="Times New Roman"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c>
          <w:tcPr>
            <w:tcW w:w="550"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c>
          <w:tcPr>
            <w:tcW w:w="494" w:type="pct"/>
            <w:vAlign w:val="center"/>
            <w:textDirection w:val="lrTb"/>
            <w:noWrap w:val="false"/>
          </w:tcPr>
          <w:p>
            <w:pPr>
              <w:jc w:val="center"/>
              <w:rPr>
                <w:rFonts w:hint="default" w:ascii="Times New Roman" w:hAnsi="Times New Roman" w:eastAsia="等线" w:cs="Times New Roman"/>
                <w:sz w:val="20"/>
                <w:szCs w:val="20"/>
                <w:highlight w:val="none"/>
              </w:rPr>
            </w:pPr>
            <w:r>
              <w:rPr>
                <w:rFonts w:hint="default" w:ascii="Times New Roman" w:hAnsi="Times New Roman" w:eastAsia="等线" w:cs="Times New Roman"/>
                <w:sz w:val="20"/>
                <w:szCs w:val="20"/>
                <w:highlight w:val="none"/>
              </w:rPr>
              <w:t xml:space="preserve">±</w:t>
            </w:r>
            <w:r>
              <w:rPr>
                <w:rFonts w:hint="eastAsia" w:eastAsia="等线" w:cs="Times New Roman"/>
                <w:sz w:val="20"/>
                <w:szCs w:val="20"/>
                <w:highlight w:val="none"/>
                <w:lang w:val="en-US" w:eastAsia="zh-CN"/>
              </w:rPr>
              <w:t xml:space="preserve">5</w:t>
            </w:r>
            <w:r>
              <w:rPr>
                <w:rFonts w:hint="default" w:ascii="Times New Roman" w:hAnsi="Times New Roman" w:eastAsia="等线" w:cs="Times New Roman"/>
                <w:sz w:val="20"/>
                <w:szCs w:val="20"/>
                <w:highlight w:val="none"/>
              </w:rPr>
              <w:t xml:space="preserve">%FS</w:t>
            </w:r>
            <w:r/>
          </w:p>
        </w:tc>
      </w:tr>
    </w:tbl>
    <w:p>
      <w:pPr>
        <w:ind w:firstLine="482"/>
        <w:spacing w:line="360" w:lineRule="auto"/>
        <w:rPr>
          <w:b/>
          <w:color w:val="000000"/>
          <w:sz w:val="24"/>
          <w:highlight w:val="none"/>
        </w:rPr>
      </w:pPr>
      <w:r>
        <w:rPr>
          <w:b/>
          <w:color w:val="000000"/>
          <w:sz w:val="24"/>
          <w:highlight w:val="none"/>
        </w:rPr>
        <w:t xml:space="preserve">1.2、设备其他要求</w:t>
      </w:r>
      <w:r/>
    </w:p>
    <w:p>
      <w:pPr>
        <w:ind w:firstLine="240"/>
        <w:spacing w:line="440" w:lineRule="exact"/>
        <w:rPr>
          <w:rFonts w:ascii="Times New Roman" w:hAnsi="Times New Roman"/>
          <w:bCs/>
          <w:sz w:val="24"/>
          <w:szCs w:val="24"/>
          <w:highlight w:val="none"/>
        </w:rPr>
      </w:pP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lang w:val="en-US" w:eastAsia="zh-CN"/>
        </w:rPr>
        <w:t xml:space="preserve">1</w:t>
      </w:r>
      <w:r>
        <w:rPr>
          <w:rFonts w:hint="eastAsia" w:ascii="Times New Roman" w:hAnsi="Times New Roman"/>
          <w:bCs/>
          <w:sz w:val="24"/>
          <w:szCs w:val="24"/>
          <w:highlight w:val="none"/>
          <w:lang w:eastAsia="zh-CN"/>
        </w:rPr>
        <w:t xml:space="preserve">）</w:t>
      </w:r>
      <w:r>
        <w:rPr>
          <w:rFonts w:ascii="Times New Roman" w:hAnsi="Times New Roman"/>
          <w:bCs/>
          <w:sz w:val="24"/>
          <w:szCs w:val="24"/>
          <w:highlight w:val="none"/>
        </w:rPr>
        <w:t xml:space="preserve">体积小、重量轻，现场安装维护方便，可快速进行点位迁移；</w:t>
      </w:r>
      <w:r/>
    </w:p>
    <w:p>
      <w:pPr>
        <w:ind w:firstLine="240"/>
        <w:spacing w:line="440" w:lineRule="exact"/>
        <w:rPr>
          <w:rFonts w:hint="eastAsia" w:ascii="Times New Roman" w:hAnsi="Times New Roman" w:eastAsia="宋体" w:cs="Times New Roman"/>
          <w:bCs/>
          <w:sz w:val="24"/>
          <w:szCs w:val="24"/>
          <w:highlight w:val="none"/>
          <w:lang w:eastAsia="zh-CN"/>
        </w:rPr>
      </w:pP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2</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仪器内置无线传输模块，具有GPS定位、4G无线数据传输功能</w:t>
      </w:r>
      <w:r>
        <w:rPr>
          <w:rFonts w:hint="eastAsia" w:ascii="Times New Roman" w:hAnsi="Times New Roman" w:eastAsia="宋体" w:cs="Times New Roman"/>
          <w:bCs/>
          <w:sz w:val="24"/>
          <w:szCs w:val="24"/>
          <w:highlight w:val="none"/>
          <w:lang w:eastAsia="zh-CN"/>
        </w:rPr>
        <w:t xml:space="preserve">。</w:t>
      </w:r>
      <w:r/>
    </w:p>
    <w:p>
      <w:pPr>
        <w:ind w:firstLine="482"/>
        <w:spacing w:line="360" w:lineRule="auto"/>
        <w:rPr>
          <w:b/>
          <w:color w:val="000000"/>
          <w:sz w:val="24"/>
          <w:highlight w:val="none"/>
        </w:rPr>
      </w:pPr>
      <w:r>
        <w:rPr>
          <w:b/>
          <w:color w:val="000000"/>
          <w:sz w:val="24"/>
          <w:highlight w:val="none"/>
        </w:rPr>
        <w:t xml:space="preserve">1.3、站点建设要求</w:t>
      </w:r>
      <w:r/>
    </w:p>
    <w:p>
      <w:pPr>
        <w:ind w:firstLine="480"/>
        <w:spacing w:line="360" w:lineRule="auto"/>
        <w:rPr>
          <w:color w:val="000000"/>
          <w:sz w:val="24"/>
          <w:highlight w:val="none"/>
        </w:rPr>
      </w:pPr>
      <w:r>
        <w:rPr>
          <w:color w:val="000000"/>
          <w:sz w:val="24"/>
          <w:highlight w:val="none"/>
        </w:rPr>
        <w:t xml:space="preserve">（1）投标方需按照国控站点周边、主城区污染热点区域、重点企业、边界传输通道、交通热点区域五类提供监测点的选点方案及点位勘查方案。</w:t>
      </w:r>
      <w:r/>
    </w:p>
    <w:p>
      <w:pPr>
        <w:ind w:firstLine="480"/>
        <w:spacing w:line="360" w:lineRule="auto"/>
        <w:rPr>
          <w:color w:val="000000"/>
          <w:sz w:val="24"/>
          <w:highlight w:val="none"/>
        </w:rPr>
      </w:pPr>
      <w:r>
        <w:rPr>
          <w:color w:val="000000"/>
          <w:sz w:val="24"/>
          <w:highlight w:val="none"/>
        </w:rPr>
        <w:t xml:space="preserve">（2）投标方需提供针对本项目的基础设施建设方案，包括时间进度安排、劳动力安排、施工安全措施、基础建设内容等，能够确保基础设施建设满足质量、技术、时间要求，确保建设工作有序、安全开展。基础建设内容包括仪器安装、电源接入、网络（有线、无线均可），防水等。</w:t>
      </w:r>
      <w:r/>
    </w:p>
    <w:p>
      <w:pPr>
        <w:ind w:firstLine="482"/>
        <w:spacing w:line="360" w:lineRule="auto"/>
        <w:rPr>
          <w:b/>
          <w:color w:val="000000"/>
          <w:sz w:val="24"/>
          <w:highlight w:val="none"/>
        </w:rPr>
      </w:pPr>
      <w:r>
        <w:rPr>
          <w:b/>
          <w:color w:val="000000"/>
          <w:sz w:val="24"/>
          <w:highlight w:val="none"/>
        </w:rPr>
        <w:t xml:space="preserve">1.4、运维服务及质量保证方案</w:t>
      </w:r>
      <w:r/>
    </w:p>
    <w:p>
      <w:pPr>
        <w:ind w:firstLine="480"/>
        <w:spacing w:line="360" w:lineRule="auto"/>
        <w:rPr>
          <w:color w:val="000000"/>
          <w:sz w:val="24"/>
          <w:highlight w:val="none"/>
        </w:rPr>
      </w:pPr>
      <w:r>
        <w:rPr>
          <w:color w:val="000000"/>
          <w:sz w:val="24"/>
          <w:highlight w:val="none"/>
        </w:rPr>
        <w:t xml:space="preserve">投标方应科学、有序的对已建成的各类型微型站点进行管理，提供完善的运维服务及质量保证方案，保证各微型站的正常运行。运维方案应包括运维目标、运维内容（包括但不限于远程监控、巡检、维护的内容及频次、零部件的清洁与更换，校准等）、仪器故障解决方案、记录表格的填写等方面。</w:t>
      </w:r>
      <w:r/>
    </w:p>
    <w:p>
      <w:pPr>
        <w:ind w:firstLine="482"/>
        <w:spacing w:line="360" w:lineRule="auto"/>
        <w:rPr>
          <w:b/>
          <w:color w:val="000000"/>
          <w:sz w:val="24"/>
          <w:highlight w:val="none"/>
        </w:rPr>
      </w:pPr>
      <w:r>
        <w:rPr>
          <w:b/>
          <w:color w:val="000000"/>
          <w:sz w:val="24"/>
          <w:highlight w:val="none"/>
        </w:rPr>
        <w:t xml:space="preserve">1.5.1 数据采集</w:t>
      </w:r>
      <w:r/>
    </w:p>
    <w:p>
      <w:pPr>
        <w:ind w:firstLine="480"/>
        <w:spacing w:line="360" w:lineRule="auto"/>
        <w:rPr>
          <w:color w:val="000000"/>
          <w:sz w:val="24"/>
          <w:highlight w:val="none"/>
        </w:rPr>
      </w:pPr>
      <w:r>
        <w:rPr>
          <w:color w:val="000000"/>
          <w:sz w:val="24"/>
          <w:highlight w:val="none"/>
        </w:rPr>
        <w:t xml:space="preserve">（1）数据上传</w:t>
      </w:r>
      <w:r/>
    </w:p>
    <w:p>
      <w:pPr>
        <w:ind w:firstLine="480"/>
        <w:spacing w:line="360" w:lineRule="auto"/>
        <w:rPr>
          <w:color w:val="000000"/>
          <w:sz w:val="24"/>
          <w:highlight w:val="none"/>
        </w:rPr>
      </w:pPr>
      <w:r>
        <w:rPr>
          <w:color w:val="000000"/>
          <w:sz w:val="24"/>
          <w:highlight w:val="none"/>
        </w:rPr>
        <w:t xml:space="preserve">能够实时采集本项目所有微站监测设备数据并入库，实现数据采集模块与平台数据库的联网，实现全部数据向数据库实时上传。</w:t>
      </w:r>
      <w:r/>
    </w:p>
    <w:p>
      <w:pPr>
        <w:ind w:firstLine="480"/>
        <w:spacing w:line="360" w:lineRule="auto"/>
        <w:rPr>
          <w:color w:val="000000"/>
          <w:sz w:val="24"/>
          <w:highlight w:val="none"/>
        </w:rPr>
      </w:pPr>
      <w:r>
        <w:rPr>
          <w:color w:val="000000"/>
          <w:sz w:val="24"/>
          <w:highlight w:val="none"/>
        </w:rPr>
        <w:t xml:space="preserve">（2）数据校验子功能</w:t>
      </w:r>
      <w:r/>
    </w:p>
    <w:p>
      <w:pPr>
        <w:ind w:firstLine="480"/>
        <w:spacing w:line="360" w:lineRule="auto"/>
        <w:rPr>
          <w:color w:val="000000"/>
          <w:sz w:val="24"/>
          <w:highlight w:val="none"/>
        </w:rPr>
      </w:pPr>
      <w:r>
        <w:rPr>
          <w:color w:val="000000"/>
          <w:sz w:val="24"/>
          <w:highlight w:val="none"/>
        </w:rPr>
        <w:t xml:space="preserve">能够对本项目所有监测设备采集的数据进行校验。</w:t>
      </w:r>
      <w:r/>
    </w:p>
    <w:p>
      <w:pPr>
        <w:ind w:firstLine="482"/>
        <w:spacing w:line="360" w:lineRule="auto"/>
        <w:rPr>
          <w:b/>
          <w:color w:val="000000"/>
          <w:sz w:val="24"/>
          <w:highlight w:val="none"/>
        </w:rPr>
      </w:pPr>
      <w:r>
        <w:rPr>
          <w:b/>
          <w:color w:val="000000"/>
          <w:sz w:val="24"/>
          <w:highlight w:val="none"/>
        </w:rPr>
        <w:t xml:space="preserve">1.5.2 异常修复功能</w:t>
      </w:r>
      <w:r/>
    </w:p>
    <w:p>
      <w:pPr>
        <w:ind w:firstLine="480"/>
        <w:spacing w:line="360" w:lineRule="auto"/>
        <w:rPr>
          <w:color w:val="000000"/>
          <w:sz w:val="24"/>
          <w:highlight w:val="none"/>
        </w:rPr>
      </w:pPr>
      <w:r>
        <w:rPr>
          <w:color w:val="000000"/>
          <w:sz w:val="24"/>
          <w:highlight w:val="none"/>
        </w:rPr>
        <w:t xml:space="preserve">数据采集功能故障时可及时回补。须承诺在工控机数据无法读取时，可通过符合行业标准的通用协议实现数据读取与备份。</w:t>
      </w:r>
      <w:r/>
    </w:p>
    <w:p>
      <w:pPr>
        <w:ind w:firstLine="482"/>
        <w:spacing w:line="360" w:lineRule="auto"/>
        <w:rPr>
          <w:b/>
          <w:color w:val="000000"/>
          <w:sz w:val="24"/>
          <w:highlight w:val="none"/>
        </w:rPr>
      </w:pPr>
      <w:r>
        <w:rPr>
          <w:b/>
          <w:color w:val="000000"/>
          <w:sz w:val="24"/>
          <w:highlight w:val="none"/>
        </w:rPr>
        <w:t xml:space="preserve">1.5.3 数据质控功能</w:t>
      </w:r>
      <w:r/>
    </w:p>
    <w:p>
      <w:pPr>
        <w:ind w:firstLine="480"/>
        <w:spacing w:line="360" w:lineRule="auto"/>
        <w:rPr>
          <w:color w:val="000000"/>
          <w:sz w:val="24"/>
          <w:highlight w:val="none"/>
        </w:rPr>
      </w:pPr>
      <w:r>
        <w:rPr>
          <w:color w:val="000000"/>
          <w:sz w:val="24"/>
          <w:highlight w:val="none"/>
        </w:rPr>
        <w:t xml:space="preserve">主要负责提供准确的空气质量监测结果，能够对微型空气自动监测站监测数据进行实时自动质量控制，保障整个网格化系统的数据质量。具体包括，根据相关标准，能够对采集数据进行异常识别和校正；具备对异常数据的识别和记录；实现对异常数据的标记、剔除和修正。</w:t>
      </w:r>
      <w:r/>
    </w:p>
    <w:p>
      <w:pPr>
        <w:ind w:firstLine="482"/>
        <w:spacing w:line="360" w:lineRule="auto"/>
        <w:rPr>
          <w:b/>
          <w:color w:val="000000"/>
          <w:sz w:val="24"/>
          <w:highlight w:val="none"/>
        </w:rPr>
      </w:pPr>
      <w:r>
        <w:rPr>
          <w:b/>
          <w:color w:val="000000"/>
          <w:sz w:val="24"/>
          <w:highlight w:val="none"/>
        </w:rPr>
        <w:t xml:space="preserve">1.5.4 实时监测与趋势分析</w:t>
      </w:r>
      <w:r/>
    </w:p>
    <w:p>
      <w:pPr>
        <w:ind w:firstLine="480"/>
        <w:spacing w:line="360" w:lineRule="auto"/>
        <w:rPr>
          <w:color w:val="000000"/>
          <w:sz w:val="24"/>
          <w:highlight w:val="none"/>
        </w:rPr>
      </w:pPr>
      <w:r>
        <w:rPr>
          <w:color w:val="000000"/>
          <w:sz w:val="24"/>
          <w:highlight w:val="none"/>
        </w:rPr>
        <w:t xml:space="preserve">实时监测是以列表和地图的方式实时显示国控站点及其附近各个微型站点的污染情况分布，在实时分析功能中可以查看各个站点的AQI、PM</w:t>
      </w:r>
      <w:r>
        <w:rPr>
          <w:color w:val="000000"/>
          <w:sz w:val="24"/>
          <w:highlight w:val="none"/>
          <w:vertAlign w:val="subscript"/>
        </w:rPr>
        <w:t xml:space="preserve">2.5</w:t>
      </w:r>
      <w:r>
        <w:rPr>
          <w:color w:val="000000"/>
          <w:sz w:val="24"/>
          <w:highlight w:val="none"/>
        </w:rPr>
        <w:t xml:space="preserve">、PM</w:t>
      </w:r>
      <w:r>
        <w:rPr>
          <w:color w:val="000000"/>
          <w:sz w:val="24"/>
          <w:highlight w:val="none"/>
          <w:vertAlign w:val="subscript"/>
        </w:rPr>
        <w:t xml:space="preserve">10</w:t>
      </w:r>
      <w:r>
        <w:rPr>
          <w:color w:val="000000"/>
          <w:sz w:val="24"/>
          <w:highlight w:val="none"/>
        </w:rPr>
        <w:t xml:space="preserve">、CO、NO</w:t>
      </w:r>
      <w:r>
        <w:rPr>
          <w:color w:val="000000"/>
          <w:sz w:val="24"/>
          <w:highlight w:val="none"/>
          <w:vertAlign w:val="subscript"/>
        </w:rPr>
        <w:t xml:space="preserve">2</w:t>
      </w:r>
      <w:r>
        <w:rPr>
          <w:color w:val="000000"/>
          <w:sz w:val="24"/>
          <w:highlight w:val="none"/>
        </w:rPr>
        <w:t xml:space="preserve">、O</w:t>
      </w:r>
      <w:r>
        <w:rPr>
          <w:color w:val="000000"/>
          <w:sz w:val="24"/>
          <w:highlight w:val="none"/>
          <w:vertAlign w:val="subscript"/>
        </w:rPr>
        <w:t xml:space="preserve">3</w:t>
      </w:r>
      <w:r>
        <w:rPr>
          <w:color w:val="000000"/>
          <w:sz w:val="24"/>
          <w:highlight w:val="none"/>
        </w:rPr>
        <w:t xml:space="preserve">、SO</w:t>
      </w:r>
      <w:r>
        <w:rPr>
          <w:color w:val="000000"/>
          <w:sz w:val="24"/>
          <w:highlight w:val="none"/>
          <w:vertAlign w:val="subscript"/>
        </w:rPr>
        <w:t xml:space="preserve">2</w:t>
      </w:r>
      <w:r>
        <w:rPr>
          <w:color w:val="000000"/>
          <w:sz w:val="24"/>
          <w:highlight w:val="none"/>
        </w:rPr>
        <w:t xml:space="preserve">、TVOC等指标的污染级别及监测值。</w:t>
      </w:r>
      <w:r/>
    </w:p>
    <w:p>
      <w:pPr>
        <w:ind w:firstLine="480"/>
        <w:spacing w:line="360" w:lineRule="auto"/>
        <w:rPr>
          <w:rFonts w:hint="default" w:ascii="Times New Roman" w:hAnsi="Times New Roman" w:eastAsia="宋体" w:cs="Times New Roman"/>
          <w:color w:val="000000"/>
          <w:sz w:val="24"/>
          <w:szCs w:val="24"/>
          <w:highlight w:val="none"/>
        </w:rPr>
      </w:pPr>
      <w:r>
        <w:rPr>
          <w:color w:val="000000"/>
          <w:sz w:val="24"/>
          <w:highlight w:val="none"/>
        </w:rPr>
        <w:t xml:space="preserve">可查看各站点历史污染物浓度变化趋势，并可以进行对比，对南通市大气污染物状况变化趋势及其影响因素进一步分析</w:t>
      </w:r>
      <w:r>
        <w:rPr>
          <w:rFonts w:hint="default" w:ascii="Times New Roman" w:hAnsi="Times New Roman" w:eastAsia="宋体" w:cs="Times New Roman"/>
          <w:color w:val="000000"/>
          <w:sz w:val="24"/>
          <w:szCs w:val="24"/>
          <w:highlight w:val="none"/>
        </w:rPr>
        <w:t xml:space="preserve">。</w:t>
      </w:r>
      <w:r/>
    </w:p>
    <w:p>
      <w:pPr>
        <w:ind w:firstLine="482"/>
        <w:spacing w:line="360" w:lineRule="auto"/>
        <w:rPr>
          <w:rFonts w:hint="default" w:ascii="Times New Roman" w:hAnsi="Times New Roman" w:eastAsia="宋体" w:cs="Times New Roman"/>
          <w:b/>
          <w:color w:val="000000"/>
          <w:sz w:val="24"/>
          <w:szCs w:val="24"/>
          <w:highlight w:val="none"/>
        </w:rPr>
        <w:outlineLvl w:val="1"/>
      </w:pPr>
      <w:r>
        <w:rPr>
          <w:rFonts w:hint="default" w:ascii="Times New Roman" w:hAnsi="Times New Roman" w:eastAsia="宋体" w:cs="Times New Roman"/>
          <w:b/>
          <w:color w:val="000000"/>
          <w:sz w:val="24"/>
          <w:szCs w:val="24"/>
          <w:highlight w:val="none"/>
        </w:rPr>
        <w:t xml:space="preserve">（</w:t>
      </w:r>
      <w:r>
        <w:rPr>
          <w:rFonts w:hint="default" w:ascii="Times New Roman" w:hAnsi="Times New Roman" w:eastAsia="宋体" w:cs="Times New Roman"/>
          <w:b/>
          <w:color w:val="000000"/>
          <w:sz w:val="24"/>
          <w:szCs w:val="24"/>
          <w:highlight w:val="none"/>
          <w:lang w:eastAsia="zh-CN"/>
        </w:rPr>
        <w:t xml:space="preserve">二</w:t>
      </w:r>
      <w:r>
        <w:rPr>
          <w:rFonts w:hint="default" w:ascii="Times New Roman" w:hAnsi="Times New Roman" w:eastAsia="宋体" w:cs="Times New Roman"/>
          <w:b/>
          <w:color w:val="000000"/>
          <w:sz w:val="24"/>
          <w:szCs w:val="24"/>
          <w:highlight w:val="none"/>
        </w:rPr>
        <w:t xml:space="preserve">）智慧AI大数据服务</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1.</w:t>
      </w:r>
      <w:r>
        <w:rPr>
          <w:rFonts w:hint="default" w:ascii="Times New Roman" w:hAnsi="Times New Roman" w:eastAsia="宋体" w:cs="Times New Roman"/>
          <w:b/>
          <w:color w:val="000000"/>
          <w:sz w:val="24"/>
          <w:szCs w:val="24"/>
          <w:highlight w:val="none"/>
        </w:rPr>
        <w:t xml:space="preserve">低空哨兵无人机</w:t>
      </w:r>
      <w:r>
        <w:rPr>
          <w:rFonts w:hint="eastAsia" w:cs="Times New Roman"/>
          <w:b/>
          <w:color w:val="000000"/>
          <w:sz w:val="24"/>
          <w:szCs w:val="24"/>
          <w:highlight w:val="none"/>
          <w:lang w:eastAsia="zh-CN"/>
        </w:rPr>
        <w:t xml:space="preserve">智能</w:t>
      </w:r>
      <w:r>
        <w:rPr>
          <w:rFonts w:hint="default" w:ascii="Times New Roman" w:hAnsi="Times New Roman" w:eastAsia="宋体" w:cs="Times New Roman"/>
          <w:b/>
          <w:color w:val="000000"/>
          <w:sz w:val="24"/>
          <w:szCs w:val="24"/>
          <w:highlight w:val="none"/>
        </w:rPr>
        <w:t xml:space="preserve">溯源监管</w:t>
      </w:r>
      <w:r/>
    </w:p>
    <w:p>
      <w:pPr>
        <w:ind w:firstLine="480"/>
        <w:spacing w:line="360" w:lineRule="auto"/>
        <w:rPr>
          <w:rFonts w:hint="default" w:ascii="Times New Roman" w:hAnsi="Times New Roman" w:eastAsia="宋体" w:cs="Times New Roman"/>
          <w:color w:val="000000"/>
          <w:sz w:val="24"/>
          <w:szCs w:val="24"/>
          <w:highlight w:val="none"/>
          <w:lang w:val="en-US" w:eastAsia="zh-CN"/>
        </w:rPr>
        <w:outlineLvl w:val="1"/>
      </w:pPr>
      <w:r>
        <w:rPr>
          <w:rFonts w:hint="default" w:ascii="Times New Roman" w:hAnsi="Times New Roman" w:eastAsia="宋体" w:cs="Times New Roman"/>
          <w:color w:val="000000"/>
          <w:sz w:val="24"/>
          <w:szCs w:val="24"/>
          <w:highlight w:val="none"/>
        </w:rPr>
        <w:t xml:space="preserve">建设5台智能无人机库，配备无人机工程师1名，提供无接触巡查服务（包含更换电池及机库运维服务全部费用，以确保能为采购人提供服务）。每台无人机均具备红外摄像功能，支持云端设备管理，根据任务计划自动起飞作业。</w:t>
      </w:r>
      <w:r>
        <w:rPr>
          <w:rFonts w:hint="eastAsia" w:cs="Times New Roman"/>
          <w:color w:val="000000"/>
          <w:sz w:val="24"/>
          <w:szCs w:val="24"/>
          <w:highlight w:val="none"/>
          <w:lang w:eastAsia="zh-CN"/>
        </w:rPr>
        <w:t xml:space="preserve">基于</w:t>
      </w:r>
      <w:r>
        <w:rPr>
          <w:rFonts w:hint="eastAsia" w:cs="Times New Roman"/>
          <w:color w:val="000000"/>
          <w:sz w:val="24"/>
          <w:szCs w:val="24"/>
          <w:highlight w:val="none"/>
          <w:lang w:val="en-US" w:eastAsia="zh-CN"/>
        </w:rPr>
        <w:t xml:space="preserve">AI识别技术，对飞行过程中火点、烟雾、建筑工地等异常情况自动识别。</w:t>
      </w:r>
      <w:r/>
    </w:p>
    <w:p>
      <w:pPr>
        <w:ind w:firstLine="482"/>
        <w:spacing w:line="360" w:lineRule="auto"/>
        <w:rPr>
          <w:rFonts w:hint="default" w:ascii="Times New Roman" w:hAnsi="Times New Roman" w:eastAsia="宋体" w:cs="Times New Roman"/>
          <w:sz w:val="24"/>
          <w:highlight w:val="none"/>
          <w:lang w:val="en-US" w:eastAsia="zh-CN"/>
        </w:rPr>
        <w:outlineLvl w:val="1"/>
      </w:pPr>
      <w:r>
        <w:rPr>
          <w:rFonts w:hint="eastAsia" w:cs="Times New Roman"/>
          <w:b/>
          <w:color w:val="000000"/>
          <w:sz w:val="24"/>
          <w:szCs w:val="24"/>
          <w:highlight w:val="none"/>
          <w:lang w:val="en-US" w:eastAsia="zh-CN"/>
        </w:rPr>
        <w:t xml:space="preserve">2</w:t>
      </w:r>
      <w:r>
        <w:rPr>
          <w:rFonts w:hint="default" w:ascii="Times New Roman" w:hAnsi="Times New Roman" w:eastAsia="宋体" w:cs="Times New Roman"/>
          <w:b/>
          <w:color w:val="000000"/>
          <w:sz w:val="24"/>
          <w:szCs w:val="24"/>
          <w:highlight w:val="none"/>
          <w:lang w:val="en-US" w:eastAsia="zh-CN"/>
        </w:rPr>
        <w:t xml:space="preserve">.污染事件工单与闭环处置</w:t>
      </w:r>
      <w:r>
        <w:rPr>
          <w:rFonts w:hint="eastAsia" w:cs="Times New Roman"/>
          <w:b/>
          <w:color w:val="000000"/>
          <w:sz w:val="24"/>
          <w:szCs w:val="24"/>
          <w:highlight w:val="none"/>
          <w:lang w:val="en-US" w:eastAsia="zh-CN"/>
        </w:rPr>
        <w:t xml:space="preserve">自动化服务</w:t>
      </w:r>
      <w:r/>
    </w:p>
    <w:p>
      <w:pPr>
        <w:ind w:firstLine="482"/>
        <w:spacing w:line="360" w:lineRule="auto"/>
        <w:rPr>
          <w:rFonts w:hint="default" w:ascii="Times New Roman" w:hAnsi="Times New Roman" w:eastAsia="宋体" w:cs="Times New Roman"/>
          <w:b w:val="0"/>
          <w:bCs/>
          <w:color w:val="000000"/>
          <w:sz w:val="24"/>
          <w:szCs w:val="24"/>
          <w:highlight w:val="none"/>
        </w:rPr>
        <w:outlineLvl w:val="1"/>
      </w:pPr>
      <w:r>
        <w:rPr>
          <w:rFonts w:hint="default" w:ascii="Times New Roman" w:hAnsi="Times New Roman" w:eastAsia="宋体" w:cs="Times New Roman"/>
          <w:b w:val="0"/>
          <w:bCs/>
          <w:color w:val="000000"/>
          <w:sz w:val="24"/>
          <w:szCs w:val="24"/>
          <w:highlight w:val="none"/>
        </w:rPr>
        <w:t xml:space="preserve">针对现场排查及无人机飞航发现的污染高值及异常问题，支持自动生成污染事件工单，关联问题位置、监测数据、污染类型、研判结果等信息，并按照责任区域和管理权限自动推送至相关责任人员。</w:t>
      </w:r>
      <w:r/>
    </w:p>
    <w:p>
      <w:pPr>
        <w:ind w:firstLine="480"/>
        <w:spacing w:line="360" w:lineRule="auto"/>
        <w:rPr>
          <w:rFonts w:hint="default" w:ascii="Times New Roman" w:hAnsi="Times New Roman" w:eastAsia="宋体" w:cs="Times New Roman"/>
          <w:b/>
          <w:bCs/>
          <w:color w:val="000000"/>
          <w:sz w:val="24"/>
          <w:szCs w:val="24"/>
          <w:highlight w:val="none"/>
          <w:lang w:val="en-US" w:eastAsia="zh-CN"/>
        </w:rPr>
        <w:outlineLvl w:val="1"/>
      </w:pPr>
      <w:r>
        <w:rPr>
          <w:rFonts w:hint="eastAsia" w:cs="Times New Roman"/>
          <w:b/>
          <w:bCs/>
          <w:color w:val="000000"/>
          <w:sz w:val="24"/>
          <w:szCs w:val="24"/>
          <w:highlight w:val="none"/>
          <w:lang w:val="en-US" w:eastAsia="zh-CN"/>
        </w:rPr>
        <w:t xml:space="preserve">3</w:t>
      </w:r>
      <w:r>
        <w:rPr>
          <w:rFonts w:hint="default" w:ascii="Times New Roman" w:hAnsi="Times New Roman" w:eastAsia="宋体" w:cs="Times New Roman"/>
          <w:b/>
          <w:bCs/>
          <w:color w:val="000000"/>
          <w:sz w:val="24"/>
          <w:szCs w:val="24"/>
          <w:highlight w:val="none"/>
          <w:lang w:val="en-US" w:eastAsia="zh-CN"/>
        </w:rPr>
        <w:t xml:space="preserve">.智能播报</w:t>
      </w:r>
      <w:r>
        <w:rPr>
          <w:rFonts w:hint="eastAsia" w:cs="Times New Roman"/>
          <w:b/>
          <w:bCs/>
          <w:color w:val="000000"/>
          <w:sz w:val="24"/>
          <w:szCs w:val="24"/>
          <w:highlight w:val="none"/>
          <w:lang w:val="en-US" w:eastAsia="zh-CN"/>
        </w:rPr>
        <w:t xml:space="preserve">服务</w:t>
      </w:r>
      <w:r/>
    </w:p>
    <w:p>
      <w:pPr>
        <w:ind w:firstLine="480"/>
        <w:spacing w:line="360" w:lineRule="auto"/>
        <w:rPr>
          <w:rFonts w:hint="default"/>
          <w:highlight w:val="none"/>
        </w:rPr>
        <w:outlineLvl w:val="1"/>
      </w:pPr>
      <w:r>
        <w:rPr>
          <w:rFonts w:hint="default" w:ascii="Times New Roman" w:hAnsi="Times New Roman" w:eastAsia="宋体" w:cs="Times New Roman"/>
          <w:color w:val="000000"/>
          <w:sz w:val="24"/>
          <w:szCs w:val="24"/>
          <w:highlight w:val="none"/>
          <w:lang w:eastAsia="zh-CN"/>
        </w:rPr>
        <w:t xml:space="preserve">定时自动</w:t>
      </w:r>
      <w:r>
        <w:rPr>
          <w:rFonts w:hint="default" w:ascii="Times New Roman" w:hAnsi="Times New Roman" w:eastAsia="宋体" w:cs="Times New Roman"/>
          <w:color w:val="000000"/>
          <w:sz w:val="24"/>
          <w:szCs w:val="24"/>
          <w:highlight w:val="none"/>
        </w:rPr>
        <w:t xml:space="preserve">推送关联分析图表、自动推送余量表、高值报警、空气质量日报等常规化分析报表。</w:t>
      </w:r>
      <w:r/>
    </w:p>
    <w:p>
      <w:pPr>
        <w:ind w:firstLine="482"/>
        <w:spacing w:line="360" w:lineRule="auto"/>
        <w:rPr>
          <w:rFonts w:hint="default" w:ascii="Times New Roman" w:hAnsi="Times New Roman" w:eastAsia="宋体" w:cs="Times New Roman"/>
          <w:b/>
          <w:color w:val="000000"/>
          <w:sz w:val="24"/>
          <w:szCs w:val="24"/>
          <w:highlight w:val="none"/>
        </w:rPr>
        <w:outlineLvl w:val="1"/>
      </w:pPr>
      <w:r>
        <w:rPr>
          <w:rFonts w:hint="default" w:ascii="Times New Roman" w:hAnsi="Times New Roman" w:eastAsia="宋体" w:cs="Times New Roman"/>
          <w:b/>
          <w:color w:val="000000"/>
          <w:sz w:val="24"/>
          <w:szCs w:val="24"/>
          <w:highlight w:val="none"/>
        </w:rPr>
        <w:t xml:space="preserve">（</w:t>
      </w:r>
      <w:r>
        <w:rPr>
          <w:rFonts w:hint="default" w:ascii="Times New Roman" w:hAnsi="Times New Roman" w:eastAsia="宋体" w:cs="Times New Roman"/>
          <w:b/>
          <w:color w:val="000000"/>
          <w:sz w:val="24"/>
          <w:szCs w:val="24"/>
          <w:highlight w:val="none"/>
          <w:lang w:eastAsia="zh-CN"/>
        </w:rPr>
        <w:t xml:space="preserve">三</w:t>
      </w:r>
      <w:r>
        <w:rPr>
          <w:rFonts w:hint="default" w:ascii="Times New Roman" w:hAnsi="Times New Roman" w:eastAsia="宋体" w:cs="Times New Roman"/>
          <w:b/>
          <w:color w:val="000000"/>
          <w:sz w:val="24"/>
          <w:szCs w:val="24"/>
          <w:highlight w:val="none"/>
        </w:rPr>
        <w:t xml:space="preserve">）大气精准管控综合驻场服务</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rPr>
        <w:t xml:space="preserve">1、大气污染过程分析</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通过对历史数据、气象条件、污染源分布等信息，对阶段性空气质量形势开展综合分析，提供专业化的成果。</w:t>
      </w:r>
      <w:r/>
    </w:p>
    <w:p>
      <w:pPr>
        <w:ind w:firstLine="482"/>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2</w:t>
      </w:r>
      <w:r>
        <w:rPr>
          <w:rFonts w:hint="default" w:ascii="Times New Roman" w:hAnsi="Times New Roman" w:eastAsia="宋体" w:cs="Times New Roman"/>
          <w:b/>
          <w:color w:val="000000"/>
          <w:sz w:val="24"/>
          <w:szCs w:val="24"/>
          <w:highlight w:val="none"/>
        </w:rPr>
        <w:t xml:space="preserve">、点位精细化溯源</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对高值站点开展攻坚溯源，通过精准研判-拉网溯源-量化评估-复查回顾等措施，对站点污染成因进行挖掘，提供问题清单及治理建议，制定系统的提升方案。</w:t>
      </w:r>
      <w:r/>
    </w:p>
    <w:p>
      <w:pPr>
        <w:numPr>
          <w:ilvl w:val="0"/>
          <w:numId w:val="0"/>
        </w:num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eastAsia="zh-CN"/>
        </w:rPr>
        <w:t xml:space="preserve">（四）</w:t>
      </w:r>
      <w:r>
        <w:rPr>
          <w:rFonts w:hint="default" w:ascii="Times New Roman" w:hAnsi="Times New Roman" w:eastAsia="宋体" w:cs="Times New Roman"/>
          <w:b/>
          <w:color w:val="000000"/>
          <w:sz w:val="24"/>
          <w:szCs w:val="24"/>
          <w:highlight w:val="none"/>
        </w:rPr>
        <w:t xml:space="preserve">污染物</w:t>
      </w:r>
      <w:r>
        <w:rPr>
          <w:rFonts w:hint="default" w:ascii="Times New Roman" w:hAnsi="Times New Roman" w:eastAsia="宋体" w:cs="Times New Roman"/>
          <w:b/>
          <w:color w:val="000000"/>
          <w:sz w:val="24"/>
          <w:szCs w:val="24"/>
          <w:highlight w:val="none"/>
          <w:lang w:eastAsia="zh-CN"/>
        </w:rPr>
        <w:t xml:space="preserve">走航</w:t>
      </w:r>
      <w:r>
        <w:rPr>
          <w:rFonts w:hint="default" w:ascii="Times New Roman" w:hAnsi="Times New Roman" w:eastAsia="宋体" w:cs="Times New Roman"/>
          <w:b/>
          <w:color w:val="000000"/>
          <w:sz w:val="24"/>
          <w:szCs w:val="24"/>
          <w:highlight w:val="none"/>
        </w:rPr>
        <w:t xml:space="preserve">动态监测</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1</w:t>
      </w:r>
      <w:r>
        <w:rPr>
          <w:rFonts w:hint="default" w:ascii="Times New Roman" w:hAnsi="Times New Roman" w:eastAsia="宋体" w:cs="Times New Roman"/>
          <w:b/>
          <w:color w:val="000000"/>
          <w:sz w:val="24"/>
          <w:szCs w:val="24"/>
          <w:highlight w:val="none"/>
        </w:rPr>
        <w:t xml:space="preserve">、六参数走航监测服务</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安排专业技术人员，配备六参数走航车、无人机、便携式监测设备，对南通市重点地区开展六参数（PM</w:t>
      </w:r>
      <w:r>
        <w:rPr>
          <w:rFonts w:hint="default" w:ascii="Times New Roman" w:hAnsi="Times New Roman" w:eastAsia="宋体" w:cs="Times New Roman"/>
          <w:color w:val="000000"/>
          <w:sz w:val="24"/>
          <w:szCs w:val="24"/>
          <w:highlight w:val="none"/>
          <w:vertAlign w:val="subscript"/>
        </w:rPr>
        <w:t xml:space="preserve">2.5</w:t>
      </w:r>
      <w:r>
        <w:rPr>
          <w:rFonts w:hint="default" w:ascii="Times New Roman" w:hAnsi="Times New Roman" w:eastAsia="宋体" w:cs="Times New Roman"/>
          <w:color w:val="000000"/>
          <w:sz w:val="24"/>
          <w:szCs w:val="24"/>
          <w:highlight w:val="none"/>
        </w:rPr>
        <w:t xml:space="preserve">、PM</w:t>
      </w:r>
      <w:r>
        <w:rPr>
          <w:rFonts w:hint="default" w:ascii="Times New Roman" w:hAnsi="Times New Roman" w:eastAsia="宋体" w:cs="Times New Roman"/>
          <w:color w:val="000000"/>
          <w:sz w:val="24"/>
          <w:szCs w:val="24"/>
          <w:highlight w:val="none"/>
          <w:vertAlign w:val="subscript"/>
        </w:rPr>
        <w:t xml:space="preserve">10</w:t>
      </w:r>
      <w:r>
        <w:rPr>
          <w:rFonts w:hint="default" w:ascii="Times New Roman" w:hAnsi="Times New Roman" w:eastAsia="宋体" w:cs="Times New Roman"/>
          <w:color w:val="000000"/>
          <w:sz w:val="24"/>
          <w:szCs w:val="24"/>
          <w:highlight w:val="none"/>
        </w:rPr>
        <w:t xml:space="preserve">、SO</w:t>
      </w:r>
      <w:r>
        <w:rPr>
          <w:rFonts w:hint="default" w:ascii="Times New Roman" w:hAnsi="Times New Roman" w:eastAsia="宋体" w:cs="Times New Roman"/>
          <w:color w:val="000000"/>
          <w:sz w:val="24"/>
          <w:szCs w:val="24"/>
          <w:highlight w:val="none"/>
          <w:vertAlign w:val="subscript"/>
        </w:rPr>
        <w:t xml:space="preserve">2</w:t>
      </w:r>
      <w:r>
        <w:rPr>
          <w:rFonts w:hint="default" w:ascii="Times New Roman" w:hAnsi="Times New Roman" w:eastAsia="宋体" w:cs="Times New Roman"/>
          <w:color w:val="000000"/>
          <w:sz w:val="24"/>
          <w:szCs w:val="24"/>
          <w:highlight w:val="none"/>
        </w:rPr>
        <w:t xml:space="preserve">、NO</w:t>
      </w:r>
      <w:r>
        <w:rPr>
          <w:rFonts w:hint="default" w:ascii="Times New Roman" w:hAnsi="Times New Roman" w:eastAsia="宋体" w:cs="Times New Roman"/>
          <w:color w:val="000000"/>
          <w:sz w:val="24"/>
          <w:szCs w:val="24"/>
          <w:highlight w:val="none"/>
          <w:vertAlign w:val="subscript"/>
        </w:rPr>
        <w:t xml:space="preserve">2</w:t>
      </w:r>
      <w:r>
        <w:rPr>
          <w:rFonts w:hint="default" w:ascii="Times New Roman" w:hAnsi="Times New Roman" w:eastAsia="宋体" w:cs="Times New Roman"/>
          <w:color w:val="000000"/>
          <w:sz w:val="24"/>
          <w:szCs w:val="24"/>
          <w:highlight w:val="none"/>
        </w:rPr>
        <w:t xml:space="preserve">、O</w:t>
      </w:r>
      <w:r>
        <w:rPr>
          <w:rFonts w:hint="default" w:ascii="Times New Roman" w:hAnsi="Times New Roman" w:eastAsia="宋体" w:cs="Times New Roman"/>
          <w:color w:val="000000"/>
          <w:sz w:val="24"/>
          <w:szCs w:val="24"/>
          <w:highlight w:val="none"/>
          <w:vertAlign w:val="subscript"/>
        </w:rPr>
        <w:t xml:space="preserve">3</w:t>
      </w:r>
      <w:r>
        <w:rPr>
          <w:rFonts w:hint="default" w:ascii="Times New Roman" w:hAnsi="Times New Roman" w:eastAsia="宋体" w:cs="Times New Roman"/>
          <w:color w:val="000000"/>
          <w:sz w:val="24"/>
          <w:szCs w:val="24"/>
          <w:highlight w:val="none"/>
        </w:rPr>
        <w:t xml:space="preserve">、CO）地面走航监测任务，走航车辆搭载高精度传感器，实时扫描道路及周边区域污染浓度，并结合地理信息标注高值点位、记录时段及周边环境特征，对异常数据现场拍照取证，形成“数据+影像”溯源档案。服务期间，开展不少于</w:t>
      </w:r>
      <w:r>
        <w:rPr>
          <w:rFonts w:hint="default" w:ascii="Times New Roman" w:hAnsi="Times New Roman" w:eastAsia="宋体" w:cs="Times New Roman"/>
          <w:color w:val="000000"/>
          <w:sz w:val="24"/>
          <w:szCs w:val="24"/>
          <w:highlight w:val="none"/>
          <w:lang w:val="en-US" w:eastAsia="zh-CN"/>
        </w:rPr>
        <w:t xml:space="preserve">1</w:t>
      </w:r>
      <w:r>
        <w:rPr>
          <w:rFonts w:hint="eastAsia" w:eastAsia="宋体" w:cs="Times New Roman"/>
          <w:color w:val="000000"/>
          <w:sz w:val="24"/>
          <w:szCs w:val="24"/>
          <w:highlight w:val="none"/>
          <w:lang w:val="en-US" w:eastAsia="zh-CN"/>
        </w:rPr>
        <w:t xml:space="preserve">50</w:t>
      </w:r>
      <w:r>
        <w:rPr>
          <w:rFonts w:hint="default" w:ascii="Times New Roman" w:hAnsi="Times New Roman" w:eastAsia="宋体" w:cs="Times New Roman"/>
          <w:color w:val="000000"/>
          <w:sz w:val="24"/>
          <w:szCs w:val="24"/>
          <w:highlight w:val="none"/>
        </w:rPr>
        <w:t xml:space="preserve">次。</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2</w:t>
      </w:r>
      <w:r>
        <w:rPr>
          <w:rFonts w:hint="default" w:ascii="Times New Roman" w:hAnsi="Times New Roman" w:eastAsia="宋体" w:cs="Times New Roman"/>
          <w:b/>
          <w:color w:val="000000"/>
          <w:sz w:val="24"/>
          <w:szCs w:val="24"/>
          <w:highlight w:val="none"/>
        </w:rPr>
        <w:t xml:space="preserve">、颗粒物(激光雷达)走航监测服务</w:t>
      </w:r>
      <w:r/>
    </w:p>
    <w:p>
      <w:pPr>
        <w:ind w:firstLine="482"/>
        <w:spacing w:line="360" w:lineRule="auto"/>
        <w:rPr>
          <w:rFonts w:hint="eastAsia"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服务期间，颗粒物走航不少于10次（天），每次走航距离不少于80公里</w:t>
      </w:r>
      <w:r>
        <w:rPr>
          <w:rFonts w:hint="eastAsia" w:cs="Times New Roman"/>
          <w:color w:val="000000"/>
          <w:sz w:val="24"/>
          <w:szCs w:val="24"/>
          <w:highlight w:val="none"/>
          <w:lang w:eastAsia="zh-CN"/>
        </w:rPr>
        <w:t xml:space="preserve">。</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3</w:t>
      </w:r>
      <w:r>
        <w:rPr>
          <w:rFonts w:hint="default" w:ascii="Times New Roman" w:hAnsi="Times New Roman" w:eastAsia="宋体" w:cs="Times New Roman"/>
          <w:b/>
          <w:color w:val="000000"/>
          <w:sz w:val="24"/>
          <w:szCs w:val="24"/>
          <w:highlight w:val="none"/>
        </w:rPr>
        <w:t xml:space="preserve">、走航车运维及质控服务</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对南通市自有走航监测车开展整体运维服务，包括车辆驾驶、清洁和维修保养，以及车载仪器的使用、运行维护、意外保障，具体如下：</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1）保持仪器设备干净清洁，设备标识清楚；</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2）检查供电、通讯的情况，保证系统的正常运行；</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3）定期对数据备份；</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4）对设备的故障进行维修；</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5）做好突发环境事件期间仪器运行的保障和支持工作；</w:t>
      </w:r>
      <w:r/>
    </w:p>
    <w:p>
      <w:pPr>
        <w:ind w:firstLine="480"/>
        <w:spacing w:line="360" w:lineRule="auto"/>
        <w:rPr>
          <w:rFonts w:hint="eastAsia"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6）常规设备维护，至少每天上午和下午两次查看监测仪器数据并形成记录</w:t>
      </w:r>
      <w:r>
        <w:rPr>
          <w:rFonts w:hint="eastAsia" w:cs="Times New Roman"/>
          <w:color w:val="000000"/>
          <w:sz w:val="24"/>
          <w:szCs w:val="24"/>
          <w:highlight w:val="none"/>
          <w:lang w:eastAsia="zh-CN"/>
        </w:rPr>
        <w:t xml:space="preserve">。</w:t>
      </w:r>
      <w:r/>
    </w:p>
    <w:p>
      <w:pPr>
        <w:ind w:firstLine="482"/>
        <w:spacing w:line="360" w:lineRule="auto"/>
        <w:rPr>
          <w:rFonts w:hint="default" w:ascii="Times New Roman" w:hAnsi="Times New Roman" w:eastAsia="宋体" w:cs="Times New Roman"/>
          <w:b/>
          <w:color w:val="000000"/>
          <w:sz w:val="24"/>
          <w:szCs w:val="24"/>
          <w:highlight w:val="none"/>
        </w:rPr>
        <w:outlineLvl w:val="1"/>
      </w:pPr>
      <w:r>
        <w:rPr>
          <w:rFonts w:hint="default" w:ascii="Times New Roman" w:hAnsi="Times New Roman" w:eastAsia="宋体" w:cs="Times New Roman"/>
          <w:b/>
          <w:color w:val="000000"/>
          <w:sz w:val="24"/>
          <w:szCs w:val="24"/>
          <w:highlight w:val="none"/>
        </w:rPr>
        <w:t xml:space="preserve">（</w:t>
      </w:r>
      <w:r>
        <w:rPr>
          <w:rFonts w:hint="default" w:ascii="Times New Roman" w:hAnsi="Times New Roman" w:eastAsia="宋体" w:cs="Times New Roman"/>
          <w:b/>
          <w:color w:val="000000"/>
          <w:sz w:val="24"/>
          <w:szCs w:val="24"/>
          <w:highlight w:val="none"/>
          <w:lang w:eastAsia="zh-CN"/>
        </w:rPr>
        <w:t xml:space="preserve">五</w:t>
      </w:r>
      <w:r>
        <w:rPr>
          <w:rFonts w:hint="default" w:ascii="Times New Roman" w:hAnsi="Times New Roman" w:eastAsia="宋体" w:cs="Times New Roman"/>
          <w:b/>
          <w:color w:val="000000"/>
          <w:sz w:val="24"/>
          <w:szCs w:val="24"/>
          <w:highlight w:val="none"/>
        </w:rPr>
        <w:t xml:space="preserve">）污染物组分和粒径监测</w:t>
      </w:r>
      <w:r/>
    </w:p>
    <w:p>
      <w:pPr>
        <w:ind w:firstLine="482"/>
        <w:spacing w:line="360" w:lineRule="auto"/>
        <w:rPr>
          <w:rFonts w:hint="default" w:ascii="Times New Roman" w:hAnsi="Times New Roman" w:eastAsia="宋体" w:cs="Times New Roman"/>
          <w:b/>
          <w:color w:val="000000"/>
          <w:sz w:val="24"/>
          <w:szCs w:val="24"/>
          <w:highlight w:val="none"/>
          <w:lang w:eastAsia="zh-CN"/>
        </w:rPr>
      </w:pPr>
      <w:r>
        <w:rPr>
          <w:rFonts w:hint="default" w:ascii="Times New Roman" w:hAnsi="Times New Roman" w:eastAsia="宋体" w:cs="Times New Roman"/>
          <w:b/>
          <w:color w:val="000000"/>
          <w:sz w:val="24"/>
          <w:szCs w:val="24"/>
          <w:highlight w:val="none"/>
        </w:rPr>
        <w:t xml:space="preserve">1、VOCs</w:t>
      </w:r>
      <w:r>
        <w:rPr>
          <w:rFonts w:hint="default" w:ascii="Times New Roman" w:hAnsi="Times New Roman" w:eastAsia="宋体" w:cs="Times New Roman"/>
          <w:b/>
          <w:color w:val="000000"/>
          <w:sz w:val="24"/>
          <w:szCs w:val="24"/>
          <w:highlight w:val="none"/>
          <w:lang w:eastAsia="zh-CN"/>
        </w:rPr>
        <w:t xml:space="preserve">组分分析</w:t>
      </w:r>
      <w:r/>
    </w:p>
    <w:p>
      <w:pPr>
        <w:ind w:firstLine="480"/>
        <w:spacing w:line="360" w:lineRule="auto"/>
        <w:rPr>
          <w:rFonts w:hint="eastAsia" w:ascii="宋体" w:hAnsi="宋体" w:eastAsia="宋体" w:cs="宋体"/>
          <w:color w:val="000000"/>
          <w:sz w:val="24"/>
          <w:szCs w:val="24"/>
          <w:highlight w:val="none"/>
        </w:rPr>
        <w:outlineLvl w:val="1"/>
      </w:pPr>
      <w:r>
        <w:rPr>
          <w:rFonts w:hint="default" w:ascii="Times New Roman" w:hAnsi="Times New Roman" w:eastAsia="宋体" w:cs="Times New Roman"/>
          <w:color w:val="000000"/>
          <w:sz w:val="24"/>
          <w:szCs w:val="24"/>
          <w:highlight w:val="none"/>
        </w:rPr>
        <w:t xml:space="preserve">利用VOCs组分数据开展来源解析，有效监测不少于10天，判断各污染源对大气VOCs污染的贡献</w:t>
      </w:r>
      <w:r>
        <w:rPr>
          <w:rFonts w:hint="eastAsia" w:ascii="宋体" w:hAnsi="宋体" w:eastAsia="宋体" w:cs="宋体"/>
          <w:color w:val="000000"/>
          <w:sz w:val="24"/>
          <w:szCs w:val="24"/>
          <w:highlight w:val="none"/>
        </w:rPr>
        <w:t xml:space="preserve">；提出相应的VOCs和臭氧治理建议，形成1份源解析报告。</w:t>
      </w:r>
      <w:r/>
    </w:p>
    <w:p>
      <w:pPr>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2、颗粒物</w:t>
      </w:r>
      <w:r>
        <w:rPr>
          <w:rFonts w:hint="eastAsia" w:ascii="宋体" w:hAnsi="宋体" w:eastAsia="宋体" w:cs="宋体"/>
          <w:b/>
          <w:color w:val="000000"/>
          <w:sz w:val="24"/>
          <w:szCs w:val="24"/>
          <w:highlight w:val="none"/>
          <w:lang w:eastAsia="zh-CN"/>
        </w:rPr>
        <w:t xml:space="preserve">粒径分析</w:t>
      </w:r>
      <w:r/>
    </w:p>
    <w:p>
      <w:pPr>
        <w:ind w:firstLine="482"/>
        <w:spacing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在沿江区域布设1台颗粒物粒径监测仪</w:t>
      </w:r>
      <w:r>
        <w:rPr>
          <w:rFonts w:hint="eastAsia" w:ascii="宋体" w:hAnsi="宋体" w:eastAsia="宋体" w:cs="宋体"/>
          <w:color w:val="000000"/>
          <w:sz w:val="24"/>
          <w:szCs w:val="24"/>
          <w:highlight w:val="none"/>
          <w:lang w:eastAsia="zh-CN"/>
        </w:rPr>
        <w:t xml:space="preserve">，投标人所提供的颗粒物粒径监测设备需至少为12通道。</w:t>
      </w:r>
      <w:r/>
    </w:p>
    <w:p>
      <w:pPr>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六</w:t>
      </w:r>
      <w:r>
        <w:rPr>
          <w:rFonts w:hint="eastAsia" w:ascii="宋体" w:hAnsi="宋体" w:eastAsia="宋体" w:cs="宋体"/>
          <w:b/>
          <w:color w:val="000000"/>
          <w:sz w:val="24"/>
          <w:szCs w:val="24"/>
          <w:highlight w:val="none"/>
        </w:rPr>
        <w:t xml:space="preserve">）其他保障类服务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1、专家（副高及以上）现场交流指导服务。投标方要邀请国内、省内大气领域专家，通过召开研讨会、实施现场技术支持等方式，对我市大气攻坚进行指导，服务期内不少于4次。</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highlight w:val="none"/>
          <w:lang w:val="en-US" w:eastAsia="zh-CN"/>
        </w:rPr>
        <w:t xml:space="preserve">2、针对局地高值区域海安市、海门区开展帮扶工作，开展现场巡查，生成问题清单。</w:t>
      </w:r>
      <w:r/>
    </w:p>
    <w:p>
      <w:pPr>
        <w:ind w:firstLine="480"/>
        <w:spacing w:line="56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、根据采购方要求，投标方技术、设备、人员、装备满足要求的情况下，开展的其他南通市大气保障服务</w:t>
      </w:r>
      <w:r>
        <w:rPr>
          <w:rFonts w:hint="eastAsia" w:ascii="宋体" w:hAnsi="宋体" w:eastAsia="宋体" w:cs="宋体"/>
          <w:color w:val="000000"/>
          <w:sz w:val="24"/>
          <w:szCs w:val="24"/>
          <w:highlight w:val="none"/>
          <w:lang w:eastAsia="zh-CN"/>
        </w:rPr>
        <w:t xml:space="preserve">。例如，按需</w:t>
      </w:r>
      <w:r>
        <w:rPr>
          <w:rFonts w:hint="eastAsia" w:ascii="宋体" w:hAnsi="宋体" w:eastAsia="宋体" w:cs="宋体"/>
          <w:color w:val="000000"/>
          <w:sz w:val="24"/>
          <w:szCs w:val="24"/>
          <w:highlight w:val="none"/>
        </w:rPr>
        <w:t xml:space="preserve">提供便携式恶臭检测仪、</w:t>
      </w:r>
      <w:r>
        <w:rPr>
          <w:rFonts w:hint="eastAsia" w:ascii="宋体" w:hAnsi="宋体" w:eastAsia="宋体" w:cs="宋体"/>
          <w:color w:val="000000"/>
          <w:sz w:val="24"/>
          <w:szCs w:val="24"/>
          <w:highlight w:val="none"/>
          <w:lang w:eastAsia="zh-CN"/>
        </w:rPr>
        <w:t xml:space="preserve">手持式</w:t>
      </w:r>
      <w:r>
        <w:rPr>
          <w:rFonts w:hint="eastAsia" w:ascii="宋体" w:hAnsi="宋体" w:eastAsia="宋体" w:cs="宋体"/>
          <w:color w:val="000000"/>
          <w:sz w:val="24"/>
          <w:szCs w:val="24"/>
          <w:highlight w:val="none"/>
          <w:lang w:val="en-US" w:eastAsia="zh-CN"/>
        </w:rPr>
        <w:t xml:space="preserve">VOCs和颗粒物检测仪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红外</w:t>
      </w:r>
      <w:r>
        <w:rPr>
          <w:rFonts w:hint="eastAsia" w:ascii="宋体" w:hAnsi="宋体" w:eastAsia="宋体" w:cs="宋体"/>
          <w:color w:val="000000"/>
          <w:sz w:val="24"/>
          <w:szCs w:val="24"/>
          <w:highlight w:val="none"/>
          <w:lang w:eastAsia="zh-CN"/>
        </w:rPr>
        <w:t xml:space="preserve">热成</w:t>
      </w:r>
      <w:r>
        <w:rPr>
          <w:rFonts w:hint="eastAsia" w:ascii="宋体" w:hAnsi="宋体" w:eastAsia="宋体" w:cs="宋体"/>
          <w:color w:val="000000"/>
          <w:sz w:val="24"/>
          <w:szCs w:val="24"/>
          <w:highlight w:val="none"/>
        </w:rPr>
        <w:t xml:space="preserve">像仪等设备。</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三、验收成果要求</w:t>
      </w:r>
      <w:r/>
    </w:p>
    <w:tbl>
      <w:tblPr>
        <w:tblStyle w:val="963"/>
        <w:tblW w:w="9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79"/>
        <w:gridCol w:w="6860"/>
      </w:tblGrid>
      <w:tr>
        <w:trPr>
          <w:trHeight w:val="319"/>
        </w:trPr>
        <w:tc>
          <w:tcPr>
            <w:tcW w:w="28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服务内容</w:t>
            </w:r>
            <w:r/>
          </w:p>
        </w:tc>
        <w:tc>
          <w:tcPr>
            <w:tcW w:w="686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产出指标</w:t>
            </w:r>
            <w:r/>
          </w:p>
        </w:tc>
      </w:tr>
      <w:tr>
        <w:trPr>
          <w:trHeight w:val="956"/>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大气环境立体监测网络</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提供所需的</w:t>
            </w:r>
            <w:r>
              <w:rPr>
                <w:rFonts w:hint="eastAsia" w:ascii="宋体" w:hAnsi="宋体" w:eastAsia="宋体" w:cs="宋体"/>
                <w:sz w:val="24"/>
                <w:szCs w:val="24"/>
                <w:highlight w:val="none"/>
                <w:lang w:eastAsia="zh-CN"/>
              </w:rPr>
              <w:t xml:space="preserve">不少于</w:t>
            </w:r>
            <w:r>
              <w:rPr>
                <w:rFonts w:hint="eastAsia" w:ascii="宋体" w:hAnsi="宋体" w:eastAsia="宋体" w:cs="宋体"/>
                <w:sz w:val="24"/>
                <w:szCs w:val="24"/>
                <w:highlight w:val="none"/>
                <w:lang w:val="en-US" w:eastAsia="zh-CN"/>
              </w:rPr>
              <w:t xml:space="preserve">76</w:t>
            </w:r>
            <w:r>
              <w:rPr>
                <w:rFonts w:hint="eastAsia" w:ascii="宋体" w:hAnsi="宋体" w:eastAsia="宋体" w:cs="宋体"/>
                <w:sz w:val="24"/>
                <w:szCs w:val="24"/>
                <w:highlight w:val="none"/>
              </w:rPr>
              <w:t xml:space="preserve">台微站</w:t>
            </w:r>
            <w:r>
              <w:rPr>
                <w:rFonts w:hint="eastAsia" w:ascii="宋体" w:hAnsi="宋体" w:cs="宋体"/>
                <w:sz w:val="24"/>
                <w:szCs w:val="24"/>
                <w:highlight w:val="none"/>
                <w:lang w:eastAsia="zh-CN"/>
              </w:rPr>
              <w:t xml:space="preserve">（包括</w:t>
            </w:r>
            <w:r>
              <w:rPr>
                <w:rFonts w:hint="eastAsia" w:ascii="宋体" w:hAnsi="宋体" w:cs="宋体"/>
                <w:sz w:val="24"/>
                <w:szCs w:val="24"/>
                <w:highlight w:val="none"/>
                <w:lang w:val="en-US" w:eastAsia="zh-CN"/>
              </w:rPr>
              <w:t xml:space="preserve">5台备用微站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根据需求及时调整微站布点。</w:t>
            </w:r>
            <w:r/>
          </w:p>
        </w:tc>
      </w:tr>
      <w:tr>
        <w:trPr>
          <w:trHeight w:val="956"/>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智慧AI大数据服务</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5台智能无人机库</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lang w:val="en-US" w:eastAsia="zh-CN"/>
              </w:rPr>
              <w:t xml:space="preserve">AI小程序（平台）</w:t>
            </w:r>
            <w:r>
              <w:rPr>
                <w:rFonts w:hint="eastAsia" w:ascii="宋体" w:hAnsi="宋体" w:eastAsia="宋体" w:cs="宋体"/>
                <w:sz w:val="24"/>
                <w:szCs w:val="24"/>
                <w:highlight w:val="none"/>
              </w:rPr>
              <w:t xml:space="preserve">。</w:t>
            </w:r>
            <w:r/>
          </w:p>
        </w:tc>
      </w:tr>
      <w:tr>
        <w:trPr>
          <w:trHeight w:val="673"/>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大气精准管控综合驻场</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提供常规分析成果，以及站点精细化溯源成果。</w:t>
            </w:r>
            <w:r/>
          </w:p>
        </w:tc>
      </w:tr>
      <w:tr>
        <w:trPr>
          <w:trHeight w:val="1587"/>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污染物动态监测</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六参数地面走航监测服务，针对重点地区微环境开展六参数地面走航监测，不少于</w:t>
            </w:r>
            <w:r>
              <w:rPr>
                <w:rFonts w:hint="eastAsia" w:ascii="宋体" w:hAnsi="宋体" w:eastAsia="宋体" w:cs="宋体"/>
                <w:sz w:val="24"/>
                <w:szCs w:val="24"/>
                <w:highlight w:val="none"/>
                <w:lang w:val="en-US" w:eastAsia="zh-CN"/>
              </w:rPr>
              <w:t xml:space="preserve">150</w:t>
            </w:r>
            <w:r>
              <w:rPr>
                <w:rFonts w:hint="eastAsia" w:ascii="宋体" w:hAnsi="宋体" w:eastAsia="宋体" w:cs="宋体"/>
                <w:sz w:val="24"/>
                <w:szCs w:val="24"/>
                <w:highlight w:val="none"/>
              </w:rPr>
              <w:t xml:space="preserve">次。</w:t>
            </w:r>
            <w:r/>
          </w:p>
          <w:p>
            <w:pPr>
              <w:ind w:firstLine="0"/>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开展10次激光雷达走航，提供走航记录和高值清单。</w:t>
            </w:r>
            <w:r/>
          </w:p>
        </w:tc>
      </w:tr>
      <w:tr>
        <w:trPr>
          <w:trHeight w:val="640"/>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组分</w:t>
            </w:r>
            <w:r>
              <w:rPr>
                <w:rFonts w:hint="eastAsia" w:ascii="宋体" w:hAnsi="宋体" w:eastAsia="宋体" w:cs="宋体"/>
                <w:sz w:val="24"/>
                <w:szCs w:val="24"/>
                <w:highlight w:val="none"/>
                <w:lang w:eastAsia="zh-CN"/>
              </w:rPr>
              <w:t xml:space="preserve">和粒径监测</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台颗粒物粒径仪</w:t>
            </w:r>
            <w:r>
              <w:rPr>
                <w:rFonts w:hint="eastAsia" w:ascii="宋体" w:hAnsi="宋体" w:eastAsia="宋体" w:cs="宋体"/>
                <w:sz w:val="24"/>
                <w:szCs w:val="24"/>
                <w:highlight w:val="none"/>
              </w:rPr>
              <w:t xml:space="preserve">、1份VOCs组分监测解析报告。</w:t>
            </w:r>
            <w:r/>
          </w:p>
        </w:tc>
      </w:tr>
      <w:tr>
        <w:trPr>
          <w:trHeight w:val="335"/>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专家指导服务</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提供相关纪要或成果（4次）。</w:t>
            </w:r>
            <w:r/>
          </w:p>
        </w:tc>
      </w:tr>
    </w:tbl>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四、商务要求</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1.报价要求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报价应</w:t>
      </w:r>
      <w:r>
        <w:rPr>
          <w:rFonts w:hint="eastAsia" w:ascii="宋体" w:hAnsi="宋体" w:eastAsia="宋体" w:cs="宋体"/>
          <w:sz w:val="24"/>
          <w:szCs w:val="24"/>
          <w:highlight w:val="none"/>
        </w:rPr>
        <w:t xml:space="preserve">包括但不限于</w:t>
      </w:r>
      <w:r>
        <w:rPr>
          <w:rFonts w:hint="eastAsia" w:ascii="宋体" w:hAnsi="宋体" w:eastAsia="宋体" w:cs="宋体"/>
          <w:color w:val="000000"/>
          <w:sz w:val="24"/>
          <w:szCs w:val="24"/>
          <w:highlight w:val="none"/>
        </w:rPr>
        <w:t xml:space="preserve">完成本项目可能发生的所有费用，包括设备（自有或租用）、车辆、采样费、分析费、报告费用、人工费、交通费、税金等一切费用。招标文件未列明，而投标人认为其他必需的费用也需列入报价。在合同实施时，采购人将不予支付中标人没有填列的项目费用，并认为此项目的费用已包括在投标价格中。</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2.服务期限和地点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服务期限：自合同签订日起1年。</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cs="宋体"/>
          <w:color w:val="000000"/>
          <w:sz w:val="24"/>
          <w:szCs w:val="24"/>
          <w:highlight w:val="none"/>
          <w:lang w:eastAsia="zh-CN"/>
        </w:rPr>
        <w:t xml:space="preserve">南通</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3.付款方式</w:t>
      </w:r>
      <w:r/>
    </w:p>
    <w:p>
      <w:pPr>
        <w:pStyle w:val="991"/>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本项目所有款项均以人民币支付。</w:t>
      </w:r>
      <w:r/>
    </w:p>
    <w:p>
      <w:pPr>
        <w:pStyle w:val="991"/>
        <w:ind w:firstLine="56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（2）采购人每次付款前中标人向采购人开具发票。</w:t>
      </w:r>
      <w:r/>
    </w:p>
    <w:p>
      <w:pPr>
        <w:pStyle w:val="991"/>
        <w:ind w:firstLine="5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签订后十个工作日内，采购人向中标人支付合同总额的30%作为首付款；中标人提供阶段性评估报告，项目通过中期验收后十个工作日内，采购人向中标人支付合同总额的30%；中标人提供总结性评估报告，项目通过终期验收后十个工作日内，采购人向中标人支付合同总额的40%。</w:t>
      </w:r>
      <w:r/>
    </w:p>
    <w:p>
      <w:pPr>
        <w:pStyle w:val="991"/>
        <w:ind w:firstLine="560"/>
        <w:jc w:val="left"/>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ind w:firstLine="0"/>
        <w:jc w:val="center"/>
        <w:keepLines w:val="0"/>
        <w:keepNext w:val="0"/>
        <w:pageBreakBefore w:val="0"/>
        <w:spacing w:line="360" w:lineRule="auto"/>
        <w:widowControl w:val="off"/>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第四部分  评标方法与评标标准</w:t>
      </w:r>
      <w:r/>
    </w:p>
    <w:p>
      <w:pPr>
        <w:ind w:firstLine="55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本项目采用综合评分法，评标结果按评审后得分由高到低顺序排列。本项目选取1名中标人。</w:t>
      </w:r>
      <w:r/>
    </w:p>
    <w:tbl>
      <w:tblPr>
        <w:tblStyle w:val="663"/>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4"/>
        <w:gridCol w:w="6796"/>
      </w:tblGrid>
      <w:tr>
        <w:trPr>
          <w:trHeight w:val="284"/>
        </w:trPr>
        <w:tc>
          <w:tcPr>
            <w:tcW w:w="243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选取中标人数量</w:t>
            </w:r>
            <w:r/>
          </w:p>
        </w:tc>
        <w:tc>
          <w:tcPr>
            <w:tcW w:w="679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选取中标人的原则</w:t>
            </w:r>
            <w:r/>
          </w:p>
        </w:tc>
      </w:tr>
      <w:tr>
        <w:trPr>
          <w:trHeight w:val="841"/>
        </w:trPr>
        <w:tc>
          <w:tcPr>
            <w:tcW w:w="243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6796" w:type="dxa"/>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满足招标文件全部实质性要求，且按照评审因素的量化指标评审得分最高的投标人为中标人。综合评分相等的，以报价低的优先；报价也相等的，</w:t>
            </w:r>
            <w:r>
              <w:rPr>
                <w:rFonts w:hint="eastAsia" w:ascii="宋体" w:hAnsi="宋体" w:eastAsia="宋体" w:cs="宋体"/>
                <w:color w:val="auto"/>
                <w:sz w:val="24"/>
                <w:szCs w:val="24"/>
                <w:highlight w:val="none"/>
              </w:rPr>
              <w:t xml:space="preserve">抽签决定。</w:t>
            </w:r>
            <w:r/>
          </w:p>
        </w:tc>
      </w:tr>
    </w:tbl>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一、政府采购政策功能落实</w:t>
      </w:r>
      <w:r/>
    </w:p>
    <w:p>
      <w:pPr>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（一）</w:t>
      </w:r>
      <w:r>
        <w:rPr>
          <w:rFonts w:hint="eastAsia" w:ascii="宋体" w:hAnsi="宋体" w:eastAsia="宋体" w:cs="宋体"/>
          <w:color w:val="000000"/>
          <w:sz w:val="24"/>
          <w:highlight w:val="none"/>
        </w:rPr>
        <w:t xml:space="preserve">本项目</w:t>
      </w:r>
      <w:r>
        <w:rPr>
          <w:rFonts w:hint="eastAsia" w:ascii="宋体" w:hAnsi="宋体" w:eastAsia="宋体" w:cs="宋体"/>
          <w:b/>
          <w:bCs/>
          <w:color w:val="000000"/>
          <w:sz w:val="24"/>
          <w:highlight w:val="none"/>
        </w:rPr>
        <w:t xml:space="preserve">专门</w:t>
      </w:r>
      <w:r>
        <w:rPr>
          <w:rFonts w:hint="eastAsia" w:ascii="宋体" w:hAnsi="宋体" w:eastAsia="宋体" w:cs="宋体"/>
          <w:color w:val="000000"/>
          <w:sz w:val="24"/>
          <w:highlight w:val="none"/>
        </w:rPr>
        <w:t xml:space="preserve">面向中小企业。</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（1）供应商需按照采购文件的要求提供相应的《中小企业声明函》。</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2、本项目对残疾人福利性单位视同小型、微型企业。</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（1）残疾人福利单位需按照采购文件的要求提供《残疾人福利性单位声明函》。</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（2）残疾人福利单位标准请参照《关于促进残疾人就业政府采购政策的通知》（财库〔2017〕141号）。</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3、本项目对监狱和戒毒企业（简称监狱企业）视同小型、微型企业。</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（1）监狱企业参加政府采购活动时，需提供由省级以上监狱管理局、戒毒管理局（含新疆生产建设兵团）出具的属于监狱企业的证明文件。</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（2）监狱企业标准请参照《关于政府采购支持监狱企业发展有关问题的通知》（财库[2014]68号）。</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4、根据《江苏省政府采购信用管理暂行办法》的规定，对有失信行为的供应商将根据信用评价结果按规定予以扣分或价格加成。</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rPr>
        <w:t xml:space="preserve">本项目属于</w:t>
      </w:r>
      <w:r>
        <w:rPr>
          <w:rFonts w:hint="eastAsia" w:ascii="宋体" w:hAnsi="宋体" w:eastAsia="宋体" w:cs="宋体"/>
          <w:color w:val="000000"/>
          <w:sz w:val="24"/>
          <w:highlight w:val="none"/>
        </w:rPr>
        <w:t xml:space="preserve">专门面向中小企业采购的项目或者采购包，不再执行价格评审优惠的扶持政策。</w:t>
      </w:r>
      <w:r/>
    </w:p>
    <w:p>
      <w:pPr>
        <w:pStyle w:val="655"/>
        <w:numPr>
          <w:ilvl w:val="0"/>
          <w:numId w:val="0"/>
        </w:numPr>
        <w:ind w:firstLine="482"/>
        <w:jc w:val="left"/>
        <w:spacing w:line="360" w:lineRule="auto"/>
        <w:rPr>
          <w:rFonts w:ascii="Times New Roman" w:hAnsi="Times New Roman" w:cs="Times New Roman"/>
          <w:highlight w:val="none"/>
        </w:rPr>
      </w:pPr>
      <w:r>
        <w:rPr>
          <w:rFonts w:hint="eastAsia" w:ascii="宋体" w:hAnsi="宋体" w:cs="宋体"/>
          <w:color w:val="000000"/>
          <w:sz w:val="24"/>
          <w:highlight w:val="none"/>
          <w:lang w:eastAsia="zh-CN"/>
        </w:rPr>
        <w:t xml:space="preserve">（二）采购本国产品的支持政策（本项目不适用）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二、评标方法与评标标准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val="zh-CN"/>
        </w:rPr>
        <w:t xml:space="preserve">）价格分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20分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价格分统一采用低价优先法计算，即满足招标文件要求且投标价格最低的投标报价为评标基准价，其价格分为满分。其他投标人的价格分统一按照下列公式计算（分值四舍五入保留小数点后两位）：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w:t>
      </w:r>
      <w:r>
        <w:rPr>
          <w:rFonts w:hint="eastAsia" w:ascii="宋体" w:hAnsi="宋体" w:eastAsia="宋体" w:cs="宋体"/>
          <w:color w:val="auto"/>
          <w:sz w:val="24"/>
          <w:highlight w:val="none"/>
          <w:lang w:val="en-US" w:eastAsia="zh-CN"/>
        </w:rPr>
        <w:t xml:space="preserve">权重</w:t>
      </w:r>
      <w:r>
        <w:rPr>
          <w:rFonts w:hint="eastAsia" w:ascii="宋体" w:hAnsi="宋体" w:eastAsia="宋体" w:cs="宋体"/>
          <w:color w:val="auto"/>
          <w:sz w:val="24"/>
          <w:highlight w:val="none"/>
        </w:rPr>
        <w:t xml:space="preserve">×100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项目评审过程中，不得去掉最后报价中的最高报价和最低报价。</w:t>
      </w:r>
      <w:r/>
    </w:p>
    <w:p>
      <w:pPr>
        <w:ind w:firstLine="55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（二）评审过程异常低价的审查</w:t>
      </w:r>
      <w:r/>
    </w:p>
    <w:p>
      <w:pPr>
        <w:ind w:firstLine="482"/>
        <w:spacing w:line="360" w:lineRule="auto"/>
        <w:rPr>
          <w:rFonts w:ascii="Times New Roman" w:hAnsi="Times New Roman" w:eastAsia="宋体" w:cs="Times New Roman"/>
          <w:b w:val="0"/>
          <w:color w:val="auto"/>
          <w:position w:val="-10"/>
          <w:sz w:val="24"/>
          <w:szCs w:val="24"/>
          <w:highlight w:val="none"/>
        </w:rPr>
      </w:pPr>
      <w:r>
        <w:rPr>
          <w:rFonts w:ascii="Times New Roman" w:hAnsi="Times New Roman" w:eastAsia="宋体" w:cs="Times New Roman"/>
          <w:b/>
          <w:bCs/>
          <w:color w:val="auto"/>
          <w:position w:val="-10"/>
          <w:sz w:val="24"/>
          <w:szCs w:val="24"/>
          <w:highlight w:val="none"/>
        </w:rPr>
        <w:t xml:space="preserve">评审委员会启动异常低价投标（响应）审查的情形和具体要求</w:t>
      </w:r>
      <w:r>
        <w:rPr>
          <w:rFonts w:hint="default" w:ascii="Times New Roman" w:hAnsi="Times New Roman" w:eastAsia="宋体" w:cs="Times New Roman"/>
          <w:b/>
          <w:bCs/>
          <w:color w:val="auto"/>
          <w:position w:val="-10"/>
          <w:sz w:val="24"/>
          <w:szCs w:val="24"/>
          <w:highlight w:val="none"/>
        </w:rPr>
        <w:t xml:space="preserve">：</w:t>
      </w:r>
      <w:r>
        <w:rPr>
          <w:rFonts w:hint="default" w:ascii="Times New Roman" w:hAnsi="Times New Roman" w:eastAsia="宋体" w:cs="Times New Roman"/>
          <w:b w:val="0"/>
          <w:color w:val="auto"/>
          <w:position w:val="-10"/>
          <w:sz w:val="24"/>
          <w:szCs w:val="24"/>
          <w:highlight w:val="none"/>
        </w:rPr>
        <w:t xml:space="preserve"> </w:t>
      </w:r>
      <w:r/>
    </w:p>
    <w:p>
      <w:pPr>
        <w:ind w:firstLine="480"/>
        <w:jc w:val="left"/>
        <w:spacing w:line="360" w:lineRule="auto"/>
        <w:rPr>
          <w:rFonts w:ascii="Times New Roman" w:hAnsi="Times New Roman" w:eastAsia="宋体" w:cs="Times New Roman"/>
          <w:b w:val="0"/>
          <w:color w:val="000000"/>
          <w:position w:val="0"/>
          <w:sz w:val="24"/>
          <w:szCs w:val="24"/>
          <w:highlight w:val="none"/>
        </w:rPr>
      </w:pPr>
      <w:r>
        <w:rPr>
          <w:rFonts w:hint="default" w:ascii="Times New Roman" w:hAnsi="Times New Roman" w:eastAsia="宋体" w:cs="Times New Roman"/>
          <w:b w:val="0"/>
          <w:color w:val="000000"/>
          <w:position w:val="0"/>
          <w:sz w:val="24"/>
          <w:szCs w:val="24"/>
          <w:highlight w:val="none"/>
        </w:rPr>
        <w:t xml:space="preserve">　　1.投标（响应）报价低于全部通过符合性审查</w:t>
      </w:r>
      <w:r>
        <w:rPr>
          <w:rFonts w:hint="default" w:ascii="Times New Roman" w:hAnsi="Times New Roman" w:eastAsia="宋体" w:cs="Times New Roman"/>
          <w:b w:val="0"/>
          <w:color w:val="000000"/>
          <w:position w:val="0"/>
          <w:sz w:val="24"/>
          <w:szCs w:val="24"/>
          <w:highlight w:val="none"/>
          <w:lang w:eastAsia="zh-CN"/>
        </w:rPr>
        <w:t xml:space="preserve">投标人</w:t>
      </w:r>
      <w:r>
        <w:rPr>
          <w:rFonts w:hint="default" w:ascii="Times New Roman" w:hAnsi="Times New Roman" w:eastAsia="宋体" w:cs="Times New Roman"/>
          <w:b w:val="0"/>
          <w:color w:val="000000"/>
          <w:position w:val="0"/>
          <w:sz w:val="24"/>
          <w:szCs w:val="24"/>
          <w:highlight w:val="none"/>
        </w:rPr>
        <w:t xml:space="preserve">投标（响应）报价平均值50%的，即投标（响应）报价&lt;全部通过符合性审查</w:t>
      </w:r>
      <w:r>
        <w:rPr>
          <w:rFonts w:hint="default" w:ascii="Times New Roman" w:hAnsi="Times New Roman" w:eastAsia="宋体" w:cs="Times New Roman"/>
          <w:b w:val="0"/>
          <w:color w:val="000000"/>
          <w:position w:val="0"/>
          <w:sz w:val="24"/>
          <w:szCs w:val="24"/>
          <w:highlight w:val="none"/>
          <w:lang w:eastAsia="zh-CN"/>
        </w:rPr>
        <w:t xml:space="preserve">投标人</w:t>
      </w:r>
      <w:r>
        <w:rPr>
          <w:rFonts w:hint="default" w:ascii="Times New Roman" w:hAnsi="Times New Roman" w:eastAsia="宋体" w:cs="Times New Roman"/>
          <w:b w:val="0"/>
          <w:color w:val="000000"/>
          <w:position w:val="0"/>
          <w:sz w:val="24"/>
          <w:szCs w:val="24"/>
          <w:highlight w:val="none"/>
        </w:rPr>
        <w:t xml:space="preserve">投标（响应）报价平均值×50%； </w:t>
      </w:r>
      <w:r/>
    </w:p>
    <w:p>
      <w:pPr>
        <w:ind w:firstLine="480"/>
        <w:jc w:val="left"/>
        <w:spacing w:line="360" w:lineRule="auto"/>
        <w:rPr>
          <w:rFonts w:ascii="Times New Roman" w:hAnsi="Times New Roman" w:eastAsia="宋体" w:cs="Times New Roman"/>
          <w:b w:val="0"/>
          <w:color w:val="000000"/>
          <w:position w:val="0"/>
          <w:sz w:val="24"/>
          <w:szCs w:val="24"/>
          <w:highlight w:val="none"/>
        </w:rPr>
      </w:pPr>
      <w:r>
        <w:rPr>
          <w:rFonts w:hint="default" w:ascii="Times New Roman" w:hAnsi="Times New Roman" w:eastAsia="宋体" w:cs="Times New Roman"/>
          <w:b w:val="0"/>
          <w:color w:val="000000"/>
          <w:position w:val="0"/>
          <w:sz w:val="24"/>
          <w:szCs w:val="24"/>
          <w:highlight w:val="none"/>
        </w:rPr>
        <w:t xml:space="preserve">　　2.投标（响应）报价低于通过符合性审查的次低报价</w:t>
      </w:r>
      <w:r>
        <w:rPr>
          <w:rFonts w:hint="default" w:ascii="Times New Roman" w:hAnsi="Times New Roman" w:eastAsia="宋体" w:cs="Times New Roman"/>
          <w:b w:val="0"/>
          <w:color w:val="000000"/>
          <w:position w:val="0"/>
          <w:sz w:val="24"/>
          <w:szCs w:val="24"/>
          <w:highlight w:val="none"/>
          <w:lang w:eastAsia="zh-CN"/>
        </w:rPr>
        <w:t xml:space="preserve">投标人</w:t>
      </w:r>
      <w:r>
        <w:rPr>
          <w:rFonts w:hint="default" w:ascii="Times New Roman" w:hAnsi="Times New Roman" w:eastAsia="宋体" w:cs="Times New Roman"/>
          <w:b w:val="0"/>
          <w:color w:val="000000"/>
          <w:position w:val="0"/>
          <w:sz w:val="24"/>
          <w:szCs w:val="24"/>
          <w:highlight w:val="none"/>
        </w:rPr>
        <w:t xml:space="preserve">投标（响应）报价50%的，即投标（响应）报价&lt;通过符合性审查的次低报价</w:t>
      </w:r>
      <w:r>
        <w:rPr>
          <w:rFonts w:hint="default" w:ascii="Times New Roman" w:hAnsi="Times New Roman" w:eastAsia="宋体" w:cs="Times New Roman"/>
          <w:b w:val="0"/>
          <w:color w:val="000000"/>
          <w:position w:val="0"/>
          <w:sz w:val="24"/>
          <w:szCs w:val="24"/>
          <w:highlight w:val="none"/>
          <w:lang w:eastAsia="zh-CN"/>
        </w:rPr>
        <w:t xml:space="preserve">投标人</w:t>
      </w:r>
      <w:r>
        <w:rPr>
          <w:rFonts w:hint="default" w:ascii="Times New Roman" w:hAnsi="Times New Roman" w:eastAsia="宋体" w:cs="Times New Roman"/>
          <w:b w:val="0"/>
          <w:color w:val="000000"/>
          <w:position w:val="0"/>
          <w:sz w:val="24"/>
          <w:szCs w:val="24"/>
          <w:highlight w:val="none"/>
        </w:rPr>
        <w:t xml:space="preserve">投标（响应）报价×50%； </w:t>
      </w:r>
      <w:r/>
    </w:p>
    <w:p>
      <w:pPr>
        <w:ind w:firstLine="480"/>
        <w:jc w:val="left"/>
        <w:spacing w:line="360" w:lineRule="auto"/>
        <w:rPr>
          <w:rFonts w:ascii="Times New Roman" w:hAnsi="Times New Roman" w:eastAsia="宋体" w:cs="Times New Roman"/>
          <w:b w:val="0"/>
          <w:color w:val="000000"/>
          <w:position w:val="0"/>
          <w:sz w:val="24"/>
          <w:szCs w:val="24"/>
          <w:highlight w:val="none"/>
        </w:rPr>
      </w:pPr>
      <w:r>
        <w:rPr>
          <w:rFonts w:hint="default" w:ascii="Times New Roman" w:hAnsi="Times New Roman" w:eastAsia="宋体" w:cs="Times New Roman"/>
          <w:b w:val="0"/>
          <w:color w:val="000000"/>
          <w:position w:val="0"/>
          <w:sz w:val="24"/>
          <w:szCs w:val="24"/>
          <w:highlight w:val="none"/>
        </w:rPr>
        <w:t xml:space="preserve">　　3.投标（响应）报价低于采购项目最高限价45%的，即投标（响应）报价&lt;采购项目最高限价×45%； </w:t>
      </w:r>
      <w:r/>
    </w:p>
    <w:p>
      <w:pPr>
        <w:ind w:firstLine="480"/>
        <w:jc w:val="left"/>
        <w:spacing w:line="360" w:lineRule="auto"/>
        <w:rPr>
          <w:rFonts w:ascii="Times New Roman" w:hAnsi="Times New Roman" w:eastAsia="宋体" w:cs="Times New Roman"/>
          <w:b w:val="0"/>
          <w:color w:val="000000"/>
          <w:position w:val="0"/>
          <w:sz w:val="24"/>
          <w:szCs w:val="24"/>
          <w:highlight w:val="none"/>
        </w:rPr>
      </w:pPr>
      <w:r>
        <w:rPr>
          <w:rFonts w:hint="default" w:ascii="Times New Roman" w:hAnsi="Times New Roman" w:eastAsia="宋体" w:cs="Times New Roman"/>
          <w:b w:val="0"/>
          <w:color w:val="000000"/>
          <w:position w:val="0"/>
          <w:sz w:val="24"/>
          <w:szCs w:val="24"/>
          <w:highlight w:val="none"/>
        </w:rPr>
        <w:t xml:space="preserve">　　4.评审委员会基于专业判断，认为</w:t>
      </w:r>
      <w:r>
        <w:rPr>
          <w:rFonts w:hint="default" w:ascii="Times New Roman" w:hAnsi="Times New Roman" w:eastAsia="宋体" w:cs="Times New Roman"/>
          <w:b w:val="0"/>
          <w:color w:val="000000"/>
          <w:position w:val="0"/>
          <w:sz w:val="24"/>
          <w:szCs w:val="24"/>
          <w:highlight w:val="none"/>
          <w:lang w:eastAsia="zh-CN"/>
        </w:rPr>
        <w:t xml:space="preserve">投标人</w:t>
      </w:r>
      <w:r>
        <w:rPr>
          <w:rFonts w:hint="default" w:ascii="Times New Roman" w:hAnsi="Times New Roman" w:eastAsia="宋体" w:cs="Times New Roman"/>
          <w:b w:val="0"/>
          <w:color w:val="000000"/>
          <w:position w:val="0"/>
          <w:sz w:val="24"/>
          <w:szCs w:val="24"/>
          <w:highlight w:val="none"/>
        </w:rPr>
        <w:t xml:space="preserve">报价过低，有可能影响产品质量或者不能诚信履约的其他情形。 </w:t>
      </w:r>
      <w:r/>
    </w:p>
    <w:p>
      <w:pPr>
        <w:ind w:firstLine="480"/>
        <w:jc w:val="left"/>
        <w:spacing w:line="360" w:lineRule="auto"/>
        <w:rPr>
          <w:rFonts w:ascii="Times New Roman" w:hAnsi="Times New Roman" w:eastAsia="宋体" w:cs="Times New Roman"/>
          <w:b w:val="0"/>
          <w:color w:val="000000"/>
          <w:position w:val="0"/>
          <w:sz w:val="24"/>
          <w:szCs w:val="24"/>
          <w:highlight w:val="none"/>
        </w:rPr>
      </w:pPr>
      <w:r>
        <w:rPr>
          <w:rFonts w:hint="default" w:ascii="Times New Roman" w:hAnsi="Times New Roman" w:eastAsia="宋体" w:cs="Times New Roman"/>
          <w:b w:val="0"/>
          <w:color w:val="000000"/>
          <w:position w:val="0"/>
          <w:sz w:val="24"/>
          <w:szCs w:val="24"/>
          <w:highlight w:val="none"/>
        </w:rPr>
        <w:t xml:space="preserve">　　采购人可以结合具体项目实际情况，提高上述第1项至第3项中启动异常低价投标（响应）审查的数值标准，但是最高不得超过65%。 </w:t>
      </w:r>
      <w:r/>
    </w:p>
    <w:p>
      <w:pPr>
        <w:ind w:firstLine="480"/>
        <w:jc w:val="left"/>
        <w:spacing w:line="360" w:lineRule="auto"/>
        <w:rPr>
          <w:rFonts w:ascii="Times New Roman" w:hAnsi="Times New Roman" w:eastAsia="宋体" w:cs="Times New Roman"/>
          <w:b w:val="0"/>
          <w:color w:val="000000"/>
          <w:position w:val="0"/>
          <w:sz w:val="24"/>
          <w:szCs w:val="24"/>
          <w:highlight w:val="none"/>
        </w:rPr>
      </w:pPr>
      <w:r>
        <w:rPr>
          <w:rFonts w:hint="default" w:ascii="Times New Roman" w:hAnsi="Times New Roman" w:eastAsia="宋体" w:cs="Times New Roman"/>
          <w:b w:val="0"/>
          <w:color w:val="000000"/>
          <w:position w:val="0"/>
          <w:sz w:val="24"/>
          <w:szCs w:val="24"/>
          <w:highlight w:val="none"/>
        </w:rPr>
        <w:t xml:space="preserve">　　相关法律法规对</w:t>
      </w:r>
      <w:r>
        <w:rPr>
          <w:rFonts w:hint="default" w:ascii="Times New Roman" w:hAnsi="Times New Roman" w:eastAsia="宋体" w:cs="Times New Roman"/>
          <w:b w:val="0"/>
          <w:color w:val="000000"/>
          <w:position w:val="0"/>
          <w:sz w:val="24"/>
          <w:szCs w:val="24"/>
          <w:highlight w:val="none"/>
          <w:lang w:eastAsia="zh-CN"/>
        </w:rPr>
        <w:t xml:space="preserve">投标人</w:t>
      </w:r>
      <w:r>
        <w:rPr>
          <w:rFonts w:hint="default" w:ascii="Times New Roman" w:hAnsi="Times New Roman" w:eastAsia="宋体" w:cs="Times New Roman"/>
          <w:b w:val="0"/>
          <w:color w:val="000000"/>
          <w:position w:val="0"/>
          <w:sz w:val="24"/>
          <w:szCs w:val="24"/>
          <w:highlight w:val="none"/>
        </w:rPr>
        <w:t xml:space="preserve">报价有规定的，从其规定。 </w:t>
      </w:r>
      <w:r/>
    </w:p>
    <w:p>
      <w:pPr>
        <w:numPr>
          <w:ilvl w:val="-1"/>
          <w:numId w:val="0"/>
        </w:numPr>
        <w:ind w:firstLine="480"/>
        <w:jc w:val="left"/>
        <w:spacing w:line="360" w:lineRule="auto"/>
        <w:rPr>
          <w:rFonts w:ascii="Times New Roman" w:hAnsi="Times New Roman" w:eastAsia="宋体" w:cs="Times New Roman"/>
          <w:b w:val="0"/>
          <w:color w:val="auto"/>
          <w:position w:val="-10"/>
          <w:sz w:val="24"/>
          <w:szCs w:val="24"/>
          <w:highlight w:val="none"/>
        </w:rPr>
      </w:pPr>
      <w:r>
        <w:rPr>
          <w:rFonts w:hint="default" w:ascii="Times New Roman" w:hAnsi="Times New Roman" w:eastAsia="宋体" w:cs="Times New Roman"/>
          <w:b w:val="0"/>
          <w:color w:val="000000"/>
          <w:position w:val="0"/>
          <w:sz w:val="24"/>
          <w:szCs w:val="24"/>
          <w:highlight w:val="none"/>
          <w:lang w:eastAsia="zh-CN"/>
        </w:rPr>
        <w:t xml:space="preserve">（</w:t>
      </w:r>
      <w:r>
        <w:rPr>
          <w:rFonts w:hint="default" w:ascii="Times New Roman" w:hAnsi="Times New Roman" w:eastAsia="宋体" w:cs="Times New Roman"/>
          <w:b w:val="0"/>
          <w:color w:val="000000"/>
          <w:position w:val="0"/>
          <w:sz w:val="24"/>
          <w:szCs w:val="24"/>
          <w:highlight w:val="none"/>
          <w:lang w:val="en-US" w:eastAsia="zh-CN"/>
        </w:rPr>
        <w:t xml:space="preserve">三</w:t>
      </w:r>
      <w:r>
        <w:rPr>
          <w:rFonts w:hint="default" w:ascii="Times New Roman" w:hAnsi="Times New Roman" w:eastAsia="宋体" w:cs="Times New Roman"/>
          <w:b w:val="0"/>
          <w:color w:val="000000"/>
          <w:position w:val="0"/>
          <w:sz w:val="24"/>
          <w:szCs w:val="24"/>
          <w:highlight w:val="none"/>
          <w:lang w:eastAsia="zh-CN"/>
        </w:rPr>
        <w:t xml:space="preserve">）</w:t>
      </w:r>
      <w:r>
        <w:rPr>
          <w:rFonts w:hint="default" w:ascii="Times New Roman" w:hAnsi="Times New Roman" w:eastAsia="宋体" w:cs="Times New Roman"/>
          <w:b w:val="0"/>
          <w:color w:val="000000"/>
          <w:position w:val="0"/>
          <w:sz w:val="24"/>
          <w:szCs w:val="24"/>
          <w:highlight w:val="none"/>
        </w:rPr>
        <w:t xml:space="preserve">评审委员会启动异常低价投标（响应）审查后，属于前述第1项至第4项情</w:t>
      </w:r>
      <w:r>
        <w:rPr>
          <w:rFonts w:hint="default" w:ascii="Times New Roman" w:hAnsi="Times New Roman" w:eastAsia="宋体" w:cs="Times New Roman"/>
          <w:b w:val="0"/>
          <w:color w:val="auto"/>
          <w:position w:val="-10"/>
          <w:sz w:val="24"/>
          <w:szCs w:val="24"/>
          <w:highlight w:val="none"/>
        </w:rPr>
        <w:t xml:space="preserve">形的，应当要求相关</w:t>
      </w:r>
      <w:r>
        <w:rPr>
          <w:rFonts w:hint="default" w:ascii="Times New Roman" w:hAnsi="Times New Roman" w:eastAsia="宋体" w:cs="Times New Roman"/>
          <w:b w:val="0"/>
          <w:color w:val="auto"/>
          <w:position w:val="-10"/>
          <w:sz w:val="24"/>
          <w:szCs w:val="24"/>
          <w:highlight w:val="none"/>
          <w:lang w:eastAsia="zh-CN"/>
        </w:rPr>
        <w:t xml:space="preserve">投标人</w:t>
      </w:r>
      <w:r>
        <w:rPr>
          <w:rFonts w:hint="default" w:ascii="Times New Roman" w:hAnsi="Times New Roman" w:eastAsia="宋体" w:cs="Times New Roman"/>
          <w:b w:val="0"/>
          <w:color w:val="auto"/>
          <w:position w:val="-10"/>
          <w:sz w:val="24"/>
          <w:szCs w:val="24"/>
          <w:highlight w:val="none"/>
        </w:rPr>
        <w:t xml:space="preserve">在评审现场合理的时间内对投标（响应）价格作出解释，</w:t>
      </w:r>
      <w:r>
        <w:rPr>
          <w:rFonts w:hint="default" w:ascii="Times New Roman" w:hAnsi="Times New Roman" w:eastAsia="宋体" w:cs="Times New Roman"/>
          <w:b/>
          <w:bCs/>
          <w:color w:val="auto"/>
          <w:position w:val="-10"/>
          <w:sz w:val="24"/>
          <w:szCs w:val="24"/>
          <w:highlight w:val="none"/>
        </w:rPr>
        <w:t xml:space="preserve">政府采购管理交易系统（苏采云）</w:t>
      </w:r>
      <w:r>
        <w:rPr>
          <w:rFonts w:hint="default" w:ascii="Times New Roman" w:hAnsi="Times New Roman" w:eastAsia="宋体" w:cs="Times New Roman"/>
          <w:b w:val="0"/>
          <w:color w:val="auto"/>
          <w:position w:val="-10"/>
          <w:sz w:val="24"/>
          <w:szCs w:val="24"/>
          <w:highlight w:val="none"/>
        </w:rPr>
        <w:t xml:space="preserve">提供项目具体成本测算等与报价合理性相关的书面说明及必要的证明材料，包括但不限于原材料成本、人工成本、制造费用等，给予相关</w:t>
      </w:r>
      <w:r>
        <w:rPr>
          <w:rFonts w:hint="default" w:ascii="Times New Roman" w:hAnsi="Times New Roman" w:eastAsia="宋体" w:cs="Times New Roman"/>
          <w:b w:val="0"/>
          <w:color w:val="auto"/>
          <w:position w:val="-10"/>
          <w:sz w:val="24"/>
          <w:szCs w:val="24"/>
          <w:highlight w:val="none"/>
          <w:lang w:eastAsia="zh-CN"/>
        </w:rPr>
        <w:t xml:space="preserve">投标人</w:t>
      </w:r>
      <w:r>
        <w:rPr>
          <w:rFonts w:hint="default" w:ascii="Times New Roman" w:hAnsi="Times New Roman" w:eastAsia="宋体" w:cs="Times New Roman"/>
          <w:b w:val="0"/>
          <w:color w:val="auto"/>
          <w:position w:val="-10"/>
          <w:sz w:val="24"/>
          <w:szCs w:val="24"/>
          <w:highlight w:val="none"/>
        </w:rPr>
        <w:t xml:space="preserve">的合理时间一般不少于30分钟</w:t>
      </w:r>
      <w:r>
        <w:rPr>
          <w:rFonts w:hint="default" w:ascii="Times New Roman" w:hAnsi="Times New Roman" w:eastAsia="宋体" w:cs="Times New Roman"/>
          <w:b/>
          <w:bCs/>
          <w:color w:val="auto"/>
          <w:position w:val="-10"/>
          <w:sz w:val="24"/>
          <w:szCs w:val="24"/>
          <w:highlight w:val="none"/>
        </w:rPr>
        <w:t xml:space="preserve">（自澄清发布后35分钟，投标人应关注苏采云系统，及时在规定时间内作出回复。回复超出时间视为未提供有效书面说明、证明材料）</w:t>
      </w:r>
      <w:r>
        <w:rPr>
          <w:rFonts w:hint="default" w:ascii="Times New Roman" w:hAnsi="Times New Roman" w:eastAsia="宋体" w:cs="Times New Roman"/>
          <w:b w:val="0"/>
          <w:color w:val="auto"/>
          <w:position w:val="-10"/>
          <w:sz w:val="24"/>
          <w:szCs w:val="24"/>
          <w:highlight w:val="none"/>
        </w:rPr>
        <w:t xml:space="preserve">。其中，属于第3项情形，</w:t>
      </w:r>
      <w:r>
        <w:rPr>
          <w:rFonts w:hint="default" w:ascii="Times New Roman" w:hAnsi="Times New Roman" w:eastAsia="宋体" w:cs="Times New Roman"/>
          <w:b w:val="0"/>
          <w:color w:val="auto"/>
          <w:position w:val="-10"/>
          <w:sz w:val="24"/>
          <w:szCs w:val="24"/>
          <w:highlight w:val="none"/>
          <w:lang w:eastAsia="zh-CN"/>
        </w:rPr>
        <w:t xml:space="preserve">投标人</w:t>
      </w:r>
      <w:r>
        <w:rPr>
          <w:rFonts w:hint="default" w:ascii="Times New Roman" w:hAnsi="Times New Roman" w:eastAsia="宋体" w:cs="Times New Roman"/>
          <w:b w:val="0"/>
          <w:color w:val="auto"/>
          <w:position w:val="-10"/>
          <w:sz w:val="24"/>
          <w:szCs w:val="24"/>
          <w:highlight w:val="none"/>
        </w:rPr>
        <w:t xml:space="preserve">已随投标（响应）文件一并提交相关书面说明及必要的证明材料的，在评审现场可不再重复提交。</w:t>
      </w:r>
      <w:r/>
    </w:p>
    <w:p>
      <w:pPr>
        <w:ind w:firstLine="480"/>
        <w:spacing w:line="360" w:lineRule="auto"/>
        <w:rPr>
          <w:rFonts w:ascii="Times New Roman" w:hAnsi="Times New Roman" w:eastAsia="宋体" w:cs="Times New Roman"/>
          <w:b w:val="0"/>
          <w:color w:val="auto"/>
          <w:position w:val="-10"/>
          <w:sz w:val="24"/>
          <w:szCs w:val="24"/>
          <w:highlight w:val="none"/>
        </w:rPr>
      </w:pPr>
      <w:r>
        <w:rPr>
          <w:rFonts w:hint="default" w:ascii="Times New Roman" w:hAnsi="Times New Roman" w:eastAsia="宋体" w:cs="Times New Roman"/>
          <w:b w:val="0"/>
          <w:color w:val="auto"/>
          <w:position w:val="-1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default" w:ascii="Times New Roman" w:hAnsi="Times New Roman" w:eastAsia="宋体" w:cs="Times New Roman"/>
          <w:b w:val="0"/>
          <w:color w:val="auto"/>
          <w:position w:val="-10"/>
          <w:sz w:val="24"/>
          <w:szCs w:val="24"/>
          <w:highlight w:val="none"/>
          <w:lang w:eastAsia="zh-CN"/>
        </w:rPr>
        <w:t xml:space="preserve">投标人</w:t>
      </w:r>
      <w:r>
        <w:rPr>
          <w:rFonts w:hint="default" w:ascii="Times New Roman" w:hAnsi="Times New Roman" w:eastAsia="宋体" w:cs="Times New Roman"/>
          <w:b w:val="0"/>
          <w:color w:val="auto"/>
          <w:position w:val="-10"/>
          <w:sz w:val="24"/>
          <w:szCs w:val="24"/>
          <w:highlight w:val="none"/>
        </w:rPr>
        <w:t xml:space="preserve">不能提供书面说明、证明材料，或者提供的书面说明、证明材料不能证明其报价合理性的，评审委员会应当将其作为无效投标（响应）处理。 </w:t>
      </w:r>
      <w:r/>
    </w:p>
    <w:p>
      <w:pPr>
        <w:ind w:firstLine="480"/>
        <w:spacing w:line="360" w:lineRule="auto"/>
        <w:rPr>
          <w:rFonts w:ascii="Times New Roman" w:hAnsi="Times New Roman" w:eastAsia="宋体" w:cs="Times New Roman"/>
          <w:b w:val="0"/>
          <w:color w:val="auto"/>
          <w:position w:val="-10"/>
          <w:sz w:val="24"/>
          <w:szCs w:val="24"/>
          <w:highlight w:val="none"/>
        </w:rPr>
      </w:pPr>
      <w:r>
        <w:rPr>
          <w:rFonts w:hint="default" w:ascii="Times New Roman" w:hAnsi="Times New Roman" w:eastAsia="宋体" w:cs="Times New Roman"/>
          <w:b w:val="0"/>
          <w:color w:val="auto"/>
          <w:position w:val="-1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ascii="Times New Roman" w:hAnsi="Times New Roman" w:eastAsia="宋体" w:cs="Times New Roman"/>
          <w:b w:val="0"/>
          <w:bCs/>
          <w:color w:val="auto"/>
          <w:position w:val="-10"/>
          <w:sz w:val="24"/>
          <w:szCs w:val="24"/>
          <w:highlight w:val="none"/>
        </w:rPr>
      </w:pPr>
      <w:r>
        <w:rPr>
          <w:rFonts w:hint="default" w:ascii="Times New Roman" w:hAnsi="Times New Roman" w:eastAsia="宋体" w:cs="Times New Roman"/>
          <w:b w:val="0"/>
          <w:color w:val="auto"/>
          <w:position w:val="-10"/>
          <w:sz w:val="24"/>
          <w:szCs w:val="24"/>
          <w:highlight w:val="none"/>
        </w:rPr>
        <w:t xml:space="preserve">异常低价投标（响应）审查的启动原因、审查意见和审查结果应当在评审报告中记录，并随</w:t>
      </w:r>
      <w:r>
        <w:rPr>
          <w:rFonts w:hint="default" w:ascii="Times New Roman" w:hAnsi="Times New Roman" w:eastAsia="宋体" w:cs="Times New Roman"/>
          <w:b w:val="0"/>
          <w:color w:val="auto"/>
          <w:position w:val="-10"/>
          <w:sz w:val="24"/>
          <w:szCs w:val="24"/>
          <w:highlight w:val="none"/>
          <w:lang w:eastAsia="zh-CN"/>
        </w:rPr>
        <w:t xml:space="preserve">投标人</w:t>
      </w:r>
      <w:r>
        <w:rPr>
          <w:rFonts w:hint="default" w:ascii="Times New Roman" w:hAnsi="Times New Roman" w:eastAsia="宋体" w:cs="Times New Roman"/>
          <w:b w:val="0"/>
          <w:color w:val="auto"/>
          <w:position w:val="-10"/>
          <w:sz w:val="24"/>
          <w:szCs w:val="24"/>
          <w:highlight w:val="none"/>
        </w:rPr>
        <w:t xml:space="preserve">提供的相关书面说明及证明材料，以及评审委员会有关互联网浏览、查询历史一并归档。 </w:t>
      </w:r>
      <w:r/>
    </w:p>
    <w:p>
      <w:pPr>
        <w:ind w:firstLine="480"/>
        <w:spacing w:line="360" w:lineRule="auto"/>
        <w:rPr>
          <w:rFonts w:hint="default" w:ascii="Times New Roman" w:hAnsi="Times New Roman" w:eastAsia="宋体" w:cs="Times New Roman"/>
          <w:b w:val="0"/>
          <w:color w:val="auto"/>
          <w:position w:val="-10"/>
          <w:sz w:val="24"/>
          <w:szCs w:val="24"/>
          <w:highlight w:val="none"/>
          <w:lang w:val="en-US" w:eastAsia="zh-CN"/>
        </w:rPr>
      </w:pPr>
      <w:r>
        <w:rPr>
          <w:rFonts w:hint="default" w:ascii="Times New Roman" w:hAnsi="Times New Roman" w:eastAsia="宋体" w:cs="Times New Roman"/>
          <w:b w:val="0"/>
          <w:color w:val="auto"/>
          <w:position w:val="-10"/>
          <w:sz w:val="24"/>
          <w:szCs w:val="24"/>
          <w:highlight w:val="none"/>
          <w:lang w:val="zh-CN"/>
        </w:rPr>
        <w:t xml:space="preserve">（</w:t>
      </w:r>
      <w:r>
        <w:rPr>
          <w:rFonts w:hint="default" w:ascii="Times New Roman" w:hAnsi="Times New Roman" w:eastAsia="宋体" w:cs="Times New Roman"/>
          <w:b w:val="0"/>
          <w:color w:val="auto"/>
          <w:position w:val="-10"/>
          <w:sz w:val="24"/>
          <w:szCs w:val="24"/>
          <w:highlight w:val="none"/>
          <w:lang w:val="en-US" w:eastAsia="zh-CN"/>
        </w:rPr>
        <w:t xml:space="preserve">四</w:t>
      </w:r>
      <w:r>
        <w:rPr>
          <w:rFonts w:hint="default" w:ascii="Times New Roman" w:hAnsi="Times New Roman" w:eastAsia="宋体" w:cs="Times New Roman"/>
          <w:b w:val="0"/>
          <w:color w:val="auto"/>
          <w:position w:val="-10"/>
          <w:sz w:val="24"/>
          <w:szCs w:val="24"/>
          <w:highlight w:val="none"/>
          <w:lang w:val="zh-CN"/>
        </w:rPr>
        <w:t xml:space="preserve">）商务技术分：</w:t>
      </w:r>
      <w:r>
        <w:rPr>
          <w:rFonts w:hint="default" w:ascii="Times New Roman" w:hAnsi="Times New Roman" w:eastAsia="宋体" w:cs="Times New Roman"/>
          <w:b w:val="0"/>
          <w:color w:val="auto"/>
          <w:position w:val="-10"/>
          <w:sz w:val="24"/>
          <w:szCs w:val="24"/>
          <w:highlight w:val="none"/>
          <w:lang w:val="en-US" w:eastAsia="zh-CN"/>
        </w:rPr>
        <w:t xml:space="preserve">80分</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各投标人得分为评委会成员评分的算术平均分，分值四舍五入保留小数点后两位。</w:t>
      </w:r>
      <w:r/>
    </w:p>
    <w:tbl>
      <w:tblPr>
        <w:tblStyle w:val="663"/>
        <w:tblpPr w:horzAnchor="page" w:tblpX="1478" w:vertAnchor="text" w:tblpY="458" w:leftFromText="180" w:topFromText="0" w:rightFromText="180" w:bottomFromText="0"/>
        <w:tblW w:w="93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7202"/>
        <w:gridCol w:w="735"/>
      </w:tblGrid>
      <w:tr>
        <w:trPr>
          <w:trHeight w:val="447"/>
        </w:trPr>
        <w:tc>
          <w:tcPr>
            <w:tcW w:w="1455" w:type="dxa"/>
            <w:vAlign w:val="center"/>
            <w:textDirection w:val="lrTb"/>
            <w:noWrap w:val="false"/>
          </w:tcPr>
          <w:p>
            <w:pPr>
              <w:pStyle w:val="701"/>
              <w:ind w:firstLine="0"/>
              <w:jc w:val="center"/>
              <w:keepLines w:val="0"/>
              <w:keepNext w:val="0"/>
              <w:pageBreakBefore w:val="0"/>
              <w:tabs>
                <w:tab w:val="left" w:pos="2020" w:leader="none"/>
                <w:tab w:val="center" w:pos="4535" w:leader="none"/>
              </w:tabs>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rPr>
              <w:t xml:space="preserve">评分内容</w:t>
            </w:r>
            <w:r/>
          </w:p>
        </w:tc>
        <w:tc>
          <w:tcPr>
            <w:tcW w:w="7202" w:type="dxa"/>
            <w:vAlign w:val="center"/>
            <w:textDirection w:val="lrTb"/>
            <w:noWrap w:val="false"/>
          </w:tcPr>
          <w:p>
            <w:pPr>
              <w:pStyle w:val="701"/>
              <w:ind w:firstLine="0"/>
              <w:jc w:val="center"/>
              <w:keepLines w:val="0"/>
              <w:keepNext w:val="0"/>
              <w:pageBreakBefore w:val="0"/>
              <w:tabs>
                <w:tab w:val="left" w:pos="2020" w:leader="none"/>
                <w:tab w:val="center" w:pos="4535" w:leader="none"/>
              </w:tabs>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rPr>
              <w:t xml:space="preserve">评审标准</w:t>
            </w:r>
            <w:r/>
          </w:p>
        </w:tc>
        <w:tc>
          <w:tcPr>
            <w:tcW w:w="735" w:type="dxa"/>
            <w:vAlign w:val="center"/>
            <w:textDirection w:val="lrTb"/>
            <w:noWrap w:val="false"/>
          </w:tcPr>
          <w:p>
            <w:pPr>
              <w:pStyle w:val="701"/>
              <w:ind w:firstLine="0"/>
              <w:jc w:val="center"/>
              <w:keepLines w:val="0"/>
              <w:keepNext w:val="0"/>
              <w:pageBreakBefore w:val="0"/>
              <w:tabs>
                <w:tab w:val="left" w:pos="2020" w:leader="none"/>
                <w:tab w:val="center" w:pos="4535" w:leader="none"/>
              </w:tabs>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rPr>
              <w:t xml:space="preserve">分值</w:t>
            </w:r>
            <w:r/>
          </w:p>
        </w:tc>
      </w:tr>
      <w:tr>
        <w:trPr>
          <w:trHeight w:val="2372"/>
        </w:trPr>
        <w:tc>
          <w:tcPr>
            <w:tcW w:w="1455" w:type="dxa"/>
            <w:vAlign w:val="center"/>
            <w:textDirection w:val="lrTb"/>
            <w:noWrap w:val="false"/>
          </w:tcPr>
          <w:p>
            <w:pPr>
              <w:ind w:right="-46" w:firstLine="0"/>
              <w:jc w:val="center"/>
              <w:keepLines w:val="0"/>
              <w:keepNext w:val="0"/>
              <w:pageBreakBefore w:val="0"/>
              <w:spacing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企业实力</w:t>
            </w:r>
            <w:r/>
          </w:p>
        </w:tc>
        <w:tc>
          <w:tcPr>
            <w:tcW w:w="7202" w:type="dxa"/>
            <w:vAlign w:val="center"/>
            <w:textDirection w:val="lrTb"/>
            <w:noWrap w:val="false"/>
          </w:tcPr>
          <w:p>
            <w:pPr>
              <w:numPr>
                <w:ilvl w:val="0"/>
                <w:numId w:val="0"/>
              </w:numPr>
              <w:keepLines w:val="0"/>
              <w:keepNext w:val="0"/>
              <w:pageBreakBefore w:val="0"/>
              <w:spacing w:before="156" w:line="240" w:lineRule="auto"/>
              <w:shd w:val="clear" w:color="auto" w:fill="auto"/>
              <w:rPr>
                <w:rFonts w:hint="default"/>
                <w:highlight w:val="none"/>
              </w:rPr>
            </w:pPr>
            <w:r>
              <w:rPr>
                <w:rFonts w:hint="eastAsia" w:ascii="Times New Roman" w:hAnsi="Times New Roman" w:eastAsia="宋体" w:cs="Times New Roman"/>
                <w:color w:val="000000"/>
                <w:sz w:val="24"/>
                <w:szCs w:val="24"/>
                <w:highlight w:val="none"/>
                <w:lang w:val="en-US" w:bidi="zh-CN"/>
              </w:rPr>
              <w:t xml:space="preserve">1、</w:t>
            </w:r>
            <w:r>
              <w:rPr>
                <w:rFonts w:hint="default" w:ascii="Times New Roman" w:hAnsi="Times New Roman" w:eastAsia="宋体" w:cs="Times New Roman"/>
                <w:color w:val="000000"/>
                <w:sz w:val="24"/>
                <w:szCs w:val="24"/>
                <w:highlight w:val="none"/>
                <w:lang w:bidi="zh-CN"/>
              </w:rPr>
              <w:t xml:space="preserve">供应商具有与本次项目相关的软件著作权证书，证书能包含“环境质量在线监测”、“污染源在线监测”、“遥感监测评价”相关能力的，每具备一个得2分，最高得6分</w:t>
            </w:r>
            <w:r>
              <w:rPr>
                <w:rFonts w:hint="eastAsia" w:ascii="Times New Roman" w:hAnsi="Times New Roman" w:eastAsia="宋体" w:cs="Times New Roman"/>
                <w:color w:val="000000"/>
                <w:sz w:val="24"/>
                <w:szCs w:val="24"/>
                <w:highlight w:val="none"/>
                <w:lang w:bidi="zh-CN"/>
              </w:rPr>
              <w:t xml:space="preserve">。</w:t>
            </w:r>
            <w:r/>
          </w:p>
          <w:p>
            <w:pPr>
              <w:pStyle w:val="655"/>
              <w:numPr>
                <w:ilvl w:val="0"/>
                <w:numId w:val="0"/>
              </w:numPr>
              <w:spacing w:line="240" w:lineRule="auto"/>
              <w:shd w:val="clear" w:color="auto" w:fill="auto"/>
              <w:rPr>
                <w:rFonts w:hint="default"/>
                <w:highlight w:val="none"/>
                <w:lang w:val="en-US"/>
              </w:rPr>
            </w:pPr>
            <w:r>
              <w:rPr>
                <w:rFonts w:hint="eastAsia" w:ascii="Times New Roman" w:hAnsi="Times New Roman" w:eastAsia="宋体" w:cs="Times New Roman"/>
                <w:b w:val="0"/>
                <w:bCs w:val="0"/>
                <w:color w:val="000000"/>
                <w:sz w:val="24"/>
                <w:szCs w:val="24"/>
                <w:highlight w:val="none"/>
                <w:lang w:val="en-US" w:eastAsia="zh-CN" w:bidi="zh-CN"/>
              </w:rPr>
              <w:t xml:space="preserve">2、投标人提供</w:t>
            </w:r>
            <w:r>
              <w:rPr>
                <w:rFonts w:hint="eastAsia" w:cs="Times New Roman"/>
                <w:b w:val="0"/>
                <w:bCs w:val="0"/>
                <w:color w:val="000000"/>
                <w:sz w:val="24"/>
                <w:szCs w:val="24"/>
                <w:highlight w:val="none"/>
                <w:lang w:val="en-US" w:eastAsia="zh-CN" w:bidi="zh-CN"/>
              </w:rPr>
              <w:t xml:space="preserve">生态</w:t>
            </w:r>
            <w:r>
              <w:rPr>
                <w:rFonts w:hint="eastAsia" w:ascii="Times New Roman" w:hAnsi="Times New Roman" w:eastAsia="宋体" w:cs="Times New Roman"/>
                <w:b w:val="0"/>
                <w:bCs w:val="0"/>
                <w:color w:val="000000"/>
                <w:sz w:val="24"/>
                <w:szCs w:val="24"/>
                <w:highlight w:val="none"/>
                <w:lang w:val="en-US" w:eastAsia="zh-CN" w:bidi="zh-CN"/>
              </w:rPr>
              <w:t xml:space="preserve">环境AI方面软件著作权证书，具备一个得2分</w:t>
            </w:r>
            <w:r>
              <w:rPr>
                <w:rFonts w:hint="eastAsia" w:cs="Times New Roman"/>
                <w:b w:val="0"/>
                <w:bCs w:val="0"/>
                <w:color w:val="000000"/>
                <w:sz w:val="24"/>
                <w:szCs w:val="24"/>
                <w:highlight w:val="none"/>
                <w:lang w:val="en-US" w:eastAsia="zh-CN" w:bidi="zh-CN"/>
              </w:rPr>
              <w:t xml:space="preserve">，最高得4分</w:t>
            </w:r>
            <w:r>
              <w:rPr>
                <w:rFonts w:hint="eastAsia" w:ascii="Times New Roman" w:hAnsi="Times New Roman" w:eastAsia="宋体" w:cs="Times New Roman"/>
                <w:b w:val="0"/>
                <w:bCs w:val="0"/>
                <w:color w:val="000000"/>
                <w:sz w:val="24"/>
                <w:szCs w:val="24"/>
                <w:highlight w:val="none"/>
                <w:lang w:val="en-US" w:eastAsia="zh-CN" w:bidi="zh-CN"/>
              </w:rPr>
              <w:t xml:space="preserve">。</w:t>
            </w:r>
            <w:r>
              <w:rPr>
                <w:rFonts w:hint="default" w:ascii="Times New Roman" w:hAnsi="Times New Roman" w:eastAsia="宋体" w:cs="Times New Roman"/>
                <w:b w:val="0"/>
                <w:bCs w:val="0"/>
                <w:color w:val="000000"/>
                <w:sz w:val="24"/>
                <w:szCs w:val="24"/>
                <w:highlight w:val="none"/>
                <w:lang w:val="en-US" w:eastAsia="zh-CN" w:bidi="zh-CN"/>
              </w:rPr>
              <w:t xml:space="preserve">注：提供证书原件扫描件加盖公章。</w:t>
            </w:r>
            <w:r/>
          </w:p>
        </w:tc>
        <w:tc>
          <w:tcPr>
            <w:tcW w:w="735" w:type="dxa"/>
            <w:vAlign w:val="center"/>
            <w:textDirection w:val="lrTb"/>
            <w:noWrap w:val="false"/>
          </w:tcPr>
          <w:p>
            <w:pPr>
              <w:pStyle w:val="697"/>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10</w:t>
            </w:r>
            <w:r>
              <w:rPr>
                <w:rFonts w:hint="default" w:ascii="Times New Roman" w:hAnsi="Times New Roman" w:eastAsia="宋体" w:cs="Times New Roman"/>
                <w:color w:val="000000"/>
                <w:sz w:val="24"/>
                <w:szCs w:val="24"/>
                <w:highlight w:val="none"/>
              </w:rPr>
              <w:t xml:space="preserve">分</w:t>
            </w:r>
            <w:r/>
          </w:p>
        </w:tc>
      </w:tr>
      <w:tr>
        <w:trPr>
          <w:trHeight w:val="90"/>
        </w:trPr>
        <w:tc>
          <w:tcPr>
            <w:tcW w:w="1455" w:type="dxa"/>
            <w:vAlign w:val="center"/>
            <w:textDirection w:val="lrTb"/>
            <w:noWrap w:val="false"/>
          </w:tcPr>
          <w:p>
            <w:pPr>
              <w:ind w:firstLine="0"/>
              <w:jc w:val="center"/>
              <w:keepLines w:val="0"/>
              <w:keepNext w:val="0"/>
              <w:pageBreakBefore w:val="0"/>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业绩</w:t>
            </w:r>
            <w:r/>
          </w:p>
        </w:tc>
        <w:tc>
          <w:tcPr>
            <w:tcW w:w="7202" w:type="dxa"/>
            <w:vAlign w:val="center"/>
            <w:textDirection w:val="lrTb"/>
            <w:noWrap w:val="false"/>
          </w:tcPr>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lang w:bidi="zh-CN"/>
              </w:rPr>
            </w:pPr>
            <w:r>
              <w:rPr>
                <w:rFonts w:hint="default" w:ascii="Times New Roman" w:hAnsi="Times New Roman" w:eastAsia="宋体" w:cs="Times New Roman"/>
                <w:color w:val="000000"/>
                <w:sz w:val="24"/>
                <w:szCs w:val="24"/>
                <w:highlight w:val="none"/>
                <w:lang w:bidi="zh-CN"/>
              </w:rPr>
              <w:t xml:space="preserve">1、大气污染精准排查溯源能力。2023年1月1日以来，投标供应商承担过大气污染管控（空气质量提升）类服务项目的，每提供一个得</w:t>
            </w:r>
            <w:r>
              <w:rPr>
                <w:rFonts w:hint="eastAsia" w:cs="Times New Roman"/>
                <w:color w:val="000000"/>
                <w:sz w:val="24"/>
                <w:szCs w:val="24"/>
                <w:highlight w:val="none"/>
                <w:lang w:val="en-US" w:bidi="zh-CN"/>
              </w:rPr>
              <w:t xml:space="preserve">1</w:t>
            </w:r>
            <w:r>
              <w:rPr>
                <w:rFonts w:hint="default" w:ascii="Times New Roman" w:hAnsi="Times New Roman" w:eastAsia="宋体" w:cs="Times New Roman"/>
                <w:color w:val="000000"/>
                <w:sz w:val="24"/>
                <w:szCs w:val="24"/>
                <w:highlight w:val="none"/>
                <w:lang w:bidi="zh-CN"/>
              </w:rPr>
              <w:t xml:space="preserve">分，本项最高得</w:t>
            </w:r>
            <w:r>
              <w:rPr>
                <w:rFonts w:hint="eastAsia" w:cs="Times New Roman"/>
                <w:color w:val="000000"/>
                <w:sz w:val="24"/>
                <w:szCs w:val="24"/>
                <w:highlight w:val="none"/>
                <w:lang w:val="en-US" w:bidi="zh-CN"/>
              </w:rPr>
              <w:t xml:space="preserve">4</w:t>
            </w:r>
            <w:r>
              <w:rPr>
                <w:rFonts w:hint="default" w:ascii="Times New Roman" w:hAnsi="Times New Roman" w:eastAsia="宋体" w:cs="Times New Roman"/>
                <w:color w:val="000000"/>
                <w:sz w:val="24"/>
                <w:szCs w:val="24"/>
                <w:highlight w:val="none"/>
                <w:lang w:bidi="zh-CN"/>
              </w:rPr>
              <w:t xml:space="preserve">分，以合同签订时间为准（提供合同复印件加盖投标供应商公章）。</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lang w:bidi="zh-CN"/>
              </w:rPr>
            </w:pPr>
            <w:r>
              <w:rPr>
                <w:rFonts w:hint="default" w:ascii="Times New Roman" w:hAnsi="Times New Roman" w:eastAsia="宋体" w:cs="Times New Roman"/>
                <w:color w:val="000000"/>
                <w:sz w:val="24"/>
                <w:szCs w:val="24"/>
                <w:highlight w:val="none"/>
                <w:lang w:bidi="zh-CN"/>
              </w:rPr>
              <w:t xml:space="preserve">2、2023年1月1日以来，投标供应商承担过生态环境保护相关部门委托的VOCs（环境空气挥发性有机物）监测类项目的，每提供一个得</w:t>
            </w:r>
            <w:r>
              <w:rPr>
                <w:rFonts w:hint="eastAsia" w:cs="Times New Roman"/>
                <w:color w:val="000000"/>
                <w:sz w:val="24"/>
                <w:szCs w:val="24"/>
                <w:highlight w:val="none"/>
                <w:lang w:val="en-US" w:bidi="zh-CN"/>
              </w:rPr>
              <w:t xml:space="preserve">2</w:t>
            </w:r>
            <w:r>
              <w:rPr>
                <w:rFonts w:hint="default" w:ascii="Times New Roman" w:hAnsi="Times New Roman" w:eastAsia="宋体" w:cs="Times New Roman"/>
                <w:color w:val="000000"/>
                <w:sz w:val="24"/>
                <w:szCs w:val="24"/>
                <w:highlight w:val="none"/>
                <w:lang w:bidi="zh-CN"/>
              </w:rPr>
              <w:t xml:space="preserve">分，本项最高得</w:t>
            </w:r>
            <w:r>
              <w:rPr>
                <w:rFonts w:hint="eastAsia" w:cs="Times New Roman"/>
                <w:color w:val="000000"/>
                <w:sz w:val="24"/>
                <w:szCs w:val="24"/>
                <w:highlight w:val="none"/>
                <w:lang w:val="en-US" w:bidi="zh-CN"/>
              </w:rPr>
              <w:t xml:space="preserve">4</w:t>
            </w:r>
            <w:r>
              <w:rPr>
                <w:rFonts w:hint="default" w:ascii="Times New Roman" w:hAnsi="Times New Roman" w:eastAsia="宋体" w:cs="Times New Roman"/>
                <w:color w:val="000000"/>
                <w:sz w:val="24"/>
                <w:szCs w:val="24"/>
                <w:highlight w:val="none"/>
                <w:lang w:bidi="zh-CN"/>
              </w:rPr>
              <w:t xml:space="preserve">分，以合同签订时间为准（提供合同复印件加盖投标供应商公章）。</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bidi="zh-CN"/>
              </w:rPr>
              <w:t xml:space="preserve">3、投标人2023年1月1日以来承担过空气质量自动监测运维服务项目</w:t>
            </w:r>
            <w:r>
              <w:rPr>
                <w:rFonts w:hint="eastAsia" w:cs="Times New Roman"/>
                <w:color w:val="000000"/>
                <w:sz w:val="24"/>
                <w:szCs w:val="24"/>
                <w:highlight w:val="none"/>
                <w:lang w:bidi="zh-CN"/>
              </w:rPr>
              <w:t xml:space="preserve">，每提供一个的</w:t>
            </w:r>
            <w:r>
              <w:rPr>
                <w:rFonts w:hint="eastAsia" w:cs="Times New Roman"/>
                <w:color w:val="000000"/>
                <w:sz w:val="24"/>
                <w:szCs w:val="24"/>
                <w:highlight w:val="none"/>
                <w:lang w:val="en-US" w:bidi="zh-CN"/>
              </w:rPr>
              <w:t xml:space="preserve">1分</w:t>
            </w:r>
            <w:r>
              <w:rPr>
                <w:rFonts w:hint="default" w:ascii="Times New Roman" w:hAnsi="Times New Roman" w:eastAsia="宋体" w:cs="Times New Roman"/>
                <w:color w:val="000000"/>
                <w:sz w:val="24"/>
                <w:szCs w:val="24"/>
                <w:highlight w:val="none"/>
                <w:lang w:bidi="zh-CN"/>
              </w:rPr>
              <w:t xml:space="preserve">，最高得2分。以合同签订时间为准（提供合同复印件加盖投标供应商公章）。</w:t>
            </w:r>
            <w:r/>
          </w:p>
        </w:tc>
        <w:tc>
          <w:tcPr>
            <w:tcW w:w="735" w:type="dxa"/>
            <w:vAlign w:val="center"/>
            <w:textDirection w:val="lrTb"/>
            <w:noWrap w:val="false"/>
          </w:tcPr>
          <w:p>
            <w:pPr>
              <w:pStyle w:val="697"/>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cs="Times New Roman"/>
                <w:color w:val="000000"/>
                <w:sz w:val="24"/>
                <w:szCs w:val="24"/>
                <w:highlight w:val="none"/>
                <w:lang w:val="en-US" w:eastAsia="zh-CN"/>
              </w:rPr>
              <w:t xml:space="preserve">0</w:t>
            </w:r>
            <w:r>
              <w:rPr>
                <w:rFonts w:hint="default" w:ascii="Times New Roman" w:hAnsi="Times New Roman" w:eastAsia="宋体" w:cs="Times New Roman"/>
                <w:color w:val="000000"/>
                <w:sz w:val="24"/>
                <w:szCs w:val="24"/>
                <w:highlight w:val="none"/>
              </w:rPr>
              <w:t xml:space="preserve">分</w:t>
            </w:r>
            <w:r/>
          </w:p>
        </w:tc>
      </w:tr>
      <w:tr>
        <w:trPr>
          <w:trHeight w:val="1544"/>
        </w:trPr>
        <w:tc>
          <w:tcPr>
            <w:tcW w:w="1455" w:type="dxa"/>
            <w:vAlign w:val="center"/>
            <w:textDirection w:val="lrTb"/>
            <w:noWrap w:val="false"/>
          </w:tcPr>
          <w:p>
            <w:pPr>
              <w:ind w:firstLine="0"/>
              <w:jc w:val="center"/>
              <w:keepLines w:val="0"/>
              <w:keepNext w:val="0"/>
              <w:pageBreakBefore w:val="0"/>
              <w:widowControl/>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 xml:space="preserve">设备及实验室保障能力</w:t>
            </w:r>
            <w:r/>
          </w:p>
        </w:tc>
        <w:tc>
          <w:tcPr>
            <w:tcW w:w="7202" w:type="dxa"/>
            <w:vAlign w:val="center"/>
            <w:textDirection w:val="lrTb"/>
            <w:noWrap w:val="false"/>
          </w:tcPr>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lang w:val="en-US" w:bidi="zh-CN"/>
              </w:rPr>
            </w:pPr>
            <w:r>
              <w:rPr>
                <w:rFonts w:hint="eastAsia" w:ascii="Times New Roman" w:hAnsi="Times New Roman" w:eastAsia="宋体" w:cs="Times New Roman"/>
                <w:color w:val="000000"/>
                <w:sz w:val="24"/>
                <w:szCs w:val="24"/>
                <w:highlight w:val="none"/>
                <w:lang w:val="en-US" w:bidi="zh-CN"/>
              </w:rPr>
              <w:t xml:space="preserve">1、</w:t>
            </w:r>
            <w:r>
              <w:rPr>
                <w:rFonts w:hint="default" w:ascii="Times New Roman" w:hAnsi="Times New Roman" w:eastAsia="宋体" w:cs="Times New Roman"/>
                <w:color w:val="000000"/>
                <w:sz w:val="24"/>
                <w:szCs w:val="24"/>
                <w:highlight w:val="none"/>
                <w:lang w:bidi="zh-CN"/>
              </w:rPr>
              <w:t xml:space="preserve">投标人</w:t>
            </w:r>
            <w:r>
              <w:rPr>
                <w:rFonts w:hint="eastAsia" w:cs="Times New Roman"/>
                <w:color w:val="000000"/>
                <w:sz w:val="24"/>
                <w:szCs w:val="24"/>
                <w:highlight w:val="none"/>
                <w:lang w:bidi="zh-CN"/>
              </w:rPr>
              <w:t xml:space="preserve">可提供的</w:t>
            </w:r>
            <w:r>
              <w:rPr>
                <w:rFonts w:hint="default" w:ascii="Times New Roman" w:hAnsi="Times New Roman" w:eastAsia="宋体" w:cs="Times New Roman"/>
                <w:color w:val="000000"/>
                <w:sz w:val="24"/>
                <w:szCs w:val="24"/>
                <w:highlight w:val="none"/>
                <w:lang w:bidi="zh-CN"/>
              </w:rPr>
              <w:t xml:space="preserve">空气</w:t>
            </w:r>
            <w:r>
              <w:rPr>
                <w:rFonts w:hint="default" w:ascii="Times New Roman" w:hAnsi="Times New Roman" w:eastAsia="宋体" w:cs="Times New Roman"/>
                <w:color w:val="000000"/>
                <w:sz w:val="24"/>
                <w:szCs w:val="24"/>
                <w:highlight w:val="none"/>
                <w:shd w:val="clear" w:color="auto"/>
                <w:lang w:bidi="zh-CN"/>
              </w:rPr>
              <w:t xml:space="preserve">质量</w:t>
            </w:r>
            <w:r>
              <w:rPr>
                <w:rFonts w:hint="eastAsia" w:cs="Times New Roman"/>
                <w:color w:val="000000"/>
                <w:sz w:val="24"/>
                <w:szCs w:val="24"/>
                <w:highlight w:val="none"/>
                <w:shd w:val="clear" w:color="auto"/>
                <w:lang w:bidi="zh-CN"/>
              </w:rPr>
              <w:t xml:space="preserve">微站设备相关性能指标</w:t>
            </w:r>
            <w:r>
              <w:rPr>
                <w:rFonts w:hint="default" w:ascii="Times New Roman" w:hAnsi="Times New Roman" w:eastAsia="宋体" w:cs="Times New Roman"/>
                <w:color w:val="000000"/>
                <w:sz w:val="24"/>
                <w:szCs w:val="24"/>
                <w:highlight w:val="none"/>
                <w:shd w:val="clear" w:color="auto"/>
                <w:lang w:bidi="zh-CN"/>
              </w:rPr>
              <w:t xml:space="preserve">优于或满足项目需求的得</w:t>
            </w:r>
            <w:r>
              <w:rPr>
                <w:rFonts w:hint="eastAsia" w:cs="Times New Roman"/>
                <w:color w:val="000000"/>
                <w:sz w:val="24"/>
                <w:szCs w:val="24"/>
                <w:highlight w:val="none"/>
                <w:shd w:val="clear" w:color="auto"/>
                <w:lang w:val="en-US" w:bidi="zh-CN"/>
              </w:rPr>
              <w:t xml:space="preserve">4</w:t>
            </w:r>
            <w:r>
              <w:rPr>
                <w:rFonts w:hint="default" w:ascii="Times New Roman" w:hAnsi="Times New Roman" w:eastAsia="宋体" w:cs="Times New Roman"/>
                <w:color w:val="000000"/>
                <w:sz w:val="24"/>
                <w:szCs w:val="24"/>
                <w:highlight w:val="none"/>
                <w:shd w:val="clear" w:color="auto"/>
                <w:lang w:bidi="zh-CN"/>
              </w:rPr>
              <w:t xml:space="preserve">分；满足率≥80%得</w:t>
            </w:r>
            <w:r>
              <w:rPr>
                <w:rFonts w:hint="eastAsia" w:cs="Times New Roman"/>
                <w:color w:val="000000"/>
                <w:sz w:val="24"/>
                <w:szCs w:val="24"/>
                <w:highlight w:val="none"/>
                <w:shd w:val="clear" w:color="auto"/>
                <w:lang w:val="en-US" w:bidi="zh-CN"/>
              </w:rPr>
              <w:t xml:space="preserve">2分；</w:t>
            </w:r>
            <w:r>
              <w:rPr>
                <w:rFonts w:hint="default" w:ascii="Times New Roman" w:hAnsi="Times New Roman" w:eastAsia="宋体" w:cs="Times New Roman"/>
                <w:color w:val="000000"/>
                <w:sz w:val="24"/>
                <w:szCs w:val="24"/>
                <w:highlight w:val="none"/>
                <w:shd w:val="clear" w:color="auto"/>
                <w:lang w:bidi="zh-CN"/>
              </w:rPr>
              <w:t xml:space="preserve">50%≤满足率&lt;80%得1分，满足率&lt;50%得0分</w:t>
            </w:r>
            <w:r>
              <w:rPr>
                <w:rFonts w:hint="default" w:ascii="Times New Roman" w:hAnsi="Times New Roman" w:eastAsia="宋体" w:cs="Times New Roman"/>
                <w:color w:val="000000"/>
                <w:sz w:val="24"/>
                <w:szCs w:val="24"/>
                <w:highlight w:val="none"/>
                <w:lang w:bidi="zh-CN"/>
              </w:rPr>
              <w:t xml:space="preserve">。</w:t>
            </w:r>
            <w:r>
              <w:rPr>
                <w:rFonts w:hint="eastAsia" w:cs="Times New Roman"/>
                <w:color w:val="000000"/>
                <w:sz w:val="24"/>
                <w:szCs w:val="24"/>
                <w:highlight w:val="none"/>
                <w:lang w:bidi="zh-CN"/>
              </w:rPr>
              <w:t xml:space="preserve">本项最高合计得</w:t>
            </w:r>
            <w:r>
              <w:rPr>
                <w:rFonts w:hint="eastAsia" w:cs="Times New Roman"/>
                <w:color w:val="000000"/>
                <w:sz w:val="24"/>
                <w:szCs w:val="24"/>
                <w:highlight w:val="none"/>
                <w:lang w:val="en-US" w:bidi="zh-CN"/>
              </w:rPr>
              <w:t xml:space="preserve">4分。</w:t>
            </w:r>
            <w:r/>
          </w:p>
          <w:p>
            <w:pPr>
              <w:ind w:firstLine="0"/>
              <w:keepLines w:val="0"/>
              <w:keepNext w:val="0"/>
              <w:pageBreakBefore w:val="0"/>
              <w:spacing w:line="240" w:lineRule="auto"/>
              <w:rPr>
                <w:rFonts w:hint="default" w:ascii="Times New Roman" w:hAnsi="Times New Roman" w:eastAsia="宋体" w:cs="Times New Roman"/>
                <w:color w:val="000000"/>
                <w:sz w:val="24"/>
                <w:szCs w:val="24"/>
                <w:highlight w:val="none"/>
                <w:lang w:bidi="zh-CN"/>
              </w:rPr>
            </w:pPr>
            <w:r>
              <w:rPr>
                <w:rFonts w:hint="default" w:ascii="Times New Roman" w:hAnsi="Times New Roman" w:eastAsia="宋体" w:cs="Times New Roman"/>
                <w:color w:val="000000"/>
                <w:sz w:val="24"/>
                <w:szCs w:val="24"/>
                <w:highlight w:val="none"/>
                <w:lang w:bidi="zh-CN"/>
              </w:rPr>
              <w:t xml:space="preserve">注：投标人需提供第三方检测证明或彩页或技术证明文件等相关证明材料（相关盖章文件需制作在投标文件中），根据证明材料判断设备功能是否满足要求。</w:t>
            </w:r>
            <w:r/>
          </w:p>
          <w:p>
            <w:pPr>
              <w:ind w:firstLine="0"/>
              <w:keepLines w:val="0"/>
              <w:keepNext w:val="0"/>
              <w:pageBreakBefore w:val="0"/>
              <w:spacing w:line="240" w:lineRule="auto"/>
              <w:rPr>
                <w:rFonts w:hint="default" w:ascii="Times New Roman" w:hAnsi="Times New Roman" w:eastAsia="宋体" w:cs="Times New Roman"/>
                <w:color w:val="000000"/>
                <w:sz w:val="24"/>
                <w:szCs w:val="24"/>
                <w:highlight w:val="none"/>
                <w:lang w:bidi="zh-CN"/>
              </w:rPr>
            </w:pPr>
            <w:r>
              <w:rPr>
                <w:rFonts w:hint="eastAsia" w:ascii="Times New Roman" w:hAnsi="Times New Roman" w:eastAsia="宋体" w:cs="Times New Roman"/>
                <w:color w:val="000000"/>
                <w:sz w:val="24"/>
                <w:szCs w:val="24"/>
                <w:highlight w:val="none"/>
                <w:lang w:val="en-US" w:bidi="zh-CN"/>
              </w:rPr>
              <w:t xml:space="preserve">2、</w:t>
            </w:r>
            <w:r>
              <w:rPr>
                <w:rFonts w:hint="default" w:ascii="Times New Roman" w:hAnsi="Times New Roman" w:eastAsia="宋体" w:cs="Times New Roman"/>
                <w:color w:val="000000"/>
                <w:sz w:val="24"/>
                <w:szCs w:val="24"/>
                <w:highlight w:val="none"/>
                <w:lang w:bidi="zh-CN"/>
              </w:rPr>
              <w:t xml:space="preserve">投标供应商</w:t>
            </w:r>
            <w:r>
              <w:rPr>
                <w:rFonts w:hint="eastAsia" w:cs="Times New Roman"/>
                <w:color w:val="000000"/>
                <w:sz w:val="24"/>
                <w:szCs w:val="24"/>
                <w:highlight w:val="none"/>
                <w:lang w:bidi="zh-CN"/>
              </w:rPr>
              <w:t xml:space="preserve">可提供</w:t>
            </w:r>
            <w:r>
              <w:rPr>
                <w:rFonts w:hint="default" w:ascii="Times New Roman" w:hAnsi="Times New Roman" w:eastAsia="宋体" w:cs="Times New Roman"/>
                <w:color w:val="000000"/>
                <w:sz w:val="24"/>
                <w:szCs w:val="24"/>
                <w:highlight w:val="none"/>
                <w:lang w:bidi="zh-CN"/>
              </w:rPr>
              <w:t xml:space="preserve">VOCs便携式监测设备得1分</w:t>
            </w:r>
            <w:r>
              <w:rPr>
                <w:rFonts w:hint="eastAsia" w:cs="Times New Roman"/>
                <w:color w:val="000000"/>
                <w:sz w:val="24"/>
                <w:szCs w:val="24"/>
                <w:highlight w:val="none"/>
                <w:lang w:bidi="zh-CN"/>
              </w:rPr>
              <w:t xml:space="preserve">，可提供</w:t>
            </w:r>
            <w:r>
              <w:rPr>
                <w:rFonts w:hint="default" w:ascii="Times New Roman" w:hAnsi="Times New Roman" w:eastAsia="宋体" w:cs="Times New Roman"/>
                <w:color w:val="000000"/>
                <w:sz w:val="24"/>
                <w:szCs w:val="24"/>
                <w:highlight w:val="none"/>
                <w:lang w:bidi="zh-CN"/>
              </w:rPr>
              <w:t xml:space="preserve">PM</w:t>
            </w:r>
            <w:r>
              <w:rPr>
                <w:rFonts w:hint="default" w:ascii="Times New Roman" w:hAnsi="Times New Roman" w:eastAsia="宋体" w:cs="Times New Roman"/>
                <w:color w:val="000000"/>
                <w:sz w:val="24"/>
                <w:szCs w:val="24"/>
                <w:highlight w:val="none"/>
                <w:vertAlign w:val="subscript"/>
                <w:lang w:bidi="zh-CN"/>
              </w:rPr>
              <w:t xml:space="preserve">2.5</w:t>
            </w:r>
            <w:r>
              <w:rPr>
                <w:rFonts w:hint="default" w:ascii="Times New Roman" w:hAnsi="Times New Roman" w:eastAsia="宋体" w:cs="Times New Roman"/>
                <w:color w:val="000000"/>
                <w:sz w:val="24"/>
                <w:szCs w:val="24"/>
                <w:highlight w:val="none"/>
                <w:lang w:bidi="zh-CN"/>
              </w:rPr>
              <w:t xml:space="preserve">便携式监测设备</w:t>
            </w:r>
            <w:r>
              <w:rPr>
                <w:rFonts w:hint="eastAsia" w:cs="Times New Roman"/>
                <w:color w:val="000000"/>
                <w:sz w:val="24"/>
                <w:szCs w:val="24"/>
                <w:highlight w:val="none"/>
                <w:lang w:bidi="zh-CN"/>
              </w:rPr>
              <w:t xml:space="preserve">得</w:t>
            </w:r>
            <w:r>
              <w:rPr>
                <w:rFonts w:hint="eastAsia" w:cs="Times New Roman"/>
                <w:color w:val="000000"/>
                <w:sz w:val="24"/>
                <w:szCs w:val="24"/>
                <w:highlight w:val="none"/>
                <w:lang w:val="en-US" w:bidi="zh-CN"/>
              </w:rPr>
              <w:t xml:space="preserve">1</w:t>
            </w:r>
            <w:r>
              <w:rPr>
                <w:rFonts w:hint="eastAsia" w:cs="Times New Roman"/>
                <w:color w:val="000000"/>
                <w:sz w:val="24"/>
                <w:szCs w:val="24"/>
                <w:highlight w:val="none"/>
                <w:lang w:bidi="zh-CN"/>
              </w:rPr>
              <w:t xml:space="preserve">分；可提供</w:t>
            </w:r>
            <w:r>
              <w:rPr>
                <w:rFonts w:hint="default" w:ascii="Times New Roman" w:hAnsi="Times New Roman" w:eastAsia="宋体" w:cs="Times New Roman"/>
                <w:color w:val="000000"/>
                <w:sz w:val="24"/>
                <w:szCs w:val="24"/>
                <w:highlight w:val="none"/>
                <w:lang w:bidi="zh-CN"/>
              </w:rPr>
              <w:t xml:space="preserve">红外热成像仪得1分</w:t>
            </w:r>
            <w:r>
              <w:rPr>
                <w:rFonts w:hint="eastAsia" w:cs="Times New Roman"/>
                <w:color w:val="000000"/>
                <w:sz w:val="24"/>
                <w:szCs w:val="24"/>
                <w:highlight w:val="none"/>
                <w:lang w:bidi="zh-CN"/>
              </w:rPr>
              <w:t xml:space="preserve">；可提供便携式恶臭仪</w:t>
            </w:r>
            <w:r>
              <w:rPr>
                <w:rFonts w:hint="default" w:ascii="Times New Roman" w:hAnsi="Times New Roman" w:eastAsia="宋体" w:cs="Times New Roman"/>
                <w:color w:val="000000"/>
                <w:sz w:val="24"/>
                <w:szCs w:val="24"/>
                <w:highlight w:val="none"/>
                <w:lang w:bidi="zh-CN"/>
              </w:rPr>
              <w:t xml:space="preserve">得1分</w:t>
            </w:r>
            <w:r>
              <w:rPr>
                <w:rFonts w:hint="eastAsia" w:cs="Times New Roman"/>
                <w:color w:val="000000"/>
                <w:sz w:val="24"/>
                <w:szCs w:val="24"/>
                <w:highlight w:val="none"/>
                <w:lang w:bidi="zh-CN"/>
              </w:rPr>
              <w:t xml:space="preserve">，本项最高合计得</w:t>
            </w:r>
            <w:r>
              <w:rPr>
                <w:rFonts w:hint="eastAsia" w:cs="Times New Roman"/>
                <w:color w:val="000000"/>
                <w:sz w:val="24"/>
                <w:szCs w:val="24"/>
                <w:highlight w:val="none"/>
                <w:lang w:val="en-US" w:bidi="zh-CN"/>
              </w:rPr>
              <w:t xml:space="preserve">4分</w:t>
            </w:r>
            <w:r>
              <w:rPr>
                <w:rFonts w:hint="default" w:ascii="Times New Roman" w:hAnsi="Times New Roman" w:eastAsia="宋体" w:cs="Times New Roman"/>
                <w:color w:val="000000"/>
                <w:sz w:val="24"/>
                <w:szCs w:val="24"/>
                <w:highlight w:val="none"/>
                <w:lang w:bidi="zh-CN"/>
              </w:rPr>
              <w:t xml:space="preserve">（提供自有或者租赁或者合作协议等证明材料</w:t>
            </w:r>
            <w:r>
              <w:rPr>
                <w:rFonts w:hint="eastAsia" w:eastAsia="宋体" w:cs="Times New Roman"/>
                <w:color w:val="000000"/>
                <w:sz w:val="24"/>
                <w:szCs w:val="24"/>
                <w:highlight w:val="none"/>
                <w:lang w:bidi="zh-CN"/>
              </w:rPr>
              <w:t xml:space="preserve">，不提供不得分</w:t>
            </w:r>
            <w:r>
              <w:rPr>
                <w:rFonts w:hint="default" w:ascii="Times New Roman" w:hAnsi="Times New Roman" w:eastAsia="宋体" w:cs="Times New Roman"/>
                <w:color w:val="000000"/>
                <w:sz w:val="24"/>
                <w:szCs w:val="24"/>
                <w:highlight w:val="none"/>
                <w:lang w:bidi="zh-CN"/>
              </w:rPr>
              <w:t xml:space="preserve">）</w:t>
            </w:r>
            <w:r/>
          </w:p>
          <w:p>
            <w:pPr>
              <w:ind w:firstLine="0"/>
              <w:keepLines w:val="0"/>
              <w:keepNext w:val="0"/>
              <w:pageBreakBefore w:val="0"/>
              <w:spacing w:line="240" w:lineRule="auto"/>
              <w:rPr>
                <w:rFonts w:hint="default" w:ascii="Times New Roman" w:hAnsi="Times New Roman" w:eastAsia="宋体" w:cs="Times New Roman"/>
                <w:color w:val="000000"/>
                <w:sz w:val="24"/>
                <w:szCs w:val="24"/>
                <w:highlight w:val="none"/>
                <w:lang w:bidi="zh-CN"/>
              </w:rPr>
            </w:pPr>
            <w:r>
              <w:rPr>
                <w:rFonts w:hint="eastAsia" w:ascii="Times New Roman" w:hAnsi="Times New Roman" w:eastAsia="宋体" w:cs="Times New Roman"/>
                <w:color w:val="000000"/>
                <w:sz w:val="24"/>
                <w:szCs w:val="24"/>
                <w:highlight w:val="none"/>
                <w:lang w:val="en-US" w:bidi="zh-CN"/>
              </w:rPr>
              <w:t xml:space="preserve">3、</w:t>
            </w:r>
            <w:r>
              <w:rPr>
                <w:rFonts w:hint="default" w:ascii="Times New Roman" w:hAnsi="Times New Roman" w:eastAsia="宋体" w:cs="Times New Roman"/>
                <w:color w:val="000000"/>
                <w:sz w:val="24"/>
                <w:szCs w:val="24"/>
                <w:highlight w:val="none"/>
                <w:lang w:bidi="zh-CN"/>
              </w:rPr>
              <w:t xml:space="preserve">投标供应商</w:t>
            </w:r>
            <w:r>
              <w:rPr>
                <w:rFonts w:hint="eastAsia" w:cs="Times New Roman"/>
                <w:color w:val="000000"/>
                <w:sz w:val="24"/>
                <w:szCs w:val="24"/>
                <w:highlight w:val="none"/>
                <w:lang w:bidi="zh-CN"/>
              </w:rPr>
              <w:t xml:space="preserve">可提供</w:t>
            </w:r>
            <w:r>
              <w:rPr>
                <w:rFonts w:hint="default" w:ascii="Times New Roman" w:hAnsi="Times New Roman" w:eastAsia="宋体" w:cs="Times New Roman"/>
                <w:color w:val="000000"/>
                <w:sz w:val="24"/>
                <w:szCs w:val="24"/>
                <w:highlight w:val="none"/>
                <w:lang w:bidi="zh-CN"/>
              </w:rPr>
              <w:t xml:space="preserve">VOCs、颗粒物激光雷达走航监测车，每有一辆走航监测车得</w:t>
            </w:r>
            <w:r>
              <w:rPr>
                <w:rFonts w:hint="eastAsia" w:cs="Times New Roman"/>
                <w:color w:val="000000"/>
                <w:sz w:val="24"/>
                <w:szCs w:val="24"/>
                <w:highlight w:val="none"/>
                <w:lang w:val="en-US" w:bidi="zh-CN"/>
              </w:rPr>
              <w:t xml:space="preserve">2</w:t>
            </w:r>
            <w:r>
              <w:rPr>
                <w:rFonts w:hint="default" w:ascii="Times New Roman" w:hAnsi="Times New Roman" w:eastAsia="宋体" w:cs="Times New Roman"/>
                <w:color w:val="000000"/>
                <w:sz w:val="24"/>
                <w:szCs w:val="24"/>
                <w:highlight w:val="none"/>
                <w:lang w:bidi="zh-CN"/>
              </w:rPr>
              <w:t xml:space="preserve">分，满分</w:t>
            </w:r>
            <w:r>
              <w:rPr>
                <w:rFonts w:hint="eastAsia" w:cs="Times New Roman"/>
                <w:color w:val="000000"/>
                <w:sz w:val="24"/>
                <w:szCs w:val="24"/>
                <w:highlight w:val="none"/>
                <w:lang w:val="en-US" w:bidi="zh-CN"/>
              </w:rPr>
              <w:t xml:space="preserve">4</w:t>
            </w:r>
            <w:r>
              <w:rPr>
                <w:rFonts w:hint="default" w:ascii="Times New Roman" w:hAnsi="Times New Roman" w:eastAsia="宋体" w:cs="Times New Roman"/>
                <w:color w:val="000000"/>
                <w:sz w:val="24"/>
                <w:szCs w:val="24"/>
                <w:highlight w:val="none"/>
                <w:lang w:bidi="zh-CN"/>
              </w:rPr>
              <w:t xml:space="preserve">分。（同一类型走航车不重复计分，需提供购车或租赁合同或发票原件扫描件形式上传，不提供不得分。）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lang w:bidi="zh-CN"/>
              </w:rPr>
            </w:pPr>
            <w:r>
              <w:rPr>
                <w:rFonts w:hint="eastAsia" w:ascii="Times New Roman" w:hAnsi="Times New Roman" w:eastAsia="宋体" w:cs="Times New Roman"/>
                <w:color w:val="000000"/>
                <w:sz w:val="24"/>
                <w:szCs w:val="24"/>
                <w:highlight w:val="none"/>
                <w:lang w:val="en-US" w:bidi="zh-CN"/>
              </w:rPr>
              <w:t xml:space="preserve">4、</w:t>
            </w:r>
            <w:r>
              <w:rPr>
                <w:rFonts w:hint="default" w:ascii="Times New Roman" w:hAnsi="Times New Roman" w:eastAsia="宋体" w:cs="Times New Roman"/>
                <w:color w:val="000000"/>
                <w:sz w:val="24"/>
                <w:szCs w:val="24"/>
                <w:highlight w:val="none"/>
                <w:lang w:bidi="zh-CN"/>
              </w:rPr>
              <w:t xml:space="preserve">投标</w:t>
            </w:r>
            <w:r>
              <w:rPr>
                <w:rFonts w:hint="eastAsia" w:eastAsia="宋体" w:cs="Times New Roman"/>
                <w:color w:val="000000"/>
                <w:sz w:val="24"/>
                <w:szCs w:val="24"/>
                <w:highlight w:val="none"/>
                <w:lang w:bidi="zh-CN"/>
              </w:rPr>
              <w:t xml:space="preserve">供应商</w:t>
            </w:r>
            <w:r>
              <w:rPr>
                <w:rFonts w:hint="eastAsia" w:cs="Times New Roman"/>
                <w:color w:val="000000"/>
                <w:sz w:val="24"/>
                <w:szCs w:val="24"/>
                <w:highlight w:val="none"/>
                <w:lang w:bidi="zh-CN"/>
              </w:rPr>
              <w:t xml:space="preserve">可提供</w:t>
            </w:r>
            <w:r>
              <w:rPr>
                <w:rFonts w:hint="eastAsia" w:eastAsia="宋体" w:cs="Times New Roman"/>
                <w:color w:val="000000"/>
                <w:sz w:val="24"/>
                <w:szCs w:val="24"/>
                <w:highlight w:val="none"/>
                <w:lang w:bidi="zh-CN"/>
              </w:rPr>
              <w:t xml:space="preserve">无人机库，且配备可搭载气体检测仪的行业级无人机</w:t>
            </w:r>
            <w:r>
              <w:rPr>
                <w:rFonts w:hint="default" w:ascii="Times New Roman" w:hAnsi="Times New Roman" w:eastAsia="宋体" w:cs="Times New Roman"/>
                <w:color w:val="000000"/>
                <w:sz w:val="24"/>
                <w:szCs w:val="24"/>
                <w:highlight w:val="none"/>
                <w:lang w:bidi="zh-CN"/>
              </w:rPr>
              <w:t xml:space="preserve">，</w:t>
            </w:r>
            <w:r>
              <w:rPr>
                <w:rFonts w:hint="eastAsia" w:cs="Times New Roman"/>
                <w:color w:val="000000"/>
                <w:sz w:val="24"/>
                <w:szCs w:val="24"/>
                <w:highlight w:val="none"/>
                <w:lang w:bidi="zh-CN"/>
              </w:rPr>
              <w:t xml:space="preserve">有</w:t>
            </w:r>
            <w:r>
              <w:rPr>
                <w:rFonts w:hint="eastAsia" w:cs="Times New Roman"/>
                <w:color w:val="000000"/>
                <w:sz w:val="24"/>
                <w:szCs w:val="24"/>
                <w:highlight w:val="none"/>
                <w:lang w:val="en-US" w:bidi="zh-CN"/>
              </w:rPr>
              <w:t xml:space="preserve">5台得2分，少于5台不得分</w:t>
            </w:r>
            <w:r>
              <w:rPr>
                <w:rFonts w:hint="default" w:ascii="Times New Roman" w:hAnsi="Times New Roman" w:eastAsia="宋体" w:cs="Times New Roman"/>
                <w:color w:val="000000"/>
                <w:sz w:val="24"/>
                <w:szCs w:val="24"/>
                <w:highlight w:val="none"/>
                <w:lang w:bidi="zh-CN"/>
              </w:rPr>
              <w:t xml:space="preserve">。（提供自有或者租赁或者合作协议等证明材料</w:t>
            </w:r>
            <w:r>
              <w:rPr>
                <w:rFonts w:hint="eastAsia" w:eastAsia="宋体" w:cs="Times New Roman"/>
                <w:color w:val="000000"/>
                <w:sz w:val="24"/>
                <w:szCs w:val="24"/>
                <w:highlight w:val="none"/>
                <w:lang w:bidi="zh-CN"/>
              </w:rPr>
              <w:t xml:space="preserve">，不提供不得分</w:t>
            </w:r>
            <w:r>
              <w:rPr>
                <w:rFonts w:hint="default" w:ascii="Times New Roman" w:hAnsi="Times New Roman" w:eastAsia="宋体" w:cs="Times New Roman"/>
                <w:color w:val="000000"/>
                <w:sz w:val="24"/>
                <w:szCs w:val="24"/>
                <w:highlight w:val="none"/>
                <w:lang w:bidi="zh-CN"/>
              </w:rPr>
              <w:t xml:space="preserve">）</w:t>
            </w:r>
            <w:r/>
          </w:p>
          <w:p>
            <w:pPr>
              <w:ind w:firstLine="0"/>
              <w:keepLines w:val="0"/>
              <w:keepNext w:val="0"/>
              <w:pageBreakBefore w:val="0"/>
              <w:spacing w:before="156" w:line="240" w:lineRule="auto"/>
              <w:rPr>
                <w:rFonts w:hint="default"/>
                <w:highlight w:val="none"/>
                <w:lang w:val="en-US"/>
              </w:rPr>
            </w:pPr>
            <w:r>
              <w:rPr>
                <w:rFonts w:hint="eastAsia" w:ascii="Times New Roman" w:hAnsi="Times New Roman" w:eastAsia="宋体" w:cs="Times New Roman"/>
                <w:b w:val="0"/>
                <w:bCs w:val="0"/>
                <w:color w:val="000000"/>
                <w:sz w:val="24"/>
                <w:szCs w:val="24"/>
                <w:highlight w:val="none"/>
                <w:lang w:val="en-US" w:eastAsia="zh-CN" w:bidi="zh-CN"/>
              </w:rPr>
              <w:t xml:space="preserve">5、投标供应商可提供颗粒物粒径仪，有一台得</w:t>
            </w:r>
            <w:r>
              <w:rPr>
                <w:rFonts w:hint="eastAsia" w:cs="Times New Roman"/>
                <w:b w:val="0"/>
                <w:bCs w:val="0"/>
                <w:color w:val="000000"/>
                <w:sz w:val="24"/>
                <w:szCs w:val="24"/>
                <w:highlight w:val="none"/>
                <w:lang w:val="en-US" w:eastAsia="zh-CN" w:bidi="zh-CN"/>
              </w:rPr>
              <w:t xml:space="preserve">2分，最高得2分。</w:t>
            </w:r>
            <w:r>
              <w:rPr>
                <w:rFonts w:hint="default" w:ascii="Times New Roman" w:hAnsi="Times New Roman" w:eastAsia="宋体" w:cs="Times New Roman"/>
                <w:color w:val="000000"/>
                <w:sz w:val="24"/>
                <w:szCs w:val="24"/>
                <w:highlight w:val="none"/>
                <w:lang w:bidi="zh-CN"/>
              </w:rPr>
              <w:t xml:space="preserve">提供自有或者租赁或者合作协议等证明材料</w:t>
            </w:r>
            <w:r>
              <w:rPr>
                <w:rFonts w:hint="eastAsia" w:eastAsia="宋体" w:cs="Times New Roman"/>
                <w:color w:val="000000"/>
                <w:sz w:val="24"/>
                <w:szCs w:val="24"/>
                <w:highlight w:val="none"/>
                <w:lang w:bidi="zh-CN"/>
              </w:rPr>
              <w:t xml:space="preserve">，不提供不得分</w:t>
            </w:r>
            <w:r>
              <w:rPr>
                <w:rFonts w:hint="default" w:ascii="Times New Roman" w:hAnsi="Times New Roman" w:eastAsia="宋体" w:cs="Times New Roman"/>
                <w:color w:val="000000"/>
                <w:sz w:val="24"/>
                <w:szCs w:val="24"/>
                <w:highlight w:val="none"/>
                <w:lang w:bidi="zh-CN"/>
              </w:rPr>
              <w:t xml:space="preserve">）</w:t>
            </w:r>
            <w:r/>
          </w:p>
        </w:tc>
        <w:tc>
          <w:tcPr>
            <w:tcW w:w="735" w:type="dxa"/>
            <w:vAlign w:val="center"/>
            <w:textDirection w:val="lrTb"/>
            <w:noWrap w:val="false"/>
          </w:tcPr>
          <w:p>
            <w:pPr>
              <w:pStyle w:val="697"/>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16</w:t>
            </w:r>
            <w:r>
              <w:rPr>
                <w:rFonts w:hint="default" w:ascii="Times New Roman" w:hAnsi="Times New Roman" w:eastAsia="宋体" w:cs="Times New Roman"/>
                <w:color w:val="000000"/>
                <w:sz w:val="24"/>
                <w:szCs w:val="24"/>
                <w:highlight w:val="none"/>
              </w:rPr>
              <w:t xml:space="preserve">分</w:t>
            </w:r>
            <w:r/>
          </w:p>
        </w:tc>
      </w:tr>
      <w:tr>
        <w:trPr>
          <w:trHeight w:val="3100"/>
        </w:trPr>
        <w:tc>
          <w:tcPr>
            <w:tcW w:w="1455" w:type="dxa"/>
            <w:vAlign w:val="center"/>
            <w:textDirection w:val="lrTb"/>
            <w:noWrap w:val="false"/>
          </w:tcPr>
          <w:p>
            <w:pPr>
              <w:ind w:firstLine="0"/>
              <w:jc w:val="center"/>
              <w:keepLines w:val="0"/>
              <w:keepNext w:val="0"/>
              <w:pageBreakBefore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 xml:space="preserve">人员配置</w:t>
            </w:r>
            <w:r/>
          </w:p>
        </w:tc>
        <w:tc>
          <w:tcPr>
            <w:tcW w:w="7202" w:type="dxa"/>
            <w:vAlign w:val="center"/>
            <w:textDirection w:val="lrTb"/>
            <w:noWrap w:val="false"/>
          </w:tcPr>
          <w:p>
            <w:pPr>
              <w:numPr>
                <w:ilvl w:val="0"/>
                <w:numId w:val="0"/>
              </w:numPr>
              <w:keepLines w:val="0"/>
              <w:keepNext w:val="0"/>
              <w:pageBreakBefore w:val="0"/>
              <w:spacing w:before="156"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投入本项目的成员具有环境类高级职称的，每有1名</w:t>
            </w:r>
            <w:r>
              <w:rPr>
                <w:rFonts w:hint="default" w:cs="Times New Roman"/>
                <w:color w:val="000000"/>
                <w:sz w:val="24"/>
                <w:szCs w:val="24"/>
                <w:highlight w:val="none"/>
                <w:lang w:eastAsia="zh-CN"/>
              </w:rPr>
              <w:t xml:space="preserve">得1分，</w:t>
            </w:r>
            <w:r>
              <w:rPr>
                <w:rFonts w:hint="eastAsia" w:cs="Times New Roman"/>
                <w:color w:val="000000"/>
                <w:sz w:val="24"/>
                <w:szCs w:val="24"/>
                <w:highlight w:val="none"/>
                <w:lang w:eastAsia="zh-CN"/>
              </w:rPr>
              <w:t xml:space="preserve">最高得</w:t>
            </w:r>
            <w:r>
              <w:rPr>
                <w:rFonts w:hint="eastAsia" w:cs="Times New Roman"/>
                <w:color w:val="000000"/>
                <w:sz w:val="24"/>
                <w:szCs w:val="24"/>
                <w:highlight w:val="none"/>
                <w:lang w:val="en-US" w:eastAsia="zh-CN"/>
              </w:rPr>
              <w:t xml:space="preserve">6分；</w:t>
            </w:r>
            <w:r>
              <w:rPr>
                <w:rFonts w:hint="default" w:cs="Times New Roman"/>
                <w:color w:val="000000"/>
                <w:sz w:val="24"/>
                <w:szCs w:val="24"/>
                <w:highlight w:val="none"/>
                <w:lang w:eastAsia="zh-CN"/>
              </w:rPr>
              <w:t xml:space="preserve">有环境类中级职称的，每有1名得</w:t>
            </w:r>
            <w:r>
              <w:rPr>
                <w:rFonts w:hint="eastAsia" w:cs="Times New Roman"/>
                <w:color w:val="000000"/>
                <w:sz w:val="24"/>
                <w:szCs w:val="24"/>
                <w:highlight w:val="none"/>
                <w:lang w:val="en-US" w:eastAsia="zh-CN"/>
              </w:rPr>
              <w:t xml:space="preserve">1</w:t>
            </w:r>
            <w:r>
              <w:rPr>
                <w:rFonts w:hint="default" w:cs="Times New Roman"/>
                <w:color w:val="000000"/>
                <w:sz w:val="24"/>
                <w:szCs w:val="24"/>
                <w:highlight w:val="none"/>
                <w:lang w:eastAsia="zh-CN"/>
              </w:rPr>
              <w:t xml:space="preserve">分</w:t>
            </w:r>
            <w:r>
              <w:rPr>
                <w:rFonts w:hint="eastAsia" w:cs="Times New Roman"/>
                <w:color w:val="000000"/>
                <w:sz w:val="24"/>
                <w:szCs w:val="24"/>
                <w:highlight w:val="none"/>
                <w:lang w:eastAsia="zh-CN"/>
              </w:rPr>
              <w:t xml:space="preserve">，</w:t>
            </w:r>
            <w:r>
              <w:rPr>
                <w:rFonts w:hint="default" w:cs="Times New Roman"/>
                <w:color w:val="000000"/>
                <w:sz w:val="24"/>
                <w:szCs w:val="24"/>
                <w:highlight w:val="none"/>
                <w:lang w:eastAsia="zh-CN"/>
              </w:rPr>
              <w:t xml:space="preserve">最高得</w:t>
            </w:r>
            <w:r>
              <w:rPr>
                <w:rFonts w:hint="eastAsia" w:cs="Times New Roman"/>
                <w:color w:val="000000"/>
                <w:sz w:val="24"/>
                <w:szCs w:val="24"/>
                <w:highlight w:val="none"/>
                <w:lang w:val="en-US" w:eastAsia="zh-CN"/>
              </w:rPr>
              <w:t xml:space="preserve">2</w:t>
            </w:r>
            <w:r>
              <w:rPr>
                <w:rFonts w:hint="default" w:cs="Times New Roman"/>
                <w:color w:val="000000"/>
                <w:sz w:val="24"/>
                <w:szCs w:val="24"/>
                <w:highlight w:val="none"/>
                <w:lang w:eastAsia="zh-CN"/>
              </w:rPr>
              <w:t xml:space="preserve">分</w:t>
            </w:r>
            <w:r>
              <w:rPr>
                <w:rFonts w:hint="default"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eastAsia="zh-CN"/>
              </w:rPr>
              <w:t xml:space="preserve">本项合计最高得</w:t>
            </w:r>
            <w:r>
              <w:rPr>
                <w:rFonts w:hint="eastAsia" w:cs="Times New Roman"/>
                <w:color w:val="000000"/>
                <w:sz w:val="24"/>
                <w:szCs w:val="24"/>
                <w:highlight w:val="none"/>
                <w:lang w:val="en-US" w:eastAsia="zh-CN"/>
              </w:rPr>
              <w:t xml:space="preserve">8分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（以提供加盖公章的证照复印件为准，不提供或提供不全不予计分）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注：上述人员需提供单位2026年3月至今任意一个月为其缴纳的的社保证明或上述人员在职证明材料，复印件加盖投标人公章。</w:t>
            </w:r>
            <w:r/>
          </w:p>
        </w:tc>
        <w:tc>
          <w:tcPr>
            <w:tcW w:w="735" w:type="dxa"/>
            <w:vAlign w:val="center"/>
            <w:textDirection w:val="lrTb"/>
            <w:noWrap w:val="false"/>
          </w:tcPr>
          <w:p>
            <w:pPr>
              <w:contextualSpacing/>
              <w:ind w:firstLine="0"/>
              <w:jc w:val="center"/>
              <w:keepLines w:val="0"/>
              <w:keepNext w:val="0"/>
              <w:pageBreakBefore w:val="0"/>
              <w:spacing w:line="400" w:lineRule="exact"/>
              <w:rPr>
                <w:rFonts w:hint="default" w:ascii="Times New Roman" w:hAnsi="Times New Roman" w:eastAsia="宋体" w:cs="Times New Roman"/>
                <w:color w:val="000000"/>
                <w:sz w:val="24"/>
                <w:szCs w:val="24"/>
                <w:highlight w:val="none"/>
              </w:rPr>
            </w:pPr>
            <w:r>
              <w:rPr>
                <w:rFonts w:hint="eastAsia" w:cs="Times New Roman"/>
                <w:b/>
                <w:bCs/>
                <w:color w:val="000000"/>
                <w:sz w:val="24"/>
                <w:szCs w:val="24"/>
                <w:highlight w:val="none"/>
                <w:lang w:val="en-US" w:eastAsia="zh-CN"/>
              </w:rPr>
              <w:t xml:space="preserve">8</w:t>
            </w:r>
            <w:r>
              <w:rPr>
                <w:rFonts w:hint="default" w:ascii="Times New Roman" w:hAnsi="Times New Roman" w:eastAsia="宋体" w:cs="Times New Roman"/>
                <w:b/>
                <w:bCs/>
                <w:color w:val="000000"/>
                <w:sz w:val="24"/>
                <w:szCs w:val="24"/>
                <w:highlight w:val="none"/>
              </w:rPr>
              <w:t xml:space="preserve">分</w:t>
            </w:r>
            <w:r/>
          </w:p>
        </w:tc>
      </w:tr>
      <w:tr>
        <w:trPr>
          <w:trHeight w:val="3114"/>
        </w:trPr>
        <w:tc>
          <w:tcPr>
            <w:tcW w:w="1455" w:type="dxa"/>
            <w:vAlign w:val="center"/>
            <w:textDirection w:val="lrTb"/>
            <w:noWrap w:val="false"/>
          </w:tcPr>
          <w:p>
            <w:pPr>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大气环境立体监测网络服务</w:t>
            </w:r>
            <w:r/>
          </w:p>
        </w:tc>
        <w:tc>
          <w:tcPr>
            <w:tcW w:w="7202" w:type="dxa"/>
            <w:vAlign w:val="center"/>
            <w:textDirection w:val="lrTb"/>
            <w:noWrap w:val="false"/>
          </w:tcPr>
          <w:p>
            <w:pPr>
              <w:ind w:firstLine="0"/>
              <w:keepLines w:val="0"/>
              <w:keepNext w:val="0"/>
              <w:pageBreakBefore w:val="0"/>
              <w:spacing w:before="156" w:line="240" w:lineRule="auto"/>
              <w:shd w:val="clear" w:color="auto" w:fill="auto"/>
              <w:rPr>
                <w:rFonts w:hint="eastAsia"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投标人</w:t>
            </w:r>
            <w:r>
              <w:rPr>
                <w:rFonts w:hint="eastAsia" w:cs="Times New Roman"/>
                <w:color w:val="000000"/>
                <w:sz w:val="24"/>
                <w:szCs w:val="24"/>
                <w:highlight w:val="none"/>
                <w:lang w:eastAsia="zh-CN"/>
              </w:rPr>
              <w:t xml:space="preserve">围绕</w:t>
            </w:r>
            <w:r>
              <w:rPr>
                <w:rFonts w:hint="default" w:ascii="Times New Roman" w:hAnsi="Times New Roman" w:eastAsia="宋体" w:cs="Times New Roman"/>
                <w:color w:val="000000"/>
                <w:sz w:val="24"/>
                <w:szCs w:val="24"/>
                <w:highlight w:val="none"/>
              </w:rPr>
              <w:t xml:space="preserve">站点勘察、布点科学性、建设方案完善程度、承诺可提供微站数量</w:t>
            </w:r>
            <w:r>
              <w:rPr>
                <w:rFonts w:hint="eastAsia" w:cs="Times New Roman"/>
                <w:color w:val="000000"/>
                <w:sz w:val="24"/>
                <w:szCs w:val="24"/>
                <w:highlight w:val="none"/>
                <w:lang w:eastAsia="zh-CN"/>
              </w:rPr>
              <w:t xml:space="preserve">形成</w:t>
            </w:r>
            <w:r>
              <w:rPr>
                <w:rFonts w:hint="default" w:ascii="Times New Roman" w:hAnsi="Times New Roman" w:eastAsia="宋体" w:cs="Times New Roman"/>
                <w:color w:val="000000"/>
                <w:sz w:val="24"/>
                <w:szCs w:val="24"/>
                <w:highlight w:val="none"/>
              </w:rPr>
              <w:t xml:space="preserve">微站站点勘察及建设方案</w:t>
            </w:r>
            <w:r>
              <w:rPr>
                <w:rFonts w:hint="eastAsia" w:cs="Times New Roman"/>
                <w:color w:val="000000"/>
                <w:sz w:val="24"/>
                <w:szCs w:val="24"/>
                <w:highlight w:val="none"/>
                <w:lang w:eastAsia="zh-CN"/>
              </w:rPr>
              <w:t xml:space="preserve">。</w:t>
            </w:r>
            <w:r/>
          </w:p>
          <w:p>
            <w:pPr>
              <w:ind w:firstLine="0"/>
              <w:keepLines w:val="0"/>
              <w:keepNext w:val="0"/>
              <w:pageBreakBefore w:val="0"/>
              <w:spacing w:before="156" w:line="240" w:lineRule="auto"/>
              <w:shd w:val="clear" w:color="auto" w:fil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承诺可提供≥100台微站，站点勘察详实、布点科学，建设方案内容完善、可行性强，得</w:t>
            </w:r>
            <w:r>
              <w:rPr>
                <w:rFonts w:hint="eastAsia"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w:t>
            </w:r>
            <w:r/>
          </w:p>
          <w:p>
            <w:pPr>
              <w:ind w:firstLine="0"/>
              <w:keepLines w:val="0"/>
              <w:keepNext w:val="0"/>
              <w:pageBreakBefore w:val="0"/>
              <w:spacing w:before="156" w:line="240" w:lineRule="auto"/>
              <w:shd w:val="clear" w:color="auto" w:fil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承诺可提供≥100台微站，但站点勘察深度不足、建设方案存在缺项，方案基本可行，得</w:t>
            </w:r>
            <w:r>
              <w:rPr>
                <w:rFonts w:hint="eastAsia" w:cs="Times New Roman"/>
                <w:color w:val="000000"/>
                <w:sz w:val="24"/>
                <w:szCs w:val="24"/>
                <w:highlight w:val="none"/>
                <w:lang w:val="en-US" w:eastAsia="zh-CN"/>
              </w:rPr>
              <w:t xml:space="preserve">5</w:t>
            </w:r>
            <w:r>
              <w:rPr>
                <w:rFonts w:hint="default" w:ascii="Times New Roman" w:hAnsi="Times New Roman" w:eastAsia="宋体" w:cs="Times New Roman"/>
                <w:color w:val="000000"/>
                <w:sz w:val="24"/>
                <w:szCs w:val="24"/>
                <w:highlight w:val="none"/>
              </w:rPr>
              <w:t xml:space="preserve">分；</w:t>
            </w:r>
            <w:r/>
          </w:p>
          <w:p>
            <w:pPr>
              <w:ind w:firstLine="0"/>
              <w:keepLines w:val="0"/>
              <w:keepNext w:val="0"/>
              <w:pageBreakBefore w:val="0"/>
              <w:spacing w:before="156" w:line="240" w:lineRule="auto"/>
              <w:shd w:val="clear" w:color="auto" w:fil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承诺可提供≥76台且＜100台微站，站点勘察到位、布点合理，建设方案科学完整，得</w:t>
            </w:r>
            <w:r>
              <w:rPr>
                <w:rFonts w:hint="eastAsia"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p>
            <w:pPr>
              <w:ind w:firstLine="0"/>
              <w:keepLines w:val="0"/>
              <w:keepNext w:val="0"/>
              <w:pageBreakBefore w:val="0"/>
              <w:spacing w:before="156" w:line="240" w:lineRule="auto"/>
              <w:shd w:val="clear" w:color="auto" w:fil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承诺可提供≥76台且＜100台微站，但站点勘察深度不足、建设方案存在缺项，方案基本可行，得2分；</w:t>
            </w:r>
            <w:r/>
          </w:p>
          <w:p>
            <w:pPr>
              <w:ind w:firstLine="0"/>
              <w:keepLines w:val="0"/>
              <w:keepNext w:val="0"/>
              <w:pageBreakBefore w:val="0"/>
              <w:spacing w:before="156" w:line="240" w:lineRule="auto"/>
              <w:shd w:val="clear" w:color="auto" w:fill="auto"/>
              <w:rPr>
                <w:rFonts w:hint="default"/>
                <w:highlight w:val="none"/>
              </w:rPr>
            </w:pPr>
            <w:r>
              <w:rPr>
                <w:rFonts w:hint="default" w:ascii="Times New Roman" w:hAnsi="Times New Roman" w:eastAsia="宋体" w:cs="Times New Roman"/>
                <w:color w:val="000000"/>
                <w:sz w:val="24"/>
                <w:szCs w:val="24"/>
                <w:highlight w:val="none"/>
              </w:rPr>
              <w:t xml:space="preserve">承诺可提供微站数量＜76台，或未提供站点勘察及建设方案，本项不得分。</w:t>
            </w:r>
            <w:r/>
          </w:p>
        </w:tc>
        <w:tc>
          <w:tcPr>
            <w:tcW w:w="735" w:type="dxa"/>
            <w:vAlign w:val="center"/>
            <w:textDirection w:val="lrTb"/>
            <w:noWrap w:val="false"/>
          </w:tcPr>
          <w:p>
            <w:pPr>
              <w:pStyle w:val="697"/>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w:t>
            </w:r>
            <w:r/>
          </w:p>
        </w:tc>
      </w:tr>
      <w:tr>
        <w:trPr>
          <w:trHeight w:val="90"/>
        </w:trPr>
        <w:tc>
          <w:tcPr>
            <w:tcW w:w="1455" w:type="dxa"/>
            <w:vAlign w:val="center"/>
            <w:textDirection w:val="lrTb"/>
            <w:noWrap w:val="false"/>
          </w:tcPr>
          <w:p>
            <w:pPr>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大气精准管控综合驻场服务</w:t>
            </w:r>
            <w:r/>
          </w:p>
        </w:tc>
        <w:tc>
          <w:tcPr>
            <w:tcW w:w="7202" w:type="dxa"/>
            <w:vAlign w:val="center"/>
            <w:textDirection w:val="lrTb"/>
            <w:noWrap w:val="false"/>
          </w:tcPr>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eastAsia="zh-CN"/>
              </w:rPr>
              <w:t xml:space="preserve">投标人</w:t>
            </w:r>
            <w:r>
              <w:rPr>
                <w:rFonts w:hint="default" w:ascii="Times New Roman" w:hAnsi="Times New Roman" w:eastAsia="宋体" w:cs="Times New Roman"/>
                <w:color w:val="000000"/>
                <w:sz w:val="24"/>
                <w:szCs w:val="24"/>
                <w:highlight w:val="none"/>
              </w:rPr>
              <w:t xml:space="preserve">结合本地大气污染防治需求综合考量</w:t>
            </w:r>
            <w:r>
              <w:rPr>
                <w:rFonts w:hint="eastAsia" w:cs="Times New Roman"/>
                <w:color w:val="000000"/>
                <w:sz w:val="24"/>
                <w:szCs w:val="24"/>
                <w:highlight w:val="none"/>
                <w:lang w:eastAsia="zh-CN"/>
              </w:rPr>
              <w:t xml:space="preserve">，对照驻场工作机制、动态</w:t>
            </w:r>
            <w:r>
              <w:rPr>
                <w:rFonts w:hint="default" w:ascii="Times New Roman" w:hAnsi="Times New Roman" w:eastAsia="宋体" w:cs="Times New Roman"/>
                <w:color w:val="000000"/>
                <w:sz w:val="24"/>
                <w:szCs w:val="24"/>
                <w:highlight w:val="none"/>
              </w:rPr>
              <w:t xml:space="preserve">数据分析研判</w:t>
            </w:r>
            <w:r>
              <w:rPr>
                <w:rFonts w:hint="eastAsia" w:cs="Times New Roman"/>
                <w:color w:val="000000"/>
                <w:sz w:val="24"/>
                <w:szCs w:val="24"/>
                <w:highlight w:val="none"/>
                <w:lang w:eastAsia="zh-CN"/>
              </w:rPr>
              <w:t xml:space="preserve">服务思路</w:t>
            </w:r>
            <w:r>
              <w:rPr>
                <w:rFonts w:hint="default" w:ascii="Times New Roman" w:hAnsi="Times New Roman" w:eastAsia="宋体" w:cs="Times New Roman"/>
                <w:color w:val="000000"/>
                <w:sz w:val="24"/>
                <w:szCs w:val="24"/>
                <w:highlight w:val="none"/>
              </w:rPr>
              <w:t xml:space="preserve">、大气污染</w:t>
            </w:r>
            <w:r>
              <w:rPr>
                <w:rFonts w:hint="eastAsia" w:cs="Times New Roman"/>
                <w:color w:val="000000"/>
                <w:sz w:val="24"/>
                <w:szCs w:val="24"/>
                <w:highlight w:val="none"/>
                <w:lang w:eastAsia="zh-CN"/>
              </w:rPr>
              <w:t xml:space="preserve">分析技术路线</w:t>
            </w:r>
            <w:r>
              <w:rPr>
                <w:rFonts w:hint="eastAsia"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点位精细化溯源</w:t>
            </w:r>
            <w:r>
              <w:rPr>
                <w:rFonts w:hint="eastAsia" w:cs="Times New Roman"/>
                <w:color w:val="000000"/>
                <w:sz w:val="24"/>
                <w:szCs w:val="24"/>
                <w:highlight w:val="none"/>
                <w:lang w:eastAsia="zh-CN"/>
              </w:rPr>
              <w:t xml:space="preserve">技术支撑</w:t>
            </w:r>
            <w:r>
              <w:rPr>
                <w:rFonts w:hint="default" w:ascii="Times New Roman" w:hAnsi="Times New Roman" w:eastAsia="宋体" w:cs="Times New Roman"/>
                <w:color w:val="000000"/>
                <w:sz w:val="24"/>
                <w:szCs w:val="24"/>
                <w:highlight w:val="none"/>
              </w:rPr>
              <w:t xml:space="preserve">等</w:t>
            </w:r>
            <w:r>
              <w:rPr>
                <w:rFonts w:hint="eastAsia" w:cs="Times New Roman"/>
                <w:color w:val="000000"/>
                <w:sz w:val="24"/>
                <w:szCs w:val="24"/>
                <w:highlight w:val="none"/>
                <w:lang w:val="en-US" w:eastAsia="zh-CN"/>
              </w:rPr>
              <w:t xml:space="preserve">4点</w:t>
            </w:r>
            <w:r>
              <w:rPr>
                <w:rFonts w:hint="eastAsia" w:cs="Times New Roman"/>
                <w:color w:val="000000"/>
                <w:sz w:val="24"/>
                <w:szCs w:val="24"/>
                <w:highlight w:val="none"/>
                <w:lang w:eastAsia="zh-CN"/>
              </w:rPr>
              <w:t xml:space="preserve">内容进行梳理，形成技术方案</w:t>
            </w:r>
            <w:r>
              <w:rPr>
                <w:rFonts w:hint="default" w:ascii="Times New Roman" w:hAnsi="Times New Roman" w:eastAsia="宋体" w:cs="Times New Roman"/>
                <w:color w:val="000000"/>
                <w:sz w:val="24"/>
                <w:szCs w:val="24"/>
                <w:highlight w:val="none"/>
              </w:rPr>
              <w:t xml:space="preserve">。</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方案内容，能满足采购文件要求</w:t>
            </w:r>
            <w:r>
              <w:rPr>
                <w:rFonts w:hint="eastAsia" w:cs="Times New Roman"/>
                <w:color w:val="000000"/>
                <w:sz w:val="24"/>
                <w:szCs w:val="24"/>
                <w:highlight w:val="none"/>
                <w:lang w:eastAsia="zh-CN"/>
              </w:rPr>
              <w:t xml:space="preserve">的，</w:t>
            </w:r>
            <w:r>
              <w:rPr>
                <w:rFonts w:hint="default" w:ascii="Times New Roman" w:hAnsi="Times New Roman" w:eastAsia="宋体" w:cs="Times New Roman"/>
                <w:color w:val="000000"/>
                <w:sz w:val="24"/>
                <w:szCs w:val="24"/>
                <w:highlight w:val="none"/>
              </w:rPr>
              <w:t xml:space="preserve">得</w:t>
            </w:r>
            <w:r>
              <w:rPr>
                <w:rFonts w:hint="eastAsia"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以上内容有针对性解释说明，但漏缺1项的，能满足采购文件要求的</w:t>
            </w:r>
            <w:r>
              <w:rPr>
                <w:rFonts w:hint="eastAsia" w:cs="Times New Roman"/>
                <w:color w:val="000000"/>
                <w:sz w:val="24"/>
                <w:szCs w:val="24"/>
                <w:highlight w:val="none"/>
                <w:lang w:eastAsia="zh-CN"/>
              </w:rPr>
              <w:t xml:space="preserve">，得</w:t>
            </w:r>
            <w:r>
              <w:rPr>
                <w:rFonts w:hint="eastAsia" w:cs="Times New Roman"/>
                <w:color w:val="000000"/>
                <w:sz w:val="24"/>
                <w:szCs w:val="24"/>
                <w:highlight w:val="none"/>
                <w:lang w:val="en-US" w:eastAsia="zh-CN"/>
              </w:rPr>
              <w:t xml:space="preserve">6分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以上内容有针对性解释说明，但漏缺</w:t>
            </w:r>
            <w:r>
              <w:rPr>
                <w:rFonts w:hint="eastAsia"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项的，基本满足采购文件要求</w:t>
            </w:r>
            <w:r>
              <w:rPr>
                <w:rFonts w:hint="eastAsia" w:cs="Times New Roman"/>
                <w:color w:val="000000"/>
                <w:sz w:val="24"/>
                <w:szCs w:val="24"/>
                <w:highlight w:val="none"/>
                <w:lang w:eastAsia="zh-CN"/>
              </w:rPr>
              <w:t xml:space="preserve">的，得</w:t>
            </w:r>
            <w:r>
              <w:rPr>
                <w:rFonts w:hint="eastAsia" w:cs="Times New Roman"/>
                <w:color w:val="000000"/>
                <w:sz w:val="24"/>
                <w:szCs w:val="24"/>
                <w:highlight w:val="none"/>
                <w:lang w:val="en-US" w:eastAsia="zh-CN"/>
              </w:rPr>
              <w:t xml:space="preserve">4分。</w:t>
            </w:r>
            <w:r/>
          </w:p>
          <w:p>
            <w:pPr>
              <w:ind w:firstLine="0"/>
              <w:keepLines w:val="0"/>
              <w:keepNext w:val="0"/>
              <w:pageBreakBefore w:val="0"/>
              <w:spacing w:before="156" w:line="240" w:lineRule="auto"/>
              <w:rPr>
                <w:rFonts w:hint="eastAsia"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以上内容没有针对性解释说明或漏缺</w:t>
            </w:r>
            <w:r>
              <w:rPr>
                <w:rFonts w:hint="eastAsia"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项及以上或未提供方案的不得</w:t>
            </w:r>
            <w:r>
              <w:rPr>
                <w:rFonts w:hint="eastAsia" w:cs="Times New Roman"/>
                <w:color w:val="000000"/>
                <w:sz w:val="24"/>
                <w:szCs w:val="24"/>
                <w:highlight w:val="none"/>
                <w:lang w:eastAsia="zh-CN"/>
              </w:rPr>
              <w:t xml:space="preserve">分。</w:t>
            </w:r>
            <w:r/>
          </w:p>
        </w:tc>
        <w:tc>
          <w:tcPr>
            <w:tcW w:w="735" w:type="dxa"/>
            <w:vAlign w:val="center"/>
            <w:textDirection w:val="lrTb"/>
            <w:noWrap w:val="false"/>
          </w:tcPr>
          <w:p>
            <w:pPr>
              <w:pStyle w:val="697"/>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分</w:t>
            </w:r>
            <w:r/>
          </w:p>
        </w:tc>
      </w:tr>
      <w:tr>
        <w:trPr>
          <w:trHeight w:val="99"/>
        </w:trPr>
        <w:tc>
          <w:tcPr>
            <w:tcW w:w="1455" w:type="dxa"/>
            <w:vAlign w:val="center"/>
            <w:textDirection w:val="lrTb"/>
            <w:noWrap w:val="false"/>
          </w:tcPr>
          <w:p>
            <w:pPr>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eastAsia" w:eastAsia="宋体" w:cs="Times New Roman"/>
                <w:color w:val="000000"/>
                <w:sz w:val="24"/>
                <w:szCs w:val="24"/>
                <w:highlight w:val="none"/>
                <w:lang w:eastAsia="zh-CN"/>
              </w:rPr>
              <w:t xml:space="preserve">AI服务</w:t>
            </w:r>
            <w:r/>
          </w:p>
        </w:tc>
        <w:tc>
          <w:tcPr>
            <w:tcW w:w="7202" w:type="dxa"/>
            <w:vAlign w:val="center"/>
            <w:textDirection w:val="lrTb"/>
            <w:noWrap w:val="false"/>
          </w:tcPr>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无人机库建设和运维方案，方案思路完整，建设、运维、安全保障措施针对性强，完全匹配项目现场需求</w:t>
            </w:r>
            <w:r>
              <w:rPr>
                <w:rFonts w:hint="eastAsia"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分；方案基本可行，核心内容具备，但细节一般</w:t>
            </w:r>
            <w:r>
              <w:rPr>
                <w:rFonts w:hint="eastAsia"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分；方案内容简略，关键内容缺失，可行性差不得分。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无人机溯源和监管方案，溯源</w:t>
            </w:r>
            <w:r>
              <w:rPr>
                <w:rFonts w:hint="eastAsia" w:cs="Times New Roman"/>
                <w:color w:val="000000"/>
                <w:sz w:val="24"/>
                <w:szCs w:val="24"/>
                <w:highlight w:val="none"/>
                <w:lang w:eastAsia="zh-CN"/>
              </w:rPr>
              <w:t xml:space="preserve">智能化</w:t>
            </w:r>
            <w:r>
              <w:rPr>
                <w:rFonts w:hint="default" w:ascii="Times New Roman" w:hAnsi="Times New Roman" w:eastAsia="宋体" w:cs="Times New Roman"/>
                <w:color w:val="000000"/>
                <w:sz w:val="24"/>
                <w:szCs w:val="24"/>
                <w:highlight w:val="none"/>
              </w:rPr>
              <w:t xml:space="preserve">，全流程留痕、数据安全、平台对接方案成熟，满足监管业务需求</w:t>
            </w:r>
            <w:r>
              <w:rPr>
                <w:rFonts w:hint="eastAsia"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分；具备基础溯源监管能力，部分功能描述不够细化1分；仅概念描述，无落地监管逻辑，不满足需求不得分。</w:t>
            </w:r>
            <w:r/>
          </w:p>
          <w:p>
            <w:pPr>
              <w:ind w:firstLine="0"/>
              <w:keepLines w:val="0"/>
              <w:keepNext w:val="0"/>
              <w:pageBreakBefore w:val="0"/>
              <w:spacing w:before="156" w:line="240" w:lineRule="auto"/>
              <w:rPr>
                <w:rFonts w:hint="eastAsia"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自动播报服务方案，业务场景覆盖全面，触发策略、推送渠道、内容审核机制完善2分；基础播报功能可实现，场景较少，保障措施简单1分；方案简单空洞，无法满足自动播报业务需求</w:t>
            </w:r>
            <w:r>
              <w:rPr>
                <w:rFonts w:hint="eastAsia" w:cs="Times New Roman"/>
                <w:color w:val="000000"/>
                <w:sz w:val="24"/>
                <w:szCs w:val="24"/>
                <w:highlight w:val="none"/>
                <w:lang w:eastAsia="zh-CN"/>
              </w:rPr>
              <w:t xml:space="preserve">不得分。</w:t>
            </w:r>
            <w:r/>
          </w:p>
        </w:tc>
        <w:tc>
          <w:tcPr>
            <w:tcW w:w="735" w:type="dxa"/>
            <w:vAlign w:val="center"/>
            <w:textDirection w:val="lrTb"/>
            <w:noWrap w:val="false"/>
          </w:tcPr>
          <w:p>
            <w:pPr>
              <w:pStyle w:val="697"/>
              <w:ind w:firstLine="0"/>
              <w:jc w:val="center"/>
              <w:keepLines w:val="0"/>
              <w:keepNext w:val="0"/>
              <w:pageBreakBefore w:val="0"/>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分</w:t>
            </w:r>
            <w:r/>
          </w:p>
        </w:tc>
      </w:tr>
      <w:tr>
        <w:trPr>
          <w:trHeight w:val="99"/>
        </w:trPr>
        <w:tc>
          <w:tcPr>
            <w:tcW w:w="1455" w:type="dxa"/>
            <w:vAlign w:val="center"/>
            <w:textDirection w:val="lrTb"/>
            <w:noWrap w:val="false"/>
          </w:tcPr>
          <w:p>
            <w:pPr>
              <w:ind w:firstLine="0"/>
              <w:jc w:val="center"/>
              <w:keepLines w:val="0"/>
              <w:keepNext w:val="0"/>
              <w:pageBreakBefore w:val="0"/>
              <w:rPr>
                <w:rFonts w:hint="eastAsia" w:cs="Times New Roman"/>
                <w:color w:val="000000"/>
                <w:sz w:val="24"/>
                <w:szCs w:val="24"/>
                <w:highlight w:val="none"/>
                <w:lang w:eastAsia="zh-CN"/>
              </w:rPr>
            </w:pPr>
            <w:r>
              <w:rPr>
                <w:rFonts w:hint="eastAsia" w:cs="Times New Roman"/>
                <w:color w:val="000000"/>
                <w:sz w:val="24"/>
                <w:szCs w:val="24"/>
                <w:highlight w:val="none"/>
                <w:lang w:eastAsia="zh-CN"/>
              </w:rPr>
              <w:t xml:space="preserve">走航车运维服务</w:t>
            </w:r>
            <w:r/>
          </w:p>
        </w:tc>
        <w:tc>
          <w:tcPr>
            <w:tcW w:w="7202" w:type="dxa"/>
            <w:vAlign w:val="center"/>
            <w:textDirection w:val="lrTb"/>
            <w:noWrap w:val="false"/>
          </w:tcPr>
          <w:p>
            <w:pPr>
              <w:ind w:firstLine="0"/>
              <w:keepLines w:val="0"/>
              <w:keepNext w:val="0"/>
              <w:pageBreakBefore w:val="0"/>
              <w:spacing w:before="156" w:line="240" w:lineRule="auto"/>
              <w:shd w:val="clear" w:color="auto" w:fil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投标人</w:t>
            </w:r>
            <w:r>
              <w:rPr>
                <w:rFonts w:hint="eastAsia" w:cs="Times New Roman"/>
                <w:color w:val="000000"/>
                <w:sz w:val="24"/>
                <w:szCs w:val="24"/>
                <w:highlight w:val="none"/>
                <w:lang w:eastAsia="zh-CN"/>
              </w:rPr>
              <w:t xml:space="preserve">围绕</w:t>
            </w:r>
            <w:r>
              <w:rPr>
                <w:rFonts w:hint="default" w:ascii="Times New Roman" w:hAnsi="Times New Roman" w:eastAsia="宋体" w:cs="Times New Roman"/>
                <w:color w:val="000000"/>
                <w:sz w:val="24"/>
                <w:szCs w:val="24"/>
                <w:highlight w:val="none"/>
              </w:rPr>
              <w:t xml:space="preserve">日常运维计划</w:t>
            </w:r>
            <w:r>
              <w:rPr>
                <w:rFonts w:hint="eastAsia" w:cs="Times New Roman"/>
                <w:color w:val="000000"/>
                <w:sz w:val="24"/>
                <w:szCs w:val="24"/>
                <w:highlight w:val="none"/>
                <w:lang w:eastAsia="zh-CN"/>
              </w:rPr>
              <w:t xml:space="preserve">和方法、人员安排和耗材备件、</w:t>
            </w:r>
            <w:r>
              <w:rPr>
                <w:rFonts w:hint="default" w:ascii="Times New Roman" w:hAnsi="Times New Roman" w:eastAsia="宋体" w:cs="Times New Roman"/>
                <w:color w:val="000000"/>
                <w:sz w:val="24"/>
                <w:szCs w:val="24"/>
                <w:highlight w:val="none"/>
              </w:rPr>
              <w:t xml:space="preserve">仪器</w:t>
            </w:r>
            <w:r>
              <w:rPr>
                <w:rFonts w:hint="eastAsia" w:cs="Times New Roman"/>
                <w:color w:val="000000"/>
                <w:sz w:val="24"/>
                <w:szCs w:val="24"/>
                <w:highlight w:val="none"/>
                <w:lang w:eastAsia="zh-CN"/>
              </w:rPr>
              <w:t xml:space="preserve">和车辆</w:t>
            </w:r>
            <w:r>
              <w:rPr>
                <w:rFonts w:hint="default" w:ascii="Times New Roman" w:hAnsi="Times New Roman" w:eastAsia="宋体" w:cs="Times New Roman"/>
                <w:color w:val="000000"/>
                <w:sz w:val="24"/>
                <w:szCs w:val="24"/>
                <w:highlight w:val="none"/>
              </w:rPr>
              <w:t xml:space="preserve">故障解决方案等方面</w:t>
            </w:r>
            <w:r>
              <w:rPr>
                <w:rFonts w:hint="eastAsia" w:cs="Times New Roman"/>
                <w:color w:val="000000"/>
                <w:sz w:val="24"/>
                <w:szCs w:val="24"/>
                <w:highlight w:val="none"/>
                <w:lang w:eastAsia="zh-CN"/>
              </w:rPr>
              <w:t xml:space="preserve">形成服务方案</w:t>
            </w:r>
            <w:r>
              <w:rPr>
                <w:rFonts w:hint="default" w:ascii="Times New Roman" w:hAnsi="Times New Roman" w:eastAsia="宋体" w:cs="Times New Roman"/>
                <w:color w:val="000000"/>
                <w:sz w:val="24"/>
                <w:szCs w:val="24"/>
                <w:highlight w:val="none"/>
              </w:rPr>
              <w:t xml:space="preserve">。</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以上方案内容全面不漏项且有针对性解释说明的，能满足采购文件要求</w:t>
            </w:r>
            <w:r>
              <w:rPr>
                <w:rFonts w:hint="eastAsia" w:cs="Times New Roman"/>
                <w:color w:val="000000"/>
                <w:sz w:val="24"/>
                <w:szCs w:val="24"/>
                <w:highlight w:val="none"/>
                <w:lang w:eastAsia="zh-CN"/>
              </w:rPr>
              <w:t xml:space="preserve">的，</w:t>
            </w:r>
            <w:r>
              <w:rPr>
                <w:rFonts w:hint="default" w:ascii="Times New Roman" w:hAnsi="Times New Roman" w:eastAsia="宋体" w:cs="Times New Roman"/>
                <w:color w:val="000000"/>
                <w:sz w:val="24"/>
                <w:szCs w:val="24"/>
                <w:highlight w:val="none"/>
              </w:rPr>
              <w:t xml:space="preserve">得</w:t>
            </w:r>
            <w:r>
              <w:rPr>
                <w:rFonts w:hint="eastAsia"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以上内容有针对性解释说明，但漏缺1项的，能满足采购文件要求的</w:t>
            </w:r>
            <w:r>
              <w:rPr>
                <w:rFonts w:hint="eastAsia" w:cs="Times New Roman"/>
                <w:color w:val="000000"/>
                <w:sz w:val="24"/>
                <w:szCs w:val="24"/>
                <w:highlight w:val="none"/>
                <w:lang w:eastAsia="zh-CN"/>
              </w:rPr>
              <w:t xml:space="preserve">，得</w:t>
            </w:r>
            <w:r>
              <w:rPr>
                <w:rFonts w:hint="eastAsia" w:cs="Times New Roman"/>
                <w:color w:val="000000"/>
                <w:sz w:val="24"/>
                <w:szCs w:val="24"/>
                <w:highlight w:val="none"/>
                <w:lang w:val="en-US" w:eastAsia="zh-CN"/>
              </w:rPr>
              <w:t xml:space="preserve">4分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以上内容有针对性解释说明，但漏缺</w:t>
            </w:r>
            <w:r>
              <w:rPr>
                <w:rFonts w:hint="eastAsia"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项的，基本满足采购文件要求</w:t>
            </w:r>
            <w:r>
              <w:rPr>
                <w:rFonts w:hint="eastAsia" w:cs="Times New Roman"/>
                <w:color w:val="000000"/>
                <w:sz w:val="24"/>
                <w:szCs w:val="24"/>
                <w:highlight w:val="none"/>
                <w:lang w:eastAsia="zh-CN"/>
              </w:rPr>
              <w:t xml:space="preserve">的，得</w:t>
            </w:r>
            <w:r>
              <w:rPr>
                <w:rFonts w:hint="eastAsia" w:cs="Times New Roman"/>
                <w:color w:val="000000"/>
                <w:sz w:val="24"/>
                <w:szCs w:val="24"/>
                <w:highlight w:val="none"/>
                <w:lang w:val="en-US" w:eastAsia="zh-CN"/>
              </w:rPr>
              <w:t xml:space="preserve">2分。</w:t>
            </w:r>
            <w:r/>
          </w:p>
          <w:p>
            <w:pPr>
              <w:ind w:firstLine="0"/>
              <w:keepLines w:val="0"/>
              <w:keepNext w:val="0"/>
              <w:pageBreakBefore w:val="0"/>
              <w:spacing w:before="156" w:line="24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以上内容没有针对性解释说明或漏缺</w:t>
            </w:r>
            <w:r>
              <w:rPr>
                <w:rFonts w:hint="eastAsia"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项及以上或未提供方案的不得</w:t>
            </w:r>
            <w:r>
              <w:rPr>
                <w:rFonts w:hint="eastAsia" w:cs="Times New Roman"/>
                <w:color w:val="000000"/>
                <w:sz w:val="24"/>
                <w:szCs w:val="24"/>
                <w:highlight w:val="none"/>
                <w:lang w:eastAsia="zh-CN"/>
              </w:rPr>
              <w:t xml:space="preserve">分。</w:t>
            </w:r>
            <w:r/>
          </w:p>
        </w:tc>
        <w:tc>
          <w:tcPr>
            <w:tcW w:w="735" w:type="dxa"/>
            <w:vAlign w:val="center"/>
            <w:textDirection w:val="lrTb"/>
            <w:noWrap w:val="false"/>
          </w:tcPr>
          <w:p>
            <w:pPr>
              <w:pStyle w:val="697"/>
              <w:ind w:firstLine="0"/>
              <w:jc w:val="center"/>
              <w:keepLines w:val="0"/>
              <w:keepNext w:val="0"/>
              <w:pageBreakBefore w:val="0"/>
              <w:rPr>
                <w:rFonts w:hint="default"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6分</w:t>
            </w:r>
            <w:r/>
          </w:p>
        </w:tc>
      </w:tr>
      <w:tr>
        <w:trPr>
          <w:trHeight w:val="99"/>
        </w:trPr>
        <w:tc>
          <w:tcPr>
            <w:tcW w:w="1455" w:type="dxa"/>
            <w:vAlign w:val="center"/>
            <w:textDirection w:val="lrTb"/>
            <w:noWrap w:val="false"/>
          </w:tcPr>
          <w:p>
            <w:pPr>
              <w:ind w:firstLine="0"/>
              <w:jc w:val="center"/>
              <w:keepLines w:val="0"/>
              <w:keepNext w:val="0"/>
              <w:pageBreakBefore w:val="0"/>
              <w:rPr>
                <w:rFonts w:hint="eastAsia" w:cs="Times New Roman"/>
                <w:color w:val="auto"/>
                <w:sz w:val="24"/>
                <w:szCs w:val="24"/>
                <w:highlight w:val="none"/>
                <w:lang w:eastAsia="zh-CN"/>
              </w:rPr>
            </w:pPr>
            <w:r>
              <w:rPr>
                <w:rFonts w:hint="eastAsia" w:cs="Times New Roman"/>
                <w:color w:val="auto"/>
                <w:sz w:val="24"/>
                <w:szCs w:val="24"/>
                <w:highlight w:val="none"/>
                <w:lang w:eastAsia="zh-CN"/>
              </w:rPr>
              <w:t xml:space="preserve">污染物组分监测服务</w:t>
            </w:r>
            <w:r/>
          </w:p>
        </w:tc>
        <w:tc>
          <w:tcPr>
            <w:tcW w:w="7202" w:type="dxa"/>
            <w:vAlign w:val="center"/>
            <w:textDirection w:val="lrTb"/>
            <w:noWrap w:val="false"/>
          </w:tcPr>
          <w:p>
            <w:pPr>
              <w:ind w:firstLine="0"/>
              <w:keepLines w:val="0"/>
              <w:keepNext w:val="0"/>
              <w:pageBreakBefore w:val="0"/>
              <w:spacing w:before="156"/>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w:t>
            </w:r>
            <w:r>
              <w:rPr>
                <w:rFonts w:hint="eastAsia" w:cs="Times New Roman"/>
                <w:color w:val="auto"/>
                <w:sz w:val="24"/>
                <w:szCs w:val="24"/>
                <w:highlight w:val="none"/>
                <w:lang w:eastAsia="zh-CN"/>
              </w:rPr>
              <w:t xml:space="preserve">围绕粒径仪布点和运维、</w:t>
            </w:r>
            <w:r>
              <w:rPr>
                <w:rFonts w:hint="eastAsia" w:cs="Times New Roman"/>
                <w:color w:val="auto"/>
                <w:sz w:val="24"/>
                <w:szCs w:val="24"/>
                <w:highlight w:val="none"/>
                <w:lang w:val="en-US" w:eastAsia="zh-CN"/>
              </w:rPr>
              <w:t xml:space="preserve">VOCs组分解析技术</w:t>
            </w:r>
            <w:r>
              <w:rPr>
                <w:rFonts w:hint="default" w:ascii="Times New Roman" w:hAnsi="Times New Roman" w:eastAsia="宋体" w:cs="Times New Roman"/>
                <w:color w:val="auto"/>
                <w:sz w:val="24"/>
                <w:szCs w:val="24"/>
                <w:highlight w:val="none"/>
              </w:rPr>
              <w:t xml:space="preserve">等形成</w:t>
            </w:r>
            <w:r>
              <w:rPr>
                <w:rFonts w:hint="eastAsia" w:cs="Times New Roman"/>
                <w:color w:val="auto"/>
                <w:sz w:val="24"/>
                <w:szCs w:val="24"/>
                <w:highlight w:val="none"/>
                <w:lang w:eastAsia="zh-CN"/>
              </w:rPr>
              <w:t xml:space="preserve">服务</w:t>
            </w:r>
            <w:r>
              <w:rPr>
                <w:rFonts w:hint="default" w:ascii="Times New Roman" w:hAnsi="Times New Roman" w:eastAsia="宋体" w:cs="Times New Roman"/>
                <w:color w:val="auto"/>
                <w:sz w:val="24"/>
                <w:szCs w:val="24"/>
                <w:highlight w:val="none"/>
              </w:rPr>
              <w:t xml:space="preserve">方案。</w:t>
            </w:r>
            <w:r/>
          </w:p>
          <w:p>
            <w:pPr>
              <w:ind w:firstLine="0"/>
              <w:keepLines w:val="0"/>
              <w:keepNext w:val="0"/>
              <w:pageBreakBefore w:val="0"/>
              <w:spacing w:before="156"/>
              <w:rPr>
                <w:rFonts w:hint="eastAsia"/>
                <w:color w:val="auto"/>
                <w:highlight w:val="none"/>
                <w:lang w:val="en-US" w:eastAsia="zh-CN"/>
              </w:rPr>
            </w:pPr>
            <w:r>
              <w:rPr>
                <w:rFonts w:hint="eastAsia" w:cs="Times New Roman"/>
                <w:color w:val="auto"/>
                <w:sz w:val="24"/>
                <w:szCs w:val="24"/>
                <w:highlight w:val="none"/>
                <w:lang w:eastAsia="zh-CN"/>
              </w:rPr>
              <w:t xml:space="preserve">以上内容全面不漏项且有针对性解释说明的，能满足采购文件要求的，得</w:t>
            </w:r>
            <w:r>
              <w:rPr>
                <w:rFonts w:hint="eastAsia" w:cs="Times New Roman"/>
                <w:color w:val="auto"/>
                <w:sz w:val="24"/>
                <w:szCs w:val="24"/>
                <w:highlight w:val="none"/>
                <w:lang w:val="en-US" w:eastAsia="zh-CN"/>
              </w:rPr>
              <w:t xml:space="preserve">4分；</w:t>
            </w:r>
            <w:r/>
          </w:p>
          <w:p>
            <w:pPr>
              <w:ind w:firstLine="0"/>
              <w:keepLines w:val="0"/>
              <w:keepNext w:val="0"/>
              <w:pageBreakBefore w:val="0"/>
              <w:spacing w:before="156"/>
              <w:rPr>
                <w:rFonts w:hint="default" w:cs="Times New Roman"/>
                <w:color w:val="auto"/>
                <w:sz w:val="24"/>
                <w:szCs w:val="24"/>
                <w:highlight w:val="none"/>
                <w:lang w:val="en-US" w:eastAsia="zh-CN"/>
              </w:rPr>
            </w:pPr>
            <w:r>
              <w:rPr>
                <w:rFonts w:hint="eastAsia" w:cs="Times New Roman"/>
                <w:color w:val="auto"/>
                <w:sz w:val="24"/>
                <w:szCs w:val="24"/>
                <w:highlight w:val="none"/>
                <w:lang w:eastAsia="zh-CN"/>
              </w:rPr>
              <w:t xml:space="preserve">以上内容有针对性解释说明，但方案不完整的，得</w:t>
            </w:r>
            <w:r>
              <w:rPr>
                <w:rFonts w:hint="eastAsia" w:cs="Times New Roman"/>
                <w:color w:val="auto"/>
                <w:sz w:val="24"/>
                <w:szCs w:val="24"/>
                <w:highlight w:val="none"/>
                <w:lang w:val="en-US" w:eastAsia="zh-CN"/>
              </w:rPr>
              <w:t xml:space="preserve">2分；</w:t>
            </w:r>
            <w:r/>
          </w:p>
          <w:p>
            <w:pPr>
              <w:ind w:firstLine="0"/>
              <w:keepLines w:val="0"/>
              <w:keepNext w:val="0"/>
              <w:pageBreakBefore w:val="0"/>
              <w:spacing w:before="156"/>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以上内容没有针对性解释说明，或未提供方案的不得分。</w:t>
            </w:r>
            <w:r/>
          </w:p>
        </w:tc>
        <w:tc>
          <w:tcPr>
            <w:tcW w:w="735" w:type="dxa"/>
            <w:vAlign w:val="center"/>
            <w:textDirection w:val="lrTb"/>
            <w:noWrap w:val="false"/>
          </w:tcPr>
          <w:p>
            <w:pPr>
              <w:pStyle w:val="697"/>
              <w:ind w:firstLine="0"/>
              <w:jc w:val="center"/>
              <w:keepLines w:val="0"/>
              <w:keepNext w:val="0"/>
              <w:pageBreakBefore w:val="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4分</w:t>
            </w:r>
            <w:r/>
          </w:p>
        </w:tc>
      </w:tr>
      <w:tr>
        <w:trPr>
          <w:trHeight w:val="99"/>
        </w:trPr>
        <w:tc>
          <w:tcPr>
            <w:tcW w:w="1455" w:type="dxa"/>
            <w:vAlign w:val="center"/>
            <w:textDirection w:val="lrTb"/>
            <w:noWrap w:val="false"/>
          </w:tcPr>
          <w:p>
            <w:pPr>
              <w:ind w:firstLine="0"/>
              <w:jc w:val="center"/>
              <w:keepLines w:val="0"/>
              <w:keepNext w:val="0"/>
              <w:pageBreakBefore w:val="0"/>
              <w:rPr>
                <w:rFonts w:hint="eastAsia"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污染物动态监测</w:t>
            </w:r>
            <w:r>
              <w:rPr>
                <w:rFonts w:hint="eastAsia" w:cs="Times New Roman"/>
                <w:color w:val="auto"/>
                <w:sz w:val="24"/>
                <w:szCs w:val="24"/>
                <w:highlight w:val="none"/>
                <w:lang w:eastAsia="zh-CN"/>
              </w:rPr>
              <w:t xml:space="preserve">服务</w:t>
            </w:r>
            <w:r/>
          </w:p>
        </w:tc>
        <w:tc>
          <w:tcPr>
            <w:tcW w:w="7202" w:type="dxa"/>
            <w:vAlign w:val="center"/>
            <w:textDirection w:val="lrTb"/>
            <w:noWrap w:val="false"/>
          </w:tcPr>
          <w:p>
            <w:pPr>
              <w:ind w:firstLine="0"/>
              <w:keepLines w:val="0"/>
              <w:keepNext w:val="0"/>
              <w:pageBreakBefore w:val="0"/>
              <w:spacing w:before="156"/>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投标人围绕南通市本地污染源</w:t>
            </w:r>
            <w:r>
              <w:rPr>
                <w:rFonts w:hint="eastAsia" w:cs="Times New Roman"/>
                <w:color w:val="auto"/>
                <w:sz w:val="24"/>
                <w:szCs w:val="24"/>
                <w:highlight w:val="none"/>
                <w:lang w:eastAsia="zh-CN"/>
              </w:rPr>
              <w:t xml:space="preserve">六参数</w:t>
            </w:r>
            <w:r>
              <w:rPr>
                <w:rFonts w:hint="default" w:ascii="Times New Roman" w:hAnsi="Times New Roman" w:eastAsia="宋体" w:cs="Times New Roman"/>
                <w:color w:val="auto"/>
                <w:sz w:val="24"/>
                <w:szCs w:val="24"/>
                <w:highlight w:val="none"/>
              </w:rPr>
              <w:t xml:space="preserve">走航计划、颗粒物激光雷达</w:t>
            </w:r>
            <w:r>
              <w:rPr>
                <w:rFonts w:hint="eastAsia" w:cs="Times New Roman"/>
                <w:color w:val="auto"/>
                <w:sz w:val="24"/>
                <w:szCs w:val="24"/>
                <w:highlight w:val="none"/>
                <w:lang w:eastAsia="zh-CN"/>
              </w:rPr>
              <w:t xml:space="preserve">技术和走航方案等形成服务方案。</w:t>
            </w:r>
            <w:r/>
          </w:p>
          <w:p>
            <w:pPr>
              <w:ind w:firstLine="0"/>
              <w:keepLines w:val="0"/>
              <w:keepNext w:val="0"/>
              <w:pageBreakBefore w:val="0"/>
              <w:spacing w:before="156"/>
              <w:rPr>
                <w:rFonts w:hint="eastAsia"/>
                <w:color w:val="auto"/>
                <w:highlight w:val="none"/>
                <w:lang w:val="en-US" w:eastAsia="zh-CN"/>
              </w:rPr>
            </w:pPr>
            <w:r>
              <w:rPr>
                <w:rFonts w:hint="eastAsia" w:cs="Times New Roman"/>
                <w:color w:val="auto"/>
                <w:sz w:val="24"/>
                <w:szCs w:val="24"/>
                <w:highlight w:val="none"/>
                <w:lang w:eastAsia="zh-CN"/>
              </w:rPr>
              <w:t xml:space="preserve">以上内容全面不漏项且有针对性解释说明的，能满足采购文件要求的，得</w:t>
            </w:r>
            <w:r>
              <w:rPr>
                <w:rFonts w:hint="eastAsia" w:cs="Times New Roman"/>
                <w:color w:val="auto"/>
                <w:sz w:val="24"/>
                <w:szCs w:val="24"/>
                <w:highlight w:val="none"/>
                <w:lang w:val="en-US" w:eastAsia="zh-CN"/>
              </w:rPr>
              <w:t xml:space="preserve">4分；</w:t>
            </w:r>
            <w:r/>
          </w:p>
          <w:p>
            <w:pPr>
              <w:ind w:firstLine="0"/>
              <w:keepLines w:val="0"/>
              <w:keepNext w:val="0"/>
              <w:pageBreakBefore w:val="0"/>
              <w:spacing w:before="156"/>
              <w:rPr>
                <w:rFonts w:hint="default" w:cs="Times New Roman"/>
                <w:color w:val="auto"/>
                <w:sz w:val="24"/>
                <w:szCs w:val="24"/>
                <w:highlight w:val="none"/>
                <w:lang w:val="en-US" w:eastAsia="zh-CN"/>
              </w:rPr>
            </w:pPr>
            <w:r>
              <w:rPr>
                <w:rFonts w:hint="eastAsia" w:cs="Times New Roman"/>
                <w:color w:val="auto"/>
                <w:sz w:val="24"/>
                <w:szCs w:val="24"/>
                <w:highlight w:val="none"/>
                <w:lang w:eastAsia="zh-CN"/>
              </w:rPr>
              <w:t xml:space="preserve">以上内容有针对性解释说明，但方案不完整的，得</w:t>
            </w:r>
            <w:r>
              <w:rPr>
                <w:rFonts w:hint="eastAsia" w:cs="Times New Roman"/>
                <w:color w:val="auto"/>
                <w:sz w:val="24"/>
                <w:szCs w:val="24"/>
                <w:highlight w:val="none"/>
                <w:lang w:val="en-US" w:eastAsia="zh-CN"/>
              </w:rPr>
              <w:t xml:space="preserve">2分；</w:t>
            </w:r>
            <w:r/>
          </w:p>
          <w:p>
            <w:pPr>
              <w:ind w:firstLine="0"/>
              <w:keepLines w:val="0"/>
              <w:keepNext w:val="0"/>
              <w:pageBreakBefore w:val="0"/>
              <w:spacing w:before="156"/>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以上内容没有针对性解释说明，或未提供方案的不得分。</w:t>
            </w:r>
            <w:r/>
          </w:p>
        </w:tc>
        <w:tc>
          <w:tcPr>
            <w:tcW w:w="735" w:type="dxa"/>
            <w:vAlign w:val="center"/>
            <w:textDirection w:val="lrTb"/>
            <w:noWrap w:val="false"/>
          </w:tcPr>
          <w:p>
            <w:pPr>
              <w:pStyle w:val="697"/>
              <w:ind w:firstLine="0"/>
              <w:jc w:val="center"/>
              <w:keepLines w:val="0"/>
              <w:keepNext w:val="0"/>
              <w:pageBreakBefore w:val="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w:t>
            </w:r>
            <w:r/>
          </w:p>
        </w:tc>
      </w:tr>
    </w:tbl>
    <w:p>
      <w:pPr>
        <w:numPr>
          <w:ilvl w:val="0"/>
          <w:numId w:val="2"/>
        </w:numPr>
        <w:jc w:val="center"/>
        <w:spacing w:line="360" w:lineRule="auto"/>
        <w:rPr>
          <w:rFonts w:hint="eastAsia" w:ascii="宋体" w:hAnsi="宋体" w:eastAsia="宋体" w:cs="宋体"/>
          <w:b/>
          <w:color w:val="auto"/>
          <w:sz w:val="36"/>
          <w:szCs w:val="36"/>
          <w:highlight w:val="none"/>
          <w:shd w:val="clear" w:color="auto" w:fill="auto"/>
        </w:rPr>
      </w:pPr>
      <w:r>
        <w:rPr>
          <w:rFonts w:hint="eastAsia" w:ascii="宋体" w:hAnsi="宋体" w:cs="宋体"/>
          <w:b/>
          <w:color w:val="auto"/>
          <w:sz w:val="36"/>
          <w:szCs w:val="36"/>
          <w:highlight w:val="none"/>
        </w:rPr>
        <w:br w:type="page" w:clear="all"/>
      </w:r>
      <w:r>
        <w:rPr>
          <w:rFonts w:hint="eastAsia" w:ascii="宋体" w:hAnsi="宋体" w:eastAsia="宋体" w:cs="宋体"/>
          <w:b/>
          <w:color w:val="auto"/>
          <w:sz w:val="36"/>
          <w:szCs w:val="36"/>
          <w:highlight w:val="none"/>
          <w:shd w:val="clear" w:color="auto" w:fill="auto"/>
        </w:rPr>
        <w:t xml:space="preserve"> 合同格式</w:t>
      </w:r>
      <w:r/>
    </w:p>
    <w:p>
      <w:pPr>
        <w:jc w:val="left"/>
        <w:spacing w:line="240" w:lineRule="auto"/>
        <w:widowControl/>
        <w:rPr>
          <w:rFonts w:hint="eastAsia" w:eastAsia="宋体"/>
          <w:sz w:val="24"/>
          <w:highlight w:val="none"/>
          <w:lang w:eastAsia="zh-CN"/>
        </w:rPr>
      </w:pPr>
      <w:r>
        <w:rPr>
          <w:sz w:val="24"/>
          <w:highlight w:val="none"/>
        </w:rPr>
        <w:t xml:space="preserve">甲方（买方）：</w:t>
      </w:r>
      <w:r>
        <w:rPr>
          <w:rFonts w:hint="eastAsia"/>
          <w:sz w:val="24"/>
          <w:highlight w:val="none"/>
          <w:u w:val="single"/>
          <w:lang w:val="en-US" w:eastAsia="zh-CN"/>
        </w:rPr>
        <w:t xml:space="preserve"> </w:t>
      </w:r>
      <w:r/>
    </w:p>
    <w:p>
      <w:pPr>
        <w:spacing w:line="360" w:lineRule="auto"/>
        <w:rPr>
          <w:rFonts w:hint="default" w:eastAsia="宋体"/>
          <w:sz w:val="24"/>
          <w:highlight w:val="none"/>
          <w:lang w:val="en-US" w:eastAsia="zh-CN"/>
        </w:rPr>
      </w:pPr>
      <w:r>
        <w:rPr>
          <w:sz w:val="24"/>
          <w:highlight w:val="none"/>
        </w:rPr>
        <w:t xml:space="preserve">乙方（卖方）：</w:t>
      </w:r>
      <w:r>
        <w:rPr>
          <w:rFonts w:hint="eastAsia"/>
          <w:bCs/>
          <w:sz w:val="24"/>
          <w:highlight w:val="none"/>
          <w:u w:val="single"/>
          <w:lang w:val="en-US" w:eastAsia="zh-CN"/>
        </w:rPr>
        <w:t xml:space="preserve">     </w:t>
      </w:r>
      <w:r/>
    </w:p>
    <w:p>
      <w:pPr>
        <w:ind w:firstLine="480"/>
        <w:spacing w:line="360" w:lineRule="auto"/>
        <w:rPr>
          <w:sz w:val="24"/>
          <w:highlight w:val="none"/>
        </w:rPr>
      </w:pPr>
      <w:r>
        <w:rPr>
          <w:sz w:val="24"/>
          <w:highlight w:val="none"/>
        </w:rPr>
        <w:t xml:space="preserve">根据《中华人民共和国民法典》《中华人民共和国</w:t>
      </w:r>
      <w:r>
        <w:rPr>
          <w:rFonts w:hint="eastAsia"/>
          <w:sz w:val="24"/>
          <w:highlight w:val="none"/>
        </w:rPr>
        <w:t xml:space="preserve">政府</w:t>
      </w:r>
      <w:r>
        <w:rPr>
          <w:sz w:val="24"/>
          <w:highlight w:val="none"/>
        </w:rPr>
        <w:t xml:space="preserve">采购法》及有关法律规定，遵循平等、自愿、公平和诚实信用的原则，双方就采购项目及有关事项协商一致，签订本合同。</w:t>
      </w:r>
      <w:r/>
    </w:p>
    <w:p>
      <w:pPr>
        <w:ind w:firstLine="482"/>
        <w:spacing w:line="360" w:lineRule="auto"/>
        <w:rPr>
          <w:b/>
          <w:sz w:val="24"/>
          <w:highlight w:val="none"/>
        </w:rPr>
      </w:pPr>
      <w:r>
        <w:rPr>
          <w:b/>
          <w:sz w:val="24"/>
          <w:highlight w:val="none"/>
        </w:rPr>
        <w:t xml:space="preserve">一、项目概况</w:t>
      </w:r>
      <w:r/>
    </w:p>
    <w:p>
      <w:pPr>
        <w:ind w:firstLine="480"/>
        <w:spacing w:line="360" w:lineRule="auto"/>
        <w:rPr>
          <w:sz w:val="24"/>
          <w:highlight w:val="none"/>
        </w:rPr>
      </w:pPr>
      <w:r>
        <w:rPr>
          <w:sz w:val="24"/>
          <w:highlight w:val="none"/>
        </w:rPr>
        <w:t xml:space="preserve">1</w:t>
      </w:r>
      <w:r>
        <w:rPr>
          <w:rFonts w:hint="eastAsia"/>
          <w:sz w:val="24"/>
          <w:highlight w:val="none"/>
        </w:rPr>
        <w:t xml:space="preserve">、</w:t>
      </w:r>
      <w:r>
        <w:rPr>
          <w:sz w:val="24"/>
          <w:highlight w:val="none"/>
        </w:rPr>
        <w:t xml:space="preserve">项目名称：</w:t>
      </w:r>
      <w:r>
        <w:rPr>
          <w:rFonts w:hint="eastAsia"/>
          <w:sz w:val="24"/>
          <w:highlight w:val="none"/>
          <w:u w:val="single"/>
          <w:lang w:eastAsia="zh-CN"/>
        </w:rPr>
        <w:t xml:space="preserve">2026-2027年度南通市大气污染精准治理技术支撑项目</w:t>
      </w:r>
      <w:r>
        <w:rPr>
          <w:rFonts w:hint="eastAsia"/>
          <w:sz w:val="24"/>
          <w:highlight w:val="none"/>
          <w:u w:val="single"/>
        </w:rPr>
        <w:t xml:space="preserve">（项目编号：</w:t>
      </w:r>
      <w:r>
        <w:rPr>
          <w:rFonts w:hint="eastAsia"/>
          <w:sz w:val="24"/>
          <w:highlight w:val="none"/>
          <w:u w:val="single"/>
          <w:lang w:val="en-US" w:eastAsia="zh-CN"/>
        </w:rPr>
        <w:t xml:space="preserve">     </w:t>
      </w:r>
      <w:r>
        <w:rPr>
          <w:rFonts w:hint="eastAsia"/>
          <w:sz w:val="24"/>
          <w:highlight w:val="none"/>
          <w:u w:val="single"/>
        </w:rPr>
        <w:t xml:space="preserve">）</w:t>
      </w:r>
      <w:r/>
    </w:p>
    <w:p>
      <w:pPr>
        <w:ind w:firstLine="480"/>
        <w:spacing w:line="360" w:lineRule="auto"/>
        <w:rPr>
          <w:sz w:val="24"/>
          <w:highlight w:val="none"/>
        </w:rPr>
      </w:pPr>
      <w:r>
        <w:rPr>
          <w:sz w:val="24"/>
          <w:highlight w:val="none"/>
        </w:rPr>
        <w:t xml:space="preserve">2</w:t>
      </w:r>
      <w:r>
        <w:rPr>
          <w:rFonts w:hint="eastAsia"/>
          <w:sz w:val="24"/>
          <w:highlight w:val="none"/>
        </w:rPr>
        <w:t xml:space="preserve">、</w:t>
      </w:r>
      <w:r>
        <w:rPr>
          <w:sz w:val="24"/>
          <w:highlight w:val="none"/>
        </w:rPr>
        <w:t xml:space="preserve">合同标的物和合同价格</w:t>
      </w:r>
      <w:r/>
    </w:p>
    <w:p>
      <w:pPr>
        <w:ind w:firstLine="480"/>
        <w:jc w:val="left"/>
        <w:spacing w:line="360" w:lineRule="auto"/>
        <w:rPr>
          <w:color w:val="000000"/>
          <w:sz w:val="24"/>
          <w:highlight w:val="none"/>
        </w:rPr>
      </w:pPr>
      <w:r>
        <w:rPr>
          <w:sz w:val="24"/>
          <w:highlight w:val="none"/>
        </w:rPr>
        <w:t xml:space="preserve">（1）合同内容：</w:t>
      </w:r>
      <w:r>
        <w:rPr>
          <w:rFonts w:hint="eastAsia"/>
          <w:color w:val="000000"/>
          <w:sz w:val="24"/>
          <w:highlight w:val="none"/>
          <w:u w:val="single"/>
        </w:rPr>
        <w:t xml:space="preserve">详见附件</w:t>
      </w:r>
      <w:r/>
    </w:p>
    <w:p>
      <w:pPr>
        <w:ind w:firstLine="480"/>
        <w:jc w:val="left"/>
        <w:spacing w:line="360" w:lineRule="auto"/>
        <w:tabs>
          <w:tab w:val="left" w:pos="540" w:leader="none"/>
        </w:tabs>
        <w:rPr>
          <w:sz w:val="24"/>
          <w:highlight w:val="none"/>
        </w:rPr>
      </w:pPr>
      <w:r>
        <w:rPr>
          <w:sz w:val="24"/>
          <w:highlight w:val="none"/>
        </w:rPr>
        <w:t xml:space="preserve">（2）合同价格：人民币（大写）</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元</w:t>
      </w:r>
      <w:r>
        <w:rPr>
          <w:sz w:val="24"/>
          <w:highlight w:val="none"/>
        </w:rPr>
        <w:t xml:space="preserve">（小写¥：</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r>
        <w:rPr>
          <w:sz w:val="24"/>
          <w:highlight w:val="none"/>
        </w:rPr>
        <w:t xml:space="preserve">元）。本项目合同价为包干价，包含设备（自有或租用）、车辆、采样费、分析费、报告费用、人工费、交通费、税金等一切费用</w:t>
      </w:r>
      <w:r>
        <w:rPr>
          <w:rFonts w:hint="eastAsia"/>
          <w:sz w:val="24"/>
          <w:highlight w:val="none"/>
        </w:rPr>
        <w:t xml:space="preserve">，</w:t>
      </w:r>
      <w:r>
        <w:rPr>
          <w:sz w:val="24"/>
          <w:highlight w:val="none"/>
        </w:rPr>
        <w:t xml:space="preserve">不论其在招标文件中</w:t>
      </w:r>
      <w:r>
        <w:rPr>
          <w:color w:val="000000"/>
          <w:sz w:val="24"/>
          <w:highlight w:val="none"/>
        </w:rPr>
        <w:t xml:space="preserve">是否提及。</w:t>
      </w:r>
      <w:r>
        <w:rPr>
          <w:sz w:val="24"/>
          <w:highlight w:val="none"/>
        </w:rPr>
        <w:t xml:space="preserve">报价还包含支付给员工的工资和国家规定强制缴纳的各种社会保障资金等。投标人投标时一次包定，采购方不再支付本次招标价格以外的任何费用(采购方要求变更的除外)</w:t>
      </w:r>
      <w:r/>
    </w:p>
    <w:p>
      <w:pPr>
        <w:ind w:firstLine="480"/>
        <w:jc w:val="left"/>
        <w:spacing w:line="360" w:lineRule="auto"/>
        <w:rPr>
          <w:sz w:val="24"/>
          <w:highlight w:val="none"/>
        </w:rPr>
      </w:pPr>
      <w:r>
        <w:rPr>
          <w:sz w:val="24"/>
          <w:highlight w:val="none"/>
        </w:rPr>
        <w:t xml:space="preserve">3</w:t>
      </w:r>
      <w:r>
        <w:rPr>
          <w:rFonts w:hint="eastAsia"/>
          <w:sz w:val="24"/>
          <w:highlight w:val="none"/>
        </w:rPr>
        <w:t xml:space="preserve">、</w:t>
      </w:r>
      <w:r>
        <w:rPr>
          <w:rFonts w:hint="eastAsia"/>
          <w:color w:val="000000"/>
          <w:sz w:val="24"/>
          <w:highlight w:val="none"/>
        </w:rPr>
        <w:t xml:space="preserve">工作内容：</w:t>
      </w:r>
      <w:r>
        <w:rPr>
          <w:rFonts w:hint="eastAsia"/>
          <w:sz w:val="24"/>
          <w:highlight w:val="none"/>
          <w:u w:val="single"/>
        </w:rPr>
        <w:t xml:space="preserve">开展大气污染防控精准溯源服务</w:t>
      </w:r>
      <w:r>
        <w:rPr>
          <w:sz w:val="24"/>
          <w:highlight w:val="none"/>
          <w:u w:val="single"/>
        </w:rPr>
        <w:t xml:space="preserve">，服务内容包括</w:t>
      </w:r>
      <w:r>
        <w:rPr>
          <w:rFonts w:hint="eastAsia"/>
          <w:sz w:val="24"/>
          <w:highlight w:val="none"/>
          <w:u w:val="single"/>
        </w:rPr>
        <w:t xml:space="preserve">大气环境立体监测</w:t>
      </w:r>
      <w:r>
        <w:rPr>
          <w:rFonts w:hint="eastAsia"/>
          <w:sz w:val="24"/>
          <w:highlight w:val="none"/>
          <w:u w:val="single"/>
          <w:lang w:eastAsia="zh-CN"/>
        </w:rPr>
        <w:t xml:space="preserve">、</w:t>
      </w:r>
      <w:r>
        <w:rPr>
          <w:rFonts w:hint="eastAsia"/>
          <w:sz w:val="24"/>
          <w:highlight w:val="none"/>
          <w:u w:val="single"/>
        </w:rPr>
        <w:t xml:space="preserve">智慧AI大数据</w:t>
      </w:r>
      <w:r>
        <w:rPr>
          <w:rFonts w:hint="eastAsia"/>
          <w:sz w:val="24"/>
          <w:highlight w:val="none"/>
          <w:u w:val="single"/>
          <w:lang w:eastAsia="zh-CN"/>
        </w:rPr>
        <w:t xml:space="preserve">、</w:t>
      </w:r>
      <w:r>
        <w:rPr>
          <w:rFonts w:hint="eastAsia"/>
          <w:sz w:val="24"/>
          <w:highlight w:val="none"/>
          <w:u w:val="single"/>
        </w:rPr>
        <w:t xml:space="preserve">污染物动态走航监测</w:t>
      </w:r>
      <w:r>
        <w:rPr>
          <w:rFonts w:hint="eastAsia"/>
          <w:sz w:val="24"/>
          <w:highlight w:val="none"/>
          <w:u w:val="single"/>
          <w:lang w:eastAsia="zh-CN"/>
        </w:rPr>
        <w:t xml:space="preserve">、</w:t>
      </w:r>
      <w:r>
        <w:rPr>
          <w:rFonts w:hint="eastAsia"/>
          <w:sz w:val="24"/>
          <w:highlight w:val="none"/>
          <w:u w:val="single"/>
        </w:rPr>
        <w:t xml:space="preserve">组分和粒径监测</w:t>
      </w:r>
      <w:r>
        <w:rPr>
          <w:rFonts w:hint="eastAsia"/>
          <w:sz w:val="24"/>
          <w:highlight w:val="none"/>
          <w:u w:val="single"/>
          <w:lang w:eastAsia="zh-CN"/>
        </w:rPr>
        <w:t xml:space="preserve">、</w:t>
      </w:r>
      <w:r>
        <w:rPr>
          <w:rFonts w:hint="eastAsia"/>
          <w:sz w:val="24"/>
          <w:highlight w:val="none"/>
          <w:u w:val="single"/>
        </w:rPr>
        <w:t xml:space="preserve">大气精准管控综合驻场等方面</w:t>
      </w:r>
      <w:r>
        <w:rPr>
          <w:sz w:val="24"/>
          <w:highlight w:val="none"/>
          <w:u w:val="single"/>
        </w:rPr>
        <w:t xml:space="preserve">，为南通市大气污染防治管理工作提供科学技术支撑</w:t>
      </w:r>
      <w:r>
        <w:rPr>
          <w:rFonts w:hint="eastAsia"/>
          <w:color w:val="000000"/>
          <w:sz w:val="24"/>
          <w:highlight w:val="none"/>
          <w:u w:val="single"/>
        </w:rPr>
        <w:t xml:space="preserve">。</w:t>
      </w:r>
      <w:r/>
    </w:p>
    <w:p>
      <w:pPr>
        <w:ind w:firstLine="480"/>
        <w:jc w:val="left"/>
        <w:spacing w:line="360" w:lineRule="auto"/>
        <w:rPr>
          <w:sz w:val="24"/>
          <w:highlight w:val="none"/>
        </w:rPr>
      </w:pPr>
      <w:r>
        <w:rPr>
          <w:sz w:val="24"/>
          <w:highlight w:val="none"/>
        </w:rPr>
        <w:t xml:space="preserve">4</w:t>
      </w:r>
      <w:r>
        <w:rPr>
          <w:rFonts w:hint="eastAsia"/>
          <w:sz w:val="24"/>
          <w:highlight w:val="none"/>
        </w:rPr>
        <w:t xml:space="preserve">、</w:t>
      </w:r>
      <w:r>
        <w:rPr>
          <w:sz w:val="24"/>
          <w:highlight w:val="none"/>
        </w:rPr>
        <w:t xml:space="preserve">甲方项目联系人：</w:t>
      </w:r>
      <w:r>
        <w:rPr>
          <w:rFonts w:hint="eastAsia"/>
          <w:sz w:val="24"/>
          <w:highlight w:val="none"/>
          <w:lang w:val="en-US" w:eastAsia="zh-CN"/>
        </w:rPr>
        <w:t xml:space="preserve"> </w:t>
      </w:r>
      <w:r>
        <w:rPr>
          <w:sz w:val="24"/>
          <w:highlight w:val="none"/>
        </w:rPr>
        <w:t xml:space="preserve">（联系方式：</w:t>
      </w:r>
      <w:r>
        <w:rPr>
          <w:rFonts w:hint="eastAsia"/>
          <w:sz w:val="24"/>
          <w:highlight w:val="none"/>
          <w:u w:val="single"/>
          <w:lang w:val="en-US" w:eastAsia="zh-CN"/>
        </w:rPr>
        <w:t xml:space="preserve">   </w:t>
      </w:r>
      <w:r>
        <w:rPr>
          <w:sz w:val="24"/>
          <w:highlight w:val="none"/>
        </w:rPr>
        <w:t xml:space="preserve">）</w:t>
      </w:r>
      <w:r/>
    </w:p>
    <w:p>
      <w:pPr>
        <w:ind w:left="420" w:firstLine="360"/>
        <w:jc w:val="left"/>
        <w:spacing w:line="360" w:lineRule="auto"/>
        <w:rPr>
          <w:sz w:val="24"/>
          <w:highlight w:val="none"/>
        </w:rPr>
      </w:pPr>
      <w:r>
        <w:rPr>
          <w:sz w:val="24"/>
          <w:highlight w:val="none"/>
        </w:rPr>
        <w:t xml:space="preserve">乙方项目负责人：</w:t>
      </w:r>
      <w:r>
        <w:rPr>
          <w:rFonts w:hint="eastAsia"/>
          <w:sz w:val="24"/>
          <w:highlight w:val="none"/>
          <w:u w:val="single"/>
          <w:lang w:val="en-US" w:eastAsia="zh-CN"/>
        </w:rPr>
        <w:t xml:space="preserve">  </w:t>
      </w:r>
      <w:r>
        <w:rPr>
          <w:sz w:val="24"/>
          <w:highlight w:val="none"/>
        </w:rPr>
        <w:t xml:space="preserve">（联系方式：</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r>
        <w:rPr>
          <w:sz w:val="24"/>
          <w:highlight w:val="none"/>
        </w:rPr>
        <w:t xml:space="preserve">）</w:t>
      </w:r>
      <w:r/>
    </w:p>
    <w:p>
      <w:pPr>
        <w:numPr>
          <w:ilvl w:val="0"/>
          <w:numId w:val="3"/>
        </w:numPr>
        <w:ind w:firstLine="480"/>
        <w:spacing w:line="360" w:lineRule="auto"/>
        <w:rPr>
          <w:rFonts w:hint="eastAsia"/>
          <w:highlight w:val="none"/>
          <w:lang w:eastAsia="zh-CN"/>
        </w:rPr>
      </w:pPr>
      <w:r>
        <w:rPr>
          <w:rFonts w:hint="eastAsia"/>
          <w:sz w:val="24"/>
          <w:highlight w:val="none"/>
        </w:rPr>
        <w:t xml:space="preserve">服务期限</w:t>
      </w:r>
      <w:r>
        <w:rPr>
          <w:rFonts w:hint="eastAsia"/>
          <w:sz w:val="24"/>
          <w:highlight w:val="none"/>
          <w:lang w:eastAsia="zh-CN"/>
        </w:rPr>
        <w:t xml:space="preserve">自</w:t>
      </w:r>
      <w:r>
        <w:rPr>
          <w:rFonts w:hint="eastAsia"/>
          <w:sz w:val="24"/>
          <w:highlight w:val="none"/>
          <w:u w:val="single"/>
          <w:lang w:val="en-US" w:eastAsia="zh-CN"/>
        </w:rPr>
        <w:t xml:space="preserve">  </w:t>
      </w:r>
      <w:r>
        <w:rPr>
          <w:rFonts w:hint="eastAsia"/>
          <w:sz w:val="24"/>
          <w:highlight w:val="none"/>
          <w:u w:val="none"/>
        </w:rPr>
        <w:t xml:space="preserve">年</w:t>
      </w:r>
      <w:r>
        <w:rPr>
          <w:rFonts w:hint="eastAsia"/>
          <w:sz w:val="24"/>
          <w:highlight w:val="none"/>
          <w:u w:val="single"/>
          <w:lang w:val="en-US" w:eastAsia="zh-CN"/>
        </w:rPr>
        <w:t xml:space="preserve">  </w:t>
      </w:r>
      <w:r>
        <w:rPr>
          <w:rFonts w:hint="eastAsia"/>
          <w:sz w:val="24"/>
          <w:highlight w:val="none"/>
          <w:u w:val="none"/>
        </w:rPr>
        <w:t xml:space="preserve">月</w:t>
      </w:r>
      <w:r>
        <w:rPr>
          <w:rFonts w:hint="eastAsia"/>
          <w:sz w:val="24"/>
          <w:highlight w:val="none"/>
          <w:u w:val="single"/>
          <w:lang w:val="en-US" w:eastAsia="zh-CN"/>
        </w:rPr>
        <w:t xml:space="preserve">  </w:t>
      </w:r>
      <w:r>
        <w:rPr>
          <w:rFonts w:hint="eastAsia"/>
          <w:sz w:val="24"/>
          <w:highlight w:val="none"/>
          <w:u w:val="none"/>
        </w:rPr>
        <w:t xml:space="preserve">日</w:t>
      </w:r>
      <w:r>
        <w:rPr>
          <w:rFonts w:hint="eastAsia"/>
          <w:sz w:val="24"/>
          <w:highlight w:val="none"/>
          <w:u w:val="none"/>
          <w:lang w:eastAsia="zh-CN"/>
        </w:rPr>
        <w:t xml:space="preserve">至</w:t>
      </w:r>
      <w:r>
        <w:rPr>
          <w:rFonts w:hint="eastAsia"/>
          <w:sz w:val="24"/>
          <w:highlight w:val="none"/>
          <w:u w:val="single"/>
          <w:lang w:val="en-US" w:eastAsia="zh-CN"/>
        </w:rPr>
        <w:t xml:space="preserve">  </w:t>
      </w:r>
      <w:r>
        <w:rPr>
          <w:rFonts w:hint="eastAsia"/>
          <w:sz w:val="24"/>
          <w:highlight w:val="none"/>
          <w:u w:val="none"/>
        </w:rPr>
        <w:t xml:space="preserve">年</w:t>
      </w:r>
      <w:r>
        <w:rPr>
          <w:rFonts w:hint="eastAsia"/>
          <w:sz w:val="24"/>
          <w:highlight w:val="none"/>
          <w:u w:val="single"/>
          <w:lang w:val="en-US" w:eastAsia="zh-CN"/>
        </w:rPr>
        <w:t xml:space="preserve">  </w:t>
      </w:r>
      <w:r>
        <w:rPr>
          <w:rFonts w:hint="eastAsia"/>
          <w:sz w:val="24"/>
          <w:highlight w:val="none"/>
          <w:u w:val="none"/>
        </w:rPr>
        <w:t xml:space="preserve">月</w:t>
      </w:r>
      <w:r>
        <w:rPr>
          <w:rFonts w:hint="eastAsia"/>
          <w:sz w:val="24"/>
          <w:highlight w:val="none"/>
          <w:u w:val="single"/>
          <w:lang w:val="en-US" w:eastAsia="zh-CN"/>
        </w:rPr>
        <w:t xml:space="preserve">  </w:t>
      </w:r>
      <w:r>
        <w:rPr>
          <w:rFonts w:hint="eastAsia"/>
          <w:sz w:val="24"/>
          <w:highlight w:val="none"/>
          <w:u w:val="none"/>
        </w:rPr>
        <w:t xml:space="preserve">日</w:t>
      </w:r>
      <w:r>
        <w:rPr>
          <w:rFonts w:hint="eastAsia"/>
          <w:sz w:val="24"/>
          <w:highlight w:val="none"/>
          <w:u w:val="none"/>
          <w:lang w:eastAsia="zh-CN"/>
        </w:rPr>
        <w:t xml:space="preserve">止</w:t>
      </w:r>
      <w:r/>
    </w:p>
    <w:p>
      <w:pPr>
        <w:numPr>
          <w:ilvl w:val="0"/>
          <w:numId w:val="3"/>
        </w:numPr>
        <w:ind w:left="0" w:firstLine="480"/>
        <w:jc w:val="left"/>
        <w:spacing w:line="360" w:lineRule="auto"/>
        <w:rPr>
          <w:rFonts w:hint="eastAsia"/>
          <w:sz w:val="24"/>
          <w:highlight w:val="none"/>
          <w:u w:val="none"/>
          <w:lang w:eastAsia="zh-CN"/>
        </w:rPr>
      </w:pPr>
      <w:r>
        <w:rPr>
          <w:rFonts w:hint="eastAsia"/>
          <w:sz w:val="24"/>
          <w:highlight w:val="none"/>
          <w:lang w:val="en-US" w:eastAsia="zh-CN"/>
        </w:rPr>
        <w:t xml:space="preserve">履约地点：南通</w:t>
      </w:r>
      <w:r/>
    </w:p>
    <w:p>
      <w:pPr>
        <w:rPr>
          <w:rFonts w:hint="eastAsia"/>
          <w:highlight w:val="none"/>
          <w:lang w:eastAsia="zh-CN"/>
        </w:rPr>
      </w:pPr>
      <w:r>
        <w:rPr>
          <w:rFonts w:hint="eastAsia"/>
          <w:highlight w:val="none"/>
          <w:lang w:eastAsia="zh-CN"/>
        </w:rPr>
      </w:r>
      <w:r/>
    </w:p>
    <w:p>
      <w:pPr>
        <w:ind w:firstLine="482"/>
        <w:spacing w:line="360" w:lineRule="auto"/>
        <w:rPr>
          <w:b/>
          <w:sz w:val="24"/>
          <w:highlight w:val="none"/>
        </w:rPr>
      </w:pPr>
      <w:r>
        <w:rPr>
          <w:b/>
          <w:sz w:val="24"/>
          <w:highlight w:val="none"/>
        </w:rPr>
        <w:t xml:space="preserve">二、合同构成</w:t>
      </w:r>
      <w:r/>
    </w:p>
    <w:p>
      <w:pPr>
        <w:ind w:firstLine="480"/>
        <w:jc w:val="left"/>
        <w:spacing w:line="360" w:lineRule="auto"/>
        <w:rPr>
          <w:sz w:val="24"/>
          <w:highlight w:val="none"/>
        </w:rPr>
      </w:pPr>
      <w:r>
        <w:rPr>
          <w:rFonts w:hint="eastAsia"/>
          <w:sz w:val="24"/>
          <w:highlight w:val="none"/>
        </w:rPr>
        <w:t xml:space="preserve">1、</w:t>
      </w:r>
      <w:r>
        <w:rPr>
          <w:sz w:val="24"/>
          <w:highlight w:val="none"/>
        </w:rPr>
        <w:t xml:space="preserve">本合同书；</w:t>
      </w:r>
      <w:r/>
    </w:p>
    <w:p>
      <w:pPr>
        <w:ind w:firstLine="480"/>
        <w:jc w:val="left"/>
        <w:spacing w:line="360" w:lineRule="auto"/>
        <w:rPr>
          <w:sz w:val="24"/>
          <w:highlight w:val="none"/>
        </w:rPr>
      </w:pPr>
      <w:r>
        <w:rPr>
          <w:rFonts w:hint="eastAsia"/>
          <w:sz w:val="24"/>
          <w:highlight w:val="none"/>
        </w:rPr>
        <w:t xml:space="preserve">2、</w:t>
      </w:r>
      <w:r>
        <w:rPr>
          <w:sz w:val="24"/>
          <w:highlight w:val="none"/>
        </w:rPr>
        <w:t xml:space="preserve">中标通知书；</w:t>
      </w:r>
      <w:r/>
    </w:p>
    <w:p>
      <w:pPr>
        <w:ind w:firstLine="480"/>
        <w:jc w:val="left"/>
        <w:spacing w:line="360" w:lineRule="auto"/>
        <w:rPr>
          <w:sz w:val="24"/>
          <w:highlight w:val="none"/>
        </w:rPr>
      </w:pPr>
      <w:r>
        <w:rPr>
          <w:rFonts w:hint="eastAsia"/>
          <w:sz w:val="24"/>
          <w:highlight w:val="none"/>
        </w:rPr>
        <w:t xml:space="preserve">3、</w:t>
      </w:r>
      <w:r>
        <w:rPr>
          <w:sz w:val="24"/>
          <w:highlight w:val="none"/>
        </w:rPr>
        <w:t xml:space="preserve">招标文件；</w:t>
      </w:r>
      <w:r/>
    </w:p>
    <w:p>
      <w:pPr>
        <w:ind w:firstLine="480"/>
        <w:jc w:val="left"/>
        <w:spacing w:line="360" w:lineRule="auto"/>
        <w:rPr>
          <w:sz w:val="24"/>
          <w:highlight w:val="none"/>
        </w:rPr>
      </w:pPr>
      <w:r>
        <w:rPr>
          <w:rFonts w:hint="eastAsia"/>
          <w:sz w:val="24"/>
          <w:highlight w:val="none"/>
        </w:rPr>
        <w:t xml:space="preserve">4、</w:t>
      </w:r>
      <w:r>
        <w:rPr>
          <w:sz w:val="24"/>
          <w:highlight w:val="none"/>
        </w:rPr>
        <w:t xml:space="preserve">投标文件；</w:t>
      </w:r>
      <w:r/>
    </w:p>
    <w:p>
      <w:pPr>
        <w:ind w:firstLine="480"/>
        <w:jc w:val="left"/>
        <w:spacing w:line="360" w:lineRule="auto"/>
        <w:rPr>
          <w:sz w:val="24"/>
          <w:highlight w:val="none"/>
        </w:rPr>
      </w:pPr>
      <w:r>
        <w:rPr>
          <w:rFonts w:hint="eastAsia"/>
          <w:sz w:val="24"/>
          <w:highlight w:val="none"/>
        </w:rPr>
        <w:t xml:space="preserve">5、</w:t>
      </w:r>
      <w:r>
        <w:rPr>
          <w:sz w:val="24"/>
          <w:highlight w:val="none"/>
        </w:rPr>
        <w:t xml:space="preserve">经双方协商一致达成的补充协议；</w:t>
      </w:r>
      <w:r/>
    </w:p>
    <w:p>
      <w:pPr>
        <w:ind w:firstLine="480"/>
        <w:jc w:val="left"/>
        <w:spacing w:line="360" w:lineRule="auto"/>
        <w:rPr>
          <w:sz w:val="24"/>
          <w:highlight w:val="none"/>
        </w:rPr>
      </w:pPr>
      <w:r>
        <w:rPr>
          <w:rFonts w:hint="eastAsia"/>
          <w:sz w:val="24"/>
          <w:highlight w:val="none"/>
        </w:rPr>
        <w:t xml:space="preserve">6、</w:t>
      </w:r>
      <w:r>
        <w:rPr>
          <w:sz w:val="24"/>
          <w:highlight w:val="none"/>
        </w:rPr>
        <w:t xml:space="preserve">乙方在招投标过程中所作的其他承诺、声明、书面澄清等。</w:t>
      </w:r>
      <w:r/>
    </w:p>
    <w:p>
      <w:pPr>
        <w:ind w:firstLine="482"/>
        <w:jc w:val="left"/>
        <w:spacing w:line="360" w:lineRule="auto"/>
        <w:rPr>
          <w:b/>
          <w:sz w:val="24"/>
          <w:szCs w:val="21"/>
          <w:highlight w:val="none"/>
        </w:rPr>
      </w:pPr>
      <w:r>
        <w:rPr>
          <w:b/>
          <w:sz w:val="24"/>
          <w:highlight w:val="none"/>
        </w:rPr>
        <w:t xml:space="preserve">三、</w:t>
      </w:r>
      <w:r>
        <w:rPr>
          <w:b/>
          <w:sz w:val="24"/>
          <w:szCs w:val="21"/>
          <w:highlight w:val="none"/>
        </w:rPr>
        <w:t xml:space="preserve">甲乙双方工作要求</w:t>
      </w:r>
      <w:r/>
    </w:p>
    <w:p>
      <w:pPr>
        <w:ind w:firstLine="480"/>
        <w:jc w:val="left"/>
        <w:spacing w:line="360" w:lineRule="auto"/>
        <w:rPr>
          <w:sz w:val="24"/>
          <w:szCs w:val="21"/>
          <w:highlight w:val="none"/>
        </w:rPr>
      </w:pPr>
      <w:r>
        <w:rPr>
          <w:sz w:val="24"/>
          <w:szCs w:val="21"/>
          <w:highlight w:val="none"/>
        </w:rPr>
        <w:t xml:space="preserve">1、甲方应向乙方提供相关信息。</w:t>
      </w:r>
      <w:r/>
    </w:p>
    <w:p>
      <w:pPr>
        <w:ind w:firstLine="480"/>
        <w:jc w:val="left"/>
        <w:spacing w:line="360" w:lineRule="auto"/>
        <w:rPr>
          <w:sz w:val="24"/>
          <w:szCs w:val="21"/>
          <w:highlight w:val="none"/>
        </w:rPr>
      </w:pPr>
      <w:r>
        <w:rPr>
          <w:sz w:val="24"/>
          <w:szCs w:val="21"/>
          <w:highlight w:val="none"/>
        </w:rPr>
        <w:t xml:space="preserve">2</w:t>
      </w:r>
      <w:r>
        <w:rPr>
          <w:rFonts w:hint="eastAsia"/>
          <w:sz w:val="24"/>
          <w:szCs w:val="21"/>
          <w:highlight w:val="none"/>
        </w:rPr>
        <w:t xml:space="preserve">、乙方应按甲方要求的时间、频次、服务项目等完成工作。</w:t>
      </w:r>
      <w:r/>
    </w:p>
    <w:p>
      <w:pPr>
        <w:ind w:firstLine="480"/>
        <w:jc w:val="left"/>
        <w:spacing w:line="360" w:lineRule="auto"/>
        <w:rPr>
          <w:sz w:val="24"/>
          <w:szCs w:val="21"/>
          <w:highlight w:val="none"/>
        </w:rPr>
      </w:pPr>
      <w:r>
        <w:rPr>
          <w:sz w:val="24"/>
          <w:szCs w:val="21"/>
          <w:highlight w:val="none"/>
        </w:rPr>
        <w:t xml:space="preserve">3</w:t>
      </w:r>
      <w:r>
        <w:rPr>
          <w:rFonts w:hint="eastAsia"/>
          <w:sz w:val="24"/>
          <w:szCs w:val="21"/>
          <w:highlight w:val="none"/>
        </w:rPr>
        <w:t xml:space="preserve">、乙方按甲方提供的要求和时间节点出具</w:t>
      </w:r>
      <w:r>
        <w:rPr>
          <w:rFonts w:hint="eastAsia" w:ascii="宋体" w:hAnsi="宋体" w:cs="仿宋"/>
          <w:sz w:val="24"/>
          <w:highlight w:val="none"/>
        </w:rPr>
        <w:t xml:space="preserve">意见</w:t>
      </w:r>
      <w:r>
        <w:rPr>
          <w:rFonts w:hint="eastAsia"/>
          <w:sz w:val="24"/>
          <w:szCs w:val="21"/>
          <w:highlight w:val="none"/>
        </w:rPr>
        <w:t xml:space="preserve">报告，报告直接反馈甲方，乙方</w:t>
      </w:r>
      <w:r>
        <w:rPr>
          <w:rFonts w:hint="eastAsia" w:ascii="宋体" w:hAnsi="宋体" w:cs="仿宋"/>
          <w:sz w:val="24"/>
          <w:highlight w:val="none"/>
        </w:rPr>
        <w:t xml:space="preserve">对评审意见负责。</w:t>
      </w:r>
      <w:r/>
    </w:p>
    <w:p>
      <w:pPr>
        <w:ind w:firstLine="480"/>
        <w:spacing w:line="360" w:lineRule="auto"/>
        <w:rPr>
          <w:sz w:val="24"/>
          <w:highlight w:val="none"/>
        </w:rPr>
      </w:pPr>
      <w:r>
        <w:rPr>
          <w:sz w:val="24"/>
          <w:szCs w:val="21"/>
          <w:highlight w:val="none"/>
        </w:rPr>
        <w:t xml:space="preserve">4</w:t>
      </w:r>
      <w:r>
        <w:rPr>
          <w:rFonts w:hint="eastAsia"/>
          <w:sz w:val="24"/>
          <w:szCs w:val="21"/>
          <w:highlight w:val="none"/>
        </w:rPr>
        <w:t xml:space="preserve">、甲方有权对乙方的评审、指导工作及人员、环境、设备、质量体系等进行监督，乙方须无条件更换不能胜任相关工作的人员。</w:t>
      </w:r>
      <w:r/>
    </w:p>
    <w:p>
      <w:pPr>
        <w:ind w:firstLine="482"/>
        <w:spacing w:line="360" w:lineRule="auto"/>
        <w:rPr>
          <w:b/>
          <w:sz w:val="24"/>
          <w:highlight w:val="none"/>
        </w:rPr>
      </w:pPr>
      <w:r>
        <w:rPr>
          <w:b/>
          <w:sz w:val="24"/>
          <w:highlight w:val="none"/>
        </w:rPr>
        <w:t xml:space="preserve">四、</w:t>
      </w:r>
      <w:r>
        <w:rPr>
          <w:rFonts w:hint="eastAsia"/>
          <w:b/>
          <w:sz w:val="24"/>
          <w:highlight w:val="none"/>
        </w:rPr>
        <w:t xml:space="preserve">报酬支付</w:t>
      </w:r>
      <w:r/>
    </w:p>
    <w:p>
      <w:pPr>
        <w:pStyle w:val="701"/>
        <w:ind w:firstLine="480"/>
        <w:spacing w:line="360" w:lineRule="auto"/>
        <w:tabs>
          <w:tab w:val="left" w:pos="2020" w:leader="none"/>
          <w:tab w:val="center" w:pos="4535" w:leader="none"/>
        </w:tabs>
        <w:rPr>
          <w:rFonts w:ascii="Times New Roman" w:hAnsi="Times New Roman" w:eastAsia="宋体"/>
          <w:bCs w:val="0"/>
          <w:color w:val="auto"/>
          <w:sz w:val="24"/>
          <w:szCs w:val="21"/>
          <w:highlight w:val="none"/>
          <w:u w:val="none"/>
        </w:rPr>
      </w:pPr>
      <w:r>
        <w:rPr>
          <w:rFonts w:hint="eastAsia" w:ascii="Times New Roman" w:hAnsi="Times New Roman" w:eastAsia="宋体"/>
          <w:bCs w:val="0"/>
          <w:color w:val="auto"/>
          <w:sz w:val="24"/>
          <w:szCs w:val="21"/>
          <w:highlight w:val="none"/>
          <w:u w:val="none"/>
        </w:rPr>
        <w:t xml:space="preserve">1、本合同项下所有款项均以人民币支付。</w:t>
      </w:r>
      <w:r/>
    </w:p>
    <w:p>
      <w:pPr>
        <w:pStyle w:val="701"/>
        <w:ind w:firstLine="480"/>
        <w:spacing w:line="360" w:lineRule="auto"/>
        <w:tabs>
          <w:tab w:val="left" w:pos="2020" w:leader="none"/>
          <w:tab w:val="center" w:pos="4535" w:leader="none"/>
        </w:tabs>
        <w:rPr>
          <w:rFonts w:ascii="Times New Roman" w:hAnsi="Times New Roman" w:eastAsia="宋体"/>
          <w:bCs w:val="0"/>
          <w:color w:val="auto"/>
          <w:sz w:val="24"/>
          <w:szCs w:val="21"/>
          <w:highlight w:val="none"/>
          <w:u w:val="none"/>
        </w:rPr>
      </w:pPr>
      <w:r>
        <w:rPr>
          <w:rFonts w:hint="eastAsia" w:ascii="Times New Roman" w:hAnsi="Times New Roman" w:eastAsia="宋体"/>
          <w:bCs w:val="0"/>
          <w:color w:val="auto"/>
          <w:sz w:val="24"/>
          <w:szCs w:val="21"/>
          <w:highlight w:val="none"/>
          <w:u w:val="none"/>
        </w:rPr>
        <w:t xml:space="preserve">2、本合同项下的采购资金由甲方支付，付款前乙方向甲方开具发票。</w:t>
      </w:r>
      <w:r/>
    </w:p>
    <w:p>
      <w:pPr>
        <w:pStyle w:val="701"/>
        <w:ind w:firstLine="480"/>
        <w:spacing w:line="360" w:lineRule="auto"/>
        <w:tabs>
          <w:tab w:val="left" w:pos="2020" w:leader="none"/>
          <w:tab w:val="center" w:pos="4535" w:leader="none"/>
        </w:tabs>
        <w:rPr>
          <w:rFonts w:hint="eastAsia" w:ascii="Times New Roman" w:hAnsi="Times New Roman" w:eastAsia="宋体"/>
          <w:bCs w:val="0"/>
          <w:color w:val="auto"/>
          <w:sz w:val="24"/>
          <w:szCs w:val="21"/>
          <w:highlight w:val="none"/>
          <w:u w:val="none"/>
        </w:rPr>
      </w:pPr>
      <w:r>
        <w:rPr>
          <w:rFonts w:hint="eastAsia" w:ascii="Times New Roman" w:hAnsi="Times New Roman" w:eastAsia="宋体"/>
          <w:bCs w:val="0"/>
          <w:color w:val="auto"/>
          <w:sz w:val="24"/>
          <w:szCs w:val="21"/>
          <w:highlight w:val="none"/>
          <w:u w:val="none"/>
        </w:rPr>
        <w:t xml:space="preserve">3、合同签订后十个工作日内，采购人向中标人支付合同总额的30%作为首付款；中标人提供阶段性评估报告，项目通过中期验收后十个工作日内，采购人向中标人支付合同总额的30%；中标人提供总结性评估报告，项目通过终期验收后十个工作日内，采购人向中标人支付合同总额的40%。</w:t>
      </w:r>
      <w:r/>
    </w:p>
    <w:p>
      <w:pPr>
        <w:ind w:firstLine="480"/>
        <w:jc w:val="left"/>
        <w:spacing w:line="360" w:lineRule="auto"/>
        <w:rPr>
          <w:color w:val="000000"/>
          <w:sz w:val="24"/>
          <w:highlight w:val="none"/>
        </w:rPr>
      </w:pPr>
      <w:r>
        <w:rPr>
          <w:color w:val="000000"/>
          <w:sz w:val="24"/>
          <w:highlight w:val="none"/>
        </w:rPr>
        <w:t xml:space="preserve">乙方开户银行名称和</w:t>
      </w:r>
      <w:r>
        <w:rPr>
          <w:rFonts w:hint="eastAsia"/>
          <w:color w:val="000000"/>
          <w:sz w:val="24"/>
          <w:highlight w:val="none"/>
        </w:rPr>
        <w:t xml:space="preserve">账</w:t>
      </w:r>
      <w:r>
        <w:rPr>
          <w:color w:val="000000"/>
          <w:sz w:val="24"/>
          <w:highlight w:val="none"/>
        </w:rPr>
        <w:t xml:space="preserve">号</w:t>
      </w:r>
      <w:r/>
    </w:p>
    <w:p>
      <w:pPr>
        <w:ind w:firstLine="480"/>
        <w:jc w:val="left"/>
        <w:spacing w:line="360" w:lineRule="auto"/>
        <w:rPr>
          <w:rFonts w:hint="default" w:ascii="宋体" w:hAnsi="宋体" w:eastAsia="宋体" w:cs="仿宋"/>
          <w:sz w:val="24"/>
          <w:highlight w:val="none"/>
          <w:u w:val="single"/>
          <w:lang w:val="en-US" w:eastAsia="zh-CN"/>
        </w:rPr>
      </w:pPr>
      <w:r>
        <w:rPr>
          <w:rFonts w:hint="eastAsia" w:ascii="宋体" w:hAnsi="宋体" w:cs="仿宋"/>
          <w:sz w:val="24"/>
          <w:highlight w:val="none"/>
        </w:rPr>
        <w:t xml:space="preserve">户名：</w:t>
      </w:r>
      <w:r>
        <w:rPr>
          <w:rFonts w:hint="eastAsia" w:ascii="宋体" w:hAnsi="宋体" w:cs="仿宋"/>
          <w:sz w:val="24"/>
          <w:highlight w:val="none"/>
          <w:u w:val="single"/>
        </w:rPr>
        <w:t xml:space="preserve"> </w:t>
      </w:r>
      <w:r>
        <w:rPr>
          <w:rFonts w:hint="eastAsia" w:ascii="宋体" w:hAnsi="宋体" w:cs="仿宋"/>
          <w:sz w:val="24"/>
          <w:highlight w:val="none"/>
          <w:u w:val="single"/>
          <w:lang w:val="en-US" w:eastAsia="zh-CN"/>
        </w:rPr>
        <w:t xml:space="preserve">    </w:t>
      </w:r>
      <w:r/>
    </w:p>
    <w:p>
      <w:pPr>
        <w:ind w:firstLine="480"/>
        <w:jc w:val="left"/>
        <w:spacing w:line="360" w:lineRule="auto"/>
        <w:rPr>
          <w:rFonts w:hint="eastAsia" w:ascii="宋体" w:hAnsi="宋体" w:eastAsia="宋体" w:cs="仿宋"/>
          <w:sz w:val="24"/>
          <w:highlight w:val="none"/>
          <w:u w:val="single"/>
          <w:lang w:eastAsia="zh-CN"/>
        </w:rPr>
      </w:pPr>
      <w:r>
        <w:rPr>
          <w:rFonts w:hint="eastAsia" w:ascii="宋体" w:hAnsi="宋体" w:cs="仿宋"/>
          <w:sz w:val="24"/>
          <w:highlight w:val="none"/>
        </w:rPr>
        <w:t xml:space="preserve">账号：</w:t>
      </w:r>
      <w:r>
        <w:rPr>
          <w:rFonts w:hint="eastAsia" w:ascii="宋体" w:hAnsi="宋体" w:cs="仿宋"/>
          <w:sz w:val="24"/>
          <w:highlight w:val="none"/>
          <w:u w:val="single"/>
          <w:lang w:val="en-US" w:eastAsia="zh-CN"/>
        </w:rPr>
        <w:t xml:space="preserve"> </w:t>
      </w:r>
      <w:r/>
    </w:p>
    <w:p>
      <w:pPr>
        <w:pStyle w:val="701"/>
        <w:ind w:firstLine="480"/>
        <w:jc w:val="left"/>
        <w:spacing w:line="360" w:lineRule="auto"/>
        <w:tabs>
          <w:tab w:val="left" w:pos="2020" w:leader="none"/>
          <w:tab w:val="center" w:pos="4535" w:leader="none"/>
        </w:tabs>
        <w:rPr>
          <w:rFonts w:hint="eastAsia" w:ascii="宋体" w:eastAsia="宋体" w:cs="仿宋"/>
          <w:bCs w:val="0"/>
          <w:color w:val="auto"/>
          <w:sz w:val="24"/>
          <w:highlight w:val="none"/>
          <w:u w:val="single"/>
          <w:lang w:eastAsia="zh-CN"/>
        </w:rPr>
        <w:outlineLvl w:val="9"/>
      </w:pPr>
      <w:r>
        <w:rPr>
          <w:rFonts w:hint="eastAsia" w:ascii="宋体" w:eastAsia="宋体" w:cs="仿宋"/>
          <w:bCs w:val="0"/>
          <w:color w:val="auto"/>
          <w:sz w:val="24"/>
          <w:highlight w:val="none"/>
          <w:u w:val="single"/>
        </w:rPr>
        <w:t xml:space="preserve">开户银行：</w:t>
      </w:r>
      <w:r>
        <w:rPr>
          <w:rFonts w:hint="eastAsia" w:ascii="宋体" w:eastAsia="宋体" w:cs="仿宋"/>
          <w:bCs w:val="0"/>
          <w:color w:val="auto"/>
          <w:sz w:val="24"/>
          <w:highlight w:val="none"/>
          <w:u w:val="single"/>
          <w:lang w:val="en-US" w:eastAsia="zh-CN"/>
        </w:rPr>
        <w:t xml:space="preserve"> </w:t>
      </w:r>
      <w:r/>
    </w:p>
    <w:p>
      <w:pPr>
        <w:ind w:firstLine="480"/>
        <w:jc w:val="left"/>
        <w:spacing w:line="360" w:lineRule="auto"/>
        <w:rPr>
          <w:rFonts w:hint="eastAsia" w:ascii="宋体" w:hAnsi="宋体" w:cs="仿宋"/>
          <w:sz w:val="24"/>
          <w:highlight w:val="none"/>
        </w:rPr>
      </w:pPr>
      <w:r>
        <w:rPr>
          <w:rFonts w:ascii="宋体" w:hAnsi="宋体" w:cs="仿宋"/>
          <w:sz w:val="24"/>
          <w:highlight w:val="none"/>
        </w:rPr>
        <w:t xml:space="preserve">甲方中途无故撤销或不履行合同时，所拨经费、物资不得追回；乙方如无正当理由不履行合同，或非不可抗拒的原因致使合同无法执行时，甲方有权收回所拨经费、物资。</w:t>
      </w:r>
      <w:r/>
    </w:p>
    <w:p>
      <w:pPr>
        <w:contextualSpacing/>
        <w:ind w:firstLine="482"/>
        <w:jc w:val="left"/>
        <w:spacing w:line="360" w:lineRule="auto"/>
        <w:rPr>
          <w:b/>
          <w:color w:val="000000"/>
          <w:sz w:val="24"/>
          <w:highlight w:val="none"/>
        </w:rPr>
      </w:pPr>
      <w:r>
        <w:rPr>
          <w:b/>
          <w:sz w:val="24"/>
          <w:highlight w:val="none"/>
        </w:rPr>
        <w:t xml:space="preserve">五、</w:t>
      </w:r>
      <w:r>
        <w:rPr>
          <w:rFonts w:hint="eastAsia"/>
          <w:b/>
          <w:color w:val="000000"/>
          <w:sz w:val="24"/>
          <w:highlight w:val="none"/>
        </w:rPr>
        <w:t xml:space="preserve">技术情报和资料的保密事项</w:t>
      </w:r>
      <w:r/>
    </w:p>
    <w:p>
      <w:pPr>
        <w:contextualSpacing/>
        <w:ind w:firstLine="480"/>
        <w:jc w:val="left"/>
        <w:spacing w:line="360" w:lineRule="auto"/>
        <w:rPr>
          <w:color w:val="000000"/>
          <w:sz w:val="24"/>
          <w:highlight w:val="none"/>
        </w:rPr>
      </w:pPr>
      <w:r>
        <w:rPr>
          <w:rFonts w:hint="eastAsia"/>
          <w:color w:val="000000"/>
          <w:sz w:val="24"/>
          <w:highlight w:val="none"/>
        </w:rPr>
        <w:t xml:space="preserve">本协议涉及的技术研究及其成果报告除国家行政管理部门规定的公开外，保密期为永久。甲乙双方须妥善保管各自持有的报告及其相关评价资料。</w:t>
      </w:r>
      <w:r/>
    </w:p>
    <w:p>
      <w:pPr>
        <w:ind w:firstLine="480"/>
        <w:spacing w:line="360" w:lineRule="auto"/>
        <w:rPr>
          <w:sz w:val="24"/>
          <w:highlight w:val="none"/>
        </w:rPr>
      </w:pPr>
      <w:r>
        <w:rPr>
          <w:rFonts w:hint="eastAsia"/>
          <w:color w:val="000000"/>
          <w:sz w:val="24"/>
          <w:highlight w:val="none"/>
        </w:rPr>
        <w:t xml:space="preserve">甲乙任何一方因本协议而获知他方明示为机密的信息物件等，未经他方同意，不得运用于本协议无关的工作，且应以妥善管理，不得泄露、告知、交付或以任何其他方式转移，或提供给任何第三人使用。</w:t>
      </w:r>
      <w:r/>
    </w:p>
    <w:p>
      <w:pPr>
        <w:pStyle w:val="654"/>
        <w:ind w:firstLine="482"/>
        <w:rPr>
          <w:rFonts w:ascii="Times New Roman" w:hAnsi="Times New Roman" w:eastAsia="宋体"/>
          <w:sz w:val="24"/>
          <w:highlight w:val="none"/>
        </w:rPr>
      </w:pPr>
      <w:r>
        <w:rPr>
          <w:rFonts w:hint="eastAsia" w:ascii="Times New Roman" w:hAnsi="Times New Roman" w:eastAsia="宋体"/>
          <w:sz w:val="24"/>
          <w:highlight w:val="none"/>
          <w:lang w:val="en-US" w:eastAsia="zh-CN"/>
        </w:rPr>
        <w:t xml:space="preserve">六</w:t>
      </w:r>
      <w:r>
        <w:rPr>
          <w:rFonts w:ascii="Times New Roman" w:hAnsi="Times New Roman" w:eastAsia="宋体"/>
          <w:sz w:val="24"/>
          <w:highlight w:val="none"/>
        </w:rPr>
        <w:t xml:space="preserve">、违约责任</w:t>
      </w:r>
      <w:r/>
    </w:p>
    <w:p>
      <w:pPr>
        <w:ind w:firstLine="480"/>
        <w:jc w:val="left"/>
        <w:spacing w:line="360" w:lineRule="auto"/>
        <w:rPr>
          <w:sz w:val="24"/>
          <w:highlight w:val="none"/>
        </w:rPr>
      </w:pPr>
      <w:r>
        <w:rPr>
          <w:rFonts w:hint="eastAsia"/>
          <w:sz w:val="24"/>
          <w:highlight w:val="none"/>
        </w:rPr>
        <w:t xml:space="preserve">1、</w:t>
      </w:r>
      <w:r>
        <w:rPr>
          <w:sz w:val="24"/>
          <w:highlight w:val="none"/>
        </w:rPr>
        <w:t xml:space="preserve">甲方无正当理由</w:t>
      </w:r>
      <w:r>
        <w:rPr>
          <w:rFonts w:hint="eastAsia"/>
          <w:sz w:val="24"/>
          <w:highlight w:val="none"/>
        </w:rPr>
        <w:t xml:space="preserve">拒绝</w:t>
      </w:r>
      <w:r>
        <w:rPr>
          <w:sz w:val="24"/>
          <w:highlight w:val="none"/>
        </w:rPr>
        <w:t xml:space="preserve">服务的，甲方向乙方偿付</w:t>
      </w:r>
      <w:r>
        <w:rPr>
          <w:rFonts w:hint="eastAsia"/>
          <w:sz w:val="24"/>
          <w:highlight w:val="none"/>
        </w:rPr>
        <w:t xml:space="preserve">合同总额</w:t>
      </w:r>
      <w:r>
        <w:rPr>
          <w:sz w:val="24"/>
          <w:highlight w:val="none"/>
        </w:rPr>
        <w:t xml:space="preserve">的</w:t>
      </w:r>
      <w:r>
        <w:rPr>
          <w:rFonts w:hint="eastAsia"/>
          <w:sz w:val="24"/>
          <w:highlight w:val="none"/>
        </w:rPr>
        <w:t xml:space="preserve">5%</w:t>
      </w:r>
      <w:r>
        <w:rPr>
          <w:sz w:val="24"/>
          <w:highlight w:val="none"/>
        </w:rPr>
        <w:t xml:space="preserve">违约金。</w:t>
      </w:r>
      <w:r/>
    </w:p>
    <w:p>
      <w:pPr>
        <w:ind w:firstLine="480"/>
        <w:jc w:val="left"/>
        <w:spacing w:line="360" w:lineRule="auto"/>
        <w:rPr>
          <w:sz w:val="24"/>
          <w:highlight w:val="none"/>
        </w:rPr>
      </w:pPr>
      <w:r>
        <w:rPr>
          <w:rFonts w:hint="eastAsia"/>
          <w:sz w:val="24"/>
          <w:highlight w:val="none"/>
        </w:rPr>
        <w:t xml:space="preserve">2、</w:t>
      </w:r>
      <w:r>
        <w:rPr>
          <w:sz w:val="24"/>
          <w:highlight w:val="none"/>
        </w:rPr>
        <w:t xml:space="preserve">甲方</w:t>
      </w:r>
      <w:r>
        <w:rPr>
          <w:rFonts w:hint="eastAsia"/>
          <w:sz w:val="24"/>
          <w:highlight w:val="none"/>
        </w:rPr>
        <w:t xml:space="preserve">无正当理由</w:t>
      </w:r>
      <w:r>
        <w:rPr>
          <w:sz w:val="24"/>
          <w:highlight w:val="none"/>
        </w:rPr>
        <w:t xml:space="preserve">逾期验收和办理货款支付手续的</w:t>
      </w:r>
      <w:r>
        <w:rPr>
          <w:rFonts w:hint="eastAsia"/>
          <w:sz w:val="24"/>
          <w:highlight w:val="none"/>
        </w:rPr>
        <w:t xml:space="preserve">，每逾期一日，</w:t>
      </w:r>
      <w:r>
        <w:rPr>
          <w:sz w:val="24"/>
          <w:highlight w:val="none"/>
        </w:rPr>
        <w:t xml:space="preserve">甲方应按逾期付款总额</w:t>
      </w:r>
      <w:r>
        <w:rPr>
          <w:rFonts w:hint="eastAsia"/>
          <w:sz w:val="24"/>
          <w:highlight w:val="none"/>
        </w:rPr>
        <w:t xml:space="preserve">万分之五</w:t>
      </w:r>
      <w:r>
        <w:rPr>
          <w:sz w:val="24"/>
          <w:highlight w:val="none"/>
        </w:rPr>
        <w:t xml:space="preserve">向乙方支付违约金。</w:t>
      </w:r>
      <w:r/>
    </w:p>
    <w:p>
      <w:pPr>
        <w:ind w:firstLine="480"/>
        <w:jc w:val="left"/>
        <w:spacing w:line="360" w:lineRule="auto"/>
        <w:rPr>
          <w:sz w:val="24"/>
          <w:highlight w:val="none"/>
          <w:u w:val="single"/>
        </w:rPr>
      </w:pPr>
      <w:r>
        <w:rPr>
          <w:rFonts w:hint="eastAsia"/>
          <w:sz w:val="24"/>
          <w:highlight w:val="none"/>
        </w:rPr>
        <w:t xml:space="preserve">3、</w:t>
      </w:r>
      <w:r>
        <w:rPr>
          <w:sz w:val="24"/>
          <w:highlight w:val="none"/>
        </w:rPr>
        <w:t xml:space="preserve">乙方</w:t>
      </w:r>
      <w:r>
        <w:rPr>
          <w:rFonts w:hint="eastAsia"/>
          <w:sz w:val="24"/>
          <w:highlight w:val="none"/>
        </w:rPr>
        <w:t xml:space="preserve">无正当理由</w:t>
      </w:r>
      <w:r>
        <w:rPr>
          <w:sz w:val="24"/>
          <w:highlight w:val="none"/>
        </w:rPr>
        <w:t xml:space="preserve">逾期</w:t>
      </w:r>
      <w:r>
        <w:rPr>
          <w:rFonts w:hint="eastAsia"/>
          <w:sz w:val="24"/>
          <w:highlight w:val="none"/>
        </w:rPr>
        <w:t xml:space="preserve">完成项目的</w:t>
      </w:r>
      <w:r>
        <w:rPr>
          <w:sz w:val="24"/>
          <w:highlight w:val="none"/>
        </w:rPr>
        <w:t xml:space="preserve">，</w:t>
      </w:r>
      <w:r>
        <w:rPr>
          <w:rFonts w:hint="eastAsia"/>
          <w:sz w:val="24"/>
          <w:highlight w:val="none"/>
        </w:rPr>
        <w:t xml:space="preserve">每逾期</w:t>
      </w:r>
      <w:r>
        <w:rPr>
          <w:rFonts w:hint="eastAsia"/>
          <w:sz w:val="24"/>
          <w:highlight w:val="none"/>
          <w:u w:val="single"/>
        </w:rPr>
        <w:t xml:space="preserve">一</w:t>
      </w:r>
      <w:r>
        <w:rPr>
          <w:rFonts w:hint="eastAsia"/>
          <w:sz w:val="24"/>
          <w:highlight w:val="none"/>
        </w:rPr>
        <w:t xml:space="preserve">日，乙方应按逾期完成项目金额的</w:t>
      </w:r>
      <w:r>
        <w:rPr>
          <w:rFonts w:hint="eastAsia"/>
          <w:sz w:val="24"/>
          <w:highlight w:val="none"/>
          <w:u w:val="single"/>
        </w:rPr>
        <w:t xml:space="preserve">万分之五</w:t>
      </w:r>
      <w:r>
        <w:rPr>
          <w:rFonts w:hint="eastAsia"/>
          <w:sz w:val="24"/>
          <w:highlight w:val="none"/>
        </w:rPr>
        <w:t xml:space="preserve">向甲方承担违约责任</w:t>
      </w:r>
      <w:r>
        <w:rPr>
          <w:sz w:val="24"/>
          <w:highlight w:val="none"/>
        </w:rPr>
        <w:t xml:space="preserve">，由甲方从待付货款</w:t>
      </w:r>
      <w:r>
        <w:rPr>
          <w:rFonts w:hint="eastAsia"/>
          <w:sz w:val="24"/>
          <w:highlight w:val="none"/>
        </w:rPr>
        <w:t xml:space="preserve">或履约保证金</w:t>
      </w:r>
      <w:r>
        <w:rPr>
          <w:sz w:val="24"/>
          <w:highlight w:val="none"/>
        </w:rPr>
        <w:t xml:space="preserve">中扣除。逾期超过约定日期</w:t>
      </w:r>
      <w:r>
        <w:rPr>
          <w:sz w:val="24"/>
          <w:highlight w:val="none"/>
          <w:u w:val="single"/>
        </w:rPr>
        <w:t xml:space="preserve">30</w:t>
      </w:r>
      <w:r>
        <w:rPr>
          <w:sz w:val="24"/>
          <w:highlight w:val="none"/>
        </w:rPr>
        <w:t xml:space="preserve">个工作日不能</w:t>
      </w:r>
      <w:r>
        <w:rPr>
          <w:rFonts w:hint="eastAsia"/>
          <w:sz w:val="24"/>
          <w:highlight w:val="none"/>
        </w:rPr>
        <w:t xml:space="preserve">提交成果</w:t>
      </w:r>
      <w:r>
        <w:rPr>
          <w:sz w:val="24"/>
          <w:highlight w:val="none"/>
        </w:rPr>
        <w:t xml:space="preserve">的，甲方可解除本合同。乙方逾期</w:t>
      </w:r>
      <w:r>
        <w:rPr>
          <w:rFonts w:hint="eastAsia"/>
          <w:sz w:val="24"/>
          <w:highlight w:val="none"/>
        </w:rPr>
        <w:t xml:space="preserve">完成项目</w:t>
      </w:r>
      <w:r>
        <w:rPr>
          <w:sz w:val="24"/>
          <w:highlight w:val="none"/>
        </w:rPr>
        <w:t xml:space="preserve">或因其他违约行为导致甲方解除合同的，乙方应向甲方支付合同总值</w:t>
      </w:r>
      <w:r>
        <w:rPr>
          <w:rFonts w:hint="eastAsia"/>
          <w:sz w:val="24"/>
          <w:highlight w:val="none"/>
          <w:u w:val="single"/>
        </w:rPr>
        <w:t xml:space="preserve">3</w:t>
      </w:r>
      <w:r>
        <w:rPr>
          <w:sz w:val="24"/>
          <w:highlight w:val="none"/>
          <w:u w:val="single"/>
        </w:rPr>
        <w:t xml:space="preserve">%</w:t>
      </w:r>
      <w:r>
        <w:rPr>
          <w:sz w:val="24"/>
          <w:highlight w:val="none"/>
        </w:rPr>
        <w:t xml:space="preserve">的违约金，如造成甲方损失超过违约金的，超出部分由乙方继续承担赔偿责任。</w:t>
      </w:r>
      <w:r/>
    </w:p>
    <w:p>
      <w:pPr>
        <w:ind w:firstLine="480"/>
        <w:jc w:val="left"/>
        <w:spacing w:line="360" w:lineRule="auto"/>
        <w:rPr>
          <w:sz w:val="24"/>
          <w:highlight w:val="none"/>
        </w:rPr>
      </w:pPr>
      <w:r>
        <w:rPr>
          <w:rFonts w:hint="eastAsia"/>
          <w:sz w:val="24"/>
          <w:highlight w:val="none"/>
        </w:rPr>
        <w:t xml:space="preserve">4、</w:t>
      </w:r>
      <w:r>
        <w:rPr>
          <w:sz w:val="24"/>
          <w:highlight w:val="none"/>
        </w:rPr>
        <w:t xml:space="preserve">乙方</w:t>
      </w:r>
      <w:r>
        <w:rPr>
          <w:rFonts w:hint="eastAsia"/>
          <w:sz w:val="24"/>
          <w:highlight w:val="none"/>
        </w:rPr>
        <w:t xml:space="preserve">提</w:t>
      </w:r>
      <w:r>
        <w:rPr>
          <w:sz w:val="24"/>
          <w:highlight w:val="none"/>
        </w:rPr>
        <w:t xml:space="preserve">交的</w:t>
      </w:r>
      <w:r>
        <w:rPr>
          <w:rFonts w:hint="eastAsia"/>
          <w:sz w:val="24"/>
          <w:highlight w:val="none"/>
        </w:rPr>
        <w:t xml:space="preserve">服务的</w:t>
      </w:r>
      <w:r>
        <w:rPr>
          <w:sz w:val="24"/>
          <w:highlight w:val="none"/>
        </w:rPr>
        <w:t xml:space="preserve">品种、技术参数、质量不符合合同规定及采购文件规定标准的，甲方有权拒收该</w:t>
      </w:r>
      <w:r>
        <w:rPr>
          <w:rFonts w:hint="eastAsia"/>
          <w:sz w:val="24"/>
          <w:highlight w:val="none"/>
        </w:rPr>
        <w:t xml:space="preserve">项目</w:t>
      </w:r>
      <w:r>
        <w:rPr>
          <w:sz w:val="24"/>
          <w:highlight w:val="none"/>
        </w:rPr>
        <w:t xml:space="preserve">，乙方愿意更换服务但逾期交</w:t>
      </w:r>
      <w:r>
        <w:rPr>
          <w:rFonts w:hint="eastAsia"/>
          <w:sz w:val="24"/>
          <w:highlight w:val="none"/>
        </w:rPr>
        <w:t xml:space="preserve">付</w:t>
      </w:r>
      <w:r>
        <w:rPr>
          <w:sz w:val="24"/>
          <w:highlight w:val="none"/>
        </w:rPr>
        <w:t xml:space="preserve">的，按乙方逾期交</w:t>
      </w:r>
      <w:r>
        <w:rPr>
          <w:rFonts w:hint="eastAsia"/>
          <w:sz w:val="24"/>
          <w:highlight w:val="none"/>
        </w:rPr>
        <w:t xml:space="preserve">付</w:t>
      </w:r>
      <w:r>
        <w:rPr>
          <w:sz w:val="24"/>
          <w:highlight w:val="none"/>
        </w:rPr>
        <w:t xml:space="preserve">处理。</w:t>
      </w:r>
      <w:r>
        <w:rPr>
          <w:rFonts w:hint="eastAsia"/>
          <w:sz w:val="24"/>
          <w:highlight w:val="none"/>
        </w:rPr>
        <w:t xml:space="preserve">乙方拒绝更换服务的，甲方可单方面解除合同，视为乙方违约并由乙方承担违约赔偿责任</w:t>
      </w:r>
      <w:r>
        <w:rPr>
          <w:sz w:val="24"/>
          <w:highlight w:val="none"/>
        </w:rPr>
        <w:t xml:space="preserve">。</w:t>
      </w:r>
      <w:r/>
    </w:p>
    <w:p>
      <w:pPr>
        <w:ind w:firstLine="480"/>
        <w:jc w:val="left"/>
        <w:spacing w:line="360" w:lineRule="auto"/>
        <w:rPr>
          <w:sz w:val="24"/>
          <w:highlight w:val="none"/>
        </w:rPr>
      </w:pPr>
      <w:r>
        <w:rPr>
          <w:rFonts w:hint="eastAsia"/>
          <w:sz w:val="24"/>
          <w:highlight w:val="none"/>
        </w:rPr>
        <w:t xml:space="preserve">5、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否则乙方应当向甲方赔偿由此造成的实际损失。</w:t>
      </w:r>
      <w:r/>
    </w:p>
    <w:p>
      <w:pPr>
        <w:ind w:firstLine="482"/>
        <w:spacing w:line="360" w:lineRule="auto"/>
        <w:rPr>
          <w:b/>
          <w:sz w:val="24"/>
          <w:highlight w:val="none"/>
        </w:rPr>
      </w:pPr>
      <w:r>
        <w:rPr>
          <w:rFonts w:hint="eastAsia"/>
          <w:b/>
          <w:sz w:val="24"/>
          <w:highlight w:val="none"/>
          <w:lang w:val="en-US" w:eastAsia="zh-CN"/>
        </w:rPr>
        <w:t xml:space="preserve">七</w:t>
      </w:r>
      <w:r>
        <w:rPr>
          <w:rFonts w:hint="eastAsia"/>
          <w:b/>
          <w:sz w:val="24"/>
          <w:highlight w:val="none"/>
        </w:rPr>
        <w:t xml:space="preserve">、</w:t>
      </w:r>
      <w:r>
        <w:rPr>
          <w:b/>
          <w:sz w:val="24"/>
          <w:highlight w:val="none"/>
        </w:rPr>
        <w:t xml:space="preserve">乙方的安全保证义务</w:t>
      </w:r>
      <w:r/>
    </w:p>
    <w:p>
      <w:pPr>
        <w:ind w:firstLine="480"/>
        <w:jc w:val="left"/>
        <w:spacing w:line="360" w:lineRule="auto"/>
        <w:rPr>
          <w:sz w:val="24"/>
          <w:highlight w:val="none"/>
        </w:rPr>
      </w:pPr>
      <w:r>
        <w:rPr>
          <w:sz w:val="24"/>
          <w:highlight w:val="none"/>
        </w:rPr>
        <w:t xml:space="preserve">乙方在项目建设、</w:t>
      </w:r>
      <w:r>
        <w:rPr>
          <w:rFonts w:hint="eastAsia"/>
          <w:sz w:val="24"/>
          <w:highlight w:val="none"/>
        </w:rPr>
        <w:t xml:space="preserve">服务、验收</w:t>
      </w:r>
      <w:r>
        <w:rPr>
          <w:sz w:val="24"/>
          <w:highlight w:val="none"/>
        </w:rPr>
        <w:t xml:space="preserve">等过程中，应严格遵守安全生产的有关管理规定，严格按安全标准组织实施，采取必要的安全防护措施，消除事故隐患，防护措施费用已包含在合同价格中。在项目建设过程中</w:t>
      </w:r>
      <w:r>
        <w:rPr>
          <w:rFonts w:hint="eastAsia"/>
          <w:sz w:val="24"/>
          <w:highlight w:val="none"/>
        </w:rPr>
        <w:t xml:space="preserve">，因乙方原因导致</w:t>
      </w:r>
      <w:r>
        <w:rPr>
          <w:sz w:val="24"/>
          <w:highlight w:val="none"/>
        </w:rPr>
        <w:t xml:space="preserve">的一切事故的责任与费用均由乙方自行承担。</w:t>
      </w:r>
      <w:r/>
    </w:p>
    <w:p>
      <w:pPr>
        <w:contextualSpacing/>
        <w:ind w:firstLine="482"/>
        <w:spacing w:line="360" w:lineRule="auto"/>
        <w:rPr>
          <w:b/>
          <w:sz w:val="24"/>
          <w:highlight w:val="none"/>
        </w:rPr>
      </w:pPr>
      <w:r>
        <w:rPr>
          <w:rFonts w:hint="eastAsia"/>
          <w:b/>
          <w:sz w:val="24"/>
          <w:highlight w:val="none"/>
          <w:lang w:val="en-US" w:eastAsia="zh-CN"/>
        </w:rPr>
        <w:t xml:space="preserve">八</w:t>
      </w:r>
      <w:r>
        <w:rPr>
          <w:b/>
          <w:sz w:val="24"/>
          <w:highlight w:val="none"/>
        </w:rPr>
        <w:t xml:space="preserve">、</w:t>
      </w:r>
      <w:bookmarkStart w:id="123" w:name="_Toc491803691"/>
      <w:r/>
      <w:bookmarkStart w:id="124" w:name="_Toc434931318"/>
      <w:r/>
      <w:bookmarkStart w:id="125" w:name="_Toc493664749"/>
      <w:r>
        <w:rPr>
          <w:rFonts w:hint="eastAsia"/>
          <w:b/>
          <w:sz w:val="24"/>
          <w:highlight w:val="none"/>
        </w:rPr>
        <w:t xml:space="preserve">验收标准和方法</w:t>
      </w:r>
      <w:r/>
    </w:p>
    <w:p>
      <w:pPr>
        <w:contextualSpacing/>
        <w:ind w:firstLine="480"/>
        <w:jc w:val="left"/>
        <w:spacing w:line="360" w:lineRule="auto"/>
        <w:rPr>
          <w:rFonts w:hAnsi="Calibri"/>
          <w:sz w:val="24"/>
          <w:szCs w:val="22"/>
          <w:highlight w:val="none"/>
        </w:rPr>
      </w:pPr>
      <w:r>
        <w:rPr>
          <w:rFonts w:hint="eastAsia"/>
          <w:color w:val="000000"/>
          <w:sz w:val="24"/>
          <w:highlight w:val="none"/>
        </w:rPr>
        <w:t xml:space="preserve">1、</w:t>
      </w:r>
      <w:r>
        <w:rPr>
          <w:color w:val="000000"/>
          <w:sz w:val="24"/>
          <w:highlight w:val="none"/>
        </w:rPr>
        <w:t xml:space="preserve">验收标准：</w:t>
      </w:r>
      <w:r>
        <w:rPr>
          <w:rFonts w:hint="eastAsia"/>
          <w:color w:val="000000"/>
          <w:sz w:val="24"/>
          <w:highlight w:val="none"/>
          <w:u w:val="single"/>
        </w:rPr>
        <w:t xml:space="preserve">根据采购文件、乙方的响应文件、本合同文件及其附件、国家的相关规定；由甲方及相关部门进行验收通过</w:t>
      </w:r>
      <w:r>
        <w:rPr>
          <w:rFonts w:hint="eastAsia"/>
          <w:color w:val="000000"/>
          <w:sz w:val="24"/>
          <w:highlight w:val="none"/>
        </w:rPr>
        <w:t xml:space="preserve">。</w:t>
      </w:r>
      <w:r/>
    </w:p>
    <w:p>
      <w:pPr>
        <w:ind w:firstLine="480"/>
        <w:spacing w:line="360" w:lineRule="auto"/>
        <w:rPr>
          <w:color w:val="000000"/>
          <w:sz w:val="24"/>
          <w:highlight w:val="none"/>
        </w:rPr>
        <w:outlineLvl w:val="1"/>
      </w:pPr>
      <w:r>
        <w:rPr>
          <w:color w:val="000000"/>
          <w:sz w:val="24"/>
          <w:highlight w:val="none"/>
        </w:rPr>
        <w:t xml:space="preserve">本项目验收成果为各类分析报告及巡查台账，具体要求见下表。</w:t>
      </w:r>
      <w:r/>
    </w:p>
    <w:tbl>
      <w:tblPr>
        <w:tblStyle w:val="963"/>
        <w:tblW w:w="9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79"/>
        <w:gridCol w:w="6860"/>
      </w:tblGrid>
      <w:tr>
        <w:trPr>
          <w:trHeight w:val="319"/>
        </w:trPr>
        <w:tc>
          <w:tcPr>
            <w:tcW w:w="28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服务内容</w:t>
            </w:r>
            <w:r/>
          </w:p>
        </w:tc>
        <w:tc>
          <w:tcPr>
            <w:tcW w:w="686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产出指标</w:t>
            </w:r>
            <w:r/>
          </w:p>
        </w:tc>
      </w:tr>
      <w:tr>
        <w:trPr>
          <w:trHeight w:val="956"/>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大气环境立体监测网络</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提供所需的</w:t>
            </w:r>
            <w:r>
              <w:rPr>
                <w:rFonts w:hint="eastAsia" w:ascii="宋体" w:hAnsi="宋体" w:eastAsia="宋体" w:cs="宋体"/>
                <w:sz w:val="24"/>
                <w:szCs w:val="24"/>
                <w:highlight w:val="none"/>
                <w:lang w:eastAsia="zh-CN"/>
              </w:rPr>
              <w:t xml:space="preserve">不少于</w:t>
            </w:r>
            <w:r>
              <w:rPr>
                <w:rFonts w:hint="eastAsia" w:ascii="宋体" w:hAnsi="宋体" w:eastAsia="宋体" w:cs="宋体"/>
                <w:sz w:val="24"/>
                <w:szCs w:val="24"/>
                <w:highlight w:val="none"/>
                <w:lang w:val="en-US" w:eastAsia="zh-CN"/>
              </w:rPr>
              <w:t xml:space="preserve">76</w:t>
            </w:r>
            <w:r>
              <w:rPr>
                <w:rFonts w:hint="eastAsia" w:ascii="宋体" w:hAnsi="宋体" w:eastAsia="宋体" w:cs="宋体"/>
                <w:sz w:val="24"/>
                <w:szCs w:val="24"/>
                <w:highlight w:val="none"/>
              </w:rPr>
              <w:t xml:space="preserve">台微站</w:t>
            </w:r>
            <w:r>
              <w:rPr>
                <w:rFonts w:hint="eastAsia" w:ascii="宋体" w:hAnsi="宋体" w:cs="宋体"/>
                <w:sz w:val="24"/>
                <w:szCs w:val="24"/>
                <w:highlight w:val="none"/>
                <w:lang w:eastAsia="zh-CN"/>
              </w:rPr>
              <w:t xml:space="preserve">（包括</w:t>
            </w:r>
            <w:r>
              <w:rPr>
                <w:rFonts w:hint="eastAsia" w:ascii="宋体" w:hAnsi="宋体" w:cs="宋体"/>
                <w:sz w:val="24"/>
                <w:szCs w:val="24"/>
                <w:highlight w:val="none"/>
                <w:lang w:val="en-US" w:eastAsia="zh-CN"/>
              </w:rPr>
              <w:t xml:space="preserve">5台备用微站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根据需求及时调整微站布点。</w:t>
            </w:r>
            <w:r/>
          </w:p>
        </w:tc>
      </w:tr>
      <w:tr>
        <w:trPr>
          <w:trHeight w:val="956"/>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智慧AI大数据服务</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5台智能无人机库</w:t>
            </w:r>
            <w:r>
              <w:rPr>
                <w:rFonts w:hint="eastAsia" w:ascii="宋体" w:hAnsi="宋体" w:eastAsia="宋体" w:cs="宋体"/>
                <w:sz w:val="24"/>
                <w:szCs w:val="24"/>
                <w:highlight w:val="none"/>
                <w:lang w:eastAsia="zh-CN"/>
              </w:rPr>
              <w:t xml:space="preserve">和</w:t>
            </w:r>
            <w:r>
              <w:rPr>
                <w:rFonts w:hint="eastAsia" w:ascii="宋体" w:hAnsi="宋体" w:eastAsia="宋体" w:cs="宋体"/>
                <w:sz w:val="24"/>
                <w:szCs w:val="24"/>
                <w:highlight w:val="none"/>
                <w:lang w:val="en-US" w:eastAsia="zh-CN"/>
              </w:rPr>
              <w:t xml:space="preserve">AI小程序</w:t>
            </w:r>
            <w:r>
              <w:rPr>
                <w:rFonts w:hint="eastAsia" w:ascii="宋体" w:hAnsi="宋体" w:eastAsia="宋体" w:cs="宋体"/>
                <w:sz w:val="24"/>
                <w:szCs w:val="24"/>
                <w:highlight w:val="none"/>
              </w:rPr>
              <w:t xml:space="preserve">。</w:t>
            </w:r>
            <w:r/>
          </w:p>
        </w:tc>
      </w:tr>
      <w:tr>
        <w:trPr>
          <w:trHeight w:val="673"/>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大气精准管控综合驻场</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提供常规分析成果，以及站点精细化溯源成果。</w:t>
            </w:r>
            <w:r/>
          </w:p>
        </w:tc>
      </w:tr>
      <w:tr>
        <w:trPr>
          <w:trHeight w:val="1587"/>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污染物动态监测</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六参数地面走航监测服务，针对重点地区微环境开展六参数地面走航监测，不少于</w:t>
            </w:r>
            <w:r>
              <w:rPr>
                <w:rFonts w:hint="eastAsia" w:ascii="宋体" w:hAnsi="宋体" w:eastAsia="宋体" w:cs="宋体"/>
                <w:sz w:val="24"/>
                <w:szCs w:val="24"/>
                <w:highlight w:val="none"/>
                <w:lang w:val="en-US" w:eastAsia="zh-CN"/>
              </w:rPr>
              <w:t xml:space="preserve">150</w:t>
            </w:r>
            <w:r>
              <w:rPr>
                <w:rFonts w:hint="eastAsia" w:ascii="宋体" w:hAnsi="宋体" w:eastAsia="宋体" w:cs="宋体"/>
                <w:sz w:val="24"/>
                <w:szCs w:val="24"/>
                <w:highlight w:val="none"/>
              </w:rPr>
              <w:t xml:space="preserve">次。</w:t>
            </w:r>
            <w:r/>
          </w:p>
          <w:p>
            <w:pPr>
              <w:ind w:firstLine="0"/>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开展10次激光雷达走航，提供走航记录和高值清单。</w:t>
            </w:r>
            <w:r/>
          </w:p>
        </w:tc>
      </w:tr>
      <w:tr>
        <w:trPr>
          <w:trHeight w:val="640"/>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组分</w:t>
            </w:r>
            <w:r>
              <w:rPr>
                <w:rFonts w:hint="eastAsia" w:ascii="宋体" w:hAnsi="宋体" w:eastAsia="宋体" w:cs="宋体"/>
                <w:sz w:val="24"/>
                <w:szCs w:val="24"/>
                <w:highlight w:val="none"/>
                <w:lang w:eastAsia="zh-CN"/>
              </w:rPr>
              <w:t xml:space="preserve">和粒径监测</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台颗粒物粒径仪</w:t>
            </w:r>
            <w:r>
              <w:rPr>
                <w:rFonts w:hint="eastAsia" w:ascii="宋体" w:hAnsi="宋体" w:eastAsia="宋体" w:cs="宋体"/>
                <w:sz w:val="24"/>
                <w:szCs w:val="24"/>
                <w:highlight w:val="none"/>
              </w:rPr>
              <w:t xml:space="preserve">、1份VOCs组分监测解析报告。</w:t>
            </w:r>
            <w:r/>
          </w:p>
        </w:tc>
      </w:tr>
      <w:tr>
        <w:trPr>
          <w:trHeight w:val="335"/>
        </w:trPr>
        <w:tc>
          <w:tcPr>
            <w:tcW w:w="2879"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专家指导服务</w:t>
            </w:r>
            <w:r/>
          </w:p>
        </w:tc>
        <w:tc>
          <w:tcPr>
            <w:tcW w:w="6860"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提供相关纪要或成果（4次）。</w:t>
            </w:r>
            <w:r/>
          </w:p>
        </w:tc>
      </w:tr>
    </w:tbl>
    <w:p>
      <w:pPr>
        <w:ind w:firstLine="482"/>
        <w:spacing w:line="360" w:lineRule="auto"/>
        <w:rPr>
          <w:b/>
          <w:color w:val="000000"/>
          <w:sz w:val="24"/>
          <w:highlight w:val="none"/>
        </w:rPr>
        <w:outlineLvl w:val="1"/>
      </w:pPr>
      <w:r>
        <w:rPr>
          <w:b/>
          <w:color w:val="000000"/>
          <w:sz w:val="24"/>
          <w:highlight w:val="none"/>
        </w:rPr>
      </w:r>
      <w:r/>
    </w:p>
    <w:p>
      <w:pPr>
        <w:ind w:firstLine="480"/>
        <w:jc w:val="left"/>
        <w:spacing w:line="360" w:lineRule="auto"/>
        <w:rPr>
          <w:rFonts w:hAnsi="Calibri"/>
          <w:sz w:val="24"/>
          <w:szCs w:val="22"/>
          <w:highlight w:val="none"/>
        </w:rPr>
      </w:pPr>
      <w:r>
        <w:rPr>
          <w:color w:val="000000"/>
          <w:sz w:val="24"/>
          <w:highlight w:val="none"/>
        </w:rPr>
        <w:t xml:space="preserve">2</w:t>
      </w:r>
      <w:r>
        <w:rPr>
          <w:rFonts w:hint="eastAsia"/>
          <w:color w:val="000000"/>
          <w:sz w:val="24"/>
          <w:highlight w:val="none"/>
        </w:rPr>
        <w:t xml:space="preserve">、验收方法：乙</w:t>
      </w:r>
      <w:r>
        <w:rPr>
          <w:rFonts w:hint="eastAsia"/>
          <w:color w:val="000000"/>
          <w:sz w:val="24"/>
          <w:highlight w:val="none"/>
        </w:rPr>
        <w:t xml:space="preserve">方</w:t>
      </w:r>
      <w:r>
        <w:rPr>
          <w:rFonts w:hint="eastAsia" w:hAnsi="Calibri"/>
          <w:sz w:val="24"/>
          <w:szCs w:val="22"/>
          <w:highlight w:val="none"/>
        </w:rPr>
        <w:t xml:space="preserve">书面通知甲方进行最终验收，同时须提供完整的验收报告及相关资料，甲方将在接到乙方书面通知和验收报告后</w:t>
      </w:r>
      <w:r>
        <w:rPr>
          <w:sz w:val="24"/>
          <w:szCs w:val="22"/>
          <w:highlight w:val="none"/>
        </w:rPr>
        <w:t xml:space="preserve">15</w:t>
      </w:r>
      <w:r>
        <w:rPr>
          <w:rFonts w:hint="eastAsia" w:hAnsi="Calibri"/>
          <w:sz w:val="24"/>
          <w:szCs w:val="22"/>
          <w:highlight w:val="none"/>
        </w:rPr>
        <w:t xml:space="preserve">日内组织相关人员进行并完成验收（必要时邀请相关专家共同参与验收）工作，出具验收意见，作为支付货款的依据，验收过程中产生的相关费用由乙方承担。</w:t>
      </w:r>
      <w:r/>
    </w:p>
    <w:p>
      <w:pPr>
        <w:contextualSpacing/>
        <w:ind w:firstLine="480"/>
        <w:jc w:val="left"/>
        <w:spacing w:line="360" w:lineRule="auto"/>
        <w:rPr>
          <w:color w:val="000000"/>
          <w:sz w:val="24"/>
          <w:highlight w:val="none"/>
        </w:rPr>
      </w:pPr>
      <w:r>
        <w:rPr>
          <w:color w:val="000000"/>
          <w:sz w:val="24"/>
          <w:highlight w:val="none"/>
        </w:rPr>
        <w:t xml:space="preserve">3</w:t>
      </w:r>
      <w:r>
        <w:rPr>
          <w:rFonts w:hint="eastAsia"/>
          <w:color w:val="000000"/>
          <w:sz w:val="24"/>
          <w:highlight w:val="none"/>
        </w:rPr>
        <w:t xml:space="preserve">、本项目服务期间，中期和终期验收标准及验收方法保持一致。</w:t>
      </w:r>
      <w:r/>
    </w:p>
    <w:p>
      <w:pPr>
        <w:ind w:firstLine="482"/>
        <w:spacing w:line="360" w:lineRule="auto"/>
        <w:rPr>
          <w:b/>
          <w:sz w:val="24"/>
          <w:highlight w:val="none"/>
        </w:rPr>
      </w:pPr>
      <w:r>
        <w:rPr>
          <w:rFonts w:hint="eastAsia"/>
          <w:b/>
          <w:sz w:val="24"/>
          <w:highlight w:val="none"/>
          <w:lang w:val="en-US" w:eastAsia="zh-CN"/>
        </w:rPr>
        <w:t xml:space="preserve">九</w:t>
      </w:r>
      <w:r>
        <w:rPr>
          <w:b/>
          <w:sz w:val="24"/>
          <w:highlight w:val="none"/>
        </w:rPr>
        <w:t xml:space="preserve">、</w:t>
      </w:r>
      <w:bookmarkEnd w:id="123"/>
      <w:r/>
      <w:bookmarkEnd w:id="124"/>
      <w:r/>
      <w:bookmarkEnd w:id="125"/>
      <w:r>
        <w:rPr>
          <w:b/>
          <w:sz w:val="24"/>
          <w:highlight w:val="none"/>
        </w:rPr>
        <w:t xml:space="preserve">不可抗力</w:t>
      </w:r>
      <w:r/>
    </w:p>
    <w:p>
      <w:pPr>
        <w:ind w:firstLine="480"/>
        <w:jc w:val="left"/>
        <w:spacing w:line="360" w:lineRule="auto"/>
        <w:rPr>
          <w:color w:val="000000"/>
          <w:sz w:val="24"/>
          <w:highlight w:val="none"/>
        </w:rPr>
      </w:pPr>
      <w:r>
        <w:rPr>
          <w:rFonts w:hint="eastAsia"/>
          <w:color w:val="000000"/>
          <w:sz w:val="24"/>
          <w:highlight w:val="none"/>
        </w:rPr>
        <w:t xml:space="preserve">1、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和克服的事件,诸如战争、严重水灾、洪水、台风、地震等。</w:t>
      </w:r>
      <w:r/>
    </w:p>
    <w:p>
      <w:pPr>
        <w:ind w:firstLine="480"/>
        <w:jc w:val="left"/>
        <w:spacing w:line="360" w:lineRule="auto"/>
        <w:rPr>
          <w:color w:val="000000"/>
          <w:sz w:val="24"/>
          <w:highlight w:val="none"/>
        </w:rPr>
      </w:pPr>
      <w:r>
        <w:rPr>
          <w:rFonts w:hint="eastAsia"/>
          <w:color w:val="000000"/>
          <w:sz w:val="24"/>
          <w:highlight w:val="none"/>
        </w:rPr>
        <w:t xml:space="preserve">2、受阻一方应在不可抗力事件发生后，尽快书面通知对方。一旦不可抗力事件的影响持续</w:t>
      </w:r>
      <w:r>
        <w:rPr>
          <w:rFonts w:hint="eastAsia"/>
          <w:color w:val="000000"/>
          <w:sz w:val="24"/>
          <w:highlight w:val="none"/>
          <w:u w:val="single"/>
        </w:rPr>
        <w:t xml:space="preserve">60天</w:t>
      </w:r>
      <w:r>
        <w:rPr>
          <w:rFonts w:hint="eastAsia"/>
          <w:color w:val="000000"/>
          <w:sz w:val="24"/>
          <w:highlight w:val="none"/>
        </w:rPr>
        <w:t xml:space="preserve">以上，双方应通过友好协商在合理的时间内达成进一步履行合同的协议或解除合同。</w:t>
      </w:r>
      <w:r/>
    </w:p>
    <w:p>
      <w:pPr>
        <w:ind w:firstLine="482"/>
        <w:jc w:val="left"/>
        <w:spacing w:line="360" w:lineRule="auto"/>
        <w:rPr>
          <w:b/>
          <w:sz w:val="24"/>
          <w:highlight w:val="none"/>
        </w:rPr>
      </w:pPr>
      <w:r>
        <w:rPr>
          <w:b/>
          <w:sz w:val="24"/>
          <w:highlight w:val="none"/>
        </w:rPr>
        <w:t xml:space="preserve">十、违约解除合同</w:t>
      </w:r>
      <w:r/>
    </w:p>
    <w:p>
      <w:pPr>
        <w:ind w:firstLine="480"/>
        <w:jc w:val="left"/>
        <w:spacing w:line="360" w:lineRule="auto"/>
        <w:rPr>
          <w:sz w:val="24"/>
          <w:highlight w:val="none"/>
        </w:rPr>
      </w:pPr>
      <w:r>
        <w:rPr>
          <w:sz w:val="24"/>
          <w:highlight w:val="none"/>
        </w:rPr>
        <w:t xml:space="preserve">甲方基于公共利益需要，可单方变更、终止本合同。在甲方对乙方违约而采取的任何补救措施不受影响的情况下，甲方可向乙方发出书面违约通知书，提出解除合同。</w:t>
      </w:r>
      <w:r/>
    </w:p>
    <w:p>
      <w:pPr>
        <w:ind w:firstLine="480"/>
        <w:jc w:val="left"/>
        <w:spacing w:line="360" w:lineRule="auto"/>
        <w:rPr>
          <w:sz w:val="24"/>
          <w:highlight w:val="none"/>
        </w:rPr>
      </w:pPr>
      <w:r>
        <w:rPr>
          <w:rFonts w:hint="eastAsia"/>
          <w:sz w:val="24"/>
          <w:highlight w:val="none"/>
        </w:rPr>
        <w:t xml:space="preserve">1、</w:t>
      </w:r>
      <w:r>
        <w:rPr>
          <w:sz w:val="24"/>
          <w:highlight w:val="none"/>
        </w:rPr>
        <w:t xml:space="preserve">乙方延期交付达到约定的合同解除情形。</w:t>
      </w:r>
      <w:r/>
    </w:p>
    <w:p>
      <w:pPr>
        <w:ind w:firstLine="480"/>
        <w:jc w:val="left"/>
        <w:spacing w:line="360" w:lineRule="auto"/>
        <w:rPr>
          <w:sz w:val="24"/>
          <w:highlight w:val="none"/>
        </w:rPr>
      </w:pPr>
      <w:r>
        <w:rPr>
          <w:rFonts w:hint="eastAsia"/>
          <w:sz w:val="24"/>
          <w:highlight w:val="none"/>
        </w:rPr>
        <w:t xml:space="preserve">2、</w:t>
      </w:r>
      <w:r>
        <w:rPr>
          <w:sz w:val="24"/>
          <w:highlight w:val="none"/>
        </w:rPr>
        <w:t xml:space="preserve">如果乙方未能履行合同规定的其它任何义务达到合同约定的甲方有权解除合同的情形或者因此导致合同目的无法实现的。</w:t>
      </w:r>
      <w:r/>
    </w:p>
    <w:p>
      <w:pPr>
        <w:ind w:firstLine="480"/>
        <w:jc w:val="left"/>
        <w:spacing w:line="360" w:lineRule="auto"/>
        <w:rPr>
          <w:sz w:val="24"/>
          <w:highlight w:val="none"/>
        </w:rPr>
      </w:pPr>
      <w:r>
        <w:rPr>
          <w:rFonts w:hint="eastAsia"/>
          <w:sz w:val="24"/>
          <w:highlight w:val="none"/>
        </w:rPr>
        <w:t xml:space="preserve">3、</w:t>
      </w:r>
      <w:r>
        <w:rPr>
          <w:sz w:val="24"/>
          <w:highlight w:val="none"/>
        </w:rPr>
        <w:t xml:space="preserve">如果甲方认为乙方在本合同的竞争和实施过程中有腐败和欺诈行为</w:t>
      </w:r>
      <w:r>
        <w:rPr>
          <w:rFonts w:hint="eastAsia"/>
          <w:sz w:val="24"/>
          <w:highlight w:val="none"/>
        </w:rPr>
        <w:t xml:space="preserve">，且能提供证据证明</w:t>
      </w:r>
      <w:r>
        <w:rPr>
          <w:sz w:val="24"/>
          <w:highlight w:val="none"/>
        </w:rPr>
        <w:t xml:space="preserve">。为此目的，定义下述条件：</w:t>
      </w:r>
      <w:r/>
    </w:p>
    <w:p>
      <w:pPr>
        <w:ind w:firstLine="480"/>
        <w:jc w:val="left"/>
        <w:spacing w:line="360" w:lineRule="auto"/>
        <w:rPr>
          <w:sz w:val="24"/>
          <w:highlight w:val="none"/>
        </w:rPr>
      </w:pPr>
      <w:r>
        <w:rPr>
          <w:sz w:val="24"/>
          <w:highlight w:val="none"/>
        </w:rPr>
        <w:t xml:space="preserve">（1）“腐败行为”是指提供、给予、接受或索取任何有价值的物品来影响相关人员在采购过程或合同实施过程中的行为。</w:t>
      </w:r>
      <w:r/>
    </w:p>
    <w:p>
      <w:pPr>
        <w:ind w:firstLine="480"/>
        <w:jc w:val="left"/>
        <w:spacing w:line="360" w:lineRule="auto"/>
        <w:rPr>
          <w:sz w:val="24"/>
          <w:highlight w:val="none"/>
        </w:rPr>
      </w:pPr>
      <w:r>
        <w:rPr>
          <w:sz w:val="24"/>
          <w:highlight w:val="none"/>
        </w:rPr>
        <w:t xml:space="preserve">（2）“欺诈行为”是指为了影响采购过程或合同实施过程而恶意隐瞒或谎报事实，损害甲方利益的行为。</w:t>
      </w:r>
      <w:r/>
    </w:p>
    <w:p>
      <w:pPr>
        <w:ind w:firstLine="482"/>
        <w:jc w:val="left"/>
        <w:spacing w:line="360" w:lineRule="auto"/>
        <w:rPr>
          <w:b/>
          <w:sz w:val="24"/>
          <w:highlight w:val="none"/>
        </w:rPr>
      </w:pPr>
      <w:r>
        <w:rPr>
          <w:b/>
          <w:sz w:val="24"/>
          <w:highlight w:val="none"/>
        </w:rPr>
        <w:t xml:space="preserve">十</w:t>
      </w:r>
      <w:r>
        <w:rPr>
          <w:rFonts w:hint="eastAsia"/>
          <w:b/>
          <w:sz w:val="24"/>
          <w:highlight w:val="none"/>
          <w:lang w:val="en-US" w:eastAsia="zh-CN"/>
        </w:rPr>
        <w:t xml:space="preserve">一</w:t>
      </w:r>
      <w:r>
        <w:rPr>
          <w:b/>
          <w:sz w:val="24"/>
          <w:highlight w:val="none"/>
        </w:rPr>
        <w:t xml:space="preserve">、争议的解决</w:t>
      </w:r>
      <w:r/>
    </w:p>
    <w:p>
      <w:pPr>
        <w:ind w:firstLine="480"/>
        <w:jc w:val="left"/>
        <w:spacing w:line="360" w:lineRule="auto"/>
        <w:rPr>
          <w:sz w:val="24"/>
          <w:highlight w:val="none"/>
        </w:rPr>
      </w:pPr>
      <w:r>
        <w:rPr>
          <w:sz w:val="24"/>
          <w:highlight w:val="none"/>
        </w:rPr>
        <w:t xml:space="preserve">因执行本合同所发生的或与本合同有关的一切争议，双方应通过友好协商解决。如果协商不能解决，双方确定通过向甲方住所地有管辖权的人民法院提起诉讼方式解决争议。</w:t>
      </w:r>
      <w:r/>
    </w:p>
    <w:p>
      <w:pPr>
        <w:ind w:firstLine="482"/>
        <w:jc w:val="left"/>
        <w:spacing w:line="360" w:lineRule="auto"/>
        <w:rPr>
          <w:b/>
          <w:sz w:val="24"/>
          <w:highlight w:val="none"/>
        </w:rPr>
      </w:pPr>
      <w:r>
        <w:rPr>
          <w:b/>
          <w:sz w:val="24"/>
          <w:highlight w:val="none"/>
        </w:rPr>
        <w:t xml:space="preserve">十</w:t>
      </w:r>
      <w:r>
        <w:rPr>
          <w:rFonts w:hint="eastAsia"/>
          <w:b/>
          <w:sz w:val="24"/>
          <w:highlight w:val="none"/>
          <w:lang w:val="en-US" w:eastAsia="zh-CN"/>
        </w:rPr>
        <w:t xml:space="preserve">二</w:t>
      </w:r>
      <w:r>
        <w:rPr>
          <w:b/>
          <w:sz w:val="24"/>
          <w:highlight w:val="none"/>
        </w:rPr>
        <w:t xml:space="preserve">、适用法律</w:t>
      </w:r>
      <w:r/>
    </w:p>
    <w:p>
      <w:pPr>
        <w:ind w:firstLine="480"/>
        <w:jc w:val="left"/>
        <w:spacing w:line="360" w:lineRule="auto"/>
        <w:rPr>
          <w:sz w:val="24"/>
          <w:highlight w:val="none"/>
        </w:rPr>
      </w:pPr>
      <w:r>
        <w:rPr>
          <w:sz w:val="24"/>
          <w:highlight w:val="none"/>
        </w:rPr>
        <w:t xml:space="preserve">本合同按照中华人民共和国的法律进行解释。</w:t>
      </w:r>
      <w:r/>
    </w:p>
    <w:p>
      <w:pPr>
        <w:ind w:firstLine="482"/>
        <w:jc w:val="left"/>
        <w:spacing w:line="360" w:lineRule="auto"/>
        <w:rPr>
          <w:b/>
          <w:sz w:val="24"/>
          <w:highlight w:val="none"/>
        </w:rPr>
      </w:pPr>
      <w:r>
        <w:rPr>
          <w:b/>
          <w:sz w:val="24"/>
          <w:highlight w:val="none"/>
        </w:rPr>
        <w:t xml:space="preserve">十</w:t>
      </w:r>
      <w:r>
        <w:rPr>
          <w:rFonts w:hint="eastAsia"/>
          <w:b/>
          <w:sz w:val="24"/>
          <w:highlight w:val="none"/>
          <w:lang w:val="en-US" w:eastAsia="zh-CN"/>
        </w:rPr>
        <w:t xml:space="preserve">三</w:t>
      </w:r>
      <w:r>
        <w:rPr>
          <w:b/>
          <w:sz w:val="24"/>
          <w:highlight w:val="none"/>
        </w:rPr>
        <w:t xml:space="preserve">、合同生效</w:t>
      </w:r>
      <w:r/>
    </w:p>
    <w:p>
      <w:pPr>
        <w:ind w:firstLine="480"/>
        <w:jc w:val="left"/>
        <w:spacing w:line="360" w:lineRule="auto"/>
        <w:rPr>
          <w:sz w:val="24"/>
          <w:highlight w:val="none"/>
        </w:rPr>
      </w:pPr>
      <w:r>
        <w:rPr>
          <w:sz w:val="24"/>
          <w:highlight w:val="none"/>
        </w:rPr>
        <w:t xml:space="preserve">合同经双方授权代表签字盖章后生效，合同签署日期以较迟签注的日期为准。</w:t>
      </w:r>
      <w:r/>
    </w:p>
    <w:p>
      <w:pPr>
        <w:ind w:firstLine="482"/>
        <w:jc w:val="left"/>
        <w:spacing w:line="360" w:lineRule="auto"/>
        <w:rPr>
          <w:b/>
          <w:sz w:val="24"/>
          <w:highlight w:val="none"/>
        </w:rPr>
      </w:pPr>
      <w:r>
        <w:rPr>
          <w:b/>
          <w:sz w:val="24"/>
          <w:highlight w:val="none"/>
        </w:rPr>
        <w:t xml:space="preserve">十</w:t>
      </w:r>
      <w:r>
        <w:rPr>
          <w:rFonts w:hint="eastAsia"/>
          <w:b/>
          <w:sz w:val="24"/>
          <w:highlight w:val="none"/>
          <w:lang w:val="en-US" w:eastAsia="zh-CN"/>
        </w:rPr>
        <w:t xml:space="preserve">四</w:t>
      </w:r>
      <w:r>
        <w:rPr>
          <w:b/>
          <w:sz w:val="24"/>
          <w:highlight w:val="none"/>
        </w:rPr>
        <w:t xml:space="preserve">、其它</w:t>
      </w:r>
      <w:r/>
    </w:p>
    <w:p>
      <w:pPr>
        <w:ind w:firstLine="480"/>
        <w:jc w:val="left"/>
        <w:spacing w:line="360" w:lineRule="auto"/>
        <w:rPr>
          <w:sz w:val="24"/>
          <w:highlight w:val="none"/>
        </w:rPr>
      </w:pPr>
      <w:r>
        <w:rPr>
          <w:sz w:val="24"/>
          <w:highlight w:val="none"/>
        </w:rPr>
        <w:t xml:space="preserve">1</w:t>
      </w:r>
      <w:r>
        <w:rPr>
          <w:rFonts w:hint="eastAsia"/>
          <w:sz w:val="24"/>
          <w:highlight w:val="none"/>
        </w:rPr>
        <w:t xml:space="preserve">、</w:t>
      </w:r>
      <w:r>
        <w:rPr>
          <w:sz w:val="24"/>
          <w:highlight w:val="none"/>
        </w:rPr>
        <w:t xml:space="preserve">中标通知书、投标文件、招标文件及本合同之所有附件均为本合同的有效组成部分，与本合同具有同样法律效力，解释的顺序以文件生成时间在后的为准。</w:t>
      </w:r>
      <w:r/>
    </w:p>
    <w:p>
      <w:pPr>
        <w:ind w:firstLine="480"/>
        <w:jc w:val="left"/>
        <w:spacing w:line="360" w:lineRule="auto"/>
        <w:rPr>
          <w:sz w:val="24"/>
          <w:highlight w:val="none"/>
        </w:rPr>
      </w:pPr>
      <w:r>
        <w:rPr>
          <w:sz w:val="24"/>
          <w:highlight w:val="none"/>
        </w:rPr>
        <w:t xml:space="preserve">2</w:t>
      </w:r>
      <w:r>
        <w:rPr>
          <w:rFonts w:hint="eastAsia"/>
          <w:sz w:val="24"/>
          <w:highlight w:val="none"/>
        </w:rPr>
        <w:t xml:space="preserve">、</w:t>
      </w:r>
      <w:r>
        <w:rPr>
          <w:sz w:val="24"/>
          <w:highlight w:val="none"/>
        </w:rPr>
        <w:t xml:space="preserve">在执行本合同的过程中，所有经甲乙双方签署确认的文件（包括会议纪要、补充协议、合同修改书、往来信函等）均为本合同的有效组成部分，其生效日期为双方均签字盖章或确认之日期。</w:t>
      </w:r>
      <w:r/>
    </w:p>
    <w:p>
      <w:pPr>
        <w:ind w:firstLine="480"/>
        <w:jc w:val="left"/>
        <w:spacing w:line="360" w:lineRule="auto"/>
        <w:rPr>
          <w:sz w:val="24"/>
          <w:highlight w:val="none"/>
        </w:rPr>
      </w:pPr>
      <w:r>
        <w:rPr>
          <w:sz w:val="24"/>
          <w:highlight w:val="none"/>
        </w:rPr>
        <w:t xml:space="preserve">3</w:t>
      </w:r>
      <w:r>
        <w:rPr>
          <w:rFonts w:hint="eastAsia"/>
          <w:sz w:val="24"/>
          <w:highlight w:val="none"/>
        </w:rPr>
        <w:t xml:space="preserve">、</w:t>
      </w:r>
      <w:r>
        <w:rPr>
          <w:sz w:val="24"/>
          <w:highlight w:val="none"/>
        </w:rPr>
        <w:t xml:space="preserve">本合同一式</w:t>
      </w:r>
      <w:r>
        <w:rPr>
          <w:rFonts w:hint="eastAsia"/>
          <w:sz w:val="24"/>
          <w:highlight w:val="none"/>
        </w:rPr>
        <w:t xml:space="preserve">陆</w:t>
      </w:r>
      <w:r>
        <w:rPr>
          <w:sz w:val="24"/>
          <w:highlight w:val="none"/>
        </w:rPr>
        <w:t xml:space="preserve">份，甲乙双方各</w:t>
      </w:r>
      <w:r>
        <w:rPr>
          <w:rFonts w:hint="eastAsia"/>
          <w:sz w:val="24"/>
          <w:highlight w:val="none"/>
        </w:rPr>
        <w:t xml:space="preserve">叁</w:t>
      </w:r>
      <w:r>
        <w:rPr>
          <w:sz w:val="24"/>
          <w:highlight w:val="none"/>
        </w:rPr>
        <w:t xml:space="preserve">份。</w:t>
      </w:r>
      <w:r/>
    </w:p>
    <w:p>
      <w:pPr>
        <w:rPr>
          <w:highlight w:val="none"/>
        </w:rPr>
      </w:pPr>
      <w:r>
        <w:rPr>
          <w:highlight w:val="none"/>
        </w:rPr>
      </w:r>
      <w:r/>
    </w:p>
    <w:p>
      <w:pPr>
        <w:rPr>
          <w:highlight w:val="none"/>
        </w:rPr>
      </w:pPr>
      <w:r>
        <w:rPr>
          <w:highlight w:val="none"/>
        </w:rPr>
      </w:r>
      <w:r/>
    </w:p>
    <w:p>
      <w:pPr>
        <w:jc w:val="left"/>
        <w:spacing w:line="360" w:lineRule="auto"/>
        <w:rPr>
          <w:sz w:val="24"/>
          <w:highlight w:val="none"/>
        </w:rPr>
      </w:pPr>
      <w:r>
        <w:rPr>
          <w:sz w:val="24"/>
          <w:highlight w:val="none"/>
        </w:rPr>
        <w:t xml:space="preserve">甲方：</w:t>
      </w:r>
      <w:r>
        <w:rPr>
          <w:rFonts w:hint="eastAsia"/>
          <w:sz w:val="24"/>
          <w:highlight w:val="none"/>
        </w:rPr>
        <w:t xml:space="preserve">                                   </w:t>
      </w:r>
      <w:r>
        <w:rPr>
          <w:sz w:val="24"/>
          <w:highlight w:val="none"/>
        </w:rPr>
        <w:t xml:space="preserve">乙方：</w:t>
      </w:r>
      <w:r/>
    </w:p>
    <w:p>
      <w:pPr>
        <w:jc w:val="left"/>
        <w:spacing w:line="360" w:lineRule="auto"/>
        <w:rPr>
          <w:sz w:val="24"/>
          <w:highlight w:val="none"/>
        </w:rPr>
      </w:pPr>
      <w:r>
        <w:rPr>
          <w:sz w:val="24"/>
          <w:highlight w:val="none"/>
        </w:rPr>
        <w:t xml:space="preserve">地址：</w:t>
      </w:r>
      <w:r>
        <w:rPr>
          <w:rFonts w:hint="eastAsia"/>
          <w:sz w:val="24"/>
          <w:highlight w:val="none"/>
        </w:rPr>
        <w:t xml:space="preserve">                                   </w:t>
      </w:r>
      <w:r>
        <w:rPr>
          <w:sz w:val="24"/>
          <w:highlight w:val="none"/>
        </w:rPr>
        <w:t xml:space="preserve">地址：</w:t>
      </w:r>
      <w:r/>
    </w:p>
    <w:p>
      <w:pPr>
        <w:jc w:val="left"/>
        <w:spacing w:line="360" w:lineRule="auto"/>
        <w:rPr>
          <w:sz w:val="24"/>
          <w:highlight w:val="none"/>
        </w:rPr>
      </w:pPr>
      <w:r>
        <w:rPr>
          <w:sz w:val="24"/>
          <w:highlight w:val="none"/>
        </w:rPr>
        <w:t xml:space="preserve">法定代表人或委托代理人：</w:t>
      </w:r>
      <w:r>
        <w:rPr>
          <w:rFonts w:hint="eastAsia"/>
          <w:sz w:val="24"/>
          <w:highlight w:val="none"/>
        </w:rPr>
        <w:t xml:space="preserve">                 </w:t>
      </w:r>
      <w:r>
        <w:rPr>
          <w:sz w:val="24"/>
          <w:highlight w:val="none"/>
        </w:rPr>
        <w:t xml:space="preserve">法定代表人或委托代理人：</w:t>
      </w:r>
      <w:r/>
    </w:p>
    <w:p>
      <w:pPr>
        <w:jc w:val="left"/>
        <w:spacing w:line="360" w:lineRule="auto"/>
        <w:rPr>
          <w:sz w:val="24"/>
          <w:highlight w:val="none"/>
        </w:rPr>
      </w:pPr>
      <w:r>
        <w:rPr>
          <w:sz w:val="24"/>
          <w:highlight w:val="none"/>
        </w:rPr>
        <w:t xml:space="preserve">电话：</w:t>
      </w:r>
      <w:r>
        <w:rPr>
          <w:rFonts w:hint="eastAsia"/>
          <w:sz w:val="24"/>
          <w:highlight w:val="none"/>
        </w:rPr>
        <w:t xml:space="preserve">                                   </w:t>
      </w:r>
      <w:r>
        <w:rPr>
          <w:sz w:val="24"/>
          <w:highlight w:val="none"/>
        </w:rPr>
        <w:t xml:space="preserve">电话：</w:t>
      </w:r>
      <w:r/>
    </w:p>
    <w:p>
      <w:pPr>
        <w:jc w:val="left"/>
        <w:spacing w:line="360" w:lineRule="auto"/>
        <w:rPr>
          <w:sz w:val="24"/>
          <w:highlight w:val="none"/>
        </w:rPr>
      </w:pPr>
      <w:r>
        <w:rPr>
          <w:sz w:val="24"/>
          <w:highlight w:val="none"/>
        </w:rPr>
        <w:t xml:space="preserve">日期：    年 </w:t>
      </w:r>
      <w:r>
        <w:rPr>
          <w:rFonts w:hint="eastAsia"/>
          <w:sz w:val="24"/>
          <w:highlight w:val="none"/>
        </w:rPr>
        <w:t xml:space="preserve">    </w:t>
      </w:r>
      <w:r>
        <w:rPr>
          <w:sz w:val="24"/>
          <w:highlight w:val="none"/>
        </w:rPr>
        <w:t xml:space="preserve">月</w:t>
      </w:r>
      <w:r>
        <w:rPr>
          <w:rFonts w:hint="eastAsia"/>
          <w:sz w:val="24"/>
          <w:highlight w:val="none"/>
        </w:rPr>
        <w:t xml:space="preserve">    </w:t>
      </w:r>
      <w:r>
        <w:rPr>
          <w:sz w:val="24"/>
          <w:highlight w:val="none"/>
        </w:rPr>
        <w:t xml:space="preserve"> 日</w:t>
      </w:r>
      <w:r>
        <w:rPr>
          <w:rFonts w:hint="eastAsia"/>
          <w:sz w:val="24"/>
          <w:highlight w:val="none"/>
        </w:rPr>
        <w:t xml:space="preserve">               </w:t>
      </w:r>
      <w:r>
        <w:rPr>
          <w:sz w:val="24"/>
          <w:highlight w:val="none"/>
        </w:rPr>
        <w:t xml:space="preserve">日期：  </w:t>
      </w:r>
      <w:r>
        <w:rPr>
          <w:rFonts w:hint="eastAsia"/>
          <w:sz w:val="24"/>
          <w:highlight w:val="none"/>
        </w:rPr>
        <w:t xml:space="preserve">  </w:t>
      </w:r>
      <w:r>
        <w:rPr>
          <w:sz w:val="24"/>
          <w:highlight w:val="none"/>
        </w:rPr>
        <w:t xml:space="preserve"> 年  </w:t>
      </w:r>
      <w:r>
        <w:rPr>
          <w:rFonts w:hint="eastAsia"/>
          <w:sz w:val="24"/>
          <w:highlight w:val="none"/>
        </w:rPr>
        <w:t xml:space="preserve">  </w:t>
      </w:r>
      <w:r>
        <w:rPr>
          <w:sz w:val="24"/>
          <w:highlight w:val="none"/>
        </w:rPr>
        <w:t xml:space="preserve">月</w:t>
      </w:r>
      <w:r>
        <w:rPr>
          <w:rFonts w:hint="eastAsia"/>
          <w:sz w:val="24"/>
          <w:highlight w:val="none"/>
        </w:rPr>
        <w:t xml:space="preserve">   </w:t>
      </w:r>
      <w:r>
        <w:rPr>
          <w:sz w:val="24"/>
          <w:highlight w:val="none"/>
        </w:rPr>
        <w:t xml:space="preserve"> 日</w:t>
      </w:r>
      <w:r/>
    </w:p>
    <w:p>
      <w:pPr>
        <w:jc w:val="left"/>
        <w:widowControl/>
        <w:rPr>
          <w:highlight w:val="none"/>
        </w:rPr>
      </w:pPr>
      <w:r>
        <w:rPr>
          <w:highlight w:val="none"/>
        </w:rPr>
        <w:br w:type="page" w:clear="all"/>
      </w:r>
      <w:r/>
    </w:p>
    <w:p>
      <w:pPr>
        <w:jc w:val="left"/>
        <w:spacing w:line="360" w:lineRule="auto"/>
        <w:widowControl/>
        <w:rPr>
          <w:b/>
          <w:bCs/>
          <w:sz w:val="24"/>
          <w:highlight w:val="none"/>
        </w:rPr>
      </w:pPr>
      <w:r>
        <w:rPr>
          <w:rFonts w:hint="eastAsia"/>
          <w:b/>
          <w:bCs/>
          <w:sz w:val="24"/>
          <w:highlight w:val="none"/>
        </w:rPr>
        <w:t xml:space="preserve">附件：服务内容</w:t>
      </w:r>
      <w:r/>
    </w:p>
    <w:p>
      <w:pPr>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（一）大气环境立体监测网络服务</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1、微站网格化监测服务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在国控站点周边布设不少于71台微站，包括不少于56台六参数网格化微站和不少于15台TVOCs微站。除固定布设的网格化微站外，供应商提供5台备用微站按需调用。</w:t>
      </w:r>
      <w:r/>
    </w:p>
    <w:p>
      <w:pPr>
        <w:ind w:firstLine="482"/>
        <w:spacing w:line="360" w:lineRule="auto"/>
        <w:rPr>
          <w:rFonts w:hint="default" w:ascii="Times New Roman" w:hAnsi="Times New Roman" w:eastAsia="宋体" w:cs="Times New Roman"/>
          <w:b/>
          <w:color w:val="000000"/>
          <w:sz w:val="24"/>
          <w:szCs w:val="24"/>
          <w:highlight w:val="none"/>
        </w:rPr>
        <w:outlineLvl w:val="1"/>
      </w:pPr>
      <w:r>
        <w:rPr>
          <w:rFonts w:hint="default" w:ascii="Times New Roman" w:hAnsi="Times New Roman" w:eastAsia="宋体" w:cs="Times New Roman"/>
          <w:b/>
          <w:color w:val="000000"/>
          <w:sz w:val="24"/>
          <w:szCs w:val="24"/>
          <w:highlight w:val="none"/>
        </w:rPr>
        <w:t xml:space="preserve">（</w:t>
      </w:r>
      <w:r>
        <w:rPr>
          <w:rFonts w:hint="default" w:ascii="Times New Roman" w:hAnsi="Times New Roman" w:eastAsia="宋体" w:cs="Times New Roman"/>
          <w:b/>
          <w:color w:val="000000"/>
          <w:sz w:val="24"/>
          <w:szCs w:val="24"/>
          <w:highlight w:val="none"/>
          <w:lang w:eastAsia="zh-CN"/>
        </w:rPr>
        <w:t xml:space="preserve">二</w:t>
      </w:r>
      <w:r>
        <w:rPr>
          <w:rFonts w:hint="default" w:ascii="Times New Roman" w:hAnsi="Times New Roman" w:eastAsia="宋体" w:cs="Times New Roman"/>
          <w:b/>
          <w:color w:val="000000"/>
          <w:sz w:val="24"/>
          <w:szCs w:val="24"/>
          <w:highlight w:val="none"/>
        </w:rPr>
        <w:t xml:space="preserve">）智慧AI大数据服务</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1.</w:t>
      </w:r>
      <w:r>
        <w:rPr>
          <w:rFonts w:hint="default" w:ascii="Times New Roman" w:hAnsi="Times New Roman" w:eastAsia="宋体" w:cs="Times New Roman"/>
          <w:b/>
          <w:color w:val="000000"/>
          <w:sz w:val="24"/>
          <w:szCs w:val="24"/>
          <w:highlight w:val="none"/>
        </w:rPr>
        <w:t xml:space="preserve">低空哨兵无人机</w:t>
      </w:r>
      <w:r>
        <w:rPr>
          <w:rFonts w:hint="eastAsia" w:cs="Times New Roman"/>
          <w:b/>
          <w:color w:val="000000"/>
          <w:sz w:val="24"/>
          <w:szCs w:val="24"/>
          <w:highlight w:val="none"/>
          <w:lang w:eastAsia="zh-CN"/>
        </w:rPr>
        <w:t xml:space="preserve">智能</w:t>
      </w:r>
      <w:r>
        <w:rPr>
          <w:rFonts w:hint="default" w:ascii="Times New Roman" w:hAnsi="Times New Roman" w:eastAsia="宋体" w:cs="Times New Roman"/>
          <w:b/>
          <w:color w:val="000000"/>
          <w:sz w:val="24"/>
          <w:szCs w:val="24"/>
          <w:highlight w:val="none"/>
        </w:rPr>
        <w:t xml:space="preserve">溯源监管</w:t>
      </w:r>
      <w:r/>
    </w:p>
    <w:p>
      <w:pPr>
        <w:ind w:firstLine="480"/>
        <w:spacing w:line="360" w:lineRule="auto"/>
        <w:rPr>
          <w:rFonts w:hint="default" w:ascii="Times New Roman" w:hAnsi="Times New Roman" w:eastAsia="宋体" w:cs="Times New Roman"/>
          <w:color w:val="000000"/>
          <w:sz w:val="24"/>
          <w:szCs w:val="24"/>
          <w:highlight w:val="none"/>
          <w:lang w:val="en-US" w:eastAsia="zh-CN"/>
        </w:rPr>
        <w:outlineLvl w:val="1"/>
      </w:pPr>
      <w:r>
        <w:rPr>
          <w:rFonts w:hint="default" w:ascii="Times New Roman" w:hAnsi="Times New Roman" w:eastAsia="宋体" w:cs="Times New Roman"/>
          <w:color w:val="000000"/>
          <w:sz w:val="24"/>
          <w:szCs w:val="24"/>
          <w:highlight w:val="none"/>
        </w:rPr>
        <w:t xml:space="preserve">建设5台智能无人机库，配备无人机工程师1名，提供无接触巡查服务（包含更换电池及机库运维服务全部费用，以确保能为采购人提供服务）。每台无人机均具备红外摄像功能，支持云端设备管理，根据任务计划自动起飞作业。</w:t>
      </w:r>
      <w:r>
        <w:rPr>
          <w:rFonts w:hint="eastAsia" w:cs="Times New Roman"/>
          <w:color w:val="000000"/>
          <w:sz w:val="24"/>
          <w:szCs w:val="24"/>
          <w:highlight w:val="none"/>
          <w:lang w:eastAsia="zh-CN"/>
        </w:rPr>
        <w:t xml:space="preserve">基于</w:t>
      </w:r>
      <w:r>
        <w:rPr>
          <w:rFonts w:hint="eastAsia" w:cs="Times New Roman"/>
          <w:color w:val="000000"/>
          <w:sz w:val="24"/>
          <w:szCs w:val="24"/>
          <w:highlight w:val="none"/>
          <w:lang w:val="en-US" w:eastAsia="zh-CN"/>
        </w:rPr>
        <w:t xml:space="preserve">AI识别技术，对飞行过程中火点、烟雾、建筑工地等异常情况自动识别。</w:t>
      </w:r>
      <w:r/>
    </w:p>
    <w:p>
      <w:pPr>
        <w:ind w:firstLine="482"/>
        <w:spacing w:line="360" w:lineRule="auto"/>
        <w:rPr>
          <w:rFonts w:hint="default" w:ascii="Times New Roman" w:hAnsi="Times New Roman" w:eastAsia="宋体" w:cs="Times New Roman"/>
          <w:sz w:val="24"/>
          <w:highlight w:val="none"/>
          <w:lang w:val="en-US" w:eastAsia="zh-CN"/>
        </w:rPr>
        <w:outlineLvl w:val="1"/>
      </w:pPr>
      <w:r>
        <w:rPr>
          <w:rFonts w:hint="eastAsia" w:cs="Times New Roman"/>
          <w:b/>
          <w:color w:val="000000"/>
          <w:sz w:val="24"/>
          <w:szCs w:val="24"/>
          <w:highlight w:val="none"/>
          <w:lang w:val="en-US" w:eastAsia="zh-CN"/>
        </w:rPr>
        <w:t xml:space="preserve">2</w:t>
      </w:r>
      <w:r>
        <w:rPr>
          <w:rFonts w:hint="default" w:ascii="Times New Roman" w:hAnsi="Times New Roman" w:eastAsia="宋体" w:cs="Times New Roman"/>
          <w:b/>
          <w:color w:val="000000"/>
          <w:sz w:val="24"/>
          <w:szCs w:val="24"/>
          <w:highlight w:val="none"/>
          <w:lang w:val="en-US" w:eastAsia="zh-CN"/>
        </w:rPr>
        <w:t xml:space="preserve">.污染事件工单与闭环处置</w:t>
      </w:r>
      <w:r>
        <w:rPr>
          <w:rFonts w:hint="eastAsia" w:cs="Times New Roman"/>
          <w:b/>
          <w:color w:val="000000"/>
          <w:sz w:val="24"/>
          <w:szCs w:val="24"/>
          <w:highlight w:val="none"/>
          <w:lang w:val="en-US" w:eastAsia="zh-CN"/>
        </w:rPr>
        <w:t xml:space="preserve">自动化服务</w:t>
      </w:r>
      <w:r/>
    </w:p>
    <w:p>
      <w:pPr>
        <w:ind w:firstLine="482"/>
        <w:spacing w:line="360" w:lineRule="auto"/>
        <w:rPr>
          <w:rFonts w:hint="default" w:ascii="Times New Roman" w:hAnsi="Times New Roman" w:eastAsia="宋体" w:cs="Times New Roman"/>
          <w:b w:val="0"/>
          <w:bCs/>
          <w:color w:val="000000"/>
          <w:sz w:val="24"/>
          <w:szCs w:val="24"/>
          <w:highlight w:val="none"/>
        </w:rPr>
        <w:outlineLvl w:val="1"/>
      </w:pPr>
      <w:r>
        <w:rPr>
          <w:rFonts w:hint="default" w:ascii="Times New Roman" w:hAnsi="Times New Roman" w:eastAsia="宋体" w:cs="Times New Roman"/>
          <w:b w:val="0"/>
          <w:bCs/>
          <w:color w:val="000000"/>
          <w:sz w:val="24"/>
          <w:szCs w:val="24"/>
          <w:highlight w:val="none"/>
        </w:rPr>
        <w:t xml:space="preserve">针对现场排查及无人机飞航发现的污染高值及异常问题，支持自动生成污染事件工单，关联问题位置、监测数据、污染类型、研判结果等信息，并按照责任区域和管理权限自动推送至相关责任人员。</w:t>
      </w:r>
      <w:r/>
    </w:p>
    <w:p>
      <w:pPr>
        <w:ind w:firstLine="480"/>
        <w:spacing w:line="360" w:lineRule="auto"/>
        <w:rPr>
          <w:rFonts w:hint="default" w:ascii="Times New Roman" w:hAnsi="Times New Roman" w:eastAsia="宋体" w:cs="Times New Roman"/>
          <w:b/>
          <w:bCs/>
          <w:color w:val="000000"/>
          <w:sz w:val="24"/>
          <w:szCs w:val="24"/>
          <w:highlight w:val="none"/>
          <w:lang w:val="en-US" w:eastAsia="zh-CN"/>
        </w:rPr>
        <w:outlineLvl w:val="1"/>
      </w:pPr>
      <w:r>
        <w:rPr>
          <w:rFonts w:hint="eastAsia" w:cs="Times New Roman"/>
          <w:b/>
          <w:bCs/>
          <w:color w:val="000000"/>
          <w:sz w:val="24"/>
          <w:szCs w:val="24"/>
          <w:highlight w:val="none"/>
          <w:lang w:val="en-US" w:eastAsia="zh-CN"/>
        </w:rPr>
        <w:t xml:space="preserve">3</w:t>
      </w:r>
      <w:r>
        <w:rPr>
          <w:rFonts w:hint="default" w:ascii="Times New Roman" w:hAnsi="Times New Roman" w:eastAsia="宋体" w:cs="Times New Roman"/>
          <w:b/>
          <w:bCs/>
          <w:color w:val="000000"/>
          <w:sz w:val="24"/>
          <w:szCs w:val="24"/>
          <w:highlight w:val="none"/>
          <w:lang w:val="en-US" w:eastAsia="zh-CN"/>
        </w:rPr>
        <w:t xml:space="preserve">.智能播报</w:t>
      </w:r>
      <w:r>
        <w:rPr>
          <w:rFonts w:hint="eastAsia" w:cs="Times New Roman"/>
          <w:b/>
          <w:bCs/>
          <w:color w:val="000000"/>
          <w:sz w:val="24"/>
          <w:szCs w:val="24"/>
          <w:highlight w:val="none"/>
          <w:lang w:val="en-US" w:eastAsia="zh-CN"/>
        </w:rPr>
        <w:t xml:space="preserve">服务</w:t>
      </w:r>
      <w:r/>
    </w:p>
    <w:p>
      <w:pPr>
        <w:ind w:firstLine="480"/>
        <w:spacing w:line="360" w:lineRule="auto"/>
        <w:rPr>
          <w:rFonts w:hint="default"/>
          <w:highlight w:val="none"/>
        </w:rPr>
        <w:outlineLvl w:val="1"/>
      </w:pPr>
      <w:r>
        <w:rPr>
          <w:rFonts w:hint="default" w:ascii="Times New Roman" w:hAnsi="Times New Roman" w:eastAsia="宋体" w:cs="Times New Roman"/>
          <w:color w:val="000000"/>
          <w:sz w:val="24"/>
          <w:szCs w:val="24"/>
          <w:highlight w:val="none"/>
          <w:lang w:eastAsia="zh-CN"/>
        </w:rPr>
        <w:t xml:space="preserve">定时自动</w:t>
      </w:r>
      <w:r>
        <w:rPr>
          <w:rFonts w:hint="default" w:ascii="Times New Roman" w:hAnsi="Times New Roman" w:eastAsia="宋体" w:cs="Times New Roman"/>
          <w:color w:val="000000"/>
          <w:sz w:val="24"/>
          <w:szCs w:val="24"/>
          <w:highlight w:val="none"/>
        </w:rPr>
        <w:t xml:space="preserve">推送关联分析图表、自动推送余量表、高值报警、空气质量日报等常规化分析报表。</w:t>
      </w:r>
      <w:r/>
    </w:p>
    <w:p>
      <w:pPr>
        <w:ind w:firstLine="482"/>
        <w:spacing w:line="360" w:lineRule="auto"/>
        <w:rPr>
          <w:rFonts w:hint="default" w:ascii="Times New Roman" w:hAnsi="Times New Roman" w:eastAsia="宋体" w:cs="Times New Roman"/>
          <w:b/>
          <w:color w:val="000000"/>
          <w:sz w:val="24"/>
          <w:szCs w:val="24"/>
          <w:highlight w:val="none"/>
        </w:rPr>
        <w:outlineLvl w:val="1"/>
      </w:pPr>
      <w:r>
        <w:rPr>
          <w:rFonts w:hint="default" w:ascii="Times New Roman" w:hAnsi="Times New Roman" w:eastAsia="宋体" w:cs="Times New Roman"/>
          <w:b/>
          <w:color w:val="000000"/>
          <w:sz w:val="24"/>
          <w:szCs w:val="24"/>
          <w:highlight w:val="none"/>
        </w:rPr>
        <w:t xml:space="preserve">（</w:t>
      </w:r>
      <w:r>
        <w:rPr>
          <w:rFonts w:hint="default" w:ascii="Times New Roman" w:hAnsi="Times New Roman" w:eastAsia="宋体" w:cs="Times New Roman"/>
          <w:b/>
          <w:color w:val="000000"/>
          <w:sz w:val="24"/>
          <w:szCs w:val="24"/>
          <w:highlight w:val="none"/>
          <w:lang w:eastAsia="zh-CN"/>
        </w:rPr>
        <w:t xml:space="preserve">三</w:t>
      </w:r>
      <w:r>
        <w:rPr>
          <w:rFonts w:hint="default" w:ascii="Times New Roman" w:hAnsi="Times New Roman" w:eastAsia="宋体" w:cs="Times New Roman"/>
          <w:b/>
          <w:color w:val="000000"/>
          <w:sz w:val="24"/>
          <w:szCs w:val="24"/>
          <w:highlight w:val="none"/>
        </w:rPr>
        <w:t xml:space="preserve">）大气精准管控综合驻场服务</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rPr>
        <w:t xml:space="preserve">1、大气污染过程分析</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通过对历史数据、气象条件、污染源分布等信息，对阶段性空气质量形势开展综合分析，提供专业化的成果。</w:t>
      </w:r>
      <w:r/>
    </w:p>
    <w:p>
      <w:pPr>
        <w:ind w:firstLine="482"/>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2</w:t>
      </w:r>
      <w:r>
        <w:rPr>
          <w:rFonts w:hint="default" w:ascii="Times New Roman" w:hAnsi="Times New Roman" w:eastAsia="宋体" w:cs="Times New Roman"/>
          <w:b/>
          <w:color w:val="000000"/>
          <w:sz w:val="24"/>
          <w:szCs w:val="24"/>
          <w:highlight w:val="none"/>
        </w:rPr>
        <w:t xml:space="preserve">、点位精细化溯源</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对高值站点开展攻坚溯源，通过精准研判-拉网溯源-量化评估-复查回顾等措施，对站点污染成因进行挖掘，提供问题清单及治理建议，制定系统的提升方案。</w:t>
      </w:r>
      <w:r/>
    </w:p>
    <w:p>
      <w:pPr>
        <w:numPr>
          <w:ilvl w:val="0"/>
          <w:numId w:val="0"/>
        </w:num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eastAsia="zh-CN"/>
        </w:rPr>
        <w:t xml:space="preserve">（四）</w:t>
      </w:r>
      <w:r>
        <w:rPr>
          <w:rFonts w:hint="default" w:ascii="Times New Roman" w:hAnsi="Times New Roman" w:eastAsia="宋体" w:cs="Times New Roman"/>
          <w:b/>
          <w:color w:val="000000"/>
          <w:sz w:val="24"/>
          <w:szCs w:val="24"/>
          <w:highlight w:val="none"/>
        </w:rPr>
        <w:t xml:space="preserve">污染物</w:t>
      </w:r>
      <w:r>
        <w:rPr>
          <w:rFonts w:hint="default" w:ascii="Times New Roman" w:hAnsi="Times New Roman" w:eastAsia="宋体" w:cs="Times New Roman"/>
          <w:b/>
          <w:color w:val="000000"/>
          <w:sz w:val="24"/>
          <w:szCs w:val="24"/>
          <w:highlight w:val="none"/>
          <w:lang w:eastAsia="zh-CN"/>
        </w:rPr>
        <w:t xml:space="preserve">走航</w:t>
      </w:r>
      <w:r>
        <w:rPr>
          <w:rFonts w:hint="default" w:ascii="Times New Roman" w:hAnsi="Times New Roman" w:eastAsia="宋体" w:cs="Times New Roman"/>
          <w:b/>
          <w:color w:val="000000"/>
          <w:sz w:val="24"/>
          <w:szCs w:val="24"/>
          <w:highlight w:val="none"/>
        </w:rPr>
        <w:t xml:space="preserve">动态监测</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1</w:t>
      </w:r>
      <w:r>
        <w:rPr>
          <w:rFonts w:hint="default" w:ascii="Times New Roman" w:hAnsi="Times New Roman" w:eastAsia="宋体" w:cs="Times New Roman"/>
          <w:b/>
          <w:color w:val="000000"/>
          <w:sz w:val="24"/>
          <w:szCs w:val="24"/>
          <w:highlight w:val="none"/>
        </w:rPr>
        <w:t xml:space="preserve">、六参数走航监测服务</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安排专业技术人员，配备六参数走航车、无人机、便携式监测设备，对南通市重点地区开展六参数（PM</w:t>
      </w:r>
      <w:r>
        <w:rPr>
          <w:rFonts w:hint="default" w:ascii="Times New Roman" w:hAnsi="Times New Roman" w:eastAsia="宋体" w:cs="Times New Roman"/>
          <w:color w:val="000000"/>
          <w:sz w:val="24"/>
          <w:szCs w:val="24"/>
          <w:highlight w:val="none"/>
          <w:vertAlign w:val="subscript"/>
        </w:rPr>
        <w:t xml:space="preserve">2.5</w:t>
      </w:r>
      <w:r>
        <w:rPr>
          <w:rFonts w:hint="default" w:ascii="Times New Roman" w:hAnsi="Times New Roman" w:eastAsia="宋体" w:cs="Times New Roman"/>
          <w:color w:val="000000"/>
          <w:sz w:val="24"/>
          <w:szCs w:val="24"/>
          <w:highlight w:val="none"/>
        </w:rPr>
        <w:t xml:space="preserve">、PM</w:t>
      </w:r>
      <w:r>
        <w:rPr>
          <w:rFonts w:hint="default" w:ascii="Times New Roman" w:hAnsi="Times New Roman" w:eastAsia="宋体" w:cs="Times New Roman"/>
          <w:color w:val="000000"/>
          <w:sz w:val="24"/>
          <w:szCs w:val="24"/>
          <w:highlight w:val="none"/>
          <w:vertAlign w:val="subscript"/>
        </w:rPr>
        <w:t xml:space="preserve">10</w:t>
      </w:r>
      <w:r>
        <w:rPr>
          <w:rFonts w:hint="default" w:ascii="Times New Roman" w:hAnsi="Times New Roman" w:eastAsia="宋体" w:cs="Times New Roman"/>
          <w:color w:val="000000"/>
          <w:sz w:val="24"/>
          <w:szCs w:val="24"/>
          <w:highlight w:val="none"/>
        </w:rPr>
        <w:t xml:space="preserve">、SO</w:t>
      </w:r>
      <w:r>
        <w:rPr>
          <w:rFonts w:hint="default" w:ascii="Times New Roman" w:hAnsi="Times New Roman" w:eastAsia="宋体" w:cs="Times New Roman"/>
          <w:color w:val="000000"/>
          <w:sz w:val="24"/>
          <w:szCs w:val="24"/>
          <w:highlight w:val="none"/>
          <w:vertAlign w:val="subscript"/>
        </w:rPr>
        <w:t xml:space="preserve">2</w:t>
      </w:r>
      <w:r>
        <w:rPr>
          <w:rFonts w:hint="default" w:ascii="Times New Roman" w:hAnsi="Times New Roman" w:eastAsia="宋体" w:cs="Times New Roman"/>
          <w:color w:val="000000"/>
          <w:sz w:val="24"/>
          <w:szCs w:val="24"/>
          <w:highlight w:val="none"/>
        </w:rPr>
        <w:t xml:space="preserve">、NO</w:t>
      </w:r>
      <w:r>
        <w:rPr>
          <w:rFonts w:hint="default" w:ascii="Times New Roman" w:hAnsi="Times New Roman" w:eastAsia="宋体" w:cs="Times New Roman"/>
          <w:color w:val="000000"/>
          <w:sz w:val="24"/>
          <w:szCs w:val="24"/>
          <w:highlight w:val="none"/>
          <w:vertAlign w:val="subscript"/>
        </w:rPr>
        <w:t xml:space="preserve">2</w:t>
      </w:r>
      <w:r>
        <w:rPr>
          <w:rFonts w:hint="default" w:ascii="Times New Roman" w:hAnsi="Times New Roman" w:eastAsia="宋体" w:cs="Times New Roman"/>
          <w:color w:val="000000"/>
          <w:sz w:val="24"/>
          <w:szCs w:val="24"/>
          <w:highlight w:val="none"/>
        </w:rPr>
        <w:t xml:space="preserve">、O</w:t>
      </w:r>
      <w:r>
        <w:rPr>
          <w:rFonts w:hint="default" w:ascii="Times New Roman" w:hAnsi="Times New Roman" w:eastAsia="宋体" w:cs="Times New Roman"/>
          <w:color w:val="000000"/>
          <w:sz w:val="24"/>
          <w:szCs w:val="24"/>
          <w:highlight w:val="none"/>
          <w:vertAlign w:val="subscript"/>
        </w:rPr>
        <w:t xml:space="preserve">3</w:t>
      </w:r>
      <w:r>
        <w:rPr>
          <w:rFonts w:hint="default" w:ascii="Times New Roman" w:hAnsi="Times New Roman" w:eastAsia="宋体" w:cs="Times New Roman"/>
          <w:color w:val="000000"/>
          <w:sz w:val="24"/>
          <w:szCs w:val="24"/>
          <w:highlight w:val="none"/>
        </w:rPr>
        <w:t xml:space="preserve">、CO）地面走航监测任务，服务期间，开展不少于</w:t>
      </w:r>
      <w:r>
        <w:rPr>
          <w:rFonts w:hint="default" w:ascii="Times New Roman" w:hAnsi="Times New Roman" w:eastAsia="宋体" w:cs="Times New Roman"/>
          <w:color w:val="000000"/>
          <w:sz w:val="24"/>
          <w:szCs w:val="24"/>
          <w:highlight w:val="none"/>
          <w:lang w:val="en-US" w:eastAsia="zh-CN"/>
        </w:rPr>
        <w:t xml:space="preserve">1</w:t>
      </w:r>
      <w:r>
        <w:rPr>
          <w:rFonts w:hint="eastAsia" w:eastAsia="宋体" w:cs="Times New Roman"/>
          <w:color w:val="000000"/>
          <w:sz w:val="24"/>
          <w:szCs w:val="24"/>
          <w:highlight w:val="none"/>
          <w:lang w:val="en-US" w:eastAsia="zh-CN"/>
        </w:rPr>
        <w:t xml:space="preserve">50</w:t>
      </w:r>
      <w:r>
        <w:rPr>
          <w:rFonts w:hint="default" w:ascii="Times New Roman" w:hAnsi="Times New Roman" w:eastAsia="宋体" w:cs="Times New Roman"/>
          <w:color w:val="000000"/>
          <w:sz w:val="24"/>
          <w:szCs w:val="24"/>
          <w:highlight w:val="none"/>
        </w:rPr>
        <w:t xml:space="preserve">次。</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2</w:t>
      </w:r>
      <w:r>
        <w:rPr>
          <w:rFonts w:hint="default" w:ascii="Times New Roman" w:hAnsi="Times New Roman" w:eastAsia="宋体" w:cs="Times New Roman"/>
          <w:b/>
          <w:color w:val="000000"/>
          <w:sz w:val="24"/>
          <w:szCs w:val="24"/>
          <w:highlight w:val="none"/>
        </w:rPr>
        <w:t xml:space="preserve">、颗粒物(激光雷达)走航监测服务</w:t>
      </w:r>
      <w:r/>
    </w:p>
    <w:p>
      <w:pPr>
        <w:ind w:firstLine="482"/>
        <w:spacing w:line="360" w:lineRule="auto"/>
        <w:rPr>
          <w:rFonts w:hint="eastAsia"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服务期间，颗粒物走航不少于10次（天），每次走航距离不少于80公里</w:t>
      </w:r>
      <w:r>
        <w:rPr>
          <w:rFonts w:hint="eastAsia" w:cs="Times New Roman"/>
          <w:color w:val="000000"/>
          <w:sz w:val="24"/>
          <w:szCs w:val="24"/>
          <w:highlight w:val="none"/>
          <w:lang w:eastAsia="zh-CN"/>
        </w:rPr>
        <w:t xml:space="preserve">。</w:t>
      </w:r>
      <w:r/>
    </w:p>
    <w:p>
      <w:pPr>
        <w:ind w:firstLine="482"/>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lang w:val="en-US" w:eastAsia="zh-CN"/>
        </w:rPr>
        <w:t xml:space="preserve">3</w:t>
      </w:r>
      <w:r>
        <w:rPr>
          <w:rFonts w:hint="default" w:ascii="Times New Roman" w:hAnsi="Times New Roman" w:eastAsia="宋体" w:cs="Times New Roman"/>
          <w:b/>
          <w:color w:val="000000"/>
          <w:sz w:val="24"/>
          <w:szCs w:val="24"/>
          <w:highlight w:val="none"/>
        </w:rPr>
        <w:t xml:space="preserve">、走航车运维及质控服务</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对南通市自有走航监测车开展整体运维服务，包括车辆驾驶、清洁和维修保养，以及车载仪器的使用、运行维护、意外保障，具体如下：</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1）保持仪器设备干净清洁，设备标识清楚；</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2）检查供电、通讯的情况，保证系统的正常运行；</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3）定期对数据备份；</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4）对设备的故障进行维修；</w:t>
      </w:r>
      <w:r/>
    </w:p>
    <w:p>
      <w:pPr>
        <w:ind w:firstLine="48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5）做好突发环境事件期间仪器运行的保障和支持工作；</w:t>
      </w:r>
      <w:r/>
    </w:p>
    <w:p>
      <w:pPr>
        <w:ind w:firstLine="480"/>
        <w:spacing w:line="360" w:lineRule="auto"/>
        <w:rPr>
          <w:rFonts w:hint="eastAsia"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6）常规设备维护，至少每天上午和下午两次查看监测仪器数据并形成记录</w:t>
      </w:r>
      <w:r>
        <w:rPr>
          <w:rFonts w:hint="eastAsia" w:cs="Times New Roman"/>
          <w:color w:val="000000"/>
          <w:sz w:val="24"/>
          <w:szCs w:val="24"/>
          <w:highlight w:val="none"/>
          <w:lang w:eastAsia="zh-CN"/>
        </w:rPr>
        <w:t xml:space="preserve">。</w:t>
      </w:r>
      <w:r/>
    </w:p>
    <w:p>
      <w:pPr>
        <w:ind w:firstLine="482"/>
        <w:spacing w:line="360" w:lineRule="auto"/>
        <w:rPr>
          <w:rFonts w:hint="default" w:ascii="Times New Roman" w:hAnsi="Times New Roman" w:eastAsia="宋体" w:cs="Times New Roman"/>
          <w:b/>
          <w:color w:val="000000"/>
          <w:sz w:val="24"/>
          <w:szCs w:val="24"/>
          <w:highlight w:val="none"/>
        </w:rPr>
        <w:outlineLvl w:val="1"/>
      </w:pPr>
      <w:r>
        <w:rPr>
          <w:rFonts w:hint="default" w:ascii="Times New Roman" w:hAnsi="Times New Roman" w:eastAsia="宋体" w:cs="Times New Roman"/>
          <w:b/>
          <w:color w:val="000000"/>
          <w:sz w:val="24"/>
          <w:szCs w:val="24"/>
          <w:highlight w:val="none"/>
        </w:rPr>
        <w:t xml:space="preserve">（</w:t>
      </w:r>
      <w:r>
        <w:rPr>
          <w:rFonts w:hint="default" w:ascii="Times New Roman" w:hAnsi="Times New Roman" w:eastAsia="宋体" w:cs="Times New Roman"/>
          <w:b/>
          <w:color w:val="000000"/>
          <w:sz w:val="24"/>
          <w:szCs w:val="24"/>
          <w:highlight w:val="none"/>
          <w:lang w:eastAsia="zh-CN"/>
        </w:rPr>
        <w:t xml:space="preserve">五</w:t>
      </w:r>
      <w:r>
        <w:rPr>
          <w:rFonts w:hint="default" w:ascii="Times New Roman" w:hAnsi="Times New Roman" w:eastAsia="宋体" w:cs="Times New Roman"/>
          <w:b/>
          <w:color w:val="000000"/>
          <w:sz w:val="24"/>
          <w:szCs w:val="24"/>
          <w:highlight w:val="none"/>
        </w:rPr>
        <w:t xml:space="preserve">）污染物组分和粒径监测</w:t>
      </w:r>
      <w:r/>
    </w:p>
    <w:p>
      <w:pPr>
        <w:ind w:firstLine="482"/>
        <w:spacing w:line="360" w:lineRule="auto"/>
        <w:rPr>
          <w:rFonts w:hint="default" w:ascii="Times New Roman" w:hAnsi="Times New Roman" w:eastAsia="宋体" w:cs="Times New Roman"/>
          <w:b/>
          <w:color w:val="000000"/>
          <w:sz w:val="24"/>
          <w:szCs w:val="24"/>
          <w:highlight w:val="none"/>
          <w:lang w:eastAsia="zh-CN"/>
        </w:rPr>
      </w:pPr>
      <w:r>
        <w:rPr>
          <w:rFonts w:hint="default" w:ascii="Times New Roman" w:hAnsi="Times New Roman" w:eastAsia="宋体" w:cs="Times New Roman"/>
          <w:b/>
          <w:color w:val="000000"/>
          <w:sz w:val="24"/>
          <w:szCs w:val="24"/>
          <w:highlight w:val="none"/>
        </w:rPr>
        <w:t xml:space="preserve">1、VOCs</w:t>
      </w:r>
      <w:r>
        <w:rPr>
          <w:rFonts w:hint="default" w:ascii="Times New Roman" w:hAnsi="Times New Roman" w:eastAsia="宋体" w:cs="Times New Roman"/>
          <w:b/>
          <w:color w:val="000000"/>
          <w:sz w:val="24"/>
          <w:szCs w:val="24"/>
          <w:highlight w:val="none"/>
          <w:lang w:eastAsia="zh-CN"/>
        </w:rPr>
        <w:t xml:space="preserve">组分分析</w:t>
      </w:r>
      <w:r/>
    </w:p>
    <w:p>
      <w:pPr>
        <w:ind w:firstLine="480"/>
        <w:spacing w:line="360" w:lineRule="auto"/>
        <w:rPr>
          <w:rFonts w:hint="eastAsia" w:ascii="宋体" w:hAnsi="宋体" w:eastAsia="宋体" w:cs="宋体"/>
          <w:color w:val="000000"/>
          <w:sz w:val="24"/>
          <w:szCs w:val="24"/>
          <w:highlight w:val="none"/>
        </w:rPr>
        <w:outlineLvl w:val="1"/>
      </w:pPr>
      <w:r>
        <w:rPr>
          <w:rFonts w:hint="default" w:ascii="Times New Roman" w:hAnsi="Times New Roman" w:eastAsia="宋体" w:cs="Times New Roman"/>
          <w:color w:val="000000"/>
          <w:sz w:val="24"/>
          <w:szCs w:val="24"/>
          <w:highlight w:val="none"/>
        </w:rPr>
        <w:t xml:space="preserve">利用VOCs组分数据开展来源解析，有效监测不少于10天，判断各污染源对大气VOCs污染的贡献</w:t>
      </w:r>
      <w:r>
        <w:rPr>
          <w:rFonts w:hint="eastAsia" w:ascii="宋体" w:hAnsi="宋体" w:eastAsia="宋体" w:cs="宋体"/>
          <w:color w:val="000000"/>
          <w:sz w:val="24"/>
          <w:szCs w:val="24"/>
          <w:highlight w:val="none"/>
        </w:rPr>
        <w:t xml:space="preserve">；提出相应的VOCs和臭氧治理建议，形成1份源解析报告。</w:t>
      </w:r>
      <w:r/>
    </w:p>
    <w:p>
      <w:pPr>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2、颗粒物</w:t>
      </w:r>
      <w:r>
        <w:rPr>
          <w:rFonts w:hint="eastAsia" w:ascii="宋体" w:hAnsi="宋体" w:eastAsia="宋体" w:cs="宋体"/>
          <w:b/>
          <w:color w:val="000000"/>
          <w:sz w:val="24"/>
          <w:szCs w:val="24"/>
          <w:highlight w:val="none"/>
          <w:lang w:eastAsia="zh-CN"/>
        </w:rPr>
        <w:t xml:space="preserve">粒径分析</w:t>
      </w:r>
      <w:r/>
    </w:p>
    <w:p>
      <w:pPr>
        <w:ind w:firstLine="482"/>
        <w:spacing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在沿江区域布设1台颗粒物粒径监测仪</w:t>
      </w:r>
      <w:r>
        <w:rPr>
          <w:rFonts w:hint="eastAsia" w:ascii="宋体" w:hAnsi="宋体" w:eastAsia="宋体" w:cs="宋体"/>
          <w:color w:val="000000"/>
          <w:sz w:val="24"/>
          <w:szCs w:val="24"/>
          <w:highlight w:val="none"/>
          <w:lang w:eastAsia="zh-CN"/>
        </w:rPr>
        <w:t xml:space="preserve">，投标人所提供的颗粒物粒径监测设备需至少为12通道。</w:t>
      </w:r>
      <w:r/>
    </w:p>
    <w:p>
      <w:pPr>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六</w:t>
      </w:r>
      <w:r>
        <w:rPr>
          <w:rFonts w:hint="eastAsia" w:ascii="宋体" w:hAnsi="宋体" w:eastAsia="宋体" w:cs="宋体"/>
          <w:b/>
          <w:color w:val="000000"/>
          <w:sz w:val="24"/>
          <w:szCs w:val="24"/>
          <w:highlight w:val="none"/>
        </w:rPr>
        <w:t xml:space="preserve">）其他保障类服务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1、专家（副高及以上）现场交流指导服务。投标方要邀请国内、省内大气领域专家，通过召开研讨会、实施现场技术支持等方式，对我市大气攻坚进行指导，服务期内不少于4次。</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highlight w:val="none"/>
          <w:lang w:val="en-US" w:eastAsia="zh-CN"/>
        </w:rPr>
        <w:t xml:space="preserve">2、针对局地高值区域海安市、海门区开展帮扶工作，开展现场巡查，生成问题清单。</w:t>
      </w:r>
      <w:r/>
    </w:p>
    <w:p>
      <w:pPr>
        <w:ind w:firstLine="480"/>
        <w:spacing w:line="56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、根据采购方要求，投标方技术、设备、人员、装备满足要求的情况下，开展的其他南通市大气保障服务</w:t>
      </w:r>
      <w:r>
        <w:rPr>
          <w:rFonts w:hint="eastAsia" w:ascii="宋体" w:hAnsi="宋体" w:eastAsia="宋体" w:cs="宋体"/>
          <w:color w:val="000000"/>
          <w:sz w:val="24"/>
          <w:szCs w:val="24"/>
          <w:highlight w:val="none"/>
          <w:lang w:eastAsia="zh-CN"/>
        </w:rPr>
        <w:t xml:space="preserve">。例如，按需</w:t>
      </w:r>
      <w:r>
        <w:rPr>
          <w:rFonts w:hint="eastAsia" w:ascii="宋体" w:hAnsi="宋体" w:eastAsia="宋体" w:cs="宋体"/>
          <w:color w:val="000000"/>
          <w:sz w:val="24"/>
          <w:szCs w:val="24"/>
          <w:highlight w:val="none"/>
        </w:rPr>
        <w:t xml:space="preserve">提供便携式恶臭检测仪、</w:t>
      </w:r>
      <w:r>
        <w:rPr>
          <w:rFonts w:hint="eastAsia" w:ascii="宋体" w:hAnsi="宋体" w:eastAsia="宋体" w:cs="宋体"/>
          <w:color w:val="000000"/>
          <w:sz w:val="24"/>
          <w:szCs w:val="24"/>
          <w:highlight w:val="none"/>
          <w:lang w:eastAsia="zh-CN"/>
        </w:rPr>
        <w:t xml:space="preserve">手持式</w:t>
      </w:r>
      <w:r>
        <w:rPr>
          <w:rFonts w:hint="eastAsia" w:ascii="宋体" w:hAnsi="宋体" w:eastAsia="宋体" w:cs="宋体"/>
          <w:color w:val="000000"/>
          <w:sz w:val="24"/>
          <w:szCs w:val="24"/>
          <w:highlight w:val="none"/>
          <w:lang w:val="en-US" w:eastAsia="zh-CN"/>
        </w:rPr>
        <w:t xml:space="preserve">VOCs和颗粒物检测仪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红外</w:t>
      </w:r>
      <w:r>
        <w:rPr>
          <w:rFonts w:hint="eastAsia" w:ascii="宋体" w:hAnsi="宋体" w:eastAsia="宋体" w:cs="宋体"/>
          <w:color w:val="000000"/>
          <w:sz w:val="24"/>
          <w:szCs w:val="24"/>
          <w:highlight w:val="none"/>
          <w:lang w:eastAsia="zh-CN"/>
        </w:rPr>
        <w:t xml:space="preserve">热成</w:t>
      </w:r>
      <w:r>
        <w:rPr>
          <w:rFonts w:hint="eastAsia" w:ascii="宋体" w:hAnsi="宋体" w:eastAsia="宋体" w:cs="宋体"/>
          <w:color w:val="000000"/>
          <w:sz w:val="24"/>
          <w:szCs w:val="24"/>
          <w:highlight w:val="none"/>
        </w:rPr>
        <w:t xml:space="preserve">像仪等设备。</w:t>
      </w:r>
      <w:r/>
    </w:p>
    <w:p>
      <w:pPr>
        <w:numPr>
          <w:ilvl w:val="0"/>
          <w:numId w:val="2"/>
        </w:numPr>
        <w:jc w:val="center"/>
        <w:spacing w:line="360" w:lineRule="auto"/>
        <w:rPr>
          <w:rFonts w:ascii="宋体" w:hAnsi="宋体" w:cs="宋体"/>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Cs/>
          <w:color w:val="auto"/>
          <w:sz w:val="36"/>
          <w:szCs w:val="36"/>
          <w:highlight w:val="none"/>
        </w:rPr>
        <w:t xml:space="preserve">投标文件组成</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一、基本目录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1.目录；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2.开标一览表</w:t>
      </w:r>
      <w:r>
        <w:rPr>
          <w:rFonts w:hint="eastAsia" w:ascii="宋体" w:hAnsi="宋体" w:cs="宋体"/>
          <w:color w:val="auto"/>
          <w:sz w:val="24"/>
          <w:highlight w:val="none"/>
          <w:lang w:val="zh-CN"/>
        </w:rPr>
        <w:t xml:space="preserve">（格式见附件）</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3.其他材料。</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val="zh-CN"/>
        </w:rPr>
        <w:t xml:space="preserve">资格</w:t>
      </w:r>
      <w:r>
        <w:rPr>
          <w:rFonts w:hint="eastAsia" w:ascii="宋体" w:hAnsi="宋体" w:cs="宋体"/>
          <w:b/>
          <w:bCs/>
          <w:color w:val="auto"/>
          <w:sz w:val="24"/>
          <w:highlight w:val="none"/>
        </w:rPr>
        <w:t xml:space="preserve">条件</w:t>
      </w:r>
      <w:r/>
    </w:p>
    <w:p>
      <w:pPr>
        <w:spacing w:line="360" w:lineRule="auto"/>
        <w:rPr>
          <w:rFonts w:hint="eastAsia" w:ascii="宋体" w:hAnsi="宋体" w:cs="宋体"/>
          <w:color w:val="auto"/>
          <w:sz w:val="24"/>
          <w:szCs w:val="21"/>
          <w:highlight w:val="none"/>
        </w:rPr>
      </w:pPr>
      <w:r>
        <w:rPr>
          <w:rFonts w:hint="eastAsia" w:ascii="宋体" w:hAnsi="宋体" w:cs="宋体"/>
          <w:color w:val="auto"/>
          <w:sz w:val="24"/>
          <w:highlight w:val="none"/>
        </w:rPr>
        <w:t xml:space="preserve">1.投标人</w:t>
      </w:r>
      <w:r>
        <w:rPr>
          <w:rFonts w:hint="eastAsia" w:ascii="宋体" w:hAnsi="宋体" w:cs="宋体"/>
          <w:color w:val="auto"/>
          <w:sz w:val="24"/>
          <w:szCs w:val="21"/>
          <w:highlight w:val="none"/>
        </w:rPr>
        <w:t xml:space="preserve">符合《中华人民共和国政府采购法》第二十二条规定条件的声明函（格式见附件）；</w:t>
      </w:r>
      <w:r/>
    </w:p>
    <w:p>
      <w:pPr>
        <w:spacing w:line="360" w:lineRule="auto"/>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2.</w:t>
      </w:r>
      <w:r>
        <w:rPr>
          <w:rFonts w:hint="eastAsia" w:ascii="宋体" w:hAnsi="宋体"/>
          <w:color w:val="auto"/>
          <w:sz w:val="24"/>
          <w:highlight w:val="none"/>
        </w:rPr>
        <w:t xml:space="preserve">法定代表人身份证明及</w:t>
      </w:r>
      <w:r>
        <w:rPr>
          <w:rFonts w:hint="eastAsia" w:ascii="宋体" w:hAnsi="宋体" w:cs="宋体"/>
          <w:color w:val="auto"/>
          <w:sz w:val="24"/>
          <w:highlight w:val="none"/>
        </w:rPr>
        <w:t xml:space="preserve">法人授权书</w:t>
      </w:r>
      <w:r>
        <w:rPr>
          <w:rFonts w:hint="eastAsia" w:ascii="宋体" w:hAnsi="宋体" w:cs="宋体"/>
          <w:color w:val="auto"/>
          <w:sz w:val="24"/>
          <w:highlight w:val="none"/>
          <w:lang w:val="zh-CN"/>
        </w:rPr>
        <w:t xml:space="preserve">（格式见附件）；</w:t>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cs="宋体"/>
          <w:color w:val="auto"/>
          <w:sz w:val="24"/>
          <w:szCs w:val="21"/>
          <w:highlight w:val="none"/>
        </w:rPr>
        <w:t xml:space="preserve">.提供法人或者其他组织的营业执照等证明文件，自然人的身份证明；</w:t>
      </w:r>
      <w:r/>
    </w:p>
    <w:p>
      <w:pPr>
        <w:spacing w:line="360" w:lineRule="auto"/>
        <w:rPr>
          <w:rFonts w:hint="eastAsia"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4</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特定资格条件：无</w:t>
      </w:r>
      <w:r/>
    </w:p>
    <w:p>
      <w:pPr>
        <w:spacing w:line="360" w:lineRule="auto"/>
        <w:rPr>
          <w:rFonts w:hint="eastAsia"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5.中小企业申明函</w:t>
      </w:r>
      <w:r/>
    </w:p>
    <w:p>
      <w:pPr>
        <w:spacing w:line="360" w:lineRule="auto"/>
        <w:rPr>
          <w:rFonts w:hint="eastAsia"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6</w:t>
      </w:r>
      <w:r>
        <w:rPr>
          <w:rFonts w:hint="eastAsia" w:ascii="宋体" w:hAnsi="宋体" w:cs="宋体"/>
          <w:color w:val="auto"/>
          <w:sz w:val="24"/>
          <w:szCs w:val="21"/>
          <w:highlight w:val="none"/>
        </w:rPr>
        <w:t xml:space="preserve">.投标人依据招标文件要求，提交的其他材料。</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三、符合条件</w:t>
      </w:r>
      <w:r/>
    </w:p>
    <w:p>
      <w:pPr>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报价符合性审查</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评审过程中出现</w:t>
      </w:r>
      <w:r>
        <w:rPr>
          <w:rFonts w:hint="eastAsia" w:ascii="宋体" w:hAnsi="宋体" w:eastAsia="宋体" w:cs="宋体"/>
          <w:color w:val="auto"/>
          <w:highlight w:val="none"/>
          <w:lang w:val="en-US" w:eastAsia="zh-CN"/>
        </w:rPr>
        <w:t xml:space="preserve">第四部分第一条第四点异常低价</w:t>
      </w:r>
      <w:r>
        <w:rPr>
          <w:rFonts w:hint="eastAsia" w:ascii="宋体" w:hAnsi="宋体" w:eastAsia="宋体" w:cs="宋体"/>
          <w:color w:val="auto"/>
          <w:highlight w:val="none"/>
          <w:lang w:val="zh-CN"/>
        </w:rPr>
        <w:t xml:space="preserve">情形之一的，</w:t>
      </w:r>
      <w:r>
        <w:rPr>
          <w:rFonts w:hint="eastAsia" w:ascii="宋体" w:hAnsi="宋体" w:eastAsia="宋体" w:cs="宋体"/>
          <w:color w:val="auto"/>
          <w:highlight w:val="none"/>
          <w:lang w:val="en-US" w:eastAsia="zh-CN"/>
        </w:rPr>
        <w:t xml:space="preserve">评标</w:t>
      </w:r>
      <w:r>
        <w:rPr>
          <w:rFonts w:hint="eastAsia" w:ascii="宋体" w:hAnsi="宋体" w:eastAsia="宋体" w:cs="宋体"/>
          <w:color w:val="auto"/>
          <w:highlight w:val="none"/>
          <w:lang w:val="zh-CN"/>
        </w:rPr>
        <w:t xml:space="preserve">小组应当启动异常低价响应审查程序</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属于</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响应报价低于采购项目最高限价45%的，即响应报价&lt;采购项目最高限价×45%</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情形，供应商</w:t>
      </w:r>
      <w:r>
        <w:rPr>
          <w:rFonts w:hint="eastAsia" w:ascii="宋体" w:hAnsi="宋体" w:eastAsia="宋体" w:cs="宋体"/>
          <w:color w:val="auto"/>
          <w:highlight w:val="none"/>
          <w:lang w:val="en-US" w:eastAsia="zh-CN"/>
        </w:rPr>
        <w:t xml:space="preserve">可</w:t>
      </w:r>
      <w:r>
        <w:rPr>
          <w:rFonts w:hint="eastAsia" w:ascii="宋体" w:hAnsi="宋体" w:eastAsia="宋体" w:cs="宋体"/>
          <w:color w:val="auto"/>
          <w:highlight w:val="none"/>
          <w:lang w:val="zh-CN"/>
        </w:rPr>
        <w:t xml:space="preserve">随响应文件一并提交相关书面说明及必要的证明材料</w:t>
      </w:r>
      <w:r>
        <w:rPr>
          <w:rFonts w:hint="eastAsia" w:ascii="宋体" w:hAnsi="宋体" w:eastAsia="宋体" w:cs="宋体"/>
          <w:color w:val="auto"/>
          <w:highlight w:val="none"/>
          <w:lang w:val="zh-CN" w:eastAsia="zh-CN"/>
        </w:rPr>
        <w:t xml:space="preserve">）；</w:t>
      </w:r>
      <w:r/>
    </w:p>
    <w:p>
      <w:pPr>
        <w:spacing w:line="360" w:lineRule="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.投标函</w:t>
      </w:r>
      <w:r>
        <w:rPr>
          <w:rFonts w:hint="eastAsia" w:ascii="宋体" w:hAnsi="宋体" w:eastAsia="宋体" w:cs="宋体"/>
          <w:color w:val="auto"/>
          <w:highlight w:val="none"/>
          <w:shd w:val="clear" w:color="auto" w:fill="auto"/>
          <w:lang w:val="zh-CN"/>
        </w:rPr>
        <w:t xml:space="preserve">（格式见附件）；</w:t>
      </w:r>
      <w:r/>
    </w:p>
    <w:p>
      <w:pPr>
        <w:spacing w:line="360" w:lineRule="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lang w:val="zh-CN"/>
        </w:rPr>
        <w:t xml:space="preserve">商务部分正负偏离表（格式见附件）；</w:t>
      </w:r>
      <w:r/>
    </w:p>
    <w:p>
      <w:pPr>
        <w:spacing w:line="360" w:lineRule="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lang w:val="zh-CN"/>
        </w:rPr>
        <w:t xml:space="preserve">.技术部分正负偏离表（格式见附件）；</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四、综合评审评分项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商务技术分评审标准中所涉及的事项需提供的所有资料。</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五、</w:t>
      </w:r>
      <w:r>
        <w:rPr>
          <w:rFonts w:hint="eastAsia" w:ascii="宋体" w:hAnsi="宋体" w:cs="宋体"/>
          <w:b/>
          <w:bCs/>
          <w:color w:val="auto"/>
          <w:sz w:val="24"/>
          <w:highlight w:val="none"/>
          <w:lang w:val="zh-CN"/>
        </w:rPr>
        <w:t xml:space="preserve">报价折扣证明材料</w:t>
      </w:r>
      <w:r/>
    </w:p>
    <w:p>
      <w:pPr>
        <w:jc w:val="left"/>
        <w:spacing w:line="440" w:lineRule="exact"/>
        <w:widowControl/>
        <w:rPr>
          <w:rFonts w:hint="eastAsia"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无</w:t>
      </w:r>
      <w:r/>
    </w:p>
    <w:p>
      <w:pPr>
        <w:jc w:val="left"/>
        <w:spacing w:line="440" w:lineRule="exact"/>
        <w:widowControl/>
        <w:rPr>
          <w:rFonts w:ascii="宋体" w:hAnsi="宋体" w:cs="宋体"/>
          <w:b/>
          <w:bCs/>
          <w:color w:val="auto"/>
          <w:sz w:val="24"/>
          <w:szCs w:val="21"/>
          <w:highlight w:val="none"/>
          <w:lang w:val="zh-CN"/>
        </w:rPr>
      </w:pPr>
      <w:r>
        <w:rPr>
          <w:rFonts w:hint="eastAsia" w:ascii="宋体" w:hAnsi="宋体" w:cs="宋体"/>
          <w:b/>
          <w:bCs/>
          <w:color w:val="auto"/>
          <w:sz w:val="24"/>
          <w:szCs w:val="21"/>
          <w:highlight w:val="none"/>
          <w:lang w:val="zh-CN"/>
        </w:rPr>
        <w:t xml:space="preserve">注：①</w:t>
      </w:r>
      <w:r>
        <w:rPr>
          <w:rFonts w:hint="eastAsia" w:ascii="宋体" w:hAnsi="宋体" w:cs="宋体"/>
          <w:b/>
          <w:bCs/>
          <w:color w:val="auto"/>
          <w:sz w:val="24"/>
          <w:szCs w:val="21"/>
          <w:highlight w:val="none"/>
        </w:rPr>
        <w:t xml:space="preserve">投标格式中投标人或授权单位或承诺人（盖章）之处可使用</w:t>
      </w:r>
      <w:r>
        <w:rPr>
          <w:rFonts w:hint="eastAsia" w:ascii="宋体" w:hAnsi="宋体" w:cs="宋体"/>
          <w:b/>
          <w:bCs/>
          <w:color w:val="auto"/>
          <w:sz w:val="24"/>
          <w:szCs w:val="21"/>
          <w:highlight w:val="none"/>
          <w:lang w:val="zh-CN"/>
        </w:rPr>
        <w:t xml:space="preserve">CA</w:t>
      </w:r>
      <w:r>
        <w:rPr>
          <w:rFonts w:hint="eastAsia" w:ascii="宋体" w:hAnsi="宋体" w:cs="宋体"/>
          <w:b/>
          <w:bCs/>
          <w:color w:val="auto"/>
          <w:sz w:val="24"/>
          <w:szCs w:val="21"/>
          <w:highlight w:val="none"/>
        </w:rPr>
        <w:t xml:space="preserve">电子签章，亦可将投标人加盖公章后的原件扫描件上传至电子投标文件内</w:t>
      </w:r>
      <w:r>
        <w:rPr>
          <w:rFonts w:hint="eastAsia" w:ascii="宋体" w:hAnsi="宋体" w:cs="宋体"/>
          <w:b/>
          <w:bCs/>
          <w:color w:val="auto"/>
          <w:sz w:val="24"/>
          <w:szCs w:val="21"/>
          <w:highlight w:val="none"/>
          <w:lang w:val="zh-CN"/>
        </w:rPr>
        <w:t xml:space="preserve">。</w:t>
      </w:r>
      <w:r/>
    </w:p>
    <w:p>
      <w:pPr>
        <w:jc w:val="left"/>
        <w:spacing w:line="440" w:lineRule="exact"/>
        <w:widowControl/>
        <w:rPr>
          <w:rFonts w:ascii="宋体" w:hAnsi="宋体" w:cs="宋体"/>
          <w:color w:val="auto"/>
          <w:sz w:val="24"/>
          <w:highlight w:val="none"/>
        </w:rPr>
      </w:pPr>
      <w:r>
        <w:rPr>
          <w:rFonts w:hint="eastAsia" w:ascii="宋体" w:hAnsi="宋体" w:cs="宋体"/>
          <w:b/>
          <w:bCs/>
          <w:color w:val="auto"/>
          <w:sz w:val="24"/>
          <w:szCs w:val="21"/>
          <w:highlight w:val="none"/>
          <w:lang w:val="zh-CN"/>
        </w:rPr>
        <w:t xml:space="preserve">②投标格式中法定代表人或其委托代理人（</w:t>
      </w:r>
      <w:r>
        <w:rPr>
          <w:rFonts w:hint="eastAsia" w:ascii="宋体" w:hAnsi="宋体" w:cs="宋体"/>
          <w:b/>
          <w:bCs/>
          <w:color w:val="auto"/>
          <w:sz w:val="24"/>
          <w:szCs w:val="21"/>
          <w:highlight w:val="none"/>
        </w:rPr>
        <w:t xml:space="preserve">签字或盖章</w:t>
      </w:r>
      <w:r>
        <w:rPr>
          <w:rFonts w:hint="eastAsia" w:ascii="宋体" w:hAnsi="宋体" w:cs="宋体"/>
          <w:b/>
          <w:bCs/>
          <w:color w:val="auto"/>
          <w:sz w:val="24"/>
          <w:szCs w:val="21"/>
          <w:highlight w:val="none"/>
          <w:lang w:val="zh-CN"/>
        </w:rPr>
        <w:t xml:space="preserve">）之处</w:t>
      </w:r>
      <w:r>
        <w:rPr>
          <w:rFonts w:hint="eastAsia" w:ascii="宋体" w:hAnsi="宋体" w:cs="宋体"/>
          <w:b/>
          <w:bCs/>
          <w:color w:val="auto"/>
          <w:sz w:val="24"/>
          <w:szCs w:val="21"/>
          <w:highlight w:val="none"/>
        </w:rPr>
        <w:t xml:space="preserve">可使用</w:t>
      </w:r>
      <w:r>
        <w:rPr>
          <w:rFonts w:hint="eastAsia" w:ascii="宋体" w:hAnsi="宋体" w:cs="宋体"/>
          <w:b/>
          <w:bCs/>
          <w:color w:val="auto"/>
          <w:sz w:val="24"/>
          <w:szCs w:val="21"/>
          <w:highlight w:val="none"/>
          <w:lang w:val="zh-CN"/>
        </w:rPr>
        <w:t xml:space="preserve">CA</w:t>
      </w:r>
      <w:r>
        <w:rPr>
          <w:rFonts w:hint="eastAsia" w:ascii="宋体" w:hAnsi="宋体" w:cs="宋体"/>
          <w:b/>
          <w:bCs/>
          <w:color w:val="auto"/>
          <w:sz w:val="24"/>
          <w:szCs w:val="21"/>
          <w:highlight w:val="none"/>
        </w:rPr>
        <w:t xml:space="preserve">电子签章，亦可将</w:t>
      </w:r>
      <w:r>
        <w:rPr>
          <w:rFonts w:hint="eastAsia" w:ascii="宋体" w:hAnsi="宋体" w:cs="宋体"/>
          <w:b/>
          <w:bCs/>
          <w:color w:val="auto"/>
          <w:sz w:val="24"/>
          <w:szCs w:val="21"/>
          <w:highlight w:val="none"/>
          <w:lang w:val="zh-CN"/>
        </w:rPr>
        <w:t xml:space="preserve">法定代表人或其委托代理人（</w:t>
      </w:r>
      <w:r>
        <w:rPr>
          <w:rFonts w:hint="eastAsia" w:ascii="宋体" w:hAnsi="宋体" w:cs="宋体"/>
          <w:b/>
          <w:bCs/>
          <w:color w:val="auto"/>
          <w:sz w:val="24"/>
          <w:szCs w:val="21"/>
          <w:highlight w:val="none"/>
        </w:rPr>
        <w:t xml:space="preserve">签字或盖章</w:t>
      </w:r>
      <w:r>
        <w:rPr>
          <w:rFonts w:hint="eastAsia" w:ascii="宋体" w:hAnsi="宋体" w:cs="宋体"/>
          <w:b/>
          <w:bCs/>
          <w:color w:val="auto"/>
          <w:sz w:val="24"/>
          <w:szCs w:val="21"/>
          <w:highlight w:val="none"/>
          <w:lang w:val="zh-CN"/>
        </w:rPr>
        <w:t xml:space="preserve">）</w:t>
      </w:r>
      <w:r>
        <w:rPr>
          <w:rFonts w:hint="eastAsia" w:ascii="宋体" w:hAnsi="宋体" w:cs="宋体"/>
          <w:b/>
          <w:bCs/>
          <w:color w:val="auto"/>
          <w:sz w:val="24"/>
          <w:szCs w:val="21"/>
          <w:highlight w:val="none"/>
        </w:rPr>
        <w:t xml:space="preserve">后的原件扫描件上传至电子投标文件内</w:t>
      </w:r>
      <w:r>
        <w:rPr>
          <w:rFonts w:hint="eastAsia" w:ascii="宋体" w:hAnsi="宋体" w:cs="宋体"/>
          <w:b/>
          <w:bCs/>
          <w:color w:val="auto"/>
          <w:sz w:val="24"/>
          <w:szCs w:val="21"/>
          <w:highlight w:val="none"/>
          <w:lang w:val="zh-CN"/>
        </w:rPr>
        <w:t xml:space="preserve">。</w:t>
      </w:r>
      <w:r>
        <w:rPr>
          <w:rFonts w:hint="eastAsia" w:ascii="宋体" w:hAnsi="宋体" w:cs="宋体"/>
          <w:color w:val="auto"/>
          <w:sz w:val="24"/>
          <w:szCs w:val="21"/>
          <w:highlight w:val="none"/>
        </w:rPr>
        <w:br w:type="page" w:clear="all"/>
      </w:r>
      <w:r/>
    </w:p>
    <w:p>
      <w:pP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格式附件如下：</w:t>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开标一览表</w:t>
      </w:r>
      <w:r/>
    </w:p>
    <w:p>
      <w:pPr>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分包号：</w:t>
      </w:r>
      <w:r>
        <w:rPr>
          <w:rFonts w:hint="eastAsia" w:ascii="宋体" w:hAnsi="宋体" w:cs="宋体"/>
          <w:color w:val="auto"/>
          <w:sz w:val="24"/>
          <w:highlight w:val="none"/>
        </w:rPr>
        <w:t xml:space="preserve">                                </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投标总报价</w:t>
            </w:r>
            <w:r/>
          </w:p>
        </w:tc>
      </w:tr>
      <w:tr>
        <w:trPr>
          <w:cantSplit/>
          <w:trHeight w:val="612"/>
        </w:trPr>
        <w:tc>
          <w:tcPr>
            <w:tcW w:w="8206" w:type="dxa"/>
            <w:vAlign w:val="center"/>
            <w:textDirection w:val="lrTb"/>
            <w:noWrap w:val="false"/>
          </w:tcPr>
          <w:p>
            <w:pPr>
              <w:pStyle w:val="917"/>
              <w:spacing w:before="0" w:after="0"/>
              <w:rPr>
                <w:rFonts w:ascii="宋体" w:hAnsi="宋体" w:cs="宋体"/>
                <w:color w:val="auto"/>
                <w:highlight w:val="none"/>
              </w:rPr>
            </w:pPr>
            <w:r>
              <w:rPr>
                <w:rFonts w:hint="eastAsia" w:ascii="宋体" w:hAnsi="宋体" w:cs="宋体"/>
                <w:color w:val="auto"/>
                <w:highlight w:val="none"/>
              </w:rPr>
              <w:t xml:space="preserve">小写：                             （人民币：元）</w:t>
            </w:r>
            <w:r/>
          </w:p>
        </w:tc>
      </w:tr>
    </w:tbl>
    <w:p>
      <w:pPr>
        <w:ind w:firstLine="480"/>
        <w:rPr>
          <w:rFonts w:ascii="宋体" w:hAnsi="宋体" w:cs="宋体"/>
          <w:color w:val="auto"/>
          <w:sz w:val="24"/>
          <w:highlight w:val="none"/>
        </w:rPr>
      </w:pPr>
      <w:r>
        <w:rPr>
          <w:rFonts w:ascii="宋体" w:hAnsi="宋体" w:cs="宋体"/>
          <w:color w:val="auto"/>
          <w:sz w:val="24"/>
          <w:highlight w:val="none"/>
        </w:rPr>
      </w:r>
      <w:r/>
    </w:p>
    <w:p>
      <w:pPr>
        <w:ind w:firstLine="480"/>
        <w:rPr>
          <w:rFonts w:ascii="宋体" w:hAnsi="宋体" w:cs="宋体"/>
          <w:color w:val="auto"/>
          <w:sz w:val="24"/>
          <w:highlight w:val="none"/>
        </w:rPr>
      </w:pPr>
      <w:r>
        <w:rPr>
          <w:rFonts w:ascii="宋体" w:hAnsi="宋体" w:cs="宋体"/>
          <w:color w:val="auto"/>
          <w:sz w:val="24"/>
          <w:highlight w:val="none"/>
        </w:rPr>
      </w:r>
      <w:r/>
    </w:p>
    <w:p>
      <w:pPr>
        <w:ind w:firstLine="480"/>
        <w:jc w:val="right"/>
        <w:rPr>
          <w:rFonts w:ascii="宋体" w:hAnsi="宋体" w:cs="宋体"/>
          <w:color w:val="auto"/>
          <w:sz w:val="24"/>
          <w:highlight w:val="none"/>
        </w:rPr>
      </w:pPr>
      <w:r>
        <w:rPr>
          <w:rFonts w:hint="eastAsia" w:ascii="宋体" w:hAnsi="宋体" w:cs="宋体"/>
          <w:color w:val="auto"/>
          <w:sz w:val="24"/>
          <w:highlight w:val="none"/>
        </w:rPr>
        <w:t xml:space="preserve">日期：  年月日</w:t>
      </w:r>
      <w:r/>
    </w:p>
    <w:p>
      <w:pPr>
        <w:ind w:firstLine="480"/>
        <w:jc w:val="left"/>
        <w:spacing w:line="360" w:lineRule="auto"/>
        <w:widowControl/>
        <w:rPr>
          <w:rFonts w:cs="宋体"/>
          <w:color w:val="auto"/>
          <w:sz w:val="24"/>
          <w:highlight w:val="none"/>
        </w:rPr>
      </w:pPr>
      <w:r>
        <w:rPr>
          <w:rFonts w:cs="宋体"/>
          <w:color w:val="auto"/>
          <w:sz w:val="24"/>
          <w:highlight w:val="none"/>
        </w:rPr>
      </w:r>
      <w:r/>
    </w:p>
    <w:p>
      <w:pPr>
        <w:pStyle w:val="699"/>
        <w:ind w:firstLine="480"/>
        <w:spacing w:line="360" w:lineRule="auto"/>
        <w:rPr>
          <w:rFonts w:cs="宋体"/>
          <w:color w:val="auto"/>
          <w:highlight w:val="none"/>
        </w:rPr>
      </w:pPr>
      <w:r>
        <w:rPr>
          <w:rFonts w:cs="宋体"/>
          <w:color w:val="auto"/>
          <w:highlight w:val="none"/>
        </w:rPr>
      </w:r>
      <w:r/>
    </w:p>
    <w:p>
      <w:pPr>
        <w:ind w:firstLine="480"/>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p>
    <w:p>
      <w:pPr>
        <w:ind w:firstLine="20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法定代表人身份证明及法人授权书</w:t>
      </w:r>
      <w:r/>
    </w:p>
    <w:p>
      <w:pPr>
        <w:pStyle w:val="702"/>
        <w:ind w:left="0" w:firstLine="0"/>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702"/>
        <w:ind w:left="0" w:firstLine="0"/>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法定代表人身份证明</w:t>
      </w:r>
      <w:r/>
    </w:p>
    <w:p>
      <w:pPr>
        <w:ind w:firstLine="20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身份证号码：</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  投标人</w:t>
      </w:r>
      <w:r>
        <w:rPr>
          <w:rFonts w:hint="eastAsia" w:ascii="宋体" w:hAnsi="宋体"/>
          <w:color w:val="auto"/>
          <w:sz w:val="24"/>
          <w:highlight w:val="none"/>
        </w:rPr>
        <w:t xml:space="preserve">（盖公章）：</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（粘贴此处）</w:t>
      </w:r>
      <w:r/>
    </w:p>
    <w:p>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法人授权书</w:t>
      </w:r>
      <w:r/>
    </w:p>
    <w:p>
      <w:pPr>
        <w:spacing w:line="360" w:lineRule="auto"/>
        <w:tabs>
          <w:tab w:val="left" w:pos="360" w:leader="none"/>
        </w:tabs>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本授权书声明：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（投标人名称）授权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（被授权人的姓名）为我方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号（项目编号）______________项目（项目名称）采购活动的合法代理人，以本单位名义全权处理一切与该项目采购有关的事务。</w:t>
      </w:r>
      <w:r/>
    </w:p>
    <w:p>
      <w:pPr>
        <w:ind w:firstLine="48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本授权书于______年____月____日起生效，特此声明。</w:t>
      </w:r>
      <w:r/>
    </w:p>
    <w:p>
      <w:pPr>
        <w:ind w:firstLine="480"/>
        <w:spacing w:line="360" w:lineRule="auto"/>
        <w:tabs>
          <w:tab w:val="left" w:pos="360" w:leader="none"/>
        </w:tabs>
        <w:rPr>
          <w:rFonts w:ascii="宋体" w:hAnsi="宋体" w:cs="宋体"/>
          <w:color w:val="auto"/>
          <w:sz w:val="24"/>
          <w:highlight w:val="none"/>
          <w:u w:val="single"/>
        </w:rPr>
      </w:pPr>
      <w:r>
        <w:rPr>
          <w:rFonts w:hint="eastAsia" w:ascii="宋体" w:hAnsi="宋体" w:cs="宋体"/>
          <w:color w:val="auto"/>
          <w:sz w:val="24"/>
          <w:highlight w:val="none"/>
        </w:rPr>
        <w:t xml:space="preserve">被授权人身份证号码：</w:t>
      </w:r>
      <w:r/>
    </w:p>
    <w:p>
      <w:pPr>
        <w:ind w:firstLine="480"/>
        <w:spacing w:line="360" w:lineRule="auto"/>
        <w:tabs>
          <w:tab w:val="left" w:pos="360" w:leader="none"/>
        </w:tabs>
        <w:rPr>
          <w:rFonts w:ascii="宋体" w:hAnsi="宋体" w:cs="宋体"/>
          <w:color w:val="auto"/>
          <w:sz w:val="24"/>
          <w:highlight w:val="none"/>
          <w:u w:val="single"/>
        </w:rPr>
      </w:pPr>
      <w:r>
        <w:rPr>
          <w:rFonts w:hint="eastAsia" w:ascii="宋体" w:hAnsi="宋体" w:cs="宋体"/>
          <w:color w:val="auto"/>
          <w:sz w:val="24"/>
          <w:highlight w:val="none"/>
        </w:rPr>
        <w:t xml:space="preserve">被授权人联系电话：（手机）</w:t>
      </w:r>
      <w:r/>
    </w:p>
    <w:p>
      <w:pPr>
        <w:pStyle w:val="702"/>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sz w:val="24"/>
          <w:szCs w:val="24"/>
          <w:highlight w:val="none"/>
        </w:rPr>
        <w:t xml:space="preserve">被授权人：（签字或盖章）</w:t>
      </w:r>
      <w:r/>
    </w:p>
    <w:p>
      <w:pPr>
        <w:ind w:firstLine="420"/>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420"/>
        <w:spacing w:line="360" w:lineRule="auto"/>
        <w:tabs>
          <w:tab w:val="left" w:pos="360" w:leader="none"/>
        </w:tabs>
        <w:rPr>
          <w:rFonts w:ascii="宋体" w:hAnsi="宋体" w:cs="宋体"/>
          <w:color w:val="auto"/>
          <w:sz w:val="24"/>
          <w:highlight w:val="none"/>
          <w:u w:val="single"/>
        </w:rPr>
      </w:pPr>
      <w:r>
        <w:rPr>
          <w:rFonts w:hint="eastAsia" w:ascii="宋体" w:hAnsi="宋体" w:cs="宋体"/>
          <w:color w:val="auto"/>
          <w:sz w:val="24"/>
          <w:highlight w:val="none"/>
        </w:rPr>
        <w:t xml:space="preserve">单位地址：</w:t>
      </w:r>
      <w:r/>
    </w:p>
    <w:p>
      <w:pPr>
        <w:ind w:firstLine="420"/>
        <w:spacing w:line="360" w:lineRule="auto"/>
        <w:tabs>
          <w:tab w:val="left" w:pos="360" w:leader="none"/>
        </w:tabs>
        <w:rPr>
          <w:rFonts w:ascii="宋体" w:hAnsi="宋体" w:cs="宋体"/>
          <w:color w:val="auto"/>
          <w:sz w:val="24"/>
          <w:highlight w:val="none"/>
          <w:u w:val="single"/>
        </w:rPr>
      </w:pPr>
      <w:r>
        <w:rPr>
          <w:rFonts w:hint="eastAsia" w:ascii="宋体" w:hAnsi="宋体" w:cs="宋体"/>
          <w:color w:val="auto"/>
          <w:sz w:val="24"/>
          <w:highlight w:val="none"/>
        </w:rPr>
        <w:t xml:space="preserve">日期：</w:t>
      </w:r>
      <w:bookmarkStart w:id="126" w:name="_格式3__银行出具的资信证明"/>
      <w:r/>
      <w:bookmarkEnd w:id="126"/>
      <w:r/>
      <w:bookmarkStart w:id="127" w:name="_Hlt26671380"/>
      <w:r/>
      <w:bookmarkEnd w:id="127"/>
      <w:r/>
      <w:bookmarkStart w:id="128" w:name="_Hlt26955070"/>
      <w:r/>
      <w:bookmarkEnd w:id="128"/>
      <w:r/>
      <w:r/>
    </w:p>
    <w:p>
      <w:pPr>
        <w:ind w:firstLine="480"/>
        <w:spacing w:line="360" w:lineRule="auto"/>
        <w:tabs>
          <w:tab w:val="left" w:pos="360" w:leader="none"/>
        </w:tabs>
        <w:rPr>
          <w:rFonts w:ascii="宋体" w:hAnsi="宋体" w:cs="宋体"/>
          <w:color w:val="auto"/>
          <w:sz w:val="24"/>
          <w:highlight w:val="none"/>
          <w:u w:val="single"/>
        </w:rPr>
      </w:pPr>
      <w:r>
        <w:rPr>
          <w:rFonts w:ascii="宋体" w:hAnsi="宋体" w:cs="宋体"/>
          <w:color w:val="auto"/>
          <w:sz w:val="24"/>
          <w:highlight w:val="none"/>
          <w:u w:val="singl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被授权人身份证复印件</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cente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（粘贴此处）</w:t>
      </w:r>
      <w:r/>
    </w:p>
    <w:p>
      <w:pPr>
        <w:rPr>
          <w:rFonts w:ascii="宋体" w:hAnsi="宋体" w:cs="宋体"/>
          <w:b/>
          <w:bCs/>
          <w:color w:val="auto"/>
          <w:szCs w:val="21"/>
          <w:highlight w:val="none"/>
          <w:u w:val="single"/>
        </w:rPr>
      </w:pPr>
      <w:r>
        <w:rPr>
          <w:rFonts w:hint="eastAsia" w:ascii="宋体" w:hAnsi="宋体" w:cs="宋体"/>
          <w:b/>
          <w:bCs/>
          <w:color w:val="auto"/>
          <w:szCs w:val="21"/>
          <w:highlight w:val="none"/>
          <w:u w:val="single"/>
        </w:rPr>
        <w:br w:type="page" w:clear="all"/>
      </w:r>
      <w:r/>
    </w:p>
    <w:p>
      <w:pPr>
        <w:rPr>
          <w:rFonts w:ascii="宋体" w:hAnsi="宋体" w:cs="宋体"/>
          <w:b/>
          <w:bCs/>
          <w:color w:val="auto"/>
          <w:szCs w:val="21"/>
          <w:highlight w:val="none"/>
          <w:u w:val="single"/>
        </w:rPr>
      </w:pPr>
      <w:r>
        <w:rPr>
          <w:rFonts w:ascii="宋体" w:hAnsi="宋体" w:cs="宋体"/>
          <w:b/>
          <w:bCs/>
          <w:color w:val="auto"/>
          <w:szCs w:val="21"/>
          <w:highlight w:val="none"/>
          <w:u w:val="single"/>
        </w:rPr>
      </w:r>
      <w:r/>
    </w:p>
    <w:p>
      <w:pPr>
        <w:ind w:firstLine="480"/>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投标人符合《中华人民共和国政府采购法》第二十二条规定条件的声明函</w:t>
      </w:r>
      <w:r/>
    </w:p>
    <w:p>
      <w:pPr>
        <w:spacing w:line="46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ind w:firstLine="480"/>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rPr>
        <w:t xml:space="preserve">________________（项目名称），</w:t>
      </w:r>
      <w:r>
        <w:rPr>
          <w:rFonts w:hint="eastAsia" w:ascii="宋体" w:hAnsi="宋体" w:cs="宋体"/>
          <w:color w:val="auto"/>
          <w:sz w:val="24"/>
          <w:highlight w:val="none"/>
          <w:u w:val="single"/>
        </w:rPr>
        <w:t xml:space="preserve">                 </w:t>
      </w:r>
      <w:r>
        <w:rPr>
          <w:rFonts w:hint="eastAsia" w:ascii="宋体" w:hAnsi="宋体" w:cs="宋体"/>
          <w:bCs/>
          <w:color w:val="auto"/>
          <w:sz w:val="24"/>
          <w:szCs w:val="21"/>
          <w:highlight w:val="none"/>
        </w:rPr>
        <w:t xml:space="preserve">（项目编号）投标活动。针对《中华人民共和国政府采购法》第二十二条规定做出如下声明：</w:t>
      </w:r>
      <w:r/>
    </w:p>
    <w:p>
      <w:pPr>
        <w:ind w:firstLine="482"/>
        <w:spacing w:line="360" w:lineRule="auto"/>
        <w:rPr>
          <w:rFonts w:ascii="宋体" w:hAnsi="宋体" w:cs="宋体"/>
          <w:color w:val="auto"/>
          <w:sz w:val="24"/>
          <w:highlight w:val="none"/>
        </w:rPr>
      </w:pPr>
      <w:r>
        <w:rPr>
          <w:rFonts w:hint="eastAsia" w:ascii="宋体" w:hAnsi="宋体" w:cs="宋体"/>
          <w:bCs/>
          <w:color w:val="auto"/>
          <w:sz w:val="24"/>
          <w:szCs w:val="21"/>
          <w:highlight w:val="none"/>
        </w:rPr>
        <w:t xml:space="preserve">1.我单位具有独立承担民事责任的能力；</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p>
    <w:p>
      <w:pPr>
        <w:spacing w:line="360" w:lineRule="auto"/>
        <w:rPr>
          <w:rFonts w:ascii="宋体" w:hAnsi="宋体" w:cs="宋体"/>
          <w:bCs/>
          <w:color w:val="auto"/>
          <w:sz w:val="24"/>
          <w:szCs w:val="21"/>
          <w:highlight w:val="none"/>
        </w:rPr>
      </w:pPr>
      <w:r>
        <w:rPr>
          <w:rFonts w:ascii="宋体" w:hAnsi="宋体" w:cs="宋体"/>
          <w:bCs/>
          <w:color w:val="auto"/>
          <w:sz w:val="24"/>
          <w:szCs w:val="21"/>
          <w:highlight w:val="none"/>
        </w:rPr>
      </w:r>
      <w:r/>
    </w:p>
    <w:p>
      <w:pPr>
        <w:jc w:val="cente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承诺人（盖章）：</w:t>
      </w:r>
      <w:r/>
    </w:p>
    <w:p>
      <w:pPr>
        <w:jc w:val="right"/>
        <w:spacing w:line="360" w:lineRule="auto"/>
        <w:rPr>
          <w:rFonts w:ascii="宋体" w:hAnsi="宋体" w:cs="宋体"/>
          <w:bCs/>
          <w:color w:val="auto"/>
          <w:sz w:val="24"/>
          <w:szCs w:val="21"/>
          <w:highlight w:val="none"/>
        </w:rPr>
      </w:pPr>
      <w:r>
        <w:rPr>
          <w:rFonts w:ascii="宋体" w:hAnsi="宋体" w:cs="宋体"/>
          <w:bCs/>
          <w:color w:val="auto"/>
          <w:sz w:val="24"/>
          <w:szCs w:val="21"/>
          <w:highlight w:val="none"/>
        </w:rPr>
      </w:r>
      <w:r/>
    </w:p>
    <w:p>
      <w:pPr>
        <w:contextualSpacing/>
        <w:ind w:firstLine="540"/>
        <w:spacing w:line="360" w:lineRule="auto"/>
        <w:rPr>
          <w:rFonts w:ascii="宋体" w:hAnsi="宋体" w:cs="宋体"/>
          <w:b/>
          <w:color w:val="auto"/>
          <w:szCs w:val="21"/>
          <w:highlight w:val="none"/>
          <w:lang w:val="zh-CN"/>
        </w:rPr>
      </w:pPr>
      <w:r>
        <w:rPr>
          <w:rFonts w:hint="eastAsia" w:ascii="宋体" w:hAnsi="宋体" w:cs="宋体"/>
          <w:bCs/>
          <w:color w:val="auto"/>
          <w:sz w:val="24"/>
          <w:szCs w:val="21"/>
          <w:highlight w:val="none"/>
        </w:rPr>
        <w:t xml:space="preserve">                                 日期：年月日</w:t>
      </w:r>
      <w:r/>
    </w:p>
    <w:p>
      <w:pPr>
        <w:contextualSpacing/>
        <w:ind w:firstLine="540"/>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contextualSpacing/>
        <w:ind w:firstLine="540"/>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contextualSpacing/>
        <w:ind w:firstLine="540"/>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contextualSpacing/>
        <w:ind w:firstLine="540"/>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contextualSpacing/>
        <w:ind w:firstLine="540"/>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contextualSpacing/>
        <w:ind w:firstLine="540"/>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中小企业声明函（工程、服务）</w:t>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 （联合体）参加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，从业人员人，营业收入为万元，资产总额为万元，属于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 期：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从业人员、营业收入、资产总额填报上一年度数据，无上一年度数据的新成立企业可不填报。</w:t>
      </w:r>
      <w:r/>
    </w:p>
    <w:p>
      <w:pP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left="141"/>
        <w:spacing w:line="400" w:lineRule="exact"/>
        <w:widowControl/>
        <w:rPr>
          <w:rFonts w:ascii="宋体" w:hAnsi="宋体" w:cs="宋体"/>
          <w:color w:val="auto"/>
          <w:szCs w:val="21"/>
          <w:highlight w:val="none"/>
        </w:rPr>
      </w:pPr>
      <w:r>
        <w:rPr>
          <w:rFonts w:ascii="宋体" w:hAnsi="宋体" w:cs="宋体"/>
          <w:color w:val="auto"/>
          <w:szCs w:val="21"/>
          <w:highlight w:val="none"/>
        </w:rPr>
      </w:r>
      <w:r/>
    </w:p>
    <w:p>
      <w:pPr>
        <w:jc w:val="center"/>
        <w:widowControl/>
        <w:rPr>
          <w:rFonts w:ascii="宋体" w:hAnsi="宋体" w:cs="宋体"/>
          <w:b/>
          <w:color w:val="auto"/>
          <w:sz w:val="30"/>
          <w:szCs w:val="30"/>
          <w:highlight w:val="none"/>
        </w:rPr>
      </w:pPr>
      <w:r>
        <w:rPr>
          <w:rFonts w:hint="eastAsia" w:ascii="宋体" w:hAnsi="宋体" w:cs="宋体"/>
          <w:b/>
          <w:color w:val="auto"/>
          <w:szCs w:val="21"/>
          <w:highlight w:val="none"/>
        </w:rPr>
        <w:br w:type="page" w:clear="all"/>
      </w:r>
      <w:r>
        <w:rPr>
          <w:rFonts w:hint="eastAsia" w:ascii="宋体" w:hAnsi="宋体" w:cs="宋体"/>
          <w:b/>
          <w:color w:val="auto"/>
          <w:sz w:val="30"/>
          <w:szCs w:val="30"/>
          <w:highlight w:val="none"/>
        </w:rPr>
        <w:t xml:space="preserve">残疾人福利性单位声明函</w:t>
      </w:r>
      <w:r/>
    </w:p>
    <w:p>
      <w:pPr>
        <w:spacing w:line="400" w:lineRule="exact"/>
        <w:rPr>
          <w:rFonts w:ascii="宋体" w:hAnsi="宋体" w:cs="宋体"/>
          <w:b/>
          <w:color w:val="auto"/>
          <w:spacing w:val="6"/>
          <w:szCs w:val="21"/>
          <w:highlight w:val="none"/>
        </w:rPr>
      </w:pPr>
      <w:r>
        <w:rPr>
          <w:rFonts w:ascii="宋体" w:hAnsi="宋体" w:cs="宋体"/>
          <w:b/>
          <w:color w:val="auto"/>
          <w:spacing w:val="6"/>
          <w:szCs w:val="21"/>
          <w:highlight w:val="none"/>
        </w:rPr>
      </w:r>
      <w:r/>
    </w:p>
    <w:p>
      <w:pPr>
        <w:ind w:left="142"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142"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left="142" w:firstLine="480"/>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投标人（盖章）：</w:t>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400" w:lineRule="exact"/>
        <w:shd w:val="clear" w:color="auto" w:fill="ffffff"/>
        <w:widowControl/>
        <w:rPr>
          <w:rFonts w:ascii="宋体" w:hAnsi="宋体" w:cs="宋体"/>
          <w:color w:val="auto"/>
          <w:sz w:val="24"/>
          <w:highlight w:val="none"/>
        </w:rPr>
      </w:pPr>
      <w:r>
        <w:rPr>
          <w:rFonts w:ascii="宋体" w:hAnsi="宋体" w:cs="宋体"/>
          <w:color w:val="auto"/>
          <w:sz w:val="24"/>
          <w:highlight w:val="none"/>
        </w:rPr>
      </w:r>
      <w:r/>
    </w:p>
    <w:p>
      <w:pPr>
        <w:ind w:firstLine="482"/>
        <w:jc w:val="center"/>
        <w:spacing w:line="360" w:lineRule="auto"/>
        <w:widowControl/>
        <w:rPr>
          <w:rFonts w:ascii="宋体" w:hAnsi="宋体" w:cs="宋体"/>
          <w:b/>
          <w:color w:val="auto"/>
          <w:sz w:val="30"/>
          <w:szCs w:val="30"/>
          <w:highlight w:val="none"/>
        </w:rPr>
      </w:pPr>
      <w:r>
        <w:rPr>
          <w:rFonts w:hint="eastAsia" w:ascii="宋体" w:hAnsi="宋体" w:cs="宋体"/>
          <w:b/>
          <w:color w:val="auto"/>
          <w:sz w:val="24"/>
          <w:highlight w:val="none"/>
        </w:rPr>
        <w:br w:type="page" w:clear="all"/>
      </w:r>
      <w:r>
        <w:rPr>
          <w:rFonts w:hint="eastAsia" w:ascii="宋体" w:hAnsi="宋体" w:cs="宋体"/>
          <w:b/>
          <w:color w:val="auto"/>
          <w:sz w:val="30"/>
          <w:szCs w:val="30"/>
          <w:highlight w:val="none"/>
        </w:rPr>
        <w:t xml:space="preserve">监狱企业证明函</w:t>
      </w:r>
      <w:r/>
    </w:p>
    <w:p>
      <w:pPr>
        <w:ind w:firstLine="482"/>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ind w:firstLine="480"/>
        <w:jc w:val="left"/>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rPr>
        <w:t xml:space="preserve">根据《财政部 司法部关于政府采购支持监狱企业发展有关问题的通知》（财库[2014]68号）的规定，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（填写投标人法定全称）为监狱企业。</w:t>
      </w:r>
      <w:r/>
    </w:p>
    <w:p>
      <w:pPr>
        <w:ind w:firstLine="480"/>
        <w:jc w:val="left"/>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rPr>
        <w:t xml:space="preserve">特此声明。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rPr>
        <w:t xml:space="preserve">省级以上监狱管理局、戒毒管理局（含新疆生产建设兵团）（盖章）：</w:t>
      </w:r>
      <w:r/>
    </w:p>
    <w:p>
      <w:pPr>
        <w:ind w:firstLine="480"/>
        <w:jc w:val="center"/>
        <w:keepLines/>
        <w:keepNext/>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日期：</w:t>
      </w:r>
      <w:r/>
    </w:p>
    <w:p>
      <w:pPr>
        <w:ind w:firstLine="482"/>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contextualSpacing/>
        <w:ind w:firstLine="540"/>
        <w:spacing w:line="4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投标函</w:t>
      </w:r>
      <w:r/>
    </w:p>
    <w:p>
      <w:pPr>
        <w:pStyle w:val="917"/>
        <w:ind w:left="0" w:firstLine="0"/>
        <w:jc w:val="left"/>
        <w:spacing w:before="0" w:after="0"/>
        <w:rPr>
          <w:rFonts w:ascii="宋体" w:hAnsi="宋体" w:cs="宋体"/>
          <w:color w:val="auto"/>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highlight w:val="none"/>
        </w:rPr>
        <w:t xml:space="preserve">：</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cs="宋体"/>
          <w:color w:val="auto"/>
          <w:highlight w:val="none"/>
        </w:rPr>
        <w:t xml:space="preserve">号招标文件，正式授权_____(被授权人姓名)代表我方_______（投标人的名称），全权处理本次项目投标的有关事宜。</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据此函，__________（被授权人）兹宣布同意如下：</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1.按招标文件规定的各项要求，向买方提供所需服务。</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2.我们完全理解贵方不一定将合同授予最低报价的投标人。</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3.我们已详细审核全部招标文件及其有效补充文件，我们知道必须放弃提出含糊不清或误解问题的权利。</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4.我们同意从规定的开标日期起遵循本投标文件，并在规定的投标有效期期满之前均具有约束力。</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5.同意向贵方提供贵方可能另外要求的与投标有关的任何证据或资料，并保证我方已提供和将要提供的文件是真实的、准确的。</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6.一旦我方中标,我方将根据招标文件的规定，严格履行合同的责任和义务,并保证在招标文件规定的时间完成项目，交付买方验收、使用。</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7.与本投标有关的正式通讯地址为：</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地        址：</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邮        编：</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电        话：</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传        真：</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投标人开户行：</w:t>
      </w:r>
      <w:r/>
    </w:p>
    <w:p>
      <w:pPr>
        <w:pStyle w:val="917"/>
        <w:jc w:val="left"/>
        <w:spacing w:before="0" w:after="0"/>
        <w:rPr>
          <w:rFonts w:ascii="宋体" w:hAnsi="宋体" w:cs="宋体"/>
          <w:color w:val="auto"/>
          <w:highlight w:val="none"/>
        </w:rPr>
      </w:pPr>
      <w:r>
        <w:rPr>
          <w:rFonts w:hint="eastAsia" w:ascii="宋体" w:hAnsi="宋体" w:cs="宋体"/>
          <w:color w:val="auto"/>
          <w:highlight w:val="none"/>
        </w:rPr>
        <w:t xml:space="preserve">账        号： </w:t>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投标分项报价表</w:t>
      </w:r>
      <w:r>
        <w:rPr>
          <w:rFonts w:hint="eastAsia" w:ascii="宋体" w:hAnsi="宋体" w:cs="宋体"/>
          <w:b/>
          <w:bCs/>
          <w:color w:val="auto"/>
          <w:sz w:val="30"/>
          <w:szCs w:val="30"/>
          <w:highlight w:val="none"/>
          <w:lang w:eastAsia="zh-CN"/>
        </w:rPr>
        <w:t xml:space="preserve">（</w:t>
      </w:r>
      <w:r>
        <w:rPr>
          <w:rFonts w:hint="eastAsia" w:ascii="宋体" w:hAnsi="宋体" w:cs="宋体"/>
          <w:b/>
          <w:bCs/>
          <w:color w:val="auto"/>
          <w:sz w:val="30"/>
          <w:szCs w:val="30"/>
          <w:highlight w:val="none"/>
          <w:lang w:val="en-US" w:eastAsia="zh-CN"/>
        </w:rPr>
        <w:t xml:space="preserve">如有，格式自拟</w:t>
      </w:r>
      <w:r>
        <w:rPr>
          <w:rFonts w:hint="eastAsia" w:ascii="宋体" w:hAnsi="宋体" w:cs="宋体"/>
          <w:b/>
          <w:bCs/>
          <w:color w:val="auto"/>
          <w:sz w:val="30"/>
          <w:szCs w:val="30"/>
          <w:highlight w:val="none"/>
          <w:lang w:eastAsia="zh-CN"/>
        </w:rPr>
        <w:t xml:space="preserve">）</w:t>
      </w:r>
      <w:r/>
    </w:p>
    <w:p>
      <w:pPr>
        <w:ind w:firstLine="0"/>
        <w:jc w:val="left"/>
        <w:spacing w:line="240" w:lineRule="auto"/>
        <w:rPr>
          <w:rFonts w:hint="eastAsia" w:ascii="宋体" w:hAnsi="宋体" w:cs="宋体"/>
          <w:bCs/>
          <w:i w:val="0"/>
          <w:iCs w:val="0"/>
          <w:color w:val="auto"/>
          <w:sz w:val="24"/>
          <w:highlight w:val="none"/>
        </w:rPr>
      </w:pPr>
      <w:r>
        <w:rPr>
          <w:rFonts w:hint="eastAsia" w:ascii="宋体" w:hAnsi="宋体" w:cs="宋体"/>
          <w:b/>
          <w:bCs/>
          <w:color w:val="auto"/>
          <w:sz w:val="30"/>
          <w:szCs w:val="30"/>
          <w:highlight w:val="none"/>
        </w:rPr>
        <w:br w:type="page" w:clear="all"/>
      </w:r>
      <w:r/>
    </w:p>
    <w:p>
      <w:pPr>
        <w:jc w:val="center"/>
        <w:rPr>
          <w:rFonts w:ascii="宋体" w:hAnsi="宋体" w:cs="宋体"/>
          <w:b/>
          <w:bCs/>
          <w:color w:val="auto"/>
          <w:sz w:val="30"/>
          <w:szCs w:val="30"/>
          <w:highlight w:val="none"/>
          <w:lang w:eastAsia="en-US"/>
        </w:rPr>
      </w:pPr>
      <w:r>
        <w:rPr>
          <w:rFonts w:hint="eastAsia" w:ascii="宋体" w:hAnsi="宋体" w:cs="宋体"/>
          <w:b/>
          <w:bCs/>
          <w:color w:val="auto"/>
          <w:sz w:val="30"/>
          <w:szCs w:val="30"/>
          <w:highlight w:val="none"/>
        </w:rPr>
        <w:t xml:space="preserve">商务部分正负偏离表</w:t>
      </w:r>
      <w:r/>
    </w:p>
    <w:tbl>
      <w:tblPr>
        <w:tblStyle w:val="66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815"/>
        <w:gridCol w:w="2852"/>
        <w:gridCol w:w="1308"/>
        <w:gridCol w:w="1173"/>
      </w:tblGrid>
      <w:tr>
        <w:trPr>
          <w:cantSplit/>
        </w:trPr>
        <w:tc>
          <w:tcPr>
            <w:tcW w:w="102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81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招标文件要求</w:t>
            </w:r>
            <w:r/>
          </w:p>
        </w:tc>
        <w:tc>
          <w:tcPr>
            <w:tcW w:w="28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130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W w:w="117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证明</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材料</w:t>
            </w:r>
            <w:r/>
          </w:p>
        </w:tc>
      </w:tr>
      <w:tr>
        <w:trPr>
          <w:cantSplit/>
          <w:trHeight w:val="640"/>
        </w:trPr>
        <w:tc>
          <w:tcPr>
            <w:tcW w:w="102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2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2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2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2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2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2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2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5"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ind w:firstLine="492"/>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pStyle w:val="665"/>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02"/>
        <w:ind w:left="0" w:firstLine="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contextualSpacing/>
        <w:ind w:firstLine="540"/>
        <w:spacing w:line="400" w:lineRule="exact"/>
        <w:rPr>
          <w:rFonts w:ascii="宋体" w:hAnsi="宋体" w:cs="宋体"/>
          <w:b/>
          <w:color w:val="auto"/>
          <w:sz w:val="24"/>
          <w:highlight w:val="none"/>
        </w:rPr>
      </w:pPr>
      <w:r>
        <w:rPr>
          <w:rFonts w:ascii="宋体" w:hAnsi="宋体" w:cs="宋体"/>
          <w:b/>
          <w:color w:val="auto"/>
          <w:sz w:val="24"/>
          <w:highlight w:val="none"/>
        </w:rPr>
      </w:r>
      <w:r/>
    </w:p>
    <w:p>
      <w:pPr>
        <w:contextualSpacing/>
        <w:ind w:firstLine="540"/>
        <w:spacing w:line="400" w:lineRule="exact"/>
        <w:rPr>
          <w:rFonts w:ascii="宋体" w:hAnsi="宋体" w:cs="宋体"/>
          <w:b/>
          <w:color w:val="auto"/>
          <w:szCs w:val="21"/>
          <w:highlight w:val="none"/>
        </w:rPr>
      </w:pPr>
      <w:r>
        <w:rPr>
          <w:rFonts w:ascii="宋体" w:hAnsi="宋体" w:cs="宋体"/>
          <w:b/>
          <w:color w:val="auto"/>
          <w:szCs w:val="21"/>
          <w:highlight w:val="none"/>
        </w:rPr>
      </w:r>
      <w:r/>
    </w:p>
    <w:p>
      <w:pPr>
        <w:contextualSpacing/>
        <w:ind w:firstLine="540"/>
        <w:spacing w:line="400" w:lineRule="exact"/>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技术部分正负偏离表</w:t>
      </w:r>
      <w:r/>
    </w:p>
    <w:p>
      <w:pPr>
        <w:rPr>
          <w:rFonts w:ascii="宋体" w:hAnsi="宋体" w:cs="宋体"/>
          <w:b/>
          <w:bCs/>
          <w:color w:val="auto"/>
          <w:szCs w:val="21"/>
          <w:highlight w:val="none"/>
        </w:rPr>
      </w:pPr>
      <w:r>
        <w:rPr>
          <w:rFonts w:ascii="宋体" w:hAnsi="宋体" w:cs="宋体"/>
          <w:b/>
          <w:bCs/>
          <w:color w:val="auto"/>
          <w:szCs w:val="21"/>
          <w:highlight w:val="none"/>
        </w:rPr>
      </w:r>
      <w:r/>
    </w:p>
    <w:tbl>
      <w:tblPr>
        <w:tblStyle w:val="663"/>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br w:type="page" w:clear="all"/>
            </w:r>
            <w:r>
              <w:rPr>
                <w:rFonts w:hint="eastAsia" w:ascii="宋体" w:hAnsi="宋体" w:cs="宋体"/>
                <w:color w:val="auto"/>
                <w:sz w:val="24"/>
                <w:highlight w:val="none"/>
              </w:rPr>
              <w:t xml:space="preserve">序号</w:t>
            </w:r>
            <w:r/>
          </w:p>
        </w:tc>
        <w:tc>
          <w:tcPr>
            <w:tcW w:w="329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招标文件要求</w:t>
            </w:r>
            <w:r/>
          </w:p>
        </w:tc>
        <w:tc>
          <w:tcPr>
            <w:tcW w:w="28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130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W w:w="117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证明</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材料</w:t>
            </w:r>
            <w:r/>
          </w:p>
        </w:tc>
      </w:tr>
      <w:tr>
        <w:trPr>
          <w:cantSplit/>
          <w:trHeight w:val="640"/>
        </w:trPr>
        <w:tc>
          <w:tcPr>
            <w:tcW w:w="108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8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8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8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8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8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8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108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91"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ind w:firstLine="492"/>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 投标人（盖章）：</w:t>
      </w:r>
      <w:r/>
    </w:p>
    <w:p>
      <w:pPr>
        <w:pStyle w:val="665"/>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665"/>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月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w:t>
      </w:r>
      <w:r/>
    </w:p>
    <w:p>
      <w:pP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pStyle w:val="671"/>
        <w:ind w:right="415"/>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质疑函范本</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一、质疑供应商基本信息</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质疑供应商：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邮编：</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                      联系电话：</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授权代表：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邮编：</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二、质疑项目基本情况</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质疑项目的名称：</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质疑项目的编号：              包号：</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采购人名称：</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招标文件获取日期：</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三、质疑事项具体内容</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质疑事项1：</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事实依据：</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法律依据：</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质疑事项2</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四、与质疑事项相关的质疑请求</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请求：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质疑函制作说明：</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1.供应商提出质疑时，应提交质疑函和必要的证明材料。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3.质疑供应商若对项目的某一分包进行质疑，质疑函中应列明具体标段。</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4.质疑函的质疑事项应具体、明确，并有必要的事实依据和法律依据。</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5.质疑函的质疑请求应与质疑事项相关。</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64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64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sectPr>
      <w:headerReference w:type="default" r:id="rId9"/>
      <w:footerReference w:type="default" r:id="rId10"/>
      <w:footnotePr/>
      <w:endnotePr/>
      <w:type w:val="continuous"/>
      <w:pgSz w:w="11906" w:h="16838" w:orient="portrait"/>
      <w:pgMar w:top="1304" w:right="1304" w:bottom="130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Segoe UI">
    <w:panose1 w:val="020B0502040204020203"/>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仿宋">
    <w:panose1 w:val="02010609060101010101"/>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685"/>
                            <w:jc w:val="center"/>
                          </w:pPr>
                          <w:r>
                            <w:fldChar w:fldCharType="begin"/>
                          </w:r>
                          <w:r>
                            <w:instrText xml:space="preserve">PAGE \* MERGEFORMAT</w:instrText>
                          </w:r>
                          <w:r>
                            <w:fldChar w:fldCharType="separate"/>
                          </w:r>
                          <w:r>
                            <w:t xml:space="preserve">57</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685"/>
                      <w:jc w:val="center"/>
                    </w:pPr>
                    <w:r>
                      <w:fldChar w:fldCharType="begin"/>
                    </w:r>
                    <w:r>
                      <w:instrText xml:space="preserve">PAGE \* MERGEFORMAT</w:instrText>
                    </w:r>
                    <w:r>
                      <w:fldChar w:fldCharType="separate"/>
                    </w:r>
                    <w:r>
                      <w:t xml:space="preserve">57</w:t>
                    </w:r>
                    <w:r>
                      <w:fldChar w:fldCharType="end"/>
                    </w:r>
                    <w:r/>
                  </w:p>
                </w:txbxContent>
              </v:textbox>
            </v:shape>
          </w:pict>
        </mc:Fallback>
      </mc:AlternateContent>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2"/>
    <w:link w:val="653"/>
    <w:uiPriority w:val="9"/>
    <w:rPr>
      <w:rFonts w:ascii="Arial" w:hAnsi="Arial" w:eastAsia="Arial" w:cs="Arial"/>
      <w:sz w:val="40"/>
      <w:szCs w:val="40"/>
    </w:rPr>
  </w:style>
  <w:style w:type="character" w:styleId="15">
    <w:name w:val="Heading 2 Char"/>
    <w:basedOn w:val="662"/>
    <w:link w:val="654"/>
    <w:uiPriority w:val="9"/>
    <w:rPr>
      <w:rFonts w:ascii="Arial" w:hAnsi="Arial" w:eastAsia="Arial" w:cs="Arial"/>
      <w:sz w:val="34"/>
    </w:rPr>
  </w:style>
  <w:style w:type="character" w:styleId="17">
    <w:name w:val="Heading 3 Char"/>
    <w:basedOn w:val="662"/>
    <w:link w:val="655"/>
    <w:uiPriority w:val="9"/>
    <w:rPr>
      <w:rFonts w:ascii="Arial" w:hAnsi="Arial" w:eastAsia="Arial" w:cs="Arial"/>
      <w:sz w:val="30"/>
      <w:szCs w:val="30"/>
    </w:rPr>
  </w:style>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700"/>
    <w:uiPriority w:val="10"/>
    <w:rPr>
      <w:sz w:val="48"/>
      <w:szCs w:val="48"/>
    </w:rPr>
  </w:style>
  <w:style w:type="character" w:styleId="38">
    <w:name w:val="Quote Char"/>
    <w:link w:val="752"/>
    <w:uiPriority w:val="29"/>
    <w:rPr>
      <w:i/>
    </w:rPr>
  </w:style>
  <w:style w:type="character" w:styleId="40">
    <w:name w:val="Intense Quote Char"/>
    <w:link w:val="754"/>
    <w:uiPriority w:val="30"/>
    <w:rPr>
      <w:i/>
    </w:rPr>
  </w:style>
  <w:style w:type="character" w:styleId="42">
    <w:name w:val="Header Char"/>
    <w:basedOn w:val="662"/>
    <w:link w:val="686"/>
    <w:uiPriority w:val="99"/>
  </w:style>
  <w:style w:type="character" w:styleId="44">
    <w:name w:val="Footer Char"/>
    <w:basedOn w:val="662"/>
    <w:link w:val="685"/>
    <w:uiPriority w:val="99"/>
  </w:style>
  <w:style w:type="paragraph" w:styleId="189">
    <w:name w:val="TOC Heading"/>
    <w:uiPriority w:val="39"/>
    <w:unhideWhenUsed/>
  </w:style>
  <w:style w:type="paragraph" w:styleId="652" w:default="1">
    <w:name w:val="Normal"/>
    <w:next w:val="664"/>
    <w:uiPriority w:val="0"/>
    <w:qFormat/>
    <w:pPr>
      <w:jc w:val="both"/>
      <w:widowControl w:val="off"/>
    </w:pPr>
    <w:rPr>
      <w:rFonts w:ascii="Times New Roman" w:hAnsi="Times New Roman" w:eastAsia="宋体" w:cs="Times New Roman"/>
      <w:sz w:val="21"/>
      <w:szCs w:val="24"/>
      <w:lang w:val="en-US" w:eastAsia="zh-CN" w:bidi="ar-SA"/>
    </w:rPr>
  </w:style>
  <w:style w:type="paragraph" w:styleId="653">
    <w:name w:val="Heading 1"/>
    <w:basedOn w:val="652"/>
    <w:next w:val="652"/>
    <w:link w:val="887"/>
    <w:uiPriority w:val="0"/>
    <w:qFormat/>
    <w:pPr>
      <w:keepLines/>
      <w:keepNext/>
      <w:spacing w:before="340" w:after="330" w:line="578" w:lineRule="auto"/>
      <w:outlineLvl w:val="0"/>
    </w:pPr>
    <w:rPr>
      <w:b/>
      <w:bCs/>
      <w:sz w:val="44"/>
      <w:szCs w:val="44"/>
    </w:rPr>
  </w:style>
  <w:style w:type="paragraph" w:styleId="654">
    <w:name w:val="Heading 2"/>
    <w:basedOn w:val="652"/>
    <w:next w:val="652"/>
    <w:link w:val="888"/>
    <w:uiPriority w:val="0"/>
    <w:qFormat/>
    <w:pPr>
      <w:keepLines/>
      <w:keepNext/>
      <w:spacing w:before="260" w:after="260" w:line="416" w:lineRule="auto"/>
      <w:outlineLvl w:val="1"/>
    </w:pPr>
    <w:rPr>
      <w:rFonts w:ascii="Arial" w:hAnsi="Arial" w:eastAsia="黑体"/>
      <w:b/>
      <w:bCs/>
      <w:sz w:val="32"/>
      <w:szCs w:val="32"/>
    </w:rPr>
  </w:style>
  <w:style w:type="paragraph" w:styleId="655">
    <w:name w:val="Heading 3"/>
    <w:basedOn w:val="652"/>
    <w:next w:val="652"/>
    <w:link w:val="889"/>
    <w:uiPriority w:val="0"/>
    <w:qFormat/>
    <w:pPr>
      <w:keepLines/>
      <w:keepNext/>
      <w:spacing w:before="260" w:after="260" w:line="416" w:lineRule="auto"/>
      <w:outlineLvl w:val="2"/>
    </w:pPr>
    <w:rPr>
      <w:b/>
      <w:bCs/>
      <w:sz w:val="32"/>
      <w:szCs w:val="32"/>
    </w:rPr>
  </w:style>
  <w:style w:type="paragraph" w:styleId="656">
    <w:name w:val="Heading 4"/>
    <w:basedOn w:val="652"/>
    <w:next w:val="652"/>
    <w:link w:val="890"/>
    <w:uiPriority w:val="0"/>
    <w:qFormat/>
    <w:pPr>
      <w:jc w:val="center"/>
      <w:keepNext/>
      <w:outlineLvl w:val="3"/>
    </w:pPr>
    <w:rPr>
      <w:rFonts w:eastAsia="新宋体"/>
      <w:sz w:val="30"/>
      <w:szCs w:val="21"/>
    </w:rPr>
  </w:style>
  <w:style w:type="paragraph" w:styleId="657">
    <w:name w:val="Heading 5"/>
    <w:basedOn w:val="652"/>
    <w:next w:val="652"/>
    <w:link w:val="891"/>
    <w:uiPriority w:val="0"/>
    <w:qFormat/>
    <w:pPr>
      <w:keepLines/>
      <w:keepNext/>
      <w:spacing w:before="280" w:after="290" w:line="376" w:lineRule="auto"/>
      <w:outlineLvl w:val="4"/>
    </w:pPr>
    <w:rPr>
      <w:b/>
      <w:bCs/>
      <w:sz w:val="28"/>
      <w:szCs w:val="28"/>
    </w:rPr>
  </w:style>
  <w:style w:type="paragraph" w:styleId="658">
    <w:name w:val="Heading 6"/>
    <w:basedOn w:val="652"/>
    <w:next w:val="665"/>
    <w:link w:val="892"/>
    <w:uiPriority w:val="0"/>
    <w:qFormat/>
    <w:pPr>
      <w:jc w:val="center"/>
      <w:keepNext/>
      <w:outlineLvl w:val="5"/>
    </w:pPr>
    <w:rPr>
      <w:b/>
      <w:sz w:val="44"/>
      <w:szCs w:val="20"/>
    </w:rPr>
  </w:style>
  <w:style w:type="paragraph" w:styleId="659">
    <w:name w:val="Heading 7"/>
    <w:basedOn w:val="652"/>
    <w:next w:val="652"/>
    <w:link w:val="894"/>
    <w:uiPriority w:val="0"/>
    <w:qFormat/>
    <w:pPr>
      <w:keepLines/>
      <w:keepNext/>
      <w:spacing w:before="240" w:after="64" w:line="320" w:lineRule="auto"/>
      <w:outlineLvl w:val="6"/>
    </w:pPr>
    <w:rPr>
      <w:b/>
      <w:bCs/>
      <w:sz w:val="24"/>
    </w:rPr>
  </w:style>
  <w:style w:type="paragraph" w:styleId="660">
    <w:name w:val="Heading 8"/>
    <w:basedOn w:val="652"/>
    <w:next w:val="652"/>
    <w:link w:val="895"/>
    <w:uiPriority w:val="0"/>
    <w:qFormat/>
    <w:pPr>
      <w:keepLines/>
      <w:keepNext/>
      <w:spacing w:before="240" w:after="64" w:line="320" w:lineRule="auto"/>
      <w:outlineLvl w:val="7"/>
    </w:pPr>
    <w:rPr>
      <w:rFonts w:ascii="Arial" w:hAnsi="Arial" w:eastAsia="黑体"/>
      <w:sz w:val="24"/>
    </w:rPr>
  </w:style>
  <w:style w:type="paragraph" w:styleId="661">
    <w:name w:val="Heading 9"/>
    <w:basedOn w:val="652"/>
    <w:next w:val="652"/>
    <w:link w:val="896"/>
    <w:uiPriority w:val="0"/>
    <w:qFormat/>
    <w:pPr>
      <w:keepLines/>
      <w:keepNext/>
      <w:spacing w:before="240" w:after="64" w:line="320" w:lineRule="auto"/>
      <w:outlineLvl w:val="8"/>
    </w:pPr>
    <w:rPr>
      <w:rFonts w:ascii="Arial" w:hAnsi="Arial" w:eastAsia="黑体"/>
      <w:sz w:val="24"/>
      <w:szCs w:val="21"/>
    </w:rPr>
  </w:style>
  <w:style w:type="character" w:styleId="662" w:default="1">
    <w:name w:val="Default Paragraph Font"/>
    <w:uiPriority w:val="1"/>
    <w:qFormat/>
  </w:style>
  <w:style w:type="table" w:styleId="663" w:default="1">
    <w:name w:val="Normal Table"/>
    <w:uiPriority w:val="99"/>
    <w:qFormat/>
    <w:tblPr>
      <w:tblCellMar>
        <w:left w:w="108" w:type="dxa"/>
        <w:top w:w="0" w:type="dxa"/>
        <w:right w:w="108" w:type="dxa"/>
        <w:bottom w:w="0" w:type="dxa"/>
      </w:tblCellMar>
    </w:tblPr>
  </w:style>
  <w:style w:type="paragraph" w:styleId="664">
    <w:name w:val="Document Map"/>
    <w:basedOn w:val="652"/>
    <w:next w:val="652"/>
    <w:link w:val="897"/>
    <w:uiPriority w:val="0"/>
    <w:qFormat/>
    <w:pPr>
      <w:shd w:val="clear" w:color="auto" w:fill="000080"/>
    </w:pPr>
    <w:rPr>
      <w:sz w:val="20"/>
    </w:rPr>
  </w:style>
  <w:style w:type="paragraph" w:styleId="665">
    <w:name w:val="Normal Indent"/>
    <w:basedOn w:val="652"/>
    <w:link w:val="893"/>
    <w:uiPriority w:val="0"/>
    <w:qFormat/>
    <w:pPr>
      <w:ind w:firstLine="420"/>
    </w:pPr>
    <w:rPr>
      <w:sz w:val="20"/>
      <w:szCs w:val="20"/>
    </w:rPr>
  </w:style>
  <w:style w:type="paragraph" w:styleId="666">
    <w:name w:val="toc 7"/>
    <w:basedOn w:val="652"/>
    <w:next w:val="652"/>
    <w:uiPriority w:val="39"/>
    <w:qFormat/>
    <w:pPr>
      <w:ind w:left="1701"/>
      <w:spacing w:after="57"/>
    </w:pPr>
  </w:style>
  <w:style w:type="paragraph" w:styleId="667">
    <w:name w:val="Caption"/>
    <w:basedOn w:val="652"/>
    <w:next w:val="652"/>
    <w:uiPriority w:val="35"/>
    <w:qFormat/>
    <w:pPr>
      <w:spacing w:line="276" w:lineRule="auto"/>
    </w:pPr>
    <w:rPr>
      <w:b/>
      <w:bCs/>
      <w:color w:val="4f81bd"/>
      <w:sz w:val="18"/>
      <w:szCs w:val="18"/>
    </w:rPr>
  </w:style>
  <w:style w:type="paragraph" w:styleId="668">
    <w:name w:val="toa heading"/>
    <w:basedOn w:val="652"/>
    <w:next w:val="652"/>
    <w:uiPriority w:val="0"/>
    <w:qFormat/>
    <w:pPr>
      <w:jc w:val="center"/>
      <w:spacing w:before="200" w:line="360" w:lineRule="atLeast"/>
    </w:pPr>
    <w:rPr>
      <w:rFonts w:ascii="Arial" w:hAnsi="Arial" w:eastAsia="黑体"/>
      <w:sz w:val="44"/>
    </w:rPr>
  </w:style>
  <w:style w:type="paragraph" w:styleId="669">
    <w:name w:val="annotation text"/>
    <w:basedOn w:val="652"/>
    <w:uiPriority w:val="99"/>
    <w:qFormat/>
    <w:pPr>
      <w:jc w:val="left"/>
    </w:pPr>
  </w:style>
  <w:style w:type="paragraph" w:styleId="670">
    <w:name w:val="Body Text 3"/>
    <w:basedOn w:val="652"/>
    <w:link w:val="898"/>
    <w:uiPriority w:val="0"/>
    <w:qFormat/>
    <w:pPr>
      <w:spacing w:after="120"/>
    </w:pPr>
    <w:rPr>
      <w:sz w:val="16"/>
      <w:szCs w:val="16"/>
    </w:rPr>
  </w:style>
  <w:style w:type="paragraph" w:styleId="671">
    <w:name w:val="Body Text"/>
    <w:basedOn w:val="652"/>
    <w:next w:val="672"/>
    <w:link w:val="899"/>
    <w:uiPriority w:val="0"/>
    <w:qFormat/>
    <w:rPr>
      <w:rFonts w:ascii="仿宋_GB2312" w:eastAsia="仿宋_GB2312"/>
      <w:sz w:val="24"/>
      <w:szCs w:val="20"/>
    </w:rPr>
  </w:style>
  <w:style w:type="paragraph" w:styleId="672" w:customStyle="1">
    <w:name w:val="style4"/>
    <w:basedOn w:val="652"/>
    <w:next w:val="673"/>
    <w:uiPriority w:val="0"/>
    <w:qFormat/>
    <w:pPr>
      <w:spacing w:before="280" w:after="280"/>
      <w:widowControl/>
    </w:pPr>
    <w:rPr>
      <w:rFonts w:ascii="宋体"/>
      <w:sz w:val="18"/>
    </w:rPr>
  </w:style>
  <w:style w:type="paragraph" w:styleId="673" w:customStyle="1">
    <w:name w:val="2"/>
    <w:next w:val="652"/>
    <w:uiPriority w:val="99"/>
    <w:qFormat/>
    <w:pPr>
      <w:jc w:val="both"/>
      <w:widowControl w:val="off"/>
    </w:pPr>
    <w:rPr>
      <w:rFonts w:ascii="Times New Roman" w:hAnsi="Times New Roman" w:eastAsia="宋体" w:cs="Times New Roman"/>
      <w:sz w:val="21"/>
      <w:szCs w:val="21"/>
      <w:lang w:val="en-US" w:eastAsia="zh-CN" w:bidi="ar-SA"/>
    </w:rPr>
  </w:style>
  <w:style w:type="paragraph" w:styleId="674">
    <w:name w:val="Body Text Indent"/>
    <w:basedOn w:val="652"/>
    <w:next w:val="675"/>
    <w:link w:val="900"/>
    <w:uiPriority w:val="0"/>
    <w:qFormat/>
    <w:pPr>
      <w:ind w:left="765"/>
    </w:pPr>
    <w:rPr>
      <w:rFonts w:ascii="仿宋_GB2312" w:eastAsia="仿宋_GB2312"/>
      <w:sz w:val="28"/>
      <w:szCs w:val="20"/>
    </w:rPr>
  </w:style>
  <w:style w:type="paragraph" w:styleId="675">
    <w:name w:val="envelope return"/>
    <w:basedOn w:val="652"/>
    <w:uiPriority w:val="99"/>
    <w:qFormat/>
    <w:rPr>
      <w:rFonts w:ascii="Arial" w:hAnsi="Arial"/>
    </w:rPr>
  </w:style>
  <w:style w:type="paragraph" w:styleId="676">
    <w:name w:val="index 4"/>
    <w:basedOn w:val="652"/>
    <w:next w:val="652"/>
    <w:uiPriority w:val="99"/>
    <w:qFormat/>
    <w:pPr>
      <w:ind w:left="600"/>
    </w:pPr>
  </w:style>
  <w:style w:type="paragraph" w:styleId="677">
    <w:name w:val="toc 5"/>
    <w:basedOn w:val="652"/>
    <w:next w:val="652"/>
    <w:uiPriority w:val="39"/>
    <w:qFormat/>
    <w:pPr>
      <w:ind w:left="1134"/>
      <w:spacing w:after="57"/>
    </w:pPr>
  </w:style>
  <w:style w:type="paragraph" w:styleId="678">
    <w:name w:val="toc 3"/>
    <w:basedOn w:val="652"/>
    <w:next w:val="652"/>
    <w:uiPriority w:val="39"/>
    <w:qFormat/>
    <w:pPr>
      <w:ind w:left="567"/>
      <w:spacing w:after="57"/>
    </w:pPr>
  </w:style>
  <w:style w:type="paragraph" w:styleId="679">
    <w:name w:val="Plain Text"/>
    <w:basedOn w:val="652"/>
    <w:link w:val="901"/>
    <w:uiPriority w:val="0"/>
    <w:qFormat/>
    <w:rPr>
      <w:rFonts w:ascii="宋体" w:hAnsi="Courier New"/>
      <w:sz w:val="20"/>
      <w:szCs w:val="21"/>
    </w:rPr>
  </w:style>
  <w:style w:type="paragraph" w:styleId="680">
    <w:name w:val="toc 8"/>
    <w:basedOn w:val="652"/>
    <w:next w:val="652"/>
    <w:uiPriority w:val="39"/>
    <w:qFormat/>
    <w:pPr>
      <w:ind w:left="1984"/>
      <w:spacing w:after="57"/>
    </w:pPr>
  </w:style>
  <w:style w:type="paragraph" w:styleId="681">
    <w:name w:val="Date"/>
    <w:basedOn w:val="652"/>
    <w:next w:val="652"/>
    <w:link w:val="902"/>
    <w:uiPriority w:val="0"/>
    <w:qFormat/>
    <w:rPr>
      <w:sz w:val="24"/>
      <w:szCs w:val="20"/>
    </w:rPr>
  </w:style>
  <w:style w:type="paragraph" w:styleId="682">
    <w:name w:val="Body Text Indent 2"/>
    <w:basedOn w:val="652"/>
    <w:link w:val="903"/>
    <w:uiPriority w:val="0"/>
    <w:qFormat/>
    <w:pPr>
      <w:ind w:firstLine="560"/>
      <w:spacing w:line="500" w:lineRule="exact"/>
    </w:pPr>
    <w:rPr>
      <w:rFonts w:eastAsia="仿宋_GB2312"/>
      <w:sz w:val="28"/>
      <w:szCs w:val="20"/>
    </w:rPr>
  </w:style>
  <w:style w:type="paragraph" w:styleId="683">
    <w:name w:val="endnote text"/>
    <w:basedOn w:val="652"/>
    <w:link w:val="885"/>
    <w:uiPriority w:val="99"/>
    <w:qFormat/>
    <w:rPr>
      <w:sz w:val="20"/>
    </w:rPr>
  </w:style>
  <w:style w:type="paragraph" w:styleId="684">
    <w:name w:val="Balloon Text"/>
    <w:basedOn w:val="652"/>
    <w:link w:val="904"/>
    <w:uiPriority w:val="0"/>
    <w:qFormat/>
    <w:rPr>
      <w:sz w:val="18"/>
      <w:szCs w:val="18"/>
    </w:rPr>
  </w:style>
  <w:style w:type="paragraph" w:styleId="685">
    <w:name w:val="Footer"/>
    <w:basedOn w:val="652"/>
    <w:link w:val="905"/>
    <w:uiPriority w:val="99"/>
    <w:qFormat/>
    <w:pPr>
      <w:jc w:val="left"/>
      <w:tabs>
        <w:tab w:val="center" w:pos="4153" w:leader="none"/>
        <w:tab w:val="right" w:pos="8306" w:leader="none"/>
      </w:tabs>
    </w:pPr>
    <w:rPr>
      <w:sz w:val="18"/>
      <w:szCs w:val="20"/>
    </w:rPr>
  </w:style>
  <w:style w:type="paragraph" w:styleId="686">
    <w:name w:val="Header"/>
    <w:basedOn w:val="652"/>
    <w:link w:val="906"/>
    <w:uiPriority w:val="0"/>
    <w:qFormat/>
    <w:pPr>
      <w:jc w:val="center"/>
      <w:tabs>
        <w:tab w:val="center" w:pos="4153" w:leader="none"/>
        <w:tab w:val="right" w:pos="8306" w:leader="none"/>
      </w:tabs>
      <w:pBdr>
        <w:bottom w:val="single" w:color="000000" w:sz="6" w:space="1"/>
      </w:pBdr>
    </w:pPr>
    <w:rPr>
      <w:sz w:val="18"/>
      <w:szCs w:val="18"/>
    </w:rPr>
  </w:style>
  <w:style w:type="paragraph" w:styleId="687">
    <w:name w:val="toc 1"/>
    <w:basedOn w:val="652"/>
    <w:next w:val="652"/>
    <w:uiPriority w:val="39"/>
    <w:qFormat/>
    <w:pPr>
      <w:spacing w:after="57"/>
    </w:pPr>
  </w:style>
  <w:style w:type="paragraph" w:styleId="688">
    <w:name w:val="toc 4"/>
    <w:basedOn w:val="652"/>
    <w:next w:val="652"/>
    <w:uiPriority w:val="39"/>
    <w:qFormat/>
    <w:pPr>
      <w:ind w:left="850"/>
      <w:spacing w:after="57"/>
    </w:pPr>
  </w:style>
  <w:style w:type="paragraph" w:styleId="689">
    <w:name w:val="Subtitle"/>
    <w:basedOn w:val="652"/>
    <w:next w:val="652"/>
    <w:link w:val="751"/>
    <w:uiPriority w:val="11"/>
    <w:qFormat/>
    <w:pPr>
      <w:spacing w:before="200" w:after="200"/>
    </w:pPr>
    <w:rPr>
      <w:sz w:val="24"/>
    </w:rPr>
  </w:style>
  <w:style w:type="paragraph" w:styleId="690">
    <w:name w:val="List"/>
    <w:basedOn w:val="652"/>
    <w:uiPriority w:val="0"/>
    <w:qFormat/>
    <w:pPr>
      <w:ind w:left="200" w:hanging="200"/>
    </w:pPr>
  </w:style>
  <w:style w:type="paragraph" w:styleId="691">
    <w:name w:val="footnote text"/>
    <w:basedOn w:val="652"/>
    <w:link w:val="884"/>
    <w:uiPriority w:val="99"/>
    <w:qFormat/>
    <w:pPr>
      <w:spacing w:after="40"/>
    </w:pPr>
    <w:rPr>
      <w:sz w:val="18"/>
    </w:rPr>
  </w:style>
  <w:style w:type="paragraph" w:styleId="692">
    <w:name w:val="toc 6"/>
    <w:basedOn w:val="652"/>
    <w:next w:val="652"/>
    <w:uiPriority w:val="39"/>
    <w:qFormat/>
    <w:pPr>
      <w:ind w:left="1417"/>
      <w:spacing w:after="57"/>
    </w:pPr>
  </w:style>
  <w:style w:type="paragraph" w:styleId="693">
    <w:name w:val="Body Text Indent 3"/>
    <w:basedOn w:val="652"/>
    <w:next w:val="668"/>
    <w:link w:val="908"/>
    <w:uiPriority w:val="0"/>
    <w:qFormat/>
    <w:pPr>
      <w:ind w:left="420"/>
      <w:spacing w:after="120"/>
    </w:pPr>
    <w:rPr>
      <w:sz w:val="16"/>
      <w:szCs w:val="16"/>
    </w:rPr>
  </w:style>
  <w:style w:type="paragraph" w:styleId="694">
    <w:name w:val="table of figures"/>
    <w:basedOn w:val="652"/>
    <w:next w:val="652"/>
    <w:uiPriority w:val="99"/>
    <w:qFormat/>
  </w:style>
  <w:style w:type="paragraph" w:styleId="695">
    <w:name w:val="toc 2"/>
    <w:basedOn w:val="652"/>
    <w:next w:val="652"/>
    <w:uiPriority w:val="39"/>
    <w:qFormat/>
    <w:pPr>
      <w:ind w:left="283"/>
      <w:spacing w:after="57"/>
    </w:pPr>
  </w:style>
  <w:style w:type="paragraph" w:styleId="696">
    <w:name w:val="toc 9"/>
    <w:basedOn w:val="652"/>
    <w:next w:val="652"/>
    <w:uiPriority w:val="39"/>
    <w:qFormat/>
    <w:pPr>
      <w:ind w:left="2268"/>
      <w:spacing w:after="57"/>
    </w:pPr>
  </w:style>
  <w:style w:type="paragraph" w:styleId="697">
    <w:name w:val="Body Text 2"/>
    <w:basedOn w:val="652"/>
    <w:link w:val="909"/>
    <w:uiPriority w:val="0"/>
    <w:qFormat/>
    <w:rPr>
      <w:b/>
      <w:bCs/>
      <w:sz w:val="18"/>
    </w:rPr>
  </w:style>
  <w:style w:type="paragraph" w:styleId="698">
    <w:name w:val="HTML Preformatted"/>
    <w:basedOn w:val="652"/>
    <w:link w:val="9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699">
    <w:name w:val="Normal (Web)"/>
    <w:basedOn w:val="652"/>
    <w:uiPriority w:val="0"/>
    <w:qFormat/>
    <w:pPr>
      <w:jc w:val="left"/>
      <w:spacing w:before="100" w:beforeAutospacing="1" w:after="100" w:afterAutospacing="1"/>
      <w:widowControl/>
    </w:pPr>
    <w:rPr>
      <w:rFonts w:ascii="宋体" w:hAnsi="宋体"/>
      <w:color w:val="000000"/>
      <w:sz w:val="24"/>
    </w:rPr>
  </w:style>
  <w:style w:type="paragraph" w:styleId="700">
    <w:name w:val="Title"/>
    <w:basedOn w:val="652"/>
    <w:next w:val="652"/>
    <w:link w:val="750"/>
    <w:uiPriority w:val="10"/>
    <w:qFormat/>
    <w:pPr>
      <w:contextualSpacing/>
      <w:spacing w:before="300" w:after="200"/>
    </w:pPr>
    <w:rPr>
      <w:sz w:val="48"/>
      <w:szCs w:val="48"/>
    </w:rPr>
  </w:style>
  <w:style w:type="paragraph" w:styleId="701">
    <w:name w:val="Body Text First Indent"/>
    <w:basedOn w:val="671"/>
    <w:next w:val="702"/>
    <w:uiPriority w:val="99"/>
    <w:qFormat/>
    <w:pPr>
      <w:ind w:firstLine="420"/>
    </w:pPr>
  </w:style>
  <w:style w:type="paragraph" w:styleId="702">
    <w:name w:val="Body Text First Indent 2"/>
    <w:basedOn w:val="674"/>
    <w:next w:val="652"/>
    <w:uiPriority w:val="99"/>
    <w:qFormat/>
    <w:pPr>
      <w:ind w:firstLine="200"/>
    </w:pPr>
  </w:style>
  <w:style w:type="table" w:styleId="703">
    <w:name w:val="Table Grid"/>
    <w:basedOn w:val="6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uiPriority w:val="0"/>
    <w:qFormat/>
    <w:rPr>
      <w:b/>
      <w:bCs/>
    </w:rPr>
  </w:style>
  <w:style w:type="character" w:styleId="705">
    <w:name w:val="endnote reference"/>
    <w:uiPriority w:val="99"/>
    <w:qFormat/>
    <w:rPr>
      <w:vertAlign w:val="superscript"/>
    </w:rPr>
  </w:style>
  <w:style w:type="character" w:styleId="706">
    <w:name w:val="page number"/>
    <w:uiPriority w:val="0"/>
    <w:qFormat/>
  </w:style>
  <w:style w:type="character" w:styleId="707">
    <w:name w:val="Hyperlink"/>
    <w:uiPriority w:val="0"/>
    <w:qFormat/>
    <w:rPr>
      <w:color w:val="0000ff"/>
      <w:u w:val="single"/>
    </w:rPr>
  </w:style>
  <w:style w:type="character" w:styleId="708">
    <w:name w:val="annotation reference"/>
    <w:basedOn w:val="662"/>
    <w:uiPriority w:val="99"/>
    <w:qFormat/>
    <w:rPr>
      <w:sz w:val="21"/>
      <w:szCs w:val="21"/>
    </w:rPr>
  </w:style>
  <w:style w:type="character" w:styleId="709">
    <w:name w:val="footnote reference"/>
    <w:uiPriority w:val="99"/>
    <w:qFormat/>
    <w:rPr>
      <w:vertAlign w:val="superscript"/>
    </w:rPr>
  </w:style>
  <w:style w:type="paragraph" w:styleId="710"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paragraph" w:styleId="711" w:customStyle="1">
    <w:name w:val="正文首行缩进 21"/>
    <w:basedOn w:val="712"/>
    <w:uiPriority w:val="0"/>
    <w:qFormat/>
    <w:pPr>
      <w:ind w:left="0" w:firstLine="420"/>
      <w:spacing w:after="0" w:line="360" w:lineRule="auto"/>
    </w:pPr>
    <w:rPr>
      <w:rFonts w:ascii="宋体" w:hAnsi="宋体"/>
      <w:sz w:val="20"/>
      <w:szCs w:val="20"/>
    </w:rPr>
  </w:style>
  <w:style w:type="paragraph" w:styleId="712" w:customStyle="1">
    <w:name w:val="正文文本缩进1"/>
    <w:basedOn w:val="652"/>
    <w:uiPriority w:val="99"/>
    <w:qFormat/>
    <w:pPr>
      <w:ind w:left="420"/>
      <w:spacing w:after="120"/>
    </w:pPr>
  </w:style>
  <w:style w:type="table" w:styleId="713" w:customStyle="1">
    <w:name w:val="Plain Table 1"/>
    <w:basedOn w:val="66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basedOn w:val="66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basedOn w:val="66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19" w:customStyle="1">
    <w:name w:val="Grid Table 2"/>
    <w:basedOn w:val="663"/>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20" w:customStyle="1">
    <w:name w:val="Grid Table 3"/>
    <w:basedOn w:val="663"/>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4"/>
    <w:basedOn w:val="66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22" w:customStyle="1">
    <w:name w:val="Grid Table 5 Dark"/>
    <w:basedOn w:val="6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23" w:customStyle="1">
    <w:name w:val="Grid Table 6 Colorful"/>
    <w:basedOn w:val="66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24" w:customStyle="1">
    <w:name w:val="Grid Table 7 Colorful"/>
    <w:basedOn w:val="663"/>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25" w:customStyle="1">
    <w:name w:val="List Table 1 Light"/>
    <w:basedOn w:val="663"/>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26" w:customStyle="1">
    <w:name w:val="List Table 2"/>
    <w:basedOn w:val="663"/>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27" w:customStyle="1">
    <w:name w:val="List Table 3"/>
    <w:basedOn w:val="663"/>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28" w:customStyle="1">
    <w:name w:val="List Table 4"/>
    <w:basedOn w:val="6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29" w:customStyle="1">
    <w:name w:val="List Table 5 Dark"/>
    <w:basedOn w:val="663"/>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30" w:customStyle="1">
    <w:name w:val="List Table 6 Colorful"/>
    <w:basedOn w:val="663"/>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31" w:customStyle="1">
    <w:name w:val="List Table 7 Colorful"/>
    <w:basedOn w:val="663"/>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732" w:customStyle="1">
    <w:name w:val="TOC 标题1"/>
    <w:uiPriority w:val="39"/>
    <w:qFormat/>
    <w:rPr>
      <w:rFonts w:ascii="Times New Roman" w:hAnsi="Times New Roman" w:eastAsia="宋体" w:cs="Times New Roman"/>
      <w:lang w:val="en-US" w:eastAsia="zh-CN" w:bidi="ar-SA"/>
    </w:rPr>
  </w:style>
  <w:style w:type="character" w:styleId="733" w:customStyle="1">
    <w:name w:val="Title Char_5b1d6ffb-c25e-4394-9cc1-2c2a58351cdc"/>
    <w:basedOn w:val="662"/>
    <w:uiPriority w:val="10"/>
    <w:qFormat/>
    <w:rPr>
      <w:sz w:val="48"/>
      <w:szCs w:val="48"/>
    </w:rPr>
  </w:style>
  <w:style w:type="character" w:styleId="734" w:customStyle="1">
    <w:name w:val="Subtitle Char"/>
    <w:basedOn w:val="662"/>
    <w:uiPriority w:val="11"/>
    <w:qFormat/>
    <w:rPr>
      <w:sz w:val="24"/>
      <w:szCs w:val="24"/>
    </w:rPr>
  </w:style>
  <w:style w:type="character" w:styleId="735" w:customStyle="1">
    <w:name w:val="Quote Char_a5f01921-3c95-4823-b9de-0de3d11d9a3e"/>
    <w:uiPriority w:val="29"/>
    <w:qFormat/>
    <w:rPr>
      <w:i/>
    </w:rPr>
  </w:style>
  <w:style w:type="character" w:styleId="736" w:customStyle="1">
    <w:name w:val="Intense Quote Char_2bd9dcca-ab80-46cb-9ef2-f4e3f9cd5b08"/>
    <w:uiPriority w:val="30"/>
    <w:qFormat/>
    <w:rPr>
      <w:i/>
    </w:rPr>
  </w:style>
  <w:style w:type="character" w:styleId="737" w:customStyle="1">
    <w:name w:val="Footnote Text Char"/>
    <w:uiPriority w:val="99"/>
    <w:qFormat/>
    <w:rPr>
      <w:sz w:val="18"/>
    </w:rPr>
  </w:style>
  <w:style w:type="character" w:styleId="738" w:customStyle="1">
    <w:name w:val="Endnote Text Char"/>
    <w:uiPriority w:val="99"/>
    <w:qFormat/>
    <w:rPr>
      <w:sz w:val="20"/>
    </w:rPr>
  </w:style>
  <w:style w:type="character" w:styleId="739" w:customStyle="1">
    <w:name w:val="Heading 1 Char_f9156442-b2b0-4b66-857c-6cbfdc2d0130"/>
    <w:uiPriority w:val="9"/>
    <w:qFormat/>
    <w:rPr>
      <w:rFonts w:ascii="Arial" w:hAnsi="Arial" w:eastAsia="Arial" w:cs="Arial"/>
      <w:sz w:val="40"/>
      <w:szCs w:val="40"/>
    </w:rPr>
  </w:style>
  <w:style w:type="character" w:styleId="740" w:customStyle="1">
    <w:name w:val="Heading 2 Char_b245a0e0-56b4-4600-99f8-e4cc30ed4156"/>
    <w:uiPriority w:val="9"/>
    <w:qFormat/>
    <w:rPr>
      <w:rFonts w:ascii="Arial" w:hAnsi="Arial" w:eastAsia="Arial" w:cs="Arial"/>
      <w:sz w:val="34"/>
    </w:rPr>
  </w:style>
  <w:style w:type="character" w:styleId="741" w:customStyle="1">
    <w:name w:val="Heading 3 Char_32383384-bdaa-44ee-8472-3ca02b54d0cb"/>
    <w:uiPriority w:val="9"/>
    <w:qFormat/>
    <w:rPr>
      <w:rFonts w:ascii="Arial" w:hAnsi="Arial" w:eastAsia="Arial" w:cs="Arial"/>
      <w:sz w:val="30"/>
      <w:szCs w:val="30"/>
    </w:rPr>
  </w:style>
  <w:style w:type="character" w:styleId="742" w:customStyle="1">
    <w:name w:val="Heading 4 Char_30bbc3a5-0cc8-45df-ab15-af1d4a95476e"/>
    <w:uiPriority w:val="9"/>
    <w:qFormat/>
    <w:rPr>
      <w:rFonts w:ascii="Arial" w:hAnsi="Arial" w:eastAsia="Arial" w:cs="Arial"/>
      <w:b/>
      <w:bCs/>
      <w:sz w:val="26"/>
      <w:szCs w:val="26"/>
    </w:rPr>
  </w:style>
  <w:style w:type="character" w:styleId="743" w:customStyle="1">
    <w:name w:val="Heading 5 Char_479d48e6-773d-459b-ba84-9126eb837f8d"/>
    <w:uiPriority w:val="9"/>
    <w:qFormat/>
    <w:rPr>
      <w:rFonts w:ascii="Arial" w:hAnsi="Arial" w:eastAsia="Arial" w:cs="Arial"/>
      <w:b/>
      <w:bCs/>
      <w:sz w:val="24"/>
      <w:szCs w:val="24"/>
    </w:rPr>
  </w:style>
  <w:style w:type="character" w:styleId="744" w:customStyle="1">
    <w:name w:val="Heading 6 Char_29cf8e24-28c6-477a-93cf-65ea61e27c12"/>
    <w:uiPriority w:val="9"/>
    <w:qFormat/>
    <w:rPr>
      <w:rFonts w:ascii="Arial" w:hAnsi="Arial" w:eastAsia="Arial" w:cs="Arial"/>
      <w:b/>
      <w:bCs/>
      <w:sz w:val="22"/>
      <w:szCs w:val="22"/>
    </w:rPr>
  </w:style>
  <w:style w:type="character" w:styleId="745" w:customStyle="1">
    <w:name w:val="Heading 7 Char_41ad7c14-d6fc-4b32-86ab-0c6a7fd62196"/>
    <w:uiPriority w:val="9"/>
    <w:qFormat/>
    <w:rPr>
      <w:rFonts w:ascii="Arial" w:hAnsi="Arial" w:eastAsia="Arial" w:cs="Arial"/>
      <w:b/>
      <w:bCs/>
      <w:i/>
      <w:iCs/>
      <w:sz w:val="22"/>
      <w:szCs w:val="22"/>
    </w:rPr>
  </w:style>
  <w:style w:type="character" w:styleId="746" w:customStyle="1">
    <w:name w:val="Heading 8 Char_8cf1176c-68bf-45b2-a269-790ac533b2a6"/>
    <w:uiPriority w:val="9"/>
    <w:qFormat/>
    <w:rPr>
      <w:rFonts w:ascii="Arial" w:hAnsi="Arial" w:eastAsia="Arial" w:cs="Arial"/>
      <w:i/>
      <w:iCs/>
      <w:sz w:val="22"/>
      <w:szCs w:val="22"/>
    </w:rPr>
  </w:style>
  <w:style w:type="character" w:styleId="747" w:customStyle="1">
    <w:name w:val="Heading 9 Char_65204b0c-bd50-44be-8e07-c21fdfe49dc3"/>
    <w:uiPriority w:val="9"/>
    <w:qFormat/>
    <w:rPr>
      <w:rFonts w:ascii="Arial" w:hAnsi="Arial" w:eastAsia="Arial" w:cs="Arial"/>
      <w:i/>
      <w:iCs/>
      <w:sz w:val="21"/>
      <w:szCs w:val="21"/>
    </w:rPr>
  </w:style>
  <w:style w:type="paragraph" w:styleId="748">
    <w:name w:val="List Paragraph"/>
    <w:basedOn w:val="652"/>
    <w:link w:val="914"/>
    <w:uiPriority w:val="34"/>
    <w:qFormat/>
    <w:pPr>
      <w:ind w:firstLine="420"/>
    </w:pPr>
    <w:rPr>
      <w:sz w:val="20"/>
      <w:szCs w:val="20"/>
    </w:rPr>
  </w:style>
  <w:style w:type="paragraph" w:styleId="749">
    <w:name w:val="No Spacing"/>
    <w:uiPriority w:val="1"/>
    <w:qFormat/>
    <w:rPr>
      <w:rFonts w:ascii="Times New Roman" w:hAnsi="Times New Roman" w:eastAsia="宋体" w:cs="Times New Roman"/>
      <w:lang w:val="en-US" w:eastAsia="zh-CN" w:bidi="ar-SA"/>
    </w:rPr>
  </w:style>
  <w:style w:type="character" w:styleId="750" w:customStyle="1">
    <w:name w:val="标题 Char"/>
    <w:link w:val="700"/>
    <w:uiPriority w:val="10"/>
    <w:qFormat/>
    <w:rPr>
      <w:sz w:val="48"/>
      <w:szCs w:val="48"/>
    </w:rPr>
  </w:style>
  <w:style w:type="character" w:styleId="751" w:customStyle="1">
    <w:name w:val="副标题 Char"/>
    <w:link w:val="689"/>
    <w:uiPriority w:val="11"/>
    <w:qFormat/>
    <w:rPr>
      <w:sz w:val="24"/>
      <w:szCs w:val="24"/>
    </w:rPr>
  </w:style>
  <w:style w:type="paragraph" w:styleId="752">
    <w:name w:val="Quote"/>
    <w:basedOn w:val="652"/>
    <w:next w:val="652"/>
    <w:link w:val="753"/>
    <w:uiPriority w:val="29"/>
    <w:qFormat/>
    <w:pPr>
      <w:ind w:left="720" w:right="720"/>
    </w:pPr>
    <w:rPr>
      <w:i/>
    </w:rPr>
  </w:style>
  <w:style w:type="character" w:styleId="753" w:customStyle="1">
    <w:name w:val="引用 Char"/>
    <w:link w:val="752"/>
    <w:uiPriority w:val="29"/>
    <w:qFormat/>
    <w:rPr>
      <w:i/>
    </w:rPr>
  </w:style>
  <w:style w:type="paragraph" w:styleId="754">
    <w:name w:val="Intense Quote"/>
    <w:basedOn w:val="652"/>
    <w:next w:val="652"/>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Char"/>
    <w:link w:val="754"/>
    <w:uiPriority w:val="30"/>
    <w:qFormat/>
    <w:rPr>
      <w:i/>
    </w:rPr>
  </w:style>
  <w:style w:type="character" w:styleId="756" w:customStyle="1">
    <w:name w:val="Header Char_5c75601f-238a-46d3-9340-eaa85808e787"/>
    <w:uiPriority w:val="99"/>
    <w:qFormat/>
  </w:style>
  <w:style w:type="character" w:styleId="757" w:customStyle="1">
    <w:name w:val="Footer Char_04e13809-3b5b-41e5-8053-36e7860b4558"/>
    <w:uiPriority w:val="99"/>
    <w:qFormat/>
  </w:style>
  <w:style w:type="character" w:styleId="758" w:customStyle="1">
    <w:name w:val="Caption Char"/>
    <w:uiPriority w:val="99"/>
    <w:qFormat/>
  </w:style>
  <w:style w:type="table" w:styleId="7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2" w:customStyle="1">
    <w:name w:val="无格式表格 31"/>
    <w:uiPriority w:val="99"/>
    <w:qFormat/>
    <w:tblPr>
      <w:tblCellMar>
        <w:left w:w="0" w:type="dxa"/>
        <w:top w:w="0" w:type="dxa"/>
        <w:right w:w="0" w:type="dxa"/>
        <w:bottom w:w="0" w:type="dxa"/>
      </w:tblCellMar>
    </w:tblPr>
  </w:style>
  <w:style w:type="table" w:styleId="763" w:customStyle="1">
    <w:name w:val="无格式表格 41"/>
    <w:uiPriority w:val="99"/>
    <w:qFormat/>
    <w:tblPr>
      <w:tblCellMar>
        <w:left w:w="0" w:type="dxa"/>
        <w:top w:w="0" w:type="dxa"/>
        <w:right w:w="0" w:type="dxa"/>
        <w:bottom w:w="0" w:type="dxa"/>
      </w:tblCellMar>
    </w:tblPr>
  </w:style>
  <w:style w:type="table" w:styleId="764" w:customStyle="1">
    <w:name w:val="无格式表格 51"/>
    <w:uiPriority w:val="99"/>
    <w:qFormat/>
    <w:tblPr>
      <w:tblCellMar>
        <w:left w:w="0" w:type="dxa"/>
        <w:top w:w="0" w:type="dxa"/>
        <w:right w:w="0" w:type="dxa"/>
        <w:bottom w:w="0" w:type="dxa"/>
      </w:tblCellMar>
    </w:tblPr>
  </w:style>
  <w:style w:type="table" w:styleId="76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4" w:customStyle="1">
    <w:name w:val="清单表 1 浅色1"/>
    <w:uiPriority w:val="99"/>
    <w:qFormat/>
    <w:tblPr>
      <w:tblCellMar>
        <w:left w:w="0" w:type="dxa"/>
        <w:top w:w="0" w:type="dxa"/>
        <w:right w:w="0" w:type="dxa"/>
        <w:bottom w:w="0" w:type="dxa"/>
      </w:tblCellMar>
    </w:tblPr>
  </w:style>
  <w:style w:type="table" w:styleId="815" w:customStyle="1">
    <w:name w:val="List Table 1 Light - Accent 1"/>
    <w:uiPriority w:val="99"/>
    <w:qFormat/>
    <w:tblPr>
      <w:tblCellMar>
        <w:left w:w="0" w:type="dxa"/>
        <w:top w:w="0" w:type="dxa"/>
        <w:right w:w="0" w:type="dxa"/>
        <w:bottom w:w="0" w:type="dxa"/>
      </w:tblCellMar>
    </w:tblPr>
  </w:style>
  <w:style w:type="table" w:styleId="816" w:customStyle="1">
    <w:name w:val="List Table 1 Light - Accent 2"/>
    <w:uiPriority w:val="99"/>
    <w:qFormat/>
    <w:tblPr>
      <w:tblCellMar>
        <w:left w:w="0" w:type="dxa"/>
        <w:top w:w="0" w:type="dxa"/>
        <w:right w:w="0" w:type="dxa"/>
        <w:bottom w:w="0" w:type="dxa"/>
      </w:tblCellMar>
    </w:tblPr>
  </w:style>
  <w:style w:type="table" w:styleId="817" w:customStyle="1">
    <w:name w:val="List Table 1 Light - Accent 3"/>
    <w:uiPriority w:val="99"/>
    <w:qFormat/>
    <w:tblPr>
      <w:tblCellMar>
        <w:left w:w="0" w:type="dxa"/>
        <w:top w:w="0" w:type="dxa"/>
        <w:right w:w="0" w:type="dxa"/>
        <w:bottom w:w="0" w:type="dxa"/>
      </w:tblCellMar>
    </w:tblPr>
  </w:style>
  <w:style w:type="table" w:styleId="818" w:customStyle="1">
    <w:name w:val="List Table 1 Light - Accent 4"/>
    <w:uiPriority w:val="99"/>
    <w:qFormat/>
    <w:tblPr>
      <w:tblCellMar>
        <w:left w:w="0" w:type="dxa"/>
        <w:top w:w="0" w:type="dxa"/>
        <w:right w:w="0" w:type="dxa"/>
        <w:bottom w:w="0" w:type="dxa"/>
      </w:tblCellMar>
    </w:tblPr>
  </w:style>
  <w:style w:type="table" w:styleId="819" w:customStyle="1">
    <w:name w:val="List Table 1 Light - Accent 5"/>
    <w:uiPriority w:val="99"/>
    <w:qFormat/>
    <w:tblPr>
      <w:tblCellMar>
        <w:left w:w="0" w:type="dxa"/>
        <w:top w:w="0" w:type="dxa"/>
        <w:right w:w="0" w:type="dxa"/>
        <w:bottom w:w="0" w:type="dxa"/>
      </w:tblCellMar>
    </w:tblPr>
  </w:style>
  <w:style w:type="table" w:styleId="820" w:customStyle="1">
    <w:name w:val="List Table 1 Light - Accent 6"/>
    <w:uiPriority w:val="99"/>
    <w:qFormat/>
    <w:tblPr>
      <w:tblCellMar>
        <w:left w:w="0" w:type="dxa"/>
        <w:top w:w="0" w:type="dxa"/>
        <w:right w:w="0" w:type="dxa"/>
        <w:bottom w:w="0" w:type="dxa"/>
      </w:tblCellMar>
    </w:tblPr>
  </w:style>
  <w:style w:type="table" w:styleId="82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5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3" w:customStyle="1">
    <w:name w:val="Lined - Accent"/>
    <w:uiPriority w:val="99"/>
    <w:qFormat/>
    <w:rPr>
      <w:color w:val="404040"/>
    </w:rPr>
    <w:tblPr>
      <w:tblCellMar>
        <w:left w:w="0" w:type="dxa"/>
        <w:top w:w="0" w:type="dxa"/>
        <w:right w:w="0" w:type="dxa"/>
        <w:bottom w:w="0" w:type="dxa"/>
      </w:tblCellMar>
    </w:tblPr>
  </w:style>
  <w:style w:type="table" w:styleId="864" w:customStyle="1">
    <w:name w:val="Lined - Accent 1"/>
    <w:uiPriority w:val="99"/>
    <w:qFormat/>
    <w:rPr>
      <w:color w:val="404040"/>
    </w:rPr>
    <w:tblPr>
      <w:tblCellMar>
        <w:left w:w="0" w:type="dxa"/>
        <w:top w:w="0" w:type="dxa"/>
        <w:right w:w="0" w:type="dxa"/>
        <w:bottom w:w="0" w:type="dxa"/>
      </w:tblCellMar>
    </w:tblPr>
  </w:style>
  <w:style w:type="table" w:styleId="865" w:customStyle="1">
    <w:name w:val="Lined - Accent 2"/>
    <w:uiPriority w:val="99"/>
    <w:qFormat/>
    <w:rPr>
      <w:color w:val="404040"/>
    </w:rPr>
    <w:tblPr>
      <w:tblCellMar>
        <w:left w:w="0" w:type="dxa"/>
        <w:top w:w="0" w:type="dxa"/>
        <w:right w:w="0" w:type="dxa"/>
        <w:bottom w:w="0" w:type="dxa"/>
      </w:tblCellMar>
    </w:tblPr>
  </w:style>
  <w:style w:type="table" w:styleId="866" w:customStyle="1">
    <w:name w:val="Lined - Accent 3"/>
    <w:uiPriority w:val="99"/>
    <w:qFormat/>
    <w:rPr>
      <w:color w:val="404040"/>
    </w:rPr>
    <w:tblPr>
      <w:tblCellMar>
        <w:left w:w="0" w:type="dxa"/>
        <w:top w:w="0" w:type="dxa"/>
        <w:right w:w="0" w:type="dxa"/>
        <w:bottom w:w="0" w:type="dxa"/>
      </w:tblCellMar>
    </w:tblPr>
  </w:style>
  <w:style w:type="table" w:styleId="867" w:customStyle="1">
    <w:name w:val="Lined - Accent 4"/>
    <w:uiPriority w:val="99"/>
    <w:qFormat/>
    <w:rPr>
      <w:color w:val="404040"/>
    </w:rPr>
    <w:tblPr>
      <w:tblCellMar>
        <w:left w:w="0" w:type="dxa"/>
        <w:top w:w="0" w:type="dxa"/>
        <w:right w:w="0" w:type="dxa"/>
        <w:bottom w:w="0" w:type="dxa"/>
      </w:tblCellMar>
    </w:tblPr>
  </w:style>
  <w:style w:type="table" w:styleId="868" w:customStyle="1">
    <w:name w:val="Lined - Accent 5"/>
    <w:uiPriority w:val="99"/>
    <w:qFormat/>
    <w:rPr>
      <w:color w:val="404040"/>
    </w:rPr>
    <w:tblPr>
      <w:tblCellMar>
        <w:left w:w="0" w:type="dxa"/>
        <w:top w:w="0" w:type="dxa"/>
        <w:right w:w="0" w:type="dxa"/>
        <w:bottom w:w="0" w:type="dxa"/>
      </w:tblCellMar>
    </w:tblPr>
  </w:style>
  <w:style w:type="table" w:styleId="869" w:customStyle="1">
    <w:name w:val="Lined - Accent 6"/>
    <w:uiPriority w:val="99"/>
    <w:qFormat/>
    <w:rPr>
      <w:color w:val="404040"/>
    </w:rPr>
    <w:tblPr>
      <w:tblCellMar>
        <w:left w:w="0" w:type="dxa"/>
        <w:top w:w="0" w:type="dxa"/>
        <w:right w:w="0" w:type="dxa"/>
        <w:bottom w:w="0" w:type="dxa"/>
      </w:tblCellMar>
    </w:tblPr>
  </w:style>
  <w:style w:type="table" w:styleId="87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4" w:customStyle="1">
    <w:name w:val="脚注文本 Char"/>
    <w:link w:val="691"/>
    <w:uiPriority w:val="99"/>
    <w:qFormat/>
    <w:rPr>
      <w:sz w:val="18"/>
    </w:rPr>
  </w:style>
  <w:style w:type="character" w:styleId="885" w:customStyle="1">
    <w:name w:val="尾注文本 Char"/>
    <w:link w:val="683"/>
    <w:uiPriority w:val="99"/>
    <w:qFormat/>
    <w:rPr>
      <w:sz w:val="20"/>
    </w:rPr>
  </w:style>
  <w:style w:type="paragraph" w:styleId="886" w:customStyle="1">
    <w:name w:val="TOC 标题11"/>
    <w:uiPriority w:val="39"/>
    <w:qFormat/>
    <w:rPr>
      <w:rFonts w:ascii="Times New Roman" w:hAnsi="Times New Roman" w:eastAsia="宋体" w:cs="Times New Roman"/>
      <w:lang w:val="en-US" w:eastAsia="zh-CN" w:bidi="ar-SA"/>
    </w:rPr>
  </w:style>
  <w:style w:type="character" w:styleId="887" w:customStyle="1">
    <w:name w:val="标题 1 Char"/>
    <w:link w:val="653"/>
    <w:uiPriority w:val="0"/>
    <w:qFormat/>
    <w:rPr>
      <w:rFonts w:ascii="Times New Roman" w:hAnsi="Times New Roman" w:eastAsia="宋体" w:cs="Times New Roman"/>
      <w:b/>
      <w:bCs/>
      <w:sz w:val="44"/>
      <w:szCs w:val="44"/>
    </w:rPr>
  </w:style>
  <w:style w:type="character" w:styleId="888" w:customStyle="1">
    <w:name w:val="标题 2 Char"/>
    <w:link w:val="654"/>
    <w:uiPriority w:val="0"/>
    <w:qFormat/>
    <w:rPr>
      <w:rFonts w:ascii="Arial" w:hAnsi="Arial" w:eastAsia="黑体" w:cs="Times New Roman"/>
      <w:b/>
      <w:bCs/>
      <w:sz w:val="32"/>
      <w:szCs w:val="32"/>
    </w:rPr>
  </w:style>
  <w:style w:type="character" w:styleId="889" w:customStyle="1">
    <w:name w:val="标题 3 Char"/>
    <w:link w:val="655"/>
    <w:uiPriority w:val="0"/>
    <w:qFormat/>
    <w:rPr>
      <w:rFonts w:ascii="Times New Roman" w:hAnsi="Times New Roman" w:eastAsia="宋体" w:cs="Times New Roman"/>
      <w:b/>
      <w:bCs/>
      <w:sz w:val="32"/>
      <w:szCs w:val="32"/>
    </w:rPr>
  </w:style>
  <w:style w:type="character" w:styleId="890" w:customStyle="1">
    <w:name w:val="标题 4 Char"/>
    <w:link w:val="656"/>
    <w:uiPriority w:val="0"/>
    <w:qFormat/>
    <w:rPr>
      <w:rFonts w:ascii="Times New Roman" w:hAnsi="Times New Roman" w:eastAsia="新宋体" w:cs="Times New Roman"/>
      <w:sz w:val="30"/>
      <w:szCs w:val="21"/>
    </w:rPr>
  </w:style>
  <w:style w:type="character" w:styleId="891" w:customStyle="1">
    <w:name w:val="标题 5 Char"/>
    <w:link w:val="657"/>
    <w:uiPriority w:val="0"/>
    <w:qFormat/>
    <w:rPr>
      <w:rFonts w:ascii="Times New Roman" w:hAnsi="Times New Roman" w:eastAsia="宋体" w:cs="Times New Roman"/>
      <w:b/>
      <w:bCs/>
      <w:sz w:val="28"/>
      <w:szCs w:val="28"/>
    </w:rPr>
  </w:style>
  <w:style w:type="character" w:styleId="892" w:customStyle="1">
    <w:name w:val="标题 6 Char"/>
    <w:link w:val="658"/>
    <w:uiPriority w:val="0"/>
    <w:qFormat/>
    <w:rPr>
      <w:rFonts w:ascii="Times New Roman" w:hAnsi="Times New Roman" w:eastAsia="宋体" w:cs="Times New Roman"/>
      <w:b/>
      <w:sz w:val="44"/>
      <w:szCs w:val="20"/>
    </w:rPr>
  </w:style>
  <w:style w:type="character" w:styleId="893" w:customStyle="1">
    <w:name w:val="正文缩进 Char"/>
    <w:link w:val="665"/>
    <w:uiPriority w:val="0"/>
    <w:qFormat/>
    <w:rPr>
      <w:rFonts w:ascii="Times New Roman" w:hAnsi="Times New Roman" w:eastAsia="宋体" w:cs="Times New Roman"/>
      <w:sz w:val="20"/>
      <w:szCs w:val="20"/>
    </w:rPr>
  </w:style>
  <w:style w:type="character" w:styleId="894" w:customStyle="1">
    <w:name w:val="标题 7 Char"/>
    <w:link w:val="659"/>
    <w:uiPriority w:val="0"/>
    <w:qFormat/>
    <w:rPr>
      <w:rFonts w:ascii="Times New Roman" w:hAnsi="Times New Roman" w:eastAsia="宋体" w:cs="Times New Roman"/>
      <w:b/>
      <w:bCs/>
      <w:sz w:val="24"/>
      <w:szCs w:val="24"/>
    </w:rPr>
  </w:style>
  <w:style w:type="character" w:styleId="895" w:customStyle="1">
    <w:name w:val="标题 8 Char"/>
    <w:link w:val="660"/>
    <w:uiPriority w:val="0"/>
    <w:qFormat/>
    <w:rPr>
      <w:rFonts w:ascii="Arial" w:hAnsi="Arial" w:eastAsia="黑体" w:cs="Times New Roman"/>
      <w:sz w:val="24"/>
      <w:szCs w:val="24"/>
    </w:rPr>
  </w:style>
  <w:style w:type="character" w:styleId="896" w:customStyle="1">
    <w:name w:val="标题 9 Char"/>
    <w:link w:val="661"/>
    <w:uiPriority w:val="0"/>
    <w:qFormat/>
    <w:rPr>
      <w:rFonts w:ascii="Arial" w:hAnsi="Arial" w:eastAsia="黑体" w:cs="Times New Roman"/>
      <w:sz w:val="24"/>
      <w:szCs w:val="21"/>
    </w:rPr>
  </w:style>
  <w:style w:type="character" w:styleId="897" w:customStyle="1">
    <w:name w:val="文档结构图 Char"/>
    <w:link w:val="664"/>
    <w:uiPriority w:val="0"/>
    <w:qFormat/>
    <w:rPr>
      <w:szCs w:val="24"/>
      <w:shd w:val="clear" w:color="auto" w:fill="000080"/>
    </w:rPr>
  </w:style>
  <w:style w:type="character" w:styleId="898" w:customStyle="1">
    <w:name w:val="正文文本 3 Char"/>
    <w:link w:val="670"/>
    <w:uiPriority w:val="0"/>
    <w:qFormat/>
    <w:rPr>
      <w:rFonts w:ascii="Times New Roman" w:hAnsi="Times New Roman" w:eastAsia="宋体" w:cs="Times New Roman"/>
      <w:sz w:val="16"/>
      <w:szCs w:val="16"/>
    </w:rPr>
  </w:style>
  <w:style w:type="character" w:styleId="899" w:customStyle="1">
    <w:name w:val="正文文本 Char"/>
    <w:link w:val="671"/>
    <w:uiPriority w:val="0"/>
    <w:qFormat/>
    <w:rPr>
      <w:rFonts w:ascii="仿宋_GB2312" w:hAnsi="Times New Roman" w:eastAsia="仿宋_GB2312" w:cs="Times New Roman"/>
      <w:sz w:val="24"/>
      <w:szCs w:val="20"/>
    </w:rPr>
  </w:style>
  <w:style w:type="character" w:styleId="900" w:customStyle="1">
    <w:name w:val="正文文本缩进 Char"/>
    <w:link w:val="674"/>
    <w:uiPriority w:val="0"/>
    <w:qFormat/>
    <w:rPr>
      <w:rFonts w:ascii="仿宋_GB2312" w:hAnsi="Times New Roman" w:eastAsia="仿宋_GB2312" w:cs="Times New Roman"/>
      <w:sz w:val="28"/>
      <w:szCs w:val="20"/>
    </w:rPr>
  </w:style>
  <w:style w:type="character" w:styleId="901" w:customStyle="1">
    <w:name w:val="纯文本 Char"/>
    <w:link w:val="679"/>
    <w:uiPriority w:val="0"/>
    <w:qFormat/>
    <w:rPr>
      <w:rFonts w:ascii="宋体" w:hAnsi="Courier New" w:eastAsia="宋体" w:cs="Courier New"/>
      <w:szCs w:val="21"/>
    </w:rPr>
  </w:style>
  <w:style w:type="character" w:styleId="902" w:customStyle="1">
    <w:name w:val="日期 Char"/>
    <w:link w:val="681"/>
    <w:uiPriority w:val="0"/>
    <w:qFormat/>
    <w:rPr>
      <w:rFonts w:ascii="Times New Roman" w:hAnsi="Times New Roman" w:eastAsia="宋体" w:cs="Times New Roman"/>
      <w:sz w:val="24"/>
      <w:szCs w:val="20"/>
    </w:rPr>
  </w:style>
  <w:style w:type="character" w:styleId="903" w:customStyle="1">
    <w:name w:val="正文文本缩进 2 Char"/>
    <w:link w:val="682"/>
    <w:uiPriority w:val="0"/>
    <w:qFormat/>
    <w:rPr>
      <w:rFonts w:ascii="Times New Roman" w:hAnsi="Times New Roman" w:eastAsia="仿宋_GB2312" w:cs="Times New Roman"/>
      <w:sz w:val="28"/>
      <w:szCs w:val="20"/>
    </w:rPr>
  </w:style>
  <w:style w:type="character" w:styleId="904" w:customStyle="1">
    <w:name w:val="批注框文本 Char"/>
    <w:link w:val="684"/>
    <w:uiPriority w:val="0"/>
    <w:qFormat/>
    <w:rPr>
      <w:sz w:val="18"/>
      <w:szCs w:val="18"/>
    </w:rPr>
  </w:style>
  <w:style w:type="character" w:styleId="905" w:customStyle="1">
    <w:name w:val="页脚 Char"/>
    <w:link w:val="685"/>
    <w:uiPriority w:val="99"/>
    <w:qFormat/>
    <w:rPr>
      <w:rFonts w:ascii="Times New Roman" w:hAnsi="Times New Roman" w:eastAsia="宋体" w:cs="Times New Roman"/>
      <w:sz w:val="18"/>
      <w:szCs w:val="20"/>
    </w:rPr>
  </w:style>
  <w:style w:type="character" w:styleId="906" w:customStyle="1">
    <w:name w:val="页眉 Char"/>
    <w:link w:val="686"/>
    <w:uiPriority w:val="0"/>
    <w:qFormat/>
    <w:rPr>
      <w:rFonts w:ascii="Times New Roman" w:hAnsi="Times New Roman" w:eastAsia="宋体" w:cs="Times New Roman"/>
      <w:sz w:val="18"/>
      <w:szCs w:val="18"/>
    </w:rPr>
  </w:style>
  <w:style w:type="paragraph" w:styleId="907" w:customStyle="1">
    <w:name w:val="目录 11"/>
    <w:basedOn w:val="652"/>
    <w:next w:val="652"/>
    <w:uiPriority w:val="0"/>
    <w:qFormat/>
    <w:rPr>
      <w:sz w:val="24"/>
    </w:rPr>
  </w:style>
  <w:style w:type="character" w:styleId="908" w:customStyle="1">
    <w:name w:val="正文文本缩进 3 Char"/>
    <w:link w:val="693"/>
    <w:uiPriority w:val="0"/>
    <w:qFormat/>
    <w:rPr>
      <w:rFonts w:ascii="Times New Roman" w:hAnsi="Times New Roman" w:eastAsia="宋体" w:cs="Times New Roman"/>
      <w:sz w:val="16"/>
      <w:szCs w:val="16"/>
    </w:rPr>
  </w:style>
  <w:style w:type="character" w:styleId="909" w:customStyle="1">
    <w:name w:val="正文文本 2 Char"/>
    <w:link w:val="697"/>
    <w:uiPriority w:val="0"/>
    <w:qFormat/>
    <w:rPr>
      <w:rFonts w:ascii="Times New Roman" w:hAnsi="Times New Roman" w:eastAsia="宋体" w:cs="Times New Roman"/>
      <w:b/>
      <w:bCs/>
      <w:sz w:val="18"/>
      <w:szCs w:val="24"/>
    </w:rPr>
  </w:style>
  <w:style w:type="character" w:styleId="910" w:customStyle="1">
    <w:name w:val="HTML 预设格式 Char"/>
    <w:link w:val="698"/>
    <w:uiPriority w:val="0"/>
    <w:qFormat/>
    <w:rPr>
      <w:rFonts w:ascii="等线 Light" w:hAnsi="等线 Light" w:eastAsia="幼圆" w:cs="等线 Light"/>
      <w:sz w:val="24"/>
      <w:szCs w:val="22"/>
    </w:rPr>
  </w:style>
  <w:style w:type="paragraph" w:styleId="911" w:customStyle="1">
    <w:name w:val="正文首行缩进1"/>
    <w:basedOn w:val="671"/>
    <w:link w:val="912"/>
    <w:uiPriority w:val="0"/>
    <w:qFormat/>
    <w:pPr>
      <w:ind w:firstLine="420"/>
      <w:spacing w:after="120"/>
    </w:pPr>
    <w:rPr>
      <w:rFonts w:ascii="Times New Roman" w:eastAsia="宋体"/>
      <w:szCs w:val="24"/>
    </w:rPr>
  </w:style>
  <w:style w:type="character" w:styleId="912" w:customStyle="1">
    <w:name w:val="正文文本首行缩进 字符"/>
    <w:link w:val="911"/>
    <w:uiPriority w:val="0"/>
    <w:qFormat/>
    <w:rPr>
      <w:rFonts w:ascii="Times New Roman" w:hAnsi="Times New Roman" w:eastAsia="宋体" w:cs="Times New Roman"/>
      <w:sz w:val="24"/>
      <w:szCs w:val="24"/>
    </w:rPr>
  </w:style>
  <w:style w:type="character" w:styleId="913" w:customStyle="1">
    <w:name w:val="已访问的超链接1"/>
    <w:uiPriority w:val="0"/>
    <w:qFormat/>
    <w:rPr>
      <w:color w:val="800080"/>
      <w:u w:val="single"/>
    </w:rPr>
  </w:style>
  <w:style w:type="character" w:styleId="914" w:customStyle="1">
    <w:name w:val="列出段落 Char"/>
    <w:link w:val="748"/>
    <w:uiPriority w:val="99"/>
    <w:qFormat/>
  </w:style>
  <w:style w:type="character" w:styleId="915" w:customStyle="1">
    <w:name w:val="文档结构图 Char1"/>
    <w:uiPriority w:val="99"/>
    <w:qFormat/>
    <w:rPr>
      <w:rFonts w:ascii="宋体" w:hAnsi="Times New Roman" w:eastAsia="宋体" w:cs="Times New Roman"/>
      <w:sz w:val="18"/>
      <w:szCs w:val="18"/>
    </w:rPr>
  </w:style>
  <w:style w:type="character" w:styleId="916" w:customStyle="1">
    <w:name w:val="普通正文 Char"/>
    <w:link w:val="917"/>
    <w:uiPriority w:val="0"/>
    <w:qFormat/>
    <w:rPr>
      <w:rFonts w:ascii="Arial" w:hAnsi="Arial"/>
      <w:sz w:val="24"/>
      <w:szCs w:val="24"/>
    </w:rPr>
  </w:style>
  <w:style w:type="paragraph" w:styleId="917" w:customStyle="1">
    <w:name w:val="普通正文"/>
    <w:basedOn w:val="652"/>
    <w:link w:val="916"/>
    <w:uiPriority w:val="0"/>
    <w:qFormat/>
    <w:pPr>
      <w:ind w:left="-2" w:right="120" w:firstLine="480"/>
      <w:jc w:val="center"/>
      <w:spacing w:before="120" w:after="120" w:line="360" w:lineRule="auto"/>
    </w:pPr>
    <w:rPr>
      <w:rFonts w:ascii="Arial" w:hAnsi="Arial"/>
      <w:sz w:val="24"/>
    </w:rPr>
  </w:style>
  <w:style w:type="character" w:styleId="918" w:customStyle="1">
    <w:name w:val="FA正文 Char"/>
    <w:link w:val="919"/>
    <w:uiPriority w:val="0"/>
    <w:qFormat/>
    <w:rPr>
      <w:rFonts w:ascii="宋体" w:hAnsi="宋体" w:eastAsia="宋体" w:cs="Times New Roman"/>
      <w:sz w:val="28"/>
      <w:szCs w:val="28"/>
    </w:rPr>
  </w:style>
  <w:style w:type="paragraph" w:styleId="919" w:customStyle="1">
    <w:name w:val="FA正文"/>
    <w:basedOn w:val="652"/>
    <w:link w:val="918"/>
    <w:uiPriority w:val="0"/>
    <w:qFormat/>
    <w:pPr>
      <w:ind w:firstLine="538"/>
      <w:spacing w:line="440" w:lineRule="atLeast"/>
      <w:tabs>
        <w:tab w:val="left" w:pos="3375" w:leader="none"/>
      </w:tabs>
    </w:pPr>
    <w:rPr>
      <w:rFonts w:ascii="宋体" w:hAnsi="宋体"/>
      <w:sz w:val="28"/>
      <w:szCs w:val="28"/>
    </w:rPr>
  </w:style>
  <w:style w:type="character" w:styleId="920" w:customStyle="1">
    <w:name w:val="正文缩进2格 Char"/>
    <w:link w:val="921"/>
    <w:uiPriority w:val="0"/>
    <w:qFormat/>
    <w:rPr>
      <w:rFonts w:ascii="仿宋_GB2312" w:hAnsi="宋体" w:eastAsia="仿宋_GB2312" w:cs="Times New Roman"/>
      <w:sz w:val="31"/>
      <w:szCs w:val="28"/>
    </w:rPr>
  </w:style>
  <w:style w:type="paragraph" w:styleId="921" w:customStyle="1">
    <w:name w:val="正文缩进2格"/>
    <w:basedOn w:val="652"/>
    <w:link w:val="920"/>
    <w:uiPriority w:val="0"/>
    <w:qFormat/>
    <w:pPr>
      <w:ind w:firstLine="639"/>
      <w:spacing w:line="600" w:lineRule="exact"/>
    </w:pPr>
    <w:rPr>
      <w:rFonts w:ascii="仿宋_GB2312" w:hAnsi="宋体" w:eastAsia="仿宋_GB2312"/>
      <w:sz w:val="31"/>
      <w:szCs w:val="28"/>
    </w:rPr>
  </w:style>
  <w:style w:type="character" w:styleId="922" w:customStyle="1">
    <w:name w:val="cn_text1"/>
    <w:uiPriority w:val="0"/>
    <w:qFormat/>
    <w:rPr>
      <w:rFonts w:ascii="ˎ̥" w:hAnsi="ˎ̥"/>
      <w:color w:val="003399"/>
      <w:spacing w:val="15"/>
      <w:sz w:val="18"/>
      <w:szCs w:val="18"/>
    </w:rPr>
  </w:style>
  <w:style w:type="character" w:styleId="923" w:customStyle="1">
    <w:name w:val="ssss Char"/>
    <w:uiPriority w:val="0"/>
    <w:qFormat/>
    <w:rPr>
      <w:rFonts w:eastAsia="宋体"/>
      <w:sz w:val="24"/>
      <w:szCs w:val="24"/>
      <w:lang w:val="en-US" w:eastAsia="zh-CN" w:bidi="ar-SA"/>
    </w:rPr>
  </w:style>
  <w:style w:type="character" w:styleId="924" w:customStyle="1">
    <w:name w:val="ssss Char1"/>
    <w:link w:val="925"/>
    <w:uiPriority w:val="0"/>
    <w:qFormat/>
    <w:rPr>
      <w:rFonts w:ascii="Times New Roman" w:hAnsi="Times New Roman" w:eastAsia="宋体" w:cs="Times New Roman"/>
      <w:sz w:val="24"/>
      <w:szCs w:val="24"/>
    </w:rPr>
  </w:style>
  <w:style w:type="paragraph" w:styleId="925" w:customStyle="1">
    <w:name w:val="ssss"/>
    <w:basedOn w:val="652"/>
    <w:link w:val="924"/>
    <w:uiPriority w:val="0"/>
    <w:qFormat/>
    <w:pPr>
      <w:ind w:firstLine="480"/>
      <w:spacing w:line="360" w:lineRule="auto"/>
    </w:pPr>
    <w:rPr>
      <w:sz w:val="24"/>
    </w:rPr>
  </w:style>
  <w:style w:type="character" w:styleId="926" w:customStyle="1">
    <w:name w:val="标题 4 Char1"/>
    <w:uiPriority w:val="0"/>
    <w:qFormat/>
    <w:rPr>
      <w:rFonts w:ascii="Arial" w:hAnsi="Arial" w:eastAsia="黑体"/>
      <w:b/>
      <w:bCs/>
      <w:sz w:val="28"/>
      <w:szCs w:val="28"/>
      <w:lang w:val="en-US" w:eastAsia="zh-CN" w:bidi="ar-SA"/>
    </w:rPr>
  </w:style>
  <w:style w:type="character" w:styleId="927" w:customStyle="1">
    <w:name w:val="列表段落 字符"/>
    <w:uiPriority w:val="34"/>
    <w:qFormat/>
    <w:rPr>
      <w:rFonts w:ascii="Calibri" w:hAnsi="Calibri"/>
      <w:sz w:val="21"/>
      <w:szCs w:val="22"/>
    </w:rPr>
  </w:style>
  <w:style w:type="character" w:styleId="928" w:customStyle="1">
    <w:name w:val="批注框文本 Char1"/>
    <w:uiPriority w:val="99"/>
    <w:qFormat/>
    <w:rPr>
      <w:rFonts w:ascii="Times New Roman" w:hAnsi="Times New Roman" w:eastAsia="宋体" w:cs="Times New Roman"/>
      <w:sz w:val="18"/>
      <w:szCs w:val="18"/>
    </w:rPr>
  </w:style>
  <w:style w:type="character" w:styleId="929" w:customStyle="1">
    <w:name w:val="样式 ssss + 宋体 五号1 Char"/>
    <w:link w:val="930"/>
    <w:uiPriority w:val="0"/>
    <w:qFormat/>
    <w:rPr>
      <w:rFonts w:ascii="宋体" w:hAnsi="宋体" w:eastAsia="宋体" w:cs="Times New Roman"/>
      <w:sz w:val="24"/>
      <w:szCs w:val="24"/>
    </w:rPr>
  </w:style>
  <w:style w:type="paragraph" w:styleId="930" w:customStyle="1">
    <w:name w:val="样式 ssss + 宋体 五号1"/>
    <w:basedOn w:val="925"/>
    <w:link w:val="929"/>
    <w:uiPriority w:val="0"/>
    <w:qFormat/>
    <w:rPr>
      <w:rFonts w:ascii="宋体" w:hAnsi="宋体"/>
    </w:rPr>
  </w:style>
  <w:style w:type="character" w:styleId="931" w:customStyle="1">
    <w:name w:val="point_normal1"/>
    <w:uiPriority w:val="0"/>
    <w:qFormat/>
    <w:rPr>
      <w:rFonts w:ascii="Arial" w:hAnsi="Arial" w:cs="Arial"/>
      <w:sz w:val="16"/>
      <w:szCs w:val="16"/>
    </w:rPr>
  </w:style>
  <w:style w:type="paragraph" w:styleId="932" w:customStyle="1">
    <w:name w:val="样式 正文文本缩进 3 + 四号"/>
    <w:basedOn w:val="693"/>
    <w:uiPriority w:val="0"/>
    <w:qFormat/>
    <w:pPr>
      <w:ind w:left="0" w:firstLine="437"/>
      <w:spacing w:after="0" w:line="360" w:lineRule="auto"/>
    </w:pPr>
    <w:rPr>
      <w:sz w:val="24"/>
      <w:szCs w:val="21"/>
    </w:rPr>
  </w:style>
  <w:style w:type="paragraph" w:styleId="933" w:customStyle="1">
    <w:name w:val="2cxsplast"/>
    <w:basedOn w:val="652"/>
    <w:uiPriority w:val="0"/>
    <w:qFormat/>
    <w:pPr>
      <w:jc w:val="left"/>
      <w:spacing w:before="100" w:beforeAutospacing="1" w:after="100" w:afterAutospacing="1"/>
      <w:widowControl/>
    </w:pPr>
    <w:rPr>
      <w:rFonts w:ascii="宋体" w:hAnsi="宋体" w:cs="宋体"/>
      <w:sz w:val="24"/>
    </w:rPr>
  </w:style>
  <w:style w:type="paragraph" w:styleId="934" w:customStyle="1">
    <w:name w:val="ec_msonormal"/>
    <w:basedOn w:val="652"/>
    <w:uiPriority w:val="0"/>
    <w:qFormat/>
    <w:pPr>
      <w:jc w:val="left"/>
      <w:spacing w:before="100" w:beforeAutospacing="1" w:after="100" w:afterAutospacing="1"/>
      <w:widowControl/>
    </w:pPr>
    <w:rPr>
      <w:rFonts w:ascii="宋体" w:hAnsi="宋体"/>
      <w:sz w:val="24"/>
    </w:rPr>
  </w:style>
  <w:style w:type="paragraph" w:styleId="935" w:customStyle="1">
    <w:name w:val="Char Char Char Char"/>
    <w:basedOn w:val="652"/>
    <w:uiPriority w:val="0"/>
    <w:qFormat/>
    <w:rPr>
      <w:rFonts w:ascii="Tahoma" w:hAnsi="Tahoma"/>
      <w:sz w:val="24"/>
      <w:szCs w:val="20"/>
    </w:rPr>
  </w:style>
  <w:style w:type="paragraph" w:styleId="936" w:customStyle="1">
    <w:name w:val="Char Char Char Char Char Char Char Char Char Char Char Char Char"/>
    <w:basedOn w:val="652"/>
    <w:uiPriority w:val="0"/>
    <w:qFormat/>
  </w:style>
  <w:style w:type="paragraph" w:styleId="937" w:customStyle="1">
    <w:name w:val="表格正文"/>
    <w:basedOn w:val="652"/>
    <w:uiPriority w:val="0"/>
    <w:qFormat/>
    <w:pPr>
      <w:jc w:val="left"/>
      <w:spacing w:line="360" w:lineRule="auto"/>
    </w:pPr>
    <w:rPr>
      <w:rFonts w:ascii="Calibri" w:hAnsi="Calibri"/>
      <w:color w:val="000000"/>
      <w:szCs w:val="28"/>
    </w:rPr>
  </w:style>
  <w:style w:type="paragraph" w:styleId="938"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39" w:customStyle="1">
    <w:name w:val="Char Char Char Char1"/>
    <w:basedOn w:val="652"/>
    <w:uiPriority w:val="0"/>
    <w:qFormat/>
    <w:rPr>
      <w:rFonts w:ascii="Tahoma" w:hAnsi="Tahoma"/>
      <w:sz w:val="24"/>
      <w:szCs w:val="20"/>
    </w:rPr>
  </w:style>
  <w:style w:type="paragraph" w:styleId="940" w:customStyle="1">
    <w:name w:val="Char Char Char"/>
    <w:basedOn w:val="652"/>
    <w:uiPriority w:val="0"/>
    <w:qFormat/>
    <w:rPr>
      <w:rFonts w:ascii="Tahoma" w:hAnsi="Tahoma"/>
      <w:sz w:val="24"/>
      <w:szCs w:val="20"/>
    </w:rPr>
  </w:style>
  <w:style w:type="paragraph" w:styleId="941" w:customStyle="1">
    <w:name w:val="标题-----3"/>
    <w:basedOn w:val="655"/>
    <w:uiPriority w:val="0"/>
    <w:qFormat/>
    <w:pPr>
      <w:spacing w:before="0" w:after="0" w:line="240" w:lineRule="auto"/>
      <w:outlineLvl w:val="0"/>
    </w:pPr>
    <w:rPr>
      <w:rFonts w:ascii="宋体" w:hAnsi="宋体"/>
      <w:b w:val="0"/>
      <w:bCs w:val="0"/>
      <w:sz w:val="28"/>
      <w:szCs w:val="28"/>
    </w:rPr>
  </w:style>
  <w:style w:type="paragraph" w:styleId="942" w:customStyle="1">
    <w:name w:val="样式 ssss + 居中"/>
    <w:basedOn w:val="925"/>
    <w:uiPriority w:val="0"/>
    <w:qFormat/>
    <w:pPr>
      <w:jc w:val="center"/>
    </w:pPr>
    <w:rPr>
      <w:rFonts w:cs="宋体"/>
      <w:szCs w:val="20"/>
    </w:rPr>
  </w:style>
  <w:style w:type="paragraph" w:styleId="943" w:customStyle="1">
    <w:name w:val="样式 宋体 四号 黑色 左侧:  0.74 厘米 首行缩进:  0.74 厘米 行距: 1.5 倍行距"/>
    <w:basedOn w:val="652"/>
    <w:uiPriority w:val="0"/>
    <w:qFormat/>
    <w:pPr>
      <w:ind w:firstLine="420"/>
      <w:spacing w:line="360" w:lineRule="auto"/>
    </w:pPr>
    <w:rPr>
      <w:rFonts w:ascii="宋体"/>
      <w:color w:val="000000"/>
      <w:sz w:val="24"/>
      <w:szCs w:val="21"/>
    </w:rPr>
  </w:style>
  <w:style w:type="paragraph" w:styleId="944" w:customStyle="1">
    <w:name w:val="样式 样式 ssss + 宋体 五号 + 首行缩进:  2 字符"/>
    <w:basedOn w:val="945"/>
    <w:uiPriority w:val="0"/>
    <w:qFormat/>
    <w:pPr>
      <w:ind w:firstLine="480"/>
    </w:pPr>
  </w:style>
  <w:style w:type="paragraph" w:styleId="945" w:customStyle="1">
    <w:name w:val="样式 ssss + 宋体 五号"/>
    <w:basedOn w:val="925"/>
    <w:uiPriority w:val="0"/>
    <w:qFormat/>
    <w:pPr>
      <w:ind w:firstLine="420"/>
    </w:pPr>
    <w:rPr>
      <w:rFonts w:ascii="宋体" w:hAnsi="宋体" w:cs="宋体"/>
      <w:szCs w:val="20"/>
    </w:rPr>
  </w:style>
  <w:style w:type="paragraph" w:styleId="946" w:customStyle="1">
    <w:name w:val="msonormalcxsplast"/>
    <w:basedOn w:val="652"/>
    <w:uiPriority w:val="0"/>
    <w:qFormat/>
    <w:pPr>
      <w:jc w:val="left"/>
      <w:spacing w:before="100" w:beforeAutospacing="1" w:after="100" w:afterAutospacing="1"/>
      <w:widowControl/>
    </w:pPr>
    <w:rPr>
      <w:rFonts w:ascii="宋体" w:hAnsi="宋体" w:cs="宋体"/>
      <w:sz w:val="24"/>
    </w:rPr>
  </w:style>
  <w:style w:type="paragraph" w:styleId="947" w:customStyle="1">
    <w:name w:val="Char"/>
    <w:basedOn w:val="652"/>
    <w:uiPriority w:val="0"/>
    <w:qFormat/>
    <w:rPr>
      <w:rFonts w:ascii="Tahoma" w:hAnsi="Tahoma"/>
      <w:sz w:val="24"/>
      <w:szCs w:val="20"/>
    </w:rPr>
  </w:style>
  <w:style w:type="paragraph" w:styleId="948" w:customStyle="1">
    <w:name w:val="xl25"/>
    <w:basedOn w:val="65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49" w:customStyle="1">
    <w:name w:val="标题------4"/>
    <w:basedOn w:val="656"/>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50" w:customStyle="1">
    <w:name w:val="msonormalcxspmiddle"/>
    <w:basedOn w:val="652"/>
    <w:uiPriority w:val="0"/>
    <w:qFormat/>
    <w:pPr>
      <w:jc w:val="left"/>
      <w:spacing w:before="100" w:beforeAutospacing="1" w:after="100" w:afterAutospacing="1"/>
      <w:widowControl/>
    </w:pPr>
    <w:rPr>
      <w:rFonts w:ascii="宋体" w:hAnsi="宋体" w:cs="宋体"/>
      <w:sz w:val="24"/>
    </w:rPr>
  </w:style>
  <w:style w:type="paragraph" w:styleId="951" w:customStyle="1">
    <w:name w:val="Char Char Char Char Char Char Char Char Char Char Char Char Char1"/>
    <w:basedOn w:val="652"/>
    <w:uiPriority w:val="0"/>
    <w:qFormat/>
    <w:rPr>
      <w:sz w:val="24"/>
    </w:rPr>
  </w:style>
  <w:style w:type="paragraph" w:styleId="952" w:customStyle="1">
    <w:name w:val="表格"/>
    <w:basedOn w:val="652"/>
    <w:uiPriority w:val="0"/>
    <w:qFormat/>
    <w:rPr>
      <w:rFonts w:ascii="Arial" w:hAnsi="Arial"/>
      <w:sz w:val="24"/>
    </w:rPr>
  </w:style>
  <w:style w:type="paragraph" w:styleId="953" w:customStyle="1">
    <w:name w:val="正文样式1"/>
    <w:basedOn w:val="652"/>
    <w:uiPriority w:val="0"/>
    <w:qFormat/>
    <w:pPr>
      <w:ind w:firstLine="480"/>
      <w:spacing w:before="120" w:after="120" w:line="360" w:lineRule="auto"/>
    </w:pPr>
    <w:rPr>
      <w:sz w:val="24"/>
      <w:szCs w:val="20"/>
    </w:rPr>
  </w:style>
  <w:style w:type="paragraph" w:styleId="954" w:customStyle="1">
    <w:name w:val="Char Char1 Char Char Char Char Char Char"/>
    <w:basedOn w:val="652"/>
    <w:uiPriority w:val="0"/>
    <w:qFormat/>
    <w:pPr>
      <w:jc w:val="left"/>
      <w:spacing w:after="160" w:line="240" w:lineRule="exact"/>
      <w:widowControl/>
    </w:pPr>
    <w:rPr>
      <w:rFonts w:ascii="Verdana" w:hAnsi="Verdana" w:eastAsia="仿宋_GB2312"/>
      <w:sz w:val="24"/>
      <w:szCs w:val="20"/>
      <w:lang w:eastAsia="en-US"/>
    </w:rPr>
  </w:style>
  <w:style w:type="paragraph" w:styleId="955" w:customStyle="1">
    <w:name w:val="Char Char Char Char Char Char Char Char Char Char"/>
    <w:basedOn w:val="652"/>
    <w:uiPriority w:val="0"/>
    <w:qFormat/>
    <w:rPr>
      <w:rFonts w:ascii="Tahoma" w:hAnsi="Tahoma"/>
      <w:sz w:val="24"/>
      <w:szCs w:val="20"/>
    </w:rPr>
  </w:style>
  <w:style w:type="paragraph" w:styleId="956" w:customStyle="1">
    <w:name w:val="Char1"/>
    <w:basedOn w:val="652"/>
    <w:uiPriority w:val="0"/>
    <w:qFormat/>
    <w:pPr>
      <w:tabs>
        <w:tab w:val="left" w:pos="360" w:leader="none"/>
      </w:tabs>
    </w:pPr>
    <w:rPr>
      <w:sz w:val="24"/>
    </w:rPr>
  </w:style>
  <w:style w:type="paragraph" w:styleId="957"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Header2"/>
    <w:basedOn w:val="652"/>
    <w:uiPriority w:val="0"/>
    <w:qFormat/>
    <w:pPr>
      <w:numPr>
        <w:ilvl w:val="0"/>
        <w:numId w:val="1"/>
      </w:numPr>
    </w:pPr>
  </w:style>
  <w:style w:type="paragraph" w:styleId="959" w:customStyle="1">
    <w:name w:val="Char Char 字元 字元 字元 Char Char Char Char"/>
    <w:basedOn w:val="652"/>
    <w:uiPriority w:val="0"/>
    <w:qFormat/>
    <w:pPr>
      <w:spacing w:line="360" w:lineRule="auto"/>
    </w:pPr>
    <w:rPr>
      <w:sz w:val="24"/>
      <w:szCs w:val="20"/>
    </w:rPr>
  </w:style>
  <w:style w:type="paragraph" w:styleId="960" w:customStyle="1">
    <w:name w:val="2cxspmiddle"/>
    <w:basedOn w:val="652"/>
    <w:uiPriority w:val="0"/>
    <w:qFormat/>
    <w:pPr>
      <w:jc w:val="left"/>
      <w:spacing w:before="100" w:beforeAutospacing="1" w:after="100" w:afterAutospacing="1"/>
      <w:widowControl/>
    </w:pPr>
    <w:rPr>
      <w:rFonts w:ascii="宋体" w:hAnsi="宋体" w:cs="宋体"/>
      <w:sz w:val="24"/>
    </w:rPr>
  </w:style>
  <w:style w:type="paragraph" w:styleId="96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3" w:customStyle="1">
    <w:name w:val="网格型1"/>
    <w:basedOn w:val="663"/>
    <w:uiPriority w:val="39"/>
    <w:qFormat/>
    <w:rPr>
      <w:rFonts w:ascii="等线" w:hAnsi="等线" w:eastAsia="等线"/>
      <w:sz w:val="21"/>
      <w:szCs w:val="22"/>
    </w:rPr>
    <w:tblPr>
      <w:tblCellMar>
        <w:left w:w="108" w:type="dxa"/>
        <w:top w:w="0" w:type="dxa"/>
        <w:right w:w="108" w:type="dxa"/>
        <w:bottom w:w="0" w:type="dxa"/>
      </w:tblCellMar>
    </w:tblPr>
  </w:style>
  <w:style w:type="paragraph" w:styleId="96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965" w:customStyle="1">
    <w:name w:val="修订1"/>
    <w:uiPriority w:val="99"/>
    <w:qFormat/>
    <w:rPr>
      <w:rFonts w:ascii="Times New Roman" w:hAnsi="Times New Roman" w:eastAsia="宋体" w:cs="Times New Roman"/>
      <w:sz w:val="21"/>
      <w:szCs w:val="24"/>
      <w:lang w:val="en-US" w:eastAsia="zh-CN" w:bidi="ar-SA"/>
    </w:rPr>
  </w:style>
  <w:style w:type="paragraph" w:styleId="966" w:customStyle="1">
    <w:name w:val="列出段落1"/>
    <w:basedOn w:val="652"/>
    <w:uiPriority w:val="0"/>
    <w:qFormat/>
    <w:pPr>
      <w:ind w:firstLine="200"/>
    </w:pPr>
    <w:rPr>
      <w:rFonts w:ascii="Wingdings" w:hAnsi="Wingdings" w:eastAsia="幼圆" w:cs="Helvetica-Light"/>
      <w:szCs w:val="22"/>
    </w:rPr>
  </w:style>
  <w:style w:type="paragraph" w:styleId="967" w:customStyle="1">
    <w:name w:val="Char1 Char Char Char"/>
    <w:basedOn w:val="652"/>
    <w:uiPriority w:val="0"/>
    <w:qFormat/>
    <w:pPr>
      <w:jc w:val="left"/>
      <w:spacing w:after="160" w:line="240" w:lineRule="exact"/>
      <w:widowControl/>
    </w:pPr>
    <w:rPr>
      <w:szCs w:val="20"/>
    </w:rPr>
  </w:style>
  <w:style w:type="paragraph" w:styleId="968" w:customStyle="1">
    <w:name w:val="正文_2"/>
    <w:uiPriority w:val="0"/>
    <w:qFormat/>
    <w:pPr>
      <w:jc w:val="both"/>
      <w:widowControl w:val="off"/>
    </w:pPr>
    <w:rPr>
      <w:rFonts w:ascii="等线" w:hAnsi="等线" w:eastAsia="等线" w:cs="等线"/>
      <w:sz w:val="21"/>
      <w:lang w:val="en-US" w:eastAsia="zh-CN" w:bidi="ar-SA"/>
    </w:rPr>
  </w:style>
  <w:style w:type="paragraph" w:styleId="969" w:customStyle="1">
    <w:name w:val="列表段落4"/>
    <w:basedOn w:val="652"/>
    <w:uiPriority w:val="34"/>
    <w:qFormat/>
    <w:pPr>
      <w:ind w:firstLine="420"/>
    </w:pPr>
    <w:rPr>
      <w:szCs w:val="22"/>
    </w:rPr>
  </w:style>
  <w:style w:type="character" w:styleId="970" w:customStyle="1">
    <w:name w:val="font51"/>
    <w:basedOn w:val="662"/>
    <w:uiPriority w:val="0"/>
    <w:qFormat/>
    <w:rPr>
      <w:rFonts w:hint="eastAsia" w:ascii="宋体" w:hAnsi="宋体" w:eastAsia="宋体" w:cs="宋体"/>
      <w:color w:val="000000"/>
      <w:sz w:val="24"/>
      <w:szCs w:val="24"/>
      <w:u w:val="none"/>
    </w:rPr>
  </w:style>
  <w:style w:type="character" w:styleId="971" w:customStyle="1">
    <w:name w:val="font71"/>
    <w:basedOn w:val="662"/>
    <w:uiPriority w:val="0"/>
    <w:qFormat/>
    <w:rPr>
      <w:rFonts w:hint="eastAsia" w:ascii="宋体" w:hAnsi="宋体" w:eastAsia="宋体" w:cs="宋体"/>
      <w:color w:val="000000"/>
      <w:sz w:val="24"/>
      <w:szCs w:val="24"/>
      <w:u w:val="none"/>
    </w:rPr>
  </w:style>
  <w:style w:type="character" w:styleId="972" w:customStyle="1">
    <w:name w:val="font61"/>
    <w:basedOn w:val="662"/>
    <w:uiPriority w:val="0"/>
    <w:qFormat/>
    <w:rPr>
      <w:rFonts w:hint="eastAsia" w:ascii="宋体" w:hAnsi="宋体" w:eastAsia="宋体" w:cs="宋体"/>
      <w:color w:val="000000"/>
      <w:sz w:val="24"/>
      <w:szCs w:val="24"/>
      <w:u w:val="none"/>
    </w:rPr>
  </w:style>
  <w:style w:type="character" w:styleId="973" w:customStyle="1">
    <w:name w:val="font81"/>
    <w:basedOn w:val="662"/>
    <w:uiPriority w:val="0"/>
    <w:qFormat/>
    <w:rPr>
      <w:rFonts w:hint="eastAsia" w:ascii="宋体" w:hAnsi="宋体" w:eastAsia="宋体" w:cs="宋体"/>
      <w:color w:val="000000"/>
      <w:sz w:val="24"/>
      <w:szCs w:val="24"/>
      <w:u w:val="none"/>
    </w:rPr>
  </w:style>
  <w:style w:type="character" w:styleId="974" w:customStyle="1">
    <w:name w:val="NormalCharacter"/>
    <w:uiPriority w:val="0"/>
    <w:qFormat/>
  </w:style>
  <w:style w:type="paragraph" w:styleId="975" w:customStyle="1">
    <w:name w:val="BodyText1I2"/>
    <w:basedOn w:val="976"/>
    <w:uiPriority w:val="0"/>
    <w:qFormat/>
    <w:pPr>
      <w:ind w:firstLine="420"/>
    </w:pPr>
  </w:style>
  <w:style w:type="paragraph" w:styleId="976" w:customStyle="1">
    <w:name w:val="BodyTextIndent"/>
    <w:basedOn w:val="652"/>
    <w:next w:val="977"/>
    <w:uiPriority w:val="0"/>
    <w:qFormat/>
    <w:pPr>
      <w:ind w:left="570"/>
      <w:spacing w:line="520" w:lineRule="exact"/>
    </w:pPr>
    <w:rPr>
      <w:rFonts w:ascii="方正仿宋简体" w:hAnsi="创艺简仿宋" w:eastAsia="方正仿宋简体"/>
      <w:sz w:val="24"/>
    </w:rPr>
  </w:style>
  <w:style w:type="paragraph" w:styleId="977" w:customStyle="1">
    <w:name w:val="EnvelopeReturn"/>
    <w:basedOn w:val="652"/>
    <w:uiPriority w:val="0"/>
    <w:qFormat/>
    <w:rPr>
      <w:rFonts w:ascii="Arial" w:hAnsi="Arial"/>
    </w:rPr>
  </w:style>
  <w:style w:type="paragraph" w:styleId="978" w:customStyle="1">
    <w:name w:val="Table Paragraph"/>
    <w:basedOn w:val="652"/>
    <w:uiPriority w:val="1"/>
    <w:qFormat/>
    <w:pPr>
      <w:ind w:left="107"/>
      <w:spacing w:before="31"/>
    </w:pPr>
    <w:rPr>
      <w:rFonts w:ascii="微软雅黑" w:hAnsi="微软雅黑" w:eastAsia="微软雅黑" w:cs="微软雅黑"/>
    </w:rPr>
  </w:style>
  <w:style w:type="paragraph" w:styleId="979" w:customStyle="1">
    <w:name w:val="正文文本1"/>
    <w:basedOn w:val="652"/>
    <w:next w:val="652"/>
    <w:uiPriority w:val="0"/>
    <w:qFormat/>
    <w:rPr>
      <w:rFonts w:ascii="仿宋_GB2312" w:eastAsia="仿宋_GB2312"/>
      <w:sz w:val="24"/>
      <w:szCs w:val="20"/>
    </w:rPr>
  </w:style>
  <w:style w:type="paragraph" w:styleId="980" w:customStyle="1">
    <w:name w:val="信息标题1"/>
    <w:basedOn w:val="65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81" w:customStyle="1">
    <w:name w:val="Body text|1"/>
    <w:basedOn w:val="652"/>
    <w:uiPriority w:val="0"/>
    <w:qFormat/>
    <w:pPr>
      <w:ind w:firstLine="400"/>
      <w:spacing w:line="384" w:lineRule="auto"/>
    </w:pPr>
    <w:rPr>
      <w:rFonts w:ascii="宋体" w:hAnsi="宋体" w:cs="宋体"/>
      <w:sz w:val="26"/>
      <w:szCs w:val="26"/>
      <w:lang w:val="zh-TW" w:eastAsia="zh-TW" w:bidi="zh-TW"/>
    </w:rPr>
  </w:style>
  <w:style w:type="paragraph" w:styleId="982" w:customStyle="1">
    <w:name w:val="普通(网站)1"/>
    <w:basedOn w:val="652"/>
    <w:uiPriority w:val="99"/>
    <w:qFormat/>
    <w:pPr>
      <w:jc w:val="left"/>
      <w:spacing w:before="100" w:beforeAutospacing="1" w:after="100" w:afterAutospacing="1"/>
      <w:widowControl/>
    </w:pPr>
    <w:rPr>
      <w:rFonts w:ascii="宋体" w:hAnsi="宋体" w:cs="宋体"/>
      <w:sz w:val="24"/>
    </w:rPr>
  </w:style>
  <w:style w:type="paragraph" w:styleId="983" w:customStyle="1">
    <w:name w:val="纯文本1"/>
    <w:basedOn w:val="652"/>
    <w:uiPriority w:val="0"/>
    <w:qFormat/>
    <w:rPr>
      <w:rFonts w:ascii="宋体" w:hAnsi="Courier New" w:cs="Courier New"/>
      <w:szCs w:val="21"/>
    </w:rPr>
  </w:style>
  <w:style w:type="paragraph" w:styleId="984" w:customStyle="1">
    <w:name w:val="普通(网站) Char"/>
    <w:basedOn w:val="652"/>
    <w:uiPriority w:val="0"/>
    <w:qFormat/>
    <w:pPr>
      <w:jc w:val="left"/>
      <w:spacing w:before="100" w:beforeAutospacing="1" w:after="100" w:afterAutospacing="1"/>
      <w:widowControl/>
    </w:pPr>
    <w:rPr>
      <w:rFonts w:hint="eastAsia" w:ascii="宋体" w:hAnsi="宋体"/>
      <w:sz w:val="24"/>
    </w:rPr>
  </w:style>
  <w:style w:type="paragraph" w:styleId="985"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character" w:styleId="986" w:customStyle="1">
    <w:name w:val="批注引用1"/>
    <w:basedOn w:val="987"/>
    <w:uiPriority w:val="0"/>
    <w:qFormat/>
    <w:rPr>
      <w:rFonts w:hint="default" w:ascii="Times New Roman" w:hAnsi="Times New Roman" w:eastAsia="宋体" w:cs="Times New Roman"/>
      <w:sz w:val="21"/>
      <w:szCs w:val="24"/>
    </w:rPr>
  </w:style>
  <w:style w:type="character" w:styleId="987" w:customStyle="1">
    <w:name w:val="默认段落字体1"/>
    <w:uiPriority w:val="1"/>
    <w:qFormat/>
  </w:style>
  <w:style w:type="paragraph" w:styleId="988" w:customStyle="1">
    <w:name w:val="页脚1"/>
    <w:basedOn w:val="652"/>
    <w:uiPriority w:val="99"/>
    <w:qFormat/>
    <w:pPr>
      <w:jc w:val="left"/>
      <w:tabs>
        <w:tab w:val="center" w:pos="4153" w:leader="none"/>
        <w:tab w:val="right" w:pos="8306" w:leader="none"/>
      </w:tabs>
    </w:pPr>
    <w:rPr>
      <w:sz w:val="18"/>
      <w:szCs w:val="18"/>
    </w:rPr>
  </w:style>
  <w:style w:type="table" w:styleId="989" w:customStyle="1">
    <w:name w:val="网格型3"/>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0" w:customStyle="1">
    <w:name w:val="普通表格1"/>
    <w:uiPriority w:val="99"/>
    <w:qFormat/>
    <w:tblPr/>
  </w:style>
  <w:style w:type="paragraph" w:styleId="991" w:customStyle="1">
    <w:name w:val="段落正文"/>
    <w:basedOn w:val="652"/>
    <w:uiPriority w:val="0"/>
    <w:qFormat/>
    <w:pPr>
      <w:ind w:firstLine="200"/>
      <w:spacing w:line="360" w:lineRule="auto"/>
    </w:pPr>
    <w:rPr>
      <w:sz w:val="24"/>
      <w:szCs w:val="21"/>
    </w:rPr>
  </w:style>
  <w:style w:type="numbering" w:styleId="78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郑佳佳</cp:lastModifiedBy>
  <cp:revision>4</cp:revision>
  <dcterms:created xsi:type="dcterms:W3CDTF">2025-11-20T08:42:00Z</dcterms:created>
  <dcterms:modified xsi:type="dcterms:W3CDTF">2026-09-30T11:02:20Z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DC23BAD5DB6047FA8D6433DF399E1EF0_13</vt:lpwstr>
  </property>
  <property fmtid="{D5CDD505-2E9C-101B-9397-08002B2CF9AE}" pid="4" name="KSOTemplateDocerSaveRecord">
    <vt:lpwstr>eyJoZGlkIjoiZTc3ZDFiMDk3Y2Q4OTk1OGM5OWZhMjc3ZTMwNjMyMzQiLCJ1c2VySWQiOiIxMTQ2MzIwNzY2In0=</vt:lpwstr>
  </property>
</Properties>
</file>