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shd w:val="clear" w:color="auto" w:fill="ffffff"/>
        <w:widowControl/>
        <w:rPr>
          <w:rFonts w:hint="eastAsia" w:asciiTheme="minorEastAsia" w:hAnsiTheme="minorEastAsia" w:eastAsiaTheme="minorEastAsia"/>
          <w:b/>
          <w:sz w:val="36"/>
          <w:szCs w:val="36"/>
          <w:highlight w:val="none"/>
        </w:rPr>
      </w:pPr>
      <w:r>
        <w:rPr>
          <w:rFonts w:hint="eastAsia" w:cs="黑体" w:asciiTheme="minorEastAsia" w:hAnsiTheme="minorEastAsia" w:eastAsiaTheme="minorEastAsia"/>
          <w:b/>
          <w:bCs/>
          <w:sz w:val="36"/>
          <w:szCs w:val="36"/>
          <w:highlight w:val="none"/>
        </w:rPr>
        <w:t xml:space="preserve">江苏省典型高锌农耕区精细化调查与开发利用评价项目第三方样品测试分析</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公开招标文件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项目编号：JSZC-320000-JSGC-G2026-0054</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采购人：江苏省地质局资源调查与评价院</w:t>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highlight w:val="none"/>
        </w:rPr>
        <w:t xml:space="preserve">2026年</w:t>
      </w:r>
      <w:r>
        <w:rPr>
          <w:rFonts w:hint="eastAsia" w:cs="宋体" w:asciiTheme="minorEastAsia" w:hAnsiTheme="minorEastAsia" w:eastAsiaTheme="minorEastAsia"/>
          <w:b/>
          <w:bCs/>
          <w:sz w:val="36"/>
          <w:szCs w:val="36"/>
          <w:highlight w:val="none"/>
          <w:lang w:val="en-US" w:eastAsia="zh-CN"/>
        </w:rPr>
        <w:t xml:space="preserve">10</w:t>
      </w:r>
      <w:r>
        <w:rPr>
          <w:rFonts w:hint="eastAsia" w:cs="宋体" w:asciiTheme="minorEastAsia" w:hAnsiTheme="minorEastAsia" w:eastAsiaTheme="minorEastAsia"/>
          <w:b/>
          <w:bCs/>
          <w:sz w:val="36"/>
          <w:szCs w:val="36"/>
          <w:highlight w:val="none"/>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79"/>
            <w:jc w:val="center"/>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r/>
        </w:p>
        <w:p>
          <w:pPr>
            <w:pStyle w:val="920"/>
            <w:tabs>
              <w:tab w:val="right" w:pos="9026" w:leader="dot"/>
            </w:tabs>
            <w:rPr>
              <w:b/>
              <w:bCs/>
              <w:sz w:val="36"/>
              <w:szCs w:val="44"/>
              <w:highlight w:val="none"/>
            </w:rPr>
          </w:pPr>
          <w:r>
            <w:rPr>
              <w:rFonts w:asciiTheme="minorEastAsia" w:hAnsiTheme="minorEastAsia" w:eastAsiaTheme="minorEastAsia"/>
              <w:b/>
              <w:bCs/>
              <w:sz w:val="48"/>
              <w:szCs w:val="48"/>
              <w:highlight w:val="none"/>
            </w:rPr>
            <w:fldChar w:fldCharType="begin"/>
          </w:r>
          <w:r>
            <w:rPr>
              <w:rFonts w:asciiTheme="minorEastAsia" w:hAnsiTheme="minorEastAsia" w:eastAsiaTheme="minorEastAsia"/>
              <w:b/>
              <w:bCs/>
              <w:sz w:val="48"/>
              <w:szCs w:val="48"/>
              <w:highlight w:val="none"/>
            </w:rPr>
            <w:instrText xml:space="preserve"> TOC \o "1-1" \h \z \u </w:instrText>
          </w:r>
          <w:r>
            <w:rPr>
              <w:rFonts w:asciiTheme="minorEastAsia" w:hAnsiTheme="minorEastAsia" w:eastAsiaTheme="minorEastAsia"/>
              <w:b/>
              <w:bCs/>
              <w:sz w:val="48"/>
              <w:szCs w:val="48"/>
              <w:highlight w:val="none"/>
            </w:rPr>
            <w:fldChar w:fldCharType="separate"/>
          </w:r>
          <w:r>
            <w:rPr>
              <w:highlight w:val="none"/>
            </w:rPr>
            <w:fldChar w:fldCharType="begin"/>
          </w:r>
          <w:r>
            <w:rPr>
              <w:highlight w:val="none"/>
            </w:rPr>
            <w:instrText xml:space="preserve"> HYPERLINK \l "_Toc3147" </w:instrText>
          </w:r>
          <w:r>
            <w:rPr>
              <w:highlight w:val="none"/>
            </w:rPr>
            <w:fldChar w:fldCharType="separate"/>
          </w:r>
          <w:r>
            <w:rPr>
              <w:rFonts w:hint="eastAsia" w:asciiTheme="minorEastAsia" w:hAnsiTheme="minorEastAsia" w:eastAsiaTheme="minorEastAsia"/>
              <w:b/>
              <w:bCs/>
              <w:sz w:val="36"/>
              <w:szCs w:val="44"/>
              <w:highlight w:val="none"/>
            </w:rPr>
            <w:t xml:space="preserve">第一章 招标公告</w:t>
          </w:r>
          <w:r>
            <w:rPr>
              <w:b/>
              <w:bCs/>
              <w:sz w:val="36"/>
              <w:szCs w:val="44"/>
              <w:highlight w:val="none"/>
            </w:rPr>
            <w:tab/>
          </w:r>
          <w:r>
            <w:rPr>
              <w:b/>
              <w:bCs/>
              <w:sz w:val="36"/>
              <w:szCs w:val="44"/>
              <w:highlight w:val="none"/>
            </w:rPr>
            <w:fldChar w:fldCharType="begin"/>
          </w:r>
          <w:r>
            <w:rPr>
              <w:b/>
              <w:bCs/>
              <w:sz w:val="36"/>
              <w:szCs w:val="44"/>
              <w:highlight w:val="none"/>
            </w:rPr>
            <w:instrText xml:space="preserve"> PAGEREF _Toc3147 \h </w:instrText>
          </w:r>
          <w:r>
            <w:rPr>
              <w:b/>
              <w:bCs/>
              <w:sz w:val="36"/>
              <w:szCs w:val="44"/>
              <w:highlight w:val="none"/>
            </w:rPr>
            <w:fldChar w:fldCharType="separate"/>
          </w:r>
          <w:r>
            <w:rPr>
              <w:b/>
              <w:bCs/>
              <w:sz w:val="36"/>
              <w:szCs w:val="44"/>
              <w:highlight w:val="none"/>
            </w:rPr>
            <w:t xml:space="preserve">1</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"_Toc416" </w:instrText>
          </w:r>
          <w:r>
            <w:rPr>
              <w:highlight w:val="none"/>
            </w:rPr>
            <w:fldChar w:fldCharType="separate"/>
          </w:r>
          <w:r>
            <w:rPr>
              <w:rFonts w:hint="eastAsia" w:asciiTheme="minorEastAsia" w:hAnsiTheme="minorEastAsia" w:eastAsiaTheme="minorEastAsia"/>
              <w:b/>
              <w:bCs/>
              <w:sz w:val="36"/>
              <w:szCs w:val="44"/>
              <w:highlight w:val="none"/>
            </w:rPr>
            <w:t xml:space="preserve">第二章 投标人须知</w:t>
          </w:r>
          <w:r>
            <w:rPr>
              <w:b/>
              <w:bCs/>
              <w:sz w:val="36"/>
              <w:szCs w:val="44"/>
              <w:highlight w:val="none"/>
            </w:rPr>
            <w:tab/>
          </w:r>
          <w:r>
            <w:rPr>
              <w:b/>
              <w:bCs/>
              <w:sz w:val="36"/>
              <w:szCs w:val="44"/>
              <w:highlight w:val="none"/>
            </w:rPr>
            <w:fldChar w:fldCharType="begin"/>
          </w:r>
          <w:r>
            <w:rPr>
              <w:b/>
              <w:bCs/>
              <w:sz w:val="36"/>
              <w:szCs w:val="44"/>
              <w:highlight w:val="none"/>
            </w:rPr>
            <w:instrText xml:space="preserve"> PAGEREF _Toc416 \h </w:instrText>
          </w:r>
          <w:r>
            <w:rPr>
              <w:b/>
              <w:bCs/>
              <w:sz w:val="36"/>
              <w:szCs w:val="44"/>
              <w:highlight w:val="none"/>
            </w:rPr>
            <w:fldChar w:fldCharType="separate"/>
          </w:r>
          <w:r>
            <w:rPr>
              <w:b/>
              <w:bCs/>
              <w:sz w:val="36"/>
              <w:szCs w:val="44"/>
              <w:highlight w:val="none"/>
            </w:rPr>
            <w:t xml:space="preserve">4</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"_Toc439" </w:instrText>
          </w:r>
          <w:r>
            <w:rPr>
              <w:highlight w:val="none"/>
            </w:rPr>
            <w:fldChar w:fldCharType="separate"/>
          </w:r>
          <w:r>
            <w:rPr>
              <w:rFonts w:hint="eastAsia" w:asciiTheme="minorEastAsia" w:hAnsiTheme="minorEastAsia" w:eastAsiaTheme="minorEastAsia"/>
              <w:b/>
              <w:bCs/>
              <w:sz w:val="36"/>
              <w:szCs w:val="44"/>
              <w:highlight w:val="none"/>
            </w:rPr>
            <w:t xml:space="preserve">第三章 评标标准</w:t>
          </w:r>
          <w:r>
            <w:rPr>
              <w:b/>
              <w:bCs/>
              <w:sz w:val="36"/>
              <w:szCs w:val="44"/>
              <w:highlight w:val="none"/>
            </w:rPr>
            <w:tab/>
          </w:r>
          <w:r>
            <w:rPr>
              <w:b/>
              <w:bCs/>
              <w:sz w:val="36"/>
              <w:szCs w:val="44"/>
              <w:highlight w:val="none"/>
            </w:rPr>
            <w:fldChar w:fldCharType="begin"/>
          </w:r>
          <w:r>
            <w:rPr>
              <w:b/>
              <w:bCs/>
              <w:sz w:val="36"/>
              <w:szCs w:val="44"/>
              <w:highlight w:val="none"/>
            </w:rPr>
            <w:instrText xml:space="preserve"> PAGEREF _Toc439 \h </w:instrText>
          </w:r>
          <w:r>
            <w:rPr>
              <w:b/>
              <w:bCs/>
              <w:sz w:val="36"/>
              <w:szCs w:val="44"/>
              <w:highlight w:val="none"/>
            </w:rPr>
            <w:fldChar w:fldCharType="separate"/>
          </w:r>
          <w:r>
            <w:rPr>
              <w:b/>
              <w:bCs/>
              <w:sz w:val="36"/>
              <w:szCs w:val="44"/>
              <w:highlight w:val="none"/>
            </w:rPr>
            <w:t xml:space="preserve">16</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"_Toc7966" </w:instrText>
          </w:r>
          <w:r>
            <w:rPr>
              <w:highlight w:val="none"/>
            </w:rPr>
            <w:fldChar w:fldCharType="separate"/>
          </w:r>
          <w:r>
            <w:rPr>
              <w:rFonts w:hint="eastAsia" w:asciiTheme="minorEastAsia" w:hAnsiTheme="minorEastAsia" w:eastAsiaTheme="minorEastAsia"/>
              <w:b/>
              <w:bCs/>
              <w:sz w:val="36"/>
              <w:szCs w:val="44"/>
              <w:highlight w:val="none"/>
            </w:rPr>
            <w:t xml:space="preserve">第四章 采购项目的内容和相关技术要求等</w:t>
          </w:r>
          <w:r>
            <w:rPr>
              <w:b/>
              <w:bCs/>
              <w:sz w:val="36"/>
              <w:szCs w:val="44"/>
              <w:highlight w:val="none"/>
            </w:rPr>
            <w:tab/>
          </w:r>
          <w:r>
            <w:rPr>
              <w:b/>
              <w:bCs/>
              <w:sz w:val="36"/>
              <w:szCs w:val="44"/>
              <w:highlight w:val="none"/>
            </w:rPr>
            <w:fldChar w:fldCharType="begin"/>
          </w:r>
          <w:r>
            <w:rPr>
              <w:b/>
              <w:bCs/>
              <w:sz w:val="36"/>
              <w:szCs w:val="44"/>
              <w:highlight w:val="none"/>
            </w:rPr>
            <w:instrText xml:space="preserve"> PAGEREF _Toc7966 \h </w:instrText>
          </w:r>
          <w:r>
            <w:rPr>
              <w:b/>
              <w:bCs/>
              <w:sz w:val="36"/>
              <w:szCs w:val="44"/>
              <w:highlight w:val="none"/>
            </w:rPr>
            <w:fldChar w:fldCharType="separate"/>
          </w:r>
          <w:r>
            <w:rPr>
              <w:b/>
              <w:bCs/>
              <w:sz w:val="36"/>
              <w:szCs w:val="44"/>
              <w:highlight w:val="none"/>
            </w:rPr>
            <w:t xml:space="preserve">19</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"_Toc29718" </w:instrText>
          </w:r>
          <w:r>
            <w:rPr>
              <w:highlight w:val="none"/>
            </w:rPr>
            <w:fldChar w:fldCharType="separate"/>
          </w:r>
          <w:r>
            <w:rPr>
              <w:rFonts w:hint="eastAsia" w:asciiTheme="minorEastAsia" w:hAnsiTheme="minorEastAsia" w:eastAsiaTheme="minorEastAsia"/>
              <w:b/>
              <w:bCs/>
              <w:sz w:val="36"/>
              <w:szCs w:val="44"/>
              <w:highlight w:val="none"/>
            </w:rPr>
            <w:t xml:space="preserve">第五章 合同主要条款及格式</w:t>
          </w:r>
          <w:r>
            <w:rPr>
              <w:b/>
              <w:bCs/>
              <w:sz w:val="36"/>
              <w:szCs w:val="44"/>
              <w:highlight w:val="none"/>
            </w:rPr>
            <w:tab/>
          </w:r>
          <w:r>
            <w:rPr>
              <w:b/>
              <w:bCs/>
              <w:sz w:val="36"/>
              <w:szCs w:val="44"/>
              <w:highlight w:val="none"/>
            </w:rPr>
            <w:fldChar w:fldCharType="begin"/>
          </w:r>
          <w:r>
            <w:rPr>
              <w:b/>
              <w:bCs/>
              <w:sz w:val="36"/>
              <w:szCs w:val="44"/>
              <w:highlight w:val="none"/>
            </w:rPr>
            <w:instrText xml:space="preserve"> PAGEREF _Toc29718 \h </w:instrText>
          </w:r>
          <w:r>
            <w:rPr>
              <w:b/>
              <w:bCs/>
              <w:sz w:val="36"/>
              <w:szCs w:val="44"/>
              <w:highlight w:val="none"/>
            </w:rPr>
            <w:fldChar w:fldCharType="separate"/>
          </w:r>
          <w:r>
            <w:rPr>
              <w:b/>
              <w:bCs/>
              <w:sz w:val="36"/>
              <w:szCs w:val="44"/>
              <w:highlight w:val="none"/>
            </w:rPr>
            <w:t xml:space="preserve">26</w:t>
          </w:r>
          <w:r>
            <w:rPr>
              <w:b/>
              <w:bCs/>
              <w:sz w:val="36"/>
              <w:szCs w:val="44"/>
              <w:highlight w:val="none"/>
            </w:rPr>
            <w:fldChar w:fldCharType="end"/>
          </w:r>
          <w:r>
            <w:rPr>
              <w:b/>
              <w:bCs/>
              <w:sz w:val="36"/>
              <w:szCs w:val="44"/>
              <w:highlight w:val="none"/>
            </w:rPr>
            <w:fldChar w:fldCharType="end"/>
          </w:r>
          <w:r/>
        </w:p>
        <w:p>
          <w:pPr>
            <w:pStyle w:val="920"/>
            <w:tabs>
              <w:tab w:val="right" w:pos="9026" w:leader="dot"/>
            </w:tabs>
            <w:rPr>
              <w:b/>
              <w:bCs/>
              <w:sz w:val="36"/>
              <w:szCs w:val="44"/>
              <w:highlight w:val="none"/>
            </w:rPr>
          </w:pPr>
          <w:r>
            <w:rPr>
              <w:highlight w:val="none"/>
            </w:rPr>
            <w:fldChar w:fldCharType="begin"/>
          </w:r>
          <w:r>
            <w:rPr>
              <w:highlight w:val="none"/>
            </w:rPr>
            <w:instrText xml:space="preserve"> HYPERLINK \l "_Toc6935" </w:instrText>
          </w:r>
          <w:r>
            <w:rPr>
              <w:highlight w:val="none"/>
            </w:rPr>
            <w:fldChar w:fldCharType="separate"/>
          </w:r>
          <w:r>
            <w:rPr>
              <w:rFonts w:hint="eastAsia" w:asciiTheme="minorEastAsia" w:hAnsiTheme="minorEastAsia" w:eastAsiaTheme="minorEastAsia"/>
              <w:b/>
              <w:bCs/>
              <w:sz w:val="36"/>
              <w:szCs w:val="44"/>
              <w:highlight w:val="none"/>
            </w:rPr>
            <w:t xml:space="preserve">第六章 投标文件格式</w:t>
          </w:r>
          <w:r>
            <w:rPr>
              <w:b/>
              <w:bCs/>
              <w:sz w:val="36"/>
              <w:szCs w:val="44"/>
              <w:highlight w:val="none"/>
            </w:rPr>
            <w:tab/>
          </w:r>
          <w:r>
            <w:rPr>
              <w:b/>
              <w:bCs/>
              <w:sz w:val="36"/>
              <w:szCs w:val="44"/>
              <w:highlight w:val="none"/>
            </w:rPr>
            <w:fldChar w:fldCharType="begin"/>
          </w:r>
          <w:r>
            <w:rPr>
              <w:b/>
              <w:bCs/>
              <w:sz w:val="36"/>
              <w:szCs w:val="44"/>
              <w:highlight w:val="none"/>
            </w:rPr>
            <w:instrText xml:space="preserve"> PAGEREF _Toc6935 \h </w:instrText>
          </w:r>
          <w:r>
            <w:rPr>
              <w:b/>
              <w:bCs/>
              <w:sz w:val="36"/>
              <w:szCs w:val="44"/>
              <w:highlight w:val="none"/>
            </w:rPr>
            <w:fldChar w:fldCharType="separate"/>
          </w:r>
          <w:r>
            <w:rPr>
              <w:b/>
              <w:bCs/>
              <w:sz w:val="36"/>
              <w:szCs w:val="44"/>
              <w:highlight w:val="none"/>
            </w:rPr>
            <w:t xml:space="preserve">33</w:t>
          </w:r>
          <w:r>
            <w:rPr>
              <w:b/>
              <w:bCs/>
              <w:sz w:val="36"/>
              <w:szCs w:val="44"/>
              <w:highlight w:val="none"/>
            </w:rPr>
            <w:fldChar w:fldCharType="end"/>
          </w:r>
          <w:r>
            <w:rPr>
              <w:b/>
              <w:bCs/>
              <w:sz w:val="36"/>
              <w:szCs w:val="44"/>
              <w:highlight w:val="none"/>
            </w:rPr>
            <w:fldChar w:fldCharType="end"/>
          </w:r>
          <w:r/>
        </w:p>
        <w:p>
          <w:pPr>
            <w:rPr>
              <w:rFonts w:hint="eastAsia" w:asciiTheme="minorEastAsia" w:hAnsiTheme="minorEastAsia" w:eastAsiaTheme="minorEastAsia"/>
              <w:highlight w:val="none"/>
            </w:rPr>
          </w:pPr>
          <w:r>
            <w:rPr>
              <w:rFonts w:asciiTheme="minorEastAsia" w:hAnsiTheme="minorEastAsia" w:eastAsiaTheme="minorEastAsia"/>
              <w:b/>
              <w:bCs/>
              <w:sz w:val="36"/>
              <w:szCs w:val="48"/>
              <w:highlight w:val="none"/>
            </w:rPr>
            <w:fldChar w:fldCharType="end"/>
          </w:r>
          <w:r/>
        </w:p>
      </w:sdtContent>
    </w:sdt>
    <w:p>
      <w:pPr>
        <w:pStyle w:val="920"/>
        <w:tabs>
          <w:tab w:val="right" w:pos="8296" w:leader="dot"/>
        </w:tabs>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920"/>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890"/>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highlight w:val="none"/>
        </w:rPr>
        <w:t xml:space="preserve"> </w:t>
      </w:r>
      <w:bookmarkStart w:id="3" w:name="_Toc3147"/>
      <w:r>
        <w:rPr>
          <w:rFonts w:hint="eastAsia" w:asciiTheme="minorEastAsia" w:hAnsiTheme="minorEastAsia" w:eastAsiaTheme="minorEastAsia"/>
          <w:highlight w:val="none"/>
        </w:rPr>
        <w:t xml:space="preserve">招标公告</w:t>
      </w:r>
      <w:bookmarkEnd w:id="0"/>
      <w:r/>
      <w:bookmarkEnd w:id="1"/>
      <w:r/>
      <w:bookmarkEnd w:id="3"/>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highlight w:val="none"/>
        </w:rPr>
        <w:t xml:space="preserve">江苏省典型高锌农耕区精细化调查与开发利用评价项目第三方样品测试分析</w:t>
      </w:r>
      <w:r>
        <w:rPr>
          <w:rFonts w:hint="eastAsia" w:cs="宋体" w:asciiTheme="minorEastAsia" w:hAnsiTheme="minorEastAsia" w:eastAsiaTheme="minorEastAsia"/>
          <w:spacing w:val="8"/>
          <w:highlight w:val="none"/>
          <w:lang w:val="en-US" w:eastAsia="zh-CN"/>
        </w:rPr>
        <w:t xml:space="preserve"> JSZC-320000-JSGC-G2026-0054 </w:t>
      </w:r>
      <w:r>
        <w:rPr>
          <w:rFonts w:hint="eastAsia" w:cs="宋体" w:asciiTheme="minorEastAsia" w:hAnsiTheme="minorEastAsia" w:eastAsiaTheme="minorEastAsia"/>
          <w:spacing w:val="8"/>
          <w:highlight w:val="none"/>
        </w:rPr>
        <w:t xml:space="preserve">招标项目的潜在投标人应在</w:t>
      </w:r>
      <w:r>
        <w:rPr>
          <w:rFonts w:hint="eastAsia" w:cs="Arial" w:asciiTheme="minorEastAsia" w:hAnsiTheme="minorEastAsia" w:eastAsiaTheme="minorEastAsia"/>
          <w:spacing w:val="8"/>
          <w:szCs w:val="21"/>
          <w:highlight w:val="none"/>
        </w:rPr>
        <w:t xml:space="preserve">江苏政府采购网“</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pacing w:val="8"/>
          <w:highlight w:val="none"/>
        </w:rPr>
        <w:t xml:space="preserve">获取招标文件，并于2026年1</w:t>
      </w:r>
      <w:r>
        <w:rPr>
          <w:rFonts w:hint="eastAsia" w:cs="宋体" w:asciiTheme="minorEastAsia" w:hAnsiTheme="minorEastAsia" w:eastAsiaTheme="minorEastAsia"/>
          <w:spacing w:val="8"/>
          <w:highlight w:val="none"/>
          <w:lang w:val="en-US" w:eastAsia="zh-CN"/>
        </w:rPr>
        <w:t xml:space="preserve">1</w:t>
      </w:r>
      <w:r>
        <w:rPr>
          <w:rFonts w:hint="eastAsia" w:cs="宋体" w:asciiTheme="minorEastAsia" w:hAnsiTheme="minorEastAsia" w:eastAsiaTheme="minorEastAsia"/>
          <w:spacing w:val="8"/>
          <w:highlight w:val="none"/>
        </w:rPr>
        <w:t xml:space="preserve">月</w:t>
      </w:r>
      <w:r>
        <w:rPr>
          <w:rFonts w:hint="eastAsia" w:cs="宋体" w:asciiTheme="minorEastAsia" w:hAnsiTheme="minorEastAsia" w:eastAsiaTheme="minorEastAsia"/>
          <w:spacing w:val="8"/>
          <w:highlight w:val="none"/>
          <w:lang w:val="en-US" w:eastAsia="zh-CN"/>
        </w:rPr>
        <w:t xml:space="preserve">20</w:t>
      </w:r>
      <w:r>
        <w:rPr>
          <w:rFonts w:hint="eastAsia" w:cs="宋体" w:asciiTheme="minorEastAsia" w:hAnsiTheme="minorEastAsia" w:eastAsiaTheme="minorEastAsia"/>
          <w:spacing w:val="8"/>
          <w:highlight w:val="none"/>
        </w:rPr>
        <w:t xml:space="preserve">日</w:t>
      </w:r>
      <w:r>
        <w:rPr>
          <w:rFonts w:hint="eastAsia" w:cs="宋体" w:asciiTheme="minorEastAsia" w:hAnsiTheme="minorEastAsia" w:eastAsiaTheme="minorEastAsia"/>
          <w:spacing w:val="8"/>
          <w:highlight w:val="none"/>
          <w:lang w:val="en-US" w:eastAsia="zh-CN"/>
        </w:rPr>
        <w:t xml:space="preserve">09</w:t>
      </w:r>
      <w:r>
        <w:rPr>
          <w:rFonts w:hint="eastAsia" w:cs="宋体" w:asciiTheme="minorEastAsia" w:hAnsiTheme="minorEastAsia" w:eastAsiaTheme="minorEastAsia"/>
          <w:spacing w:val="8"/>
          <w:highlight w:val="none"/>
        </w:rPr>
        <w:t xml:space="preserve">:</w:t>
      </w:r>
      <w:r>
        <w:rPr>
          <w:rFonts w:hint="eastAsia" w:cs="宋体" w:asciiTheme="minorEastAsia" w:hAnsiTheme="minorEastAsia" w:eastAsiaTheme="minorEastAsia"/>
          <w:spacing w:val="8"/>
          <w:highlight w:val="none"/>
          <w:lang w:val="en-US" w:eastAsia="zh-CN"/>
        </w:rPr>
        <w:t xml:space="preserve">3</w:t>
      </w:r>
      <w:r>
        <w:rPr>
          <w:rFonts w:hint="eastAsia" w:cs="宋体" w:asciiTheme="minorEastAsia" w:hAnsiTheme="minorEastAsia" w:eastAsiaTheme="minorEastAsia"/>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en-US" w:eastAsia="zh-CN"/>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JSZC-320000-JSGC-G2026-0054</w:t>
      </w:r>
      <w:bookmarkStart w:id="192" w:name="_GoBack"/>
      <w:r/>
      <w:bookmarkEnd w:id="192"/>
      <w:r>
        <w:rPr>
          <w:rFonts w:hint="eastAsia" w:cs="Arial" w:asciiTheme="minorEastAsia" w:hAnsiTheme="minorEastAsia" w:eastAsiaTheme="minorEastAsia"/>
          <w:bCs/>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rPr>
        <w:t xml:space="preserve">江苏省典型高锌农耕区精细化调查与开发利用评价项目第三方样品测试分析</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预算金额</w:t>
      </w:r>
      <w:r>
        <w:rPr>
          <w:rFonts w:hint="eastAsia" w:asciiTheme="minorEastAsia" w:hAnsiTheme="minorEastAsia" w:eastAsiaTheme="minorEastAsia"/>
          <w:bCs/>
          <w:szCs w:val="21"/>
          <w:highlight w:val="none"/>
        </w:rPr>
        <w:t xml:space="preserve">：</w:t>
      </w:r>
      <w:r>
        <w:rPr>
          <w:rFonts w:hint="eastAsia" w:asciiTheme="minorEastAsia" w:hAnsiTheme="minorEastAsia" w:eastAsiaTheme="minorEastAsia"/>
          <w:bCs/>
          <w:szCs w:val="21"/>
          <w:highlight w:val="none"/>
          <w:lang w:val="en-US" w:eastAsia="zh-CN"/>
        </w:rPr>
        <w:t xml:space="preserve">350</w:t>
      </w:r>
      <w:r>
        <w:rPr>
          <w:rFonts w:hint="eastAsia" w:asciiTheme="minorEastAsia" w:hAnsiTheme="minorEastAsia" w:eastAsiaTheme="minorEastAsia"/>
          <w:bCs/>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4" w:name="_Hlk175666274"/>
      <w:r>
        <w:rPr>
          <w:rFonts w:hint="eastAsia" w:asciiTheme="minorEastAsia" w:hAnsiTheme="minorEastAsia" w:eastAsiaTheme="minorEastAsia"/>
          <w:bCs/>
          <w:szCs w:val="21"/>
          <w:highlight w:val="none"/>
        </w:rPr>
        <w:t xml:space="preserve">最高限价（如有）</w:t>
      </w:r>
      <w:bookmarkEnd w:id="4"/>
      <w:r>
        <w:rPr>
          <w:rFonts w:cs="Arial" w:asciiTheme="minorEastAsia" w:hAnsiTheme="minorEastAsia" w:eastAsiaTheme="minorEastAsia"/>
          <w:bCs/>
          <w:szCs w:val="21"/>
          <w:highlight w:val="none"/>
        </w:rPr>
        <w:t xml:space="preserve">：</w:t>
      </w:r>
      <w:r>
        <w:rPr>
          <w:rFonts w:hint="eastAsia" w:cs="Arial" w:asciiTheme="minorEastAsia" w:hAnsiTheme="minorEastAsia" w:eastAsiaTheme="minorEastAsia"/>
          <w:bCs/>
          <w:szCs w:val="21"/>
          <w:highlight w:val="none"/>
        </w:rPr>
        <w:t xml:space="preserve">290万元</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u w:val="single"/>
        </w:rPr>
      </w:pPr>
      <w:r>
        <w:rPr>
          <w:rFonts w:cs="Arial" w:asciiTheme="minorEastAsia" w:hAnsiTheme="minorEastAsia" w:eastAsiaTheme="minorEastAsia"/>
          <w:bCs/>
          <w:szCs w:val="21"/>
          <w:highlight w:val="none"/>
        </w:rPr>
        <w:t xml:space="preserve">采购需求</w:t>
      </w:r>
      <w:r>
        <w:rPr>
          <w:rFonts w:hint="eastAsia" w:cs="Arial" w:asciiTheme="minorEastAsia" w:hAnsiTheme="minorEastAsia" w:eastAsiaTheme="minorEastAsia"/>
          <w:bCs/>
          <w:szCs w:val="21"/>
          <w:highlight w:val="none"/>
        </w:rPr>
        <w:t xml:space="preserve">：本项目拟委托供应商对所采集的土壤样品和水样进行测试分析，具体内容详见招标文件第四章。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合同履行期限：</w:t>
      </w:r>
      <w:r>
        <w:rPr>
          <w:rFonts w:hint="eastAsia" w:cs="Arial" w:asciiTheme="minorEastAsia" w:hAnsiTheme="minorEastAsia" w:eastAsiaTheme="minorEastAsia"/>
          <w:bCs/>
          <w:szCs w:val="21"/>
          <w:highlight w:val="none"/>
        </w:rPr>
        <w:t xml:space="preserve">自合同签订之日起至项目内容全部履行完毕止。</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5" w:name="_Hlk128055931"/>
      <w:r/>
      <w:bookmarkStart w:id="6" w:name="_Hlk77845455"/>
      <w:r>
        <w:rPr>
          <w:rFonts w:cs="Arial" w:asciiTheme="minorEastAsia" w:hAnsiTheme="minorEastAsia" w:eastAsiaTheme="minorEastAsia"/>
          <w:bCs/>
          <w:szCs w:val="21"/>
          <w:highlight w:val="none"/>
        </w:rPr>
        <w:t xml:space="preserve">本项目</w:t>
      </w:r>
      <w:bookmarkStart w:id="7"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7"/>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5"/>
      <w:r/>
      <w:bookmarkEnd w:id="6"/>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Theme="minorEastAsia" w:hAnsiTheme="minorEastAsia" w:eastAsiaTheme="minorEastAsia"/>
          <w:bCs/>
          <w:szCs w:val="21"/>
          <w:highlight w:val="none"/>
        </w:rPr>
        <w:t xml:space="preserve">六个月</w:t>
      </w:r>
      <w:bookmarkEnd w:id="8"/>
      <w:r>
        <w:rPr>
          <w:rFonts w:hint="eastAsia" w:asciiTheme="minorEastAsia" w:hAnsiTheme="minorEastAsia" w:eastAsiaTheme="minorEastAsia"/>
          <w:bCs/>
          <w:szCs w:val="21"/>
          <w:highlight w:val="none"/>
        </w:rPr>
        <w:t xml:space="preserve">若无上述证明材料的可不提供）；</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highlight w:val="none"/>
        </w:rPr>
        <w:t xml:space="preserve">或证明材料</w:t>
      </w:r>
      <w:bookmarkEnd w:id="9"/>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10" w:name="_Hlk169006514"/>
      <w:r>
        <w:rPr>
          <w:rFonts w:hint="eastAsia" w:asciiTheme="minorEastAsia" w:hAnsiTheme="minorEastAsia" w:eastAsiaTheme="minorEastAsia"/>
          <w:bCs/>
          <w:szCs w:val="21"/>
          <w:highlight w:val="none"/>
        </w:rPr>
        <w:t xml:space="preserve">具有依法缴纳税收和社会保障资金的良好记录</w:t>
      </w:r>
      <w:bookmarkStart w:id="11"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highlight w:val="none"/>
        </w:rPr>
        <w:t xml:space="preserve">；</w:t>
      </w:r>
      <w:bookmarkEnd w:id="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2" w:name="_Hlk128042064"/>
      <w:r>
        <w:rPr>
          <w:rFonts w:hint="eastAsia" w:cs="Arial" w:asciiTheme="minorEastAsia" w:hAnsiTheme="minorEastAsia" w:eastAsiaTheme="minorEastAsia"/>
          <w:bCs/>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3"/>
      <w:r>
        <w:rPr>
          <w:rFonts w:hint="eastAsia" w:cs="Arial" w:asciiTheme="minorEastAsia" w:hAnsiTheme="minorEastAsia" w:eastAsiaTheme="minorEastAsia"/>
          <w:bCs/>
          <w:szCs w:val="21"/>
          <w:highlight w:val="none"/>
        </w:rPr>
        <w:t xml:space="preserve">：</w:t>
      </w:r>
      <w:bookmarkEnd w:id="14"/>
      <w:r>
        <w:rPr>
          <w:rFonts w:hint="eastAsia" w:cs="Arial" w:asciiTheme="minorEastAsia" w:hAnsiTheme="minorEastAsia" w:eastAsiaTheme="minorEastAsia"/>
          <w:bCs/>
          <w:szCs w:val="21"/>
          <w:highlight w:val="none"/>
        </w:rPr>
        <w:t xml:space="preserve">投标人须持有市场监督管理部门核发的检验检测机构资质认定证书（CMA）。（提供在有效期内的证书复印件并加盖公章）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7" w:name="_Hlk165968429"/>
      <w:r>
        <w:rPr>
          <w:rFonts w:hint="eastAsia" w:cs="Arial" w:asciiTheme="minorEastAsia" w:hAnsiTheme="minorEastAsia" w:eastAsiaTheme="minorEastAsia"/>
          <w:spacing w:val="8"/>
          <w:szCs w:val="21"/>
          <w:highlight w:val="none"/>
        </w:rPr>
        <w:t xml:space="preserve">时间：</w:t>
      </w:r>
      <w:r>
        <w:rPr>
          <w:rFonts w:hint="eastAsia" w:cs="宋体" w:asciiTheme="minorEastAsia" w:hAnsiTheme="minorEastAsia" w:eastAsiaTheme="minorEastAsia"/>
          <w:szCs w:val="21"/>
          <w:highlight w:val="none"/>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8" w:name="_Hlk77845475"/>
      <w:r>
        <w:rPr>
          <w:rFonts w:hint="eastAsia" w:asciiTheme="minorEastAsia" w:hAnsiTheme="minorEastAsia" w:eastAsiaTheme="minorEastAsia"/>
          <w:szCs w:val="21"/>
          <w:highlight w:val="none"/>
        </w:rPr>
        <w:t xml:space="preserve">地点：</w:t>
      </w:r>
      <w:bookmarkStart w:id="19" w:name="OLE_LINK20"/>
      <w:r>
        <w:rPr>
          <w:rFonts w:hint="eastAsia" w:cs="Arial" w:asciiTheme="minorEastAsia" w:hAnsiTheme="minorEastAsia" w:eastAsiaTheme="minorEastAsia"/>
          <w:spacing w:val="8"/>
          <w:szCs w:val="21"/>
          <w:highlight w:val="none"/>
        </w:rPr>
        <w:t xml:space="preserve">江苏政府采购网</w:t>
      </w:r>
      <w:bookmarkStart w:id="20"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ff0000"/>
          <w:szCs w:val="21"/>
          <w:highlight w:val="none"/>
        </w:rPr>
      </w:pPr>
      <w:r/>
      <w:bookmarkStart w:id="21" w:name="_Hlk75168366"/>
      <w:r/>
      <w:bookmarkStart w:id="22" w:name="_Hlk168491228"/>
      <w:r/>
      <w:bookmarkStart w:id="23" w:name="_Hlk168491149"/>
      <w:r/>
      <w:bookmarkStart w:id="24" w:name="_Hlk164960028"/>
      <w:r>
        <w:rPr>
          <w:rFonts w:hint="eastAsia" w:asciiTheme="minorEastAsia" w:hAnsiTheme="minorEastAsia" w:eastAsiaTheme="minorEastAsia"/>
          <w:szCs w:val="21"/>
          <w:highlight w:val="none"/>
        </w:rPr>
        <w:t xml:space="preserve">方式：</w:t>
      </w:r>
      <w:bookmarkEnd w:id="21"/>
      <w:r/>
      <w:bookmarkStart w:id="25" w:name="_Hlk163662034"/>
      <w:r/>
      <w:bookmarkStart w:id="26" w:name="_Hlk168492824"/>
      <w:r/>
      <w:bookmarkStart w:id="27" w:name="_Hlk95487722"/>
      <w:r>
        <w:rPr>
          <w:rFonts w:hint="eastAsia" w:asciiTheme="minorEastAsia" w:hAnsiTheme="minorEastAsia" w:eastAsiaTheme="minorEastAsia"/>
          <w:szCs w:val="21"/>
          <w:highlight w:val="none"/>
        </w:rPr>
        <w:t xml:space="preserve">投标人登录江苏政府采购网，在网站首页点击</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bCs/>
          <w:szCs w:val="21"/>
          <w:highlight w:val="none"/>
        </w:rPr>
        <w:t xml:space="preserve">自行免费下载</w:t>
      </w:r>
      <w:bookmarkEnd w:id="17"/>
      <w:r/>
      <w:bookmarkEnd w:id="22"/>
      <w:r/>
      <w:bookmarkEnd w:id="23"/>
      <w:r/>
      <w:bookmarkEnd w:id="24"/>
      <w:r/>
      <w:bookmarkEnd w:id="25"/>
      <w:r/>
      <w:bookmarkEnd w:id="26"/>
      <w:r/>
      <w:r/>
    </w:p>
    <w:p>
      <w:pPr>
        <w:ind w:firstLine="452"/>
        <w:spacing w:line="360" w:lineRule="auto"/>
        <w:widowControl/>
        <w:rPr>
          <w:rFonts w:hint="eastAsia" w:cs="宋体" w:asciiTheme="minorEastAsia" w:hAnsiTheme="minorEastAsia" w:eastAsiaTheme="minorEastAsia"/>
          <w:szCs w:val="21"/>
          <w:highlight w:val="none"/>
        </w:rPr>
      </w:pPr>
      <w:r/>
      <w:bookmarkStart w:id="28" w:name="_Hlk128043211"/>
      <w:r>
        <w:rPr>
          <w:rFonts w:hint="eastAsia" w:cs="宋体" w:asciiTheme="minorEastAsia" w:hAnsiTheme="minorEastAsia" w:eastAsiaTheme="minorEastAsia"/>
          <w:spacing w:val="8"/>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9" w:name="_Hlk44579106"/>
      <w:r>
        <w:rPr>
          <w:rFonts w:hint="eastAsia" w:cs="Arial" w:asciiTheme="minorEastAsia" w:hAnsiTheme="minorEastAsia" w:eastAsiaTheme="minorEastAsia"/>
          <w:b/>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30" w:name="_Hlk44575721"/>
      <w:r>
        <w:rPr>
          <w:rFonts w:hint="eastAsia" w:cs="Arial" w:asciiTheme="minorEastAsia" w:hAnsiTheme="minorEastAsia" w:eastAsiaTheme="minorEastAsia"/>
          <w:spacing w:val="8"/>
          <w:szCs w:val="21"/>
          <w:highlight w:val="none"/>
        </w:rPr>
        <w:t xml:space="preserve">2026年</w:t>
      </w:r>
      <w:bookmarkEnd w:id="30"/>
      <w:r>
        <w:rPr>
          <w:rFonts w:hint="eastAsia" w:cs="Arial" w:asciiTheme="minorEastAsia" w:hAnsiTheme="minorEastAsia" w:eastAsiaTheme="minorEastAsia"/>
          <w:spacing w:val="8"/>
          <w:szCs w:val="21"/>
          <w:highlight w:val="none"/>
        </w:rPr>
        <w:t xml:space="preserve">1</w:t>
      </w:r>
      <w:r>
        <w:rPr>
          <w:rFonts w:hint="eastAsia" w:cs="Arial" w:asciiTheme="minorEastAsia" w:hAnsiTheme="minorEastAsia" w:eastAsiaTheme="minorEastAsia"/>
          <w:spacing w:val="8"/>
          <w:szCs w:val="21"/>
          <w:highlight w:val="none"/>
          <w:lang w:val="en-US" w:eastAsia="zh-CN"/>
        </w:rPr>
        <w:t xml:space="preserve">1</w:t>
      </w:r>
      <w:r>
        <w:rPr>
          <w:rFonts w:hint="eastAsia" w:cs="Arial" w:asciiTheme="minorEastAsia" w:hAnsiTheme="minorEastAsia" w:eastAsiaTheme="minorEastAsia"/>
          <w:spacing w:val="8"/>
          <w:szCs w:val="21"/>
          <w:highlight w:val="none"/>
        </w:rPr>
        <w:t xml:space="preserve">月</w:t>
      </w:r>
      <w:r>
        <w:rPr>
          <w:rFonts w:hint="eastAsia" w:cs="Arial" w:asciiTheme="minorEastAsia" w:hAnsiTheme="minorEastAsia" w:eastAsiaTheme="minorEastAsia"/>
          <w:spacing w:val="8"/>
          <w:szCs w:val="21"/>
          <w:highlight w:val="none"/>
          <w:lang w:val="en-US" w:eastAsia="zh-CN"/>
        </w:rPr>
        <w:t xml:space="preserve">20</w:t>
      </w:r>
      <w:r>
        <w:rPr>
          <w:rFonts w:hint="eastAsia" w:cs="Arial" w:asciiTheme="minorEastAsia" w:hAnsiTheme="minorEastAsia" w:eastAsiaTheme="minorEastAsia"/>
          <w:spacing w:val="8"/>
          <w:szCs w:val="21"/>
          <w:highlight w:val="none"/>
        </w:rPr>
        <w:t xml:space="preserve">日09:30</w:t>
      </w:r>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zCs w:val="21"/>
          <w:highlight w:val="none"/>
        </w:rPr>
        <w:t xml:space="preserve">：</w:t>
      </w:r>
      <w:bookmarkStart w:id="31" w:name="_Hlk176530129"/>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五</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cs="Arial" w:asciiTheme="minorEastAsia" w:hAnsiTheme="minorEastAsia" w:eastAsiaTheme="minorEastAsia"/>
          <w:szCs w:val="21"/>
          <w:highlight w:val="none"/>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六</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 公告发布媒体：本项目在</w:t>
      </w:r>
      <w:r>
        <w:rPr>
          <w:rFonts w:hint="eastAsia" w:cs="Arial" w:asciiTheme="minorEastAsia" w:hAnsiTheme="minorEastAsia" w:eastAsiaTheme="minorEastAsia"/>
          <w:b/>
          <w:szCs w:val="21"/>
          <w:highlight w:val="none"/>
        </w:rPr>
        <w:t xml:space="preserve">江苏政府采购网</w:t>
      </w:r>
      <w:r>
        <w:rPr>
          <w:rFonts w:hint="eastAsia" w:cs="Arial" w:asciiTheme="minorEastAsia" w:hAnsiTheme="minorEastAsia" w:eastAsiaTheme="minorEastAsia"/>
          <w:b/>
          <w:szCs w:val="21"/>
          <w:highlight w:val="none"/>
          <w:lang w:eastAsia="zh-CN"/>
        </w:rPr>
        <w:t xml:space="preserve">、</w:t>
      </w:r>
      <w:r>
        <w:rPr>
          <w:rFonts w:hint="eastAsia" w:cs="Arial" w:asciiTheme="minorEastAsia" w:hAnsiTheme="minorEastAsia" w:eastAsiaTheme="minorEastAsia"/>
          <w:b/>
          <w:szCs w:val="21"/>
          <w:highlight w:val="none"/>
        </w:rPr>
        <w:t xml:space="preserve">中国政府采购网</w:t>
      </w:r>
      <w:r>
        <w:rPr>
          <w:rFonts w:hint="eastAsia" w:cs="Arial" w:asciiTheme="minorEastAsia" w:hAnsiTheme="minorEastAsia" w:eastAsiaTheme="minorEastAsia"/>
          <w:bCs/>
          <w:szCs w:val="21"/>
          <w:highlight w:val="none"/>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hint="eastAsia" w:asciiTheme="minorEastAsia" w:hAnsiTheme="minorEastAsia" w:eastAsiaTheme="minorEastAsia"/>
          <w:highlight w:val="none"/>
          <w:shd w:val="clear" w:color="auto" w:fill="ffffff"/>
        </w:rPr>
        <w:t xml:space="preserve"> 本项目根据中小企业划型标准</w:t>
      </w:r>
      <w:r>
        <w:rPr>
          <w:rFonts w:hint="eastAsia" w:cs="Arial" w:asciiTheme="minorEastAsia" w:hAnsiTheme="minorEastAsia" w:eastAsiaTheme="minorEastAsia"/>
          <w:bCs/>
          <w:szCs w:val="21"/>
          <w:highlight w:val="none"/>
        </w:rPr>
        <w:t xml:space="preserve">属于：其他未列明行业。</w:t>
      </w:r>
      <w:r/>
    </w:p>
    <w:p>
      <w:pPr>
        <w:ind w:firstLine="420"/>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w:t>
      </w:r>
      <w:r>
        <w:rPr>
          <w:rFonts w:hint="eastAsia" w:cs="宋体" w:asciiTheme="minorEastAsia" w:hAnsiTheme="minorEastAsia" w:eastAsiaTheme="minorEastAsia"/>
          <w:bCs/>
          <w:szCs w:val="21"/>
          <w:highlight w:val="none"/>
        </w:rPr>
        <w:t xml:space="preserve"> 本项目不专门面向中小微企业采购，执行价格扣除优惠政策，</w:t>
      </w:r>
      <w:r>
        <w:rPr>
          <w:rFonts w:hint="eastAsia" w:cs="宋体" w:asciiTheme="minorEastAsia" w:hAnsiTheme="minorEastAsia" w:eastAsiaTheme="minorEastAsia"/>
          <w:szCs w:val="21"/>
          <w:highlight w:val="none"/>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highlight w:val="none"/>
          <w:u w:val="single"/>
        </w:rPr>
      </w:pPr>
      <w:r>
        <w:rPr>
          <w:rFonts w:hint="eastAsia" w:cs="Arial" w:asciiTheme="minorEastAsia" w:hAnsiTheme="minorEastAsia" w:eastAsiaTheme="minorEastAsia"/>
          <w:bCs/>
          <w:szCs w:val="21"/>
          <w:highlight w:val="none"/>
        </w:rPr>
        <w:t xml:space="preserve">4.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bookmarkStart w:id="32" w:name="_Hlk163569423"/>
      <w:r>
        <w:rPr>
          <w:rFonts w:hint="eastAsia" w:cs="Arial" w:asciiTheme="minorEastAsia" w:hAnsiTheme="minorEastAsia" w:eastAsiaTheme="minorEastAsia"/>
          <w:b/>
          <w:bCs/>
          <w:szCs w:val="21"/>
          <w:highlight w:val="none"/>
          <w:lang w:val="zh-CN"/>
        </w:rPr>
        <w:t xml:space="preserve">5. 拒绝下述投标人参加本次采购活动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（1）投标人</w:t>
      </w:r>
      <w:r>
        <w:rPr>
          <w:rFonts w:cs="Arial" w:asciiTheme="minorEastAsia" w:hAnsiTheme="minorEastAsia" w:eastAsiaTheme="minorEastAsia"/>
          <w:bCs/>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highlight w:val="none"/>
        </w:rPr>
        <w:t xml:space="preserve"> </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6.</w:t>
      </w:r>
      <w:r>
        <w:rPr>
          <w:rFonts w:hint="eastAsia" w:cs="宋体" w:asciiTheme="minorEastAsia" w:hAnsiTheme="minorEastAsia" w:eastAsiaTheme="minorEastAsia"/>
          <w:b/>
          <w:color w:val="000000"/>
          <w:sz w:val="28"/>
          <w:szCs w:val="28"/>
          <w:highlight w:val="none"/>
        </w:rPr>
        <w:t xml:space="preserve"> </w:t>
      </w:r>
      <w:bookmarkStart w:id="33" w:name="OLE_LINK17"/>
      <w:r>
        <w:rPr>
          <w:rFonts w:hint="eastAsia" w:cs="Arial" w:asciiTheme="minorEastAsia" w:hAnsiTheme="minorEastAsia" w:eastAsiaTheme="minorEastAsia"/>
          <w:b/>
          <w:szCs w:val="21"/>
          <w:highlight w:val="none"/>
        </w:rPr>
        <w:t xml:space="preserve">投标人</w:t>
      </w:r>
      <w:bookmarkEnd w:id="33"/>
      <w:r>
        <w:rPr>
          <w:rFonts w:hint="eastAsia" w:cs="Arial" w:asciiTheme="minorEastAsia" w:hAnsiTheme="minorEastAsia" w:eastAsiaTheme="minorEastAsia"/>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highlight w:val="none"/>
        </w:rPr>
        <w:fldChar w:fldCharType="begin"/>
      </w:r>
      <w:r>
        <w:rPr>
          <w:highlight w:val="none"/>
        </w:rPr>
        <w:instrText xml:space="preserve"> HYPERLINK "http://www.ccgp-jiangsu.gov.cn/jiangsu/zlxz/ee/ee3a4bc5a3454aa2b0d9312230633ce9.html" </w:instrText>
      </w:r>
      <w:r>
        <w:rPr>
          <w:rFonts w:hint="eastAsia"/>
          <w:highlight w:val="none"/>
        </w:rPr>
        <w:fldChar w:fldCharType="separate"/>
      </w:r>
      <w:r>
        <w:rPr>
          <w:rStyle w:val="938"/>
          <w:rFonts w:hint="eastAsia" w:cs="Arial" w:asciiTheme="minorEastAsia" w:hAnsiTheme="minorEastAsia" w:eastAsiaTheme="minorEastAsia"/>
          <w:b/>
          <w:szCs w:val="21"/>
          <w:highlight w:val="none"/>
        </w:rPr>
        <w:t xml:space="preserve">下载地址</w:t>
      </w:r>
      <w:r>
        <w:rPr>
          <w:rStyle w:val="938"/>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（http://www.ccgp-jiangsu.gov.cn/jiangsu/zlxz/ee/ee3a4bc5a3454aa2b0d9312230633ce9.html）。</w:t>
      </w:r>
      <w:bookmarkStart w:id="34" w:name="OLE_LINK2"/>
      <w:r>
        <w:rPr>
          <w:rFonts w:hint="eastAsia" w:cs="Arial" w:asciiTheme="minorEastAsia" w:hAnsiTheme="minorEastAsia" w:eastAsiaTheme="minorEastAsia"/>
          <w:b/>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7. 有关本次招标的事项若存在变动或修改，请及时关注“江苏政府采购网”（www.ccgp-jiangsu.gov.cn）更正公告。</w:t>
      </w:r>
      <w:bookmarkEnd w:id="32"/>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七</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招标</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单位名称：江苏省地质局资源调查与评价院</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单位地址：南京市珠江路700号28号楼</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联系人：孙全</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联系电话：025-84897037</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rPr>
          <w:rFonts w:hint="eastAsia" w:cs="Arial" w:asciiTheme="minorEastAsia" w:hAnsiTheme="minorEastAsia" w:eastAsiaTheme="minorEastAsia"/>
          <w:b/>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单位地址：南京市山西路8号金山大厦A座28层2810室</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邮箱：jsgczb@sina.com</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rPr>
        <w:t xml:space="preserve">顾诗洁 张时光</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eastAsiaTheme="minorEastAsia"/>
          <w:szCs w:val="21"/>
          <w:highlight w:val="none"/>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项目联系人</w:t>
      </w:r>
      <w:r>
        <w:rPr>
          <w:rFonts w:hint="eastAsia" w:cs="Arial" w:asciiTheme="minorEastAsia" w:hAnsiTheme="minorEastAsia" w:eastAsiaTheme="minorEastAsia"/>
          <w:szCs w:val="21"/>
          <w:highlight w:val="none"/>
        </w:rPr>
        <w:t xml:space="preserve">：顾诗洁 张时光</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电话：</w:t>
      </w:r>
      <w:r>
        <w:rPr>
          <w:rFonts w:hint="eastAsia" w:asciiTheme="minorEastAsia" w:hAnsiTheme="minorEastAsia" w:eastAsiaTheme="minorEastAsia"/>
          <w:szCs w:val="21"/>
          <w:highlight w:val="none"/>
        </w:rPr>
        <w:t xml:space="preserve">025-83690579</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315"/>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2"/>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35" w:name="_Toc416"/>
      <w:r/>
      <w:bookmarkStart w:id="36" w:name="_Toc7511"/>
      <w:r>
        <w:rPr>
          <w:rFonts w:hint="eastAsia" w:asciiTheme="minorEastAsia" w:hAnsiTheme="minorEastAsia" w:eastAsiaTheme="minorEastAsia"/>
          <w:highlight w:val="none"/>
        </w:rPr>
        <w:t xml:space="preserve">第二章</w:t>
      </w:r>
      <w:bookmarkStart w:id="37" w:name="_Toc452625218"/>
      <w:r>
        <w:rPr>
          <w:rFonts w:hint="eastAsia" w:asciiTheme="minorEastAsia" w:hAnsiTheme="minorEastAsia" w:eastAsiaTheme="minorEastAsia"/>
          <w:highlight w:val="none"/>
        </w:rPr>
        <w:t xml:space="preserve"> 投标人须知</w:t>
      </w:r>
      <w:bookmarkEnd w:id="35"/>
      <w:r/>
      <w:bookmarkEnd w:id="36"/>
      <w:r/>
      <w:bookmarkEnd w:id="37"/>
      <w:r/>
      <w:r/>
    </w:p>
    <w:p>
      <w:pPr>
        <w:ind w:firstLine="424"/>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38" w:name="_Hlk44576213"/>
      <w:r>
        <w:rPr>
          <w:rFonts w:hint="eastAsia" w:asciiTheme="minorEastAsia" w:hAnsiTheme="minorEastAsia" w:eastAsiaTheme="minorEastAsia"/>
          <w:szCs w:val="21"/>
          <w:highlight w:val="none"/>
        </w:rPr>
        <w:t xml:space="preserve">2.1“采购人”是指江苏省地质局资源调查与评价院。</w:t>
      </w:r>
      <w:bookmarkEnd w:id="38"/>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或供应商”</w:t>
      </w:r>
      <w:r>
        <w:rPr>
          <w:rFonts w:asciiTheme="minorEastAsia" w:hAnsiTheme="minorEastAsia" w:eastAsiaTheme="minorEastAsia"/>
          <w:szCs w:val="21"/>
          <w:highlight w:val="none"/>
        </w:rPr>
        <w:t xml:space="preserve">是</w:t>
      </w:r>
      <w:r>
        <w:rPr>
          <w:rFonts w:hint="eastAsia" w:asciiTheme="minorEastAsia" w:hAnsiTheme="minorEastAsia" w:eastAsiaTheme="minorEastAsia"/>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14:textFill>
            <w14:solidFill>
              <w14:schemeClr w14:val="tx1"/>
            </w14:solidFill>
          </w14:textFill>
        </w:rPr>
      </w:pPr>
      <w:r/>
      <w:bookmarkStart w:id="39" w:name="_Hlk44576222"/>
      <w:r>
        <w:rPr>
          <w:rFonts w:hint="eastAsia" w:asciiTheme="minorEastAsia" w:hAnsiTheme="minorEastAsia" w:eastAsiaTheme="minorEastAsia"/>
          <w:color w:val="000000" w:themeColor="text1"/>
          <w:szCs w:val="21"/>
          <w:highlight w:val="none"/>
          <w14:textFill>
            <w14:solidFill>
              <w14:schemeClr w14:val="tx1"/>
            </w14:solidFill>
          </w14:textFill>
        </w:rPr>
        <w:t xml:space="preserve">2.3“采购代理机构”</w:t>
      </w:r>
      <w:r>
        <w:rPr>
          <w:rFonts w:asciiTheme="minorEastAsia" w:hAnsiTheme="minorEastAsia" w:eastAsiaTheme="minorEastAsia"/>
          <w:color w:val="000000" w:themeColor="text1"/>
          <w:szCs w:val="21"/>
          <w:highlight w:val="none"/>
          <w14:textFill>
            <w14:solidFill>
              <w14:schemeClr w14:val="tx1"/>
            </w14:solidFill>
          </w14:textFill>
        </w:rPr>
        <w:t xml:space="preserve">是指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highlight w:val="none"/>
          <w14:textFill>
            <w14:solidFill>
              <w14:schemeClr w14:val="tx1"/>
            </w14:solidFill>
          </w14:textFill>
        </w:rPr>
        <w:t xml:space="preserve">。</w:t>
      </w:r>
      <w:bookmarkEnd w:id="3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40" w:name="_Hlk118723819"/>
      <w:r/>
      <w:bookmarkStart w:id="41" w:name="_Hlk84583107"/>
      <w:r>
        <w:rPr>
          <w:rFonts w:hint="eastAsia" w:asciiTheme="minorEastAsia" w:hAnsiTheme="minorEastAsia" w:eastAsiaTheme="minorEastAsia"/>
          <w:b/>
          <w:bCs/>
          <w:szCs w:val="21"/>
          <w:highlight w:val="none"/>
        </w:rPr>
        <w:t xml:space="preserve">3.政策功能</w:t>
      </w:r>
      <w:bookmarkEnd w:id="40"/>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42"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43" w:name="_Hlk77845870"/>
      <w:r/>
      <w:bookmarkStart w:id="44" w:name="_Hlk84580649"/>
      <w:r>
        <w:rPr>
          <w:rFonts w:hint="eastAsia" w:cs="宋体" w:asciiTheme="minorEastAsia" w:hAnsiTheme="minorEastAsia" w:eastAsiaTheme="minorEastAsia"/>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2"/>
      <w:r/>
      <w:bookmarkEnd w:id="43"/>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45"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45"/>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46" w:name="_Hlk77845906"/>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）参加政府采购活动的监狱企业提供由省级以上</w:t>
      </w:r>
      <w:bookmarkStart w:id="47" w:name="_Hlk163033106"/>
      <w:r>
        <w:rPr>
          <w:rFonts w:hint="eastAsia" w:cs="宋体" w:asciiTheme="minorEastAsia" w:hAnsiTheme="minorEastAsia" w:eastAsiaTheme="minorEastAsia"/>
          <w:szCs w:val="21"/>
          <w:highlight w:val="none"/>
        </w:rPr>
        <w:t xml:space="preserve">监狱管理局、戒毒管理局</w:t>
      </w:r>
      <w:bookmarkEnd w:id="47"/>
      <w:r>
        <w:rPr>
          <w:rFonts w:hint="eastAsia" w:cs="宋体" w:asciiTheme="minorEastAsia" w:hAnsiTheme="minorEastAsia" w:eastAsiaTheme="minorEastAsia"/>
          <w:szCs w:val="21"/>
          <w:highlight w:val="none"/>
        </w:rPr>
        <w:t xml:space="preserve">(含新疆生产建设兵团)出具的属于监狱企业的证明文件，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highlight w:val="none"/>
        </w:rPr>
        <w:t xml:space="preserve">2014</w:t>
      </w:r>
      <w:r>
        <w:rPr>
          <w:rFonts w:hint="eastAsia" w:cs="Arial" w:asciiTheme="minorEastAsia" w:hAnsiTheme="minorEastAsia" w:eastAsiaTheme="minorEastAsia"/>
          <w:szCs w:val="21"/>
          <w:highlight w:val="none"/>
        </w:rPr>
        <w:t xml:space="preserve">〕</w:t>
      </w:r>
      <w:r>
        <w:rPr>
          <w:rFonts w:cs="Arial" w:asciiTheme="minorEastAsia" w:hAnsiTheme="minorEastAsia" w:eastAsiaTheme="minorEastAsia"/>
          <w:szCs w:val="21"/>
          <w:highlight w:val="none"/>
        </w:rPr>
        <w:t xml:space="preserve">68</w:t>
      </w:r>
      <w:r>
        <w:rPr>
          <w:rFonts w:hint="eastAsia" w:cs="Arial" w:asciiTheme="minorEastAsia" w:hAnsiTheme="minorEastAsia" w:eastAsiaTheme="minorEastAsia"/>
          <w:szCs w:val="21"/>
          <w:highlight w:val="none"/>
        </w:rPr>
        <w:t xml:space="preserve">号）。</w:t>
      </w:r>
      <w:bookmarkEnd w:id="46"/>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48" w:name="_Hlk77845921"/>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highlight w:val="none"/>
        </w:rPr>
        <w:t xml:space="preserve">政府采购支持政策的要求详见《关于促进残疾人就业政府采购政策的通知》（财库〔</w:t>
      </w:r>
      <w:r>
        <w:rPr>
          <w:rFonts w:cs="Arial" w:asciiTheme="minorEastAsia" w:hAnsiTheme="minorEastAsia" w:eastAsiaTheme="minorEastAsia"/>
          <w:szCs w:val="21"/>
          <w:highlight w:val="none"/>
        </w:rPr>
        <w:t xml:space="preserve">2017</w:t>
      </w:r>
      <w:r>
        <w:rPr>
          <w:rFonts w:hint="eastAsia" w:cs="Arial" w:asciiTheme="minorEastAsia" w:hAnsiTheme="minorEastAsia" w:eastAsiaTheme="minorEastAsia"/>
          <w:szCs w:val="21"/>
          <w:highlight w:val="none"/>
        </w:rPr>
        <w:t xml:space="preserve">〕</w:t>
      </w:r>
      <w:r>
        <w:rPr>
          <w:rFonts w:cs="Arial" w:asciiTheme="minorEastAsia" w:hAnsiTheme="minorEastAsia" w:eastAsiaTheme="minorEastAsia"/>
          <w:szCs w:val="21"/>
          <w:highlight w:val="none"/>
        </w:rPr>
        <w:t xml:space="preserve">141</w:t>
      </w:r>
      <w:r>
        <w:rPr>
          <w:rFonts w:hint="eastAsia" w:cs="Arial" w:asciiTheme="minorEastAsia" w:hAnsiTheme="minorEastAsia" w:eastAsiaTheme="minorEastAsia"/>
          <w:szCs w:val="21"/>
          <w:highlight w:val="none"/>
        </w:rPr>
        <w:t xml:space="preserve">号）。</w:t>
      </w:r>
      <w:bookmarkEnd w:id="41"/>
      <w:r/>
      <w:bookmarkEnd w:id="48"/>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r>
        <w:rPr>
          <w:rFonts w:asciiTheme="minorEastAsia" w:hAnsiTheme="minorEastAsia" w:eastAsiaTheme="minorEastAsia"/>
          <w:szCs w:val="21"/>
          <w:highlight w:val="none"/>
        </w:rPr>
        <w:t xml:space="preserve">采购人或者采购代理机构可以对已发出的招标文件、</w:t>
      </w:r>
      <w:r>
        <w:rPr>
          <w:rFonts w:hint="eastAsia" w:asciiTheme="minorEastAsia" w:hAnsiTheme="minorEastAsia" w:eastAsiaTheme="minorEastAsia"/>
          <w:szCs w:val="21"/>
          <w:highlight w:val="none"/>
        </w:rPr>
        <w:t xml:space="preserve">招标公告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更正内容将作为招标文件的组成部分，并对投标人具有约束力</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highlight w:val="none"/>
        </w:rPr>
      </w:pPr>
      <w:r/>
      <w:bookmarkStart w:id="49" w:name="_Toc14577357"/>
      <w:r/>
      <w:bookmarkStart w:id="50" w:name="_Toc49090509"/>
      <w:r/>
      <w:bookmarkStart w:id="51" w:name="_Toc513029219"/>
      <w:r/>
      <w:bookmarkStart w:id="52" w:name="_Toc513029216"/>
      <w:r/>
      <w:bookmarkStart w:id="53" w:name="_Toc14577354"/>
      <w:r/>
      <w:bookmarkStart w:id="54" w:name="_Toc49090507"/>
      <w:r/>
      <w:bookmarkStart w:id="55" w:name="_Hlk176530273"/>
      <w:r>
        <w:rPr>
          <w:rFonts w:hint="eastAsia" w:asciiTheme="minorEastAsia" w:hAnsiTheme="minorEastAsia" w:eastAsiaTheme="minorEastAsia"/>
          <w:b/>
          <w:bCs/>
          <w:szCs w:val="21"/>
          <w:highlight w:val="none"/>
        </w:rPr>
        <w:t xml:space="preserve">8</w:t>
      </w:r>
      <w:r>
        <w:rPr>
          <w:rFonts w:cs="方正楷体_GBK" w:asciiTheme="minorEastAsia" w:hAnsiTheme="minorEastAsia" w:eastAsiaTheme="minorEastAsia"/>
          <w:b/>
          <w:bCs/>
          <w:szCs w:val="21"/>
          <w:highlight w:val="none"/>
        </w:rPr>
        <w:t xml:space="preserve">.证明投标人及投标标的符合招标文件规定的文件</w:t>
      </w:r>
      <w:bookmarkEnd w:id="49"/>
      <w:r/>
      <w:bookmarkEnd w:id="50"/>
      <w:r/>
      <w:bookmarkEnd w:id="51"/>
      <w:r/>
      <w:bookmarkEnd w:id="52"/>
      <w:r/>
      <w:bookmarkEnd w:id="53"/>
      <w:r/>
      <w:bookmarkEnd w:id="54"/>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56" w:name="_Toc14577355"/>
      <w:r/>
      <w:bookmarkStart w:id="57" w:name="_Toc49090508"/>
      <w:r>
        <w:rPr>
          <w:rFonts w:hint="eastAsia" w:asciiTheme="minorEastAsia" w:hAnsiTheme="minorEastAsia" w:eastAsiaTheme="minorEastAsia"/>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 招标文件对证明文件无明确形式要求的，证明文件可以以文字资料、图纸和数据等形式提交。</w:t>
      </w:r>
      <w:bookmarkEnd w:id="55"/>
      <w:r/>
      <w:bookmarkEnd w:id="56"/>
      <w:r/>
      <w:bookmarkEnd w:id="57"/>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bookmarkStart w:id="58" w:name="_Hlt26670482"/>
      <w:r/>
      <w:bookmarkEnd w:id="58"/>
      <w:r/>
      <w:bookmarkStart w:id="59" w:name="_Hlt26954846"/>
      <w:r/>
      <w:bookmarkEnd w:id="59"/>
      <w:r/>
      <w:bookmarkStart w:id="60" w:name="_Hlt26668983"/>
      <w:r/>
      <w:bookmarkEnd w:id="60"/>
      <w:r/>
      <w:bookmarkStart w:id="61" w:name="_Hlt26670425"/>
      <w:r/>
      <w:bookmarkEnd w:id="61"/>
      <w:r/>
      <w:bookmarkStart w:id="62" w:name="_Hlt26954731"/>
      <w:r/>
      <w:bookmarkEnd w:id="62"/>
      <w:r/>
      <w:bookmarkStart w:id="63" w:name="_Hlt26670403"/>
      <w:r/>
      <w:bookmarkEnd w:id="63"/>
      <w:r/>
      <w:bookmarkStart w:id="64" w:name="_Hlt26954848"/>
      <w:r/>
      <w:bookmarkEnd w:id="64"/>
      <w:r/>
      <w:bookmarkStart w:id="65" w:name="_Hlt26954842"/>
      <w:r/>
      <w:bookmarkEnd w:id="65"/>
      <w:r/>
      <w:bookmarkStart w:id="66" w:name="_Hlt26670486"/>
      <w:r/>
      <w:bookmarkEnd w:id="66"/>
      <w:r/>
      <w:bookmarkStart w:id="67" w:name="_Hlt26954844"/>
      <w:r/>
      <w:bookmarkEnd w:id="67"/>
      <w:r>
        <w:rPr>
          <w:rFonts w:hint="eastAsia" w:asciiTheme="minorEastAsia" w:hAnsiTheme="minorEastAsia" w:eastAsiaTheme="minorEastAsia"/>
          <w:b/>
          <w:bCs/>
          <w:szCs w:val="21"/>
          <w:highlight w:val="none"/>
        </w:rPr>
        <w:t xml:space="preserve">9</w:t>
      </w:r>
      <w:r>
        <w:rPr>
          <w:rFonts w:cs="方正楷体_GBK"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10</w:t>
      </w:r>
      <w:r>
        <w:rPr>
          <w:rFonts w:cs="方正楷体_GBK" w:asciiTheme="minorEastAsia" w:hAnsiTheme="minorEastAsia" w:eastAsiaTheme="minorEastAsia"/>
          <w:b/>
          <w:bCs/>
          <w:szCs w:val="21"/>
          <w:highlight w:val="none"/>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10.1投标人须对招标文件中的</w:t>
      </w:r>
      <w:bookmarkStart w:id="68" w:name="OLE_LINK57"/>
      <w:r>
        <w:rPr>
          <w:rFonts w:hint="eastAsia" w:asciiTheme="minorEastAsia" w:hAnsiTheme="minorEastAsia" w:eastAsiaTheme="minorEastAsia"/>
          <w:b/>
          <w:bCs/>
          <w:szCs w:val="21"/>
          <w:highlight w:val="none"/>
        </w:rPr>
        <w:t xml:space="preserve">技术要求与商务要求的</w:t>
      </w:r>
      <w:bookmarkStart w:id="69" w:name="OLE_LINK58"/>
      <w:r>
        <w:rPr>
          <w:rFonts w:hint="eastAsia" w:asciiTheme="minorEastAsia" w:hAnsiTheme="minorEastAsia" w:eastAsiaTheme="minorEastAsia"/>
          <w:b/>
          <w:bCs/>
          <w:szCs w:val="21"/>
          <w:highlight w:val="none"/>
        </w:rPr>
        <w:t xml:space="preserve">实质性要求</w:t>
      </w:r>
      <w:bookmarkEnd w:id="68"/>
      <w:r/>
      <w:bookmarkEnd w:id="69"/>
      <w:r>
        <w:rPr>
          <w:rFonts w:hint="eastAsia" w:asciiTheme="minorEastAsia" w:hAnsiTheme="minorEastAsia" w:eastAsiaTheme="minorEastAsia"/>
          <w:b/>
          <w:bCs/>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 </w:t>
      </w:r>
      <w:bookmarkStart w:id="70" w:name="OLE_LINK56"/>
      <w:r>
        <w:rPr>
          <w:rFonts w:hint="eastAsia" w:asciiTheme="minorEastAsia" w:hAnsiTheme="minorEastAsia" w:eastAsiaTheme="minorEastAsia"/>
          <w:szCs w:val="21"/>
          <w:highlight w:val="none"/>
        </w:rPr>
        <w:t xml:space="preserve">招标文件中除了实质性要求外的</w:t>
      </w:r>
      <w:bookmarkStart w:id="71" w:name="OLE_LINK52"/>
      <w:r>
        <w:rPr>
          <w:rFonts w:hint="eastAsia" w:asciiTheme="minorEastAsia" w:hAnsiTheme="minorEastAsia" w:eastAsiaTheme="minorEastAsia"/>
          <w:szCs w:val="21"/>
          <w:highlight w:val="none"/>
        </w:rPr>
        <w:t xml:space="preserve">技术要求与商务要求</w:t>
      </w:r>
      <w:bookmarkEnd w:id="70"/>
      <w:r>
        <w:rPr>
          <w:rFonts w:hint="eastAsia" w:asciiTheme="minorEastAsia" w:hAnsiTheme="minorEastAsia" w:eastAsiaTheme="minorEastAsia"/>
          <w:szCs w:val="21"/>
          <w:highlight w:val="none"/>
        </w:rPr>
        <w:t xml:space="preserve">，投标人未明确列明的，则视为全部响应、无偏离。</w:t>
      </w:r>
      <w:bookmarkEnd w:id="71"/>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bookmarkStart w:id="72" w:name="_Toc14577359"/>
      <w:r/>
      <w:bookmarkStart w:id="73" w:name="_Toc49090510"/>
      <w:r>
        <w:rPr>
          <w:rFonts w:cs="方正楷体_GBK" w:asciiTheme="minorEastAsia" w:hAnsiTheme="minorEastAsia" w:eastAsiaTheme="minorEastAsia"/>
          <w:b/>
          <w:bCs/>
          <w:szCs w:val="21"/>
          <w:highlight w:val="none"/>
        </w:rPr>
        <w:t xml:space="preserve">1</w:t>
      </w:r>
      <w:r>
        <w:rPr>
          <w:rFonts w:hint="eastAsia" w:asciiTheme="minorEastAsia" w:hAnsiTheme="minorEastAsia" w:eastAsiaTheme="minorEastAsia"/>
          <w:b/>
          <w:bCs/>
          <w:szCs w:val="21"/>
          <w:highlight w:val="none"/>
        </w:rPr>
        <w:t xml:space="preserve">1</w:t>
      </w:r>
      <w:r>
        <w:rPr>
          <w:rFonts w:cs="方正楷体_GBK" w:asciiTheme="minorEastAsia" w:hAnsiTheme="minorEastAsia" w:eastAsiaTheme="minorEastAsia"/>
          <w:b/>
          <w:bCs/>
          <w:szCs w:val="21"/>
          <w:highlight w:val="none"/>
        </w:rPr>
        <w:t xml:space="preserve">.</w:t>
      </w:r>
      <w:bookmarkStart w:id="74" w:name="OLE_LINK27"/>
      <w:r>
        <w:rPr>
          <w:rFonts w:cs="方正楷体_GBK" w:asciiTheme="minorEastAsia" w:hAnsiTheme="minorEastAsia" w:eastAsiaTheme="minorEastAsia"/>
          <w:b/>
          <w:bCs/>
          <w:szCs w:val="21"/>
          <w:highlight w:val="none"/>
        </w:rPr>
        <w:t xml:space="preserve">投标函</w:t>
      </w:r>
      <w:bookmarkEnd w:id="74"/>
      <w:r>
        <w:rPr>
          <w:rFonts w:cs="方正楷体_GBK" w:asciiTheme="minorEastAsia" w:hAnsiTheme="minorEastAsia" w:eastAsiaTheme="minorEastAsia"/>
          <w:b/>
          <w:bCs/>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11.2 </w:t>
      </w:r>
      <w:bookmarkStart w:id="75"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对于采用货币报价的项目，开标一览表中的投标总价应与分项报价表中的投标总价一致，如不一致评标时以开标一览表中价格为准。</w:t>
      </w:r>
      <w:bookmarkEnd w:id="72"/>
      <w:r/>
      <w:bookmarkEnd w:id="73"/>
      <w:r/>
      <w:bookmarkEnd w:id="75"/>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szCs w:val="21"/>
          <w:highlight w:val="none"/>
        </w:rPr>
        <w:t xml:space="preserve">12.1</w:t>
      </w:r>
      <w:bookmarkStart w:id="76" w:name="_Hlk68014334"/>
      <w:r>
        <w:rPr>
          <w:rFonts w:hint="eastAsia" w:asciiTheme="minorEastAsia" w:hAnsiTheme="minorEastAsia" w:eastAsiaTheme="minorEastAsia"/>
          <w:bCs/>
          <w:szCs w:val="21"/>
          <w:highlight w:val="none"/>
        </w:rPr>
        <w:t xml:space="preserve">本项目不收取投标保证金。</w:t>
      </w:r>
      <w:bookmarkEnd w:id="76"/>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bookmarkStart w:id="77" w:name="_Hlk176182487"/>
      <w:r>
        <w:rPr>
          <w:rFonts w:hint="eastAsia" w:asciiTheme="minorEastAsia" w:hAnsiTheme="minorEastAsia" w:eastAsiaTheme="minorEastAsia"/>
          <w:b/>
          <w:bCs/>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13.1 自开标之日起</w:t>
      </w:r>
      <w:r>
        <w:rPr>
          <w:rFonts w:asciiTheme="minorEastAsia" w:hAnsiTheme="minorEastAsia" w:eastAsiaTheme="minorEastAsia"/>
          <w:szCs w:val="21"/>
          <w:highlight w:val="none"/>
        </w:rPr>
        <w:t xml:space="preserve">90</w:t>
      </w:r>
      <w:r>
        <w:rPr>
          <w:rFonts w:hint="eastAsia" w:asciiTheme="minorEastAsia" w:hAnsiTheme="minorEastAsia" w:eastAsiaTheme="minorEastAsia"/>
          <w:szCs w:val="21"/>
          <w:highlight w:val="none"/>
        </w:rPr>
        <w:t xml:space="preserve">天内投标有效</w:t>
      </w:r>
      <w:r>
        <w:rPr>
          <w:rFonts w:hint="eastAsia" w:asciiTheme="minorEastAsia" w:hAnsiTheme="minorEastAsia" w:eastAsiaTheme="minorEastAsia"/>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特殊情况下，在原投标有效期截止之前，采购代理机构可要求投标人同意延长投标有效期，这种要求与答复均应以书面形式提交。</w:t>
      </w:r>
      <w:bookmarkStart w:id="78" w:name="OLE_LINK7"/>
      <w:r>
        <w:rPr>
          <w:rFonts w:hint="eastAsia" w:asciiTheme="minorEastAsia" w:hAnsiTheme="minorEastAsia" w:eastAsiaTheme="minorEastAsia"/>
          <w:szCs w:val="21"/>
          <w:highlight w:val="none"/>
        </w:rPr>
        <w:t xml:space="preserve">投标人可以拒绝采购代理机构的这一要求而放弃投标</w:t>
      </w:r>
      <w:bookmarkEnd w:id="78"/>
      <w:r>
        <w:rPr>
          <w:rFonts w:hint="eastAsia" w:asciiTheme="minorEastAsia" w:hAnsiTheme="minorEastAsia" w:eastAsiaTheme="minorEastAsia"/>
          <w:szCs w:val="21"/>
          <w:highlight w:val="none"/>
        </w:rPr>
        <w:t xml:space="preserve">。同意延长投标有效期的投标人既不能要求也不允许修改其投标文件，同时受投标有效期约束的所有权利与义务均延长至新的有效期满。</w:t>
      </w:r>
      <w:bookmarkEnd w:id="77"/>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14.</w:t>
      </w:r>
      <w:bookmarkStart w:id="79" w:name="_Hlk228959467"/>
      <w:r/>
      <w:bookmarkStart w:id="80" w:name="OLE_LINK24"/>
      <w:r/>
      <w:bookmarkStart w:id="81" w:name="_Hlk77845966"/>
      <w:r>
        <w:rPr>
          <w:rFonts w:hint="eastAsia" w:asciiTheme="minorEastAsia" w:hAnsiTheme="minorEastAsia" w:eastAsiaTheme="minorEastAsia"/>
          <w:b/>
          <w:bCs/>
          <w:szCs w:val="21"/>
          <w:highlight w:val="none"/>
        </w:rPr>
        <w:t xml:space="preserve">公开招标费用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w:t>
      </w:r>
      <w:bookmarkStart w:id="82" w:name="_Hlk75346033"/>
      <w:r>
        <w:rPr>
          <w:rFonts w:hint="eastAsia" w:asciiTheme="minorEastAsia" w:hAnsiTheme="minorEastAsia" w:eastAsiaTheme="minorEastAsia"/>
          <w:szCs w:val="21"/>
          <w:highlight w:val="none"/>
        </w:rPr>
        <w:t xml:space="preserve">1 </w:t>
      </w:r>
      <w:bookmarkStart w:id="83" w:name="_Hlk75346060"/>
      <w:r>
        <w:rPr>
          <w:rFonts w:hint="eastAsia" w:asciiTheme="minorEastAsia" w:hAnsiTheme="minorEastAsia" w:eastAsiaTheme="minorEastAsia"/>
          <w:szCs w:val="21"/>
          <w:highlight w:val="none"/>
        </w:rPr>
        <w:t xml:space="preserve">采购代理服务费</w:t>
      </w:r>
      <w:bookmarkEnd w:id="82"/>
      <w:r/>
      <w:bookmarkEnd w:id="83"/>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次采购项目预算已包含采购代理服务费，采购代理服务费参照《招标代理服务收费管理暂行办法》(国家发展计划委员会“计价格【2002】1980号”)代理招标收费基准费率计算，中标人在领取中标通知书前向采购代理机构支付采购代理服务费</w:t>
      </w:r>
      <w:bookmarkStart w:id="84" w:name="_Hlk168995390"/>
      <w:r>
        <w:rPr>
          <w:rFonts w:hint="eastAsia" w:asciiTheme="minorEastAsia" w:hAnsiTheme="minorEastAsia" w:eastAsiaTheme="minorEastAsia"/>
          <w:szCs w:val="21"/>
          <w:highlight w:val="none"/>
        </w:rPr>
        <w:t xml:space="preserve">。</w:t>
      </w:r>
      <w:bookmarkEnd w:id="84"/>
      <w:r/>
      <w:bookmarkStart w:id="85" w:name="_Hlk66377575"/>
      <w:r/>
      <w:bookmarkEnd w:id="85"/>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代理服务费汇款信息：单位名称：江苏国采工程咨询有限公司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银行账户：3205 0159 5536 0000 1231</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开户行：中国建设银行股份有限公司南京鼓楼支行</w:t>
      </w:r>
      <w:r/>
    </w:p>
    <w:p>
      <w:pPr>
        <w:ind w:firstLine="843"/>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注：代理服务费汇款时需备注汇款单位名称、项目名称、项目编号。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14.2 </w:t>
      </w:r>
      <w:bookmarkStart w:id="86" w:name="OLE_LINK22"/>
      <w:r>
        <w:rPr>
          <w:rFonts w:hint="eastAsia" w:asciiTheme="minorEastAsia" w:hAnsiTheme="minorEastAsia" w:eastAsiaTheme="minorEastAsia"/>
          <w:szCs w:val="21"/>
          <w:highlight w:val="none"/>
        </w:rPr>
        <w:t xml:space="preserve">专家评审费</w:t>
      </w:r>
      <w:bookmarkEnd w:id="86"/>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本项目专家评审费参照《关于规范江苏省政府采购专家评审费标准的通知》，由采购人支付。</w:t>
      </w:r>
      <w:bookmarkEnd w:id="79"/>
      <w:r/>
      <w:bookmarkEnd w:id="80"/>
      <w:r/>
      <w:bookmarkEnd w:id="81"/>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87" w:name="OLE_LINK1"/>
      <w:r>
        <w:rPr>
          <w:rFonts w:hint="eastAsia" w:asciiTheme="minorEastAsia" w:hAnsiTheme="minorEastAsia" w:eastAsiaTheme="minorEastAsia"/>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15.2 投标人应充分考虑网络环境、网络带宽等因素可能对投标产生的影响，如因投标人自身原因造成的电子投标文件上传不成功的，按照本招标文件第二章第</w:t>
      </w:r>
      <w:bookmarkStart w:id="88" w:name="OLE_LINK11"/>
      <w:r>
        <w:rPr>
          <w:rFonts w:hint="eastAsia" w:asciiTheme="minorEastAsia" w:hAnsiTheme="minorEastAsia" w:eastAsiaTheme="minorEastAsia"/>
          <w:szCs w:val="21"/>
          <w:highlight w:val="none"/>
        </w:rPr>
        <w:t xml:space="preserve">20.2.3.1</w:t>
      </w:r>
      <w:bookmarkEnd w:id="88"/>
      <w:r>
        <w:rPr>
          <w:rFonts w:hint="eastAsia" w:asciiTheme="minorEastAsia" w:hAnsiTheme="minorEastAsia" w:eastAsiaTheme="minorEastAsia"/>
          <w:szCs w:val="21"/>
          <w:highlight w:val="none"/>
        </w:rPr>
        <w:t xml:space="preserve">条规定做无效投标处理。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15.3 采购代理机构可以按照规定，通过修改招标文件酌情延长投标截止时间，在此情况下，投标人的所有权利和义务均以延长后新的截止时间为准。</w:t>
      </w:r>
      <w:bookmarkEnd w:id="87"/>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19.3 投标人如果对开标过程和开标结果有疑义，应当根据《操作手册》规定提出，苏采云系统中《开标一览表》公布后5分钟内未提出的，视同认可开标结果。</w:t>
      </w:r>
      <w:bookmarkStart w:id="89" w:name="_Hlk44576482"/>
      <w:r/>
      <w:bookmarkEnd w:id="8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.1.1</w:t>
      </w:r>
      <w:r>
        <w:rPr>
          <w:rFonts w:hint="eastAsia" w:asciiTheme="minorEastAsia" w:hAnsiTheme="minorEastAsia" w:eastAsiaTheme="minorEastAsia"/>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.1.2 </w:t>
      </w:r>
      <w:r>
        <w:rPr>
          <w:rFonts w:hint="eastAsia" w:asciiTheme="minorEastAsia" w:hAnsiTheme="minorEastAsia" w:eastAsiaTheme="minorEastAsia"/>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2.1</w:t>
      </w:r>
      <w:r>
        <w:rPr>
          <w:rFonts w:hint="eastAsia" w:asciiTheme="minorEastAsia" w:hAnsiTheme="minorEastAsia" w:eastAsiaTheme="minorEastAsia"/>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0" w:name="_Hlk81573923"/>
      <w:r/>
      <w:bookmarkStart w:id="91" w:name="_Hlk84583325"/>
      <w:r>
        <w:rPr>
          <w:rFonts w:hint="eastAsia" w:cs="宋体" w:asciiTheme="minorEastAsia" w:hAnsiTheme="minorEastAsia" w:eastAsiaTheme="minorEastAsia"/>
          <w:szCs w:val="21"/>
          <w:highlight w:val="none"/>
        </w:rPr>
        <w:t xml:space="preserve">资格审查：依据法律法规和招标文件规定，由</w:t>
      </w:r>
      <w:bookmarkStart w:id="92" w:name="OLE_LINK6"/>
      <w:r>
        <w:rPr>
          <w:rFonts w:hint="eastAsia" w:cs="宋体" w:asciiTheme="minorEastAsia" w:hAnsiTheme="minorEastAsia" w:eastAsiaTheme="minorEastAsia"/>
          <w:szCs w:val="21"/>
          <w:highlight w:val="none"/>
        </w:rPr>
        <w:t xml:space="preserve">采购人或采购代理机构</w:t>
      </w:r>
      <w:bookmarkEnd w:id="92"/>
      <w:r>
        <w:rPr>
          <w:rFonts w:hint="eastAsia" w:cs="宋体" w:asciiTheme="minorEastAsia" w:hAnsiTheme="minorEastAsia" w:eastAsiaTheme="minorEastAsia"/>
          <w:szCs w:val="21"/>
          <w:highlight w:val="none"/>
        </w:rPr>
        <w:t xml:space="preserve">对投标文件中的资格证明文件进行审查，并向评标委员会反馈审查结论。</w:t>
      </w:r>
      <w:bookmarkEnd w:id="90"/>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3" w:name="_Hlk81314966"/>
      <w:r/>
      <w:bookmarkStart w:id="94" w:name="_Hlk81573945"/>
      <w:r>
        <w:rPr>
          <w:rFonts w:hint="eastAsia" w:cs="宋体" w:asciiTheme="minorEastAsia" w:hAnsiTheme="minorEastAsia" w:eastAsiaTheme="minorEastAsia"/>
          <w:szCs w:val="21"/>
          <w:highlight w:val="none"/>
        </w:rPr>
        <w:t xml:space="preserve">不具备招标文件中规定资格条件的；</w:t>
      </w:r>
      <w:bookmarkEnd w:id="93"/>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5" w:name="_Hlk77845984"/>
      <w:r>
        <w:rPr>
          <w:rFonts w:hint="eastAsia" w:cs="宋体" w:asciiTheme="minorEastAsia" w:hAnsiTheme="minorEastAsia" w:eastAsiaTheme="minorEastAsia"/>
          <w:szCs w:val="21"/>
          <w:highlight w:val="none"/>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91"/>
      <w:r/>
      <w:bookmarkEnd w:id="94"/>
      <w:r/>
      <w:bookmarkEnd w:id="95"/>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w:t>
      </w:r>
      <w:bookmarkStart w:id="96" w:name="_Hlk176530503"/>
      <w:r>
        <w:rPr>
          <w:rFonts w:hint="eastAsia" w:cs="宋体" w:asciiTheme="minorEastAsia" w:hAnsiTheme="minorEastAsia" w:eastAsiaTheme="minorEastAsia"/>
          <w:b/>
          <w:bCs/>
          <w:szCs w:val="21"/>
          <w:highlight w:val="none"/>
        </w:rPr>
        <w:t xml:space="preserve">实质性要求是指本</w:t>
      </w:r>
      <w:bookmarkStart w:id="97" w:name="OLE_LINK36"/>
      <w:r>
        <w:rPr>
          <w:rFonts w:hint="eastAsia" w:cs="宋体" w:asciiTheme="minorEastAsia" w:hAnsiTheme="minorEastAsia" w:eastAsiaTheme="minorEastAsia"/>
          <w:b/>
          <w:bCs/>
          <w:szCs w:val="21"/>
          <w:highlight w:val="none"/>
        </w:rPr>
        <w:t xml:space="preserve">招标文件</w:t>
      </w:r>
      <w:bookmarkStart w:id="98" w:name="OLE_LINK9"/>
      <w:r>
        <w:rPr>
          <w:rFonts w:hint="eastAsia" w:cs="宋体" w:asciiTheme="minorEastAsia" w:hAnsiTheme="minorEastAsia" w:eastAsiaTheme="minorEastAsia"/>
          <w:b/>
          <w:bCs/>
          <w:szCs w:val="21"/>
          <w:highlight w:val="none"/>
        </w:rPr>
        <w:t xml:space="preserve">中斜体且有下划线部分，或者打“★”“*”</w:t>
      </w:r>
      <w:bookmarkEnd w:id="98"/>
      <w:r>
        <w:rPr>
          <w:rFonts w:hint="eastAsia" w:cs="宋体" w:asciiTheme="minorEastAsia" w:hAnsiTheme="minorEastAsia" w:eastAsiaTheme="minorEastAsia"/>
          <w:b/>
          <w:bCs/>
          <w:szCs w:val="21"/>
          <w:highlight w:val="none"/>
        </w:rPr>
        <w:t xml:space="preserve">等其他文字说明的商务和技术要求。</w:t>
      </w:r>
      <w:bookmarkEnd w:id="96"/>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97"/>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不同投标人委托同一单位或者个人办理投标事宜；</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不同投标人的投标文件载明的项目管理成员</w:t>
      </w:r>
      <w:bookmarkStart w:id="99" w:name="_Hlk176185278"/>
      <w:r>
        <w:rPr>
          <w:rFonts w:hint="eastAsia" w:cs="宋体" w:asciiTheme="minorEastAsia" w:hAnsiTheme="minorEastAsia" w:eastAsiaTheme="minorEastAsia"/>
          <w:szCs w:val="21"/>
          <w:highlight w:val="none"/>
        </w:rPr>
        <w:t xml:space="preserve">或者联系人员为同一人</w:t>
      </w:r>
      <w:bookmarkEnd w:id="99"/>
      <w:r>
        <w:rPr>
          <w:rFonts w:hint="eastAsia" w:cs="宋体" w:asciiTheme="minorEastAsia" w:hAnsiTheme="minorEastAsia" w:eastAsiaTheme="minorEastAsia"/>
          <w:szCs w:val="21"/>
          <w:highlight w:val="none"/>
        </w:rPr>
        <w:t xml:space="preserve">；</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不同投标人的投标文件异常一致或者投标报价呈规律性差异；</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投标文件含有采购人不能接受的附加条件的；</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2.4</w:t>
      </w:r>
      <w:r>
        <w:rPr>
          <w:rFonts w:hint="eastAsia" w:cs="宋体" w:asciiTheme="minorEastAsia" w:hAnsiTheme="minorEastAsia" w:eastAsiaTheme="minorEastAsia"/>
          <w:b/>
          <w:bCs/>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2.5</w:t>
      </w:r>
      <w:r>
        <w:rPr>
          <w:rFonts w:hint="eastAsia" w:cs="宋体" w:asciiTheme="minorEastAsia" w:hAnsiTheme="minorEastAsia" w:eastAsiaTheme="minorEastAsia"/>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2.6</w:t>
      </w:r>
      <w:r>
        <w:rPr>
          <w:rFonts w:hint="eastAsia" w:cs="宋体" w:asciiTheme="minorEastAsia" w:hAnsiTheme="minorEastAsia" w:eastAsiaTheme="minorEastAsia"/>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00" w:name="OLE_LINK4"/>
      <w:r>
        <w:rPr>
          <w:rFonts w:hint="eastAsia" w:asciiTheme="minorEastAsia" w:hAnsiTheme="minorEastAsia" w:eastAsiaTheme="minorEastAsia"/>
          <w:szCs w:val="21"/>
          <w:highlight w:val="none"/>
        </w:rPr>
        <w:t xml:space="preserve">投标人的澄清、说明或者补正不得超出投标文件的范围或者改变投标文件的实质性内容</w:t>
      </w:r>
      <w:bookmarkEnd w:id="100"/>
      <w:r>
        <w:rPr>
          <w:rFonts w:hint="eastAsia" w:asciiTheme="minorEastAsia" w:hAnsiTheme="minorEastAsia" w:eastAsiaTheme="minorEastAsia"/>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1" w:name="_Hlk176184375"/>
      <w:r>
        <w:rPr>
          <w:rFonts w:hint="eastAsia" w:asciiTheme="minorEastAsia" w:hAnsiTheme="minorEastAsia" w:eastAsiaTheme="minorEastAsia"/>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20.3.5投标人在开、评标全过程中应保持通讯畅通，</w:t>
      </w:r>
      <w:bookmarkStart w:id="102" w:name="OLE_LINK25"/>
      <w:r>
        <w:rPr>
          <w:rFonts w:hint="eastAsia" w:asciiTheme="minorEastAsia" w:hAnsiTheme="minorEastAsia" w:eastAsiaTheme="minorEastAsia"/>
          <w:b/>
          <w:bCs/>
          <w:szCs w:val="21"/>
          <w:highlight w:val="none"/>
        </w:rPr>
        <w:t xml:space="preserve">及时登录苏采云系统查阅</w:t>
      </w:r>
      <w:bookmarkEnd w:id="102"/>
      <w:r>
        <w:rPr>
          <w:rFonts w:hint="eastAsia" w:asciiTheme="minorEastAsia" w:hAnsiTheme="minorEastAsia" w:eastAsiaTheme="minorEastAsia"/>
          <w:b/>
          <w:bCs/>
          <w:szCs w:val="21"/>
          <w:highlight w:val="none"/>
        </w:rPr>
        <w:t xml:space="preserve">、答复相关信息，并安排专人与采购代理机构及评标委员会联系。</w:t>
      </w:r>
      <w:bookmarkEnd w:id="101"/>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2</w:t>
      </w:r>
      <w:r>
        <w:rPr>
          <w:rFonts w:hint="eastAsia" w:asciiTheme="minorEastAsia" w:hAnsiTheme="minorEastAsia" w:eastAsiaTheme="minorEastAsia"/>
          <w:b/>
          <w:bCs/>
          <w:szCs w:val="21"/>
          <w:highlight w:val="none"/>
        </w:rPr>
        <w:t xml:space="preserve">0</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5 </w:t>
      </w:r>
      <w:bookmarkStart w:id="103" w:name="OLE_LINK8"/>
      <w:r>
        <w:rPr>
          <w:rFonts w:asciiTheme="minorEastAsia" w:hAnsiTheme="minorEastAsia" w:eastAsiaTheme="minorEastAsia"/>
          <w:b/>
          <w:bCs/>
          <w:szCs w:val="21"/>
          <w:highlight w:val="none"/>
        </w:rPr>
        <w:t xml:space="preserve">评标委员会</w:t>
      </w:r>
      <w:bookmarkEnd w:id="103"/>
      <w:r>
        <w:rPr>
          <w:rFonts w:asciiTheme="minorEastAsia" w:hAnsiTheme="minorEastAsia" w:eastAsiaTheme="minorEastAsia"/>
          <w:b/>
          <w:bCs/>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20.5.1</w:t>
      </w:r>
      <w:r>
        <w:rPr>
          <w:rFonts w:asciiTheme="minorEastAsia" w:hAnsiTheme="minorEastAsia" w:eastAsiaTheme="minorEastAsia"/>
          <w:szCs w:val="21"/>
          <w:highlight w:val="none"/>
        </w:rPr>
        <w:t xml:space="preserve">评</w:t>
      </w:r>
      <w:r>
        <w:rPr>
          <w:rFonts w:hint="eastAsia" w:asciiTheme="minorEastAsia" w:hAnsiTheme="minorEastAsia" w:eastAsiaTheme="minorEastAsia"/>
          <w:szCs w:val="21"/>
          <w:highlight w:val="none"/>
        </w:rPr>
        <w:t xml:space="preserve">标</w:t>
      </w:r>
      <w:r>
        <w:rPr>
          <w:rFonts w:asciiTheme="minorEastAsia" w:hAnsiTheme="minorEastAsia" w:eastAsiaTheme="minorEastAsia"/>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（1）投标报价低于全部通过符合性审查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投标报价平均值50%的，即投标报价&lt;全部通过符合性审查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（2）投标报价低于通过符合性审查的次低报价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投标报价50%的，即投标报价&lt;通过符合性审查的次低报价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（3）投标报价低于采购项目最高限价45%的，即投标报价&lt;采购项目最高限价×45%；</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（4）评标委员会基于专业判断，认为</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20.5.2 </w:t>
      </w:r>
      <w:bookmarkStart w:id="104" w:name="OLE_LINK33"/>
      <w:r>
        <w:rPr>
          <w:rFonts w:hint="eastAsia" w:asciiTheme="minorEastAsia" w:hAnsiTheme="minorEastAsia" w:eastAsiaTheme="minorEastAsia"/>
          <w:szCs w:val="21"/>
          <w:highlight w:val="none"/>
        </w:rPr>
        <w:t xml:space="preserve">评标委员会</w:t>
      </w:r>
      <w:bookmarkEnd w:id="104"/>
      <w:r>
        <w:rPr>
          <w:rFonts w:hint="eastAsia" w:asciiTheme="minorEastAsia" w:hAnsiTheme="minorEastAsia" w:eastAsiaTheme="minorEastAsia"/>
          <w:szCs w:val="21"/>
          <w:highlight w:val="none"/>
        </w:rPr>
        <w:t xml:space="preserve">启动异常低价投标审查后，属于前述第（1）项至第（4）项情形的，应当要求相关</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21.1本次</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采用综合评分法的，评标结果按评审后得</w:t>
      </w:r>
      <w:r>
        <w:rPr>
          <w:rFonts w:hint="eastAsia" w:asciiTheme="minorEastAsia" w:hAnsiTheme="minorEastAsia" w:eastAsiaTheme="minorEastAsia"/>
          <w:szCs w:val="21"/>
          <w:highlight w:val="none"/>
        </w:rPr>
        <w:t xml:space="preserve">分由高到低顺序排列。得分相同的，按投标报价由低到高顺序排列。得分且投标报价相同的并列，按技术指标优劣顺序排列。</w:t>
      </w:r>
      <w:bookmarkStart w:id="105" w:name="_Hlk44576646"/>
      <w:r>
        <w:rPr>
          <w:rFonts w:hint="eastAsia" w:asciiTheme="minorEastAsia" w:hAnsiTheme="minorEastAsia" w:eastAsiaTheme="minorEastAsia"/>
          <w:szCs w:val="21"/>
          <w:highlight w:val="none"/>
        </w:rPr>
        <w:t xml:space="preserve">投标文件满足招标文件全部实质性要求，</w:t>
      </w:r>
      <w:bookmarkStart w:id="106" w:name="_Hlk128053036"/>
      <w:r>
        <w:rPr>
          <w:rFonts w:hint="eastAsia" w:asciiTheme="minorEastAsia" w:hAnsiTheme="minorEastAsia" w:eastAsiaTheme="minorEastAsia"/>
          <w:szCs w:val="21"/>
          <w:highlight w:val="none"/>
        </w:rPr>
        <w:t xml:space="preserve">且按照评审因素的量化指标评审得分最</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高的投标人为排名第一的中标候选人，经采购人授权，</w:t>
      </w:r>
      <w:bookmarkEnd w:id="105"/>
      <w:r>
        <w:rPr>
          <w:rFonts w:hint="eastAsia" w:cs="宋体" w:asciiTheme="minorEastAsia" w:hAnsiTheme="minorEastAsia" w:eastAsiaTheme="minorEastAsia"/>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中标人确定后，采购代理机构在</w:t>
      </w:r>
      <w:r>
        <w:rPr>
          <w:rFonts w:hint="eastAsia" w:asciiTheme="minorEastAsia" w:hAnsiTheme="minorEastAsia" w:eastAsiaTheme="minorEastAsia"/>
          <w:color w:val="000000"/>
          <w:szCs w:val="21"/>
          <w:highlight w:val="none"/>
          <w:lang w:val="zh-CN"/>
        </w:rPr>
        <w:t xml:space="preserve">“江苏政府采购网”发布</w:t>
      </w:r>
      <w:r>
        <w:rPr>
          <w:rFonts w:hint="eastAsia" w:asciiTheme="minorEastAsia" w:hAnsiTheme="minorEastAsia" w:eastAsiaTheme="minorEastAsia"/>
          <w:szCs w:val="21"/>
          <w:highlight w:val="none"/>
        </w:rPr>
        <w:t xml:space="preserve">中标公告，公告期限为1个工作日。</w:t>
      </w:r>
      <w:bookmarkEnd w:id="106"/>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23.</w:t>
      </w:r>
      <w:r>
        <w:rPr>
          <w:rFonts w:hint="eastAsia" w:asciiTheme="minorEastAsia" w:hAnsiTheme="minorEastAsia" w:eastAsiaTheme="minorEastAsia"/>
          <w:highlight w:val="none"/>
        </w:rPr>
        <w:t xml:space="preserve"> </w:t>
      </w:r>
      <w:r>
        <w:rPr>
          <w:rFonts w:hint="eastAsia" w:asciiTheme="minorEastAsia" w:hAnsiTheme="minorEastAsia" w:eastAsiaTheme="minorEastAsia"/>
          <w:b/>
          <w:bCs/>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7" w:name="_Hlk176188663"/>
      <w:r>
        <w:rPr>
          <w:rFonts w:hint="eastAsia" w:asciiTheme="minorEastAsia" w:hAnsiTheme="minorEastAsia" w:eastAsiaTheme="minorEastAsia"/>
          <w:b/>
          <w:bCs/>
          <w:szCs w:val="21"/>
          <w:highlight w:val="none"/>
        </w:rPr>
        <w:t xml:space="preserve">六、签订合同</w:t>
      </w:r>
      <w:bookmarkEnd w:id="107"/>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25.1采购人与中标人应当自中标通知书发出之日起</w:t>
      </w:r>
      <w:r>
        <w:rPr>
          <w:rFonts w:asciiTheme="minorEastAsia" w:hAnsiTheme="minorEastAsia" w:eastAsiaTheme="minorEastAsia"/>
          <w:szCs w:val="21"/>
          <w:highlight w:val="none"/>
        </w:rPr>
        <w:t xml:space="preserve">30</w:t>
      </w:r>
      <w:r>
        <w:rPr>
          <w:rFonts w:hint="eastAsia" w:asciiTheme="minorEastAsia" w:hAnsiTheme="minorEastAsia" w:eastAsiaTheme="minorEastAsia"/>
          <w:szCs w:val="21"/>
          <w:highlight w:val="none"/>
        </w:rPr>
        <w:t xml:space="preserve">日内，按照招标文件和中标人投标文件的规定，签订书面合同，</w:t>
      </w:r>
      <w:r>
        <w:rPr>
          <w:rFonts w:hint="eastAsia" w:asciiTheme="minorEastAsia" w:hAnsiTheme="minorEastAsia" w:eastAsiaTheme="minorEastAsia"/>
          <w:b/>
          <w:bCs/>
          <w:szCs w:val="21"/>
          <w:highlight w:val="none"/>
        </w:rPr>
        <w:t xml:space="preserve">采购人于合同签订后2个工作日内通过苏采云系统进行公示</w:t>
      </w:r>
      <w:r>
        <w:rPr>
          <w:rFonts w:hint="eastAsia" w:asciiTheme="minorEastAsia" w:hAnsiTheme="minorEastAsia" w:eastAsiaTheme="minorEastAsia"/>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8" w:name="_Hlk128053131"/>
      <w:r>
        <w:rPr>
          <w:rFonts w:hint="eastAsia" w:asciiTheme="minorEastAsia" w:hAnsiTheme="minorEastAsia" w:eastAsiaTheme="minorEastAsia"/>
          <w:szCs w:val="21"/>
          <w:highlight w:val="none"/>
        </w:rPr>
        <w:t xml:space="preserve">25.3</w:t>
      </w:r>
      <w:bookmarkStart w:id="109" w:name="_Hlk134712780"/>
      <w:r>
        <w:rPr>
          <w:rFonts w:asciiTheme="minorEastAsia" w:hAnsiTheme="minorEastAsia" w:eastAsiaTheme="minorEastAsia"/>
          <w:szCs w:val="21"/>
          <w:highlight w:val="none"/>
        </w:rPr>
        <w:t xml:space="preserve">中标人拒绝与采购人签订合同的，采购人可以按照</w:t>
      </w:r>
      <w:r>
        <w:rPr>
          <w:rFonts w:hint="eastAsia" w:asciiTheme="minorEastAsia" w:hAnsiTheme="minorEastAsia" w:eastAsiaTheme="minorEastAsia"/>
          <w:szCs w:val="21"/>
          <w:highlight w:val="none"/>
        </w:rPr>
        <w:t xml:space="preserve">评标</w:t>
      </w:r>
      <w:r>
        <w:rPr>
          <w:rFonts w:asciiTheme="minorEastAsia" w:hAnsiTheme="minorEastAsia" w:eastAsiaTheme="minorEastAsia"/>
          <w:szCs w:val="21"/>
          <w:highlight w:val="none"/>
        </w:rPr>
        <w:t xml:space="preserve">报告推荐的中标候选人名单排序，确定下一候选人为中标人，也可以重新开展政府采购活动。</w:t>
      </w:r>
      <w:bookmarkEnd w:id="108"/>
      <w:r/>
      <w:bookmarkEnd w:id="10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25.4 </w:t>
      </w:r>
      <w:r>
        <w:rPr>
          <w:rFonts w:asciiTheme="minorEastAsia" w:hAnsiTheme="minorEastAsia" w:eastAsiaTheme="minorEastAsia"/>
          <w:szCs w:val="21"/>
          <w:highlight w:val="none"/>
        </w:rPr>
        <w:t xml:space="preserve">政府采购合同履行中，采购人需追加与合同标的相同的</w:t>
      </w:r>
      <w:bookmarkStart w:id="110" w:name="_Hlk176352307"/>
      <w:r>
        <w:rPr>
          <w:rFonts w:asciiTheme="minorEastAsia" w:hAnsiTheme="minorEastAsia" w:eastAsiaTheme="minorEastAsia"/>
          <w:szCs w:val="21"/>
          <w:highlight w:val="none"/>
        </w:rPr>
        <w:t xml:space="preserve">服务</w:t>
      </w:r>
      <w:r>
        <w:rPr>
          <w:rFonts w:hint="eastAsia" w:asciiTheme="minorEastAsia" w:hAnsiTheme="minorEastAsia" w:eastAsiaTheme="minorEastAsia"/>
          <w:szCs w:val="21"/>
          <w:highlight w:val="none"/>
        </w:rPr>
        <w:t xml:space="preserve">（包含与服务相关的货物）</w:t>
      </w:r>
      <w:bookmarkEnd w:id="110"/>
      <w:r>
        <w:rPr>
          <w:rFonts w:asciiTheme="minorEastAsia" w:hAnsiTheme="minorEastAsia" w:eastAsiaTheme="minorEastAsia"/>
          <w:szCs w:val="21"/>
          <w:highlight w:val="none"/>
        </w:rPr>
        <w:t xml:space="preserve">，在不改变合同其他条款的前提下，可以与</w:t>
      </w:r>
      <w:r>
        <w:rPr>
          <w:rFonts w:hint="eastAsia" w:asciiTheme="minorEastAsia" w:hAnsiTheme="minorEastAsia" w:eastAsiaTheme="minorEastAsia"/>
          <w:szCs w:val="21"/>
          <w:highlight w:val="none"/>
        </w:rPr>
        <w:t xml:space="preserve">中</w:t>
      </w:r>
      <w:r>
        <w:rPr>
          <w:rFonts w:asciiTheme="minorEastAsia" w:hAnsiTheme="minorEastAsia" w:eastAsiaTheme="minorEastAsia"/>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11" w:name="_Hlk135041925"/>
      <w:r>
        <w:rPr>
          <w:rFonts w:hint="eastAsia" w:asciiTheme="minorEastAsia" w:hAnsiTheme="minorEastAsia" w:eastAsiaTheme="minorEastAsia"/>
          <w:szCs w:val="21"/>
          <w:highlight w:val="none"/>
        </w:rPr>
        <w:t xml:space="preserve">26.1投标人对</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26.2</w:t>
      </w:r>
      <w:r>
        <w:rPr>
          <w:rFonts w:asciiTheme="minorEastAsia" w:hAnsiTheme="minorEastAsia" w:eastAsiaTheme="minorEastAsia"/>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26.4 投标人提出质疑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代理人提出质疑和投诉，应当提交投标人签署的授权委托书。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26.5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26.7 采购代理机构在收到投标人的书面质疑后将及时组织调查核实，在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作出答复，并以书面或在网站公告形式通知质疑投标人和其他有关投标人，答复的内容不涉及商业秘密。</w:t>
      </w:r>
      <w:bookmarkEnd w:id="111"/>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27.投诉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27.3</w:t>
      </w:r>
      <w:r>
        <w:rPr>
          <w:rFonts w:asciiTheme="minorEastAsia" w:hAnsiTheme="minorEastAsia" w:eastAsiaTheme="minorEastAsia"/>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7.5</w:t>
      </w:r>
      <w:r>
        <w:rPr>
          <w:rFonts w:hint="eastAsia" w:asciiTheme="minorEastAsia" w:hAnsiTheme="minorEastAsia" w:eastAsiaTheme="minorEastAsia"/>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（1）捏造事实；</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（2）提供虚假材料；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112" w:name="_Toc439"/>
      <w:r/>
      <w:bookmarkStart w:id="113" w:name="_Toc481057145"/>
      <w:r/>
      <w:bookmarkStart w:id="114" w:name="_Toc2754"/>
      <w:r>
        <w:rPr>
          <w:rFonts w:hint="eastAsia" w:asciiTheme="minorEastAsia" w:hAnsiTheme="minorEastAsia" w:eastAsiaTheme="minorEastAsia"/>
          <w:highlight w:val="none"/>
        </w:rPr>
        <w:t xml:space="preserve">第三章 评标标准</w:t>
      </w:r>
      <w:bookmarkEnd w:id="112"/>
      <w:r/>
      <w:bookmarkEnd w:id="113"/>
      <w:r/>
      <w:bookmarkEnd w:id="114"/>
      <w:r/>
      <w:r/>
    </w:p>
    <w:p>
      <w:pPr>
        <w:ind w:firstLine="420"/>
        <w:spacing w:line="360" w:lineRule="auto"/>
        <w:rPr>
          <w:rFonts w:hint="eastAsia" w:asciiTheme="minorEastAsia" w:hAnsiTheme="minorEastAsia" w:eastAsiaTheme="minorEastAsia"/>
          <w:szCs w:val="21"/>
          <w:highlight w:val="none"/>
        </w:rPr>
      </w:pPr>
      <w:r/>
      <w:r>
        <w:rPr>
          <w:rFonts w:hint="eastAsia" w:asciiTheme="minorEastAsia" w:hAnsiTheme="minorEastAsia" w:eastAsiaTheme="minorEastAsia"/>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序号</w:t>
            </w:r>
            <w:r/>
          </w:p>
        </w:tc>
        <w:tc>
          <w:tcPr>
            <w:tcW w:w="1039"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评分因素</w:t>
            </w:r>
            <w:r/>
          </w:p>
        </w:tc>
        <w:tc>
          <w:tcPr>
            <w:tcW w:w="6800"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评审标准</w:t>
            </w:r>
            <w:r/>
          </w:p>
        </w:tc>
        <w:tc>
          <w:tcPr>
            <w:tcW w:w="575"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分值</w:t>
            </w:r>
            <w:r/>
          </w:p>
        </w:tc>
        <w:tc>
          <w:tcPr>
            <w:tcW w:w="789" w:type="dxa"/>
            <w:vAlign w:val="center"/>
            <w:textDirection w:val="lrTb"/>
            <w:noWrap w:val="false"/>
          </w:tcPr>
          <w:p>
            <w:pPr>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highlight w:val="none"/>
              </w:rPr>
            </w:pPr>
            <w:r>
              <w:rPr>
                <w:rFonts w:hint="eastAsia" w:cs="宋体" w:asciiTheme="minorEastAsia" w:hAnsiTheme="minorEastAsia" w:eastAsiaTheme="minorEastAsia"/>
                <w:b/>
                <w:bCs/>
                <w:spacing w:val="-3"/>
                <w:highlight w:val="none"/>
              </w:rPr>
              <w:t xml:space="preserve">一、</w:t>
            </w:r>
            <w:r>
              <w:rPr>
                <w:rFonts w:cs="宋体" w:asciiTheme="minorEastAsia" w:hAnsiTheme="minorEastAsia" w:eastAsiaTheme="minorEastAsia"/>
                <w:b/>
                <w:bCs/>
                <w:spacing w:val="-3"/>
                <w:highlight w:val="none"/>
              </w:rPr>
              <w:t xml:space="preserve">价</w:t>
            </w:r>
            <w:r>
              <w:rPr>
                <w:rFonts w:cs="宋体" w:asciiTheme="minorEastAsia" w:hAnsiTheme="minorEastAsia" w:eastAsiaTheme="minorEastAsia"/>
                <w:b/>
                <w:bCs/>
                <w:spacing w:val="-2"/>
                <w:highlight w:val="none"/>
              </w:rPr>
              <w:t xml:space="preserve">格</w:t>
            </w:r>
            <w:bookmarkStart w:id="117" w:name="OLE_LINK30"/>
            <w:r>
              <w:rPr>
                <w:rFonts w:hint="eastAsia" w:cs="宋体" w:asciiTheme="minorEastAsia" w:hAnsiTheme="minorEastAsia" w:eastAsiaTheme="minorEastAsia"/>
                <w:b/>
                <w:bCs/>
                <w:spacing w:val="-2"/>
                <w:highlight w:val="none"/>
              </w:rPr>
              <w:t xml:space="preserve"> </w:t>
            </w:r>
            <w:bookmarkEnd w:id="117"/>
            <w:r>
              <w:rPr>
                <w:rFonts w:hint="eastAsia" w:cs="宋体" w:asciiTheme="minorEastAsia" w:hAnsiTheme="minorEastAsia" w:eastAsiaTheme="minorEastAsia"/>
                <w:b/>
                <w:bCs/>
                <w:spacing w:val="-2"/>
                <w:highlight w:val="none"/>
                <w:lang w:val="en-US" w:eastAsia="zh-CN"/>
              </w:rPr>
              <w:t xml:space="preserve">12</w:t>
            </w:r>
            <w:r>
              <w:rPr>
                <w:rFonts w:hint="eastAsia" w:cs="宋体" w:asciiTheme="minorEastAsia" w:hAnsiTheme="minorEastAsia" w:eastAsiaTheme="minorEastAsia"/>
                <w:b/>
                <w:bCs/>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采用低价优先法计算，即满足招标文件要求且投标报价最低价为评标基准价，其价格分得满分</w:t>
            </w:r>
            <w:r>
              <w:rPr>
                <w:rFonts w:hint="eastAsia" w:cs="宋体" w:asciiTheme="minorEastAsia" w:hAnsiTheme="minorEastAsia" w:eastAsiaTheme="minorEastAsia"/>
                <w:highlight w:val="none"/>
                <w:lang w:val="en-US" w:eastAsia="zh-CN"/>
              </w:rPr>
              <w:t xml:space="preserve">12</w:t>
            </w:r>
            <w:r>
              <w:rPr>
                <w:rFonts w:hint="eastAsia" w:cs="宋体" w:asciiTheme="minorEastAsia" w:hAnsiTheme="minorEastAsia" w:eastAsiaTheme="minorEastAsia"/>
                <w:highlight w:val="none"/>
              </w:rPr>
              <w:t xml:space="preserve">分。其他投标人的价格分统一按照以下公式计算：投标人价格得分=（评标基准价／该投标人报价）×</w:t>
            </w:r>
            <w:r>
              <w:rPr>
                <w:rFonts w:hint="eastAsia" w:cs="宋体" w:asciiTheme="minorEastAsia" w:hAnsiTheme="minorEastAsia" w:eastAsiaTheme="minorEastAsia"/>
                <w:highlight w:val="none"/>
                <w:lang w:val="en-US" w:eastAsia="zh-CN"/>
              </w:rPr>
              <w:t xml:space="preserve">12</w:t>
            </w:r>
            <w:r>
              <w:rPr>
                <w:rFonts w:hint="eastAsia" w:cs="宋体" w:asciiTheme="minorEastAsia" w:hAnsiTheme="minorEastAsia" w:eastAsiaTheme="minorEastAsia"/>
                <w:highlight w:val="none"/>
              </w:rPr>
              <w:t xml:space="preserve">（小数点后保留两位）。</w:t>
            </w:r>
            <w:r/>
          </w:p>
        </w:tc>
        <w:tc>
          <w:tcPr>
            <w:tcW w:w="575" w:type="dxa"/>
            <w:vAlign w:val="center"/>
            <w:textDirection w:val="lrTb"/>
            <w:noWrap w:val="false"/>
          </w:tcPr>
          <w:p>
            <w:pPr>
              <w:jc w:val="center"/>
              <w:spacing w:before="69"/>
              <w:rPr>
                <w:rFonts w:hint="default"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lang w:val="en-US" w:eastAsia="zh-CN"/>
              </w:rPr>
              <w:t xml:space="preserve">12</w:t>
            </w:r>
            <w:r/>
          </w:p>
        </w:tc>
        <w:tc>
          <w:tcPr>
            <w:tcW w:w="789"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二、商务 </w:t>
            </w:r>
            <w:r>
              <w:rPr>
                <w:rFonts w:hint="eastAsia" w:cs="宋体" w:asciiTheme="minorEastAsia" w:hAnsiTheme="minorEastAsia" w:eastAsiaTheme="minorEastAsia"/>
                <w:b/>
                <w:bCs/>
                <w:spacing w:val="-2"/>
                <w:highlight w:val="none"/>
              </w:rPr>
              <w:t xml:space="preserve">43</w:t>
            </w:r>
            <w:r>
              <w:rPr>
                <w:rFonts w:hint="eastAsia" w:cs="宋体" w:asciiTheme="minorEastAsia" w:hAnsiTheme="minorEastAsia" w:eastAsiaTheme="minorEastAsia"/>
                <w:b/>
                <w:szCs w:val="21"/>
                <w:highlight w:val="none"/>
              </w:rPr>
              <w:t xml:space="preserve">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业绩</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自2023年1月1日（含）以来（时间以合同签订时间为准），投标人具有土壤及水质测试分析项目业绩的，每有一个业绩得3分，本项最高得9分。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合同证明材料包含合同标的内容所在页及签字盖章页的复印件并加盖投标人公章，未提供或未按要求提供的不得分。如同一份合同未包含所有内容，可以提供2份分别包含土壤测试分析和水质测试分析的合同算一个业绩。）</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highlight w:val="none"/>
              </w:rPr>
            </w:pPr>
            <w:r/>
            <w:bookmarkStart w:id="118" w:name="OLE_LINK35"/>
            <w:r>
              <w:rPr>
                <w:rFonts w:hint="eastAsia" w:cs="宋体" w:asciiTheme="minorEastAsia" w:hAnsiTheme="minorEastAsia" w:eastAsiaTheme="minorEastAsia"/>
                <w:spacing w:val="-6"/>
                <w:highlight w:val="none"/>
              </w:rPr>
              <w:t xml:space="preserve">客观分</w:t>
            </w:r>
            <w:bookmarkEnd w:id="118"/>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bookmarkStart w:id="119" w:name="OLE_LINK34"/>
            <w:r>
              <w:rPr>
                <w:rFonts w:hint="eastAsia" w:cs="宋体" w:asciiTheme="minorEastAsia" w:hAnsiTheme="minorEastAsia" w:eastAsiaTheme="minorEastAsia"/>
                <w:spacing w:val="-2"/>
                <w:highlight w:val="none"/>
              </w:rPr>
              <w:t xml:space="preserve">2</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项目负责人</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项目负责人具有环保类或化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相关专业正高级技术职称的得3分；具有环保类或化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相关专业高级技术职称的得2分；具有环保类或化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相关专业中级技术职称的得1分。在此基础上，具有类似土壤或水质测试分析工作经验的加3分。本项最高得6分。</w:t>
            </w:r>
            <w:r/>
          </w:p>
          <w:p>
            <w:pPr>
              <w:rPr>
                <w:highlight w:val="none"/>
              </w:rPr>
            </w:pPr>
            <w:r>
              <w:rPr>
                <w:rFonts w:hint="eastAsia"/>
                <w:highlight w:val="none"/>
              </w:rPr>
              <w:t xml:space="preserve">（提供技术职称证书</w:t>
            </w:r>
            <w:r>
              <w:rPr>
                <w:rFonts w:hint="eastAsia"/>
                <w:highlight w:val="none"/>
                <w:lang w:eastAsia="zh-CN"/>
              </w:rPr>
              <w:t xml:space="preserve">、</w:t>
            </w:r>
            <w:r>
              <w:rPr>
                <w:rFonts w:hint="eastAsia"/>
                <w:highlight w:val="none"/>
              </w:rPr>
              <w:t xml:space="preserve">经验证明材料及</w:t>
            </w:r>
            <w:r>
              <w:rPr>
                <w:rFonts w:hint="eastAsia"/>
                <w:highlight w:val="none"/>
                <w:lang w:val="en-US" w:eastAsia="zh-CN"/>
              </w:rPr>
              <w:t xml:space="preserve">投标人</w:t>
            </w:r>
            <w:r>
              <w:rPr>
                <w:rFonts w:hint="eastAsia"/>
                <w:highlight w:val="none"/>
              </w:rPr>
              <w:t xml:space="preserve">为其缴纳的半年内任意一个月的社保材料并加盖投标人公章，经验证明材料为合同证明材料及工作履历表等材料，合同证明材料包含合同标的内容所在页及签字盖章页的复印件并加盖公章，如合同证明材料无法体现人员信息需额外提供证明材料，未提供或未按要求提供的不得分。一人多</w:t>
            </w:r>
            <w:r>
              <w:rPr>
                <w:rFonts w:hint="eastAsia"/>
                <w:highlight w:val="none"/>
                <w:lang w:val="en-US" w:eastAsia="zh-CN"/>
              </w:rPr>
              <w:t xml:space="preserve">个职称的</w:t>
            </w:r>
            <w:r>
              <w:rPr>
                <w:rFonts w:hint="eastAsia"/>
                <w:highlight w:val="none"/>
              </w:rPr>
              <w:t xml:space="preserve">不重复计分，以最高职称计一次分。项目组负责人如为退休人员，提供退休证及返聘协议并加盖供应商公章。职称专业以职称证书为准，如职称证书无法反映其专业，以职称评审表或学历证书专业为准。）</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项目团队成员（不含项目负责人）</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项目团队成员（不含项目负责人）具有环保类或化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相关专业高级及以上技术职称的得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分/人；具有环保类或化</w:t>
            </w:r>
            <w:r>
              <w:rPr>
                <w:rFonts w:hint="eastAsia" w:cs="宋体" w:asciiTheme="minorEastAsia" w:hAnsiTheme="minorEastAsia" w:eastAsiaTheme="minorEastAsia"/>
                <w:highlight w:val="none"/>
                <w:lang w:val="en-US" w:eastAsia="zh-CN"/>
              </w:rPr>
              <w:t xml:space="preserve">学</w:t>
            </w:r>
            <w:r>
              <w:rPr>
                <w:rFonts w:hint="eastAsia" w:cs="宋体" w:asciiTheme="minorEastAsia" w:hAnsiTheme="minorEastAsia" w:eastAsiaTheme="minorEastAsia"/>
                <w:highlight w:val="none"/>
              </w:rPr>
              <w:t xml:space="preserve">类</w:t>
            </w:r>
            <w:r>
              <w:rPr>
                <w:rFonts w:hint="eastAsia" w:cs="宋体" w:asciiTheme="minorEastAsia" w:hAnsiTheme="minorEastAsia" w:eastAsiaTheme="minorEastAsia"/>
                <w:highlight w:val="none"/>
                <w:lang w:val="en-US" w:eastAsia="zh-CN"/>
              </w:rPr>
              <w:t xml:space="preserve">或农业类</w:t>
            </w:r>
            <w:r>
              <w:rPr>
                <w:rFonts w:hint="eastAsia" w:cs="宋体" w:asciiTheme="minorEastAsia" w:hAnsiTheme="minorEastAsia" w:eastAsiaTheme="minorEastAsia"/>
                <w:highlight w:val="none"/>
              </w:rPr>
              <w:t xml:space="preserve">相关专业中级技术职称的得</w:t>
            </w:r>
            <w:r>
              <w:rPr>
                <w:rFonts w:hint="eastAsia" w:cs="宋体" w:asciiTheme="minorEastAsia" w:hAnsiTheme="minorEastAsia" w:eastAsiaTheme="minorEastAsia"/>
                <w:highlight w:val="none"/>
                <w:lang w:val="en-US" w:eastAsia="zh-CN"/>
              </w:rPr>
              <w:t xml:space="preserve">2</w:t>
            </w:r>
            <w:r>
              <w:rPr>
                <w:rFonts w:hint="eastAsia" w:cs="宋体" w:asciiTheme="minorEastAsia" w:hAnsiTheme="minorEastAsia" w:eastAsiaTheme="minorEastAsia"/>
                <w:highlight w:val="none"/>
              </w:rPr>
              <w:t xml:space="preserve">分/人。限评</w:t>
            </w:r>
            <w:r>
              <w:rPr>
                <w:rFonts w:hint="eastAsia" w:cs="宋体" w:asciiTheme="minorEastAsia" w:hAnsiTheme="minorEastAsia" w:eastAsiaTheme="minorEastAsia"/>
                <w:highlight w:val="none"/>
                <w:lang w:val="en-US" w:eastAsia="zh-CN"/>
              </w:rPr>
              <w:t xml:space="preserve">8</w:t>
            </w:r>
            <w:r>
              <w:rPr>
                <w:rFonts w:hint="eastAsia" w:cs="宋体" w:asciiTheme="minorEastAsia" w:hAnsiTheme="minorEastAsia" w:eastAsiaTheme="minorEastAsia"/>
                <w:highlight w:val="none"/>
              </w:rPr>
              <w:t xml:space="preserve">人，本项最高得18分。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（提供技术职称证书及投标人为其缴纳的半年内任意一个月的社保材料并加盖投标人公章，一人多证不重复计分，以最高职称计一次分。项目团队成员如为退休人员，提供退休证及返聘协议并加盖</w:t>
            </w:r>
            <w:r>
              <w:rPr>
                <w:rFonts w:hint="eastAsia" w:cs="宋体" w:asciiTheme="minorEastAsia" w:hAnsiTheme="minorEastAsia" w:eastAsiaTheme="minorEastAsia"/>
                <w:highlight w:val="none"/>
                <w:lang w:val="en-US" w:eastAsia="zh-CN"/>
              </w:rPr>
              <w:t xml:space="preserve">投标人</w:t>
            </w:r>
            <w:r>
              <w:rPr>
                <w:rFonts w:hint="eastAsia" w:cs="宋体" w:asciiTheme="minorEastAsia" w:hAnsiTheme="minorEastAsia" w:eastAsiaTheme="minorEastAsia"/>
                <w:highlight w:val="none"/>
              </w:rPr>
              <w:t xml:space="preserve">公章。职称专业以职称证书为准，如职称证书无法反映其专业，以职称评审表或学历证书专业为准。）</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18</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企业实力</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投标人具有电感耦合等离子体质谱仪（ICP-MS）、电感耦合等离子体发射光谱仪（ICP-OES）、离子色谱仪、连续流动分析仪、原子吸收光谱仪（AAS）、原子荧光光谱仪（AFS）、分光光度计（可见/紫外可见）设备，每提供1类仪器设备得1分，本项最高得7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（如自有设备：提供以投标人名义购买的设备购买合同或设备购买发票复印件并加盖投标人公章。租赁设备：提供以投标人名义签订的租赁合同复印件并加盖投标人公章。未提供或未按要求提供的不得分。）</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服务响应</w:t>
            </w:r>
            <w:r/>
          </w:p>
        </w:tc>
        <w:tc>
          <w:tcPr>
            <w:tcW w:w="6800" w:type="dxa"/>
            <w:vAlign w:val="center"/>
            <w:textDirection w:val="lrTb"/>
            <w:noWrap w:val="false"/>
          </w:tcPr>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投标人承诺能够在半小时内响应采购人要求并提供相关咨询的，得3分。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（提供承诺书并加盖投标人公章，承诺书内容自拟，未提供或未按要求提供的不得分。投标人应对其承诺书的真实性负责，如有虚假，一经查实，采购人有权取消其中标资格。）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9"/>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三、技术 </w:t>
            </w:r>
            <w:r>
              <w:rPr>
                <w:rFonts w:hint="eastAsia" w:cs="宋体" w:asciiTheme="minorEastAsia" w:hAnsiTheme="minorEastAsia" w:eastAsiaTheme="minorEastAsia"/>
                <w:b/>
                <w:szCs w:val="21"/>
                <w:highlight w:val="none"/>
                <w:lang w:val="en-US" w:eastAsia="zh-CN"/>
              </w:rPr>
              <w:t xml:space="preserve">45</w:t>
            </w:r>
            <w:r>
              <w:rPr>
                <w:rFonts w:hint="eastAsia" w:cs="宋体" w:asciiTheme="minorEastAsia" w:hAnsiTheme="minorEastAsia" w:eastAsiaTheme="minorEastAsia"/>
                <w:b/>
                <w:szCs w:val="21"/>
                <w:highlight w:val="none"/>
              </w:rPr>
              <w:t xml:space="preserve">分</w:t>
            </w:r>
            <w:bookmarkEnd w:id="119"/>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项目总体方案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根据投标人对本项目提供的项目总体方案（包括但不限于项目背景、总体思路、区域概况、基础资料搜集）进行综合评定。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方案全面，有科学详细的分析，分析阐述清楚且齐全，能把握重点、难点的得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方案内容片面、阐述问题片面，资料未完全贴合项目实际情况、阐述问题能够说明清楚的，有瑕疵和轻微偏差的得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方案、阐述问题偏离项目特点和要求，资料基本齐全、阐述问题有明显的缺陷和错误的得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方案不齐全、阐述问题说明不清楚的，项目实施效果有欠缺的得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2</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技术方案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对投标人提供的技术方案进行综合评定。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方案详细可行，内容详实，章节条理清晰，优于项目需求，方案针对性强的得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方案完整、思路清晰，未完全贴合项目实际情况，但能把握重点、难点的得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方案可行，内容齐全、具有实际可操作性，方案有针对性，有瑕疵和轻微偏差的得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方案有欠缺，偏离项目特点和要求，章节条理不清晰，方案针对性不强的得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项目安排进度方案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对投标人提供的项目安排进度方案进行综合评定。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项目阶段进度计划管理合理可行，有利于本项目开展，进度保障措施全面细致，能把握重点、难点的得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项目阶段计划安排较合理，满足项目开展需要，进度保障措施较完善，内容有针对性、可行性的得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整体进度管理能够正常本项目开展，进度保障措施不足，内容无明显亮点的得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整体进度管理能够满足项目要求，进度保障措施缺乏针对性，相关措施有明显的缺陷的得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质量保障方案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根据投标人针对本项目提供的质量保证方案（包括制定可行的样品制作、保存、检测分析质量保证措施）进行综合评定。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方案详细可行，质量保证内容详实优于项目需求，有利于本项目开展，保障措施全面细致，重难点分析条理清晰，判断针对性强的得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方案可行，质量保证内容齐全，满足项目开展需要，保障措施较完善，重难点分析具有可行性及针对性，相关措施具有实际可操作性的得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质量保证方案内容有欠缺，能够正常开展项目，重难点分析未完全贴合项目实际情况，相关措施有瑕疵和轻微偏差的得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质量保证方案内容条理不清晰，偏离项目特点和要求，重难点分析欠缺，相关措施有明显的缺陷和错误的得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服务保障及应急处理方案</w:t>
            </w:r>
            <w:r/>
          </w:p>
        </w:tc>
        <w:tc>
          <w:tcPr>
            <w:tcW w:w="6800" w:type="dxa"/>
            <w:vAlign w:val="center"/>
            <w:textDirection w:val="lrTb"/>
            <w:noWrap w:val="false"/>
          </w:tcPr>
          <w:p>
            <w:pPr>
              <w:jc w:val="left"/>
              <w:rPr>
                <w:rFonts w:hint="eastAsia"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对投标人提供的服务保障及应急处理方案进行综合评定。</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保障措施内容完整、思路清晰，能把握重点、难点，应急处理方案响应及时、措施有效，能快速解决突发问题的得</w:t>
            </w:r>
            <w:r>
              <w:rPr>
                <w:rFonts w:hint="eastAsia" w:cs="宋体" w:asciiTheme="minorEastAsia" w:hAnsiTheme="minorEastAsia" w:eastAsiaTheme="minorEastAsia"/>
                <w:highlight w:val="none"/>
                <w:lang w:val="en-US" w:eastAsia="zh-CN"/>
              </w:rPr>
              <w:t xml:space="preserve">9</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保障措施内容片面，有瑕疵和轻微偏差，应急处理方案可有效解决突发问题，响应机制具有实际可操作性的得</w:t>
            </w:r>
            <w:r>
              <w:rPr>
                <w:rFonts w:hint="eastAsia" w:cs="宋体" w:asciiTheme="minorEastAsia" w:hAnsiTheme="minorEastAsia" w:eastAsiaTheme="minorEastAsia"/>
                <w:highlight w:val="none"/>
                <w:lang w:val="en-US" w:eastAsia="zh-CN"/>
              </w:rPr>
              <w:t xml:space="preserve">7</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保障措施具一定的可行性及针对性，应急处理方案能够解决突发问题，响应机制切实可行的得</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保障措施偏离项目特点和要求，有明显的缺陷和错误，应急处理方案响应延迟明显，响应机制内容笼统没有针对性的得</w:t>
            </w:r>
            <w:r>
              <w:rPr>
                <w:rFonts w:hint="eastAsia" w:cs="宋体" w:asciiTheme="minorEastAsia" w:hAnsiTheme="minorEastAsia" w:eastAsiaTheme="minorEastAsia"/>
                <w:highlight w:val="none"/>
                <w:lang w:val="en-US" w:eastAsia="zh-CN"/>
              </w:rPr>
              <w:t xml:space="preserve">3</w:t>
            </w:r>
            <w:r>
              <w:rPr>
                <w:rFonts w:hint="eastAsia" w:cs="宋体" w:asciiTheme="minorEastAsia" w:hAnsiTheme="minorEastAsia" w:eastAsiaTheme="minorEastAsia"/>
                <w:highlight w:val="none"/>
              </w:rPr>
              <w:t xml:space="preserve">分；</w:t>
            </w:r>
            <w:r/>
          </w:p>
          <w:p>
            <w:pPr>
              <w:jc w:val="lef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bl>
    <w:p>
      <w:pPr>
        <w:pStyle w:val="890"/>
        <w:numPr>
          <w:ilvl w:val="0"/>
          <w:numId w:val="0"/>
        </w:numPr>
        <w:ind w:left="567"/>
        <w:rPr>
          <w:rFonts w:hint="eastAsia" w:asciiTheme="minorEastAsia" w:hAnsiTheme="minorEastAsia" w:eastAsiaTheme="minorEastAsia"/>
          <w:highlight w:val="none"/>
        </w:rPr>
      </w:pPr>
      <w:r/>
      <w:bookmarkStart w:id="121" w:name="_Toc7966"/>
      <w:r>
        <w:rPr>
          <w:rFonts w:hint="eastAsia" w:asciiTheme="minorEastAsia" w:hAnsiTheme="minorEastAsia" w:eastAsiaTheme="minorEastAsia"/>
          <w:highlight w:val="none"/>
        </w:rPr>
        <w:t xml:space="preserve">第四章 </w:t>
      </w:r>
      <w:bookmarkStart w:id="122" w:name="_Toc481057147"/>
      <w:r/>
      <w:bookmarkStart w:id="123" w:name="_Toc8808"/>
      <w:r>
        <w:rPr>
          <w:rFonts w:hint="eastAsia" w:asciiTheme="minorEastAsia" w:hAnsiTheme="minorEastAsia" w:eastAsiaTheme="minorEastAsia"/>
          <w:highlight w:val="none"/>
        </w:rPr>
        <w:t xml:space="preserve">采购项目的内容和相关技术要求等</w:t>
      </w:r>
      <w:bookmarkEnd w:id="121"/>
      <w:r/>
      <w:r/>
    </w:p>
    <w:p>
      <w:pPr>
        <w:ind w:firstLine="422"/>
        <w:spacing w:line="360" w:lineRule="auto"/>
        <w:rPr>
          <w:rFonts w:hint="eastAsia" w:cs="黑体" w:asciiTheme="minorEastAsia" w:hAnsiTheme="minorEastAsia" w:eastAsiaTheme="minorEastAsia"/>
          <w:b/>
          <w:bCs/>
          <w:szCs w:val="21"/>
          <w:highlight w:val="none"/>
        </w:rPr>
      </w:pPr>
      <w:r/>
      <w:bookmarkStart w:id="124" w:name="_Hlk176529481"/>
      <w:r/>
      <w:bookmarkStart w:id="125" w:name="_Hlk66377641"/>
      <w:r>
        <w:rPr>
          <w:rFonts w:hint="eastAsia" w:cs="黑体" w:asciiTheme="minorEastAsia" w:hAnsiTheme="minorEastAsia" w:eastAsiaTheme="minorEastAsia"/>
          <w:b/>
          <w:bCs/>
          <w:szCs w:val="21"/>
          <w:highlight w:val="none"/>
        </w:rPr>
        <w:t xml:space="preserve">一、项目名称</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江苏省典型高锌农耕区精细化调查与开发利用评价项目第三方样品测试分析</w:t>
      </w:r>
      <w:r/>
    </w:p>
    <w:p>
      <w:pPr>
        <w:ind w:firstLine="422"/>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二、项目背景</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江苏省典型高锌农耕区精细化调查与开发利用评价项目以里下河古潟湖积平原、长江三角洲冲积平原及滨海平原三类典型沉积环境的高锌农</w:t>
      </w:r>
      <w:r>
        <w:rPr>
          <w:rFonts w:hint="eastAsia" w:cs="黑体" w:asciiTheme="minorEastAsia" w:hAnsiTheme="minorEastAsia" w:eastAsiaTheme="minorEastAsia"/>
          <w:szCs w:val="21"/>
          <w:highlight w:val="none"/>
        </w:rPr>
        <w:t xml:space="preserve">耕区为研究对象，采用“区域预查—重点详查—地块标识”的多级精度递进调查模式，系统查明工作区天然富锌土地资源的数量、质量及空间分布格局，明确土壤锌的地球化学分布规律与天然属性；科学评价富锌耕地质量等级与农作物富锌状况，划定“清洁、富锌、优质、天然”的富锌土地资源区；圈定同类沉积单元可供优先调查评价及开发利用的富锌土地资源潜力区，形成富锌土地资源宏观布局；构建适合江苏平原农耕区地质背景与集约化农作特点的天然富锌土地调查评价方法技术体系，为江苏省特色农业规划布局、耕地质量提升和乡村产业振兴提供科学依据和决策支撑。</w:t>
      </w:r>
      <w:r/>
    </w:p>
    <w:p>
      <w:pPr>
        <w:ind w:firstLine="422"/>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三、工作范围</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沿江平原的大桥镇南部沿江地区（以下简称沿江工作区），坐标北纬32°17'44"～32°24'32，东经119°38'53"～119°50'58"，面积120.99km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（图1-3-1、表1-3-1）；</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滨海平原的板浦镇（以下简称徐淮工作区），坐标北纬34°27'23"～34°31'54"，东经119°11'54"～119°24'26"，面积80.64km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（图1-3-2、表1-3-1）；</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里下河平原的武坚镇（以下简称里下河工作区），坐标北纬32°40'24"～32°47'53"，东经119°45'27"～119°52'02"，面积85.58km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（图1-3-3，表1-3-1）。</w:t>
      </w:r>
      <w:r/>
    </w:p>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本次工作区面积共计287.21km</w:t>
      </w:r>
      <w:r>
        <w:rPr>
          <w:rFonts w:cs="黑体" w:asciiTheme="minorEastAsia" w:hAnsiTheme="minorEastAsia" w:eastAsiaTheme="minorEastAsia"/>
          <w:szCs w:val="21"/>
          <w:highlight w:val="none"/>
          <w:vertAlign w:val="superscript"/>
        </w:rPr>
        <w:t xml:space="preserve">2</w:t>
      </w:r>
      <w:r>
        <w:rPr>
          <w:rFonts w:cs="黑体" w:asciiTheme="minorEastAsia" w:hAnsiTheme="minorEastAsia" w:eastAsiaTheme="minorEastAsia"/>
          <w:szCs w:val="21"/>
          <w:highlight w:val="none"/>
        </w:rPr>
        <w:t xml:space="preserve">。</w:t>
      </w:r>
      <w:r/>
    </w:p>
    <w:tbl>
      <w:tblPr>
        <w:tblStyle w:val="108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06"/>
        <w:gridCol w:w="4190"/>
      </w:tblGrid>
      <w:tr>
        <w:trPr>
          <w:jc w:val="center"/>
          <w:trHeight w:val="2664"/>
        </w:trPr>
        <w:tc>
          <w:tcPr>
            <w:tcW w:w="4106"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70810" cy="1637665"/>
                      <wp:effectExtent l="0" t="0" r="15240" b="635"/>
                      <wp:docPr id="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90802" name="图片 23"/>
                              <pic:cNvPicPr>
                                <a:picLocks noChangeAspect="1"/>
                              </pic:cNvPicPr>
                              <pic:nvPr/>
                            </pic:nvPicPr>
                            <pic:blipFill>
                              <a:blip r:embed="rId14"/>
                              <a:stretch/>
                            </pic:blipFill>
                            <pic:spPr bwMode="auto">
                              <a:xfrm>
                                <a:off x="0" y="0"/>
                                <a:ext cx="2673535" cy="16393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0.3pt;height:128.9pt;mso-wrap-distance-left:0.0pt;mso-wrap-distance-top:0.0pt;mso-wrap-distance-right:0.0pt;mso-wrap-distance-bottom:0.0pt;" stroked="false">
                      <v:path textboxrect="0,0,0,0"/>
                      <v:imagedata r:id="rId14" o:title=""/>
                    </v:shape>
                  </w:pict>
                </mc:Fallback>
              </mc:AlternateContent>
            </w:r>
            <w:r/>
          </w:p>
        </w:tc>
        <w:tc>
          <w:tcPr>
            <w:tcW w:w="4190"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733675" cy="1637665"/>
                      <wp:effectExtent l="0" t="0" r="9525" b="635"/>
                      <wp:docPr id="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84181" name="图片 24"/>
                              <pic:cNvPicPr>
                                <a:picLocks noChangeAspect="1"/>
                              </pic:cNvPicPr>
                              <pic:nvPr/>
                            </pic:nvPicPr>
                            <pic:blipFill>
                              <a:blip r:embed="rId15"/>
                              <a:stretch/>
                            </pic:blipFill>
                            <pic:spPr bwMode="auto">
                              <a:xfrm>
                                <a:off x="0" y="0"/>
                                <a:ext cx="2756858" cy="165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2pt;height:128.9pt;mso-wrap-distance-left:0.0pt;mso-wrap-distance-top:0.0pt;mso-wrap-distance-right:0.0pt;mso-wrap-distance-bottom:0.0pt;" stroked="false">
                      <v:path textboxrect="0,0,0,0"/>
                      <v:imagedata r:id="rId15" o:title=""/>
                    </v:shape>
                  </w:pict>
                </mc:Fallback>
              </mc:AlternateContent>
            </w:r>
            <w:r/>
          </w:p>
        </w:tc>
      </w:tr>
      <w:tr>
        <w:trPr>
          <w:jc w:val="center"/>
        </w:trPr>
        <w:tc>
          <w:tcPr>
            <w:tcW w:w="4106"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图1-3-1 沿江工作区位置示意图</w:t>
            </w:r>
            <w:r/>
          </w:p>
        </w:tc>
        <w:tc>
          <w:tcPr>
            <w:tcW w:w="4190"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图1-3-2 徐淮工作区位置示意图</w:t>
            </w:r>
            <w:r/>
          </w:p>
        </w:tc>
      </w:tr>
      <w:tr>
        <w:trPr>
          <w:jc w:val="center"/>
          <w:trHeight w:val="3557"/>
        </w:trPr>
        <w:tc>
          <w:tcPr>
            <w:tcW w:w="4106" w:type="dxa"/>
            <w:vAlign w:val="bottom"/>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579370" cy="2043430"/>
                      <wp:effectExtent l="0" t="0" r="11430" b="13970"/>
                      <wp:docPr id="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20318" name="图片 22"/>
                              <pic:cNvPicPr>
                                <a:picLocks noChangeAspect="1"/>
                              </pic:cNvPicPr>
                              <pic:nvPr/>
                            </pic:nvPicPr>
                            <pic:blipFill>
                              <a:blip r:embed="rId16"/>
                              <a:stretch/>
                            </pic:blipFill>
                            <pic:spPr bwMode="auto">
                              <a:xfrm>
                                <a:off x="0" y="0"/>
                                <a:ext cx="2704817" cy="21430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3.1pt;height:160.9pt;mso-wrap-distance-left:0.0pt;mso-wrap-distance-top:0.0pt;mso-wrap-distance-right:0.0pt;mso-wrap-distance-bottom:0.0pt;" stroked="false">
                      <v:path textboxrect="0,0,0,0"/>
                      <v:imagedata r:id="rId16" o:title=""/>
                    </v:shape>
                  </w:pict>
                </mc:Fallback>
              </mc:AlternateContent>
            </w:r>
            <w:r/>
          </w:p>
        </w:tc>
        <w:tc>
          <w:tcPr>
            <w:tcW w:w="4190" w:type="dxa"/>
            <w:vAlign w:val="bottom"/>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1239520</wp:posOffset>
                      </wp:positionH>
                      <wp:positionV relativeFrom="paragraph">
                        <wp:posOffset>1615440</wp:posOffset>
                      </wp:positionV>
                      <wp:extent cx="502285" cy="285115"/>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502285" cy="285115"/>
                              </a:xfrm>
                              <a:prstGeom prst="rect">
                                <a:avLst/>
                              </a:prstGeom>
                              <a:noFill/>
                              <a:ln w="6350">
                                <a:noFill/>
                              </a:ln>
                              <a:effectLst/>
                            </wps:spPr>
                            <wps:txbx>
                              <w:txbxContent>
                                <w:p>
                                  <w:pPr>
                                    <w:rPr>
                                      <w:rFonts w:hint="eastAsia" w:ascii="黑体" w:hAnsi="黑体" w:eastAsia="黑体"/>
                                      <w:b/>
                                      <w:bCs/>
                                    </w:rPr>
                                  </w:pPr>
                                  <w:r>
                                    <w:rPr>
                                      <w:rFonts w:hint="eastAsia" w:ascii="黑体" w:hAnsi="黑体" w:eastAsia="黑体"/>
                                      <w:b/>
                                      <w:bCs/>
                                    </w:rPr>
                                    <w:t xml:space="preserve">沿江</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7" o:spid="_x0000_s7" o:spt="202" type="#_x0000_t202" style="position:absolute;z-index:251661312;o:allowoverlap:true;o:allowincell:true;mso-position-horizontal-relative:text;margin-left:97.6pt;mso-position-horizontal:absolute;mso-position-vertical-relative:text;margin-top:127.2pt;mso-position-vertical:absolute;width:39.5pt;height:22.4pt;mso-wrap-distance-left:9.0pt;mso-wrap-distance-top:0.0pt;mso-wrap-distance-right:9.0pt;mso-wrap-distance-bottom:0.0pt;v-text-anchor:top;visibility:visible;" filled="f" stroked="f" strokeweight="0.50pt">
                      <v:textbox inset="0,0,0,0">
                        <w:txbxContent>
                          <w:p>
                            <w:pPr>
                              <w:rPr>
                                <w:rFonts w:hint="eastAsia" w:ascii="黑体" w:hAnsi="黑体" w:eastAsia="黑体"/>
                                <w:b/>
                                <w:bCs/>
                              </w:rPr>
                            </w:pPr>
                            <w:r>
                              <w:rPr>
                                <w:rFonts w:hint="eastAsia" w:ascii="黑体" w:hAnsi="黑体" w:eastAsia="黑体"/>
                                <w:b/>
                                <w:bCs/>
                              </w:rPr>
                              <w:t xml:space="preserve">沿江</w:t>
                            </w:r>
                            <w:r/>
                          </w:p>
                        </w:txbxContent>
                      </v:textbox>
                    </v:shape>
                  </w:pict>
                </mc:Fallback>
              </mc:AlternateContent>
            </w:r>
            <w:r>
              <w:rPr>
                <w:rFonts w:cs="黑体"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1525905</wp:posOffset>
                      </wp:positionH>
                      <wp:positionV relativeFrom="paragraph">
                        <wp:posOffset>1151890</wp:posOffset>
                      </wp:positionV>
                      <wp:extent cx="643890" cy="285115"/>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643890" cy="285115"/>
                              </a:xfrm>
                              <a:prstGeom prst="rect">
                                <a:avLst/>
                              </a:prstGeom>
                              <a:noFill/>
                              <a:ln w="6350">
                                <a:noFill/>
                              </a:ln>
                              <a:effectLst/>
                            </wps:spPr>
                            <wps:txbx>
                              <w:txbxContent>
                                <w:p>
                                  <w:pPr>
                                    <w:rPr>
                                      <w:rFonts w:hint="eastAsia" w:ascii="黑体" w:hAnsi="黑体" w:eastAsia="黑体"/>
                                      <w:b/>
                                      <w:bCs/>
                                    </w:rPr>
                                  </w:pPr>
                                  <w:r>
                                    <w:rPr>
                                      <w:rFonts w:hint="eastAsia" w:ascii="黑体" w:hAnsi="黑体" w:eastAsia="黑体"/>
                                      <w:b/>
                                      <w:bCs/>
                                    </w:rPr>
                                    <w:t xml:space="preserve">里下河</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8" o:spid="_x0000_s8" o:spt="202" type="#_x0000_t202" style="position:absolute;z-index:251660288;o:allowoverlap:true;o:allowincell:true;mso-position-horizontal-relative:text;margin-left:120.1pt;mso-position-horizontal:absolute;mso-position-vertical-relative:text;margin-top:90.7pt;mso-position-vertical:absolute;width:50.7pt;height:22.4pt;mso-wrap-distance-left:9.0pt;mso-wrap-distance-top:0.0pt;mso-wrap-distance-right:9.0pt;mso-wrap-distance-bottom:0.0pt;v-text-anchor:top;visibility:visible;" filled="f" stroked="f" strokeweight="0.50pt">
                      <v:textbox inset="0,0,0,0">
                        <w:txbxContent>
                          <w:p>
                            <w:pPr>
                              <w:rPr>
                                <w:rFonts w:hint="eastAsia" w:ascii="黑体" w:hAnsi="黑体" w:eastAsia="黑体"/>
                                <w:b/>
                                <w:bCs/>
                              </w:rPr>
                            </w:pPr>
                            <w:r>
                              <w:rPr>
                                <w:rFonts w:hint="eastAsia" w:ascii="黑体" w:hAnsi="黑体" w:eastAsia="黑体"/>
                                <w:b/>
                                <w:bCs/>
                              </w:rPr>
                              <w:t xml:space="preserve">里下河</w:t>
                            </w:r>
                            <w:r/>
                          </w:p>
                        </w:txbxContent>
                      </v:textbox>
                    </v:shape>
                  </w:pict>
                </mc:Fallback>
              </mc:AlternateContent>
            </w:r>
            <w:r>
              <w:rPr>
                <w:rFonts w:cs="黑体"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1209040</wp:posOffset>
                      </wp:positionH>
                      <wp:positionV relativeFrom="paragraph">
                        <wp:posOffset>513715</wp:posOffset>
                      </wp:positionV>
                      <wp:extent cx="502285" cy="285115"/>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502285" cy="285115"/>
                              </a:xfrm>
                              <a:prstGeom prst="rect">
                                <a:avLst/>
                              </a:prstGeom>
                              <a:noFill/>
                              <a:ln w="6350">
                                <a:noFill/>
                              </a:ln>
                              <a:effectLst/>
                            </wps:spPr>
                            <wps:txbx>
                              <w:txbxContent>
                                <w:p>
                                  <w:pPr>
                                    <w:rPr>
                                      <w:rFonts w:hint="eastAsia" w:ascii="黑体" w:hAnsi="黑体" w:eastAsia="黑体"/>
                                      <w:b/>
                                      <w:bCs/>
                                    </w:rPr>
                                  </w:pPr>
                                  <w:r>
                                    <w:rPr>
                                      <w:rFonts w:hint="eastAsia" w:ascii="黑体" w:hAnsi="黑体" w:eastAsia="黑体"/>
                                      <w:b/>
                                      <w:bCs/>
                                    </w:rPr>
                                    <w:t xml:space="preserve">徐淮</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text;margin-left:95.2pt;mso-position-horizontal:absolute;mso-position-vertical-relative:text;margin-top:40.4pt;mso-position-vertical:absolute;width:39.5pt;height:22.4pt;mso-wrap-distance-left:9.0pt;mso-wrap-distance-top:0.0pt;mso-wrap-distance-right:9.0pt;mso-wrap-distance-bottom:0.0pt;v-text-anchor:top;visibility:visible;" filled="f" stroked="f" strokeweight="0.50pt">
                      <v:textbox inset="0,0,0,0">
                        <w:txbxContent>
                          <w:p>
                            <w:pPr>
                              <w:rPr>
                                <w:rFonts w:hint="eastAsia" w:ascii="黑体" w:hAnsi="黑体" w:eastAsia="黑体"/>
                                <w:b/>
                                <w:bCs/>
                              </w:rPr>
                            </w:pPr>
                            <w:r>
                              <w:rPr>
                                <w:rFonts w:hint="eastAsia" w:ascii="黑体" w:hAnsi="黑体" w:eastAsia="黑体"/>
                                <w:b/>
                                <w:bCs/>
                              </w:rPr>
                              <w:t xml:space="preserve">徐淮</w:t>
                            </w:r>
                            <w:r/>
                          </w:p>
                        </w:txbxContent>
                      </v:textbox>
                    </v:shape>
                  </w:pict>
                </mc:Fallback>
              </mc:AlternateContent>
            </w:r>
            <w:r>
              <w:rPr>
                <w:rFonts w:cs="黑体"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63825" cy="2524760"/>
                      <wp:effectExtent l="0" t="0" r="3175" b="8890"/>
                      <wp:docPr id="1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70535" name="图片 25"/>
                              <pic:cNvPicPr>
                                <a:picLocks noChangeAspect="1"/>
                              </pic:cNvPicPr>
                              <pic:nvPr/>
                            </pic:nvPicPr>
                            <pic:blipFill>
                              <a:blip r:embed="rId17"/>
                              <a:stretch/>
                            </pic:blipFill>
                            <pic:spPr bwMode="auto">
                              <a:xfrm>
                                <a:off x="0" y="0"/>
                                <a:ext cx="2712562" cy="25708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9.8pt;height:198.8pt;mso-wrap-distance-left:0.0pt;mso-wrap-distance-top:0.0pt;mso-wrap-distance-right:0.0pt;mso-wrap-distance-bottom:0.0pt;" stroked="false">
                      <v:path textboxrect="0,0,0,0"/>
                      <v:imagedata r:id="rId17" o:title=""/>
                    </v:shape>
                  </w:pict>
                </mc:Fallback>
              </mc:AlternateContent>
            </w:r>
            <w:r/>
          </w:p>
        </w:tc>
      </w:tr>
      <w:tr>
        <w:trPr>
          <w:jc w:val="center"/>
        </w:trPr>
        <w:tc>
          <w:tcPr>
            <w:tcW w:w="4106"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图1-3-3 里下河工作区位置示意图</w:t>
            </w:r>
            <w:r/>
          </w:p>
        </w:tc>
        <w:tc>
          <w:tcPr>
            <w:tcW w:w="4190" w:type="dxa"/>
            <w:textDirection w:val="lrTb"/>
            <w:noWrap w:val="false"/>
          </w:tcPr>
          <w:p>
            <w:pPr>
              <w:ind w:firstLine="420"/>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图1-3-4 工作区位置示意图</w:t>
            </w:r>
            <w:r/>
          </w:p>
        </w:tc>
      </w:tr>
    </w:tbl>
    <w:p>
      <w:pPr>
        <w:ind w:firstLine="420"/>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表1-3-1工作区拐点坐标一览（2000国家坐标系，3度带）</w:t>
      </w:r>
      <w:r/>
    </w:p>
    <w:tbl>
      <w:tblPr>
        <w:tblStyle w:val="1089"/>
        <w:tblW w:w="7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670"/>
        <w:gridCol w:w="545"/>
        <w:gridCol w:w="1211"/>
        <w:gridCol w:w="1133"/>
        <w:gridCol w:w="1124"/>
        <w:gridCol w:w="985"/>
        <w:gridCol w:w="1127"/>
      </w:tblGrid>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工作区名称</w:t>
            </w:r>
            <w:r/>
          </w:p>
        </w:tc>
        <w:tc>
          <w:tcPr>
            <w:tcW w:w="545"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点号</w:t>
            </w:r>
            <w:r/>
          </w:p>
        </w:tc>
        <w:tc>
          <w:tcPr>
            <w:gridSpan w:val="2"/>
            <w:tcW w:w="234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经纬度坐标</w:t>
            </w:r>
            <w:r/>
          </w:p>
        </w:tc>
        <w:tc>
          <w:tcPr>
            <w:gridSpan w:val="2"/>
            <w:tcW w:w="2109"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平面直角坐标</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面积</w:t>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东经</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北纬</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X</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Y</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bookmarkStart w:id="126" w:name="_Hlk219796104"/>
            <w:r>
              <w:rPr>
                <w:rFonts w:cs="黑体" w:asciiTheme="minorEastAsia" w:hAnsiTheme="minorEastAsia" w:eastAsiaTheme="minorEastAsia"/>
                <w:szCs w:val="21"/>
                <w:highlight w:val="none"/>
              </w:rPr>
              <w:t xml:space="preserve">里下河工作区</w:t>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119°49'35"</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32°47'53"</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40483283</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3630599</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85.58km</w:t>
            </w:r>
            <w:r>
              <w:rPr>
                <w:rFonts w:cs="黑体" w:asciiTheme="minorEastAsia" w:hAnsiTheme="minorEastAsia" w:eastAsiaTheme="minorEastAsia"/>
                <w:szCs w:val="21"/>
                <w:highlight w:val="none"/>
                <w:vertAlign w:val="superscript"/>
              </w:rPr>
              <w:t xml:space="preserve">2</w:t>
            </w:r>
            <w:bookmarkEnd w:id="126"/>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2</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119°52'02"</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32°42'36"</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40487087</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3620815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119°49'50"</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32°40'24"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40483645</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3616768</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119°45'27"</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32°44'04"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40476797</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3623545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沿江工作区</w:t>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119°38'52"</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32°21'04"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40467446</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3587568</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120.99km</w:t>
            </w:r>
            <w:r>
              <w:rPr>
                <w:rFonts w:cs="黑体" w:asciiTheme="minorEastAsia" w:hAnsiTheme="minorEastAsia" w:eastAsiaTheme="minorEastAsia"/>
                <w:szCs w:val="21"/>
                <w:highlight w:val="none"/>
                <w:vertAlign w:val="superscript"/>
              </w:rPr>
              <w:t xml:space="preserve">2</w:t>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2</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119°40'42"</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32°24'32"</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40485377</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3578794</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119°50'58"</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32°19'51"</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40472976</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3574894</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119°43'05"</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32°17'44"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40459604</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3583858</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徐淮工作区</w:t>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119°17'46"</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34°31'54"</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40434859</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3822985</w:t>
            </w:r>
            <w:r/>
          </w:p>
        </w:tc>
        <w:tc>
          <w:tcPr>
            <w:tcW w:w="1127" w:type="dxa"/>
            <w:vAlign w:val="center"/>
            <w:vMerge w:val="restart"/>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80.64km</w:t>
            </w:r>
            <w:r>
              <w:rPr>
                <w:rFonts w:cs="黑体" w:asciiTheme="minorEastAsia" w:hAnsiTheme="minorEastAsia" w:eastAsiaTheme="minorEastAsia"/>
                <w:szCs w:val="21"/>
                <w:highlight w:val="none"/>
                <w:vertAlign w:val="superscript"/>
              </w:rPr>
              <w:t xml:space="preserve">2</w:t>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2</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119°24'26"</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34°28'13"</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40445016</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3816108</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119°14'39"</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34°27'23"</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40430048</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3814685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r>
        <w:trPr>
          <w:jc w:val="center"/>
        </w:trPr>
        <w:tc>
          <w:tcPr>
            <w:tcW w:w="1670"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c>
          <w:tcPr>
            <w:tcW w:w="54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w:t>
            </w:r>
            <w:r/>
          </w:p>
        </w:tc>
        <w:tc>
          <w:tcPr>
            <w:tcW w:w="1211"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119°11'54"</w:t>
            </w:r>
            <w:r/>
          </w:p>
        </w:tc>
        <w:tc>
          <w:tcPr>
            <w:tcW w:w="1133"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34°30'41"</w:t>
            </w:r>
            <w:r/>
          </w:p>
        </w:tc>
        <w:tc>
          <w:tcPr>
            <w:tcW w:w="1124"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40425884</w:t>
            </w:r>
            <w:r/>
          </w:p>
        </w:tc>
        <w:tc>
          <w:tcPr>
            <w:tcW w:w="985" w:type="dxa"/>
            <w:vAlign w:val="center"/>
            <w:textDirection w:val="lrTb"/>
            <w:noWrap w:val="false"/>
          </w:tcPr>
          <w:p>
            <w:pPr>
              <w:jc w:val="center"/>
              <w:spacing w:line="360" w:lineRule="auto"/>
              <w:rPr>
                <w:rFonts w:hint="eastAsia"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3820805</w:t>
            </w:r>
            <w:r/>
          </w:p>
        </w:tc>
        <w:tc>
          <w:tcPr>
            <w:tcW w:w="1127" w:type="dxa"/>
            <w:vAlign w:val="center"/>
            <w:vMerge w:val="continue"/>
            <w:textDirection w:val="lrTb"/>
            <w:noWrap w:val="false"/>
          </w:tcPr>
          <w:p>
            <w:pPr>
              <w:jc w:val="center"/>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r>
            <w:r/>
          </w:p>
        </w:tc>
      </w:tr>
    </w:tbl>
    <w:p>
      <w:pPr>
        <w:ind w:firstLine="480"/>
        <w:spacing w:line="360" w:lineRule="auto"/>
        <w:rPr>
          <w:rFonts w:hint="eastAsia" w:cs="黑体" w:asciiTheme="minorEastAsia" w:hAnsiTheme="minorEastAsia" w:eastAsiaTheme="minorEastAsia"/>
          <w:b/>
          <w:bCs/>
          <w:szCs w:val="21"/>
          <w:highlight w:val="none"/>
        </w:rPr>
      </w:pPr>
      <w:r/>
      <w:bookmarkStart w:id="127" w:name="OLE_LINK10"/>
      <w:r>
        <w:rPr>
          <w:rFonts w:hint="eastAsia" w:cs="黑体" w:asciiTheme="minorEastAsia" w:hAnsiTheme="minorEastAsia" w:eastAsiaTheme="minorEastAsia"/>
          <w:b/>
          <w:bCs/>
          <w:szCs w:val="21"/>
          <w:highlight w:val="none"/>
        </w:rPr>
        <w:t xml:space="preserve">四、工作标准</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w:t>
      </w:r>
      <w:r>
        <w:rPr>
          <w:rFonts w:cs="黑体" w:asciiTheme="minorEastAsia" w:hAnsiTheme="minorEastAsia" w:eastAsiaTheme="minorEastAsia"/>
          <w:szCs w:val="21"/>
          <w:highlight w:val="none"/>
        </w:rPr>
        <w:t xml:space="preserve">本项目</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将严格执行有关的现行技术标准与规范，有国家标准的一律执行国标，暂时没有国家标准的，参照相关行业标准或规范执行，并结合实际灵活掌握。</w:t>
      </w:r>
      <w:r>
        <w:rPr>
          <w:rFonts w:hint="eastAsia" w:cs="黑体" w:asciiTheme="minorEastAsia" w:hAnsiTheme="minorEastAsia" w:eastAsiaTheme="minorEastAsia"/>
          <w:szCs w:val="21"/>
          <w:highlight w:val="none"/>
        </w:rPr>
        <w:t xml:space="preserve">主要分析元素的</w:t>
      </w:r>
      <w:r>
        <w:rPr>
          <w:rFonts w:cs="黑体" w:asciiTheme="minorEastAsia" w:hAnsiTheme="minorEastAsia" w:eastAsiaTheme="minorEastAsia"/>
          <w:szCs w:val="21"/>
          <w:highlight w:val="none"/>
        </w:rPr>
        <w:t xml:space="preserve">执行的</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标准或</w:t>
      </w:r>
      <w:r>
        <w:rPr>
          <w:rFonts w:hint="eastAsia" w:cs="黑体" w:asciiTheme="minorEastAsia" w:hAnsiTheme="minorEastAsia" w:eastAsiaTheme="minorEastAsia"/>
          <w:szCs w:val="21"/>
          <w:highlight w:val="none"/>
        </w:rPr>
        <w:t xml:space="preserve">方法见下表</w:t>
      </w:r>
      <w:r>
        <w:rPr>
          <w:rFonts w:cs="黑体" w:asciiTheme="minorEastAsia" w:hAnsiTheme="minorEastAsia" w:eastAsiaTheme="minorEastAsia"/>
          <w:szCs w:val="21"/>
          <w:highlight w:val="none"/>
        </w:rPr>
        <w:t xml:space="preserve">：</w:t>
      </w:r>
      <w:r/>
    </w:p>
    <w:tbl>
      <w:tblPr>
        <w:tblStyle w:val="109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67"/>
        <w:gridCol w:w="1275"/>
        <w:gridCol w:w="1418"/>
        <w:gridCol w:w="5812"/>
      </w:tblGrid>
      <w:tr>
        <w:trPr>
          <w:jc w:val="center"/>
        </w:trPr>
        <w:tc>
          <w:tcPr>
            <w:tcW w:w="567"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序号</w:t>
            </w:r>
            <w:r/>
          </w:p>
        </w:tc>
        <w:tc>
          <w:tcPr>
            <w:gridSpan w:val="2"/>
            <w:tcW w:w="2693"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测试项目</w:t>
            </w:r>
            <w:r/>
          </w:p>
        </w:tc>
        <w:tc>
          <w:tcPr>
            <w:tcW w:w="5812"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分析方法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土壤化学样品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780 波长色散X射线荧光光谱法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803王水提取-电感耦合等离子体质谱法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DZ/T 0279.2电感耦合等离子体原子发射光谱法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1377、NY/T 1121.2、DZ/T 0279.34、LY/T 1239 离子选择电极法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有效锌</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890 二乙三胺五乙酸（DTPA）浸提法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锌形态分析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土壤元素形态分析“7步提取法”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锌同位素分析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GB/T 37847 多接收电感耦合等离子体质谱法（MC-ICP-MS）</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农作物样品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5009.14火焰原子吸收光谱法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5009.268、DZ/T 0253.1电感耦合等离子体质谱法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5009.268电感耦合等离子体光谱法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稻米籽实</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以三级大米计，加工精度见GB/T 1354</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W w:w="1275"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7475-87 原子吸收分光光度法</w:t>
            </w:r>
            <w:r/>
          </w:p>
        </w:tc>
      </w:tr>
    </w:tbl>
    <w:p>
      <w:pPr>
        <w:ind w:firstLine="48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 测试方法按照国家相关规范执行；为控制测试精度，平行样选取比例为5%-10%。</w:t>
      </w:r>
      <w:r/>
    </w:p>
    <w:p>
      <w:pPr>
        <w:ind w:firstLine="48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3. 投标人负责撰写分析数据报告。报告除给出测试结果外，还应给出各种指标分析测试方法(包括检出限、准确度、精密度等)、测试仪器、测试环境的温湿条件和质量评估等内容。质量指标均满足</w:t>
      </w:r>
      <w:bookmarkStart w:id="128" w:name="OLE_LINK5"/>
      <w:r>
        <w:rPr>
          <w:rFonts w:hint="eastAsia" w:cs="黑体" w:asciiTheme="minorEastAsia" w:hAnsiTheme="minorEastAsia" w:eastAsiaTheme="minorEastAsia"/>
          <w:szCs w:val="21"/>
          <w:highlight w:val="none"/>
        </w:rPr>
        <w:t xml:space="preserve">DZ/T 0130-2006</w:t>
      </w:r>
      <w:bookmarkEnd w:id="128"/>
      <w:r>
        <w:rPr>
          <w:rFonts w:hint="eastAsia" w:cs="黑体" w:asciiTheme="minorEastAsia" w:hAnsiTheme="minorEastAsia" w:eastAsiaTheme="minorEastAsia"/>
          <w:szCs w:val="21"/>
          <w:highlight w:val="none"/>
        </w:rPr>
        <w:t xml:space="preserve"> 地质矿产实验室测试质量管理规范、DZ/T 0145-2017 土壤地球化学测量规程要求，内检合格率不低于95%，外检合格率不低于90%，外检单位由采购人指定等。</w:t>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五、工作内容及要求</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9"/>
        <w:gridCol w:w="1330"/>
      </w:tblGrid>
      <w:tr>
        <w:trPr>
          <w:jc w:val="center"/>
          <w:trHeight w:val="470"/>
        </w:trPr>
        <w:tc>
          <w:tcPr>
            <w:tcW w:w="0" w:type="auto"/>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分析项目</w:t>
            </w:r>
            <w:r/>
          </w:p>
        </w:tc>
        <w:tc>
          <w:tcPr>
            <w:tcW w:w="1330"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470"/>
        </w:trPr>
        <w:tc>
          <w:tcPr>
            <w:gridSpan w:val="2"/>
            <w:tcW w:w="7959"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土壤分析</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1:5万土壤地球化学分析（锌、有效锌、pH值、镉、汞、砷、铅、铬、铜、镍、有机质、氮、磷、钾、有效磷、速效钾、硅、铝、铁、锰、钠、钙、硫、硒、镁共25项指标）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1094件</w:t>
            </w:r>
            <w:r/>
          </w:p>
        </w:tc>
      </w:tr>
      <w:tr>
        <w:trPr>
          <w:jc w:val="center"/>
          <w:trHeight w:val="916"/>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1:5万农作物籽实分析（锌、砷、镉、铬、汞、铅、硒等7项）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548件</w:t>
            </w:r>
            <w:r/>
          </w:p>
        </w:tc>
      </w:tr>
      <w:tr>
        <w:trPr>
          <w:jc w:val="center"/>
          <w:trHeight w:val="916"/>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1:5万农作物籽实外检分析（锌、砷、镉、铬、汞、铅、硒等7项）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48"/>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水稻期根系土分析（沿江、里下河工作区）（锌、有效锌、pH值、镉、汞、砷、铅、铬、铜、镍、有机质、氮、磷、钾、硅、铝、铁、锰、钠、钙、硫、硒、镁、阳离子交换量、交换性钙、交换性镁、粒度分析，共27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47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1:5万水稻期根系土微生物分析（微生物1项）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137件</w:t>
            </w:r>
            <w:r/>
          </w:p>
        </w:tc>
      </w:tr>
      <w:tr>
        <w:trPr>
          <w:jc w:val="center"/>
          <w:trHeight w:val="226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小麦期根系土分析（沿江、里下河工作区）（锌、有效锌、pH值、镉、汞、砷、铅、铬、铜、镍、有机质、氮、磷、钾、硅、铝、铁、锰、钠、钙、硫、硒、镁、阳离子交换量、交换性钙、交换性镁，共26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5万小麦期根系土分析（徐淮工作区）（锌、有效锌、pH值、镉、汞、砷、铅、铬、铜、镍、有机质、氮、磷、钾、硅、铝、铁、锰、钠、钙、硫、硒、镁、阳离子交换量、交换性钙、交换性镁、全盐量、Na+、Cl-，共29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土壤剖面样品分析（沿江、里下河工作区）（锌、有效锌、pH值、镉、汞、砷、铅、铬、铜、镍、有机质、铁、锰、钠、镁、钙、硫、硒、硅、铝、粒度分析共21项指标）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276件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土壤剖面样品分析（徐淮工作区）（锌、有效锌、pH值、镉、汞、砷、铅、铬、铜、镍、有机质、铁、锰、钠、镁、钙、硫、硒、硅、铝、粒度分析、全盐量、Na+、Cl-共24项指标）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典型剖面样品分析（锌形态分析（7步提取法）、钛、锆）</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锌同位素分析（锌同位素（δ66Zn）1项）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1:1万土壤地球化学分析（锌、有效锌、pH值、镉、汞、砷、铅、铬、铜、镍、有机质、氮、有效磷、速效钾、硅、铝、铁、锰、钠、镁、钙、硫、硒、钼共24项指标）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384件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1:1万农作物水稻、小麦分析（锌、砷、镉、铬、汞、铅、硒、铁、锰、钼、铜、钙共计12项指标）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1:1万农作物籽实外检分析（锌、砷、镉、铬、汞、铅、硒、铁、锰、钼、铜、钙共计12项指标）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1:1万农作物秸秆分析（锌1项指标）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164件</w:t>
            </w:r>
            <w:r/>
          </w:p>
        </w:tc>
      </w:tr>
      <w:tr>
        <w:trPr>
          <w:jc w:val="center"/>
          <w:trHeight w:val="1848"/>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1:1万农作物根系土分析（徐淮工作区）（锌、有效锌、pH值、镉、汞、砷、铅、铬、铜、镍、有机质、氮、磷、钾、硅、铝、铁、锰、钠、镁、钙、硫、硒、钼、阳离子交换量、全盐量、Na+、Cl-共28项指标）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82件</w:t>
            </w:r>
            <w:r/>
          </w:p>
        </w:tc>
      </w:tr>
      <w:tr>
        <w:trPr>
          <w:jc w:val="center"/>
          <w:trHeight w:val="1157"/>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其他农作物分析（锌、砷、镉、铬、汞、铅、硒、铁、锰、钼、铜、钙共计12项指标）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96件</w:t>
            </w:r>
            <w:r/>
          </w:p>
        </w:tc>
      </w:tr>
      <w:tr>
        <w:trPr>
          <w:jc w:val="center"/>
          <w:trHeight w:val="1812"/>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其他农作物根系土分析（沿江、里下河工作区）（锌、有效锌、pH值、镉、汞、砷、铅、铬、铜、镍、有机质、氮、磷、钾、硅、铝、铁、锰、钠、镁、钙、硫、硒、钼、阳离子交换量共25项指标）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64件</w:t>
            </w:r>
            <w:r/>
          </w:p>
        </w:tc>
      </w:tr>
      <w:tr>
        <w:trPr>
          <w:jc w:val="center"/>
          <w:trHeight w:val="1848"/>
        </w:trPr>
        <w:tc>
          <w:tcPr>
            <w:tcW w:w="0" w:type="auto"/>
            <w:vAlign w:val="center"/>
            <w:textDirection w:val="lrTb"/>
            <w:noWrap w:val="false"/>
          </w:tcPr>
          <w:p>
            <w:pPr>
              <w:ind w:firstLine="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其他农作物根系土分析（徐淮工作区）（锌、有效锌、pH值、镉、汞、砷、铅、铬、铜、镍、有机质、氮、磷、钾、硅、铝、铁、锰、钠、镁、钙、硫、硒、钼、阳离子交换量、全盐量、Na+、Cl-共28项指标）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32件</w:t>
            </w:r>
            <w:r/>
          </w:p>
        </w:tc>
      </w:tr>
      <w:tr>
        <w:trPr>
          <w:jc w:val="center"/>
          <w:trHeight w:val="470"/>
        </w:trPr>
        <w:tc>
          <w:tcPr>
            <w:gridSpan w:val="2"/>
            <w:tcW w:w="7959"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水质分析</w:t>
            </w:r>
            <w:r/>
          </w:p>
        </w:tc>
      </w:tr>
      <w:tr>
        <w:trPr>
          <w:jc w:val="center"/>
          <w:trHeight w:val="1364"/>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灌溉水分析（沿江、里下河工作区）（锌、pH值、总铅、总镉、总汞、总砷、铬（六价）、氟化物、化学需氧量、石油类等10项指标）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36件</w:t>
            </w:r>
            <w:r/>
          </w:p>
        </w:tc>
      </w:tr>
      <w:tr>
        <w:trPr>
          <w:jc w:val="center"/>
          <w:trHeight w:val="1383"/>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灌溉水分析（徐淮工作区）（锌、pH值、总铅、总镉、总汞、总砷、铬（六价）、氟化物、化学需氧量、石油类、全盐量等11项指标）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18件</w:t>
            </w:r>
            <w:r/>
          </w:p>
        </w:tc>
      </w:tr>
    </w:tbl>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注：1.</w:t>
      </w:r>
      <w:r>
        <w:rPr>
          <w:rFonts w:hint="eastAsia" w:cs="黑体" w:asciiTheme="minorEastAsia" w:hAnsiTheme="minorEastAsia" w:eastAsiaTheme="minorEastAsia"/>
          <w:b/>
          <w:bCs/>
          <w:szCs w:val="21"/>
          <w:highlight w:val="none"/>
          <w:lang w:val="en-US" w:eastAsia="zh-CN"/>
        </w:rPr>
        <w:t xml:space="preserve">相关分析</w:t>
      </w:r>
      <w:r>
        <w:rPr>
          <w:rFonts w:hint="eastAsia" w:cs="黑体" w:asciiTheme="minorEastAsia" w:hAnsiTheme="minorEastAsia" w:eastAsiaTheme="minorEastAsia"/>
          <w:b/>
          <w:bCs/>
          <w:szCs w:val="21"/>
          <w:highlight w:val="none"/>
        </w:rPr>
        <w:t xml:space="preserve">质量及标准符合采购人及国家有关规范要求。</w:t>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lang w:val="en-US" w:eastAsia="zh-CN"/>
        </w:rPr>
        <w:t xml:space="preserve">2</w:t>
      </w:r>
      <w:r>
        <w:rPr>
          <w:rFonts w:hint="eastAsia" w:cs="黑体" w:asciiTheme="minorEastAsia" w:hAnsiTheme="minorEastAsia" w:eastAsiaTheme="minorEastAsia"/>
          <w:b/>
          <w:bCs/>
          <w:szCs w:val="21"/>
          <w:highlight w:val="none"/>
        </w:rPr>
        <w:t xml:space="preserve">.分析数量为预计数量，实际分析样品数量以采购人通知为准。</w:t>
      </w:r>
      <w:r/>
    </w:p>
    <w:p>
      <w:pPr>
        <w:ind w:firstLine="480"/>
        <w:spacing w:line="360" w:lineRule="auto"/>
        <w:rPr>
          <w:rFonts w:hint="eastAsia" w:cs="宋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w:t>
      </w:r>
      <w:bookmarkEnd w:id="127"/>
      <w:r>
        <w:rPr>
          <w:rFonts w:hint="eastAsia" w:cs="黑体" w:asciiTheme="minorEastAsia" w:hAnsiTheme="minorEastAsia" w:eastAsiaTheme="minorEastAsia"/>
          <w:b/>
          <w:bCs/>
          <w:szCs w:val="21"/>
          <w:highlight w:val="none"/>
        </w:rPr>
        <w:t xml:space="preserve">六、拟采购标的需要满足的技术、商务要求</w:t>
      </w:r>
      <w:r/>
    </w:p>
    <w:p>
      <w:pPr>
        <w:ind w:firstLine="480"/>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（一）技术要求</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1.服务要求</w:t>
      </w:r>
      <w:r/>
    </w:p>
    <w:p>
      <w:pPr>
        <w:ind w:firstLine="420"/>
        <w:spacing w:line="360" w:lineRule="auto"/>
        <w:rPr>
          <w:rFonts w:hint="eastAsia" w:cs="黑体" w:asciiTheme="minorEastAsia" w:hAnsiTheme="minorEastAsia" w:eastAsiaTheme="minorEastAsia"/>
          <w:szCs w:val="21"/>
          <w:highlight w:val="none"/>
          <w:lang w:eastAsia="zh-CN"/>
        </w:rPr>
      </w:pPr>
      <w:r>
        <w:rPr>
          <w:rFonts w:hint="eastAsia" w:cs="黑体" w:asciiTheme="minorEastAsia" w:hAnsiTheme="minorEastAsia" w:eastAsiaTheme="minorEastAsia"/>
          <w:szCs w:val="21"/>
          <w:highlight w:val="none"/>
        </w:rPr>
        <w:t xml:space="preserve">（1）投标人应及时向采购人反馈工作进展情况</w:t>
      </w:r>
      <w:r>
        <w:rPr>
          <w:rFonts w:hint="eastAsia" w:cs="黑体" w:asciiTheme="minorEastAsia" w:hAnsiTheme="minorEastAsia" w:eastAsiaTheme="minorEastAsia"/>
          <w:szCs w:val="21"/>
          <w:highlight w:val="none"/>
          <w:lang w:eastAsia="zh-CN"/>
        </w:rPr>
        <w:t xml:space="preserve">。</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投标人负责样品签收后直至出具检测报告的所有工作内容，对采购人提供的样品分析质量情况按有关要求执行，投标人对分析结果的真实、准确性负责。本合同服务项目的保证期为两年。在保证期内发现服务质量缺陷的，投标人应当负责返工或者采取补救措施，但不是由于投标人的原因所造成的情况除外。并接受采购人的质量检查与监督。</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（3）按时向采购人提交检测报告，提交成果如下：A、按时、保质、保量向采购人提交全部样品检测分析成果报告(纸质和电子版，其中纸质版2份)，并加盖分析测试专用章。 B、内检合格率、外检合格率 。C、分析工作质量总结报告盖章版2份。</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（3）投标人不得将分析资料以任何方式转让第三方。</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（4）如采购人提供样品包装有破损或污染等情况，投标人有权要求采购人退换。</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（5）投标人对分析测试所获得的资料及最终成果负有保密义务。</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（6）在该项目成果报告正式评审验收前，对分析后剩余样品负有保管责任，接到采购人关于分析剩余样品处理通知后，按通知予以处理。</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2.知识产权要求</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对该项目所记录的所有原始素材须提交采购人，投标人及其人员履行本合同所产生的一切成果，其所有权及知识产权均归采购人所有，投标人不得将以上述成果应用于其他媒体或机构、擅自发表、申请知识产权等任何方式实施任何损害采购人所有权及知识产权的行为。</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投标人必须对项目技术方案以及由采购人提供的所有内部资料、技术文档和信息予以保密，投标人必须遵守与采购人签订的保密协议，未经采购人书面许可，投标人不得基于本合同以外的目的使用，不得以任何形式向第三方透露上述保密内容。</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3.人员配备要求</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（1）在本项目执行期间，核心人员要百分百地投入到本项目中，并且整个项目团队的人员要相对固定，未得到采购人同意不得擅自更换团队服务人员。</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（2）由于本项目涉及面广、整体要求高，投标人应在投标文件中列明各项专职人员，以及具体负责事宜。</w:t>
      </w:r>
      <w:r/>
    </w:p>
    <w:p>
      <w:pPr>
        <w:ind w:firstLine="480"/>
        <w:spacing w:line="360" w:lineRule="auto"/>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（二）商务要求</w:t>
      </w:r>
      <w:r/>
    </w:p>
    <w:p>
      <w:pPr>
        <w:ind w:firstLine="48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1.结算方式</w:t>
      </w:r>
      <w:r/>
    </w:p>
    <w:p>
      <w:pPr>
        <w:ind w:firstLine="48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本项目以单价按实结算。</w:t>
      </w:r>
      <w:r/>
    </w:p>
    <w:p>
      <w:pPr>
        <w:ind w:firstLine="48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.工作进度安排</w:t>
      </w:r>
      <w:r/>
    </w:p>
    <w:p>
      <w:pPr>
        <w:ind w:firstLine="480"/>
        <w:spacing w:line="36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由于采购人整体项目持续时间较长，需要分多批次送样，为及时指导进一步工作施工，要求中标人在收到样品之日起30工作日内，提交初步分析结果，所有正式报告在整体项目任务结束时一起提交。整个进度约在2027年11月底结束。</w:t>
      </w:r>
      <w:r/>
    </w:p>
    <w:p>
      <w:pPr>
        <w:ind w:firstLine="48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hint="eastAsia" w:asciiTheme="minorEastAsia" w:hAnsiTheme="minorEastAsia" w:eastAsiaTheme="minorEastAsia"/>
          <w:szCs w:val="21"/>
          <w:highlight w:val="none"/>
        </w:rPr>
        <w:t xml:space="preserve">.付款方式</w:t>
      </w:r>
      <w:r/>
    </w:p>
    <w:p>
      <w:pPr>
        <w:ind w:firstLine="48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本项目为按实结算</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合同签订后一个月内支付</w:t>
      </w:r>
      <w:r>
        <w:rPr>
          <w:rFonts w:hint="eastAsia" w:asciiTheme="minorEastAsia" w:hAnsiTheme="minorEastAsia" w:eastAsiaTheme="minorEastAsia"/>
          <w:szCs w:val="21"/>
          <w:highlight w:val="none"/>
          <w:lang w:val="en-US" w:eastAsia="zh-CN"/>
        </w:rPr>
        <w:t xml:space="preserve">预估的</w:t>
      </w:r>
      <w:r>
        <w:rPr>
          <w:rFonts w:hint="eastAsia" w:asciiTheme="minorEastAsia" w:hAnsiTheme="minorEastAsia" w:eastAsiaTheme="minorEastAsia"/>
          <w:szCs w:val="21"/>
          <w:highlight w:val="none"/>
        </w:rPr>
        <w:t xml:space="preserve">合同总金额的</w:t>
      </w:r>
      <w:r>
        <w:rPr>
          <w:rFonts w:hint="eastAsia" w:asciiTheme="minorEastAsia" w:hAnsiTheme="minorEastAsia" w:eastAsiaTheme="minorEastAsia"/>
          <w:szCs w:val="21"/>
          <w:highlight w:val="none"/>
          <w:lang w:eastAsia="zh-CN"/>
        </w:rPr>
        <w:t xml:space="preserve">5</w:t>
      </w:r>
      <w:r>
        <w:rPr>
          <w:rFonts w:hint="eastAsia" w:asciiTheme="minorEastAsia" w:hAnsiTheme="minorEastAsia" w:eastAsiaTheme="minorEastAsia"/>
          <w:szCs w:val="21"/>
          <w:highlight w:val="none"/>
        </w:rPr>
        <w:t xml:space="preserve">0%；</w:t>
      </w:r>
      <w:r>
        <w:rPr>
          <w:rFonts w:hint="eastAsia" w:asciiTheme="minorEastAsia" w:hAnsiTheme="minorEastAsia" w:eastAsiaTheme="minorEastAsia"/>
          <w:szCs w:val="21"/>
          <w:highlight w:val="none"/>
          <w:lang w:val="en-US" w:eastAsia="zh-CN"/>
        </w:rPr>
        <w:t xml:space="preserve">在11月底采购人向中标人支付预估的合同总金额的30%，</w:t>
      </w:r>
      <w:r>
        <w:rPr>
          <w:rFonts w:hint="eastAsia" w:asciiTheme="minorEastAsia" w:hAnsiTheme="minorEastAsia" w:eastAsiaTheme="minorEastAsia"/>
          <w:szCs w:val="21"/>
          <w:highlight w:val="none"/>
        </w:rPr>
        <w:t xml:space="preserve">在中标人提交全部测试结果并经采购人验收合格后15个工作日内，按测试样品的实际数量据实结算，支付剩余测试费。如服务期内项目结算总金额未达到合同金额的，据实结算支付。如服务期内项目结算总金额达到或超过合同金额的，超出部分的结算金额不得超过合同采购金额的10%且整体结算金额不得超过项目预算金额290万元。如财政拨款到位时间迟于上述付款时间，按照财政拨款实际到位时间进行支付。</w:t>
      </w:r>
      <w:r/>
    </w:p>
    <w:p>
      <w:pPr>
        <w:ind w:firstLine="480"/>
        <w:jc w:val="lef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p>
      <w:pPr>
        <w:ind w:firstLine="480"/>
        <w:jc w:val="left"/>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本章节加“★”内容为实质性要求，需在《技术要求响应及偏离表》和《商务要求响应及偏离表》中明确响应，投标人未对实质性要求明确响应或有负偏离的，按无效响应处理。</w:t>
      </w:r>
      <w:bookmarkEnd w:id="124"/>
      <w:r/>
      <w:bookmarkEnd w:id="125"/>
      <w:r/>
      <w:r/>
    </w:p>
    <w:p>
      <w:pPr>
        <w:rPr>
          <w:rFonts w:hint="eastAsia" w:asciiTheme="minorEastAsia" w:hAnsiTheme="minorEastAsia" w:eastAsiaTheme="minorEastAsia"/>
          <w:highlight w:val="none"/>
        </w:rPr>
      </w:pPr>
      <w:r/>
      <w:bookmarkStart w:id="129" w:name="_Toc29718"/>
      <w:r>
        <w:rPr>
          <w:rFonts w:hint="eastAsia" w:asciiTheme="minorEastAsia" w:hAnsiTheme="minorEastAsia" w:eastAsiaTheme="minorEastAsia"/>
          <w:highlight w:val="none"/>
        </w:rPr>
        <w:br w:type="page" w:clear="all"/>
      </w:r>
      <w:r/>
    </w:p>
    <w:p>
      <w:pPr>
        <w:pStyle w:val="890"/>
        <w:numPr>
          <w:ilvl w:val="0"/>
          <w:numId w:val="0"/>
        </w:numPr>
        <w:ind w:left="567"/>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第五章 合同主要条款及格式</w:t>
      </w:r>
      <w:bookmarkEnd w:id="122"/>
      <w:r/>
      <w:bookmarkEnd w:id="123"/>
      <w:r/>
      <w:bookmarkEnd w:id="129"/>
      <w:r/>
      <w:r/>
    </w:p>
    <w:p>
      <w:pPr>
        <w:rPr>
          <w:highlight w:val="none"/>
        </w:rPr>
      </w:pPr>
      <w:r>
        <w:rPr>
          <w:highlight w:val="none"/>
        </w:rPr>
      </w:r>
      <w:r/>
    </w:p>
    <w:p>
      <w:pPr>
        <w:jc w:val="center"/>
        <w:spacing w:line="600" w:lineRule="exact"/>
        <w:rPr>
          <w:rFonts w:hint="eastAsia" w:ascii="宋体" w:hAnsi="宋体" w:cs="宋体"/>
          <w:sz w:val="44"/>
          <w:szCs w:val="44"/>
          <w:highlight w:val="none"/>
        </w:rPr>
      </w:pPr>
      <w:r>
        <w:rPr>
          <w:rFonts w:hint="eastAsia" w:ascii="宋体" w:hAnsi="宋体" w:cs="宋体"/>
          <w:sz w:val="44"/>
          <w:szCs w:val="44"/>
          <w:highlight w:val="none"/>
        </w:rPr>
        <w:t xml:space="preserve">江苏省典型高锌农耕区精细化调查与开发利用评价项目第三方样品测试分析</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t xml:space="preserve">合</w:t>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t xml:space="preserve">同</w:t>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t xml:space="preserve">书</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1134"/>
        <w:rPr>
          <w:rFonts w:hint="eastAsia" w:ascii="宋体" w:hAnsi="宋体" w:cs="宋体"/>
          <w:b/>
          <w:bCs/>
          <w:sz w:val="30"/>
          <w:szCs w:val="30"/>
          <w:highlight w:val="none"/>
        </w:rPr>
      </w:pPr>
      <w:r>
        <w:rPr>
          <w:rFonts w:hint="eastAsia" w:ascii="宋体" w:hAnsi="宋体" w:cs="宋体"/>
          <w:b/>
          <w:bCs/>
          <w:sz w:val="30"/>
          <w:szCs w:val="30"/>
          <w:highlight w:val="none"/>
        </w:rPr>
      </w:r>
      <w:r/>
    </w:p>
    <w:p>
      <w:pPr>
        <w:ind w:firstLine="1134"/>
        <w:rPr>
          <w:rFonts w:hint="eastAsia" w:ascii="宋体" w:hAnsi="宋体" w:cs="宋体"/>
          <w:sz w:val="30"/>
          <w:szCs w:val="30"/>
          <w:highlight w:val="none"/>
        </w:rPr>
      </w:pPr>
      <w:r>
        <w:rPr>
          <w:rFonts w:hint="eastAsia" w:ascii="宋体" w:hAnsi="宋体" w:cs="宋体"/>
          <w:b/>
          <w:bCs/>
          <w:sz w:val="30"/>
          <w:szCs w:val="30"/>
          <w:highlight w:val="none"/>
        </w:rPr>
        <w:t xml:space="preserve">甲  方:</w:t>
      </w:r>
      <w:r>
        <w:rPr>
          <w:rFonts w:hint="eastAsia" w:ascii="宋体" w:hAnsi="宋体" w:cs="宋体"/>
          <w:sz w:val="30"/>
          <w:szCs w:val="30"/>
          <w:highlight w:val="none"/>
        </w:rPr>
        <w:t xml:space="preserve">江苏省地质局资源调查与评价院</w:t>
      </w:r>
      <w:r/>
    </w:p>
    <w:p>
      <w:pPr>
        <w:ind w:firstLine="1134"/>
        <w:rPr>
          <w:rFonts w:hint="eastAsia" w:ascii="宋体" w:hAnsi="宋体" w:cs="宋体"/>
          <w:sz w:val="30"/>
          <w:szCs w:val="30"/>
          <w:highlight w:val="none"/>
        </w:rPr>
      </w:pPr>
      <w:r>
        <w:rPr>
          <w:rFonts w:hint="eastAsia" w:ascii="宋体" w:hAnsi="宋体" w:cs="宋体"/>
          <w:sz w:val="30"/>
          <w:szCs w:val="30"/>
          <w:highlight w:val="none"/>
        </w:rPr>
      </w:r>
      <w:r/>
    </w:p>
    <w:p>
      <w:pPr>
        <w:ind w:firstLine="1134"/>
        <w:rPr>
          <w:rFonts w:hint="eastAsia" w:ascii="宋体" w:hAnsi="宋体" w:cs="宋体"/>
          <w:b/>
          <w:bCs/>
          <w:sz w:val="30"/>
          <w:szCs w:val="30"/>
          <w:highlight w:val="none"/>
        </w:rPr>
      </w:pPr>
      <w:r>
        <w:rPr>
          <w:rFonts w:hint="eastAsia" w:ascii="宋体" w:hAnsi="宋体" w:cs="宋体"/>
          <w:b/>
          <w:bCs/>
          <w:sz w:val="30"/>
          <w:szCs w:val="30"/>
          <w:highlight w:val="none"/>
        </w:rPr>
        <w:t xml:space="preserve">乙  方:</w:t>
      </w:r>
      <w:r/>
    </w:p>
    <w:p>
      <w:pPr>
        <w:ind w:firstLine="1134"/>
        <w:rPr>
          <w:rFonts w:hint="eastAsia" w:ascii="宋体" w:hAnsi="宋体" w:cs="宋体"/>
          <w:sz w:val="30"/>
          <w:szCs w:val="30"/>
          <w:highlight w:val="none"/>
        </w:rPr>
      </w:pPr>
      <w:r>
        <w:rPr>
          <w:rFonts w:hint="eastAsia" w:ascii="宋体" w:hAnsi="宋体" w:cs="宋体"/>
          <w:sz w:val="30"/>
          <w:szCs w:val="30"/>
          <w:highlight w:val="none"/>
        </w:rPr>
      </w:r>
      <w:r/>
    </w:p>
    <w:p>
      <w:pPr>
        <w:ind w:firstLine="1134"/>
        <w:rPr>
          <w:rFonts w:hint="eastAsia" w:ascii="宋体" w:hAnsi="宋体" w:cs="宋体"/>
          <w:sz w:val="30"/>
          <w:szCs w:val="30"/>
          <w:highlight w:val="none"/>
        </w:rPr>
      </w:pPr>
      <w:r>
        <w:rPr>
          <w:rFonts w:hint="eastAsia" w:ascii="宋体" w:hAnsi="宋体" w:cs="宋体"/>
          <w:b/>
          <w:bCs/>
          <w:sz w:val="30"/>
          <w:szCs w:val="30"/>
          <w:highlight w:val="none"/>
        </w:rPr>
        <w:t xml:space="preserve">签订地点：</w:t>
      </w:r>
      <w:r>
        <w:rPr>
          <w:rFonts w:hint="eastAsia" w:ascii="宋体" w:hAnsi="宋体" w:cs="宋体"/>
          <w:sz w:val="30"/>
          <w:szCs w:val="30"/>
          <w:highlight w:val="none"/>
        </w:rPr>
        <w:t xml:space="preserve">江苏南京</w:t>
      </w:r>
      <w:r/>
    </w:p>
    <w:p>
      <w:pPr>
        <w:ind w:firstLine="1134"/>
        <w:rPr>
          <w:rFonts w:hint="eastAsia" w:ascii="宋体" w:hAnsi="宋体" w:cs="宋体"/>
          <w:sz w:val="30"/>
          <w:szCs w:val="30"/>
          <w:highlight w:val="none"/>
        </w:rPr>
      </w:pPr>
      <w:r>
        <w:rPr>
          <w:rFonts w:hint="eastAsia" w:ascii="宋体" w:hAnsi="宋体" w:cs="宋体"/>
          <w:sz w:val="30"/>
          <w:szCs w:val="30"/>
          <w:highlight w:val="none"/>
        </w:rPr>
      </w:r>
      <w:r/>
    </w:p>
    <w:p>
      <w:pPr>
        <w:ind w:firstLine="1134"/>
        <w:rPr>
          <w:rFonts w:hint="eastAsia" w:ascii="宋体" w:hAnsi="宋体" w:cs="宋体"/>
          <w:szCs w:val="21"/>
          <w:highlight w:val="none"/>
        </w:rPr>
      </w:pPr>
      <w:r>
        <w:rPr>
          <w:rFonts w:hint="eastAsia" w:ascii="宋体" w:hAnsi="宋体" w:cs="宋体"/>
          <w:b/>
          <w:bCs/>
          <w:sz w:val="30"/>
          <w:szCs w:val="30"/>
          <w:highlight w:val="none"/>
        </w:rPr>
        <w:t xml:space="preserve">签订日期：</w:t>
      </w:r>
      <w:r>
        <w:rPr>
          <w:rFonts w:hint="eastAsia" w:ascii="宋体" w:hAnsi="宋体" w:cs="宋体"/>
          <w:sz w:val="30"/>
          <w:szCs w:val="30"/>
          <w:highlight w:val="none"/>
        </w:rPr>
        <w:t xml:space="preserve">   年  月  日</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依据《中华人民共和国民法典》以及其他相关法律、行政法规，本着平等自愿、公平公正、诚实守信和共赢的原则，针对</w:t>
      </w:r>
      <w:r>
        <w:rPr>
          <w:rFonts w:hint="eastAsia" w:ascii="宋体" w:hAnsi="宋体" w:cs="宋体"/>
          <w:szCs w:val="21"/>
          <w:highlight w:val="none"/>
          <w:u w:val="single"/>
        </w:rPr>
        <w:t xml:space="preserve">江苏省典型高锌农耕区精细化调查与开发利用评价项目第三方样品测试分析</w:t>
      </w:r>
      <w:r>
        <w:rPr>
          <w:rFonts w:hint="eastAsia" w:ascii="宋体" w:hAnsi="宋体" w:cs="宋体"/>
          <w:szCs w:val="21"/>
          <w:highlight w:val="none"/>
        </w:rPr>
        <w:t xml:space="preserve">事宜，经双方协商一致，同意签订本合同并共同遵守。</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第一条 工作内容及主要技术要求</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9"/>
        <w:gridCol w:w="1330"/>
      </w:tblGrid>
      <w:tr>
        <w:trPr>
          <w:jc w:val="center"/>
          <w:trHeight w:val="470"/>
        </w:trPr>
        <w:tc>
          <w:tcPr>
            <w:tcW w:w="0" w:type="auto"/>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分析项目</w:t>
            </w:r>
            <w:r/>
          </w:p>
        </w:tc>
        <w:tc>
          <w:tcPr>
            <w:tcW w:w="1330"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470"/>
        </w:trPr>
        <w:tc>
          <w:tcPr>
            <w:gridSpan w:val="2"/>
            <w:tcW w:w="7959"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土壤分析</w:t>
            </w:r>
            <w:r/>
          </w:p>
        </w:tc>
      </w:tr>
      <w:tr>
        <w:trPr>
          <w:jc w:val="center"/>
          <w:trHeight w:val="1812"/>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1:5万土壤地球化学分析（锌、有效锌、pH值、镉、汞、砷、铅、铬、铜、镍、有机质、氮、磷、钾、有效磷、速效钾、硅、铝、铁、锰、钠、钙、硫、硒、镁共25项指标）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1094件</w:t>
            </w:r>
            <w:r/>
          </w:p>
        </w:tc>
      </w:tr>
      <w:tr>
        <w:trPr>
          <w:jc w:val="center"/>
          <w:trHeight w:val="916"/>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1:5万农作物籽实分析（锌、砷、镉、铬、汞、铅、硒等7项）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548件</w:t>
            </w:r>
            <w:r/>
          </w:p>
        </w:tc>
      </w:tr>
      <w:tr>
        <w:trPr>
          <w:jc w:val="center"/>
          <w:trHeight w:val="916"/>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1:5万农作物籽实外检分析（锌、砷、镉、铬、汞、铅、硒等7项）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48"/>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水稻期根系土分析（沿江、里下河工作区）（锌、有效锌、pH值、镉、汞、砷、铅、铬、铜、镍、有机质、氮、磷、钾、硅、铝、铁、锰、钠、钙、硫、硒、镁、阳离子交换量、交换性钙、交换性镁、粒度分析，共27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470"/>
        </w:trPr>
        <w:tc>
          <w:tcPr>
            <w:tcW w:w="0" w:type="auto"/>
            <w:vAlign w:val="center"/>
            <w:textDirection w:val="lrTb"/>
            <w:noWrap w:val="false"/>
          </w:tcPr>
          <w:p>
            <w:pPr>
              <w:spacing w:line="360" w:lineRule="auto"/>
              <w:widowControl/>
              <w:rPr>
                <w:highlight w:val="none"/>
              </w:rPr>
            </w:pPr>
            <w:r>
              <w:rPr>
                <w:rFonts w:hint="eastAsia"/>
                <w:highlight w:val="none"/>
              </w:rPr>
              <w:t xml:space="preserve">1:5万水稻期根系土微生物分析（微生物1项）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137件</w:t>
            </w:r>
            <w:r/>
          </w:p>
        </w:tc>
      </w:tr>
      <w:tr>
        <w:trPr>
          <w:jc w:val="center"/>
          <w:trHeight w:val="2260"/>
        </w:trPr>
        <w:tc>
          <w:tcPr>
            <w:tcW w:w="0" w:type="auto"/>
            <w:vAlign w:val="center"/>
            <w:textDirection w:val="lrTb"/>
            <w:noWrap w:val="false"/>
          </w:tcPr>
          <w:p>
            <w:pPr>
              <w:spacing w:line="360" w:lineRule="auto"/>
              <w:widowControl/>
              <w:rPr>
                <w:highlight w:val="none"/>
              </w:rPr>
            </w:pPr>
            <w:r>
              <w:rPr>
                <w:rFonts w:hint="eastAsia"/>
                <w:highlight w:val="none"/>
              </w:rPr>
              <w:t xml:space="preserve">1:5万小麦期根系土分析（沿江、里下河工作区）（锌、有效锌、pH值、镉、汞、砷、铅、铬、铜、镍、有机质、氮、磷、钾、硅、铝、铁、锰、钠、钙、硫、硒、镁、阳离子交换量、交换性钙、交换性镁，共26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r>
      <w:tr>
        <w:trPr>
          <w:jc w:val="center"/>
          <w:trHeight w:val="2260"/>
        </w:trPr>
        <w:tc>
          <w:tcPr>
            <w:tcW w:w="0" w:type="auto"/>
            <w:vAlign w:val="center"/>
            <w:textDirection w:val="lrTb"/>
            <w:noWrap w:val="false"/>
          </w:tcPr>
          <w:p>
            <w:pPr>
              <w:spacing w:line="360" w:lineRule="auto"/>
              <w:widowControl/>
              <w:tabs>
                <w:tab w:val="left" w:pos="3401" w:leader="none"/>
              </w:tabs>
              <w:rPr>
                <w:highlight w:val="none"/>
              </w:rPr>
            </w:pPr>
            <w:r>
              <w:rPr>
                <w:rFonts w:hint="eastAsia"/>
                <w:highlight w:val="none"/>
              </w:rPr>
              <w:t xml:space="preserve">1:5万小麦期根系土分析（徐淮工作区）（锌、有效锌、pH值、镉、汞、砷、铅、铬、铜、镍、有机质、氮、磷、钾、硅、铝、铁、锰、钠、钙、硫、硒、镁、阳离子交换量、交换性钙、交换性镁、全盐量、Na+、Cl-，共29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土壤剖面样品分析（沿江、里下河工作区）（锌、有效锌、pH值、镉、汞、砷、铅、铬、铜、镍、有机质、铁、锰、钠、镁、钙、硫、硒、硅、铝、粒度分析共21项指标）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276件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土壤剖面样品分析（徐淮工作区）（锌、有效锌、pH值、镉、汞、砷、铅、铬、铜、镍、有机质、铁、锰、钠、镁、钙、硫、硒、硅、铝、粒度分析、全盐量、Na+、Cl-共24项指标）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典型剖面样品分析（锌形态分析（7步提取法）、钛、锆）</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57件</w:t>
            </w:r>
            <w:r/>
          </w:p>
        </w:tc>
      </w:tr>
      <w:tr>
        <w:trPr>
          <w:jc w:val="center"/>
          <w:trHeight w:val="1157"/>
        </w:trPr>
        <w:tc>
          <w:tcPr>
            <w:tcW w:w="0" w:type="auto"/>
            <w:vAlign w:val="center"/>
            <w:textDirection w:val="lrTb"/>
            <w:noWrap w:val="false"/>
          </w:tcPr>
          <w:p>
            <w:pPr>
              <w:jc w:val="left"/>
              <w:spacing w:line="360" w:lineRule="auto"/>
              <w:widowControl/>
              <w:rPr>
                <w:highlight w:val="none"/>
              </w:rPr>
            </w:pPr>
            <w:r>
              <w:rPr>
                <w:rFonts w:hint="eastAsia"/>
                <w:highlight w:val="none"/>
              </w:rPr>
              <w:t xml:space="preserve">锌同位素分析（锌同位素（δ66Zn）1项）</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1:1万土壤地球化学分析（锌、有效锌、pH值、镉、汞、砷、铅、铬、铜、镍、有机质、氮、有效磷、速效钾、硅、铝、铁、锰、钠、镁、钙、硫、硒、钼共24项指标）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384件</w:t>
            </w:r>
            <w:r/>
          </w:p>
        </w:tc>
      </w:tr>
      <w:tr>
        <w:trPr>
          <w:jc w:val="center"/>
          <w:trHeight w:val="1157"/>
        </w:trPr>
        <w:tc>
          <w:tcPr>
            <w:tcW w:w="0" w:type="auto"/>
            <w:vAlign w:val="center"/>
            <w:textDirection w:val="lrTb"/>
            <w:noWrap w:val="false"/>
          </w:tcPr>
          <w:p>
            <w:pPr>
              <w:jc w:val="left"/>
              <w:spacing w:line="360" w:lineRule="auto"/>
              <w:widowControl/>
              <w:rPr>
                <w:highlight w:val="none"/>
              </w:rPr>
            </w:pPr>
            <w:r>
              <w:rPr>
                <w:rFonts w:hint="eastAsia"/>
                <w:highlight w:val="none"/>
              </w:rPr>
              <w:t xml:space="preserve">1:1万农作物水稻、小麦分析（锌、砷、镉、铬、汞、铅、硒、铁、锰、钼、铜、钙共计12项指标）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1:1万农作物籽实外检分析（锌、砷、镉、铬、汞、铅、硒、铁、锰、钼、铜、钙共计12项指标）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1:1万农作物秸秆分析（锌1项指标）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164件</w:t>
            </w:r>
            <w:r/>
          </w:p>
        </w:tc>
      </w:tr>
      <w:tr>
        <w:trPr>
          <w:jc w:val="center"/>
          <w:trHeight w:val="1848"/>
        </w:trPr>
        <w:tc>
          <w:tcPr>
            <w:tcW w:w="0" w:type="auto"/>
            <w:vAlign w:val="center"/>
            <w:textDirection w:val="lrTb"/>
            <w:noWrap w:val="false"/>
          </w:tcPr>
          <w:p>
            <w:pPr>
              <w:spacing w:line="360" w:lineRule="auto"/>
              <w:widowControl/>
              <w:rPr>
                <w:highlight w:val="none"/>
              </w:rPr>
            </w:pPr>
            <w:r>
              <w:rPr>
                <w:rFonts w:hint="eastAsia"/>
                <w:highlight w:val="none"/>
              </w:rPr>
              <w:t xml:space="preserve">1:1万农作物根系土分析（徐淮工作区）（锌、有效锌、pH值、镉、汞、砷、铅、铬、铜、镍、有机质、氮、磷、钾、硅、铝、铁、锰、钠、镁、钙、硫、硒、钼、阳离子交换量、全盐量、Na+、Cl-共28项指标）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82件</w:t>
            </w:r>
            <w:r/>
          </w:p>
        </w:tc>
      </w:tr>
      <w:tr>
        <w:trPr>
          <w:jc w:val="center"/>
          <w:trHeight w:val="1157"/>
        </w:trPr>
        <w:tc>
          <w:tcPr>
            <w:tcW w:w="0" w:type="auto"/>
            <w:vAlign w:val="center"/>
            <w:textDirection w:val="lrTb"/>
            <w:noWrap w:val="false"/>
          </w:tcPr>
          <w:p>
            <w:pPr>
              <w:spacing w:line="360" w:lineRule="auto"/>
              <w:widowControl/>
              <w:rPr>
                <w:highlight w:val="none"/>
              </w:rPr>
            </w:pPr>
            <w:r>
              <w:rPr>
                <w:rFonts w:hint="eastAsia"/>
                <w:highlight w:val="none"/>
              </w:rPr>
              <w:t xml:space="preserve">其他农作物分析（锌、砷、镉、铬、汞、铅、硒、铁、锰、钼、铜、钙共计12项指标）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96件</w:t>
            </w:r>
            <w:r/>
          </w:p>
        </w:tc>
      </w:tr>
      <w:tr>
        <w:trPr>
          <w:jc w:val="center"/>
          <w:trHeight w:val="1812"/>
        </w:trPr>
        <w:tc>
          <w:tcPr>
            <w:tcW w:w="0" w:type="auto"/>
            <w:vAlign w:val="center"/>
            <w:textDirection w:val="lrTb"/>
            <w:noWrap w:val="false"/>
          </w:tcPr>
          <w:p>
            <w:pPr>
              <w:spacing w:line="360" w:lineRule="auto"/>
              <w:widowControl/>
              <w:rPr>
                <w:highlight w:val="none"/>
              </w:rPr>
            </w:pPr>
            <w:r>
              <w:rPr>
                <w:rFonts w:hint="eastAsia"/>
                <w:highlight w:val="none"/>
              </w:rPr>
              <w:t xml:space="preserve">其他农作物根系土分析（沿江、里下河工作区）（锌、有效锌、pH值、镉、汞、砷、铅、铬、铜、镍、有机质、氮、磷、钾、硅、铝、铁、锰、钠、镁、钙、硫、硒、钼、阳离子交换量共25项指标）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64件</w:t>
            </w:r>
            <w:r/>
          </w:p>
        </w:tc>
      </w:tr>
      <w:tr>
        <w:trPr>
          <w:jc w:val="center"/>
          <w:trHeight w:val="1848"/>
        </w:trPr>
        <w:tc>
          <w:tcPr>
            <w:tcW w:w="0" w:type="auto"/>
            <w:vAlign w:val="center"/>
            <w:textDirection w:val="lrTb"/>
            <w:noWrap w:val="false"/>
          </w:tcPr>
          <w:p>
            <w:pPr>
              <w:spacing w:line="360" w:lineRule="auto"/>
              <w:widowControl/>
              <w:rPr>
                <w:highlight w:val="none"/>
              </w:rPr>
            </w:pPr>
            <w:r>
              <w:rPr>
                <w:rFonts w:hint="eastAsia"/>
                <w:highlight w:val="none"/>
              </w:rPr>
              <w:t xml:space="preserve">其他农作物根系土分析（徐淮工作区）（锌、有效锌、pH值、镉、汞、砷、铅、铬、铜、镍、有机质、氮、磷、钾、硅、铝、铁、锰、钠、镁、钙、硫、硒、钼、阳离子交换量、全盐量、Na+、Cl-共28项指标）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32件</w:t>
            </w:r>
            <w:r/>
          </w:p>
        </w:tc>
      </w:tr>
      <w:tr>
        <w:trPr>
          <w:jc w:val="center"/>
          <w:trHeight w:val="470"/>
        </w:trPr>
        <w:tc>
          <w:tcPr>
            <w:gridSpan w:val="2"/>
            <w:tcW w:w="7959"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水质分析</w:t>
            </w:r>
            <w:r/>
          </w:p>
        </w:tc>
      </w:tr>
      <w:tr>
        <w:trPr>
          <w:jc w:val="center"/>
          <w:trHeight w:val="1364"/>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灌溉水分析（沿江、里下河工作区）（锌、pH值、总铅、总镉、总汞、总砷、铬（六价）、氟化物、化学需氧量、石油类等10项指标）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36件</w:t>
            </w:r>
            <w:r/>
          </w:p>
        </w:tc>
      </w:tr>
      <w:tr>
        <w:trPr>
          <w:jc w:val="center"/>
          <w:trHeight w:val="1383"/>
        </w:trPr>
        <w:tc>
          <w:tcPr>
            <w:tcW w:w="0" w:type="auto"/>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灌溉水分析（徐淮工作区）（锌、pH值、总铅、总镉、总汞、总砷、铬（六价）、氟化物、化学需氧量、石油类、全盐量等11项指标）</w:t>
            </w:r>
            <w:r/>
          </w:p>
        </w:tc>
        <w:tc>
          <w:tcPr>
            <w:tcW w:w="1330"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18件</w:t>
            </w:r>
            <w:r/>
          </w:p>
        </w:tc>
      </w:tr>
    </w:tbl>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注：1.</w:t>
      </w:r>
      <w:r>
        <w:rPr>
          <w:rFonts w:hint="eastAsia" w:cs="黑体" w:asciiTheme="minorEastAsia" w:hAnsiTheme="minorEastAsia" w:eastAsiaTheme="minorEastAsia"/>
          <w:b/>
          <w:bCs/>
          <w:szCs w:val="21"/>
          <w:highlight w:val="none"/>
          <w:lang w:val="en-US" w:eastAsia="zh-CN"/>
        </w:rPr>
        <w:t xml:space="preserve">相关分析</w:t>
      </w:r>
      <w:r>
        <w:rPr>
          <w:rFonts w:hint="eastAsia" w:cs="黑体" w:asciiTheme="minorEastAsia" w:hAnsiTheme="minorEastAsia" w:eastAsiaTheme="minorEastAsia"/>
          <w:b/>
          <w:bCs/>
          <w:szCs w:val="21"/>
          <w:highlight w:val="none"/>
        </w:rPr>
        <w:t xml:space="preserve">质量及标准符合</w:t>
      </w:r>
      <w:r>
        <w:rPr>
          <w:rFonts w:hint="eastAsia" w:cs="黑体" w:asciiTheme="minorEastAsia" w:hAnsiTheme="minorEastAsia" w:eastAsiaTheme="minorEastAsia"/>
          <w:b/>
          <w:bCs/>
          <w:szCs w:val="21"/>
          <w:highlight w:val="none"/>
          <w:lang w:val="en-US" w:eastAsia="zh-CN"/>
        </w:rPr>
        <w:t xml:space="preserve">甲方</w:t>
      </w:r>
      <w:r>
        <w:rPr>
          <w:rFonts w:hint="eastAsia" w:cs="黑体" w:asciiTheme="minorEastAsia" w:hAnsiTheme="minorEastAsia" w:eastAsiaTheme="minorEastAsia"/>
          <w:b/>
          <w:bCs/>
          <w:szCs w:val="21"/>
          <w:highlight w:val="none"/>
        </w:rPr>
        <w:t xml:space="preserve">及国家有关规范要求。</w:t>
      </w:r>
      <w:r/>
    </w:p>
    <w:p>
      <w:pPr>
        <w:ind w:firstLine="480"/>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lang w:val="en-US" w:eastAsia="zh-CN"/>
        </w:rPr>
        <w:t xml:space="preserve">2</w:t>
      </w:r>
      <w:r>
        <w:rPr>
          <w:rFonts w:hint="eastAsia" w:cs="黑体" w:asciiTheme="minorEastAsia" w:hAnsiTheme="minorEastAsia" w:eastAsiaTheme="minorEastAsia"/>
          <w:b/>
          <w:bCs/>
          <w:szCs w:val="21"/>
          <w:highlight w:val="none"/>
        </w:rPr>
        <w:t xml:space="preserve">.分析数量为预计数量，实际分析样品数量以甲方通知为准。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第二条 技术要求</w:t>
      </w:r>
      <w:r/>
    </w:p>
    <w:p>
      <w:pPr>
        <w:ind w:firstLine="420"/>
        <w:spacing w:line="360" w:lineRule="auto"/>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1.</w:t>
      </w:r>
      <w:r>
        <w:rPr>
          <w:rFonts w:cs="黑体" w:asciiTheme="minorEastAsia" w:hAnsiTheme="minorEastAsia" w:eastAsiaTheme="minorEastAsia"/>
          <w:szCs w:val="21"/>
          <w:highlight w:val="none"/>
        </w:rPr>
        <w:t xml:space="preserve">本项目</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将严格执行有关的现行技术标准与规范，有国家标准的一律执行国标，暂时没有国家标准的，参照相关行业标准或规范执行，并结合实际灵活掌握。</w:t>
      </w:r>
      <w:r>
        <w:rPr>
          <w:rFonts w:hint="eastAsia" w:cs="黑体" w:asciiTheme="minorEastAsia" w:hAnsiTheme="minorEastAsia" w:eastAsiaTheme="minorEastAsia"/>
          <w:szCs w:val="21"/>
          <w:highlight w:val="none"/>
        </w:rPr>
        <w:t xml:space="preserve">主要分析元素的</w:t>
      </w:r>
      <w:r>
        <w:rPr>
          <w:rFonts w:cs="黑体" w:asciiTheme="minorEastAsia" w:hAnsiTheme="minorEastAsia" w:eastAsiaTheme="minorEastAsia"/>
          <w:szCs w:val="21"/>
          <w:highlight w:val="none"/>
        </w:rPr>
        <w:t xml:space="preserve">执行的</w:t>
      </w:r>
      <w:r>
        <w:rPr>
          <w:rFonts w:hint="eastAsia" w:cs="黑体" w:asciiTheme="minorEastAsia" w:hAnsiTheme="minorEastAsia" w:eastAsiaTheme="minorEastAsia"/>
          <w:szCs w:val="21"/>
          <w:highlight w:val="none"/>
        </w:rPr>
        <w:t xml:space="preserve">测试分析</w:t>
      </w:r>
      <w:r>
        <w:rPr>
          <w:rFonts w:cs="黑体" w:asciiTheme="minorEastAsia" w:hAnsiTheme="minorEastAsia" w:eastAsiaTheme="minorEastAsia"/>
          <w:szCs w:val="21"/>
          <w:highlight w:val="none"/>
        </w:rPr>
        <w:t xml:space="preserve">标准或</w:t>
      </w:r>
      <w:r>
        <w:rPr>
          <w:rFonts w:hint="eastAsia" w:cs="黑体" w:asciiTheme="minorEastAsia" w:hAnsiTheme="minorEastAsia" w:eastAsiaTheme="minorEastAsia"/>
          <w:szCs w:val="21"/>
          <w:highlight w:val="none"/>
        </w:rPr>
        <w:t xml:space="preserve">方法见下表</w:t>
      </w:r>
      <w:r>
        <w:rPr>
          <w:rFonts w:cs="黑体" w:asciiTheme="minorEastAsia" w:hAnsiTheme="minorEastAsia" w:eastAsiaTheme="minorEastAsia"/>
          <w:szCs w:val="21"/>
          <w:highlight w:val="none"/>
        </w:rPr>
        <w:t xml:space="preserve">：</w:t>
      </w:r>
      <w:r/>
    </w:p>
    <w:tbl>
      <w:tblPr>
        <w:tblStyle w:val="109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67"/>
        <w:gridCol w:w="1275"/>
        <w:gridCol w:w="1418"/>
        <w:gridCol w:w="5812"/>
      </w:tblGrid>
      <w:tr>
        <w:trPr>
          <w:jc w:val="center"/>
        </w:trPr>
        <w:tc>
          <w:tcPr>
            <w:tcW w:w="567"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序号</w:t>
            </w:r>
            <w:r/>
          </w:p>
        </w:tc>
        <w:tc>
          <w:tcPr>
            <w:gridSpan w:val="2"/>
            <w:tcW w:w="2693"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测试项目</w:t>
            </w:r>
            <w:r/>
          </w:p>
        </w:tc>
        <w:tc>
          <w:tcPr>
            <w:tcW w:w="5812"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分析方法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土壤化学样品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780 波长色散X射线荧光光谱法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HJ 803王水提取-电感耦合等离子体质谱法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DZ/T 0279.2电感耦合等离子体原子发射光谱法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1377、NY/T 1121.2、DZ/T 0279.34、LY/T 1239 离子选择电极法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有效锌</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NY/T 890 二乙三胺五乙酸（DTPA）浸提法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锌形态分析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土壤元素形态分析“7步提取法”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锌同位素分析</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GB/T 37847 多接收电感耦合等离子体质谱法（MC-ICP-MS）</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W w:w="1275"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农作物样品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5009.14火焰原子吸收光谱法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5009.268、DZ/T 0253.1电感耦合等离子体质谱法</w:t>
            </w:r>
            <w:r/>
          </w:p>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5009.268电感耦合等离子体光谱法</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W w:w="1275"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稻米籽实</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以三级大米计，加工精度见GB/T 1354</w:t>
            </w:r>
            <w:r/>
          </w:p>
        </w:tc>
      </w:tr>
      <w:tr>
        <w:trPr>
          <w:jc w:val="center"/>
        </w:trPr>
        <w:tc>
          <w:tcPr>
            <w:tcW w:w="567"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W w:w="1275"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灌溉水样品</w:t>
            </w:r>
            <w:r/>
          </w:p>
        </w:tc>
        <w:tc>
          <w:tcPr>
            <w:tcW w:w="1418"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Zn</w:t>
            </w:r>
            <w:r/>
          </w:p>
        </w:tc>
        <w:tc>
          <w:tcPr>
            <w:tcW w:w="5812"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GB 7475-87 原子吸收分光光度法</w:t>
            </w:r>
            <w:r/>
          </w:p>
        </w:tc>
      </w:tr>
    </w:tbl>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 测试方法按照国家相关规范执行；为控制测试精度，平行样选取比例为5%-10%。</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 乙方负责撰写分析数据报告。报告除给出测试结果外，还应给出各种指标分析测试方法(包括检出限、准确度、精密度等)、测试仪器、测试环境的温湿条件和质量评估等内容。质量指标均满足DZ/T 0130-2006 地质矿产实验室测试质量管理规范要求，内检合格率95%以上，外检合格率90%以上，外检单位由甲方指定等。</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第三条 完成日期</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由于甲方整体项目持续时间较长，需要分多批次送样，为及时指导进一步工作施工，要求乙方在收到样品之日起30工作日内，提交初步分析结果，所有正式报告在整体项目任务结束时一起提交。</w:t>
      </w:r>
      <w:r>
        <w:rPr>
          <w:rFonts w:hint="eastAsia" w:asciiTheme="minorEastAsia" w:hAnsiTheme="minorEastAsia" w:eastAsiaTheme="minorEastAsia"/>
          <w:color w:val="000000"/>
          <w:szCs w:val="21"/>
          <w:highlight w:val="none"/>
        </w:rPr>
        <w:t xml:space="preserve">整个进度约在2027年11月底结束。</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第四条  甲方承担工作及责任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1.向乙方及时提交样品及送样单。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2.向乙方及时拨付检测经费。</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第五条 乙方承担工作与责任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乙方负责样品签收后直至出具检测报告的所有工作内容，对甲方提供的样品分析质量情况按有关要求执行，乙方对分析结果的真实、准确性负责。本合同服务项目的保证期为两年。在保证期内发现服务质量缺陷的，乙方应当负责返工或者采取补救措施，但不是由于乙方的原因所造成的情况除外。并接受甲方的质量检查与监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2.按时向甲方提交检测报告，提交成果如下：A、按时、保质、保量向甲方提交全部样品检测分析成果报告(纸质和电子版，其中纸质版2份)，并加盖分析测试专用章。 B:、内检合格率、外检合格率。 C、分析工作质量总结报告盖章版2份。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3.乙方不得将分析资料以任何方式转让第三方。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4.如甲方提供样品包装有破损或污染等情况，乙方有权要求甲方退换。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5.对分析测试所获得的资料及最终成果负有保密义务。</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6.在该项目成果报告正式评审验收前，对分析后剩余样品负有保管责任，接到甲方关于分析剩余样品处理通知后，按通知予以处理。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第六条 经费计算及支付方式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1.经双方协商分析测试费总额为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）。如项目工作量有变动，按上述单价据实结算。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2.本项目为按实结算。合同签订后一个月内支付预估的合同总金额的50%，即</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)；在11月底</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向</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支付预估的合同总金额的30%；在乙方提交全部测试结果并经甲方验收合格后15个工作日内，按测试样品的实际数量据实结算，支付剩余测试费。如服务期内项目结算总金额未达到合同金额的，据实结算支付。如服务期内项目结算总金额达到或超过合同金额的，超出部分的结算金额不得超过合同采购金额的10%且整体结算金额不得超过项目预算金额290万元。如财政拨款到位时间迟于上述付款时间，按照财政拨款实际到位时间进行支付。</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3.付款方式：银行转账。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4.支付测试费用前，乙方向甲方提供正式发票。</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第七条 验收的标准和方式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依据本合同和相应的测试规范对分析测试结果验收。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第八条 违约责任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1.如乙方不能按双方约定的时间提交检测成果，由此造成的甲方损失，由乙方承担。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2.因检测分析质量导致的问题需要返工时，返工费用全部由乙方承担；由此造成的甲方经济损失，由乙方承担。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3.未经甲方许可乙方不得使用本项目分析成果，同时乙方不得向第三方提供、转让、借阅或抄录分析成果。</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第九条 知识产权归属、分享</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本合同的全部数据、成果所有权归甲方。未经甲方许可，乙方不得使用，不得对外发表，不得向任何第三方提供。</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第十条 违约金计算方法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1.如果由于乙方的疏失而导致测试结果产生差错，甲方可以追回相应的测试费。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2.乙方未按期完成合同任务，则每延误1天，按合同总额的5‰支付甲方工程延误费。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3.乙方违反第五条的有关规定，应承担由此引起的泄密的完全责任，并应支付甲方不低于合同总额30%的违约金。</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4.甲方未按规定结算，则每延误1天，按合同总额的5‰支付乙方滞纳金。</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第十一条 其它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1.双方同意将尽力协商解决因履行本合同而产生或与本合同有关的任何争议。如果争议不能解决，将向提出争议方所在地人民法院提请诉讼解决。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2.除非本合同另有规定或双方同意，否则本合同规定的一切通知、文件材料均应采用书面形式，送交甲方或乙方的主要营业地址或双方为此而指定的其他地址。</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3.本合同壹式肆份，甲、乙双方各持贰份，各份均具有同等法律效力。合同自签订之日起生效，全部分析测试工作结束，合同款结清，并且在合同服务保证期2年到期后合同自动失效。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甲  方  ：江苏省地质局资源调查与评价院  乙  方 ：</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代   表  ：                             代   表  ：  </w:t>
      </w:r>
      <w:r/>
    </w:p>
    <w:p>
      <w:pPr>
        <w:ind w:firstLine="420"/>
        <w:jc w:val="left"/>
        <w:spacing w:line="360" w:lineRule="auto"/>
        <w:tabs>
          <w:tab w:val="left" w:pos="1134" w:leader="none"/>
        </w:tabs>
        <w:rPr>
          <w:rFonts w:hint="eastAsia" w:ascii="宋体" w:hAnsi="宋体" w:cs="宋体"/>
          <w:szCs w:val="21"/>
          <w:highlight w:val="none"/>
        </w:rPr>
      </w:pPr>
      <w:r>
        <w:rPr>
          <w:rFonts w:hint="eastAsia" w:ascii="宋体" w:hAnsi="宋体" w:cs="宋体"/>
          <w:szCs w:val="21"/>
          <w:highlight w:val="none"/>
        </w:rPr>
        <w:t xml:space="preserve">开户行：                                开户行：</w:t>
      </w:r>
      <w:r/>
    </w:p>
    <w:p>
      <w:pPr>
        <w:ind w:firstLine="420"/>
        <w:jc w:val="left"/>
        <w:spacing w:line="360" w:lineRule="auto"/>
        <w:tabs>
          <w:tab w:val="left" w:pos="1134" w:leader="none"/>
        </w:tabs>
        <w:rPr>
          <w:rFonts w:hint="eastAsia" w:ascii="宋体" w:hAnsi="宋体" w:cs="宋体"/>
          <w:szCs w:val="21"/>
          <w:highlight w:val="none"/>
        </w:rPr>
      </w:pPr>
      <w:r>
        <w:rPr>
          <w:rFonts w:hint="eastAsia" w:ascii="宋体" w:hAnsi="宋体" w:cs="宋体"/>
          <w:szCs w:val="21"/>
          <w:highlight w:val="none"/>
        </w:rPr>
        <w:t xml:space="preserve">账 号：                                 账 号：</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签订日期：</w:t>
      </w:r>
      <w:r/>
    </w:p>
    <w:p>
      <w:pPr>
        <w:pStyle w:val="890"/>
        <w:numPr>
          <w:ilvl w:val="0"/>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第六章 投标文件格式</w:t>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52"/>
          <w:szCs w:val="52"/>
          <w:highlight w:val="none"/>
        </w:rPr>
      </w:pPr>
      <w:r>
        <w:rPr>
          <w:rFonts w:hint="eastAsia" w:asciiTheme="minorEastAsia" w:hAnsiTheme="minorEastAsia" w:eastAsiaTheme="minorEastAsia"/>
          <w:sz w:val="52"/>
          <w:szCs w:val="52"/>
          <w:highlight w:val="none"/>
        </w:rPr>
        <w:t xml:space="preserve">投标文件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6"/>
          <w:szCs w:val="21"/>
          <w:highlight w:val="none"/>
        </w:rPr>
      </w:pPr>
      <w:r>
        <w:rPr>
          <w:rFonts w:hint="eastAsia" w:asciiTheme="minorEastAsia" w:hAnsiTheme="minorEastAsia" w:eastAsiaTheme="minorEastAsia"/>
          <w:b/>
          <w:sz w:val="36"/>
          <w:szCs w:val="21"/>
          <w:highlight w:val="none"/>
        </w:rPr>
        <w:t xml:space="preserve">项 目 名 称：</w:t>
      </w:r>
      <w:r>
        <w:rPr>
          <w:rFonts w:hint="eastAsia" w:asciiTheme="minorEastAsia" w:hAnsiTheme="minorEastAsia" w:eastAsiaTheme="minorEastAsia"/>
          <w:b/>
          <w:sz w:val="36"/>
          <w:szCs w:val="21"/>
          <w:highlight w:val="none"/>
          <w:u w:val="single"/>
        </w:rPr>
        <w:t xml:space="preserve">                   </w:t>
      </w:r>
      <w:r/>
    </w:p>
    <w:p>
      <w:pPr>
        <w:ind w:firstLine="1084"/>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项 目 编 号：</w:t>
      </w:r>
      <w:r>
        <w:rPr>
          <w:rFonts w:hint="eastAsia" w:asciiTheme="minorEastAsia" w:hAnsiTheme="minorEastAsia" w:eastAsiaTheme="minorEastAsia"/>
          <w:b/>
          <w:sz w:val="36"/>
          <w:szCs w:val="21"/>
          <w:highlight w:val="none"/>
          <w:u w:val="single"/>
        </w:rPr>
        <w:t xml:space="preserve">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投标人名称 ：</w:t>
      </w:r>
      <w:r>
        <w:rPr>
          <w:rFonts w:hint="eastAsia" w:asciiTheme="minorEastAsia" w:hAnsiTheme="minorEastAsia" w:eastAsiaTheme="minorEastAsia"/>
          <w:b/>
          <w:sz w:val="36"/>
          <w:szCs w:val="21"/>
          <w:highlight w:val="none"/>
          <w:u w:val="single"/>
        </w:rPr>
        <w:t xml:space="preserve">（加盖电子公章）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日      期 ：</w:t>
      </w:r>
      <w:r>
        <w:rPr>
          <w:rFonts w:hint="eastAsia" w:asciiTheme="minorEastAsia" w:hAnsiTheme="minorEastAsia" w:eastAsiaTheme="minorEastAsia"/>
          <w:b/>
          <w:sz w:val="36"/>
          <w:szCs w:val="21"/>
          <w:highlight w:val="none"/>
          <w:u w:val="single"/>
        </w:rPr>
        <w:t xml:space="preserve">                   </w:t>
      </w:r>
      <w:r/>
    </w:p>
    <w:p>
      <w:pPr>
        <w:jc w:val="center"/>
        <w:rPr>
          <w:rFonts w:hint="eastAsia"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b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shd w:val="nil" w:color="auto"/>
        <w:rPr>
          <w:rFonts w:hint="eastAsia" w:asciiTheme="minorEastAsia" w:hAnsiTheme="minorEastAsia" w:eastAsiaTheme="minorEastAsia"/>
          <w:highlight w:val="none"/>
        </w:rPr>
      </w:pPr>
      <w:r>
        <w:rPr>
          <w:highlight w:val="none"/>
        </w:rPr>
        <w:br w:type="page" w:clear="all"/>
      </w:r>
      <w:r>
        <w:rPr>
          <w:highlight w:val="none"/>
        </w:rPr>
      </w:r>
      <w:r/>
    </w:p>
    <w:p>
      <w:pPr>
        <w:pStyle w:val="891"/>
        <w:numPr>
          <w:ilvl w:val="1"/>
          <w:numId w:val="0"/>
        </w:numPr>
        <w:rPr>
          <w:rFonts w:asciiTheme="minorEastAsia" w:hAnsiTheme="minorEastAsia" w:eastAsiaTheme="minorEastAsia"/>
          <w:highlight w:val="none"/>
        </w:rPr>
      </w:pPr>
      <w:r/>
      <w:bookmarkStart w:id="133" w:name="_Toc66375424"/>
      <w:r/>
      <w:bookmarkStart w:id="134" w:name="_Toc43917771"/>
      <w:r>
        <w:rPr>
          <w:rFonts w:hint="eastAsia" w:asciiTheme="minorEastAsia" w:hAnsiTheme="minorEastAsia" w:eastAsiaTheme="minorEastAsia"/>
          <w:highlight w:val="none"/>
        </w:rPr>
        <w:t xml:space="preserve">附件一、投标函</w:t>
      </w:r>
      <w:bookmarkEnd w:id="133"/>
      <w:r/>
      <w:bookmarkEnd w:id="134"/>
      <w:r/>
      <w:r/>
    </w:p>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致：江苏省地质局资源调查与评价院</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根据贵方</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bCs/>
          <w:szCs w:val="21"/>
          <w:highlight w:val="none"/>
          <w:u w:val="single"/>
        </w:rPr>
        <w:t xml:space="preserve">（</w:t>
      </w:r>
      <w:r>
        <w:rPr>
          <w:rFonts w:hint="eastAsia" w:asciiTheme="minorEastAsia" w:hAnsiTheme="minorEastAsia" w:eastAsiaTheme="minorEastAsia"/>
          <w:szCs w:val="21"/>
          <w:highlight w:val="none"/>
        </w:rPr>
        <w:t xml:space="preserve">项目名称）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（项目编号）投标邀请，正式授权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(姓名和职务)代表投标人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（投标人名称），提交投标文件并宣布同意如下内容：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1.按招标文件规定的各项要求，向采购人提供所需服务或货物。</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   址：</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   话：</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传   真：</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开户银行：</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银行账号：</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8.</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w:t>
      </w:r>
      <w:r>
        <w:rPr>
          <w:rFonts w:hint="eastAsia" w:asciiTheme="minorEastAsia" w:hAnsiTheme="minorEastAsia" w:eastAsiaTheme="minorEastAsia"/>
          <w:b/>
          <w:szCs w:val="21"/>
          <w:highlight w:val="none"/>
        </w:rPr>
        <w:t xml:space="preserve">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投标人名称：</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Start w:id="135" w:name="_Hlk176254267"/>
      <w:r>
        <w:rPr>
          <w:rFonts w:hint="eastAsia" w:asciiTheme="minorEastAsia" w:hAnsiTheme="minorEastAsia" w:eastAsiaTheme="minorEastAsia"/>
          <w:szCs w:val="21"/>
          <w:highlight w:val="none"/>
        </w:rPr>
        <w:t xml:space="preserve">加盖电子公章</w:t>
      </w:r>
      <w:bookmarkEnd w:id="135"/>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rPr>
      </w:pPr>
      <w:r/>
      <w:bookmarkStart w:id="136" w:name="_Toc43917772"/>
      <w:r/>
      <w:bookmarkStart w:id="137" w:name="_Toc66375425"/>
      <w:r>
        <w:rPr>
          <w:rFonts w:hint="eastAsia" w:asciiTheme="minorEastAsia" w:hAnsiTheme="minorEastAsia" w:eastAsiaTheme="minorEastAsia"/>
          <w:highlight w:val="none"/>
        </w:rPr>
        <w:t xml:space="preserve">附件二、法定代表人授权委托书</w:t>
      </w:r>
      <w:bookmarkEnd w:id="136"/>
      <w:r/>
      <w:bookmarkEnd w:id="137"/>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致：江苏省地质局资源调查与评价院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w:t>
      </w:r>
      <w:bookmarkStart w:id="138" w:name="_Hlk176528397"/>
      <w:r>
        <w:rPr>
          <w:rFonts w:hint="eastAsia" w:asciiTheme="minorEastAsia" w:hAnsiTheme="minorEastAsia" w:eastAsiaTheme="minorEastAsia"/>
          <w:szCs w:val="21"/>
          <w:highlight w:val="none"/>
        </w:rPr>
        <w:t xml:space="preserve">日加盖电子公章</w:t>
      </w:r>
      <w:bookmarkEnd w:id="138"/>
      <w:r>
        <w:rPr>
          <w:rFonts w:hint="eastAsia" w:asciiTheme="minorEastAsia" w:hAnsiTheme="minorEastAsia" w:eastAsiaTheme="minorEastAsia"/>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bookmarkStart w:id="139" w:name="_Hlk176254280"/>
      <w:r>
        <w:rPr>
          <w:rFonts w:hint="eastAsia" w:asciiTheme="minorEastAsia" w:hAnsiTheme="minorEastAsia" w:eastAsiaTheme="minorEastAsia"/>
          <w:szCs w:val="21"/>
          <w:highlight w:val="none"/>
        </w:rPr>
        <w:t xml:space="preserve">投标人（</w:t>
      </w:r>
      <w:bookmarkStart w:id="140" w:name="OLE_LINK3"/>
      <w:r>
        <w:rPr>
          <w:rFonts w:hint="eastAsia" w:asciiTheme="minorEastAsia" w:hAnsiTheme="minorEastAsia" w:eastAsiaTheme="minorEastAsia"/>
          <w:szCs w:val="21"/>
          <w:highlight w:val="none"/>
        </w:rPr>
        <w:t xml:space="preserve">加盖电子公章</w:t>
      </w:r>
      <w:bookmarkEnd w:id="140"/>
      <w:r>
        <w:rPr>
          <w:rFonts w:hint="eastAsia" w:asciiTheme="minorEastAsia" w:hAnsiTheme="minorEastAsia" w:eastAsiaTheme="minorEastAsia"/>
          <w:szCs w:val="21"/>
          <w:highlight w:val="none"/>
        </w:rPr>
        <w:t xml:space="preserve">）： </w:t>
      </w:r>
      <w:bookmarkEnd w:id="139"/>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41" w:name="_Hlk45291991"/>
      <w:r>
        <w:rPr>
          <w:rFonts w:hint="eastAsia" w:asciiTheme="minorEastAsia" w:hAnsiTheme="minorEastAsia" w:eastAsiaTheme="minorEastAsia"/>
          <w:szCs w:val="21"/>
          <w:highlight w:val="none"/>
        </w:rPr>
        <w:t xml:space="preserve">法定代表人身份证的复印件:</w:t>
      </w:r>
      <w:bookmarkEnd w:id="141"/>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hd w:val="nil" w:color="auto"/>
        <w:rPr>
          <w:rFonts w:hint="eastAsia" w:asciiTheme="minorEastAsia" w:hAnsiTheme="minorEastAsia" w:eastAsiaTheme="minorEastAsia"/>
          <w:highlight w:val="none"/>
        </w:rPr>
      </w:pPr>
      <w:r>
        <w:rPr>
          <w:highlight w:val="none"/>
        </w:rPr>
        <w:br w:type="page" w:clear="all"/>
      </w:r>
      <w:r>
        <w:rPr>
          <w:highlight w:val="none"/>
        </w:rPr>
      </w:r>
      <w:r/>
    </w:p>
    <w:p>
      <w:pPr>
        <w:pStyle w:val="891"/>
        <w:rPr>
          <w:rFonts w:hint="eastAsia" w:asciiTheme="minorEastAsia" w:hAnsiTheme="minorEastAsia" w:eastAsiaTheme="minorEastAsia"/>
          <w:highlight w:val="none"/>
        </w:rPr>
      </w:pPr>
      <w:r/>
      <w:bookmarkStart w:id="142" w:name="_Toc66375435"/>
      <w:r/>
      <w:bookmarkStart w:id="143" w:name="_Toc43917782"/>
      <w:r>
        <w:rPr>
          <w:rFonts w:hint="eastAsia" w:asciiTheme="minorEastAsia" w:hAnsiTheme="minorEastAsia" w:eastAsiaTheme="minorEastAsia"/>
          <w:highlight w:val="none"/>
        </w:rPr>
        <w:t xml:space="preserve">附件三、 资格证明文件</w:t>
      </w:r>
      <w:bookmarkEnd w:id="142"/>
      <w:r/>
      <w:bookmarkEnd w:id="143"/>
      <w:r/>
      <w:r/>
    </w:p>
    <w:p>
      <w:pPr>
        <w:ind w:firstLine="420"/>
        <w:spacing w:line="360" w:lineRule="auto"/>
        <w:rPr>
          <w:rFonts w:hint="eastAsia" w:ascii="宋体" w:hAnsi="宋体" w:cs="Arial"/>
          <w:bCs/>
          <w:szCs w:val="21"/>
          <w:highlight w:val="none"/>
        </w:rPr>
      </w:pPr>
      <w:r/>
      <w:bookmarkStart w:id="144" w:name="_Hlk168584506"/>
      <w:r/>
      <w:bookmarkStart w:id="145" w:name="_Hlk168674857"/>
      <w:r>
        <w:rPr>
          <w:rFonts w:hint="eastAsia" w:ascii="宋体" w:hAnsi="宋体" w:cs="Arial"/>
          <w:bCs/>
          <w:szCs w:val="21"/>
          <w:highlight w:val="none"/>
        </w:rPr>
        <w:t xml:space="preserve">1. 第一章招标公告中二、申请人的资格要求（一）《中华人民共和国政府采购法》规定的资格证明文件； </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2. 第一章招标公告中二、申请人的资格要求（二）落实政府采购政策需满足的资格要求相关材料（如有）</w:t>
      </w:r>
      <w:r>
        <w:rPr>
          <w:rFonts w:hint="eastAsia" w:asciiTheme="minorEastAsia" w:hAnsiTheme="minorEastAsia" w:eastAsiaTheme="minorEastAsia"/>
          <w:bCs/>
          <w:szCs w:val="21"/>
          <w:highlight w:val="none"/>
        </w:rPr>
        <w:t xml:space="preserve">；</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3. 第一章招标公告中二、申请人的资格要求（三）本项目特定资格要求证明文件（如有）；</w:t>
      </w:r>
      <w:r/>
    </w:p>
    <w:p>
      <w:pPr>
        <w:ind w:firstLine="420"/>
        <w:spacing w:line="360" w:lineRule="auto"/>
        <w:rPr>
          <w:rFonts w:hint="eastAsia" w:ascii="宋体" w:hAnsi="宋体"/>
          <w:bCs/>
          <w:highlight w:val="none"/>
        </w:rPr>
      </w:pPr>
      <w:r>
        <w:rPr>
          <w:rFonts w:hint="eastAsia" w:ascii="宋体" w:hAnsi="宋体"/>
          <w:bCs/>
          <w:highlight w:val="none"/>
        </w:rPr>
        <w:t xml:space="preserve">4</w:t>
      </w:r>
      <w:r>
        <w:rPr>
          <w:rFonts w:ascii="宋体" w:hAnsi="宋体"/>
          <w:bCs/>
          <w:highlight w:val="none"/>
        </w:rPr>
        <w:t xml:space="preserve">.</w:t>
      </w:r>
      <w:r>
        <w:rPr>
          <w:rFonts w:hint="eastAsia" w:ascii="宋体" w:hAnsi="宋体"/>
          <w:bCs/>
          <w:highlight w:val="none"/>
        </w:rPr>
        <w:t xml:space="preserve"> </w:t>
      </w:r>
      <w:r>
        <w:rPr>
          <w:rFonts w:hint="eastAsia" w:ascii="宋体" w:hAnsi="宋体" w:cs="Arial"/>
          <w:bCs/>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szCs w:val="21"/>
          <w:highlight w:val="none"/>
        </w:rPr>
        <w:t xml:space="preserve">证明文件</w:t>
      </w:r>
      <w:r>
        <w:rPr>
          <w:rFonts w:hint="eastAsia" w:ascii="宋体" w:hAnsi="宋体" w:cs="Arial"/>
          <w:bCs/>
          <w:szCs w:val="21"/>
          <w:highlight w:val="none"/>
        </w:rPr>
        <w:t xml:space="preserve">。</w:t>
      </w:r>
      <w:bookmarkEnd w:id="144"/>
      <w:r/>
      <w:bookmarkEnd w:id="14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lang w:val="zh-CN"/>
        </w:rPr>
      </w:pPr>
      <w:r/>
      <w:bookmarkStart w:id="146" w:name="_Toc43917773"/>
      <w:r/>
      <w:bookmarkStart w:id="147" w:name="_Toc66375426"/>
      <w:r/>
      <w:bookmarkStart w:id="148" w:name="_Toc26810"/>
      <w:r/>
      <w:bookmarkStart w:id="149" w:name="OLE_LINK38"/>
      <w:r>
        <w:rPr>
          <w:rFonts w:hint="eastAsia" w:asciiTheme="minorEastAsia" w:hAnsiTheme="minorEastAsia" w:eastAsiaTheme="minorEastAsia"/>
          <w:highlight w:val="none"/>
          <w:lang w:val="zh-CN"/>
        </w:rPr>
        <w:t xml:space="preserve">附件四、</w:t>
      </w:r>
      <w:bookmarkEnd w:id="146"/>
      <w:r/>
      <w:bookmarkEnd w:id="147"/>
      <w:r/>
      <w:bookmarkEnd w:id="148"/>
      <w:r>
        <w:rPr>
          <w:rFonts w:hint="eastAsia" w:asciiTheme="minorEastAsia" w:hAnsiTheme="minorEastAsia" w:eastAsiaTheme="minorEastAsia"/>
          <w:highlight w:val="none"/>
          <w:lang w:val="zh-CN"/>
        </w:rPr>
        <w:t xml:space="preserve">开标一览表</w:t>
      </w:r>
      <w:bookmarkEnd w:id="149"/>
      <w:r/>
      <w:r/>
    </w:p>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sz w:val="21"/>
          <w:szCs w:val="21"/>
          <w:highlight w:val="none"/>
        </w:rPr>
      </w:pPr>
      <w:r>
        <w:rPr>
          <w:rFonts w:hint="eastAsia" w:cs="宋体" w:asciiTheme="minorEastAsia" w:hAnsiTheme="minorEastAsia" w:eastAsiaTheme="minorEastAsia"/>
          <w:b w:val="0"/>
          <w:bCs/>
          <w:sz w:val="21"/>
          <w:szCs w:val="21"/>
          <w:highlight w:val="none"/>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bl>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bookmarkStart w:id="150" w:name="_Hlk44577819"/>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50"/>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bookmarkStart w:id="151" w:name="_Hlk175836563"/>
      <w:r>
        <w:rPr>
          <w:rFonts w:hint="eastAsia" w:cs="宋体" w:asciiTheme="minorEastAsia" w:hAnsiTheme="minorEastAsia" w:eastAsiaTheme="minorEastAsia"/>
          <w:szCs w:val="21"/>
          <w:highlight w:val="none"/>
        </w:rPr>
        <w:t xml:space="preserve">投标人（</w:t>
      </w:r>
      <w:bookmarkStart w:id="152" w:name="_Hlk176254322"/>
      <w:r>
        <w:rPr>
          <w:rFonts w:hint="eastAsia" w:cs="宋体" w:asciiTheme="minorEastAsia" w:hAnsiTheme="minorEastAsia" w:eastAsiaTheme="minorEastAsia"/>
          <w:szCs w:val="21"/>
          <w:highlight w:val="none"/>
        </w:rPr>
        <w:t xml:space="preserve">加盖电子公章</w:t>
      </w:r>
      <w:bookmarkEnd w:id="152"/>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bookmarkEnd w:id="151"/>
      <w:r/>
      <w:r/>
    </w:p>
    <w:p>
      <w:pPr>
        <w:shd w:val="nil" w:color="auto"/>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891"/>
        <w:rPr>
          <w:rFonts w:hint="eastAsia" w:asciiTheme="minorEastAsia" w:hAnsiTheme="minorEastAsia" w:eastAsiaTheme="minorEastAsia"/>
          <w:highlight w:val="none"/>
          <w:lang w:val="zh-CN"/>
        </w:rPr>
      </w:pPr>
      <w:r/>
      <w:bookmarkStart w:id="153" w:name="_Toc66375427"/>
      <w:r/>
      <w:bookmarkStart w:id="154" w:name="_Toc43917774"/>
      <w:r/>
      <w:bookmarkStart w:id="155" w:name="_Toc12264"/>
      <w:r>
        <w:rPr>
          <w:rFonts w:hint="eastAsia" w:asciiTheme="minorEastAsia" w:hAnsiTheme="minorEastAsia" w:eastAsiaTheme="minorEastAsia"/>
          <w:highlight w:val="none"/>
          <w:lang w:val="zh-CN"/>
        </w:rPr>
        <w:t xml:space="preserve">附件五、分项报价表</w:t>
      </w:r>
      <w:bookmarkEnd w:id="153"/>
      <w:r/>
      <w:bookmarkEnd w:id="154"/>
      <w:r/>
      <w:bookmarkEnd w:id="155"/>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bookmarkStart w:id="156" w:name="OLE_LINK39"/>
      <w:r>
        <w:rPr>
          <w:rFonts w:hint="eastAsia" w:asciiTheme="minorEastAsia" w:hAnsiTheme="minorEastAsia" w:eastAsiaTheme="minorEastAsia"/>
          <w:b/>
          <w:sz w:val="32"/>
          <w:szCs w:val="32"/>
          <w:highlight w:val="none"/>
        </w:rPr>
        <w:t xml:space="preserve">分项报价表</w:t>
      </w:r>
      <w:bookmarkEnd w:id="156"/>
      <w:r/>
      <w:r/>
    </w:p>
    <w:p>
      <w:pPr>
        <w:ind w:firstLine="50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9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1"/>
        <w:gridCol w:w="1246"/>
        <w:gridCol w:w="1026"/>
        <w:gridCol w:w="1026"/>
      </w:tblGrid>
      <w:tr>
        <w:trPr>
          <w:jc w:val="center"/>
          <w:trHeight w:val="23"/>
        </w:trPr>
        <w:tc>
          <w:tcPr>
            <w:tcW w:w="5941"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分析项目</w:t>
            </w:r>
            <w:r/>
          </w:p>
        </w:tc>
        <w:tc>
          <w:tcPr>
            <w:tcW w:w="1246"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单项（元）</w:t>
            </w:r>
            <w:r/>
          </w:p>
        </w:tc>
        <w:tc>
          <w:tcPr>
            <w:tcW w:w="1026"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W w:w="1026"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预估小计（元）</w:t>
            </w:r>
            <w:r/>
          </w:p>
        </w:tc>
      </w:tr>
      <w:tr>
        <w:trPr>
          <w:jc w:val="center"/>
          <w:trHeight w:val="23"/>
        </w:trPr>
        <w:tc>
          <w:tcPr>
            <w:gridSpan w:val="3"/>
            <w:tcW w:w="8213"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土壤分析</w:t>
            </w:r>
            <w:r/>
          </w:p>
        </w:tc>
        <w:tc>
          <w:tcPr>
            <w:tcW w:w="1026"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1:5万土壤地球化学分析（锌、有效锌、pH值、镉、汞、砷、铅、铬、铜、镍、有机质、氮、磷、钾、有效磷、速效钾、硅、铝、铁、锰、钠、钙、硫、硒、镁共25项指标）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1094件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1:5万农作物籽实分析（锌、砷、镉、铬、汞、铅、硒等7项）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548件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1:5万农作物籽实外检分析（锌、砷、镉、铬、汞、铅、硒等7项）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万水稻期根系土分析（沿江、里下河工作区）（锌、有效锌、pH值、镉、汞、砷、铅、铬、铜、镍、有机质、氮、磷、钾、硅、铝、铁、锰、钠、钙、硫、硒、镁、阳离子交换量、交换性钙、交换性镁、粒度分析，共27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0"/>
        </w:trPr>
        <w:tc>
          <w:tcPr>
            <w:tcW w:w="5941" w:type="dxa"/>
            <w:vAlign w:val="center"/>
            <w:textDirection w:val="lrTb"/>
            <w:noWrap w:val="false"/>
          </w:tcPr>
          <w:p>
            <w:pPr>
              <w:spacing w:line="360" w:lineRule="auto"/>
              <w:widowControl/>
              <w:rPr>
                <w:highlight w:val="none"/>
              </w:rPr>
            </w:pPr>
            <w:r>
              <w:rPr>
                <w:rFonts w:hint="eastAsia"/>
                <w:highlight w:val="none"/>
              </w:rPr>
              <w:t xml:space="preserve">1:5万水稻期根系土微生物分析（微生物1项）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137件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5万小麦期根系土分析（沿江、里下河工作区）（锌、有效锌、pH值、镉、汞、砷、铅、铬、铜、镍、有机质、氮、磷、钾、硅、铝、铁、锰、钠、钙、硫、硒、镁、阳离子交换量、交换性钙、交换性镁，共26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tabs>
                <w:tab w:val="left" w:pos="3401" w:leader="none"/>
              </w:tabs>
              <w:rPr>
                <w:highlight w:val="none"/>
              </w:rPr>
            </w:pPr>
            <w:r>
              <w:rPr>
                <w:rFonts w:hint="eastAsia"/>
                <w:highlight w:val="none"/>
              </w:rPr>
              <w:t xml:space="preserve">1:5万小麦期根系土分析（徐淮工作区）（锌、有效锌、pH值、镉、汞、砷、铅、铬、铜、镍、有机质、氮、磷、钾、硅、铝、铁、锰、钠、钙、硫、硒、镁、阳离子交换量、交换性钙、交换性镁、全盐量、Na+、Cl-，共29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土壤剖面样品分析（沿江、里下河工作区）（锌、有效锌、pH值、镉、汞、砷、铅、铬、铜、镍、有机质、铁、锰、钠、镁、钙、硫、硒、硅、铝、粒度分析共21项指标）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土壤剖面样品分析（徐淮工作区）（锌、有效锌、pH值、镉、汞、砷、铅、铬、铜、镍、有机质、铁、锰、钠、镁、钙、硫、硒、硅、铝、粒度分析、全盐量、Na+、Cl-共24项指标）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591"/>
        </w:trPr>
        <w:tc>
          <w:tcPr>
            <w:tcW w:w="5941" w:type="dxa"/>
            <w:vAlign w:val="center"/>
            <w:textDirection w:val="lrTb"/>
            <w:noWrap w:val="false"/>
          </w:tcPr>
          <w:p>
            <w:pPr>
              <w:spacing w:line="360" w:lineRule="auto"/>
              <w:widowControl/>
              <w:rPr>
                <w:highlight w:val="none"/>
              </w:rPr>
            </w:pPr>
            <w:r>
              <w:rPr>
                <w:rFonts w:hint="eastAsia"/>
                <w:highlight w:val="none"/>
              </w:rPr>
              <w:t xml:space="preserve">典型剖面样品分析（锌形态分析（7步提取法）、钛、锆）</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346"/>
        </w:trPr>
        <w:tc>
          <w:tcPr>
            <w:tcW w:w="5941" w:type="dxa"/>
            <w:vAlign w:val="center"/>
            <w:textDirection w:val="lrTb"/>
            <w:noWrap w:val="false"/>
          </w:tcPr>
          <w:p>
            <w:pPr>
              <w:jc w:val="left"/>
              <w:spacing w:line="360" w:lineRule="auto"/>
              <w:widowControl/>
              <w:rPr>
                <w:highlight w:val="none"/>
              </w:rPr>
            </w:pPr>
            <w:r>
              <w:rPr>
                <w:rFonts w:hint="eastAsia"/>
                <w:highlight w:val="none"/>
              </w:rPr>
              <w:t xml:space="preserve">锌同位素分析（锌同位素（δ66Zn）1项）</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1:1万土壤地球化学分析（锌、有效锌、pH值、镉、汞、砷、铅、铬、铜、镍、有机质、氮、有效磷、速效钾、硅、铝、铁、锰、钠、镁、钙、硫、硒、钼共24项指标）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46"/>
        </w:trPr>
        <w:tc>
          <w:tcPr>
            <w:tcW w:w="5941" w:type="dxa"/>
            <w:vAlign w:val="center"/>
            <w:textDirection w:val="lrTb"/>
            <w:noWrap w:val="false"/>
          </w:tcPr>
          <w:p>
            <w:pPr>
              <w:jc w:val="left"/>
              <w:spacing w:line="360" w:lineRule="auto"/>
              <w:widowControl/>
              <w:rPr>
                <w:highlight w:val="none"/>
              </w:rPr>
            </w:pPr>
            <w:r>
              <w:rPr>
                <w:rFonts w:hint="eastAsia"/>
                <w:highlight w:val="none"/>
              </w:rPr>
              <w:t xml:space="preserve">1:1万农作物水稻、小麦分析（锌、砷、镉、铬、汞、铅、硒、铁、锰、钼、铜、钙共计12项指标）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1:1万农作物籽实外检分析（锌、砷、镉、铬、汞、铅、硒、铁、锰、钼、铜、钙共计12项指标）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524"/>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1:1万农作物秸秆分析（锌1项指标）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1:1万农作物根系土分析（沿江、里下河工作区）（锌、有效锌、pH值、镉、汞、砷、铅、铬、铜、镍、有机质、氮、磷、钾、硅、铝、铁、锰、钠、镁、钙、硫、硒、钼、阳离子交换量共25项指标）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1:1万农作物根系土分析（徐淮工作区）（锌、有效锌、pH值、镉、汞、砷、铅、铬、铜、镍、有机质、氮、磷、钾、硅、铝、铁、锰、钠、镁、钙、硫、硒、钼、阳离子交换量、全盐量、Na+、Cl-共28项指标）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其他农作物分析（锌、砷、镉、铬、汞、铅、硒、铁、锰、钼、铜、钙共计12项指标）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1188"/>
        </w:trPr>
        <w:tc>
          <w:tcPr>
            <w:tcW w:w="5941" w:type="dxa"/>
            <w:vAlign w:val="center"/>
            <w:textDirection w:val="lrTb"/>
            <w:noWrap w:val="false"/>
          </w:tcPr>
          <w:p>
            <w:pPr>
              <w:spacing w:line="360" w:lineRule="auto"/>
              <w:widowControl/>
              <w:rPr>
                <w:highlight w:val="none"/>
              </w:rPr>
            </w:pPr>
            <w:r>
              <w:rPr>
                <w:rFonts w:hint="eastAsia"/>
                <w:highlight w:val="none"/>
              </w:rPr>
              <w:t xml:space="preserve">其他农作物根系土分析（沿江、里下河工作区）（锌、有效锌、pH值、镉、汞、砷、铅、铬、铜、镍、有机质、氮、磷、钾、硅、铝、铁、锰、钠、镁、钙、硫、硒、钼、阳离子交换量共25项指标）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0"/>
        </w:trPr>
        <w:tc>
          <w:tcPr>
            <w:tcW w:w="5941" w:type="dxa"/>
            <w:vAlign w:val="center"/>
            <w:textDirection w:val="lrTb"/>
            <w:noWrap w:val="false"/>
          </w:tcPr>
          <w:p>
            <w:pPr>
              <w:spacing w:line="360" w:lineRule="auto"/>
              <w:widowControl/>
              <w:rPr>
                <w:highlight w:val="none"/>
              </w:rPr>
            </w:pPr>
            <w:r>
              <w:rPr>
                <w:rFonts w:hint="eastAsia"/>
                <w:highlight w:val="none"/>
              </w:rPr>
              <w:t xml:space="preserve">其他农作物根系土分析（徐淮工作区）（锌、有效锌、pH值、镉、汞、砷、铅、铬、铜、镍、有机质、氮、磷、钾、硅、铝、铁、锰、钠、镁、钙、硫、硒、钼、阳离子交换量、全盐量、Na+、Cl-共28项指标）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gridSpan w:val="3"/>
            <w:tcW w:w="8213"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水质分析</w:t>
            </w:r>
            <w:r/>
          </w:p>
        </w:tc>
        <w:tc>
          <w:tcPr>
            <w:tcW w:w="1026" w:type="dxa"/>
            <w:vAlign w:val="center"/>
            <w:textDirection w:val="lrTb"/>
            <w:noWrap w:val="false"/>
          </w:tcPr>
          <w:p>
            <w:pPr>
              <w:jc w:val="center"/>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灌溉水分析（沿江、里下河工作区）（锌、pH值、总铅、总镉、总汞、总砷、铬（六价）、氟化物、化学需氧量、石油类等10项指标）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tcW w:w="5941" w:type="dxa"/>
            <w:vAlign w:val="center"/>
            <w:textDirection w:val="lrTb"/>
            <w:noWrap w:val="false"/>
          </w:tcPr>
          <w:p>
            <w:pP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灌溉水分析（徐淮工作区）（锌、pH值、总铅、总镉、总汞、总砷、铬（六价）、氟化物、化学需氧量、石油类、全盐量等11项指标）</w:t>
            </w:r>
            <w:r/>
          </w:p>
        </w:tc>
        <w:tc>
          <w:tcPr>
            <w:tcW w:w="124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18件</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23"/>
        </w:trPr>
        <w:tc>
          <w:tcPr>
            <w:gridSpan w:val="3"/>
            <w:tcW w:w="8213"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投标总价（元）</w:t>
            </w:r>
            <w:r/>
          </w:p>
        </w:tc>
        <w:tc>
          <w:tcPr>
            <w:tcW w:w="1026" w:type="dxa"/>
            <w:vAlign w:val="center"/>
            <w:textDirection w:val="lrTb"/>
            <w:noWrap w:val="false"/>
          </w:tcPr>
          <w:p>
            <w:pPr>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left="21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57" w:name="OLE_LINK42"/>
      <w:r>
        <w:rPr>
          <w:rFonts w:hint="eastAsia" w:asciiTheme="minorEastAsia" w:hAnsiTheme="minorEastAsia" w:eastAsiaTheme="minorEastAsia"/>
          <w:szCs w:val="21"/>
          <w:highlight w:val="none"/>
        </w:rPr>
        <w:t xml:space="preserve">投标总价</w:t>
      </w:r>
      <w:bookmarkEnd w:id="157"/>
      <w:r>
        <w:rPr>
          <w:rFonts w:hint="eastAsia" w:asciiTheme="minorEastAsia" w:hAnsiTheme="minorEastAsia" w:eastAsiaTheme="minorEastAsia"/>
          <w:szCs w:val="21"/>
          <w:highlight w:val="none"/>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ab/>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w:t>
      </w:r>
      <w:bookmarkStart w:id="158" w:name="_Hlk176254340"/>
      <w:r>
        <w:rPr>
          <w:rFonts w:hint="eastAsia" w:cs="宋体" w:asciiTheme="minorEastAsia" w:hAnsiTheme="minorEastAsia" w:eastAsiaTheme="minorEastAsia"/>
          <w:szCs w:val="21"/>
          <w:highlight w:val="none"/>
        </w:rPr>
        <w:t xml:space="preserve">加盖电子公章</w:t>
      </w:r>
      <w:bookmarkEnd w:id="158"/>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p>
    <w:p>
      <w:pPr>
        <w:pStyle w:val="891"/>
        <w:rPr>
          <w:rFonts w:hint="eastAsia" w:asciiTheme="minorEastAsia" w:hAnsiTheme="minorEastAsia" w:eastAsiaTheme="minorEastAsia"/>
          <w:highlight w:val="none"/>
          <w:lang w:val="zh-CN"/>
        </w:rPr>
      </w:pPr>
      <w:r>
        <w:rPr>
          <w:rFonts w:asciiTheme="minorEastAsia" w:hAnsiTheme="minorEastAsia" w:eastAsiaTheme="minorEastAsia"/>
          <w:szCs w:val="21"/>
          <w:highlight w:val="none"/>
        </w:rPr>
        <w:br w:type="page" w:clear="all"/>
      </w:r>
      <w:bookmarkStart w:id="159" w:name="_Toc43917775"/>
      <w:r/>
      <w:bookmarkStart w:id="160" w:name="_Toc66375428"/>
      <w:r>
        <w:rPr>
          <w:rFonts w:hint="eastAsia" w:asciiTheme="minorEastAsia" w:hAnsiTheme="minorEastAsia" w:eastAsiaTheme="minorEastAsia"/>
          <w:highlight w:val="none"/>
          <w:lang w:val="zh-CN"/>
        </w:rPr>
        <w:t xml:space="preserve">附件六、</w:t>
      </w:r>
      <w:bookmarkStart w:id="161" w:name="_Hlk176528721"/>
      <w:r>
        <w:rPr>
          <w:rFonts w:hint="eastAsia" w:asciiTheme="minorEastAsia" w:hAnsiTheme="minorEastAsia" w:eastAsiaTheme="minorEastAsia"/>
          <w:highlight w:val="none"/>
          <w:lang w:val="zh-CN"/>
        </w:rPr>
        <w:t xml:space="preserve">技术要求响应及偏离表</w:t>
      </w:r>
      <w:bookmarkEnd w:id="159"/>
      <w:r/>
      <w:bookmarkEnd w:id="160"/>
      <w:r/>
      <w:bookmarkEnd w:id="161"/>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62" w:name="_Hlk176528733"/>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63" w:name="_Hlk66784099"/>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64" w:name="OLE_LINK53"/>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bookmarkEnd w:id="164"/>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四、工作标准</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本项目测试分析将严格执行有关的现行技术标准与规范，有国家标准的一律执行国标，暂时没有国家标准的，参照相关行业标准或规范执行，并结合实际灵活掌握。主要分析元素的执行的测试分析标准或方法见下表：</w:t>
            </w:r>
            <w:r/>
          </w:p>
          <w:tbl>
            <w:tblPr>
              <w:tblStyle w:val="1091"/>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8"/>
              <w:gridCol w:w="491"/>
              <w:gridCol w:w="547"/>
              <w:gridCol w:w="2242"/>
            </w:tblGrid>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序号</w:t>
                  </w:r>
                  <w:r/>
                </w:p>
              </w:tc>
              <w:tc>
                <w:tcPr>
                  <w:gridSpan w:val="2"/>
                  <w:tcW w:w="103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测试项目</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分析方法</w:t>
                  </w:r>
                  <w:r/>
                </w:p>
              </w:tc>
            </w:tr>
            <w:tr>
              <w:trPr>
                <w:trHeight w:val="1383"/>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491" w:type="dxa"/>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土壤化学样品</w:t>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Zn</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HJ 780 波长色散X射线荧光光谱法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HJ 803王水提取-电感耦合等离子体质谱法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DZ/T 0279.2电感耦合等离子体原子发射光谱法</w:t>
                  </w:r>
                  <w:r/>
                </w:p>
              </w:tc>
            </w:tr>
            <w:tr>
              <w:trPr>
                <w:trHeight w:val="925"/>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pH</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NY/T 1377、NY/T 1121.2、DZ/T 0279.34、LY/T 1239 离子选择电极法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有效锌</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NY/T 890 二乙三胺五乙酸（DTPA）浸提法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锌形态分析</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土壤元素形态分析“7步提取法”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锌同位素分析</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GB/T 37847 多接收电感耦合等离子体质谱法（MC-ICP-MS）</w:t>
                  </w:r>
                  <w:r/>
                </w:p>
              </w:tc>
            </w:tr>
            <w:tr>
              <w:trPr>
                <w:trHeight w:val="1383"/>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p>
              </w:tc>
              <w:tc>
                <w:tcPr>
                  <w:tcW w:w="491" w:type="dxa"/>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农作物样品</w:t>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Zn</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5009.14火焰原子吸收光谱法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5009.268、DZ/T 0253.1电感耦合等离子体质谱法</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5009.268电感耦合等离子体光谱法</w:t>
                  </w:r>
                  <w:r/>
                </w:p>
              </w:tc>
            </w:tr>
            <w:tr>
              <w:trPr>
                <w:trHeight w:val="468"/>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p>
              </w:tc>
              <w:tc>
                <w:tcPr>
                  <w:tcW w:w="491" w:type="dxa"/>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稻米籽实</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以三级大米计，加工精度见GB/T 1354</w:t>
                  </w:r>
                  <w:r/>
                </w:p>
              </w:tc>
            </w:tr>
            <w:tr>
              <w:trPr>
                <w:trHeight w:val="477"/>
              </w:trPr>
              <w:tc>
                <w:tcPr>
                  <w:tcW w:w="21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p>
              </w:tc>
              <w:tc>
                <w:tcPr>
                  <w:tcW w:w="491"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灌溉水样品</w:t>
                  </w:r>
                  <w:r/>
                </w:p>
              </w:tc>
              <w:tc>
                <w:tcPr>
                  <w:tcW w:w="547"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Zn</w:t>
                  </w:r>
                  <w:r/>
                </w:p>
              </w:tc>
              <w:tc>
                <w:tcPr>
                  <w:tcW w:w="2242"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GB 7475-87 原子吸收分光光度法</w:t>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测试方法按照国家相关规范执行；为控制测试精度，平行样选取比例为5%-10%。</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 投标人负责撰写分析数据报告。报告除给出测试结果外，还应给出各种指标分析测试方法(包括检出限、准确度、精密度等)、测试仪器、测试环境的温湿条件和质量评估等内容。质量指标均满足DZ/T 0130-2006 地质矿产实验室测试质量管理规范、DZ/T 0145-2017 土壤地球化学测量规程要求，内检合格率不低于95%，外检合格率不低于90%，外检单位由采购人指定等。</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五、工作内容及要求</w:t>
            </w:r>
            <w:r/>
          </w:p>
          <w:tbl>
            <w:tblPr>
              <w:tblStyle w:val="900"/>
              <w:tblW w:w="7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1"/>
              <w:gridCol w:w="672"/>
            </w:tblGrid>
            <w:tr>
              <w:trPr>
                <w:jc w:val="center"/>
                <w:trHeight w:val="470"/>
              </w:trPr>
              <w:tc>
                <w:tcPr>
                  <w:tcW w:w="6629" w:type="dxa"/>
                  <w:vAlign w:val="center"/>
                  <w:textDirection w:val="lrTb"/>
                  <w:noWrap/>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分析项目</w:t>
                  </w:r>
                  <w:r/>
                </w:p>
              </w:tc>
              <w:tc>
                <w:tcPr>
                  <w:tcW w:w="1330" w:type="dxa"/>
                  <w:vAlign w:val="center"/>
                  <w:textDirection w:val="lrTb"/>
                  <w:noWrap/>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数量</w:t>
                  </w:r>
                  <w:r/>
                </w:p>
              </w:tc>
            </w:tr>
            <w:tr>
              <w:trPr>
                <w:jc w:val="center"/>
                <w:trHeight w:val="470"/>
              </w:trPr>
              <w:tc>
                <w:tcPr>
                  <w:gridSpan w:val="2"/>
                  <w:tcW w:w="7959" w:type="dxa"/>
                  <w:vAlign w:val="center"/>
                  <w:textDirection w:val="lrTb"/>
                  <w:noWrap/>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土壤分析</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1:5万土壤地球化学分析（锌、有效锌、pH值、镉、汞、砷、铅、铬、铜、镍、有机质、氮、磷、钾、有效磷、速效钾、硅、铝、铁、锰、钠、钙、硫、硒、镁共25项指标）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1094件</w:t>
                  </w:r>
                  <w:r/>
                </w:p>
              </w:tc>
            </w:tr>
            <w:tr>
              <w:trPr>
                <w:jc w:val="center"/>
                <w:trHeight w:val="916"/>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1:5万农作物籽实分析（锌、砷、镉、铬、汞、铅、硒等7项）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548件</w:t>
                  </w:r>
                  <w:r/>
                </w:p>
              </w:tc>
            </w:tr>
            <w:tr>
              <w:trPr>
                <w:jc w:val="center"/>
                <w:trHeight w:val="916"/>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1:5万农作物籽实外检分析（锌、砷、镉、铬、汞、铅、硒等7项）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30件</w:t>
                  </w:r>
                  <w:r/>
                </w:p>
              </w:tc>
            </w:tr>
            <w:tr>
              <w:trPr>
                <w:jc w:val="center"/>
                <w:trHeight w:val="1848"/>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水稻期根系土分析（沿江、里下河工作区）（锌、有效锌、pH值、镉、汞、砷、铅、铬、铜、镍、有机质、氮、磷、钾、硅、铝、铁、锰、钠、钙、硫、硒、镁、阳离子交换量、交换性钙、交换性镁、粒度分析，共27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174件</w:t>
                  </w:r>
                  <w:r/>
                </w:p>
              </w:tc>
            </w:tr>
            <w:tr>
              <w:trPr>
                <w:jc w:val="center"/>
                <w:trHeight w:val="226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水稻期根系土分析（徐淮工作区）（锌、有效锌、pH值、镉、汞、砷、铅、铬、铜、镍、有机质、氮、磷、钾、硅、铝、铁、锰、钠、钙、硫、硒、镁、阳离子交换量、交换性钙、交换性镁、粒度分析、全盐量、Na+、Cl-，共30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100件</w:t>
                  </w:r>
                  <w:r/>
                </w:p>
              </w:tc>
            </w:tr>
            <w:tr>
              <w:trPr>
                <w:jc w:val="center"/>
                <w:trHeight w:val="47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1:5万水稻期根系土微生物分析（微生物1项）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137件</w:t>
                  </w:r>
                  <w:r/>
                </w:p>
              </w:tc>
            </w:tr>
            <w:tr>
              <w:trPr>
                <w:jc w:val="center"/>
                <w:trHeight w:val="226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小麦期根系土分析（沿江、里下河工作区）（锌、有效锌、pH值、镉、汞、砷、铅、铬、铜、镍、有机质、氮、磷、钾、硅、铝、铁、锰、钠、钙、硫、硒、镁、阳离子交换量、交换性钙、交换性镁，共26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174件</w:t>
                  </w:r>
                  <w:r/>
                </w:p>
              </w:tc>
            </w:tr>
            <w:tr>
              <w:trPr>
                <w:jc w:val="center"/>
                <w:trHeight w:val="226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万小麦期根系土分析（徐淮工作区）（锌、有效锌、pH值、镉、汞、砷、铅、铬、铜、镍、有机质、氮、磷、钾、硅、铝、铁、锰、钠、钙、硫、硒、镁、阳离子交换量、交换性钙、交换性镁、全盐量、Na+、Cl-，共29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土壤剖面样品分析（沿江、里下河工作区）（锌、有效锌、pH值、镉、汞、砷、铅、铬、铜、镍、有机质、铁、锰、钠、镁、钙、硫、硒、硅、铝、粒度分析共21项指标）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276件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土壤剖面样品分析（徐淮工作区）（锌、有效锌、pH值、镉、汞、砷、铅、铬、铜、镍、有机质、铁、锰、钠、镁、钙、硫、硒、硅、铝、粒度分析、全盐量、Na+、Cl-共24项指标）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123件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典型剖面样品分析（锌形态分析（7步提取法）、钛、锆）</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57件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锌同位素分析（锌同位素（δ66Zn）1项）</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30件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1:1万土壤地球化学分析（锌、有效锌、pH值、镉、汞、砷、铅、铬、铜、镍、有机质、氮、有效磷、速效钾、硅、铝、铁、锰、钠、镁、钙、硫、硒、钼共24项指标）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384件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1:1万农作物水稻、小麦分析（锌、砷、镉、铬、汞、铅、硒、铁、锰、钼、铜、钙共计12项指标）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1:1万农作物籽实外检分析（锌、砷、镉、铬、汞、铅、硒、铁、锰、钼、铜、钙共计12项指标）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1:1万农作物秸秆分析（锌1项指标）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246件</w:t>
                  </w:r>
                  <w:r/>
                </w:p>
              </w:tc>
            </w:tr>
            <w:tr>
              <w:trPr>
                <w:jc w:val="center"/>
                <w:trHeight w:val="1812"/>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164件</w:t>
                  </w:r>
                  <w:r/>
                </w:p>
              </w:tc>
            </w:tr>
            <w:tr>
              <w:trPr>
                <w:jc w:val="center"/>
                <w:trHeight w:val="1848"/>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1:1万农作物根系土分析（徐淮工作区）（锌、有效锌、pH值、镉、汞、砷、铅、铬、铜、镍、有机质、氮、磷、钾、硅、铝、铁、锰、钠、镁、钙、硫、硒、钼、阳离子交换量、全盐量、Na+、Cl-共28项指标）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82件</w:t>
                  </w:r>
                  <w:r/>
                </w:p>
              </w:tc>
            </w:tr>
            <w:tr>
              <w:trPr>
                <w:jc w:val="center"/>
                <w:trHeight w:val="1157"/>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其他农作物分析（锌、砷、镉、铬、汞、铅、硒、铁、锰、钼、铜、钙共计12项指标）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96件</w:t>
                  </w:r>
                  <w:r/>
                </w:p>
              </w:tc>
            </w:tr>
            <w:tr>
              <w:trPr>
                <w:jc w:val="center"/>
                <w:trHeight w:val="90"/>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其他农作物根系土分析（沿江、里下河工作区）（锌、有效锌、pH值、镉、汞、砷、铅、铬、铜、镍、有机质、氮、磷、钾、硅、铝、铁、锰、钠、镁、钙、硫、硒、钼、阳离子交换量共25项指标）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64件</w:t>
                  </w:r>
                  <w:r/>
                </w:p>
              </w:tc>
            </w:tr>
            <w:tr>
              <w:trPr>
                <w:jc w:val="center"/>
                <w:trHeight w:val="1848"/>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其他农作物根系土分析（徐淮工作区）（锌、有效锌、pH值、镉、汞、砷、铅、铬、铜、镍、有机质、氮、磷、钾、硅、铝、铁、锰、钠、镁、钙、硫、硒、钼、阳离子交换量、全盐量、Na+、Cl-共28项指标）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32件</w:t>
                  </w:r>
                  <w:r/>
                </w:p>
              </w:tc>
            </w:tr>
            <w:tr>
              <w:trPr>
                <w:jc w:val="center"/>
                <w:trHeight w:val="470"/>
              </w:trPr>
              <w:tc>
                <w:tcPr>
                  <w:gridSpan w:val="2"/>
                  <w:tcW w:w="795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水质分析</w:t>
                  </w:r>
                  <w:r/>
                </w:p>
              </w:tc>
            </w:tr>
            <w:tr>
              <w:trPr>
                <w:jc w:val="center"/>
                <w:trHeight w:val="1364"/>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灌溉水分析（沿江、里下河工作区）（锌、pH值、总铅、总镉、总汞、总砷、铬（六价）、氟化物、化学需氧量、石油类等10项指标）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36件</w:t>
                  </w:r>
                  <w:r/>
                </w:p>
              </w:tc>
            </w:tr>
            <w:tr>
              <w:trPr>
                <w:jc w:val="center"/>
                <w:trHeight w:val="1383"/>
              </w:trPr>
              <w:tc>
                <w:tcPr>
                  <w:tcW w:w="662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灌溉水分析（徐淮工作区）（锌、pH值、总铅、总镉、总汞、总砷、铬（六价）、氟化物、化学需氧量、石油类、全盐量等11项指标）</w:t>
                  </w:r>
                  <w:r/>
                </w:p>
              </w:tc>
              <w:tc>
                <w:tcPr>
                  <w:tcW w:w="1330"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18件</w:t>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注：1.</w:t>
            </w:r>
            <w:r>
              <w:rPr>
                <w:rFonts w:hint="eastAsia" w:asciiTheme="minorEastAsia" w:hAnsiTheme="minorEastAsia" w:eastAsiaTheme="minorEastAsia"/>
                <w:szCs w:val="21"/>
                <w:highlight w:val="none"/>
                <w:lang w:val="en-US" w:eastAsia="zh-CN"/>
              </w:rPr>
              <w:t xml:space="preserve">相关分析</w:t>
            </w:r>
            <w:r>
              <w:rPr>
                <w:rFonts w:hint="eastAsia" w:asciiTheme="minorEastAsia" w:hAnsiTheme="minorEastAsia" w:eastAsiaTheme="minorEastAsia"/>
                <w:szCs w:val="21"/>
                <w:highlight w:val="none"/>
              </w:rPr>
              <w:t xml:space="preserve">质量及标准符合采购人及国家有关规范要求。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.分析数量为预计数量，实际分析样品数量以采购人通知为准。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★六、拟采购标的需要满足的技术、商务要求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（一）技术要求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1.服务要求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（1）投标人应及时向采购人反馈工作进展情况。</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负责样品签收后直至出具检测报告的所有工作内容，对采购人提供的样品分析质量情况按有关要求执行，投标人对分析结果的真实、准确性负责。本合同服务项目的保证期为两年。在保证期内发现服务质量缺陷的，投标人应当负责返工或者采取补救措施，但不是由于投标人的原因所造成的情况除外。并接受采购人的质量检查与监督。</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（3）按时向采购人提交检测报告，提交成果如下：A、按时、保质、保量向采购人提交全部样品检测分析成果报告(纸质和电子版，其中纸质版2份)，并加盖分析测试专用章。 B、内检合格率、外检合格率 。C、分析工作质量总结报告盖章版2份。</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（3）投标人不得将分析资料以任何方式转让第三方。</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（4）如采购人提供样品包装有破损或污染等情况，投标人有权要求采购人退换。</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（5）投标人对分析测试所获得的资料及最终成果负有保密义务。</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（6）在该项目成果报告正式评审验收前，对分析后剩余样品负有保管责任，接到采购人关于分析剩余样品处理通知后，按通知予以处理。</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2.知识产权要求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对该项目所记录的所有原始素材须提交采购人，投标人及其人员履行本合同所产生的一切成果，其所有权及知识产权均归采购人所有，投标人不得将以上述成果应用于其他媒体或机构、擅自发表、申请知识产权等任何方式实施任何损害采购人所有权及知识产权的行为。</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必须对项目技术方案以及由采购人提供的所有内部资料、技术文档和信息予以保密，投标人必须遵守与采购人签订的保密协议，未经采购人书面许可，投标人不得基于本合同以外的目的使用，不得以任何形式向第三方透露上述保密内容。</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3.人员配备要求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（1）在本项目执行期间，核心人员要百分百地投入到本项目中，并且整个项目团队的人员要相对固定，未得到采购人同意不得擅自更换团队服务人员。</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（2）由于本项目涉及面广、整体要求高，投标人应在投标文件中列明各项专职人员，以及具体负责事宜。</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63"/>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bookmarkStart w:id="165" w:name="OLE_LINK37"/>
      <w:r>
        <w:rPr>
          <w:rFonts w:hint="eastAsia" w:asciiTheme="minorEastAsia" w:hAnsiTheme="minorEastAsia" w:eastAsiaTheme="minorEastAsia"/>
          <w:b/>
          <w:bCs/>
          <w:szCs w:val="21"/>
          <w:highlight w:val="none"/>
        </w:rPr>
        <w:t xml:space="preserve">1.</w:t>
      </w:r>
      <w:bookmarkStart w:id="166" w:name="OLE_LINK41"/>
      <w:r>
        <w:rPr>
          <w:rFonts w:hint="eastAsia" w:asciiTheme="minorEastAsia" w:hAnsiTheme="minorEastAsia" w:eastAsiaTheme="minorEastAsia"/>
          <w:b/>
          <w:bCs/>
          <w:highlight w:val="none"/>
        </w:rPr>
        <w:t xml:space="preserve">投标人</w:t>
      </w:r>
      <w:bookmarkEnd w:id="166"/>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62"/>
      <w:r/>
      <w:bookmarkEnd w:id="165"/>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bookmarkStart w:id="167" w:name="_Toc66375429"/>
      <w:r/>
      <w:bookmarkStart w:id="168" w:name="_Toc43917776"/>
      <w:r>
        <w:rPr>
          <w:rFonts w:hint="eastAsia" w:asciiTheme="minorEastAsia" w:hAnsiTheme="minorEastAsia" w:eastAsiaTheme="minorEastAsia"/>
          <w:highlight w:val="none"/>
        </w:rPr>
        <w:br w:type="page" w:clear="all"/>
      </w:r>
      <w:r/>
    </w:p>
    <w:p>
      <w:pPr>
        <w:pStyle w:val="891"/>
        <w:numPr>
          <w:ilvl w:val="1"/>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附件七、</w:t>
      </w:r>
      <w:bookmarkStart w:id="169" w:name="_Hlk176528748"/>
      <w:r>
        <w:rPr>
          <w:rFonts w:hint="eastAsia" w:asciiTheme="minorEastAsia" w:hAnsiTheme="minorEastAsia" w:eastAsiaTheme="minorEastAsia"/>
          <w:highlight w:val="none"/>
        </w:rPr>
        <w:t xml:space="preserve">商务要求响应及偏离表</w:t>
      </w:r>
      <w:bookmarkEnd w:id="167"/>
      <w:r/>
      <w:bookmarkEnd w:id="168"/>
      <w:r/>
      <w:bookmarkEnd w:id="169"/>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Start w:id="170" w:name="_Hlk176528759"/>
      <w:r/>
      <w:r/>
    </w:p>
    <w:p>
      <w:pPr>
        <w:jc w:val="cente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71"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bookmarkStart w:id="172" w:name="OLE_LINK54"/>
            <w:r>
              <w:rPr>
                <w:rFonts w:hint="eastAsia" w:asciiTheme="minorEastAsia" w:hAnsiTheme="minorEastAsia" w:eastAsiaTheme="minorEastAsia"/>
                <w:b/>
                <w:szCs w:val="21"/>
                <w:highlight w:val="none"/>
              </w:rPr>
              <w:t xml:space="preserve">(响应或不响应)</w:t>
            </w:r>
            <w:bookmarkEnd w:id="172"/>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一、项目名称</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江苏省典型高锌农耕区精细化调查与开发利用评价项目第三方样品测试分析</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二、项目背景</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江苏省典型高锌农耕区精细化调查与开发利用评价项目以里下河古潟湖积平原、长江三角洲冲积平原及滨海平原三类典型沉积环境的高锌农</w:t>
            </w:r>
            <w:r>
              <w:rPr>
                <w:rFonts w:hint="eastAsia" w:asciiTheme="minorEastAsia" w:hAnsiTheme="minorEastAsia" w:eastAsiaTheme="minorEastAsia"/>
                <w:szCs w:val="21"/>
                <w:highlight w:val="none"/>
              </w:rPr>
              <w:t xml:space="preserve">耕区为研究对象，采用“区域预查—重点详查—地块标识”的多级精度递进调查模式，系统查明工作区天然富锌土地资源的数量、质量及空间分布格局，明确土壤锌的地球化学分布规律与天然属性；科学评价富锌耕地质量等级与农作物富锌状况，划定“清洁、富锌、优质、天然”的富锌土地资源区；圈定同类沉积单元可供优先调查评价及开发利用的富锌土地资源潜力区，形成富锌土地资源宏观布局；构建适合江苏平原农耕区地质背景与集约化农作特点的天然富锌土地调查评价方法技术体系，为江苏省特色农业规划布局、耕地质量提升和乡村产业振兴提供科学依据和决策支撑。</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三、工作范围</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沿江平原的大桥镇南部沿江地区（以下简称沿江工作区），坐标北纬32°17'44"～32°24'32，东经119°38'53"～119°50'58"，面积120.99km2（图1-3-1、表1-3-1）；</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滨海平原的板浦镇（以下简称徐淮工作区），坐标北纬34°27'23"～34°31'54"，东经119°11'54"～119°24'26"，面积80.64km2（图1-3-2、表1-3-1）；</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里下河平原的武坚镇（以下简称里下河工作区），坐标北纬32°40'24"～32°47'53"，东经119°45'27"～119°52'02"，面积85.58km2（图1-3-3，表1-3-1）。</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本次工作区面积共计287.21km2。</w:t>
            </w:r>
            <w:r/>
          </w:p>
          <w:tbl>
            <w:tblPr>
              <w:tblStyle w:val="1089"/>
              <w:tblW w:w="82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248"/>
              <w:gridCol w:w="553"/>
              <w:gridCol w:w="517"/>
              <w:gridCol w:w="513"/>
              <w:gridCol w:w="450"/>
              <w:gridCol w:w="514"/>
              <w:gridCol w:w="549"/>
              <w:gridCol w:w="4190"/>
            </w:tblGrid>
            <w:tr>
              <w:trPr>
                <w:jc w:val="center"/>
                <w:trHeight w:val="2664"/>
              </w:trPr>
              <w:tc>
                <w:tcPr>
                  <w:gridSpan w:val="8"/>
                  <w:tcW w:w="4106"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70810" cy="1637665"/>
                            <wp:effectExtent l="0" t="0" r="15240" b="635"/>
                            <wp:docPr id="1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3"/>
                                    <pic:cNvPicPr>
                                      <a:picLocks noChangeAspect="1"/>
                                    </pic:cNvPicPr>
                                    <pic:nvPr/>
                                  </pic:nvPicPr>
                                  <pic:blipFill>
                                    <a:blip r:embed="rId14"/>
                                    <a:stretch/>
                                  </pic:blipFill>
                                  <pic:spPr bwMode="auto">
                                    <a:xfrm>
                                      <a:off x="0" y="0"/>
                                      <a:ext cx="2673535" cy="16393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0.3pt;height:128.9pt;mso-wrap-distance-left:0.0pt;mso-wrap-distance-top:0.0pt;mso-wrap-distance-right:0.0pt;mso-wrap-distance-bottom:0.0pt;" stroked="false">
                            <v:path textboxrect="0,0,0,0"/>
                            <v:imagedata r:id="rId14" o:title=""/>
                          </v:shape>
                        </w:pict>
                      </mc:Fallback>
                    </mc:AlternateContent>
                  </w:r>
                  <w:r/>
                </w:p>
              </w:tc>
              <w:tc>
                <w:tcPr>
                  <w:tcW w:w="4190"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733675" cy="1637665"/>
                            <wp:effectExtent l="0" t="0" r="9525" b="635"/>
                            <wp:docPr id="1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4"/>
                                    <pic:cNvPicPr>
                                      <a:picLocks noChangeAspect="1"/>
                                    </pic:cNvPicPr>
                                    <pic:nvPr/>
                                  </pic:nvPicPr>
                                  <pic:blipFill>
                                    <a:blip r:embed="rId15"/>
                                    <a:stretch/>
                                  </pic:blipFill>
                                  <pic:spPr bwMode="auto">
                                    <a:xfrm>
                                      <a:off x="0" y="0"/>
                                      <a:ext cx="2756858" cy="165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5.2pt;height:128.9pt;mso-wrap-distance-left:0.0pt;mso-wrap-distance-top:0.0pt;mso-wrap-distance-right:0.0pt;mso-wrap-distance-bottom:0.0pt;" stroked="false">
                            <v:path textboxrect="0,0,0,0"/>
                            <v:imagedata r:id="rId15" o:title=""/>
                          </v:shape>
                        </w:pict>
                      </mc:Fallback>
                    </mc:AlternateContent>
                  </w:r>
                  <w:r/>
                </w:p>
              </w:tc>
            </w:tr>
            <w:tr>
              <w:trPr>
                <w:jc w:val="center"/>
              </w:trPr>
              <w:tc>
                <w:tcPr>
                  <w:gridSpan w:val="8"/>
                  <w:tcW w:w="4106"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图1-3-1 沿江工作区位置示意图</w:t>
                  </w:r>
                  <w:r/>
                </w:p>
              </w:tc>
              <w:tc>
                <w:tcPr>
                  <w:tcW w:w="4190"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图1-3-2 徐淮工作区位置示意图</w:t>
                  </w:r>
                  <w:r/>
                </w:p>
              </w:tc>
            </w:tr>
            <w:tr>
              <w:trPr>
                <w:jc w:val="center"/>
                <w:trHeight w:val="3557"/>
              </w:trPr>
              <w:tc>
                <w:tcPr>
                  <w:gridSpan w:val="8"/>
                  <w:tcW w:w="4106" w:type="dxa"/>
                  <w:vAlign w:val="bottom"/>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579370" cy="2043430"/>
                            <wp:effectExtent l="0" t="0" r="11430" b="1397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2"/>
                                    <pic:cNvPicPr>
                                      <a:picLocks noChangeAspect="1"/>
                                    </pic:cNvPicPr>
                                    <pic:nvPr/>
                                  </pic:nvPicPr>
                                  <pic:blipFill>
                                    <a:blip r:embed="rId16"/>
                                    <a:stretch/>
                                  </pic:blipFill>
                                  <pic:spPr bwMode="auto">
                                    <a:xfrm>
                                      <a:off x="0" y="0"/>
                                      <a:ext cx="2704817" cy="21430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03.1pt;height:160.9pt;mso-wrap-distance-left:0.0pt;mso-wrap-distance-top:0.0pt;mso-wrap-distance-right:0.0pt;mso-wrap-distance-bottom:0.0pt;" stroked="false">
                            <v:path textboxrect="0,0,0,0"/>
                            <v:imagedata r:id="rId16" o:title=""/>
                          </v:shape>
                        </w:pict>
                      </mc:Fallback>
                    </mc:AlternateContent>
                  </w:r>
                  <w:r/>
                </w:p>
              </w:tc>
              <w:tc>
                <w:tcPr>
                  <w:tcW w:w="4190" w:type="dxa"/>
                  <w:vAlign w:val="bottom"/>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663825" cy="2524760"/>
                            <wp:effectExtent l="0" t="0" r="3175" b="8890"/>
                            <wp:docPr id="1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5"/>
                                    <pic:cNvPicPr>
                                      <a:picLocks noChangeAspect="1"/>
                                    </pic:cNvPicPr>
                                    <pic:nvPr/>
                                  </pic:nvPicPr>
                                  <pic:blipFill>
                                    <a:blip r:embed="rId17"/>
                                    <a:stretch/>
                                  </pic:blipFill>
                                  <pic:spPr bwMode="auto">
                                    <a:xfrm>
                                      <a:off x="0" y="0"/>
                                      <a:ext cx="2712562" cy="257082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9.8pt;height:198.8pt;mso-wrap-distance-left:0.0pt;mso-wrap-distance-top:0.0pt;mso-wrap-distance-right:0.0pt;mso-wrap-distance-bottom:0.0pt;" stroked="false">
                            <v:path textboxrect="0,0,0,0"/>
                            <v:imagedata r:id="rId17" o:title=""/>
                          </v:shape>
                        </w:pict>
                      </mc:Fallback>
                    </mc:AlternateContent>
                  </w:r>
                  <w:r/>
                </w:p>
              </w:tc>
            </w:tr>
            <w:tr>
              <w:trPr>
                <w:jc w:val="center"/>
              </w:trPr>
              <w:tc>
                <w:tcPr>
                  <w:gridSpan w:val="8"/>
                  <w:tcW w:w="4106"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图1-3-3 里下河工作区位置示意图</w:t>
                  </w:r>
                  <w:r/>
                </w:p>
              </w:tc>
              <w:tc>
                <w:tcPr>
                  <w:tcW w:w="4190" w:type="dxa"/>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图1-3-4 工作区位置示意图</w:t>
                  </w:r>
                  <w:r/>
                </w:p>
              </w:tc>
            </w:tr>
            <w:tr>
              <w:trPr>
                <w:gridAfter w:val="2"/>
                <w:jc w:val="center"/>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工作区名称</w:t>
                  </w:r>
                  <w:r/>
                </w:p>
              </w:tc>
              <w:tc>
                <w:tcPr>
                  <w:tcW w:w="248"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点号</w:t>
                  </w:r>
                  <w:r/>
                </w:p>
              </w:tc>
              <w:tc>
                <w:tcPr>
                  <w:gridSpan w:val="2"/>
                  <w:tcW w:w="107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经纬度坐标</w:t>
                  </w:r>
                  <w:r/>
                </w:p>
              </w:tc>
              <w:tc>
                <w:tcPr>
                  <w:gridSpan w:val="2"/>
                  <w:tcW w:w="96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平面直角坐标</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面积</w:t>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东经</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北纬</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X</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Y</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里下河工作区</w:t>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119°49'35"</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32°47'53"</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40483283</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3630599</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85.58km2</w:t>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119°52'02"</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32°42'36"</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40487087</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3620815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119°49'50"</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32°40'24"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40483645</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3616768</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119°45'27"</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32°44'04"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40476797</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3623545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沿江工作区</w:t>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119°38'52"</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32°21'04"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40467446</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3587568</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120.99km2</w:t>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119°40'42"</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32°24'32"</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40485377</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3578794</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119°50'58"</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32°19'51"</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40472976</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3574894</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119°43'05"</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32°17'44"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40459604</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3583858</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徐淮工作区</w:t>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119°17'46"</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34°31'54"</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40434859</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3822985</w:t>
                  </w:r>
                  <w:r/>
                </w:p>
              </w:tc>
              <w:tc>
                <w:tcPr>
                  <w:tcW w:w="514" w:type="dxa"/>
                  <w:vAlign w:val="top"/>
                  <w:vMerge w:val="restart"/>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80.64km2</w:t>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119°24'26"</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34°28'13"</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40445016</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3816108</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7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119°14'39"</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34°27'23"</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40430048</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3814685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gridAfter w:val="2"/>
                <w:jc w:val="center"/>
                <w:trHeight w:val="484"/>
              </w:trPr>
              <w:tc>
                <w:tcPr>
                  <w:tcW w:w="762"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48"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55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119°11'54"</w:t>
                  </w:r>
                  <w:r/>
                </w:p>
              </w:tc>
              <w:tc>
                <w:tcPr>
                  <w:tcW w:w="517"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34°30'41"</w:t>
                  </w:r>
                  <w:r/>
                </w:p>
              </w:tc>
              <w:tc>
                <w:tcPr>
                  <w:tcW w:w="513"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40425884</w:t>
                  </w:r>
                  <w:r/>
                </w:p>
              </w:tc>
              <w:tc>
                <w:tcPr>
                  <w:tcW w:w="450" w:type="dxa"/>
                  <w:vAlign w:val="top"/>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3820805</w:t>
                  </w:r>
                  <w:r/>
                </w:p>
              </w:tc>
              <w:tc>
                <w:tcPr>
                  <w:tcW w:w="514" w:type="dxa"/>
                  <w:vAlign w:val="top"/>
                  <w:vMerge w:val="continue"/>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 xml:space="preserve">表1-3-1工作区拐点坐标一览（2000国家坐标系，3度带）</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★六、拟采购标的需要满足的技术、商务要求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（二）商务要求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1.结算方式</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本项目以单价按实结算。</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2.工作进度安排</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由于采购人整体项目持续时间较长，需要分多批次送样，为及时指导进一步工作施工，要求中标人在收到样品之日起30工作日内，提交初步分析结果，所有正式报告在整体项目任务结束时一起提交。整个进度约在2027年11月底结束。</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3.付款方式</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为按实结算。合同签订后一个月内支付预估的合同总金额的50%；在11月底采购人向中标人支付预估的合同总金额的30%，在中标人提交全部测试结果并经采购人验收合格后15个工作日内，按测试样品的实际数量据实结算，支付剩余测试费。如服务期内项目结算总金额未达到合同金额的，据实结算支付。如服务期内项目结算总金额达到或超过合同金额的，超出部分的结算金额不得超过合同采购金额的10%且整体结算金额不得超过项目预算金额290万元。如财政拨款到位时间迟于上述付款时间，按照财政拨款实际到位时间进行支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招标文件中</w:t>
            </w:r>
            <w:r>
              <w:rPr>
                <w:rFonts w:hint="eastAsia" w:asciiTheme="minorEastAsia" w:hAnsiTheme="minorEastAsia" w:eastAsiaTheme="minorEastAsia"/>
                <w:szCs w:val="21"/>
                <w:highlight w:val="none"/>
                <w:lang w:val="en-US" w:eastAsia="zh-CN"/>
              </w:rPr>
              <w:t xml:space="preserve">其他商务</w:t>
            </w:r>
            <w:r>
              <w:rPr>
                <w:rFonts w:hint="eastAsia" w:asciiTheme="minorEastAsia" w:hAnsiTheme="minorEastAsia" w:eastAsiaTheme="minorEastAsia"/>
                <w:szCs w:val="21"/>
                <w:highlight w:val="none"/>
                <w:lang w:val="en-US" w:eastAsia="zh-CN"/>
              </w:rPr>
              <w:t xml:space="preserve">要</w:t>
            </w:r>
            <w:r>
              <w:rPr>
                <w:rFonts w:hint="eastAsia" w:asciiTheme="minorEastAsia" w:hAnsiTheme="minorEastAsia" w:eastAsiaTheme="minorEastAsia"/>
                <w:szCs w:val="21"/>
                <w:highlight w:val="none"/>
              </w:rPr>
              <w:t xml:space="preserve">求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71"/>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928"/>
        <w:ind w:firstLine="48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说明：</w:t>
      </w:r>
      <w:r/>
    </w:p>
    <w:p>
      <w:pPr>
        <w:pStyle w:val="928"/>
        <w:ind w:firstLine="422"/>
        <w:spacing w:line="360" w:lineRule="auto"/>
        <w:shd w:val="clear" w:color="auto" w:fill="ffffff"/>
        <w:rPr>
          <w:rFonts w:hint="eastAsia" w:asciiTheme="minorEastAsia" w:hAnsiTheme="minorEastAsia" w:eastAsiaTheme="minorEastAsia"/>
          <w:b/>
          <w:bCs/>
          <w:szCs w:val="21"/>
          <w:highlight w:val="none"/>
        </w:rPr>
      </w:pPr>
      <w:r>
        <w:rPr>
          <w:rFonts w:asciiTheme="minorEastAsia" w:hAnsiTheme="minorEastAsia" w:eastAsiaTheme="minorEastAsia"/>
          <w:b/>
          <w:bCs/>
          <w:sz w:val="21"/>
          <w:szCs w:val="21"/>
          <w:highlight w:val="none"/>
        </w:rPr>
        <w:t xml:space="preserve">1.</w:t>
      </w:r>
      <w:r>
        <w:rPr>
          <w:rFonts w:hint="eastAsia" w:asciiTheme="minorEastAsia" w:hAnsiTheme="minorEastAsia" w:eastAsiaTheme="minorEastAsia"/>
          <w:b/>
          <w:bCs/>
          <w:sz w:val="21"/>
          <w:szCs w:val="21"/>
          <w:highlight w:val="none"/>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bookmarkEnd w:id="170"/>
      <w:r/>
      <w:r/>
    </w:p>
    <w:p>
      <w:pPr>
        <w:rPr>
          <w:rFonts w:hint="eastAsia" w:asciiTheme="minorEastAsia" w:hAnsiTheme="minorEastAsia" w:eastAsiaTheme="minorEastAsia"/>
          <w:highlight w:val="none"/>
        </w:rPr>
      </w:pPr>
      <w:r/>
      <w:bookmarkStart w:id="173" w:name="_Toc66375431"/>
      <w:r/>
      <w:bookmarkStart w:id="174" w:name="_Toc43917778"/>
      <w:r>
        <w:rPr>
          <w:rFonts w:hint="eastAsia"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附件八、拟参与本项目服务人员一览表</w:t>
      </w:r>
      <w:bookmarkEnd w:id="173"/>
      <w:r/>
      <w:bookmarkEnd w:id="174"/>
      <w:r/>
      <w:r/>
    </w:p>
    <w:p>
      <w:pPr>
        <w:spacing w:line="460" w:lineRule="atLeast"/>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175" w:name="_Hlk67995747"/>
      <w:r>
        <w:rPr>
          <w:rFonts w:hint="eastAsia" w:asciiTheme="minorEastAsia" w:hAnsiTheme="minorEastAsia" w:eastAsiaTheme="minorEastAsia"/>
          <w:b/>
          <w:sz w:val="32"/>
          <w:szCs w:val="32"/>
          <w:highlight w:val="none"/>
        </w:rPr>
        <w:t xml:space="preserve">拟参与本项目服务人员一览表</w:t>
      </w:r>
      <w:bookmarkEnd w:id="175"/>
      <w:r/>
      <w:bookmarkStart w:id="176" w:name="_Hlk66378104"/>
      <w:r/>
      <w:bookmarkEnd w:id="176"/>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177" w:name="_Hlk66784308"/>
      <w:r>
        <w:rPr>
          <w:rFonts w:hint="eastAsia" w:asciiTheme="minorEastAsia" w:hAnsiTheme="minorEastAsia" w:eastAsiaTheme="minorEastAsia"/>
          <w:szCs w:val="21"/>
          <w:highlight w:val="none"/>
        </w:rPr>
        <w:t xml:space="preserve">项目名称：                                 项目编号：</w:t>
      </w:r>
      <w:bookmarkEnd w:id="177"/>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项目团队成员</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rPr>
          <w:rFonts w:asciiTheme="minorEastAsia" w:hAnsiTheme="minorEastAsia" w:eastAsiaTheme="minorEastAsia"/>
          <w:szCs w:val="21"/>
          <w:highlight w:val="none"/>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br w:type="page" w:clear="all"/>
      </w:r>
      <w:r/>
    </w:p>
    <w:p>
      <w:pPr>
        <w:pStyle w:val="891"/>
        <w:rPr>
          <w:rFonts w:hint="eastAsia" w:asciiTheme="minorEastAsia" w:hAnsiTheme="minorEastAsia" w:eastAsiaTheme="minorEastAsia"/>
          <w:highlight w:val="none"/>
        </w:rPr>
      </w:pPr>
      <w:r/>
      <w:bookmarkStart w:id="178" w:name="_Toc66375432"/>
      <w:r/>
      <w:bookmarkStart w:id="179" w:name="_Toc43917779"/>
      <w:r>
        <w:rPr>
          <w:rFonts w:hint="eastAsia" w:asciiTheme="minorEastAsia" w:hAnsiTheme="minorEastAsia" w:eastAsiaTheme="minorEastAsia"/>
          <w:highlight w:val="none"/>
        </w:rPr>
        <w:t xml:space="preserve">附件九、投标人类似业绩情况表</w:t>
      </w:r>
      <w:bookmarkEnd w:id="178"/>
      <w:r/>
      <w:bookmarkEnd w:id="179"/>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投标人类似业绩情况表</w:t>
      </w:r>
      <w:r/>
    </w:p>
    <w:p>
      <w:pPr>
        <w:jc w:val="left"/>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szCs w:val="21"/>
          <w:highlight w:val="none"/>
        </w:rPr>
        <w:t xml:space="preserve">项目名称：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spacing w:line="360" w:lineRule="auto"/>
        <w:rPr>
          <w:rFonts w:hint="eastAsia" w:asciiTheme="minorEastAsia" w:hAnsiTheme="minorEastAsia" w:eastAsiaTheme="minorEastAsia"/>
          <w:b/>
          <w:sz w:val="24"/>
          <w:highlight w:val="none"/>
        </w:rPr>
      </w:pPr>
      <w:r/>
      <w:bookmarkStart w:id="180" w:name="_Hlk66784249"/>
      <w:r/>
      <w:r/>
    </w:p>
    <w:p>
      <w:pPr>
        <w:spacing w:line="360" w:lineRule="auto"/>
        <w:rPr>
          <w:rFonts w:hint="eastAsia"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说</w:t>
      </w:r>
      <w:r>
        <w:rPr>
          <w:rFonts w:hint="eastAsia" w:asciiTheme="minorEastAsia" w:hAnsiTheme="minorEastAsia" w:eastAsiaTheme="minorEastAsia"/>
          <w:b/>
          <w:szCs w:val="21"/>
          <w:highlight w:val="none"/>
        </w:rPr>
        <w:t xml:space="preserve">明：投标人如实填写业绩情况表，</w:t>
      </w:r>
      <w:bookmarkStart w:id="181" w:name="_Hlk66378132"/>
      <w:r>
        <w:rPr>
          <w:rFonts w:hint="eastAsia" w:asciiTheme="minorEastAsia" w:hAnsiTheme="minorEastAsia" w:eastAsiaTheme="minorEastAsia"/>
          <w:b/>
          <w:szCs w:val="21"/>
          <w:highlight w:val="none"/>
        </w:rPr>
        <w:t xml:space="preserve">并根据招标文件要求附业绩证明材料。</w:t>
      </w:r>
      <w:bookmarkEnd w:id="181"/>
      <w:r/>
      <w:bookmarkEnd w:id="180"/>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82" w:name="_Toc66375433"/>
      <w:r/>
      <w:bookmarkStart w:id="183" w:name="_Toc43917780"/>
      <w:r>
        <w:rPr>
          <w:rFonts w:hint="eastAsia" w:asciiTheme="minorEastAsia" w:hAnsiTheme="minorEastAsia" w:eastAsiaTheme="minorEastAsia"/>
          <w:highlight w:val="none"/>
        </w:rPr>
        <w:t xml:space="preserve">附件十、企业声明函</w:t>
      </w:r>
      <w:bookmarkEnd w:id="182"/>
      <w:r/>
      <w:bookmarkEnd w:id="183"/>
      <w:r/>
      <w:r/>
    </w:p>
    <w:p>
      <w:pPr>
        <w:jc w:val="center"/>
        <w:spacing w:line="360" w:lineRule="auto"/>
        <w:rPr>
          <w:rFonts w:hint="eastAsia" w:cs="Arial" w:asciiTheme="minorEastAsia" w:hAnsiTheme="minorEastAsia" w:eastAsiaTheme="minorEastAsia"/>
          <w:b/>
          <w:bCs/>
          <w:sz w:val="28"/>
          <w:szCs w:val="28"/>
          <w:highlight w:val="none"/>
        </w:rPr>
      </w:pPr>
      <w:r/>
      <w:bookmarkStart w:id="184" w:name="_Hlk84581158"/>
      <w:r/>
      <w:bookmarkStart w:id="185" w:name="OLE_LINK14"/>
      <w:r/>
      <w:bookmarkStart w:id="186" w:name="OLE_LINK13"/>
      <w:r>
        <w:rPr>
          <w:rFonts w:hint="eastAsia" w:cs="Arial" w:asciiTheme="minorEastAsia" w:hAnsiTheme="minorEastAsia" w:eastAsiaTheme="minorEastAsia"/>
          <w:b/>
          <w:bCs/>
          <w:sz w:val="28"/>
          <w:szCs w:val="28"/>
          <w:highlight w:val="none"/>
        </w:rPr>
        <w:t xml:space="preserve">中小企业声明函（服务）</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备注：1.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w:t>
      </w:r>
      <w:bookmarkStart w:id="187" w:name="OLE_LINK59"/>
      <w:r>
        <w:rPr>
          <w:rFonts w:hint="eastAsia" w:cs="Arial" w:asciiTheme="minorEastAsia" w:hAnsiTheme="minorEastAsia" w:eastAsiaTheme="minorEastAsia"/>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187"/>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bookmarkEnd w:id="184"/>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残疾人福利性单位声明函</w:t>
      </w:r>
      <w:bookmarkEnd w:id="185"/>
      <w:r/>
      <w:bookmarkEnd w:id="186"/>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提供</w:t>
      </w:r>
      <w:r>
        <w:rPr>
          <w:rFonts w:hint="eastAsia" w:asciiTheme="minorEastAsia" w:hAnsiTheme="minorEastAsia" w:eastAsiaTheme="minorEastAsia"/>
          <w:highlight w:val="none"/>
        </w:rPr>
        <w:t xml:space="preserve">由省级以上监狱管理局、戒毒管理局(含新疆生产建设兵团)出具的属于监狱企业的证明文件）</w:t>
      </w: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88" w:name="_Toc43917781"/>
      <w:r/>
      <w:bookmarkStart w:id="189" w:name="_Toc66375434"/>
      <w:r>
        <w:rPr>
          <w:rFonts w:hint="eastAsia" w:asciiTheme="minorEastAsia" w:hAnsiTheme="minorEastAsia" w:eastAsiaTheme="minorEastAsia"/>
          <w:highlight w:val="none"/>
        </w:rPr>
        <w:t xml:space="preserve">附件十一、无重大违法记录声明</w:t>
      </w:r>
      <w:bookmarkEnd w:id="188"/>
      <w:r/>
      <w:bookmarkEnd w:id="189"/>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w:t>
      </w:r>
      <w:r>
        <w:rPr>
          <w:rFonts w:hint="eastAsia" w:asciiTheme="minorEastAsia" w:hAnsiTheme="minorEastAsia" w:eastAsiaTheme="minorEastAsia"/>
          <w:szCs w:val="21"/>
          <w:highlight w:val="none"/>
        </w:rPr>
        <w:t xml:space="preserve">江苏省地质局资源调查与评价院</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我单位（投标人名称）郑重声明：</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参加政府采购活动前3年内在经营活动中</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ind w:firstLine="5103"/>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声明人： （</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rPr>
          <w:rFonts w:asciiTheme="minorEastAsia" w:hAnsiTheme="minorEastAsia" w:eastAsiaTheme="minorEastAsia"/>
          <w:szCs w:val="21"/>
          <w:highlight w:val="none"/>
          <w:lang w:val="zh-CN"/>
        </w:rPr>
        <w:br w:type="page" w:clear="all"/>
      </w:r>
      <w:r/>
    </w:p>
    <w:p>
      <w:pPr>
        <w:pStyle w:val="891"/>
        <w:rPr>
          <w:rFonts w:hint="eastAsia" w:asciiTheme="minorEastAsia" w:hAnsiTheme="minorEastAsia" w:eastAsiaTheme="minorEastAsia"/>
          <w:highlight w:val="none"/>
        </w:rPr>
      </w:pPr>
      <w:r/>
      <w:bookmarkStart w:id="190" w:name="_Toc1487"/>
      <w:r>
        <w:rPr>
          <w:rFonts w:hint="eastAsia" w:asciiTheme="minorEastAsia" w:hAnsiTheme="minorEastAsia" w:eastAsiaTheme="minorEastAsia"/>
          <w:highlight w:val="none"/>
        </w:rPr>
        <w:t xml:space="preserve">附件十二、具有履行合同所必需的设备和专业技术能力的声明</w:t>
      </w:r>
      <w:bookmarkEnd w:id="190"/>
      <w:r/>
      <w:r/>
    </w:p>
    <w:p>
      <w:pPr>
        <w:jc w:val="center"/>
        <w:spacing w:line="240" w:lineRule="atLeast"/>
        <w:rPr>
          <w:rFonts w:hint="eastAsia" w:asciiTheme="minorEastAsia" w:hAnsiTheme="minorEastAsia" w:eastAsiaTheme="minorEastAsia"/>
          <w:b/>
          <w:bCs/>
          <w:sz w:val="32"/>
          <w:szCs w:val="32"/>
          <w:highlight w:val="none"/>
        </w:rPr>
      </w:pPr>
      <w:r/>
      <w:bookmarkStart w:id="191" w:name="_Toc3130"/>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bookmarkEnd w:id="191"/>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致：江苏省地质局资源调查与评价院</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  年  月  日</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Arial Unicode MS">
    <w:panose1 w:val="020B0604020202020204"/>
  </w:font>
  <w:font w:name="等线">
    <w:panose1 w:val="02010600030101010101"/>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Bdr>
        <w:bottom w:val="single" w:color="auto" w:sz="4" w:space="1"/>
      </w:pBdr>
    </w:pPr>
    <w:r>
      <w:tab/>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33655</wp:posOffset>
              </wp:positionH>
              <wp:positionV relativeFrom="paragraph">
                <wp:posOffset>-137160</wp:posOffset>
              </wp:positionV>
              <wp:extent cx="326390" cy="243840"/>
              <wp:effectExtent l="0" t="0" r="16510" b="381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389255</wp:posOffset>
              </wp:positionH>
              <wp:positionV relativeFrom="paragraph">
                <wp:posOffset>-152400</wp:posOffset>
              </wp:positionV>
              <wp:extent cx="2110105" cy="299085"/>
              <wp:effectExtent l="0" t="0" r="4445" b="508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16510" b="381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4445" b="508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9"/>
      <w:isLgl/>
      <w:suff w:val="tab"/>
      <w:lvlText w:val="%1.%2"/>
      <w:lvlJc w:val="left"/>
      <w:pPr>
        <w:ind w:left="425" w:hanging="425"/>
      </w:pPr>
      <w:rPr>
        <w:rFonts w:hint="eastAsia" w:ascii="Arial Unicode MS" w:hAnsi="Arial Unicode MS" w:eastAsia="微软雅黑"/>
        <w:b/>
        <w:i w:val="0"/>
      </w:rPr>
    </w:lvl>
    <w:lvl w:ilvl="2">
      <w:start w:val="1"/>
      <w:numFmt w:val="decimal"/>
      <w:pStyle w:val="99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3"/>
      <w:isLgl w:val="false"/>
      <w:suff w:val="tab"/>
      <w:lvlText w:val="%6."/>
      <w:lvlJc w:val="left"/>
      <w:pPr>
        <w:ind w:left="4320" w:hanging="360"/>
        <w:tabs>
          <w:tab w:val="left" w:pos="4320" w:leader="none"/>
        </w:tabs>
      </w:pPr>
    </w:lvl>
    <w:lvl w:ilvl="6">
      <w:start w:val="1"/>
      <w:numFmt w:val="decimal"/>
      <w:pStyle w:val="1084"/>
      <w:isLgl w:val="false"/>
      <w:suff w:val="tab"/>
      <w:lvlText w:val="%7."/>
      <w:lvlJc w:val="left"/>
      <w:pPr>
        <w:ind w:left="5040" w:hanging="360"/>
        <w:tabs>
          <w:tab w:val="left" w:pos="5040" w:leader="none"/>
        </w:tabs>
      </w:pPr>
    </w:lvl>
    <w:lvl w:ilvl="7">
      <w:start w:val="1"/>
      <w:numFmt w:val="decimal"/>
      <w:pStyle w:val="1085"/>
      <w:isLgl w:val="false"/>
      <w:suff w:val="tab"/>
      <w:lvlText w:val="%8."/>
      <w:lvlJc w:val="left"/>
      <w:pPr>
        <w:ind w:left="5760" w:hanging="360"/>
        <w:tabs>
          <w:tab w:val="left" w:pos="5760" w:leader="none"/>
        </w:tabs>
      </w:pPr>
    </w:lvl>
    <w:lvl w:ilvl="8">
      <w:start w:val="1"/>
      <w:numFmt w:val="decimal"/>
      <w:pStyle w:val="108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8"/>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39"/>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29"/>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7"/>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3"/>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3"/>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7"/>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4"/>
    <w:uiPriority w:val="0"/>
    <w:qFormat/>
    <w:rPr>
      <w:rFonts w:ascii="宋体"/>
      <w:sz w:val="18"/>
      <w:szCs w:val="18"/>
    </w:rPr>
  </w:style>
  <w:style w:type="paragraph" w:styleId="906">
    <w:name w:val="annotation text"/>
    <w:basedOn w:val="889"/>
    <w:link w:val="1045"/>
    <w:uiPriority w:val="99"/>
    <w:qFormat/>
    <w:pPr>
      <w:jc w:val="left"/>
    </w:pPr>
  </w:style>
  <w:style w:type="paragraph" w:styleId="907">
    <w:name w:val="Body Text 3"/>
    <w:basedOn w:val="889"/>
    <w:link w:val="1063"/>
    <w:uiPriority w:val="0"/>
    <w:qFormat/>
    <w:rPr>
      <w:rFonts w:ascii="宋体"/>
      <w:sz w:val="24"/>
      <w:szCs w:val="20"/>
    </w:rPr>
  </w:style>
  <w:style w:type="paragraph" w:styleId="908">
    <w:name w:val="Body Text"/>
    <w:basedOn w:val="889"/>
    <w:link w:val="1052"/>
    <w:uiPriority w:val="0"/>
    <w:qFormat/>
    <w:pPr>
      <w:jc w:val="center"/>
    </w:pPr>
    <w:rPr>
      <w:rFonts w:eastAsia="幼圆"/>
      <w:b/>
      <w:bCs/>
      <w:sz w:val="44"/>
    </w:rPr>
  </w:style>
  <w:style w:type="paragraph" w:styleId="909">
    <w:name w:val="Body Text Indent"/>
    <w:basedOn w:val="889"/>
    <w:link w:val="1013"/>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1018"/>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5"/>
    <w:uiPriority w:val="0"/>
    <w:unhideWhenUsed/>
    <w:qFormat/>
  </w:style>
  <w:style w:type="paragraph" w:styleId="916">
    <w:name w:val="Body Text Indent 2"/>
    <w:basedOn w:val="889"/>
    <w:link w:val="1044"/>
    <w:uiPriority w:val="99"/>
    <w:unhideWhenUsed/>
    <w:qFormat/>
    <w:pPr>
      <w:ind w:firstLine="525"/>
      <w:spacing w:line="420" w:lineRule="exact"/>
    </w:pPr>
    <w:rPr>
      <w:rFonts w:ascii="宋体"/>
      <w:sz w:val="20"/>
      <w:szCs w:val="20"/>
    </w:rPr>
  </w:style>
  <w:style w:type="paragraph" w:styleId="917">
    <w:name w:val="Balloon Text"/>
    <w:basedOn w:val="889"/>
    <w:link w:val="1066"/>
    <w:uiPriority w:val="0"/>
    <w:qFormat/>
    <w:rPr>
      <w:sz w:val="18"/>
      <w:szCs w:val="18"/>
    </w:rPr>
  </w:style>
  <w:style w:type="paragraph" w:styleId="918">
    <w:name w:val="Footer"/>
    <w:basedOn w:val="889"/>
    <w:link w:val="1057"/>
    <w:uiPriority w:val="99"/>
    <w:qFormat/>
    <w:pPr>
      <w:jc w:val="left"/>
      <w:tabs>
        <w:tab w:val="center" w:pos="4153" w:leader="none"/>
        <w:tab w:val="right" w:pos="8306" w:leader="none"/>
      </w:tabs>
    </w:pPr>
    <w:rPr>
      <w:sz w:val="18"/>
      <w:szCs w:val="18"/>
    </w:rPr>
  </w:style>
  <w:style w:type="paragraph" w:styleId="919">
    <w:name w:val="Header"/>
    <w:basedOn w:val="889"/>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1"/>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4"/>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1"/>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5"/>
    <w:uiPriority w:val="0"/>
    <w:qFormat/>
    <w:rPr>
      <w:b/>
      <w:bCs/>
    </w:rPr>
  </w:style>
  <w:style w:type="paragraph" w:styleId="932">
    <w:name w:val="Body Text First Indent"/>
    <w:basedOn w:val="908"/>
    <w:link w:val="1077"/>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出段落1"/>
    <w:basedOn w:val="889"/>
    <w:uiPriority w:val="0"/>
    <w:qFormat/>
    <w:pPr>
      <w:ind w:firstLine="420"/>
    </w:pPr>
  </w:style>
  <w:style w:type="paragraph" w:styleId="942" w:customStyle="1">
    <w:name w:val="标题 3_0"/>
    <w:basedOn w:val="943"/>
    <w:next w:val="943"/>
    <w:link w:val="1004"/>
    <w:uiPriority w:val="0"/>
    <w:qFormat/>
    <w:pPr>
      <w:keepLines/>
      <w:keepNext/>
      <w:spacing w:before="260" w:after="260" w:line="416" w:lineRule="auto"/>
      <w:outlineLvl w:val="2"/>
    </w:pPr>
    <w:rPr>
      <w:b/>
      <w:bCs/>
      <w:sz w:val="32"/>
      <w:szCs w:val="32"/>
    </w:rPr>
  </w:style>
  <w:style w:type="paragraph" w:styleId="9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引用1"/>
    <w:basedOn w:val="889"/>
    <w:next w:val="889"/>
    <w:link w:val="1009"/>
    <w:uiPriority w:val="0"/>
    <w:qFormat/>
    <w:rPr>
      <w:i/>
      <w:iCs/>
      <w:color w:val="000000"/>
      <w:sz w:val="20"/>
      <w:szCs w:val="20"/>
    </w:rPr>
  </w:style>
  <w:style w:type="paragraph" w:styleId="945" w:customStyle="1">
    <w:name w:val="标题 1_0"/>
    <w:basedOn w:val="943"/>
    <w:next w:val="943"/>
    <w:link w:val="1010"/>
    <w:uiPriority w:val="0"/>
    <w:qFormat/>
    <w:pPr>
      <w:keepLines/>
      <w:keepNext/>
      <w:spacing w:before="340" w:after="330" w:line="578" w:lineRule="auto"/>
      <w:outlineLvl w:val="0"/>
    </w:pPr>
    <w:rPr>
      <w:b/>
      <w:bCs/>
      <w:sz w:val="44"/>
      <w:szCs w:val="44"/>
    </w:rPr>
  </w:style>
  <w:style w:type="paragraph" w:styleId="946" w:customStyle="1">
    <w:name w:val="标题 4_0"/>
    <w:basedOn w:val="943"/>
    <w:next w:val="943"/>
    <w:link w:val="101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5"/>
    <w:basedOn w:val="892"/>
    <w:link w:val="1022"/>
    <w:uiPriority w:val="0"/>
    <w:qFormat/>
    <w:pPr>
      <w:numPr>
        <w:numId w:val="0"/>
      </w:numPr>
      <w:spacing w:line="413" w:lineRule="auto"/>
    </w:pPr>
    <w:rPr>
      <w:rFonts w:ascii="Arial" w:hAnsi="Arial"/>
      <w:sz w:val="24"/>
    </w:rPr>
  </w:style>
  <w:style w:type="paragraph" w:styleId="948" w:customStyle="1">
    <w:name w:val="明显引用1"/>
    <w:basedOn w:val="889"/>
    <w:next w:val="889"/>
    <w:link w:val="1028"/>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3"/>
    <w:link w:val="1040"/>
    <w:uiPriority w:val="0"/>
    <w:qFormat/>
    <w:pPr>
      <w:spacing w:after="120"/>
    </w:pPr>
    <w:rPr>
      <w:sz w:val="20"/>
    </w:rPr>
  </w:style>
  <w:style w:type="paragraph" w:styleId="950" w:customStyle="1">
    <w:name w:val="标题 5_0"/>
    <w:basedOn w:val="943"/>
    <w:next w:val="943"/>
    <w:link w:val="1043"/>
    <w:uiPriority w:val="0"/>
    <w:qFormat/>
    <w:pPr>
      <w:keepLines/>
      <w:keepNext/>
      <w:spacing w:before="280" w:after="290" w:line="372" w:lineRule="auto"/>
      <w:outlineLvl w:val="4"/>
    </w:pPr>
    <w:rPr>
      <w:rFonts w:ascii="Calibri" w:hAnsi="Calibri"/>
      <w:b/>
      <w:bCs/>
      <w:sz w:val="28"/>
      <w:szCs w:val="28"/>
    </w:rPr>
  </w:style>
  <w:style w:type="paragraph" w:styleId="951" w:customStyle="1">
    <w:name w:val="标题4"/>
    <w:basedOn w:val="891"/>
    <w:next w:val="910"/>
    <w:link w:val="1058"/>
    <w:uiPriority w:val="0"/>
    <w:qFormat/>
    <w:pPr>
      <w:numPr>
        <w:numId w:val="0"/>
      </w:numPr>
      <w:spacing w:line="413" w:lineRule="auto"/>
    </w:pPr>
    <w:rPr>
      <w:rFonts w:ascii="Arial" w:hAnsi="Arial"/>
      <w:sz w:val="24"/>
    </w:rPr>
  </w:style>
  <w:style w:type="paragraph" w:styleId="952" w:customStyle="1">
    <w:name w:val="标题 2_0"/>
    <w:basedOn w:val="943"/>
    <w:next w:val="943"/>
    <w:link w:val="1070"/>
    <w:uiPriority w:val="0"/>
    <w:unhideWhenUsed/>
    <w:qFormat/>
    <w:pPr>
      <w:keepLines/>
      <w:keepNext/>
      <w:spacing w:before="260" w:after="260" w:line="416" w:lineRule="auto"/>
      <w:outlineLvl w:val="1"/>
    </w:pPr>
    <w:rPr>
      <w:rFonts w:ascii="Cambria" w:hAnsi="Cambria"/>
      <w:b/>
      <w:bCs/>
      <w:sz w:val="32"/>
      <w:szCs w:val="32"/>
    </w:rPr>
  </w:style>
  <w:style w:type="paragraph" w:styleId="953" w:customStyle="1">
    <w:name w:val="List Paragraph1"/>
    <w:basedOn w:val="889"/>
    <w:link w:val="1074"/>
    <w:uiPriority w:val="99"/>
    <w:qFormat/>
    <w:pPr>
      <w:ind w:firstLine="420"/>
    </w:pPr>
  </w:style>
  <w:style w:type="paragraph" w:styleId="954"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5"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空半行"/>
    <w:basedOn w:val="889"/>
    <w:uiPriority w:val="0"/>
    <w:qFormat/>
    <w:pPr>
      <w:spacing w:line="120" w:lineRule="exact"/>
    </w:pPr>
    <w:rPr>
      <w:rFonts w:ascii="Calibri" w:hAnsi="Calibri" w:eastAsia="仿宋_GB2312"/>
      <w:color w:val="ffffff"/>
      <w:sz w:val="30"/>
      <w:szCs w:val="22"/>
    </w:rPr>
  </w:style>
  <w:style w:type="paragraph" w:styleId="959"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0" w:customStyle="1">
    <w:name w:val="格式３"/>
    <w:basedOn w:val="889"/>
    <w:uiPriority w:val="0"/>
    <w:qFormat/>
    <w:pPr>
      <w:ind w:left="600" w:hanging="600"/>
      <w:spacing w:line="420" w:lineRule="exact"/>
    </w:pPr>
    <w:rPr>
      <w:rFonts w:ascii="宋体" w:hAnsi="宋体"/>
      <w:color w:val="000000"/>
      <w:sz w:val="24"/>
      <w:szCs w:val="20"/>
    </w:rPr>
  </w:style>
  <w:style w:type="paragraph" w:styleId="961" w:customStyle="1">
    <w:name w:val="正文1"/>
    <w:uiPriority w:val="0"/>
    <w:qFormat/>
    <w:pPr>
      <w:jc w:val="both"/>
      <w:widowControl w:val="off"/>
    </w:pPr>
    <w:rPr>
      <w:rFonts w:ascii="Calibri" w:hAnsi="Calibri" w:eastAsia="宋体" w:cs="Times New Roman"/>
      <w:lang w:val="en-US" w:eastAsia="zh-CN" w:bidi="ar-SA"/>
    </w:rPr>
  </w:style>
  <w:style w:type="paragraph" w:styleId="962"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3" w:customStyle="1">
    <w:name w:val="正文空2字"/>
    <w:basedOn w:val="889"/>
    <w:uiPriority w:val="0"/>
    <w:qFormat/>
    <w:pPr>
      <w:ind w:firstLine="200"/>
      <w:spacing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5" w:customStyle="1">
    <w:name w:val="目录 5_0"/>
    <w:basedOn w:val="943"/>
    <w:next w:val="943"/>
    <w:uiPriority w:val="39"/>
    <w:qFormat/>
    <w:pPr>
      <w:ind w:left="168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8" w:customStyle="1">
    <w:name w:val="正文 + 行距: 固定值 20 磅"/>
    <w:basedOn w:val="889"/>
    <w:uiPriority w:val="0"/>
    <w:qFormat/>
    <w:pPr>
      <w:ind w:firstLine="716"/>
      <w:spacing w:line="400" w:lineRule="exact"/>
    </w:pPr>
    <w:rPr>
      <w:rFonts w:ascii="Calibri" w:hAnsi="Calibri"/>
      <w:szCs w:val="22"/>
    </w:rPr>
  </w:style>
  <w:style w:type="paragraph" w:styleId="969"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0" w:customStyle="1">
    <w:name w:val="表格文字"/>
    <w:basedOn w:val="889"/>
    <w:link w:val="1075"/>
    <w:uiPriority w:val="0"/>
    <w:qFormat/>
    <w:pPr>
      <w:jc w:val="left"/>
      <w:spacing w:line="420" w:lineRule="atLeast"/>
    </w:pPr>
    <w:rPr>
      <w:rFonts w:ascii="Calibri" w:hAnsi="Calibri"/>
      <w:szCs w:val="22"/>
    </w:rPr>
  </w:style>
  <w:style w:type="paragraph" w:styleId="971"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3" w:customStyle="1">
    <w:name w:val="表格"/>
    <w:basedOn w:val="889"/>
    <w:uiPriority w:val="0"/>
    <w:qFormat/>
    <w:pPr>
      <w:jc w:val="center"/>
    </w:pPr>
    <w:rPr>
      <w:rFonts w:ascii="华文细黑" w:hAnsi="华文细黑"/>
      <w:szCs w:val="22"/>
    </w:rPr>
  </w:style>
  <w:style w:type="paragraph" w:styleId="97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9"/>
    <w:uiPriority w:val="99"/>
    <w:qFormat/>
    <w:pPr>
      <w:ind w:firstLine="420"/>
    </w:pPr>
  </w:style>
  <w:style w:type="paragraph" w:styleId="977" w:customStyle="1">
    <w:name w:val="6'"/>
    <w:basedOn w:val="889"/>
    <w:uiPriority w:val="0"/>
    <w:qFormat/>
    <w:pPr>
      <w:jc w:val="center"/>
      <w:spacing w:line="320" w:lineRule="exact"/>
    </w:pPr>
    <w:rPr>
      <w:rFonts w:ascii="Calibri" w:hAnsi="Calibri"/>
      <w:spacing w:val="20"/>
      <w:szCs w:val="22"/>
    </w:rPr>
  </w:style>
  <w:style w:type="paragraph" w:styleId="978" w:customStyle="1">
    <w:name w:val="Char Char Char Char Char Char Char"/>
    <w:basedOn w:val="889"/>
    <w:uiPriority w:val="0"/>
    <w:qFormat/>
    <w:pPr>
      <w:spacing w:line="360" w:lineRule="auto"/>
    </w:pPr>
    <w:rPr>
      <w:sz w:val="24"/>
      <w:szCs w:val="20"/>
    </w:rPr>
  </w:style>
  <w:style w:type="paragraph" w:styleId="979" w:customStyle="1">
    <w:name w:val="2方案格式2"/>
    <w:basedOn w:val="959"/>
    <w:uiPriority w:val="0"/>
    <w:qFormat/>
    <w:pPr>
      <w:numPr>
        <w:ilvl w:val="1"/>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9"/>
    <w:uiPriority w:val="0"/>
    <w:qFormat/>
    <w:pPr>
      <w:ind w:firstLine="567"/>
      <w:spacing w:line="480" w:lineRule="atLeast"/>
    </w:pPr>
    <w:rPr>
      <w:rFonts w:ascii="Ari" w:eastAsia="Ari"/>
      <w:sz w:val="28"/>
      <w:szCs w:val="20"/>
    </w:rPr>
  </w:style>
  <w:style w:type="paragraph" w:styleId="98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3" w:customStyle="1">
    <w:name w:val="目录 4_0"/>
    <w:basedOn w:val="943"/>
    <w:next w:val="943"/>
    <w:uiPriority w:val="39"/>
    <w:qFormat/>
    <w:pPr>
      <w:ind w:left="1260"/>
    </w:pPr>
    <w:rPr>
      <w:rFonts w:ascii="Calibri" w:hAnsi="Calibri"/>
    </w:rPr>
  </w:style>
  <w:style w:type="paragraph" w:styleId="984" w:customStyle="1">
    <w:name w:val="目录 3_0"/>
    <w:basedOn w:val="943"/>
    <w:next w:val="943"/>
    <w:uiPriority w:val="39"/>
    <w:qFormat/>
    <w:pPr>
      <w:ind w:left="840"/>
    </w:pPr>
    <w:rPr>
      <w:rFonts w:ascii="Calibri" w:hAnsi="Calibri"/>
    </w:rPr>
  </w:style>
  <w:style w:type="paragraph" w:styleId="98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6" w:customStyle="1">
    <w:name w:val="1"/>
    <w:basedOn w:val="889"/>
    <w:next w:val="889"/>
    <w:uiPriority w:val="0"/>
    <w:qFormat/>
    <w:rPr>
      <w:rFonts w:ascii="Calibri" w:hAnsi="Calibri"/>
      <w:szCs w:val="22"/>
    </w:rPr>
  </w:style>
  <w:style w:type="paragraph" w:styleId="987" w:customStyle="1">
    <w:name w:val="Blockquote_0"/>
    <w:basedOn w:val="943"/>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8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1" w:customStyle="1">
    <w:name w:val="p0"/>
    <w:basedOn w:val="889"/>
    <w:uiPriority w:val="0"/>
    <w:qFormat/>
    <w:pPr>
      <w:widowControl/>
    </w:pPr>
    <w:rPr>
      <w:b/>
      <w:bCs/>
      <w:sz w:val="24"/>
    </w:rPr>
  </w:style>
  <w:style w:type="paragraph" w:styleId="992" w:customStyle="1">
    <w:name w:val="Blockquote"/>
    <w:basedOn w:val="889"/>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Pr>
      <w:outlineLvl w:val="2"/>
    </w:pPr>
    <w:rPr>
      <w:sz w:val="32"/>
    </w:rPr>
  </w:style>
  <w:style w:type="paragraph" w:styleId="99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91"/>
    <w:next w:val="908"/>
    <w:uiPriority w:val="0"/>
    <w:qFormat/>
    <w:pPr>
      <w:spacing w:before="156" w:after="156" w:line="360" w:lineRule="auto"/>
    </w:pPr>
    <w:rPr>
      <w:bCs w:val="0"/>
      <w:sz w:val="24"/>
    </w:rPr>
  </w:style>
  <w:style w:type="paragraph" w:styleId="996" w:customStyle="1">
    <w:name w:val="普通正文"/>
    <w:basedOn w:val="889"/>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9"/>
    <w:uiPriority w:val="0"/>
    <w:qFormat/>
    <w:rPr>
      <w:rFonts w:eastAsia="微软雅黑"/>
      <w:sz w:val="24"/>
    </w:rPr>
  </w:style>
  <w:style w:type="paragraph" w:styleId="99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0" w:customStyle="1">
    <w:name w:val="纯文本2"/>
    <w:basedOn w:val="889"/>
    <w:uiPriority w:val="0"/>
    <w:qFormat/>
    <w:pPr>
      <w:jc w:val="left"/>
    </w:pPr>
    <w:rPr>
      <w:rFonts w:hint="eastAsia" w:ascii="宋体" w:hAnsi="宋体" w:cs="Courier New"/>
      <w:sz w:val="24"/>
      <w:szCs w:val="20"/>
    </w:rPr>
  </w:style>
  <w:style w:type="paragraph" w:styleId="100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942"/>
    <w:uiPriority w:val="0"/>
    <w:qFormat/>
    <w:rPr>
      <w:b/>
      <w:bCs/>
      <w:sz w:val="32"/>
      <w:szCs w:val="32"/>
    </w:rPr>
  </w:style>
  <w:style w:type="character" w:styleId="1005" w:customStyle="1">
    <w:name w:val="标题 2 字符"/>
    <w:link w:val="891"/>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944"/>
    <w:uiPriority w:val="0"/>
    <w:qFormat/>
    <w:rPr>
      <w:i/>
      <w:iCs/>
      <w:color w:val="000000"/>
    </w:rPr>
  </w:style>
  <w:style w:type="character" w:styleId="1010" w:customStyle="1">
    <w:name w:val="标题 1 Char_0"/>
    <w:link w:val="945"/>
    <w:uiPriority w:val="0"/>
    <w:qFormat/>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字符"/>
    <w:link w:val="909"/>
    <w:uiPriority w:val="0"/>
    <w:qFormat/>
    <w:rPr>
      <w:sz w:val="21"/>
      <w:szCs w:val="24"/>
    </w:rPr>
  </w:style>
  <w:style w:type="character" w:styleId="1014" w:customStyle="1">
    <w:name w:val="font161"/>
    <w:uiPriority w:val="0"/>
    <w:qFormat/>
    <w:rPr>
      <w:b/>
      <w:sz w:val="32"/>
    </w:rPr>
  </w:style>
  <w:style w:type="character" w:styleId="1015" w:customStyle="1">
    <w:name w:val="标题 4 Char_0"/>
    <w:link w:val="946"/>
    <w:uiPriority w:val="0"/>
    <w:qFormat/>
    <w:rPr>
      <w:rFonts w:ascii="Arial" w:hAnsi="Arial" w:eastAsia="黑体"/>
      <w:b/>
      <w:bCs/>
      <w:sz w:val="28"/>
      <w:szCs w:val="28"/>
    </w:rPr>
  </w:style>
  <w:style w:type="character" w:styleId="1016" w:customStyle="1">
    <w:name w:val="页眉 字符"/>
    <w:link w:val="919"/>
    <w:uiPriority w:val="99"/>
    <w:qFormat/>
    <w:rPr>
      <w:sz w:val="18"/>
      <w:szCs w:val="18"/>
    </w:rPr>
  </w:style>
  <w:style w:type="character" w:styleId="1017" w:customStyle="1">
    <w:name w:val="标题 6 字符"/>
    <w:link w:val="895"/>
    <w:uiPriority w:val="0"/>
    <w:qFormat/>
    <w:rPr>
      <w:rFonts w:ascii="Cambria" w:hAnsi="Cambria" w:eastAsia="宋体" w:cs="Times New Roman"/>
      <w:b/>
      <w:bCs/>
      <w:sz w:val="24"/>
      <w:szCs w:val="24"/>
    </w:rPr>
  </w:style>
  <w:style w:type="character" w:styleId="1018" w:customStyle="1">
    <w:name w:val="纯文本 字符"/>
    <w:link w:val="913"/>
    <w:uiPriority w:val="0"/>
    <w:qFormat/>
    <w:rPr>
      <w:rFonts w:ascii="Ari"/>
      <w:lang w:val="en-US" w:eastAsia="zh-CN" w:bidi="ar-SA"/>
    </w:rPr>
  </w:style>
  <w:style w:type="character" w:styleId="1019" w:customStyle="1">
    <w:name w:val="引用 Char2"/>
    <w:uiPriority w:val="99"/>
    <w:qFormat/>
    <w:rPr>
      <w:i/>
      <w:iCs/>
      <w:color w:val="000000"/>
      <w:sz w:val="21"/>
      <w:szCs w:val="24"/>
    </w:rPr>
  </w:style>
  <w:style w:type="character" w:styleId="1020" w:customStyle="1">
    <w:name w:val="rvts11"/>
    <w:uiPriority w:val="0"/>
    <w:qFormat/>
    <w:rPr>
      <w:rFonts w:hint="default" w:ascii="KNLe" w:hAnsi="KNLe"/>
      <w:sz w:val="24"/>
      <w:szCs w:val="24"/>
      <w:u w:val="single"/>
    </w:rPr>
  </w:style>
  <w:style w:type="character" w:styleId="1021" w:customStyle="1">
    <w:name w:val="标题 字符"/>
    <w:link w:val="930"/>
    <w:uiPriority w:val="0"/>
    <w:qFormat/>
    <w:rPr>
      <w:rFonts w:ascii="Arial" w:hAnsi="Arial"/>
      <w:b/>
      <w:sz w:val="32"/>
    </w:rPr>
  </w:style>
  <w:style w:type="character" w:styleId="1022" w:customStyle="1">
    <w:name w:val="标题5 Char Char"/>
    <w:link w:val="947"/>
    <w:uiPriority w:val="0"/>
    <w:qFormat/>
    <w:rPr>
      <w:rFonts w:ascii="Arial" w:hAnsi="Arial"/>
      <w:b/>
      <w:bCs/>
      <w:sz w:val="24"/>
      <w:szCs w:val="32"/>
    </w:rPr>
  </w:style>
  <w:style w:type="character" w:styleId="1023" w:customStyle="1">
    <w:name w:val="副标题 Char2"/>
    <w:uiPriority w:val="11"/>
    <w:qFormat/>
    <w:rPr>
      <w:rFonts w:ascii="Cambria" w:hAnsi="Cambria" w:cs="Times New Roman"/>
      <w:b/>
      <w:bCs/>
      <w:sz w:val="32"/>
      <w:szCs w:val="32"/>
    </w:rPr>
  </w:style>
  <w:style w:type="character" w:styleId="1024" w:customStyle="1">
    <w:name w:val="文档结构图 字符"/>
    <w:link w:val="905"/>
    <w:uiPriority w:val="0"/>
    <w:qFormat/>
    <w:rPr>
      <w:rFonts w:ascii="宋体"/>
      <w:sz w:val="18"/>
      <w:szCs w:val="18"/>
    </w:rPr>
  </w:style>
  <w:style w:type="character" w:styleId="1025" w:customStyle="1">
    <w:name w:val="日期 字符"/>
    <w:link w:val="915"/>
    <w:uiPriority w:val="0"/>
    <w:qFormat/>
    <w:rPr>
      <w:sz w:val="21"/>
      <w:szCs w:val="24"/>
    </w:rPr>
  </w:style>
  <w:style w:type="character" w:styleId="1026" w:customStyle="1">
    <w:name w:val="批注主题 Char1"/>
    <w:uiPriority w:val="0"/>
    <w:qFormat/>
    <w:rPr>
      <w:b/>
      <w:bCs/>
      <w:sz w:val="21"/>
      <w:szCs w:val="22"/>
    </w:rPr>
  </w:style>
  <w:style w:type="character" w:styleId="1027" w:customStyle="1">
    <w:name w:val="font31"/>
    <w:uiPriority w:val="0"/>
    <w:qFormat/>
    <w:rPr>
      <w:rFonts w:hint="eastAsia" w:ascii="宋体" w:hAnsi="宋体" w:eastAsia="宋体" w:cs="宋体"/>
      <w:color w:val="000000"/>
      <w:sz w:val="20"/>
      <w:szCs w:val="20"/>
      <w:u w:val="none"/>
    </w:rPr>
  </w:style>
  <w:style w:type="character" w:styleId="1028" w:customStyle="1">
    <w:name w:val="明显引用 Char"/>
    <w:link w:val="948"/>
    <w:uiPriority w:val="0"/>
    <w:qFormat/>
    <w:rPr>
      <w:b/>
      <w:bCs/>
      <w:i/>
      <w:iCs/>
      <w:color w:val="4f81bd"/>
    </w:rPr>
  </w:style>
  <w:style w:type="character" w:styleId="1029" w:customStyle="1">
    <w:name w:val="标题 5 字符"/>
    <w:link w:val="894"/>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字符"/>
    <w:link w:val="898"/>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字符"/>
    <w:link w:val="892"/>
    <w:uiPriority w:val="0"/>
    <w:qFormat/>
    <w:rPr>
      <w:b/>
      <w:bCs/>
      <w:sz w:val="32"/>
      <w:szCs w:val="32"/>
    </w:rPr>
  </w:style>
  <w:style w:type="character" w:styleId="1040" w:customStyle="1">
    <w:name w:val="正文文本 Char_0"/>
    <w:link w:val="949"/>
    <w:uiPriority w:val="0"/>
    <w:qFormat/>
    <w:rPr>
      <w:szCs w:val="24"/>
    </w:rPr>
  </w:style>
  <w:style w:type="character" w:styleId="1041" w:customStyle="1">
    <w:name w:val="副标题 字符"/>
    <w:link w:val="922"/>
    <w:uiPriority w:val="0"/>
    <w:qFormat/>
    <w:rPr>
      <w:rFonts w:ascii="Cambria" w:hAnsi="Cambria"/>
      <w:b/>
      <w:bCs/>
      <w:sz w:val="32"/>
      <w:szCs w:val="32"/>
    </w:rPr>
  </w:style>
  <w:style w:type="character" w:styleId="1042" w:customStyle="1">
    <w:name w:val="bookmark"/>
    <w:basedOn w:val="899"/>
    <w:uiPriority w:val="0"/>
    <w:qFormat/>
  </w:style>
  <w:style w:type="character" w:styleId="1043" w:customStyle="1">
    <w:name w:val="标题 5 Char_0"/>
    <w:link w:val="950"/>
    <w:uiPriority w:val="0"/>
    <w:qFormat/>
    <w:rPr>
      <w:rFonts w:ascii="Calibri" w:hAnsi="Calibri"/>
      <w:b/>
      <w:bCs/>
      <w:sz w:val="28"/>
      <w:szCs w:val="28"/>
    </w:rPr>
  </w:style>
  <w:style w:type="character" w:styleId="1044" w:customStyle="1">
    <w:name w:val="正文文本缩进 2 字符"/>
    <w:link w:val="916"/>
    <w:uiPriority w:val="99"/>
    <w:qFormat/>
    <w:rPr>
      <w:rFonts w:ascii="宋体"/>
    </w:rPr>
  </w:style>
  <w:style w:type="character" w:styleId="1045" w:customStyle="1">
    <w:name w:val="批注文字 字符"/>
    <w:link w:val="906"/>
    <w:uiPriority w:val="99"/>
    <w:qFormat/>
    <w:rPr>
      <w:sz w:val="21"/>
      <w:szCs w:val="24"/>
    </w:rPr>
  </w:style>
  <w:style w:type="character" w:styleId="1046" w:customStyle="1">
    <w:name w:val="font11"/>
    <w:uiPriority w:val="0"/>
    <w:qFormat/>
    <w:rPr>
      <w:rFonts w:hint="eastAsia" w:ascii="宋体" w:hAnsi="宋体" w:eastAsia="宋体" w:cs="宋体"/>
      <w:color w:val="000000"/>
      <w:sz w:val="20"/>
      <w:szCs w:val="20"/>
      <w:u w:val="none"/>
    </w:rPr>
  </w:style>
  <w:style w:type="character" w:styleId="1047" w:customStyle="1">
    <w:name w:val="明显参考1"/>
    <w:uiPriority w:val="0"/>
    <w:qFormat/>
    <w:rPr>
      <w:b/>
      <w:bCs/>
      <w:smallCaps/>
      <w:color w:val="c0504d"/>
      <w:spacing w:val="5"/>
      <w:u w:val="single"/>
    </w:rPr>
  </w:style>
  <w:style w:type="character" w:styleId="1048" w:customStyle="1">
    <w:name w:val="超链接_0"/>
    <w:uiPriority w:val="99"/>
    <w:qFormat/>
    <w:rPr>
      <w:rFonts w:ascii="Calibri" w:hAnsi="Calibri"/>
      <w:color w:val="0000ff"/>
      <w:u w:val="single"/>
    </w:rPr>
  </w:style>
  <w:style w:type="character" w:styleId="1049" w:customStyle="1">
    <w:name w:val="文档结构图 Char2"/>
    <w:uiPriority w:val="99"/>
    <w:semiHidden/>
    <w:qFormat/>
    <w:rPr>
      <w:rFonts w:ascii="宋体" w:hAnsi="Calibri" w:eastAsia="宋体" w:cs="Times New Roman"/>
      <w:sz w:val="18"/>
      <w:szCs w:val="18"/>
    </w:rPr>
  </w:style>
  <w:style w:type="character" w:styleId="1050" w:customStyle="1">
    <w:name w:val="textcontents"/>
    <w:uiPriority w:val="0"/>
    <w:qFormat/>
    <w:rPr>
      <w:rFonts w:cs="Times New Roman"/>
    </w:rPr>
  </w:style>
  <w:style w:type="character" w:styleId="1051" w:customStyle="1">
    <w:name w:val="标题 1 Char"/>
    <w:uiPriority w:val="0"/>
    <w:qFormat/>
    <w:rPr>
      <w:b/>
      <w:bCs/>
      <w:sz w:val="32"/>
      <w:szCs w:val="44"/>
    </w:rPr>
  </w:style>
  <w:style w:type="character" w:styleId="1052" w:customStyle="1">
    <w:name w:val="正文文本 字符"/>
    <w:link w:val="908"/>
    <w:uiPriority w:val="0"/>
    <w:qFormat/>
    <w:rPr>
      <w:rFonts w:eastAsia="幼圆"/>
      <w:b/>
      <w:bCs/>
      <w:sz w:val="44"/>
      <w:szCs w:val="24"/>
    </w:rPr>
  </w:style>
  <w:style w:type="character" w:styleId="1053" w:customStyle="1">
    <w:name w:val="标题 8 字符"/>
    <w:link w:val="897"/>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18"/>
    <w:uiPriority w:val="99"/>
    <w:qFormat/>
    <w:rPr>
      <w:sz w:val="18"/>
      <w:szCs w:val="18"/>
    </w:rPr>
  </w:style>
  <w:style w:type="character" w:styleId="1058" w:customStyle="1">
    <w:name w:val="标题4 Char Char"/>
    <w:link w:val="951"/>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07"/>
    <w:uiPriority w:val="0"/>
    <w:qFormat/>
    <w:rPr>
      <w:rFonts w:ascii="宋体"/>
      <w:sz w:val="24"/>
    </w:rPr>
  </w:style>
  <w:style w:type="character" w:styleId="1064" w:customStyle="1">
    <w:name w:val="正文文本缩进 3 字符"/>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7"/>
    <w:uiPriority w:val="0"/>
    <w:qFormat/>
    <w:rPr>
      <w:sz w:val="18"/>
      <w:szCs w:val="18"/>
    </w:rPr>
  </w:style>
  <w:style w:type="character" w:styleId="1067" w:customStyle="1">
    <w:name w:val="标题 7 字符"/>
    <w:link w:val="896"/>
    <w:uiPriority w:val="0"/>
    <w:qFormat/>
    <w:rPr>
      <w:b/>
      <w:bCs/>
      <w:sz w:val="24"/>
      <w:szCs w:val="24"/>
    </w:rPr>
  </w:style>
  <w:style w:type="character" w:styleId="1068" w:customStyle="1">
    <w:name w:val="标题 1 字符"/>
    <w:link w:val="890"/>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2"/>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3"/>
    <w:uiPriority w:val="0"/>
    <w:qFormat/>
    <w:rPr>
      <w:rFonts w:ascii="Cambria" w:hAnsi="Cambria" w:eastAsia="宋体" w:cs="Times New Roman"/>
      <w:b/>
      <w:bCs/>
      <w:sz w:val="28"/>
      <w:szCs w:val="28"/>
    </w:rPr>
  </w:style>
  <w:style w:type="character" w:styleId="1074" w:customStyle="1">
    <w:name w:val="列出段落 Char"/>
    <w:link w:val="953"/>
    <w:uiPriority w:val="99"/>
    <w:qFormat/>
    <w:rPr>
      <w:sz w:val="21"/>
      <w:szCs w:val="24"/>
    </w:rPr>
  </w:style>
  <w:style w:type="character" w:styleId="1075" w:customStyle="1">
    <w:name w:val="表格文字 字符"/>
    <w:link w:val="970"/>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32"/>
    <w:uiPriority w:val="0"/>
    <w:semiHidden/>
    <w:qFormat/>
    <w:rPr>
      <w:rFonts w:eastAsia="幼圆"/>
      <w:b w:val="0"/>
      <w:bCs w:val="0"/>
      <w:sz w:val="21"/>
      <w:szCs w:val="24"/>
    </w:rPr>
  </w:style>
  <w:style w:type="character" w:styleId="1078" w:customStyle="1">
    <w:name w:val="未处理的提及1"/>
    <w:basedOn w:val="899"/>
    <w:uiPriority w:val="99"/>
    <w:semiHidden/>
    <w:unhideWhenUsed/>
    <w:qFormat/>
    <w:rPr>
      <w:color w:val="605e5c"/>
      <w:shd w:val="clear" w:color="auto" w:fill="e1dfdd"/>
    </w:rPr>
  </w:style>
  <w:style w:type="paragraph" w:styleId="1079"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0">
    <w:name w:val="List Paragraph"/>
    <w:basedOn w:val="889"/>
    <w:uiPriority w:val="99"/>
    <w:qFormat/>
    <w:pPr>
      <w:ind w:firstLine="420"/>
    </w:pPr>
  </w:style>
  <w:style w:type="character" w:styleId="1081" w:customStyle="1">
    <w:name w:val="未处理的提及2"/>
    <w:basedOn w:val="899"/>
    <w:uiPriority w:val="99"/>
    <w:semiHidden/>
    <w:unhideWhenUsed/>
    <w:qFormat/>
    <w:rPr>
      <w:color w:val="605e5c"/>
      <w:shd w:val="clear" w:color="auto" w:fill="e1dfdd"/>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4"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5"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6"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7" w:customStyle="1">
    <w:name w:val="正文缩进 字符"/>
    <w:link w:val="903"/>
    <w:uiPriority w:val="0"/>
    <w:qFormat/>
    <w:rPr>
      <w:b/>
      <w:sz w:val="24"/>
    </w:rPr>
  </w:style>
  <w:style w:type="paragraph" w:styleId="1088" w:customStyle="1">
    <w:name w:val="修订4"/>
    <w:hidden/>
    <w:uiPriority w:val="99"/>
    <w:unhideWhenUsed/>
    <w:qFormat/>
    <w:rPr>
      <w:rFonts w:ascii="Times New Roman" w:hAnsi="Times New Roman" w:eastAsia="宋体" w:cs="Times New Roman"/>
      <w:sz w:val="21"/>
      <w:szCs w:val="24"/>
      <w:lang w:val="en-US" w:eastAsia="zh-CN" w:bidi="ar-SA"/>
    </w:rPr>
  </w:style>
  <w:style w:type="table" w:styleId="1089" w:customStyle="1">
    <w:name w:val="网格型1"/>
    <w:basedOn w:val="90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0" w:customStyle="1">
    <w:name w:val="修订5"/>
    <w:hidden/>
    <w:uiPriority w:val="99"/>
    <w:unhideWhenUsed/>
    <w:qFormat/>
    <w:rPr>
      <w:rFonts w:ascii="Times New Roman" w:hAnsi="Times New Roman" w:eastAsia="宋体" w:cs="Times New Roman"/>
      <w:sz w:val="21"/>
      <w:szCs w:val="24"/>
      <w:lang w:val="en-US" w:eastAsia="zh-CN" w:bidi="ar-SA"/>
    </w:rPr>
  </w:style>
  <w:style w:type="table" w:styleId="1091" w:customStyle="1">
    <w:name w:val="网格型2"/>
    <w:basedOn w:val="90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4</cp:revision>
  <dcterms:created xsi:type="dcterms:W3CDTF">2026-09-24T08:46:00Z</dcterms:created>
  <dcterms:modified xsi:type="dcterms:W3CDTF">2026-10-30T07:47:36Z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341B57DFB46F4B81AC80CC244CD7B854_13</vt:lpwstr>
  </property>
  <property fmtid="{D5CDD505-2E9C-101B-9397-08002B2CF9AE}" pid="4" name="KSOTemplateDocerSaveRecord">
    <vt:lpwstr>eyJoZGlkIjoiOGQyNzJkODMyMThjODRkMGVlY2RkNmI1OGNhMWE1Y2IiLCJ1c2VySWQiOiI1Mzg2ODMwOTkifQ==</vt:lpwstr>
  </property>
</Properties>
</file>