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JSZC-320500-SZHX-G2026-0036</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苏州市疾病预防控制中心</w:t>
      </w:r>
      <w:r/>
    </w:p>
    <w:p>
      <w:pPr>
        <w:ind w:firstLine="1285"/>
        <w:spacing w:line="360" w:lineRule="auto"/>
        <w:rPr>
          <w:rFonts w:hint="default" w:ascii="宋体" w:hAnsi="宋体" w:eastAsia="宋体"/>
          <w:b/>
          <w:bCs/>
          <w:sz w:val="32"/>
          <w:highlight w:val="none"/>
          <w:lang w:val="en-US" w:eastAsia="zh-CN"/>
        </w:rPr>
      </w:pPr>
      <w:r>
        <w:rPr>
          <w:rFonts w:hint="eastAsia" w:ascii="宋体" w:hAnsi="宋体" w:eastAsia="宋体"/>
          <w:b/>
          <w:bCs/>
          <w:sz w:val="32"/>
        </w:rPr>
        <w:t xml:space="preserve">采购内</w:t>
      </w:r>
      <w:r>
        <w:rPr>
          <w:rFonts w:hint="eastAsia" w:ascii="宋体" w:hAnsi="宋体" w:eastAsia="宋体"/>
          <w:b/>
          <w:bCs/>
          <w:sz w:val="32"/>
          <w:highlight w:val="none"/>
        </w:rPr>
        <w:t xml:space="preserve">容：</w:t>
      </w:r>
      <w:r>
        <w:rPr>
          <w:rFonts w:hint="eastAsia" w:ascii="宋体" w:hAnsi="宋体" w:eastAsia="宋体"/>
          <w:b/>
          <w:bCs/>
          <w:sz w:val="32"/>
          <w:highlight w:val="none"/>
          <w:lang w:eastAsia="zh-CN"/>
        </w:rPr>
        <w:t xml:space="preserve">苏州市疾控中心微检科设备一批项目</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w:t>
      </w:r>
      <w:r>
        <w:rPr>
          <w:rFonts w:hint="eastAsia" w:ascii="宋体" w:hAnsi="宋体" w:eastAsia="宋体"/>
          <w:b/>
          <w:bCs/>
          <w:sz w:val="32"/>
          <w:lang w:val="en-US" w:eastAsia="zh-CN"/>
        </w:rPr>
        <w:t xml:space="preserve">货物</w:t>
      </w:r>
      <w:r>
        <w:rPr>
          <w:rFonts w:hint="eastAsia" w:ascii="宋体" w:hAnsi="宋体" w:eastAsia="宋体"/>
          <w:b/>
          <w:bCs/>
          <w:sz w:val="32"/>
        </w:rPr>
        <w:t xml:space="preserve">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九</w:t>
      </w:r>
      <w:r>
        <w:rPr>
          <w:rFonts w:hint="eastAsia" w:ascii="宋体" w:hAnsi="宋体" w:eastAsia="宋体"/>
          <w:b/>
          <w:sz w:val="32"/>
        </w:rPr>
        <w:t xml:space="preserve">月</w:t>
      </w:r>
      <w:r/>
    </w:p>
    <w:p>
      <w:pPr>
        <w:jc w:val="center"/>
        <w:rPr>
          <w:rFonts w:hint="eastAsia" w:ascii="宋体" w:hAnsi="宋体" w:eastAsia="宋体"/>
          <w:b/>
          <w:sz w:val="28"/>
          <w:szCs w:val="28"/>
        </w:rPr>
        <w:sectPr>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b/>
          <w:sz w:val="28"/>
          <w:szCs w:val="28"/>
        </w:rPr>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985"/>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苏州市疾控中心微检科设备一批项目</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t xml:space="preserve">9点30分（北京时间）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13日9</w:t>
            </w:r>
            <w:r>
              <w:rPr>
                <w:rFonts w:hint="eastAsia" w:ascii="宋体" w:hAnsi="宋体" w:eastAsia="宋体" w:cs="宋体"/>
                <w:sz w:val="24"/>
                <w:szCs w:val="24"/>
                <w:highlight w:val="none"/>
              </w:rPr>
              <w:t xml:space="preserve">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13日9</w:t>
            </w:r>
            <w:r>
              <w:rPr>
                <w:rFonts w:hint="eastAsia" w:ascii="宋体" w:hAnsi="宋体" w:eastAsia="宋体" w:cs="宋体"/>
                <w:sz w:val="24"/>
                <w:szCs w:val="24"/>
                <w:highlight w:val="none"/>
              </w:rPr>
              <w:t xml:space="preserve">点30分（北京时间）</w:t>
            </w:r>
            <w:r/>
          </w:p>
          <w:p>
            <w:pPr>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收费标准：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预算金额100万元以下部分，费率为该部分预算金额的1.5%；</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预算金额100万元（含）－500万元部分，费率为该部分预算金额的1.1%；</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预算金额500万元（含）-1000万元部分，费率为该部分预算金额的0.8%；</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预算金额1000万元（含）-5000万元部分，费率为该部分预算金额的0.5%；</w:t>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说明：代理服务费以采购预算金额为基数依据，按以上规定的标准和差额定率累进法进行计算后收取。例：如预算金额为150万元，则代理服务费＝100万元以下部分×1.5%＋（150万元－100万元以下部分）×1.1%。</w:t>
            </w:r>
            <w:r/>
          </w:p>
          <w:p>
            <w:pPr>
              <w:tabs>
                <w:tab w:val="left" w:pos="3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如按上述方法计算的金额低于人民币4000元整的，则本项目代理服务费按人民币4000元整计收。</w:t>
            </w:r>
            <w:r/>
          </w:p>
          <w:p>
            <w:pPr>
              <w:tabs>
                <w:tab w:val="left" w:pos="3600" w:leader="none"/>
              </w:tabs>
              <w:rPr>
                <w:rFonts w:hint="eastAsia" w:ascii="宋体" w:hAnsi="宋体" w:eastAsia="宋体" w:cs="宋体"/>
                <w:sz w:val="24"/>
                <w:szCs w:val="24"/>
                <w:highlight w:val="none"/>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37000</w:t>
            </w:r>
            <w:r>
              <w:rPr>
                <w:rFonts w:hint="eastAsia" w:ascii="宋体" w:hAnsi="宋体" w:eastAsia="宋体"/>
                <w:sz w:val="24"/>
                <w:szCs w:val="24"/>
                <w:highlight w:val="none"/>
              </w:rPr>
              <w:t xml:space="preserve">.00元，此费用应包含在投标报价中。</w:t>
            </w:r>
            <w:r/>
          </w:p>
          <w:p>
            <w:pPr>
              <w:rPr>
                <w:rFonts w:ascii="宋体" w:hAnsi="宋体" w:eastAsia="宋体"/>
                <w:sz w:val="24"/>
                <w:szCs w:val="24"/>
                <w:highlight w:val="none"/>
              </w:rPr>
            </w:pPr>
            <w:r>
              <w:rPr>
                <w:rFonts w:hint="eastAsia" w:ascii="宋体" w:hAnsi="宋体" w:eastAsia="宋体"/>
                <w:sz w:val="24"/>
                <w:szCs w:val="24"/>
                <w:highlight w:val="none"/>
              </w:rPr>
              <w:t xml:space="preserve">收款单位：苏州鸿鑫工程咨询有限公司</w:t>
            </w:r>
            <w:r/>
          </w:p>
          <w:p>
            <w:pPr>
              <w:rPr>
                <w:rFonts w:ascii="宋体" w:hAnsi="宋体" w:eastAsia="宋体"/>
                <w:sz w:val="24"/>
                <w:szCs w:val="24"/>
                <w:highlight w:val="none"/>
              </w:rPr>
            </w:pPr>
            <w:r>
              <w:rPr>
                <w:rFonts w:hint="eastAsia" w:ascii="宋体" w:hAnsi="宋体" w:eastAsia="宋体"/>
                <w:sz w:val="24"/>
                <w:szCs w:val="24"/>
                <w:highlight w:val="none"/>
              </w:rPr>
              <w:t xml:space="preserve">开户银行：苏州银行相城支行</w:t>
            </w:r>
            <w:r/>
          </w:p>
          <w:p>
            <w:pPr>
              <w:rPr>
                <w:rFonts w:ascii="宋体" w:hAnsi="宋体" w:eastAsia="宋体"/>
                <w:sz w:val="24"/>
                <w:szCs w:val="24"/>
                <w:highlight w:val="none"/>
              </w:rPr>
            </w:pPr>
            <w:r>
              <w:rPr>
                <w:rFonts w:hint="eastAsia" w:ascii="宋体" w:hAnsi="宋体" w:eastAsia="宋体"/>
                <w:sz w:val="24"/>
                <w:szCs w:val="24"/>
                <w:highlight w:val="none"/>
              </w:rPr>
              <w:t xml:space="preserve">银行账号：7066601071120143007269</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供应商缴纳代理服务费时，如需增值税专用发票的，则须提供有关信息资料，具体要求详见第二章投标人须知。</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政府采购管理监督</w:t>
            </w:r>
            <w:r>
              <w:rPr>
                <w:rFonts w:hint="eastAsia" w:ascii="宋体" w:hAnsi="宋体" w:eastAsia="宋体" w:cs="宋体"/>
                <w:sz w:val="24"/>
                <w:szCs w:val="24"/>
                <w:highlight w:val="none"/>
              </w:rPr>
              <w:t xml:space="preserve">电话：0512-68616651。</w:t>
            </w:r>
            <w:r/>
          </w:p>
        </w:tc>
      </w:tr>
    </w:tbl>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1012"/>
        <w:tabs>
          <w:tab w:val="right" w:pos="907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_Toc6117 \h </w:instrText>
      </w:r>
      <w:r>
        <w:fldChar w:fldCharType="separate"/>
      </w:r>
      <w:r>
        <w:t xml:space="preserve">3</w:t>
      </w:r>
      <w:r>
        <w:fldChar w:fldCharType="end"/>
      </w:r>
      <w:r/>
    </w:p>
    <w:p>
      <w:pPr>
        <w:pStyle w:val="1012"/>
        <w:tabs>
          <w:tab w:val="right" w:pos="907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_Toc23537 \h </w:instrText>
      </w:r>
      <w:r>
        <w:fldChar w:fldCharType="separate"/>
      </w:r>
      <w:r>
        <w:t xml:space="preserve">8</w:t>
      </w:r>
      <w:r>
        <w:fldChar w:fldCharType="end"/>
      </w:r>
      <w:r/>
    </w:p>
    <w:p>
      <w:pPr>
        <w:pStyle w:val="1012"/>
        <w:tabs>
          <w:tab w:val="right" w:pos="907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_Toc12879 \h </w:instrText>
      </w:r>
      <w:r>
        <w:fldChar w:fldCharType="separate"/>
      </w:r>
      <w:r>
        <w:t xml:space="preserve">24</w:t>
      </w:r>
      <w:r>
        <w:fldChar w:fldCharType="end"/>
      </w:r>
      <w:r/>
    </w:p>
    <w:p>
      <w:pPr>
        <w:pStyle w:val="1012"/>
        <w:tabs>
          <w:tab w:val="right" w:pos="907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w:t>
      </w:r>
      <w:r>
        <w:rPr>
          <w:rFonts w:hint="eastAsia" w:ascii="宋体" w:hAnsi="宋体" w:eastAsia="宋体"/>
          <w:lang w:val="en-US" w:eastAsia="zh-CN"/>
        </w:rPr>
        <w:t xml:space="preserve">书</w:t>
      </w:r>
      <w:r>
        <w:tab/>
      </w:r>
      <w:r>
        <w:fldChar w:fldCharType="begin"/>
      </w:r>
      <w:r>
        <w:instrText xml:space="preserve"> PAGEREF _Toc27101 \h </w:instrText>
      </w:r>
      <w:r>
        <w:fldChar w:fldCharType="separate"/>
      </w:r>
      <w:r>
        <w:t xml:space="preserve">45</w:t>
      </w:r>
      <w:r>
        <w:fldChar w:fldCharType="end"/>
      </w:r>
      <w:r/>
    </w:p>
    <w:p>
      <w:pPr>
        <w:pStyle w:val="1012"/>
        <w:tabs>
          <w:tab w:val="right" w:pos="907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_Toc27821 \h </w:instrText>
      </w:r>
      <w:r>
        <w:fldChar w:fldCharType="separate"/>
      </w:r>
      <w:r>
        <w:t xml:space="preserve">56</w:t>
      </w:r>
      <w:r>
        <w:fldChar w:fldCharType="end"/>
      </w:r>
      <w:r/>
    </w:p>
    <w:p>
      <w:pPr>
        <w:pStyle w:val="1012"/>
        <w:tabs>
          <w:tab w:val="right" w:pos="907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_Toc7042 \h </w:instrText>
      </w:r>
      <w:r>
        <w:fldChar w:fldCharType="separate"/>
      </w:r>
      <w:r>
        <w:t xml:space="preserve">64</w:t>
      </w:r>
      <w:r>
        <w:fldChar w:fldCharType="end"/>
      </w:r>
      <w:r/>
    </w:p>
    <w:p>
      <w:pPr>
        <w:pStyle w:val="991"/>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bookmarkStart w:id="69" w:name="_GoBack"/>
      <w:r/>
      <w:bookmarkEnd w:id="69"/>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978"/>
        <w:jc w:val="center"/>
        <w:rPr>
          <w:rFonts w:hint="eastAsia" w:ascii="宋体" w:hAnsi="宋体" w:eastAsia="宋体"/>
          <w:sz w:val="52"/>
        </w:rPr>
      </w:pPr>
      <w:r>
        <w:rPr>
          <w:rFonts w:hint="eastAsia" w:ascii="宋体" w:hAnsi="宋体" w:eastAsia="宋体"/>
          <w:sz w:val="52"/>
        </w:rPr>
      </w:r>
      <w:r/>
    </w:p>
    <w:p>
      <w:pPr>
        <w:pStyle w:val="978"/>
        <w:jc w:val="center"/>
        <w:rPr>
          <w:rFonts w:hint="default" w:ascii="宋体" w:hAnsi="宋体" w:eastAsia="宋体"/>
          <w:sz w:val="52"/>
          <w:lang w:val="en-US" w:eastAsia="zh-CN"/>
        </w:rPr>
      </w:pPr>
      <w:r/>
      <w:bookmarkStart w:id="0" w:name="_Toc6117"/>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苏州市疾控中心微检科设备一批项目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“苏采云”系统（网址：http://jszfcg.jsczt.cn/）获取招标文件</w:t>
      </w:r>
      <w:r>
        <w:rPr>
          <w:rFonts w:hint="eastAsia" w:ascii="宋体" w:hAnsi="宋体" w:eastAsia="宋体" w:cs="宋体"/>
          <w:sz w:val="24"/>
          <w:szCs w:val="24"/>
          <w:highlight w:val="none"/>
          <w:u w:val="single"/>
        </w:rPr>
        <w:t xml:space="preserve">，并于2026年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月13</w:t>
      </w:r>
      <w:r>
        <w:rPr>
          <w:rFonts w:hint="eastAsia" w:ascii="宋体" w:hAnsi="宋体" w:eastAsia="宋体" w:cs="宋体"/>
          <w:sz w:val="24"/>
          <w:szCs w:val="24"/>
          <w:highlight w:val="none"/>
          <w:u w:val="single"/>
        </w:rPr>
        <w:t xml:space="preserve">日9点3</w:t>
      </w:r>
      <w:r>
        <w:rPr>
          <w:rFonts w:hint="eastAsia" w:ascii="宋体" w:hAnsi="宋体" w:eastAsia="宋体" w:cs="宋体"/>
          <w:sz w:val="24"/>
          <w:szCs w:val="24"/>
          <w:u w:val="single"/>
        </w:rPr>
        <w:t xml:space="preserve">0分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28359079"/>
      <w:r/>
      <w:bookmarkStart w:id="3" w:name="_Toc35393621"/>
      <w:r/>
      <w:bookmarkStart w:id="4" w:name="_Toc35393790"/>
      <w:r/>
      <w:bookmarkStart w:id="5" w:name="_Toc28359002"/>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JSZC-320500-SZHX-G2026-0036</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苏州市疾控中心微检科设备一批项目</w:t>
      </w:r>
      <w:bookmarkEnd w:id="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3.采购方式：公开招标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4.预算金额：人民币</w:t>
      </w:r>
      <w:r>
        <w:rPr>
          <w:rFonts w:hint="eastAsia" w:ascii="宋体" w:hAnsi="宋体" w:eastAsia="宋体" w:cs="宋体"/>
          <w:sz w:val="24"/>
          <w:szCs w:val="24"/>
          <w:highlight w:val="none"/>
          <w:lang w:val="en-US" w:eastAsia="zh-CN"/>
        </w:rPr>
        <w:t xml:space="preserve">叁佰万</w:t>
      </w:r>
      <w:r>
        <w:rPr>
          <w:rFonts w:hint="eastAsia" w:ascii="宋体" w:hAnsi="宋体" w:eastAsia="宋体" w:cs="宋体"/>
          <w:sz w:val="24"/>
          <w:szCs w:val="24"/>
          <w:highlight w:val="none"/>
        </w:rPr>
        <w:t xml:space="preserve">元整（￥：</w:t>
      </w:r>
      <w:r>
        <w:rPr>
          <w:rFonts w:hint="eastAsia" w:ascii="宋体" w:hAnsi="宋体" w:eastAsia="宋体" w:cs="宋体"/>
          <w:sz w:val="24"/>
          <w:szCs w:val="24"/>
          <w:highlight w:val="none"/>
          <w:lang w:val="en-US" w:eastAsia="zh-CN"/>
        </w:rPr>
        <w:t xml:space="preserve">3000000.00</w:t>
      </w:r>
      <w:r>
        <w:rPr>
          <w:rFonts w:hint="eastAsia" w:ascii="宋体" w:hAnsi="宋体" w:eastAsia="宋体" w:cs="宋体"/>
          <w:sz w:val="24"/>
          <w:szCs w:val="24"/>
          <w:highlight w:val="none"/>
        </w:rPr>
        <w:t xml:space="preserve">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5.最高限价：人民币</w:t>
      </w:r>
      <w:r>
        <w:rPr>
          <w:rFonts w:hint="eastAsia" w:ascii="宋体" w:hAnsi="宋体" w:eastAsia="宋体" w:cs="宋体"/>
          <w:sz w:val="24"/>
          <w:szCs w:val="24"/>
          <w:highlight w:val="none"/>
          <w:lang w:val="en-US" w:eastAsia="zh-CN"/>
        </w:rPr>
        <w:t xml:space="preserve">贰佰玖拾柒万</w:t>
      </w:r>
      <w:r>
        <w:rPr>
          <w:rFonts w:hint="eastAsia" w:ascii="宋体" w:hAnsi="宋体" w:eastAsia="宋体" w:cs="宋体"/>
          <w:sz w:val="24"/>
          <w:szCs w:val="24"/>
          <w:highlight w:val="none"/>
        </w:rPr>
        <w:t xml:space="preserve">元整（￥：</w:t>
      </w:r>
      <w:r>
        <w:rPr>
          <w:rFonts w:hint="eastAsia" w:ascii="宋体" w:hAnsi="宋体" w:eastAsia="宋体" w:cs="宋体"/>
          <w:sz w:val="24"/>
          <w:szCs w:val="24"/>
          <w:highlight w:val="none"/>
          <w:lang w:val="en-US" w:eastAsia="zh-CN"/>
        </w:rPr>
        <w:t xml:space="preserve">2970000.00</w:t>
      </w:r>
      <w:r>
        <w:rPr>
          <w:rFonts w:hint="eastAsia" w:ascii="宋体" w:hAnsi="宋体" w:eastAsia="宋体" w:cs="宋体"/>
          <w:sz w:val="24"/>
          <w:szCs w:val="24"/>
          <w:highlight w:val="none"/>
        </w:rPr>
        <w:t xml:space="preserve">元）</w:t>
      </w:r>
      <w:r/>
    </w:p>
    <w:p>
      <w:pPr>
        <w:contextualSpacing/>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rPr>
        <w:t xml:space="preserve">6.采购需求：</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lang w:eastAsia="zh-CN"/>
        </w:rPr>
        <w:t xml:space="preserve">苏州市疾控中心微检科设备一批</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7.合同履行期限：</w:t>
      </w:r>
      <w:r>
        <w:rPr>
          <w:rFonts w:hint="eastAsia" w:ascii="宋体" w:hAnsi="宋体" w:eastAsia="宋体" w:cs="宋体"/>
          <w:sz w:val="24"/>
          <w:szCs w:val="24"/>
          <w:highlight w:val="none"/>
          <w:lang w:eastAsia="zh-CN"/>
        </w:rPr>
        <w:t xml:space="preserve">合同签订之日起60天内完成交货并安装调试验收完毕。</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contextualSpacing/>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9.本项目接受进口产品。</w:t>
      </w:r>
      <w:r/>
    </w:p>
    <w:p>
      <w:pPr>
        <w:spacing w:line="360" w:lineRule="auto"/>
        <w:rPr>
          <w:rFonts w:hint="eastAsia" w:ascii="宋体" w:hAnsi="宋体" w:eastAsia="宋体" w:cs="宋体"/>
          <w:sz w:val="24"/>
          <w:szCs w:val="24"/>
        </w:rPr>
      </w:pPr>
      <w:r/>
      <w:bookmarkStart w:id="6" w:name="_Toc28359003"/>
      <w:r/>
      <w:bookmarkStart w:id="7" w:name="_Toc35393622"/>
      <w:r/>
      <w:bookmarkStart w:id="8" w:name="_Toc28359080"/>
      <w:r/>
      <w:bookmarkStart w:id="9" w:name="_Toc35393791"/>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04"/>
      <w:r/>
      <w:bookmarkStart w:id="11" w:name="_Toc28359081"/>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（6）法律、行政法规规定的其他条件</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3.本项目的特定资格要求：</w:t>
      </w:r>
      <w:bookmarkStart w:id="12" w:name="_Toc35393792"/>
      <w:r/>
      <w:bookmarkStart w:id="13" w:name="_Toc35393623"/>
      <w:r>
        <w:rPr>
          <w:rFonts w:hint="eastAsia" w:ascii="宋体" w:hAnsi="宋体" w:eastAsia="宋体" w:cs="宋体"/>
          <w:sz w:val="24"/>
          <w:szCs w:val="24"/>
          <w:highlight w:val="none"/>
          <w:lang w:val="en-US" w:eastAsia="zh-CN"/>
        </w:rPr>
        <w:t xml:space="preserve">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投标单位</w:t>
      </w:r>
      <w:r>
        <w:rPr>
          <w:rFonts w:hint="eastAsia" w:ascii="宋体" w:hAnsi="宋体" w:eastAsia="宋体" w:cs="宋体"/>
          <w:sz w:val="24"/>
          <w:szCs w:val="24"/>
          <w:highlight w:val="none"/>
        </w:rPr>
        <w:t xml:space="preserve">须未被“信用中国”网站或“中国政府采购网”网站列入失信被执行人、重大税收违法案件当事人名单、政府采购严重失信行为记录名单。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991"/>
        <w:spacing w:line="360" w:lineRule="auto"/>
        <w:rPr>
          <w:rFonts w:hint="eastAsia" w:ascii="宋体" w:hAnsi="宋体" w:eastAsia="宋体" w:cs="宋体"/>
          <w:b/>
          <w:sz w:val="24"/>
          <w:szCs w:val="24"/>
        </w:rPr>
      </w:pPr>
      <w:r/>
      <w:bookmarkStart w:id="14" w:name="_Toc28359005"/>
      <w:r/>
      <w:bookmarkStart w:id="15" w:name="_Toc28359082"/>
      <w:r/>
      <w:bookmarkStart w:id="16" w:name="_Toc35393624"/>
      <w:r/>
      <w:bookmarkStart w:id="17" w:name="_Toc35393793"/>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991"/>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991"/>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rPr>
        <w:t xml:space="preserve">四、提交投标</w:t>
      </w:r>
      <w:r>
        <w:rPr>
          <w:rFonts w:hint="eastAsia" w:ascii="宋体" w:hAnsi="宋体" w:eastAsia="宋体" w:cs="宋体"/>
          <w:b/>
          <w:sz w:val="24"/>
          <w:szCs w:val="24"/>
          <w:highlight w:val="none"/>
        </w:rPr>
        <w:t xml:space="preserve">文件</w:t>
      </w:r>
      <w:bookmarkEnd w:id="14"/>
      <w:r/>
      <w:bookmarkEnd w:id="15"/>
      <w:r>
        <w:rPr>
          <w:rFonts w:hint="eastAsia" w:ascii="宋体" w:hAnsi="宋体" w:eastAsia="宋体" w:cs="宋体"/>
          <w:b/>
          <w:sz w:val="24"/>
          <w:szCs w:val="24"/>
          <w:highlight w:val="none"/>
        </w:rPr>
        <w:t xml:space="preserve">截止时间、开标时间和地点</w:t>
      </w:r>
      <w:bookmarkEnd w:id="16"/>
      <w:r/>
      <w:bookmarkEnd w:id="17"/>
      <w:r/>
      <w:r/>
    </w:p>
    <w:p>
      <w:pPr>
        <w:pStyle w:val="991"/>
        <w:spacing w:line="360" w:lineRule="auto"/>
        <w:rPr>
          <w:rFonts w:hint="eastAsia" w:ascii="宋体" w:hAnsi="宋体" w:eastAsia="宋体" w:cs="宋体"/>
          <w:sz w:val="24"/>
          <w:szCs w:val="24"/>
          <w:highlight w:val="none"/>
        </w:rPr>
      </w:pPr>
      <w:r/>
      <w:bookmarkStart w:id="18" w:name="_Toc35393625"/>
      <w:r/>
      <w:bookmarkStart w:id="19" w:name="_Toc28359084"/>
      <w:r/>
      <w:bookmarkStart w:id="20" w:name="_Toc35393794"/>
      <w:r/>
      <w:bookmarkStart w:id="21" w:name="_Toc28359007"/>
      <w:r>
        <w:rPr>
          <w:rFonts w:hint="eastAsia" w:ascii="宋体" w:hAnsi="宋体" w:eastAsia="宋体" w:cs="宋体"/>
          <w:sz w:val="24"/>
          <w:szCs w:val="24"/>
          <w:highlight w:val="none"/>
        </w:rPr>
        <w:t xml:space="preserve">1.提交投标文件截止</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13</w:t>
      </w:r>
      <w:r>
        <w:rPr>
          <w:rFonts w:hint="eastAsia" w:ascii="宋体" w:hAnsi="宋体" w:eastAsia="宋体" w:cs="宋体"/>
          <w:sz w:val="24"/>
          <w:szCs w:val="24"/>
          <w:highlight w:val="none"/>
          <w:u w:val="single"/>
        </w:rPr>
        <w:t xml:space="preserve">日9点30分</w:t>
      </w:r>
      <w:r>
        <w:rPr>
          <w:rFonts w:hint="eastAsia" w:ascii="宋体" w:hAnsi="宋体" w:eastAsia="宋体" w:cs="宋体"/>
          <w:sz w:val="24"/>
          <w:szCs w:val="24"/>
          <w:highlight w:val="none"/>
        </w:rPr>
        <w:t xml:space="preserve">（北京时间）；</w:t>
      </w:r>
      <w:r/>
    </w:p>
    <w:p>
      <w:pPr>
        <w:pStyle w:val="99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13</w:t>
      </w:r>
      <w:r>
        <w:rPr>
          <w:rFonts w:hint="eastAsia" w:ascii="宋体" w:hAnsi="宋体" w:eastAsia="宋体" w:cs="宋体"/>
          <w:sz w:val="24"/>
          <w:szCs w:val="24"/>
          <w:highlight w:val="none"/>
          <w:u w:val="single"/>
        </w:rPr>
        <w:t xml:space="preserve">日9点30</w:t>
      </w:r>
      <w:r>
        <w:rPr>
          <w:rFonts w:hint="eastAsia" w:ascii="宋体" w:hAnsi="宋体" w:eastAsia="宋体" w:cs="宋体"/>
          <w:sz w:val="24"/>
          <w:szCs w:val="24"/>
          <w:highlight w:val="none"/>
          <w:u w:val="single"/>
        </w:rPr>
        <w:t xml:space="preserve">分</w:t>
      </w:r>
      <w:r>
        <w:rPr>
          <w:rFonts w:hint="eastAsia" w:ascii="宋体" w:hAnsi="宋体" w:eastAsia="宋体" w:cs="宋体"/>
          <w:sz w:val="24"/>
          <w:szCs w:val="24"/>
          <w:highlight w:val="none"/>
        </w:rPr>
        <w:t xml:space="preserve">（北京时间）；</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3.开标地点：“苏采云”系统（网址：h</w:t>
      </w:r>
      <w:r>
        <w:rPr>
          <w:rFonts w:hint="eastAsia" w:ascii="宋体" w:hAnsi="宋体" w:eastAsia="宋体" w:cs="宋体"/>
          <w:sz w:val="24"/>
          <w:szCs w:val="24"/>
        </w:rPr>
        <w:t xml:space="preserve">ttp://jszfcg.jsczt.cn/）</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991"/>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991"/>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626"/>
      <w:r/>
      <w:bookmarkStart w:id="23" w:name="_Toc35393795"/>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35393796"/>
      <w:r/>
      <w:bookmarkStart w:id="25" w:name="_Toc28359085"/>
      <w:r/>
      <w:bookmarkStart w:id="26" w:name="_Toc35393627"/>
      <w:r/>
      <w:bookmarkStart w:id="27" w:name="_Toc28359008"/>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3.政府采购管理监督电话：0512-68616651</w:t>
      </w:r>
      <w:r>
        <w:rPr>
          <w:rFonts w:hint="eastAsia" w:ascii="宋体" w:hAnsi="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28358998"/>
      <w:r/>
      <w:bookmarkStart w:id="29" w:name="_Toc35393786"/>
      <w:r/>
      <w:bookmarkStart w:id="30" w:name="_Toc35393617"/>
      <w:r/>
      <w:bookmarkStart w:id="31" w:name="_Toc28359075"/>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苏州市疾病预防控制中心</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地址：苏州市姑苏区三香路72号</w:t>
      </w:r>
      <w:r/>
    </w:p>
    <w:p>
      <w:pPr>
        <w:ind w:firstLine="480"/>
        <w:jc w:val="left"/>
        <w:spacing w:line="360" w:lineRule="auto"/>
        <w:shd w:val="clear" w:color="auto" w:fill="ffffff"/>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联系人：孙忠保</w:t>
      </w:r>
      <w:r/>
    </w:p>
    <w:p>
      <w:pPr>
        <w:ind w:firstLine="480"/>
        <w:jc w:val="left"/>
        <w:spacing w:line="360" w:lineRule="auto"/>
        <w:shd w:val="clear" w:color="auto" w:fill="ffffff"/>
        <w:widowControl/>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rPr>
        <w:t xml:space="preserve">电 话：0512-68282512</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978"/>
        <w:jc w:val="center"/>
        <w:rPr>
          <w:rFonts w:hint="eastAsia" w:ascii="宋体" w:hAnsi="宋体" w:eastAsia="宋体"/>
          <w:sz w:val="52"/>
        </w:rPr>
      </w:pPr>
      <w:r>
        <w:rPr>
          <w:rFonts w:hint="eastAsia" w:ascii="宋体" w:hAnsi="宋体" w:eastAsia="宋体"/>
          <w:sz w:val="52"/>
        </w:rPr>
      </w:r>
      <w:r/>
    </w:p>
    <w:p>
      <w:pPr>
        <w:pStyle w:val="978"/>
        <w:jc w:val="center"/>
        <w:rPr>
          <w:rFonts w:hint="eastAsia" w:ascii="宋体" w:hAnsi="宋体" w:eastAsia="宋体"/>
          <w:sz w:val="52"/>
        </w:rPr>
      </w:pPr>
      <w:r/>
      <w:bookmarkStart w:id="33" w:name="_Toc23537"/>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3"/>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991"/>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3.2落</w:t>
      </w:r>
      <w:r>
        <w:rPr>
          <w:rFonts w:hint="eastAsia" w:ascii="宋体" w:hAnsi="宋体" w:eastAsia="宋体" w:cs="宋体"/>
          <w:sz w:val="24"/>
          <w:szCs w:val="24"/>
          <w:highlight w:val="none"/>
        </w:rPr>
        <w:t xml:space="preserve">实政府采购政策需满足的资格要求：本项目非专门面向中小企业，所属行业为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3.3本项目的特定资格要求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（1）供应商须未被“信用中国”网站或“中国政府采购网”网站列入失信被执行人、重大税收违法案件当事人名单、政府采购严重失信行为记录名单。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99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991"/>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991"/>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991"/>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991"/>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987"/>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987"/>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987"/>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991"/>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991"/>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rPr>
        <w:t xml:space="preserve">2</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.1关于资格文件的声明函（格式见第三章）；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.2投标人基本情况表（格式见第三章）；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.3投标人法定代表人身份证复印件；</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.4法定代表人授权委托书（如有授权，格式见第三章）；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.5投标人授权代理人身份证复印件（如有授权）；</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投标函（格式见第三章）；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《技术响应对照表》、《商务条款偏离表》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售后服务承诺书</w:t>
      </w:r>
      <w:r>
        <w:rPr>
          <w:rFonts w:hint="eastAsia" w:ascii="宋体" w:hAnsi="宋体" w:eastAsia="宋体" w:cs="宋体"/>
          <w:sz w:val="24"/>
          <w:szCs w:val="24"/>
        </w:rPr>
        <w:t xml:space="preserve">》（格式见第三章）；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13.7价格折扣文件格式</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13.7.1</w:t>
      </w:r>
      <w:r>
        <w:rPr>
          <w:rFonts w:hint="eastAsia" w:ascii="宋体" w:hAnsi="宋体" w:eastAsia="宋体" w:cs="宋体"/>
          <w:b/>
          <w:bCs/>
          <w:sz w:val="24"/>
          <w:szCs w:val="24"/>
        </w:rPr>
        <w:t xml:space="preserve">《中小企业声明函》或《残疾人福利性单位声明函》或由省级以上监狱管理局、戒毒管理局（含新疆生产建设兵团）出具的属于监狱企业的证明文件（如有）。</w:t>
      </w:r>
      <w:r/>
    </w:p>
    <w:p>
      <w:pPr>
        <w:ind w:firstLine="408"/>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13.7.2</w:t>
      </w:r>
      <w:r>
        <w:rPr>
          <w:rFonts w:hint="eastAsia" w:ascii="宋体" w:hAnsi="宋体" w:eastAsia="宋体" w:cs="宋体"/>
          <w:b/>
          <w:bCs/>
          <w:sz w:val="24"/>
          <w:szCs w:val="24"/>
        </w:rPr>
        <w:t xml:space="preserve">《关于符合本国产品标准的声明函》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《关于本国产品成本占比的声明函（采购项目含有多种产品时适用）》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如有）。</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13.8其他可以证明投标人资质、服务质量的证书、文件等相关资料</w:t>
      </w:r>
      <w:r>
        <w:rPr>
          <w:rFonts w:hint="eastAsia" w:ascii="宋体" w:hAnsi="宋体" w:eastAsia="宋体" w:cs="宋体"/>
          <w:sz w:val="24"/>
          <w:szCs w:val="24"/>
        </w:rPr>
        <w:t xml:space="preserve">。</w:t>
      </w:r>
      <w:r/>
    </w:p>
    <w:p>
      <w:pPr>
        <w:pStyle w:val="1120"/>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w:t>
      </w:r>
      <w:r>
        <w:rPr>
          <w:rFonts w:hint="eastAsia" w:ascii="宋体" w:hAnsi="宋体" w:eastAsia="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1120"/>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1120"/>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（3）“13.4.1-13.8”中不得出现投标总报价。</w:t>
      </w:r>
      <w:r>
        <w:rPr>
          <w:rFonts w:hint="eastAsia" w:ascii="宋体" w:hAnsi="宋体" w:eastAsia="宋体" w:cs="宋体"/>
          <w:sz w:val="24"/>
          <w:szCs w:val="24"/>
        </w:rPr>
        <w:t xml:space="preserve">投标人所提交的资料的完整与否，将直接影响投标人的评分。</w:t>
      </w:r>
      <w:r/>
    </w:p>
    <w:p>
      <w:pPr>
        <w:pStyle w:val="1120"/>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1120"/>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991"/>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1120"/>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1120"/>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120"/>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20"/>
        <w:ind w:firstLine="422"/>
        <w:spacing w:line="360" w:lineRule="auto"/>
        <w:rPr>
          <w:rFonts w:hint="eastAsia" w:ascii="宋体" w:hAnsi="宋体" w:eastAsia="宋体" w:cs="宋体"/>
          <w:b/>
          <w:sz w:val="24"/>
          <w:szCs w:val="24"/>
        </w:rPr>
      </w:pPr>
      <w:r/>
      <w:bookmarkStart w:id="34" w:name="OLE_LINK20"/>
      <w:r>
        <w:rPr>
          <w:rFonts w:hint="eastAsia" w:ascii="宋体" w:hAnsi="宋体" w:eastAsia="宋体" w:cs="宋体"/>
          <w:b/>
          <w:sz w:val="24"/>
          <w:szCs w:val="24"/>
        </w:rPr>
        <w:t xml:space="preserve">25.6异常低价投标审查</w:t>
      </w:r>
      <w:bookmarkEnd w:id="34"/>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5" w:name="OLE_LINK5"/>
      <w:r/>
      <w:bookmarkStart w:id="36" w:name="OLE_LINK6"/>
      <w:r>
        <w:rPr>
          <w:rFonts w:hint="eastAsia" w:ascii="宋体" w:hAnsi="宋体" w:eastAsia="宋体" w:cs="宋体"/>
          <w:b/>
          <w:sz w:val="24"/>
          <w:szCs w:val="24"/>
          <w:lang w:val="en-US"/>
        </w:rPr>
        <w:t xml:space="preserve">评标</w:t>
      </w:r>
      <w:bookmarkEnd w:id="35"/>
      <w:r/>
      <w:bookmarkEnd w:id="36"/>
      <w:r>
        <w:rPr>
          <w:rFonts w:hint="eastAsia" w:ascii="宋体" w:hAnsi="宋体" w:eastAsia="宋体" w:cs="宋体"/>
          <w:b/>
          <w:sz w:val="24"/>
          <w:szCs w:val="24"/>
          <w:lang w:val="en-US"/>
        </w:rPr>
        <w:t xml:space="preserve">委员会应当启动异常低价投标审查程序：</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1120"/>
        <w:ind w:firstLine="422"/>
        <w:spacing w:line="360" w:lineRule="auto"/>
        <w:rPr>
          <w:rFonts w:hint="eastAsia" w:ascii="宋体" w:hAnsi="宋体" w:eastAsia="宋体" w:cs="宋体"/>
          <w:sz w:val="24"/>
          <w:szCs w:val="24"/>
          <w:shd w:val="clear" w:color="auto" w:fill="ffffff"/>
        </w:rPr>
      </w:pPr>
      <w:r/>
      <w:bookmarkStart w:id="37" w:name="OLE_LINK3"/>
      <w:r/>
      <w:bookmarkStart w:id="38" w:name="OLE_LINK4"/>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10"/>
      <w:r/>
      <w:bookmarkStart w:id="40" w:name="OLE_LINK9"/>
      <w:r>
        <w:rPr>
          <w:rFonts w:hint="eastAsia" w:ascii="宋体" w:hAnsi="宋体" w:eastAsia="宋体" w:cs="宋体"/>
          <w:b/>
          <w:sz w:val="24"/>
          <w:szCs w:val="24"/>
        </w:rPr>
        <w:t xml:space="preserve">，</w:t>
      </w:r>
      <w:bookmarkEnd w:id="39"/>
      <w:r/>
      <w:bookmarkEnd w:id="40"/>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20"/>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20"/>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1120"/>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91"/>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1120"/>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1120"/>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34.代理服务费</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34.1中标单位须按前附表的规定计算并支付代理服务费，该费用应在领取中标通知书时付清。</w:t>
      </w:r>
      <w:r/>
    </w:p>
    <w:p>
      <w:pPr>
        <w:pStyle w:val="991"/>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34.2中标单位如果未按规定缴纳代理服务费，采购代理机构将保留诉讼的权利。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34.3缴纳代理服务费时，如供应商为增值税一般纳税人且需增值税专用发票的，则须提供开票信息。</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978"/>
        <w:jc w:val="center"/>
        <w:rPr>
          <w:rFonts w:hint="eastAsia" w:ascii="宋体" w:hAnsi="宋体" w:eastAsia="宋体"/>
          <w:b w:val="0"/>
          <w:sz w:val="52"/>
        </w:rPr>
      </w:pPr>
      <w:r/>
      <w:bookmarkStart w:id="41" w:name="_Toc12879"/>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1"/>
      <w:r/>
      <w:r/>
    </w:p>
    <w:p>
      <w:pPr>
        <w:pStyle w:val="991"/>
        <w:ind w:firstLine="0"/>
        <w:spacing w:line="360" w:lineRule="auto"/>
        <w:rPr>
          <w:rFonts w:hint="eastAsia" w:ascii="宋体" w:hAnsi="宋体" w:eastAsia="宋体"/>
          <w:b/>
        </w:rPr>
      </w:pPr>
      <w:r>
        <w:rPr>
          <w:rFonts w:hint="eastAsia" w:ascii="宋体" w:hAnsi="宋体" w:eastAsia="宋体"/>
          <w:b/>
        </w:rPr>
        <w:t xml:space="preserve">说明：</w:t>
      </w:r>
      <w:r/>
    </w:p>
    <w:p>
      <w:pPr>
        <w:pStyle w:val="991"/>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991"/>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991"/>
        <w:ind w:firstLine="0"/>
        <w:rPr>
          <w:rFonts w:hint="eastAsia" w:ascii="宋体" w:hAnsi="宋体" w:eastAsia="宋体"/>
        </w:rPr>
      </w:pPr>
      <w:r>
        <w:rPr>
          <w:rFonts w:hint="eastAsia" w:ascii="宋体" w:hAnsi="宋体" w:eastAsia="宋体"/>
        </w:rPr>
      </w:r>
      <w:r/>
    </w:p>
    <w:p>
      <w:pPr>
        <w:pStyle w:val="991"/>
        <w:ind w:firstLine="0"/>
        <w:jc w:val="center"/>
        <w:spacing w:line="360" w:lineRule="auto"/>
        <w:rPr>
          <w:rFonts w:hint="eastAsia" w:ascii="宋体" w:hAnsi="宋体" w:eastAsia="宋体"/>
        </w:rPr>
      </w:pPr>
      <w:r>
        <w:rPr>
          <w:rFonts w:hint="eastAsia" w:ascii="宋体" w:hAnsi="宋体" w:eastAsia="宋体"/>
        </w:rPr>
      </w:r>
      <w:r/>
    </w:p>
    <w:p>
      <w:pPr>
        <w:pStyle w:val="1169"/>
        <w:jc w:val="center"/>
        <w:rPr>
          <w:b/>
        </w:rPr>
      </w:pPr>
      <w:r>
        <w:rPr>
          <w:rFonts w:hint="eastAsia"/>
        </w:rPr>
        <w:t xml:space="preserve">授权委托书</w:t>
      </w:r>
      <w:r/>
    </w:p>
    <w:p>
      <w:pPr>
        <w:pStyle w:val="991"/>
        <w:ind w:firstLine="0"/>
        <w:jc w:val="center"/>
        <w:spacing w:line="360" w:lineRule="auto"/>
        <w:rPr>
          <w:rFonts w:hint="eastAsia" w:ascii="宋体" w:hAnsi="宋体" w:eastAsia="宋体"/>
        </w:rPr>
      </w:pPr>
      <w:r>
        <w:rPr>
          <w:rFonts w:hint="eastAsia" w:ascii="宋体" w:hAnsi="宋体" w:eastAsia="宋体"/>
        </w:rPr>
      </w:r>
      <w:r/>
    </w:p>
    <w:p>
      <w:pPr>
        <w:pStyle w:val="991"/>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991"/>
        <w:ind w:firstLine="480"/>
        <w:jc w:val="both"/>
        <w:spacing w:line="360" w:lineRule="auto"/>
        <w:rPr>
          <w:rFonts w:hint="eastAsia" w:ascii="宋体" w:hAnsi="宋体" w:eastAsia="宋体"/>
        </w:rPr>
      </w:pPr>
      <w:r>
        <w:rPr>
          <w:rFonts w:hint="eastAsia" w:ascii="宋体" w:hAnsi="宋体" w:eastAsia="宋体"/>
        </w:rPr>
      </w:r>
      <w:r/>
    </w:p>
    <w:p>
      <w:pPr>
        <w:pStyle w:val="991"/>
        <w:ind w:firstLine="480"/>
        <w:jc w:val="both"/>
        <w:spacing w:line="360" w:lineRule="auto"/>
        <w:rPr>
          <w:rFonts w:hint="eastAsia" w:ascii="宋体" w:hAnsi="宋体" w:eastAsia="宋体"/>
        </w:rPr>
      </w:pPr>
      <w:r>
        <w:rPr>
          <w:rFonts w:hint="eastAsia" w:ascii="宋体" w:hAnsi="宋体" w:eastAsia="宋体"/>
        </w:rPr>
      </w:r>
      <w:r/>
    </w:p>
    <w:p>
      <w:pPr>
        <w:pStyle w:val="991"/>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991"/>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991"/>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171"/>
        <w:ind w:firstLine="480"/>
        <w:spacing w:line="360" w:lineRule="auto"/>
        <w:rPr>
          <w:rFonts w:hint="eastAsia" w:hAnsi="宋体" w:eastAsia="宋体"/>
          <w:sz w:val="24"/>
        </w:rPr>
      </w:pPr>
      <w:r>
        <w:rPr>
          <w:rFonts w:hint="eastAsia" w:hAnsi="宋体" w:eastAsia="宋体"/>
          <w:sz w:val="24"/>
        </w:rPr>
        <w:t xml:space="preserve">日期：        年   月   日</w:t>
      </w:r>
      <w:r/>
    </w:p>
    <w:p>
      <w:pPr>
        <w:pStyle w:val="991"/>
        <w:jc w:val="right"/>
        <w:rPr>
          <w:rFonts w:hint="eastAsia" w:ascii="宋体" w:hAnsi="宋体" w:eastAsia="宋体"/>
        </w:rPr>
      </w:pPr>
      <w:r>
        <w:rPr>
          <w:rFonts w:hint="eastAsia" w:ascii="宋体" w:hAnsi="宋体" w:eastAsia="宋体"/>
        </w:rPr>
      </w:r>
      <w:r/>
    </w:p>
    <w:p>
      <w:pPr>
        <w:pStyle w:val="991"/>
        <w:jc w:val="right"/>
        <w:rPr>
          <w:rFonts w:hint="eastAsia" w:ascii="宋体" w:hAnsi="宋体" w:eastAsia="宋体"/>
        </w:rPr>
      </w:pPr>
      <w:r>
        <w:rPr>
          <w:rFonts w:hint="eastAsia" w:ascii="宋体" w:hAnsi="宋体" w:eastAsia="宋体"/>
        </w:rPr>
      </w:r>
      <w:r/>
    </w:p>
    <w:p>
      <w:pPr>
        <w:pStyle w:val="991"/>
        <w:jc w:val="right"/>
        <w:rPr>
          <w:rFonts w:hint="eastAsia" w:ascii="宋体" w:hAnsi="宋体" w:eastAsia="宋体"/>
        </w:rPr>
      </w:pPr>
      <w:r>
        <w:rPr>
          <w:rFonts w:hint="eastAsia" w:ascii="宋体" w:hAnsi="宋体" w:eastAsia="宋体"/>
        </w:rPr>
      </w:r>
      <w:r/>
    </w:p>
    <w:p>
      <w:pPr>
        <w:pStyle w:val="991"/>
        <w:jc w:val="center"/>
        <w:rPr>
          <w:rFonts w:hint="eastAsia" w:ascii="宋体" w:hAnsi="宋体" w:eastAsia="宋体"/>
        </w:rPr>
      </w:pPr>
      <w:r>
        <w:rPr>
          <w:rFonts w:hint="eastAsia" w:ascii="宋体" w:hAnsi="宋体" w:eastAsia="宋体"/>
        </w:rPr>
      </w:r>
      <w:r/>
    </w:p>
    <w:p>
      <w:pPr>
        <w:pStyle w:val="991"/>
        <w:jc w:val="center"/>
        <w:rPr>
          <w:rFonts w:hint="eastAsia" w:ascii="宋体" w:hAnsi="宋体" w:eastAsia="宋体"/>
          <w:b/>
        </w:rPr>
      </w:pPr>
      <w:r>
        <w:rPr>
          <w:rFonts w:hAnsi="宋体" w:eastAsia="宋体"/>
          <w:b/>
        </w:rPr>
        <w:br w:type="page" w:clear="all"/>
      </w:r>
      <w:r/>
    </w:p>
    <w:p>
      <w:pPr>
        <w:pStyle w:val="991"/>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1080"/>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1080"/>
        <w:jc w:val="center"/>
        <w:spacing w:line="320" w:lineRule="exact"/>
        <w:rPr>
          <w:rFonts w:hint="eastAsia" w:hAnsi="宋体" w:eastAsia="宋体"/>
          <w:sz w:val="24"/>
          <w:szCs w:val="24"/>
        </w:rPr>
      </w:pPr>
      <w:r>
        <w:rPr>
          <w:rFonts w:hint="eastAsia" w:hAnsi="宋体" w:eastAsia="宋体"/>
          <w:sz w:val="24"/>
          <w:szCs w:val="24"/>
        </w:rPr>
      </w:r>
      <w:r/>
    </w:p>
    <w:p>
      <w:pPr>
        <w:pStyle w:val="1080"/>
        <w:spacing w:line="320" w:lineRule="exact"/>
        <w:rPr>
          <w:rFonts w:hint="eastAsia"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1080"/>
        <w:ind w:firstLine="480"/>
        <w:spacing w:line="320" w:lineRule="exact"/>
        <w:rPr>
          <w:rFonts w:hint="eastAsia" w:hAnsi="宋体" w:eastAsia="宋体"/>
          <w:sz w:val="24"/>
        </w:rPr>
      </w:pPr>
      <w:r>
        <w:rPr>
          <w:rFonts w:hint="eastAsia" w:hAnsi="宋体" w:eastAsia="宋体"/>
          <w:sz w:val="24"/>
        </w:rPr>
        <w:t xml:space="preserve">我们收到贵公司</w:t>
      </w:r>
      <w:r>
        <w:rPr>
          <w:rFonts w:hint="eastAsia" w:hAnsi="宋体" w:eastAsia="宋体"/>
          <w:sz w:val="24"/>
          <w:u w:val="single"/>
          <w:lang w:eastAsia="zh-CN"/>
        </w:rPr>
        <w:t xml:space="preserve">JSZC-320500-SZHX-G2026-0036</w:t>
      </w:r>
      <w:r>
        <w:rPr>
          <w:rFonts w:hint="eastAsia" w:hAnsi="宋体" w:eastAsia="宋体"/>
          <w:sz w:val="24"/>
        </w:rPr>
        <w:t xml:space="preserve">号招标文件，经仔细阅读和研究，我们决定参加投标。</w:t>
      </w:r>
      <w:r/>
    </w:p>
    <w:p>
      <w:pPr>
        <w:pStyle w:val="1080"/>
        <w:ind w:firstLine="480"/>
        <w:spacing w:line="320" w:lineRule="exact"/>
        <w:rPr>
          <w:rFonts w:hint="eastAsia" w:hAnsi="宋体" w:eastAsia="宋体"/>
          <w:sz w:val="24"/>
          <w:highlight w:val="none"/>
        </w:rPr>
      </w:pPr>
      <w:r>
        <w:rPr>
          <w:rFonts w:hAnsi="宋体" w:eastAsia="宋体"/>
          <w:sz w:val="24"/>
        </w:rPr>
        <w:t xml:space="preserve">1</w:t>
      </w:r>
      <w:r>
        <w:rPr>
          <w:rFonts w:hint="eastAsia" w:hAnsi="宋体" w:eastAsia="宋体"/>
          <w:sz w:val="24"/>
        </w:rPr>
        <w:t xml:space="preserve">、我们愿意按照招标文件的一切要</w:t>
      </w:r>
      <w:r>
        <w:rPr>
          <w:rFonts w:hint="eastAsia" w:hAnsi="宋体" w:eastAsia="宋体"/>
          <w:sz w:val="24"/>
          <w:highlight w:val="none"/>
        </w:rPr>
        <w:t xml:space="preserve">求完成该项目的全部内容，我们的所投总价</w:t>
      </w:r>
      <w:r>
        <w:rPr>
          <w:rFonts w:hint="eastAsia" w:hAnsi="宋体" w:eastAsia="宋体"/>
          <w:sz w:val="24"/>
          <w:highlight w:val="none"/>
          <w:lang w:eastAsia="zh-CN"/>
        </w:rPr>
        <w:t xml:space="preserve">包括产品供货、辅助材料、备品备件、运输、仓储、发货、送货、安装、调试、人工、机械、装卸、培训、保险、运费、检测验收、各种税费、利润、劳保、专利技术、质保及政策性文件规定及合同包含的所有风险、责任等完成本次项目所需的一切费用</w:t>
      </w:r>
      <w:r>
        <w:rPr>
          <w:rFonts w:hint="eastAsia" w:hAnsi="宋体" w:eastAsia="宋体"/>
          <w:sz w:val="24"/>
          <w:szCs w:val="24"/>
          <w:highlight w:val="none"/>
        </w:rPr>
        <w:t xml:space="preserve">。</w:t>
      </w:r>
      <w:r/>
    </w:p>
    <w:p>
      <w:pPr>
        <w:pStyle w:val="1080"/>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1080"/>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1080"/>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1080"/>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1080"/>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1080"/>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1080"/>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1080"/>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1080"/>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1080"/>
        <w:ind w:firstLine="480"/>
        <w:spacing w:line="320" w:lineRule="exact"/>
        <w:rPr>
          <w:rFonts w:hint="eastAsia" w:hAnsi="宋体" w:eastAsia="宋体"/>
          <w:sz w:val="24"/>
        </w:rPr>
      </w:pPr>
      <w:r>
        <w:rPr>
          <w:rFonts w:hint="eastAsia" w:hAnsi="宋体" w:eastAsia="宋体"/>
          <w:sz w:val="24"/>
        </w:rPr>
        <w:t xml:space="preserve">12、综合说明：</w:t>
      </w:r>
      <w:r/>
    </w:p>
    <w:p>
      <w:pPr>
        <w:pStyle w:val="1080"/>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1080"/>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1080"/>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1080"/>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1080"/>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1080"/>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1080"/>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1080"/>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1080"/>
        <w:ind w:firstLine="480"/>
        <w:spacing w:line="320" w:lineRule="exact"/>
        <w:rPr>
          <w:rFonts w:hint="eastAsia" w:hAnsi="宋体" w:eastAsia="宋体"/>
          <w:sz w:val="24"/>
        </w:rPr>
      </w:pPr>
      <w:r>
        <w:rPr>
          <w:rFonts w:hint="eastAsia" w:hAnsi="宋体" w:eastAsia="宋体"/>
          <w:sz w:val="24"/>
        </w:rPr>
      </w:r>
      <w:r/>
    </w:p>
    <w:p>
      <w:pPr>
        <w:pStyle w:val="1078"/>
        <w:rPr>
          <w:rFonts w:hint="eastAsia" w:hAnsi="宋体" w:eastAsia="宋体"/>
          <w:sz w:val="24"/>
        </w:rPr>
      </w:pPr>
      <w:r>
        <w:rPr>
          <w:rFonts w:hint="eastAsia" w:hAnsi="宋体" w:eastAsia="宋体"/>
          <w:sz w:val="24"/>
        </w:rPr>
        <w:t xml:space="preserve">投标单位：（单位盖章）</w:t>
      </w:r>
      <w:r/>
    </w:p>
    <w:p>
      <w:pPr>
        <w:pStyle w:val="1078"/>
        <w:rPr>
          <w:rFonts w:hint="eastAsia" w:hAnsi="宋体" w:eastAsia="宋体"/>
          <w:sz w:val="24"/>
        </w:rPr>
      </w:pPr>
      <w:r>
        <w:rPr>
          <w:rFonts w:hint="eastAsia" w:hAnsi="宋体" w:eastAsia="宋体"/>
          <w:sz w:val="24"/>
        </w:rPr>
        <w:t xml:space="preserve">法定代表人或代理人：（签字或盖章）</w:t>
      </w:r>
      <w:r/>
    </w:p>
    <w:p>
      <w:pPr>
        <w:pStyle w:val="1078"/>
        <w:rPr>
          <w:rFonts w:hint="eastAsia" w:hAnsi="宋体" w:eastAsia="宋体"/>
          <w:sz w:val="24"/>
        </w:rPr>
      </w:pPr>
      <w:r>
        <w:rPr>
          <w:rFonts w:hint="eastAsia" w:hAnsi="宋体" w:eastAsia="宋体"/>
          <w:sz w:val="24"/>
        </w:rPr>
        <w:t xml:space="preserve">日期：        年   月   日</w:t>
      </w:r>
      <w:r/>
    </w:p>
    <w:p>
      <w:pPr>
        <w:pStyle w:val="1080"/>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1078"/>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1078"/>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1078"/>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1078"/>
        <w:spacing w:line="360" w:lineRule="auto"/>
        <w:rPr>
          <w:rFonts w:hint="eastAsia" w:hAnsi="宋体" w:eastAsia="宋体"/>
          <w:sz w:val="24"/>
          <w:szCs w:val="24"/>
        </w:rPr>
      </w:pPr>
      <w:r>
        <w:rPr>
          <w:rFonts w:hint="eastAsia" w:hAnsi="宋体" w:eastAsia="宋体"/>
          <w:sz w:val="24"/>
          <w:szCs w:val="24"/>
        </w:rPr>
        <w:t xml:space="preserve">项目编号：</w:t>
      </w:r>
      <w:r/>
    </w:p>
    <w:p>
      <w:pPr>
        <w:pStyle w:val="1078"/>
        <w:spacing w:line="360" w:lineRule="auto"/>
        <w:rPr>
          <w:rFonts w:hint="eastAsia" w:hAnsi="宋体" w:eastAsia="宋体"/>
          <w:sz w:val="24"/>
          <w:szCs w:val="24"/>
        </w:rPr>
      </w:pPr>
      <w:r>
        <w:rPr>
          <w:rFonts w:hint="eastAsia" w:hAnsi="宋体" w:eastAsia="宋体"/>
          <w:sz w:val="24"/>
          <w:szCs w:val="24"/>
        </w:rPr>
        <w:t xml:space="preserve">分包号：</w:t>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185"/>
              <w:jc w:val="center"/>
              <w:rPr>
                <w:rFonts w:hAnsi="宋体" w:eastAsia="宋体" w:cs="宋体"/>
                <w:sz w:val="24"/>
                <w:szCs w:val="24"/>
              </w:rPr>
            </w:pPr>
            <w:r>
              <w:rPr>
                <w:rFonts w:hint="eastAsia" w:hAnsi="宋体" w:eastAsia="宋体" w:cs="宋体"/>
                <w:sz w:val="24"/>
                <w:szCs w:val="24"/>
              </w:rPr>
              <w:t xml:space="preserve">序号</w:t>
            </w:r>
            <w:r/>
          </w:p>
        </w:tc>
        <w:tc>
          <w:tcPr>
            <w:tcW w:w="2490" w:type="dxa"/>
            <w:vAlign w:val="center"/>
            <w:textDirection w:val="lrTb"/>
            <w:noWrap w:val="false"/>
          </w:tcPr>
          <w:p>
            <w:pPr>
              <w:pStyle w:val="1185"/>
              <w:jc w:val="center"/>
              <w:rPr>
                <w:rFonts w:hAnsi="宋体" w:eastAsia="宋体" w:cs="宋体"/>
                <w:sz w:val="24"/>
                <w:szCs w:val="24"/>
              </w:rPr>
            </w:pPr>
            <w:r>
              <w:rPr>
                <w:rFonts w:hint="eastAsia" w:hAnsi="宋体" w:eastAsia="宋体" w:cs="宋体"/>
                <w:sz w:val="24"/>
                <w:szCs w:val="24"/>
              </w:rPr>
              <w:t xml:space="preserve">项目名称</w:t>
            </w:r>
            <w:r/>
          </w:p>
        </w:tc>
        <w:tc>
          <w:tcPr>
            <w:tcW w:w="2929" w:type="dxa"/>
            <w:vAlign w:val="center"/>
            <w:textDirection w:val="lrTb"/>
            <w:noWrap w:val="false"/>
          </w:tcPr>
          <w:p>
            <w:pPr>
              <w:pStyle w:val="1185"/>
              <w:jc w:val="center"/>
              <w:rPr>
                <w:rFonts w:hAnsi="宋体" w:eastAsia="宋体" w:cs="宋体"/>
                <w:sz w:val="24"/>
                <w:szCs w:val="24"/>
              </w:rPr>
            </w:pPr>
            <w:r>
              <w:rPr>
                <w:rFonts w:hint="eastAsia" w:hAnsi="宋体" w:eastAsia="宋体" w:cs="宋体"/>
                <w:sz w:val="24"/>
                <w:szCs w:val="24"/>
              </w:rPr>
              <w:t xml:space="preserve">总价（元）</w:t>
            </w:r>
            <w:r/>
          </w:p>
        </w:tc>
        <w:tc>
          <w:tcPr>
            <w:tcW w:w="1855" w:type="dxa"/>
            <w:vAlign w:val="center"/>
            <w:textDirection w:val="lrTb"/>
            <w:noWrap w:val="false"/>
          </w:tcPr>
          <w:p>
            <w:pPr>
              <w:pStyle w:val="1185"/>
              <w:jc w:val="center"/>
              <w:rPr>
                <w:rFonts w:hAnsi="宋体" w:eastAsia="宋体" w:cs="宋体"/>
                <w:sz w:val="24"/>
                <w:szCs w:val="24"/>
              </w:rPr>
            </w:pPr>
            <w:r>
              <w:rPr>
                <w:rFonts w:hint="eastAsia" w:hAnsi="宋体" w:eastAsia="宋体" w:cs="宋体"/>
                <w:sz w:val="24"/>
                <w:szCs w:val="24"/>
              </w:rPr>
              <w:t xml:space="preserve">备注</w:t>
            </w:r>
            <w:r/>
          </w:p>
        </w:tc>
      </w:tr>
      <w:tr>
        <w:trPr>
          <w:jc w:val="center"/>
          <w:trHeight w:val="692"/>
        </w:trPr>
        <w:tc>
          <w:tcPr>
            <w:tcW w:w="1355" w:type="dxa"/>
            <w:vAlign w:val="center"/>
            <w:textDirection w:val="lrTb"/>
            <w:noWrap w:val="false"/>
          </w:tcPr>
          <w:p>
            <w:pPr>
              <w:pStyle w:val="1185"/>
              <w:ind w:firstLine="422"/>
              <w:jc w:val="center"/>
              <w:rPr>
                <w:rFonts w:hAnsi="宋体" w:eastAsia="宋体" w:cs="宋体"/>
                <w:sz w:val="24"/>
                <w:szCs w:val="24"/>
              </w:rPr>
            </w:pPr>
            <w:r>
              <w:rPr>
                <w:rFonts w:hAnsi="宋体" w:eastAsia="宋体" w:cs="宋体"/>
                <w:sz w:val="24"/>
                <w:szCs w:val="24"/>
              </w:rPr>
            </w:r>
            <w:r/>
          </w:p>
        </w:tc>
        <w:tc>
          <w:tcPr>
            <w:tcW w:w="2490" w:type="dxa"/>
            <w:vAlign w:val="center"/>
            <w:textDirection w:val="lrTb"/>
            <w:noWrap w:val="false"/>
          </w:tcPr>
          <w:p>
            <w:pPr>
              <w:pStyle w:val="1185"/>
              <w:jc w:val="center"/>
              <w:rPr>
                <w:rFonts w:hAnsi="宋体" w:eastAsia="宋体" w:cs="宋体"/>
                <w:sz w:val="24"/>
                <w:szCs w:val="24"/>
              </w:rPr>
            </w:pPr>
            <w:r>
              <w:rPr>
                <w:rFonts w:hAnsi="宋体" w:eastAsia="宋体" w:cs="宋体"/>
                <w:sz w:val="24"/>
                <w:szCs w:val="24"/>
              </w:rPr>
            </w:r>
            <w:r/>
          </w:p>
        </w:tc>
        <w:tc>
          <w:tcPr>
            <w:tcW w:w="2929" w:type="dxa"/>
            <w:vAlign w:val="center"/>
            <w:textDirection w:val="lrTb"/>
            <w:noWrap w:val="false"/>
          </w:tcPr>
          <w:p>
            <w:pPr>
              <w:pStyle w:val="1185"/>
              <w:jc w:val="center"/>
              <w:rPr>
                <w:rFonts w:hAnsi="宋体" w:eastAsia="宋体" w:cs="宋体"/>
                <w:sz w:val="24"/>
                <w:szCs w:val="24"/>
              </w:rPr>
            </w:pPr>
            <w:r>
              <w:rPr>
                <w:rFonts w:hAnsi="宋体" w:eastAsia="宋体" w:cs="宋体"/>
                <w:sz w:val="24"/>
                <w:szCs w:val="24"/>
              </w:rPr>
            </w:r>
            <w:r/>
          </w:p>
        </w:tc>
        <w:tc>
          <w:tcPr>
            <w:tcW w:w="1855" w:type="dxa"/>
            <w:vAlign w:val="center"/>
            <w:textDirection w:val="lrTb"/>
            <w:noWrap w:val="false"/>
          </w:tcPr>
          <w:p>
            <w:pPr>
              <w:pStyle w:val="1185"/>
              <w:jc w:val="center"/>
              <w:rPr>
                <w:rFonts w:hAnsi="宋体" w:eastAsia="宋体" w:cs="宋体"/>
                <w:sz w:val="24"/>
                <w:szCs w:val="24"/>
              </w:rPr>
            </w:pPr>
            <w:r>
              <w:rPr>
                <w:rFonts w:hAnsi="宋体" w:eastAsia="宋体" w:cs="宋体"/>
                <w:sz w:val="24"/>
                <w:szCs w:val="24"/>
              </w:rPr>
            </w:r>
            <w:r/>
          </w:p>
        </w:tc>
      </w:tr>
      <w:tr>
        <w:trPr>
          <w:jc w:val="center"/>
          <w:trHeight w:val="692"/>
        </w:trPr>
        <w:tc>
          <w:tcPr>
            <w:gridSpan w:val="4"/>
            <w:tcW w:w="8629" w:type="dxa"/>
            <w:vAlign w:val="center"/>
            <w:textDirection w:val="lrTb"/>
            <w:noWrap w:val="false"/>
          </w:tcPr>
          <w:p>
            <w:pPr>
              <w:pStyle w:val="1185"/>
              <w:ind w:firstLine="422"/>
              <w:jc w:val="center"/>
              <w:rPr>
                <w:rFonts w:hAnsi="宋体" w:eastAsia="宋体" w:cs="宋体"/>
                <w:sz w:val="24"/>
                <w:szCs w:val="24"/>
              </w:rPr>
            </w:pPr>
            <w:r>
              <w:rPr>
                <w:rFonts w:hint="eastAsia" w:hAnsi="宋体" w:eastAsia="宋体" w:cs="宋体"/>
                <w:sz w:val="24"/>
                <w:szCs w:val="24"/>
                <w:lang w:val="zh-CN"/>
              </w:rPr>
              <w:t xml:space="preserve">投标总报价（人民币大写）：                    ￥：</w:t>
            </w:r>
            <w:r/>
          </w:p>
        </w:tc>
      </w:tr>
    </w:tbl>
    <w:p>
      <w:pPr>
        <w:pStyle w:val="1078"/>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1080"/>
        <w:rPr>
          <w:rFonts w:hint="eastAsia" w:asciiTheme="minorEastAsia" w:hAnsiTheme="minorEastAsia" w:eastAsiaTheme="minorEastAsia"/>
          <w:b/>
          <w:sz w:val="21"/>
        </w:rPr>
      </w:pPr>
      <w:r>
        <w:rPr>
          <w:rFonts w:asciiTheme="minorEastAsia" w:hAnsiTheme="minorEastAsia" w:eastAsiaTheme="minorEastAsia"/>
          <w:szCs w:val="24"/>
        </w:rPr>
        <w:br w:type="page" w:clear="all"/>
      </w:r>
      <w:r/>
    </w:p>
    <w:p>
      <w:pPr>
        <w:pStyle w:val="1080"/>
        <w:spacing w:line="360" w:lineRule="auto"/>
        <w:rPr>
          <w:rFonts w:hint="eastAsia" w:hAnsi="宋体" w:eastAsia="宋体"/>
          <w:b/>
          <w:sz w:val="24"/>
          <w:szCs w:val="24"/>
        </w:rPr>
        <w:outlineLvl w:val="1"/>
      </w:pPr>
      <w:r>
        <w:rPr>
          <w:rFonts w:hint="eastAsia" w:hAnsi="宋体" w:eastAsia="宋体"/>
          <w:b/>
          <w:sz w:val="24"/>
          <w:szCs w:val="24"/>
        </w:rPr>
        <w:t xml:space="preserve">4、投标报价分析表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投标报价分析表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招标编号：号                             项目名称：</w:t>
      </w:r>
      <w:r/>
    </w:p>
    <w:tbl>
      <w:tblPr>
        <w:tblStyle w:val="985"/>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316"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标的物名称</w:t>
            </w:r>
            <w:r/>
          </w:p>
        </w:tc>
        <w:tc>
          <w:tcPr>
            <w:tcW w:w="12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zh-CN"/>
              </w:rPr>
              <w:t xml:space="preserve">品牌、</w:t>
            </w:r>
            <w:r>
              <w:rPr>
                <w:rFonts w:hint="eastAsia" w:ascii="宋体" w:hAnsi="宋体" w:eastAsia="宋体" w:cs="宋体"/>
                <w:sz w:val="24"/>
                <w:szCs w:val="24"/>
              </w:rPr>
              <w:t xml:space="preserve">规格、型号</w:t>
            </w:r>
            <w:r/>
          </w:p>
        </w:tc>
        <w:tc>
          <w:tcPr>
            <w:tcW w:w="13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74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w:t>
            </w:r>
            <w:r/>
          </w:p>
        </w:tc>
        <w:tc>
          <w:tcPr>
            <w:tcW w:w="77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数量</w:t>
            </w:r>
            <w:r/>
          </w:p>
        </w:tc>
        <w:tc>
          <w:tcPr>
            <w:tcW w:w="88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单价</w:t>
            </w:r>
            <w:r/>
          </w:p>
        </w:tc>
        <w:tc>
          <w:tcPr>
            <w:tcW w:w="1013"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总价</w:t>
            </w:r>
            <w:r/>
          </w:p>
        </w:tc>
        <w:tc>
          <w:tcPr>
            <w:tcW w:w="14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16"/>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gridSpan w:val="2"/>
            <w:tcW w:w="1954"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投标总报价</w:t>
            </w:r>
            <w:r/>
          </w:p>
        </w:tc>
        <w:tc>
          <w:tcPr>
            <w:gridSpan w:val="7"/>
            <w:tcW w:w="7508"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zh-CN"/>
              </w:rPr>
              <w:t xml:space="preserve">大写：元</w:t>
            </w:r>
            <w:r/>
          </w:p>
        </w:tc>
      </w:tr>
      <w:tr>
        <w:trPr>
          <w:jc w:val="center"/>
          <w:trHeight w:val="20"/>
        </w:trPr>
        <w:tc>
          <w:tcPr>
            <w:gridSpan w:val="9"/>
            <w:tcW w:w="9462"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注：本采购包中提供的符合本国产品标准的产品成本之和占该采购包提供的全部产品成本之和的比例为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w:t>
            </w:r>
            <w:r/>
          </w:p>
        </w:tc>
      </w:tr>
    </w:tbl>
    <w:p>
      <w:pPr>
        <w:pStyle w:val="1183"/>
        <w:ind w:firstLine="402"/>
        <w:tabs>
          <w:tab w:val="center" w:pos="4201" w:leader="none"/>
          <w:tab w:val="right" w:pos="9298" w:leader="dot"/>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val="zh-CN"/>
        </w:rPr>
        <w:t xml:space="preserve">1、请投标单位按照上述格式分析投标总报价，本项投标总报价需与开标一览表投标总报价一致。</w:t>
      </w:r>
      <w:r/>
    </w:p>
    <w:p>
      <w:pPr>
        <w:numPr>
          <w:ilvl w:val="0"/>
          <w:numId w:val="4"/>
        </w:num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投标总报价应包括产品供货、辅助材料、备品备件、运输、仓储、发货、送货、安装、调试、人工、机械、装卸、培训、保险、运费、检测验收、各种税费、利润、劳保、专利技术、质保及政策性文件规定及合同包含的所有风险、责任等完成本次项目所需的一切费用。</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szCs w:val="24"/>
        </w:rPr>
      </w:pPr>
      <w:r>
        <w:rPr>
          <w:rFonts w:hint="eastAsia" w:ascii="宋体" w:hAnsi="宋体" w:eastAsia="宋体"/>
          <w:szCs w:val="24"/>
        </w:rPr>
      </w:r>
      <w:r/>
    </w:p>
    <w:p>
      <w:pPr>
        <w:pStyle w:val="1078"/>
        <w:ind w:firstLine="480"/>
        <w:spacing w:line="360" w:lineRule="auto"/>
        <w:rPr>
          <w:rFonts w:hint="eastAsia" w:hAnsi="宋体" w:eastAsia="宋体"/>
          <w:sz w:val="24"/>
        </w:rPr>
      </w:pPr>
      <w:r>
        <w:rPr>
          <w:rFonts w:hint="eastAsia" w:hAnsi="宋体" w:eastAsia="宋体"/>
          <w:sz w:val="24"/>
        </w:rPr>
        <w:t xml:space="preserve">投标人：（盖章）</w:t>
      </w:r>
      <w:r/>
    </w:p>
    <w:p>
      <w:pPr>
        <w:pStyle w:val="1078"/>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1078"/>
        <w:ind w:firstLine="480"/>
        <w:spacing w:line="360" w:lineRule="auto"/>
        <w:rPr>
          <w:rFonts w:hint="eastAsia" w:hAnsi="宋体" w:eastAsia="宋体"/>
          <w:b/>
          <w:sz w:val="24"/>
        </w:rPr>
      </w:pPr>
      <w:r>
        <w:rPr>
          <w:rFonts w:hint="eastAsia" w:hAnsi="宋体" w:eastAsia="宋体"/>
          <w:sz w:val="24"/>
        </w:rPr>
        <w:t xml:space="preserve">日期：        年   月   日</w:t>
      </w:r>
      <w:r/>
    </w:p>
    <w:p>
      <w:pPr>
        <w:pageBreakBefore/>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w:t>
      </w:r>
      <w:bookmarkStart w:id="42" w:name="_Toc532444506"/>
      <w:r/>
      <w:bookmarkStart w:id="43" w:name="_Toc518926909"/>
      <w:r/>
      <w:bookmarkStart w:id="44" w:name="_Toc532444344"/>
      <w:r/>
      <w:bookmarkStart w:id="45" w:name="_Toc7888"/>
      <w:r/>
      <w:bookmarkStart w:id="46" w:name="_Toc532452113"/>
      <w:r/>
      <w:bookmarkStart w:id="47" w:name="_Toc2583142"/>
      <w:r>
        <w:rPr>
          <w:rFonts w:hint="eastAsia" w:ascii="宋体" w:hAnsi="宋体" w:eastAsia="宋体" w:cs="宋体"/>
          <w:b/>
          <w:bCs/>
          <w:sz w:val="24"/>
          <w:szCs w:val="24"/>
        </w:rPr>
        <w:t xml:space="preserve">技术响应对照表</w:t>
      </w:r>
      <w:r/>
    </w:p>
    <w:p>
      <w:pPr>
        <w:ind w:firstLine="420"/>
        <w:jc w:val="cente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r>
      <w:r/>
    </w:p>
    <w:p>
      <w:pPr>
        <w:jc w:val="center"/>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rPr>
        <w:t xml:space="preserve">技术响应对照表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项目名称：</w:t>
      </w:r>
      <w:r/>
    </w:p>
    <w:tbl>
      <w:tblPr>
        <w:tblStyle w:val="98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780"/>
        <w:gridCol w:w="1602"/>
        <w:gridCol w:w="1424"/>
        <w:gridCol w:w="1681"/>
        <w:gridCol w:w="1737"/>
      </w:tblGrid>
      <w:tr>
        <w:trPr>
          <w:jc w:val="center"/>
        </w:trPr>
        <w:tc>
          <w:tcPr>
            <w:tcW w:w="841" w:type="dxa"/>
            <w:vAlign w:val="center"/>
            <w:textDirection w:val="lrTb"/>
            <w:noWrap w:val="false"/>
          </w:tcPr>
          <w:p>
            <w:pPr>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16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招标要求</w:t>
            </w:r>
            <w:r/>
          </w:p>
        </w:tc>
        <w:tc>
          <w:tcPr>
            <w:tcW w:w="1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投标要求</w:t>
            </w:r>
            <w:r/>
          </w:p>
        </w:tc>
        <w:tc>
          <w:tcPr>
            <w:tcW w:w="17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注：1.投标人应对照招标文件技术要求等要求，所投标的物与招标文件的规定有偏离的，应在此表中申明与技术要求条文的偏差和例外。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bookmarkEnd w:id="42"/>
      <w:r/>
      <w:bookmarkEnd w:id="43"/>
      <w:r/>
      <w:bookmarkEnd w:id="44"/>
      <w:r/>
      <w:bookmarkEnd w:id="45"/>
      <w:r/>
      <w:bookmarkEnd w:id="46"/>
      <w:r/>
      <w:bookmarkEnd w:id="47"/>
      <w:r/>
      <w:r/>
    </w:p>
    <w:p>
      <w:pPr>
        <w:pStyle w:val="1078"/>
        <w:ind w:firstLine="480"/>
        <w:spacing w:line="360" w:lineRule="auto"/>
        <w:rPr>
          <w:rFonts w:hint="eastAsia" w:hAnsi="宋体" w:eastAsia="宋体"/>
          <w:sz w:val="24"/>
        </w:rPr>
      </w:pPr>
      <w:r>
        <w:rPr>
          <w:rFonts w:hint="eastAsia" w:hAnsi="宋体" w:eastAsia="宋体"/>
          <w:sz w:val="24"/>
        </w:rPr>
        <w:t xml:space="preserve">投标人：（盖章）</w:t>
      </w:r>
      <w:r/>
    </w:p>
    <w:p>
      <w:pPr>
        <w:pStyle w:val="1078"/>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1078"/>
        <w:ind w:firstLine="480"/>
        <w:spacing w:line="360" w:lineRule="auto"/>
        <w:rPr>
          <w:rFonts w:hint="eastAsia" w:hAnsi="宋体" w:eastAsia="宋体"/>
          <w:b/>
          <w:sz w:val="24"/>
        </w:rPr>
      </w:pPr>
      <w:r>
        <w:rPr>
          <w:rFonts w:hint="eastAsia" w:hAnsi="宋体" w:eastAsia="宋体"/>
          <w:sz w:val="24"/>
        </w:rPr>
        <w:t xml:space="preserve">日期：        年   月   日</w:t>
      </w:r>
      <w:r/>
    </w:p>
    <w:p>
      <w:pPr>
        <w:pStyle w:val="1078"/>
        <w:rPr>
          <w:rFonts w:hint="eastAsia" w:hAnsi="宋体" w:eastAsia="宋体"/>
          <w:sz w:val="24"/>
        </w:rPr>
      </w:pPr>
      <w:r>
        <w:rPr>
          <w:rFonts w:hint="eastAsia" w:hAnsi="宋体" w:eastAsia="宋体"/>
          <w:sz w:val="24"/>
        </w:rPr>
      </w:r>
      <w:r/>
    </w:p>
    <w:p>
      <w:pPr>
        <w:pStyle w:val="991"/>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991"/>
        <w:ind w:firstLine="0"/>
        <w:jc w:val="center"/>
        <w:spacing w:line="360" w:lineRule="auto"/>
        <w:rPr>
          <w:rFonts w:hint="eastAsia" w:ascii="宋体" w:hAnsi="宋体" w:eastAsia="宋体"/>
        </w:rPr>
      </w:pPr>
      <w:r>
        <w:rPr>
          <w:rFonts w:hint="eastAsia" w:ascii="宋体" w:hAnsi="宋体" w:eastAsia="宋体"/>
        </w:rPr>
      </w:r>
      <w:r/>
    </w:p>
    <w:p>
      <w:pPr>
        <w:pStyle w:val="991"/>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985"/>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1078"/>
        <w:rPr>
          <w:rFonts w:hint="eastAsia" w:hAnsi="宋体" w:eastAsia="宋体"/>
          <w:sz w:val="24"/>
        </w:rPr>
      </w:pPr>
      <w:r>
        <w:rPr>
          <w:rFonts w:hint="eastAsia" w:hAnsi="宋体" w:eastAsia="宋体"/>
          <w:sz w:val="24"/>
        </w:rPr>
        <w:t xml:space="preserve">投标人：（单位盖章）</w:t>
      </w:r>
      <w:r/>
    </w:p>
    <w:p>
      <w:pPr>
        <w:pStyle w:val="1078"/>
        <w:rPr>
          <w:rFonts w:hint="eastAsia" w:hAnsi="宋体" w:eastAsia="宋体"/>
          <w:sz w:val="24"/>
        </w:rPr>
      </w:pPr>
      <w:r>
        <w:rPr>
          <w:rFonts w:hint="eastAsia" w:hAnsi="宋体" w:eastAsia="宋体"/>
          <w:sz w:val="24"/>
        </w:rPr>
        <w:t xml:space="preserve">法定代表人或代理人：（签字或盖章）</w:t>
      </w:r>
      <w:r/>
    </w:p>
    <w:p>
      <w:pPr>
        <w:pStyle w:val="1078"/>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pageBreakBefore/>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售后服务承诺书</w:t>
      </w:r>
      <w:r/>
    </w:p>
    <w:p>
      <w:pPr>
        <w:pStyle w:val="996"/>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996"/>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售后服务承诺书</w:t>
      </w:r>
      <w:r/>
    </w:p>
    <w:p>
      <w:pPr>
        <w:pStyle w:val="996"/>
        <w:jc w:val="center"/>
        <w:rPr>
          <w:rFonts w:hint="eastAsia" w:ascii="宋体" w:hAnsi="宋体" w:eastAsia="宋体" w:cs="宋体"/>
          <w:b/>
          <w:bCs/>
          <w:sz w:val="24"/>
          <w:szCs w:val="24"/>
        </w:rPr>
      </w:pPr>
      <w:r>
        <w:rPr>
          <w:rFonts w:hint="eastAsia" w:ascii="宋体" w:hAnsi="宋体" w:eastAsia="宋体" w:cs="宋体"/>
          <w:b/>
          <w:bCs/>
          <w:sz w:val="24"/>
          <w:szCs w:val="24"/>
        </w:rPr>
      </w:r>
      <w:r/>
    </w:p>
    <w:p>
      <w:pPr>
        <w:ind w:firstLine="630"/>
        <w:rPr>
          <w:rFonts w:hint="eastAsia" w:ascii="宋体" w:hAnsi="宋体" w:eastAsia="宋体" w:cs="宋体"/>
          <w:sz w:val="24"/>
          <w:szCs w:val="24"/>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rPr>
        <w:t xml:space="preserve">                    项目名称</w:t>
      </w:r>
      <w:r/>
    </w:p>
    <w:tbl>
      <w:tblPr>
        <w:tblStyle w:val="985"/>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279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售后服务内容</w:t>
            </w:r>
            <w:r/>
          </w:p>
        </w:tc>
        <w:tc>
          <w:tcPr>
            <w:tcW w:w="2452"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期限（时间）</w:t>
            </w:r>
            <w:r/>
          </w:p>
        </w:tc>
        <w:tc>
          <w:tcPr>
            <w:tcW w:w="2375"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备注</w:t>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质保期</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服务响应</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到达现场</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4"/>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解决问题</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投标人：（单位盖章）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法定代表人或代理人：（签字或盖章）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日期：        年   月   日</w:t>
      </w:r>
      <w:r/>
    </w:p>
    <w:p>
      <w:pPr>
        <w:spacing w:line="360" w:lineRule="auto"/>
        <w:rPr>
          <w:rFonts w:hint="eastAsia" w:ascii="宋体" w:hAnsi="宋体" w:eastAsia="宋体"/>
          <w:b/>
          <w:sz w:val="24"/>
          <w:szCs w:val="24"/>
        </w:rPr>
        <w:outlineLvl w:val="1"/>
      </w:pPr>
      <w:r>
        <w:rPr>
          <w:rFonts w:ascii="宋体" w:hAnsi="宋体" w:eastAsia="宋体"/>
          <w:b/>
          <w:sz w:val="24"/>
          <w:szCs w:val="24"/>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985"/>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1080"/>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1080"/>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991"/>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9</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985"/>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169"/>
        <w:rPr>
          <w:rFonts w:hint="eastAsia" w:ascii="宋体" w:hAnsi="宋体"/>
        </w:rPr>
      </w:pPr>
      <w:r/>
      <w:bookmarkStart w:id="48" w:name="_Hlk107408152"/>
      <w:r>
        <w:rPr>
          <w:rFonts w:hint="eastAsia" w:ascii="宋体" w:hAnsi="宋体"/>
        </w:rPr>
        <w:t xml:space="preserve">投标人：</w:t>
      </w:r>
      <w:bookmarkEnd w:id="48"/>
      <w:r>
        <w:rPr>
          <w:rFonts w:hint="eastAsia" w:ascii="宋体" w:hAnsi="宋体"/>
        </w:rPr>
        <w:t xml:space="preserve">（盖章）</w:t>
      </w:r>
      <w:r/>
    </w:p>
    <w:p>
      <w:pPr>
        <w:pStyle w:val="1169"/>
        <w:rPr>
          <w:rFonts w:hint="eastAsia" w:ascii="宋体" w:hAnsi="宋体"/>
        </w:rPr>
      </w:pPr>
      <w:r>
        <w:rPr>
          <w:rFonts w:hint="eastAsia" w:ascii="宋体" w:hAnsi="宋体"/>
        </w:rPr>
        <w:t xml:space="preserve">法定代表人或代理人：（签字或盖章）</w:t>
      </w:r>
      <w:r/>
    </w:p>
    <w:p>
      <w:pPr>
        <w:pStyle w:val="1003"/>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991"/>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10</w:t>
      </w:r>
      <w:r>
        <w:rPr>
          <w:rFonts w:hint="eastAsia" w:ascii="宋体" w:hAnsi="宋体" w:eastAsia="宋体"/>
          <w:b/>
        </w:rPr>
        <w:t xml:space="preserve">、资格证明文件</w:t>
      </w:r>
      <w:r/>
    </w:p>
    <w:p>
      <w:pPr>
        <w:pStyle w:val="991"/>
        <w:ind w:firstLine="0"/>
        <w:jc w:val="both"/>
        <w:spacing w:line="360" w:lineRule="auto"/>
        <w:rPr>
          <w:rFonts w:hint="eastAsia" w:ascii="宋体" w:hAnsi="宋体" w:eastAsia="宋体"/>
          <w:b/>
        </w:rPr>
      </w:pPr>
      <w:r>
        <w:rPr>
          <w:rFonts w:hint="eastAsia" w:ascii="宋体" w:hAnsi="宋体" w:eastAsia="宋体"/>
          <w:b/>
        </w:rPr>
      </w:r>
      <w:r/>
    </w:p>
    <w:p>
      <w:pPr>
        <w:pStyle w:val="991"/>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991"/>
        <w:ind w:firstLine="0"/>
        <w:jc w:val="center"/>
        <w:spacing w:line="360" w:lineRule="auto"/>
        <w:rPr>
          <w:rFonts w:hint="eastAsia" w:ascii="宋体" w:hAnsi="宋体" w:eastAsia="宋体"/>
          <w:b/>
        </w:rPr>
      </w:pPr>
      <w:r>
        <w:rPr>
          <w:rFonts w:hint="eastAsia" w:ascii="宋体" w:hAnsi="宋体" w:eastAsia="宋体"/>
          <w:b/>
        </w:rPr>
      </w:r>
      <w:r/>
    </w:p>
    <w:p>
      <w:pPr>
        <w:pStyle w:val="991"/>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991"/>
        <w:ind w:firstLine="0"/>
        <w:jc w:val="center"/>
        <w:spacing w:line="360" w:lineRule="auto"/>
        <w:rPr>
          <w:rFonts w:hint="eastAsia" w:ascii="宋体" w:hAnsi="宋体" w:eastAsia="宋体"/>
        </w:rPr>
      </w:pPr>
      <w:r>
        <w:rPr>
          <w:rFonts w:hint="eastAsia" w:ascii="宋体" w:hAnsi="宋体" w:eastAsia="宋体"/>
        </w:rPr>
      </w:r>
      <w:r/>
    </w:p>
    <w:p>
      <w:pPr>
        <w:pStyle w:val="991"/>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991"/>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JSZC-320500-SZHX-G2026-0036</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991"/>
        <w:ind w:firstLine="480"/>
        <w:jc w:val="both"/>
        <w:spacing w:line="360" w:lineRule="auto"/>
        <w:rPr>
          <w:rFonts w:hint="eastAsia" w:ascii="宋体" w:hAnsi="宋体" w:eastAsia="宋体"/>
        </w:rPr>
      </w:pPr>
      <w:r>
        <w:rPr>
          <w:rFonts w:hint="eastAsia" w:ascii="宋体" w:hAnsi="宋体" w:eastAsia="宋体"/>
        </w:rPr>
      </w:r>
      <w:r/>
    </w:p>
    <w:p>
      <w:pPr>
        <w:pStyle w:val="991"/>
        <w:ind w:firstLine="480"/>
        <w:jc w:val="both"/>
        <w:spacing w:line="360" w:lineRule="auto"/>
        <w:rPr>
          <w:rFonts w:hint="eastAsia" w:ascii="宋体" w:hAnsi="宋体" w:eastAsia="宋体"/>
        </w:rPr>
      </w:pPr>
      <w:r>
        <w:rPr>
          <w:rFonts w:hint="eastAsia" w:ascii="宋体" w:hAnsi="宋体" w:eastAsia="宋体"/>
        </w:rPr>
      </w:r>
      <w:r/>
    </w:p>
    <w:p>
      <w:pPr>
        <w:pStyle w:val="1078"/>
        <w:rPr>
          <w:rFonts w:hint="eastAsia" w:hAnsi="宋体" w:eastAsia="宋体"/>
          <w:sz w:val="24"/>
        </w:rPr>
      </w:pPr>
      <w:r>
        <w:rPr>
          <w:rFonts w:hint="eastAsia" w:hAnsi="宋体" w:eastAsia="宋体"/>
          <w:sz w:val="24"/>
        </w:rPr>
        <w:t xml:space="preserve">投标方：（单位盖章）</w:t>
      </w:r>
      <w:r/>
    </w:p>
    <w:p>
      <w:pPr>
        <w:pStyle w:val="1078"/>
        <w:rPr>
          <w:rFonts w:hint="eastAsia" w:hAnsi="宋体" w:eastAsia="宋体"/>
          <w:sz w:val="24"/>
        </w:rPr>
      </w:pPr>
      <w:r>
        <w:rPr>
          <w:rFonts w:hint="eastAsia" w:hAnsi="宋体" w:eastAsia="宋体"/>
          <w:sz w:val="24"/>
        </w:rPr>
        <w:t xml:space="preserve">法定代表人或代理人：（签字或盖章）</w:t>
      </w:r>
      <w:r/>
    </w:p>
    <w:p>
      <w:pPr>
        <w:pStyle w:val="1078"/>
        <w:rPr>
          <w:rFonts w:hint="eastAsia" w:hAnsi="宋体" w:eastAsia="宋体"/>
          <w:sz w:val="24"/>
        </w:rPr>
      </w:pPr>
      <w:r>
        <w:rPr>
          <w:rFonts w:hint="eastAsia" w:hAnsi="宋体" w:eastAsia="宋体"/>
          <w:sz w:val="24"/>
        </w:rPr>
        <w:t xml:space="preserve">日期：        年   月   日</w:t>
      </w:r>
      <w:r/>
    </w:p>
    <w:p>
      <w:pPr>
        <w:pStyle w:val="991"/>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991"/>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991"/>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991"/>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991"/>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985"/>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991"/>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991"/>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991"/>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991"/>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991"/>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991"/>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991"/>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991"/>
              <w:ind w:firstLine="96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991"/>
              <w:ind w:firstLine="48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991"/>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991"/>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991"/>
        <w:ind w:firstLine="0"/>
        <w:jc w:val="both"/>
        <w:rPr>
          <w:rFonts w:hint="eastAsia" w:ascii="宋体" w:hAnsi="宋体" w:eastAsia="宋体"/>
        </w:rPr>
      </w:pPr>
      <w:r>
        <w:rPr>
          <w:rFonts w:hint="eastAsia" w:ascii="宋体" w:hAnsi="宋体" w:eastAsia="宋体"/>
        </w:rPr>
      </w:r>
      <w:r/>
    </w:p>
    <w:p>
      <w:pPr>
        <w:pStyle w:val="991"/>
        <w:ind w:firstLine="0"/>
        <w:jc w:val="both"/>
        <w:rPr>
          <w:rFonts w:hint="eastAsia" w:ascii="宋体" w:hAnsi="宋体" w:eastAsia="宋体"/>
        </w:rPr>
      </w:pPr>
      <w:r>
        <w:rPr>
          <w:rFonts w:hint="eastAsia" w:ascii="宋体" w:hAnsi="宋体" w:eastAsia="宋体"/>
        </w:rPr>
      </w:r>
      <w:r/>
    </w:p>
    <w:p>
      <w:pPr>
        <w:pStyle w:val="991"/>
        <w:ind w:firstLine="0"/>
        <w:jc w:val="both"/>
        <w:rPr>
          <w:rFonts w:hint="eastAsia" w:ascii="宋体" w:hAnsi="宋体" w:eastAsia="宋体"/>
        </w:rPr>
      </w:pPr>
      <w:r>
        <w:rPr>
          <w:rFonts w:hint="eastAsia" w:ascii="宋体" w:hAnsi="宋体" w:eastAsia="宋体"/>
        </w:rPr>
      </w:r>
      <w:r/>
    </w:p>
    <w:p>
      <w:pPr>
        <w:pStyle w:val="980"/>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ind w:firstLine="480"/>
        <w:jc w:val="center"/>
        <w:pageBreakBefore w:val="0"/>
        <w:spacing w:line="360" w:lineRule="auto"/>
        <w:widowControl w:val="off"/>
        <w:rPr>
          <w:rFonts w:hint="eastAsia" w:ascii="宋体" w:hAnsi="宋体" w:eastAsia="宋体" w:cs="宋体"/>
          <w:sz w:val="24"/>
          <w:szCs w:val="24"/>
        </w:rPr>
      </w:pPr>
      <w:r/>
      <w:bookmarkStart w:id="49" w:name="_Toc1077"/>
      <w:r/>
      <w:bookmarkStart w:id="50" w:name="_Toc4028"/>
      <w:r/>
      <w:r/>
    </w:p>
    <w:p>
      <w:pPr>
        <w:ind w:firstLine="48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中小企业声明函（货物）</w:t>
      </w:r>
      <w:bookmarkEnd w:id="49"/>
      <w:r/>
      <w:bookmarkEnd w:id="50"/>
      <w:r/>
      <w:r/>
    </w:p>
    <w:p>
      <w:pPr>
        <w:pStyle w:val="996"/>
        <w:ind w:firstLine="472"/>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本公司</w:t>
      </w:r>
      <w:r>
        <w:rPr>
          <w:rFonts w:hint="eastAsia" w:ascii="宋体" w:hAnsi="宋体" w:eastAsia="宋体" w:cs="宋体"/>
          <w:sz w:val="24"/>
          <w:szCs w:val="24"/>
        </w:rPr>
        <w:t xml:space="preserve">（联合体</w:t>
      </w:r>
      <w:r>
        <w:rPr>
          <w:rFonts w:hint="eastAsia" w:ascii="宋体" w:hAnsi="宋体" w:eastAsia="宋体" w:cs="宋体"/>
          <w:spacing w:val="-5"/>
          <w:sz w:val="24"/>
          <w:szCs w:val="24"/>
        </w:rPr>
        <w:t xml:space="preserve">）</w:t>
      </w:r>
      <w:r>
        <w:rPr>
          <w:rFonts w:hint="eastAsia" w:ascii="宋体" w:hAnsi="宋体" w:eastAsia="宋体" w:cs="宋体"/>
          <w:spacing w:val="-2"/>
          <w:sz w:val="24"/>
          <w:szCs w:val="24"/>
        </w:rPr>
        <w:t xml:space="preserve">郑重声明，根据《政府采购促进中小</w:t>
      </w:r>
      <w:r>
        <w:rPr>
          <w:rFonts w:hint="eastAsia" w:ascii="宋体" w:hAnsi="宋体" w:eastAsia="宋体" w:cs="宋体"/>
          <w:spacing w:val="-18"/>
          <w:sz w:val="24"/>
          <w:szCs w:val="24"/>
        </w:rPr>
        <w:t xml:space="preserve">企业发展管理办法》</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财库</w:t>
      </w:r>
      <w:r>
        <w:rPr>
          <w:rFonts w:hint="eastAsia" w:ascii="宋体" w:hAnsi="宋体" w:eastAsia="宋体" w:cs="宋体"/>
          <w:sz w:val="24"/>
          <w:szCs w:val="24"/>
        </w:rPr>
        <w:t xml:space="preserve">﹝2020﹞46</w:t>
      </w:r>
      <w:r>
        <w:rPr>
          <w:rFonts w:hint="eastAsia" w:ascii="宋体" w:hAnsi="宋体" w:eastAsia="宋体" w:cs="宋体"/>
          <w:spacing w:val="-38"/>
          <w:sz w:val="24"/>
          <w:szCs w:val="24"/>
        </w:rPr>
        <w:t xml:space="preserve"> 号</w:t>
      </w:r>
      <w:r>
        <w:rPr>
          <w:rFonts w:hint="eastAsia" w:ascii="宋体" w:hAnsi="宋体" w:eastAsia="宋体" w:cs="宋体"/>
          <w:spacing w:val="5"/>
          <w:sz w:val="24"/>
          <w:szCs w:val="24"/>
        </w:rPr>
        <w:t xml:space="preserve">）</w:t>
      </w:r>
      <w:r>
        <w:rPr>
          <w:rFonts w:hint="eastAsia" w:ascii="宋体" w:hAnsi="宋体" w:eastAsia="宋体" w:cs="宋体"/>
          <w:sz w:val="24"/>
          <w:szCs w:val="24"/>
        </w:rPr>
        <w:t xml:space="preserve">的规定，本公司（联合体）</w:t>
      </w:r>
      <w:r>
        <w:rPr>
          <w:rFonts w:hint="eastAsia" w:ascii="宋体" w:hAnsi="宋体" w:eastAsia="宋体" w:cs="宋体"/>
          <w:spacing w:val="-8"/>
          <w:sz w:val="24"/>
          <w:szCs w:val="24"/>
        </w:rPr>
        <w:t xml:space="preserve">参</w:t>
      </w:r>
      <w:r>
        <w:rPr>
          <w:rFonts w:hint="eastAsia" w:ascii="宋体" w:hAnsi="宋体" w:eastAsia="宋体" w:cs="宋体"/>
          <w:spacing w:val="-2"/>
          <w:sz w:val="24"/>
          <w:szCs w:val="24"/>
        </w:rPr>
        <w:t xml:space="preserve">加</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单位名称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项目名称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采购活</w:t>
      </w:r>
      <w:r>
        <w:rPr>
          <w:rFonts w:hint="eastAsia" w:ascii="宋体" w:hAnsi="宋体" w:eastAsia="宋体" w:cs="宋体"/>
          <w:spacing w:val="-1"/>
          <w:sz w:val="24"/>
          <w:szCs w:val="24"/>
        </w:rPr>
        <w:t xml:space="preserve">动，</w:t>
      </w:r>
      <w:r>
        <w:rPr>
          <w:rFonts w:hint="eastAsia" w:ascii="宋体" w:hAnsi="宋体" w:eastAsia="宋体" w:cs="宋体"/>
          <w:spacing w:val="-2"/>
          <w:sz w:val="24"/>
          <w:szCs w:val="24"/>
        </w:rPr>
        <w:t xml:space="preserve">提供的货物全部由符合政策要求的中小企业制造。相关企业（含联合体中的中小企业、签订分包</w:t>
      </w:r>
      <w:r>
        <w:rPr>
          <w:rFonts w:hint="eastAsia" w:ascii="宋体" w:hAnsi="宋体" w:eastAsia="宋体" w:cs="宋体"/>
          <w:sz w:val="24"/>
          <w:szCs w:val="24"/>
        </w:rPr>
        <w:t xml:space="preserve">意向协议的中小企业） 的具体情况如下：</w:t>
      </w:r>
      <w:r/>
    </w:p>
    <w:p>
      <w:pPr>
        <w:pStyle w:val="1085"/>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1085"/>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996"/>
        <w:ind w:firstLine="472"/>
        <w:pageBreakBefore w:val="0"/>
        <w:spacing w:after="0"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p>
    <w:p>
      <w:pPr>
        <w:pStyle w:val="996"/>
        <w:ind w:firstLine="468"/>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以上企业，不属于大企业的分支机构，不存在控股股东</w:t>
      </w:r>
      <w:r>
        <w:rPr>
          <w:rFonts w:hint="eastAsia" w:ascii="宋体" w:hAnsi="宋体" w:eastAsia="宋体" w:cs="宋体"/>
          <w:spacing w:val="-5"/>
          <w:sz w:val="24"/>
          <w:szCs w:val="24"/>
        </w:rPr>
        <w:t xml:space="preserve">为大企业的情形，也不存在与大企业的负责人为同一人的情形。</w:t>
      </w:r>
      <w:r/>
    </w:p>
    <w:p>
      <w:pPr>
        <w:pStyle w:val="996"/>
        <w:ind w:firstLine="48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zh-CN"/>
        </w:rPr>
        <w:t xml:space="preserve">：</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1.从业人员、营业收入、资产总额填报上一年度数据，无上一年度数据的新成立企业可不填报。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2.在货物采购项目中，货物由中小企业制造，即货物由中小企业生产且使用该中小企业商号或者注册商标。</w:t>
      </w:r>
      <w:r>
        <w:rPr>
          <w:rFonts w:hint="eastAsia" w:ascii="宋体" w:hAnsi="宋体" w:eastAsia="宋体" w:cs="宋体"/>
          <w:sz w:val="24"/>
          <w:szCs w:val="24"/>
        </w:rPr>
        <w:t xml:space="preserve">供应商提供的货物既有中小企业制造货物，也有大型企业制造货物的，不享受相应扶持政策。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sz w:val="24"/>
          <w:szCs w:val="24"/>
        </w:rPr>
        <w:t xml:space="preserve">本采购标的对应的中小企业划分标准所属行业，以采购文件中具体规定为准。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4.如未对（中型企业、小型企业、微型企业）进行勾选，视同非中小微企业，不可享受相应扶持政策。</w:t>
      </w:r>
      <w:r/>
    </w:p>
    <w:p>
      <w:pPr>
        <w:ind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5.中标单位为中小企业的，《中小企业声明函》将随中标结果同时公告</w:t>
      </w:r>
      <w:r>
        <w:rPr>
          <w:rFonts w:hint="eastAsia" w:ascii="宋体" w:hAnsi="宋体" w:eastAsia="宋体" w:cs="宋体"/>
          <w:sz w:val="24"/>
          <w:szCs w:val="24"/>
          <w:lang w:val="zh-CN"/>
        </w:rPr>
        <w:t xml:space="preserve">。</w:t>
      </w:r>
      <w:r/>
    </w:p>
    <w:p>
      <w:pPr>
        <w:pStyle w:val="1078"/>
        <w:ind w:left="84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lang w:eastAsia="zh-CN"/>
        </w:rPr>
        <w:t xml:space="preserve">工业</w:t>
      </w:r>
      <w:r>
        <w:rPr>
          <w:rFonts w:hint="eastAsia" w:ascii="宋体" w:hAnsi="宋体" w:eastAsia="宋体" w:cs="宋体"/>
          <w:b/>
          <w:sz w:val="24"/>
          <w:szCs w:val="24"/>
        </w:rPr>
        <w:t xml:space="preserve">。</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78"/>
        <w:ind w:firstLine="482"/>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b/>
          <w:szCs w:val="21"/>
        </w:rPr>
      </w:pPr>
      <w:r>
        <w:rPr>
          <w:rFonts w:ascii="宋体" w:hAnsi="宋体" w:cs="宋体"/>
          <w:b/>
          <w:szCs w:val="21"/>
        </w:rPr>
      </w:r>
      <w:r/>
    </w:p>
    <w:p>
      <w:pPr>
        <w:pStyle w:val="991"/>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51"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987"/>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1034"/>
          <w:rFonts w:hint="eastAsia" w:ascii="宋体" w:hAnsi="宋体" w:eastAsia="宋体" w:cs="宋体"/>
          <w:i w:val="0"/>
          <w:color w:val="000000"/>
          <w:szCs w:val="24"/>
          <w:u w:val="single"/>
          <w:shd w:val="clear" w:color="auto" w:fill="ffffff"/>
        </w:rPr>
        <w:t xml:space="preserve">（产品名称1）</w:t>
      </w:r>
      <w:r>
        <w:rPr>
          <w:rStyle w:val="1034"/>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1034"/>
          <w:rFonts w:hint="eastAsia" w:ascii="宋体" w:hAnsi="宋体" w:eastAsia="宋体" w:cs="宋体"/>
          <w:i w:val="0"/>
          <w:color w:val="000000"/>
          <w:szCs w:val="24"/>
          <w:u w:val="single"/>
          <w:shd w:val="clear" w:color="auto" w:fill="ffffff"/>
        </w:rPr>
        <w:t xml:space="preserve">（厂名）</w:t>
      </w:r>
      <w:r>
        <w:rPr>
          <w:rStyle w:val="1034"/>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1034"/>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1034"/>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1034"/>
          <w:rFonts w:hint="eastAsia" w:ascii="宋体" w:hAnsi="宋体" w:eastAsia="宋体" w:cs="宋体"/>
          <w:i w:val="0"/>
          <w:color w:val="000000"/>
          <w:szCs w:val="24"/>
          <w:u w:val="single"/>
          <w:shd w:val="clear" w:color="auto" w:fill="ffffff"/>
        </w:rPr>
        <w:t xml:space="preserve">（规定比例）</w:t>
      </w:r>
      <w:r>
        <w:rPr>
          <w:rStyle w:val="1034"/>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1034"/>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1034"/>
          <w:rFonts w:hint="eastAsia" w:ascii="宋体" w:hAnsi="宋体" w:eastAsia="宋体" w:cs="宋体"/>
          <w:i w:val="0"/>
          <w:color w:val="000000"/>
          <w:szCs w:val="24"/>
          <w:u w:val="single"/>
          <w:shd w:val="clear" w:color="auto" w:fill="ffffff"/>
        </w:rPr>
        <w:t xml:space="preserve">（关键组件）</w:t>
      </w:r>
      <w:r>
        <w:rPr>
          <w:rStyle w:val="1034"/>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1034"/>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1034"/>
          <w:rFonts w:hint="eastAsia" w:ascii="宋体" w:hAnsi="宋体" w:eastAsia="宋体" w:cs="宋体"/>
          <w:i w:val="0"/>
          <w:color w:val="000000"/>
          <w:szCs w:val="24"/>
          <w:u w:val="single"/>
          <w:shd w:val="clear" w:color="auto" w:fill="ffffff"/>
        </w:rPr>
        <w:t xml:space="preserve">（关键工序）</w:t>
      </w:r>
      <w:r>
        <w:rPr>
          <w:rStyle w:val="1034"/>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987"/>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2"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2"/>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987"/>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996"/>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979"/>
        <w:rPr>
          <w:rFonts w:hint="eastAsia"/>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51"/>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997"/>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9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53"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54" w:name="OLE_LINK16"/>
      <w:r>
        <w:rPr>
          <w:rFonts w:hint="eastAsia" w:asciiTheme="minorEastAsia" w:hAnsiTheme="minorEastAsia" w:eastAsiaTheme="minorEastAsia"/>
          <w:b/>
          <w:sz w:val="24"/>
          <w:szCs w:val="24"/>
          <w:lang w:val="zh-CN"/>
        </w:rPr>
        <w:t xml:space="preserve">的</w:t>
      </w:r>
      <w:bookmarkEnd w:id="53"/>
      <w:r/>
      <w:bookmarkEnd w:id="54"/>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jc w:val="left"/>
        <w:spacing w:line="360" w:lineRule="auto"/>
        <w:rPr>
          <w:rFonts w:hint="eastAsia" w:ascii="宋体" w:hAnsi="宋体" w:eastAsia="宋体" w:cs="宋体"/>
          <w:b/>
          <w:bCs/>
          <w:sz w:val="24"/>
          <w:szCs w:val="24"/>
        </w:rPr>
      </w:pPr>
      <w:r>
        <w:rPr>
          <w:rFonts w:hint="eastAsia" w:ascii="宋体" w:hAnsi="宋体" w:eastAsia="宋体" w:cs="宋体"/>
          <w:b/>
          <w:bCs/>
          <w:spacing w:val="6"/>
          <w:sz w:val="24"/>
          <w:szCs w:val="24"/>
          <w:lang w:val="en-US" w:eastAsia="zh-CN"/>
        </w:rPr>
        <w:t xml:space="preserve">12、</w:t>
      </w:r>
      <w:r>
        <w:rPr>
          <w:rFonts w:hint="eastAsia" w:ascii="宋体" w:hAnsi="宋体" w:eastAsia="宋体" w:cs="宋体"/>
          <w:b/>
          <w:bCs/>
          <w:spacing w:val="6"/>
          <w:sz w:val="24"/>
          <w:szCs w:val="24"/>
        </w:rPr>
        <w:t xml:space="preserve">政府采购合同信用融资政策告知函（本附件无需签章放置投标文件中）</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bCs/>
          <w:spacing w:val="6"/>
          <w:sz w:val="24"/>
          <w:szCs w:val="24"/>
        </w:rPr>
        <w:t xml:space="preserve">政府采购合同信用融资政策告知函</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各政府采购供应商: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pStyle w:val="996"/>
        <w:rPr>
          <w:rFonts w:hint="eastAsia" w:ascii="宋体" w:hAnsi="宋体" w:eastAsia="宋体" w:cs="宋体"/>
          <w:sz w:val="24"/>
          <w:szCs w:val="24"/>
        </w:rPr>
        <w:sectPr>
          <w:footerReference w:type="default" r:id="rId12"/>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91"/>
        <w:ind w:firstLine="0"/>
        <w:jc w:val="both"/>
        <w:rPr>
          <w:rFonts w:hint="eastAsia" w:ascii="宋体" w:hAnsi="宋体" w:eastAsia="宋体"/>
          <w:sz w:val="32"/>
          <w:szCs w:val="32"/>
        </w:rPr>
      </w:pPr>
      <w:r>
        <w:rPr>
          <w:rFonts w:hint="eastAsia" w:ascii="宋体" w:hAnsi="宋体" w:eastAsia="宋体"/>
          <w:sz w:val="32"/>
          <w:szCs w:val="32"/>
        </w:rPr>
      </w:r>
      <w:r/>
    </w:p>
    <w:p>
      <w:pPr>
        <w:pStyle w:val="978"/>
        <w:jc w:val="center"/>
        <w:rPr>
          <w:rFonts w:hint="eastAsia" w:ascii="宋体" w:hAnsi="宋体" w:eastAsia="宋体"/>
          <w:sz w:val="52"/>
          <w:lang w:val="en-US" w:eastAsia="zh-CN"/>
        </w:rPr>
      </w:pPr>
      <w:r/>
      <w:bookmarkStart w:id="55" w:name="_Toc13642115"/>
      <w:r/>
      <w:bookmarkStart w:id="56" w:name="_Toc488137108"/>
      <w:r/>
      <w:bookmarkStart w:id="57" w:name="_Toc27101"/>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w:t>
      </w:r>
      <w:bookmarkEnd w:id="55"/>
      <w:r/>
      <w:bookmarkEnd w:id="56"/>
      <w:r>
        <w:rPr>
          <w:rFonts w:hint="eastAsia" w:ascii="宋体" w:hAnsi="宋体" w:eastAsia="宋体"/>
          <w:sz w:val="52"/>
          <w:lang w:val="en-US" w:eastAsia="zh-CN"/>
        </w:rPr>
        <w:t xml:space="preserve">书</w:t>
      </w:r>
      <w:bookmarkEnd w:id="57"/>
      <w:r/>
      <w:r/>
    </w:p>
    <w:p>
      <w:pPr>
        <w:jc w:val="center"/>
        <w:spacing w:line="360" w:lineRule="auto"/>
        <w:rPr>
          <w:rFonts w:hint="eastAsia" w:ascii="宋体" w:hAnsi="宋体" w:eastAsia="宋体"/>
          <w:b/>
          <w:sz w:val="44"/>
          <w:szCs w:val="44"/>
        </w:rPr>
      </w:pPr>
      <w:r/>
      <w:bookmarkStart w:id="58" w:name="_Toc13543212"/>
      <w:r>
        <w:rPr>
          <w:rFonts w:ascii="宋体" w:hAnsi="宋体" w:eastAsia="宋体"/>
          <w:b/>
          <w:sz w:val="44"/>
        </w:rPr>
        <w:br w:type="page" w:clear="all"/>
      </w:r>
      <w:bookmarkEnd w:id="58"/>
      <w:r/>
      <w:r/>
    </w:p>
    <w:p>
      <w:pPr>
        <w:ind w:firstLine="480"/>
        <w:spacing w:line="360" w:lineRule="auto"/>
        <w:rPr>
          <w:rFonts w:hint="eastAsia" w:ascii="宋体" w:hAnsi="宋体" w:eastAsia="宋体"/>
          <w:sz w:val="24"/>
          <w:szCs w:val="24"/>
          <w:highlight w:val="none"/>
        </w:rPr>
      </w:pPr>
      <w:r/>
      <w:bookmarkStart w:id="59" w:name="OLE_LINK1"/>
      <w:r>
        <w:rPr>
          <w:rFonts w:hint="eastAsia" w:ascii="宋体" w:hAnsi="宋体" w:eastAsia="宋体"/>
          <w:sz w:val="24"/>
          <w:szCs w:val="24"/>
          <w:highlight w:val="none"/>
        </w:rPr>
        <w:t xml:space="preserve">苏州鸿鑫工程咨询有限公司受</w:t>
      </w:r>
      <w:r>
        <w:rPr>
          <w:rFonts w:hint="eastAsia" w:ascii="宋体" w:hAnsi="宋体" w:eastAsia="宋体"/>
          <w:sz w:val="24"/>
          <w:szCs w:val="24"/>
          <w:highlight w:val="none"/>
          <w:lang w:eastAsia="zh-CN"/>
        </w:rPr>
        <w:t xml:space="preserve">苏州市疾病预防控制中心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苏州市疾控中心微检科设备一批项目</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lang w:val="en-US" w:eastAsia="zh-CN"/>
        </w:rPr>
        <w:t xml:space="preserve">招标</w:t>
      </w:r>
      <w:r>
        <w:rPr>
          <w:rFonts w:hint="eastAsia" w:ascii="宋体" w:hAnsi="宋体" w:eastAsia="宋体"/>
          <w:b/>
          <w:sz w:val="24"/>
          <w:szCs w:val="24"/>
          <w:highlight w:val="none"/>
        </w:rPr>
        <w:t xml:space="preserve">编号：</w:t>
      </w:r>
      <w:r>
        <w:rPr>
          <w:rFonts w:hint="eastAsia" w:ascii="宋体" w:hAnsi="宋体" w:eastAsia="宋体"/>
          <w:b/>
          <w:sz w:val="24"/>
          <w:szCs w:val="24"/>
          <w:highlight w:val="none"/>
          <w:lang w:eastAsia="zh-CN"/>
        </w:rPr>
        <w:t xml:space="preserve">JSZC-320500-SZHX-G2026-0036</w:t>
      </w:r>
      <w:r/>
    </w:p>
    <w:p>
      <w:pPr>
        <w:ind w:firstLine="482"/>
        <w:spacing w:line="360" w:lineRule="auto"/>
        <w:rPr>
          <w:rFonts w:hint="eastAsia" w:ascii="宋体" w:hAnsi="宋体" w:eastAsia="宋体"/>
          <w:b/>
          <w:bCs/>
          <w:sz w:val="24"/>
          <w:szCs w:val="24"/>
          <w:highlight w:val="none"/>
          <w:lang w:eastAsia="zh-CN"/>
        </w:rPr>
      </w:pPr>
      <w:r>
        <w:rPr>
          <w:rFonts w:hint="eastAsia" w:ascii="宋体" w:hAnsi="宋体" w:eastAsia="宋体"/>
          <w:b/>
          <w:sz w:val="24"/>
          <w:szCs w:val="24"/>
          <w:highlight w:val="none"/>
        </w:rPr>
        <w:t xml:space="preserve">二</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项目名称：</w:t>
      </w:r>
      <w:r>
        <w:rPr>
          <w:rFonts w:hint="eastAsia" w:ascii="宋体" w:hAnsi="宋体" w:eastAsia="宋体"/>
          <w:b/>
          <w:bCs/>
          <w:sz w:val="24"/>
          <w:szCs w:val="24"/>
          <w:highlight w:val="none"/>
          <w:lang w:eastAsia="zh-CN"/>
        </w:rPr>
        <w:t xml:space="preserve">苏州市疾控中心微检科设备一批项目</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三、</w:t>
      </w:r>
      <w:r>
        <w:rPr>
          <w:rFonts w:hint="eastAsia" w:ascii="宋体" w:hAnsi="宋体" w:eastAsia="宋体" w:cs="Times New Roman"/>
          <w:b/>
          <w:bCs/>
          <w:sz w:val="24"/>
          <w:szCs w:val="24"/>
          <w:highlight w:val="none"/>
          <w:lang w:val="en-US" w:eastAsia="zh-CN"/>
        </w:rPr>
        <w:t xml:space="preserve">招标</w:t>
      </w:r>
      <w:r>
        <w:rPr>
          <w:rFonts w:hint="eastAsia" w:ascii="宋体" w:hAnsi="宋体" w:eastAsia="宋体" w:cs="Times New Roman"/>
          <w:b/>
          <w:bCs/>
          <w:sz w:val="24"/>
          <w:szCs w:val="24"/>
          <w:highlight w:val="none"/>
        </w:rPr>
        <w:t xml:space="preserve">清单及产品具体技术要求：</w:t>
      </w:r>
      <w:r/>
    </w:p>
    <w:p>
      <w:pPr>
        <w:ind w:firstLine="480"/>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一）招标清单</w:t>
      </w:r>
      <w:r/>
    </w:p>
    <w:tbl>
      <w:tblPr>
        <w:tblStyle w:val="10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4380"/>
        <w:gridCol w:w="1248"/>
        <w:gridCol w:w="1115"/>
      </w:tblGrid>
      <w:tr>
        <w:trPr>
          <w:jc w:val="center"/>
        </w:trPr>
        <w:tc>
          <w:tcPr>
            <w:tcW w:w="1070"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vertAlign w:val="baseline"/>
                <w:lang w:val="en-US" w:eastAsia="zh-CN"/>
              </w:rPr>
              <w:t xml:space="preserve">序号</w:t>
            </w:r>
            <w:r/>
          </w:p>
        </w:tc>
        <w:tc>
          <w:tcPr>
            <w:tcW w:w="4380"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vertAlign w:val="baseline"/>
                <w:lang w:val="en-US" w:eastAsia="zh-CN"/>
              </w:rPr>
              <w:t xml:space="preserve">标的物名称</w:t>
            </w:r>
            <w:r/>
          </w:p>
        </w:tc>
        <w:tc>
          <w:tcPr>
            <w:tcW w:w="1248"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vertAlign w:val="baseline"/>
                <w:lang w:val="en-US" w:eastAsia="zh-CN"/>
              </w:rPr>
              <w:t xml:space="preserve">数量</w:t>
            </w:r>
            <w:r/>
          </w:p>
        </w:tc>
        <w:tc>
          <w:tcPr>
            <w:tcW w:w="1115"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vertAlign w:val="baseline"/>
                <w:lang w:val="en-US" w:eastAsia="zh-CN"/>
              </w:rPr>
              <w:t xml:space="preserve">备注</w:t>
            </w:r>
            <w:r/>
          </w:p>
        </w:tc>
      </w:tr>
      <w:tr>
        <w:trPr>
          <w:jc w:val="center"/>
        </w:trPr>
        <w:tc>
          <w:tcPr>
            <w:tcW w:w="1070"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vertAlign w:val="baseline"/>
                <w:lang w:val="en-US" w:eastAsia="zh-CN"/>
              </w:rPr>
              <w:t xml:space="preserve">1</w:t>
            </w:r>
            <w:r/>
          </w:p>
        </w:tc>
        <w:tc>
          <w:tcPr>
            <w:tcW w:w="4380"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default" w:ascii="宋体" w:hAnsi="宋体" w:eastAsia="宋体" w:cs="Times New Roman"/>
                <w:b w:val="0"/>
                <w:bCs w:val="0"/>
                <w:sz w:val="24"/>
                <w:szCs w:val="24"/>
                <w:highlight w:val="none"/>
                <w:vertAlign w:val="baseline"/>
                <w:lang w:val="en-US" w:eastAsia="zh-CN"/>
              </w:rPr>
              <w:t xml:space="preserve">数字式单分子免疫阵列分析仪</w:t>
            </w:r>
            <w:r/>
          </w:p>
        </w:tc>
        <w:tc>
          <w:tcPr>
            <w:tcW w:w="1248"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eastAsia" w:ascii="宋体" w:hAnsi="宋体" w:eastAsia="宋体" w:cs="Times New Roman"/>
                <w:b w:val="0"/>
                <w:bCs w:val="0"/>
                <w:sz w:val="24"/>
                <w:szCs w:val="24"/>
                <w:highlight w:val="none"/>
                <w:vertAlign w:val="baseline"/>
                <w:lang w:val="en-US" w:eastAsia="zh-CN"/>
              </w:rPr>
              <w:t xml:space="preserve">1套</w:t>
            </w:r>
            <w:r/>
          </w:p>
        </w:tc>
        <w:tc>
          <w:tcPr>
            <w:tcW w:w="1115" w:type="dxa"/>
            <w:vAlign w:val="center"/>
            <w:textDirection w:val="lrTb"/>
            <w:noWrap w:val="false"/>
          </w:tcPr>
          <w:p>
            <w:pPr>
              <w:jc w:val="center"/>
              <w:spacing w:line="360" w:lineRule="auto"/>
              <w:rPr>
                <w:rFonts w:hint="default" w:ascii="宋体" w:hAnsi="宋体" w:eastAsia="宋体" w:cs="Times New Roman"/>
                <w:b w:val="0"/>
                <w:bCs w:val="0"/>
                <w:sz w:val="24"/>
                <w:szCs w:val="24"/>
                <w:highlight w:val="none"/>
                <w:vertAlign w:val="baseline"/>
                <w:lang w:val="en-US" w:eastAsia="zh-CN"/>
              </w:rPr>
            </w:pPr>
            <w:r>
              <w:rPr>
                <w:rFonts w:hint="default" w:ascii="宋体" w:hAnsi="宋体" w:eastAsia="宋体" w:cs="Times New Roman"/>
                <w:b w:val="0"/>
                <w:bCs w:val="0"/>
                <w:sz w:val="24"/>
                <w:szCs w:val="24"/>
                <w:highlight w:val="none"/>
                <w:vertAlign w:val="baseline"/>
                <w:lang w:val="en-US" w:eastAsia="zh-CN"/>
              </w:rPr>
            </w:r>
            <w:r/>
          </w:p>
        </w:tc>
      </w:tr>
    </w:tbl>
    <w:p>
      <w:pPr>
        <w:ind w:firstLine="480"/>
        <w:spacing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二）</w:t>
      </w:r>
      <w:r>
        <w:rPr>
          <w:rFonts w:hint="eastAsia" w:ascii="宋体" w:hAnsi="宋体" w:eastAsia="宋体" w:cs="Times New Roman"/>
          <w:b w:val="0"/>
          <w:bCs w:val="0"/>
          <w:sz w:val="24"/>
          <w:szCs w:val="24"/>
        </w:rPr>
        <w:t xml:space="preserve">设备运行条件</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rPr>
        <w:t xml:space="preserve">1.环境温度：稳定维持在10℃~25℃区间</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rPr>
        <w:t xml:space="preserve">2.环境相对湿度：20%～80%</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rPr>
        <w:t xml:space="preserve">3.供电规格：交流220V</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rPr>
        <w:t xml:space="preserve">电压允许波动±10%</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rPr>
        <w:t xml:space="preserve">频率50Hz±1Hz</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三）</w:t>
      </w:r>
      <w:r>
        <w:rPr>
          <w:rFonts w:hint="eastAsia" w:ascii="宋体" w:hAnsi="宋体" w:eastAsia="宋体" w:cs="Times New Roman"/>
          <w:b w:val="0"/>
          <w:bCs w:val="0"/>
          <w:sz w:val="24"/>
          <w:szCs w:val="24"/>
        </w:rPr>
        <w:t xml:space="preserve">整机核心技术指标</w:t>
      </w:r>
      <w:r/>
    </w:p>
    <w:p>
      <w:pPr>
        <w:ind w:firstLine="480"/>
        <w:spacing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 xml:space="preserve">1.</w:t>
      </w:r>
      <w:r>
        <w:rPr>
          <w:rFonts w:hint="eastAsia" w:ascii="宋体" w:hAnsi="宋体" w:eastAsia="宋体" w:cs="Times New Roman"/>
          <w:b w:val="0"/>
          <w:bCs w:val="0"/>
          <w:sz w:val="24"/>
          <w:szCs w:val="24"/>
        </w:rPr>
        <w:t xml:space="preserve">全自动液体处理系统</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rPr>
        <w:t xml:space="preserve">★</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w:t>
      </w:r>
      <w:r>
        <w:rPr>
          <w:rFonts w:hint="eastAsia" w:ascii="宋体" w:hAnsi="宋体" w:eastAsia="宋体" w:cs="Times New Roman"/>
          <w:b w:val="0"/>
          <w:bCs w:val="0"/>
          <w:sz w:val="24"/>
          <w:szCs w:val="24"/>
        </w:rPr>
        <w:t xml:space="preserve">整机搭载一体化液体处理工作站，可全自动闭环完成样本稀释、样本上样、试剂加注、恒温孵育、板孔洗涤、信号检测、数据分析全流程操作</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2）</w:t>
      </w:r>
      <w:r>
        <w:rPr>
          <w:rFonts w:hint="eastAsia" w:ascii="宋体" w:hAnsi="宋体" w:eastAsia="宋体" w:cs="Times New Roman"/>
          <w:b w:val="0"/>
          <w:bCs w:val="0"/>
          <w:sz w:val="24"/>
          <w:szCs w:val="24"/>
        </w:rPr>
        <w:t xml:space="preserve">兼容多类型生物样本检测，适用样本包含血清、血浆、脑脊液、尿液、唾液、房水、细胞裂解液、呼吸冷凝液等，覆盖多种临床与科研样本</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3）</w:t>
      </w:r>
      <w:r>
        <w:rPr>
          <w:rFonts w:hint="eastAsia" w:ascii="宋体" w:hAnsi="宋体" w:eastAsia="宋体" w:cs="Times New Roman"/>
          <w:b w:val="0"/>
          <w:bCs w:val="0"/>
          <w:sz w:val="24"/>
          <w:szCs w:val="24"/>
        </w:rPr>
        <w:t xml:space="preserve">样本承载工位双模式可选：96支采血管专属放置位，或4块标准96孔微孔板放置位，可按需切换使用</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4）</w:t>
      </w:r>
      <w:r>
        <w:rPr>
          <w:rFonts w:hint="eastAsia" w:ascii="宋体" w:hAnsi="宋体" w:eastAsia="宋体" w:cs="Times New Roman"/>
          <w:b w:val="0"/>
          <w:bCs w:val="0"/>
          <w:sz w:val="24"/>
          <w:szCs w:val="24"/>
        </w:rPr>
        <w:t xml:space="preserve">工作台面最大容纳3块微孔板，配套6组96通道吸头放置基座</w:t>
      </w:r>
      <w:r>
        <w:rPr>
          <w:rFonts w:hint="eastAsia" w:ascii="宋体" w:hAnsi="宋体" w:eastAsia="宋体" w:cs="Times New Roman"/>
          <w:b w:val="0"/>
          <w:bCs w:val="0"/>
          <w:sz w:val="24"/>
          <w:szCs w:val="24"/>
          <w:lang w:eastAsia="zh-CN"/>
        </w:rPr>
        <w:t xml:space="preserve">；</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5）</w:t>
      </w:r>
      <w:r>
        <w:rPr>
          <w:rFonts w:hint="eastAsia" w:ascii="宋体" w:hAnsi="宋体" w:eastAsia="宋体" w:cs="Times New Roman"/>
          <w:b w:val="0"/>
          <w:bCs w:val="0"/>
          <w:sz w:val="24"/>
          <w:szCs w:val="24"/>
          <w:lang w:eastAsia="zh-CN"/>
        </w:rPr>
        <w:t xml:space="preserve">双独立流体机械臂设计：双机械臂均支持X/Y/Z三轴全域移动，可自动定位完成各类流体操作，两支机械臂可独立作业。其中一支搭载金属钢针，用于抗体、酶类等试剂加注；另一支适配一次性吸头，负责样本加样；双臂可同步并行运行，互不干涉，显著提升实验处理通量；</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6）</w:t>
      </w:r>
      <w:r>
        <w:rPr>
          <w:rFonts w:hint="eastAsia" w:ascii="宋体" w:hAnsi="宋体" w:eastAsia="宋体" w:cs="Times New Roman"/>
          <w:b w:val="0"/>
          <w:bCs w:val="0"/>
          <w:sz w:val="24"/>
          <w:szCs w:val="24"/>
          <w:lang w:eastAsia="zh-CN"/>
        </w:rPr>
        <w:t xml:space="preserve">配备两组样本批量处理转盘，单转盘反应位不少于28个，集中完成样本孵育、震荡、清洗等生化反应步骤；</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7）</w:t>
      </w:r>
      <w:r>
        <w:rPr>
          <w:rFonts w:hint="eastAsia" w:ascii="宋体" w:hAnsi="宋体" w:eastAsia="宋体" w:cs="Times New Roman"/>
          <w:b w:val="0"/>
          <w:bCs w:val="0"/>
          <w:sz w:val="24"/>
          <w:szCs w:val="24"/>
          <w:lang w:eastAsia="zh-CN"/>
        </w:rPr>
        <w:t xml:space="preserve">集成试剂储存仓与废液回收仓，配套全套传感监测模块，可实时监测仓内余量，余量不足时自动弹窗提醒操作人员补充试剂或清空废液；</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8）</w:t>
      </w:r>
      <w:r>
        <w:rPr>
          <w:rFonts w:hint="eastAsia" w:ascii="宋体" w:hAnsi="宋体" w:eastAsia="宋体" w:cs="Times New Roman"/>
          <w:b w:val="0"/>
          <w:bCs w:val="0"/>
          <w:sz w:val="24"/>
          <w:szCs w:val="24"/>
          <w:lang w:eastAsia="zh-CN"/>
        </w:rPr>
        <w:t xml:space="preserve">试剂存储槽内置恒温控温模块，控温区间稳定为4℃~8℃；</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9）</w:t>
      </w:r>
      <w:r>
        <w:rPr>
          <w:rFonts w:hint="eastAsia" w:ascii="宋体" w:hAnsi="宋体" w:eastAsia="宋体" w:cs="Times New Roman"/>
          <w:b w:val="0"/>
          <w:bCs w:val="0"/>
          <w:sz w:val="24"/>
          <w:szCs w:val="24"/>
          <w:lang w:eastAsia="zh-CN"/>
        </w:rPr>
        <w:t xml:space="preserve">设备内置独立扫码采集模块，上样阶段自动扫描读取样本条码，同步录入样本信息，无需人工手动录入。</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10）</w:t>
      </w:r>
      <w:r>
        <w:rPr>
          <w:rFonts w:hint="eastAsia" w:ascii="宋体" w:hAnsi="宋体" w:eastAsia="宋体" w:cs="Times New Roman"/>
          <w:b w:val="0"/>
          <w:bCs w:val="0"/>
          <w:sz w:val="24"/>
          <w:szCs w:val="24"/>
          <w:lang w:eastAsia="zh-CN"/>
        </w:rPr>
        <w:t xml:space="preserve">支持四重联检试剂盒方案：单份样本搭配单一试剂盒、单通道反应体系，单次检测可输出≥4项有效检测指标结果；</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11）</w:t>
      </w:r>
      <w:r>
        <w:rPr>
          <w:rFonts w:hint="eastAsia" w:ascii="宋体" w:hAnsi="宋体" w:eastAsia="宋体" w:cs="Times New Roman"/>
          <w:b w:val="0"/>
          <w:bCs w:val="0"/>
          <w:sz w:val="24"/>
          <w:szCs w:val="24"/>
          <w:lang w:eastAsia="zh-CN"/>
        </w:rPr>
        <w:t xml:space="preserve">配套酶联免疫检测专用样本管堆叠仓，可一次性存放50×10支样本处理管；</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12）</w:t>
      </w:r>
      <w:r>
        <w:rPr>
          <w:rFonts w:hint="eastAsia" w:ascii="宋体" w:hAnsi="宋体" w:eastAsia="宋体" w:cs="Times New Roman"/>
          <w:b w:val="0"/>
          <w:bCs w:val="0"/>
          <w:sz w:val="24"/>
          <w:szCs w:val="24"/>
          <w:lang w:eastAsia="zh-CN"/>
        </w:rPr>
        <w:t xml:space="preserve">反应体系采用磁珠循环清洗工艺，侧边磁力调控循环模式，有效提升磁珠捕获回收率，保障检测灵敏度；</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13）</w:t>
      </w:r>
      <w:r>
        <w:rPr>
          <w:rFonts w:hint="eastAsia" w:ascii="宋体" w:hAnsi="宋体" w:eastAsia="宋体" w:cs="Times New Roman"/>
          <w:b w:val="0"/>
          <w:bCs w:val="0"/>
          <w:sz w:val="24"/>
          <w:szCs w:val="24"/>
          <w:lang w:eastAsia="zh-CN"/>
        </w:rPr>
        <w:t xml:space="preserve">整机配备封闭式安全防护门，搭配机械门锁，避免无关人员擅自操作内部工作台；门板集成紧急暂停按键，任意实验阶段均可一键停机，便于处置各类异常工况；</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14）</w:t>
      </w:r>
      <w:r>
        <w:rPr>
          <w:rFonts w:hint="eastAsia" w:ascii="宋体" w:hAnsi="宋体" w:eastAsia="宋体" w:cs="Times New Roman"/>
          <w:b w:val="0"/>
          <w:bCs w:val="0"/>
          <w:sz w:val="24"/>
          <w:szCs w:val="24"/>
          <w:lang w:eastAsia="zh-CN"/>
        </w:rPr>
        <w:t xml:space="preserve">可按需提供商品化即用试剂盒，支持客户自主开发检测项目，供货方需提供试剂盒落地应用案例及配套公开发表文献作为佐证材料。</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val="en-US" w:eastAsia="zh-CN"/>
        </w:rPr>
        <w:t xml:space="preserve">2.</w:t>
      </w:r>
      <w:r>
        <w:rPr>
          <w:rFonts w:hint="eastAsia" w:ascii="宋体" w:hAnsi="宋体" w:eastAsia="宋体" w:cs="Times New Roman"/>
          <w:b w:val="0"/>
          <w:bCs w:val="0"/>
          <w:sz w:val="24"/>
          <w:szCs w:val="24"/>
          <w:lang w:eastAsia="zh-CN"/>
        </w:rPr>
        <w:t xml:space="preserve">光学检测单元</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1）</w:t>
      </w:r>
      <w:r>
        <w:rPr>
          <w:rFonts w:hint="eastAsia" w:ascii="宋体" w:hAnsi="宋体" w:eastAsia="宋体" w:cs="Times New Roman"/>
          <w:b w:val="0"/>
          <w:bCs w:val="0"/>
          <w:sz w:val="24"/>
          <w:szCs w:val="24"/>
          <w:lang w:eastAsia="zh-CN"/>
        </w:rPr>
        <w:t xml:space="preserve">激发光源采用LED光源；</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2）</w:t>
      </w:r>
      <w:r>
        <w:rPr>
          <w:rFonts w:hint="eastAsia" w:ascii="宋体" w:hAnsi="宋体" w:eastAsia="宋体" w:cs="Times New Roman"/>
          <w:b w:val="0"/>
          <w:bCs w:val="0"/>
          <w:sz w:val="24"/>
          <w:szCs w:val="24"/>
          <w:lang w:eastAsia="zh-CN"/>
        </w:rPr>
        <w:t xml:space="preserve">搭载CCD成像检测器，支持自动对焦，快速完成多通道同步图像采集；</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3）</w:t>
      </w:r>
      <w:r>
        <w:rPr>
          <w:rFonts w:hint="eastAsia" w:ascii="宋体" w:hAnsi="宋体" w:eastAsia="宋体" w:cs="Times New Roman"/>
          <w:b w:val="0"/>
          <w:bCs w:val="0"/>
          <w:sz w:val="24"/>
          <w:szCs w:val="24"/>
          <w:lang w:eastAsia="zh-CN"/>
        </w:rPr>
        <w:t xml:space="preserve">内置独立恒温孵育模组，统一控制检测反应温度，保证批次间检测条件一致；</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4）</w:t>
      </w:r>
      <w:r>
        <w:rPr>
          <w:rFonts w:hint="eastAsia" w:ascii="宋体" w:hAnsi="宋体" w:eastAsia="宋体" w:cs="Times New Roman"/>
          <w:b w:val="0"/>
          <w:bCs w:val="0"/>
          <w:sz w:val="24"/>
          <w:szCs w:val="24"/>
          <w:lang w:eastAsia="zh-CN"/>
        </w:rPr>
        <w:t xml:space="preserve">单次完整运行最大处理通量不低于288个测试反应；</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5）</w:t>
      </w:r>
      <w:r>
        <w:rPr>
          <w:rFonts w:hint="eastAsia" w:ascii="宋体" w:hAnsi="宋体" w:eastAsia="宋体" w:cs="Times New Roman"/>
          <w:b w:val="0"/>
          <w:bCs w:val="0"/>
          <w:sz w:val="24"/>
          <w:szCs w:val="24"/>
          <w:lang w:eastAsia="zh-CN"/>
        </w:rPr>
        <w:t xml:space="preserve">具备四重及以上蛋白标志物同步检测能力，单试剂盒、单通道单次反应可定量输出至少4种不同蛋白标志物浓度结果，相关技术有公开文献支撑；</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6）</w:t>
      </w:r>
      <w:r>
        <w:rPr>
          <w:rFonts w:hint="eastAsia" w:ascii="宋体" w:hAnsi="宋体" w:eastAsia="宋体" w:cs="Times New Roman"/>
          <w:b w:val="0"/>
          <w:bCs w:val="0"/>
          <w:sz w:val="24"/>
          <w:szCs w:val="24"/>
          <w:lang w:eastAsia="zh-CN"/>
        </w:rPr>
        <w:t xml:space="preserve">配置滤光片数量≥5片，覆盖波长488nm、647nm、577nm、700nm、750nm；</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7）</w:t>
      </w:r>
      <w:r>
        <w:rPr>
          <w:rFonts w:hint="eastAsia" w:ascii="宋体" w:hAnsi="宋体" w:eastAsia="宋体" w:cs="Times New Roman"/>
          <w:b w:val="0"/>
          <w:bCs w:val="0"/>
          <w:sz w:val="24"/>
          <w:szCs w:val="24"/>
          <w:lang w:eastAsia="zh-CN"/>
        </w:rPr>
        <w:t xml:space="preserve">配套一次性专用样本承载耗材，严禁重复使用样本容器，不允许通过浸泡、冲洗、清洗等方式回收复用样本载体；一次性耗材可缩短检测时长，彻底杜绝样本交叉残留污染，保障生物安全与检测数据准确性，可提供耗材资质、生物安全保障相关证明文件；</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8）</w:t>
      </w:r>
      <w:r>
        <w:rPr>
          <w:rFonts w:hint="eastAsia" w:ascii="宋体" w:hAnsi="宋体" w:eastAsia="宋体" w:cs="Times New Roman"/>
          <w:b w:val="0"/>
          <w:bCs w:val="0"/>
          <w:sz w:val="24"/>
          <w:szCs w:val="24"/>
          <w:lang w:eastAsia="zh-CN"/>
        </w:rPr>
        <w:t xml:space="preserve">高通量同步上样模组：一次性耗材基座可同时放置不少于20份待测样本，降低人工操作强度，实现大批量快速检测；</w:t>
      </w:r>
      <w:r/>
    </w:p>
    <w:p>
      <w:pPr>
        <w:ind w:firstLine="480"/>
        <w:spacing w:line="360" w:lineRule="auto"/>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9）</w:t>
      </w:r>
      <w:r>
        <w:rPr>
          <w:rFonts w:hint="eastAsia" w:ascii="宋体" w:hAnsi="宋体" w:eastAsia="宋体" w:cs="Times New Roman"/>
          <w:b w:val="0"/>
          <w:bCs w:val="0"/>
          <w:sz w:val="24"/>
          <w:szCs w:val="24"/>
          <w:lang w:eastAsia="zh-CN"/>
        </w:rPr>
        <w:t xml:space="preserve">基于本设备平台产出的公开学术文献总量≥500篇，可提供文献清单及原文佐证。</w:t>
      </w:r>
      <w:r/>
    </w:p>
    <w:p>
      <w:pPr>
        <w:ind w:firstLine="480"/>
        <w:spacing w:line="360" w:lineRule="auto"/>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四）配置清单</w:t>
      </w:r>
      <w:r/>
    </w:p>
    <w:p>
      <w:pPr>
        <w:ind w:firstLine="480"/>
        <w:spacing w:line="360" w:lineRule="auto"/>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主机一台，配套工作站，孵育振荡器一台，启动试剂盒一套，UPS一套。</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注：</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highlight w:val="none"/>
          <w:lang w:val="en-US" w:eastAsia="zh-CN"/>
        </w:rPr>
        <w:t xml:space="preserve">1.本项目</w:t>
      </w:r>
      <w:r>
        <w:rPr>
          <w:rFonts w:hint="eastAsia" w:ascii="宋体" w:hAnsi="宋体" w:eastAsia="宋体" w:cs="Times New Roman"/>
          <w:b/>
          <w:bCs/>
          <w:sz w:val="24"/>
          <w:szCs w:val="24"/>
          <w:highlight w:val="none"/>
        </w:rPr>
        <w:t xml:space="preserve">核</w:t>
      </w:r>
      <w:r>
        <w:rPr>
          <w:rFonts w:hint="eastAsia" w:ascii="宋体" w:hAnsi="宋体" w:eastAsia="宋体" w:cs="Times New Roman"/>
          <w:b/>
          <w:bCs/>
          <w:sz w:val="24"/>
          <w:szCs w:val="24"/>
        </w:rPr>
        <w:t xml:space="preserve">心产品</w:t>
      </w:r>
      <w:r>
        <w:rPr>
          <w:rFonts w:hint="eastAsia" w:ascii="宋体" w:hAnsi="宋体" w:eastAsia="宋体" w:cs="Times New Roman"/>
          <w:b/>
          <w:bCs/>
          <w:sz w:val="24"/>
          <w:szCs w:val="24"/>
          <w:lang w:val="en-US" w:eastAsia="zh-CN"/>
        </w:rPr>
        <w:t xml:space="preserve">为</w:t>
      </w:r>
      <w:r>
        <w:rPr>
          <w:rFonts w:hint="eastAsia" w:ascii="宋体" w:hAnsi="宋体" w:eastAsia="宋体"/>
          <w:b/>
          <w:bCs/>
          <w:sz w:val="24"/>
          <w:szCs w:val="24"/>
          <w:lang w:eastAsia="zh-CN"/>
        </w:rPr>
        <w:t xml:space="preserve">数字式单分子免疫阵列分析仪。</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2.</w:t>
      </w:r>
      <w:r>
        <w:rPr>
          <w:rFonts w:hint="eastAsia" w:ascii="宋体" w:hAnsi="宋体" w:eastAsia="宋体" w:cs="Times New Roman"/>
          <w:b/>
          <w:bCs/>
          <w:sz w:val="24"/>
          <w:szCs w:val="24"/>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其他需求</w:t>
      </w:r>
      <w:r/>
    </w:p>
    <w:p>
      <w:pPr>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货物到达采购单位后，在采购单位技术人员在场的情况下开箱清点货物，组织安装、调试及操作培训，并承担因此发生的一切费用。</w:t>
      </w:r>
      <w:r/>
    </w:p>
    <w:p>
      <w:pPr>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投标文件中提供实施方案，内容应包括但不限于①安装调试、系统集成、试运行、测试、调优等内容，②人员组织架构，③工作时间进度表、工作程序和步骤，④管理和协调方法，⑤关键步骤的思路和要点。</w:t>
      </w:r>
      <w:r/>
    </w:p>
    <w:p>
      <w:pPr>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投标人负责保管、看护进场的设备及附配件直至完成安装调试后交付采购单位。</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五、售后服务要求</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质保期要求：所投设备的原厂免费质保期≥2年；质保期内，设备光学成像组件、移液机械臂、温控模块、电路板等非人为故障，均可享受免费维修及原厂全新备件更换服务；免费质保期到期后，维修只收取配件费用（提供生产厂家售后服务承诺书，以设备现场装机验收合格当日为准起计算）；</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2.接到维修通知后须4小时内完成远程对接、线上问题诊断；若远程方案无法排除设备故障；工程师48小时内到现场并完成维修；出现核心硬件重大故障时，承诺5个工作日内完成备件调配、更换与整机修复；</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3.质保周期内每年提供至少1次上门预防性维护保养服务，全程免费。</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投标文件中提供针对本项目制定的售后服务管理体系方案，包括售后服务机制、响应时间、故障解决等内容、关于所投产品的售后服务承诺书、优惠措施等。</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投标文件中提供针对本项目制定的应急预案。分析设备有可能出现的重大故障，制定出合理的应急预案。</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六、提供维保收费方案</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包括①质保期满后维保收费及内容（包括零配件、备品、备件价格）清单及价格、②维保工作具体维保内容、③维保流程、④维保规范标准、⑤维保档案等情况。</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零配件应保证10年以上的供应期，提供主要零配件的优惠价。零配件供应最长时间不超过3个工作日。并允诺做不到的赔偿条件。维保期结束后免收人工费，维修仅收配件费。投标文件中提供出保后所需更换的易耗品及配件报价。</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2.设备免费维保期内应按国家质量控制相关法规要求提供维保记录及质控记录。</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3.设备交货验收时应提供以下文件的纸质版+电子版文件：</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（1）中文说明书（纸质版+电子版）；</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（2）简易操作说明（卡片/塑封文件+电子版）；</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七、故障应急预案</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投标人根据往年设备故障案例，分析设备有可能出现的重大故障，制定出合理的应急预案。</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1.可能出现的重大故障分析，例如设备无法开机或持续处于宕机状态等情况的故障分析，分析故障原因。提供备机的申请流程和送达方案、提供维修机器的远程解决方案；</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2.本项目的重点、难点分析，例如分析在售后服务过程中可能出现的问题例如售后工程师无法按时到场、或维修配件不能及时到货等情况；</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3.针对分析的上述故障应急情况，提供对应的解决方案；</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八、培训方案</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1.培训需求分析</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针对本项目产品分析采购方科室的培训需求，例如分析采购方人员操作方法的培训需求、实际应用场景的培训需求、系统维护管理方面的培训需求；</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中标方负责提供设备操作培训及专业厂家维修培训，保证采购单位工程师及操作人员正常操作设备的各种功能及进行设备基础维修。</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终身维修并标明保修期后的具体维修维护事宜（提供生产商支持的售后服务证明文件和售后服务条款）。</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2.培训目标计划</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3.培训内容及方法计划</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4.负责培训人员情况</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投入本项目的负责培训老师，需拟派经验丰富的专业工程师负责进行。设备正式运作前，提供至少两轮全覆盖现场实操培训，内容包含仪器操作、软件数据分析、日常保养维护、基础故障判定与处理。</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5.培训设备场地等情况介绍</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投标人在投标文件中将培训场地和培训时所需电脑、投影等办公设备进行阐述。培训时提供容纳足够人数的会议室以及办公用品，提供培训演示PPT和现场操作视频等。</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九、产品质量要求</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1.产品质量及安装符合国家质量标准和验收规范，并响应招标文件所规定技术性能要求，以及中标人承诺的其他指标。</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2.国家具有强制性标准的，所投产品须符合国家强制性标准。</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3.所有设备在到达安装现场时须经招标单位技术人员记录验收后才可进行设备安装，验货时须提交该产品的原厂质量合格证明及服务质保证明文件。</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4.所有设备、附（配）件应具备该类产品的功能要求，无瑕疵和缺陷，质量为合格产品，同时有明确的生产厂商或制造厂商。</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5.缺陷保修：如果设备交付使用后，缺陷多次反复出现，中标方必须提出分析报告和解决方案，更换该产品，直到最后纠正缺陷、投标人提供质保从纠正之日起重新计算质保期。</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6.如果是超出投标人的责任范围的疏忽、误操作等情况而导致的更换修正，应由投标人进行修理，其额外费用由双方协商承担。</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十、验收要求及标准：</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验收：产品运抵招标单位指定地点后，招标单位对所供货物就数量、外观、材质、工艺等基本检测项目进行验收，若有产品损坏、丢失或出现其他不符合招标要求的情况，中标单位应根据招标单位的要求免费补充、更换；设备安装调试完毕后，招标单位组织质量性能验收，若发现中标单位提供的设备及其安装有质量、性能方面的问题招标单位有权拒收或要求中标单位更换、维修直至验收合格。</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2.验收时，中标单位必须参加，由双方签署验收单。</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3.项目完成后，中标单位需提供所投产品生产厂家出具的授权书、质保书、保修证明等相关书面资料，并按国家制造和安装的标准要求检测验收。</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4.本次采购全部内容为“交钥匙”项目，一切费用均包含在报价内，请各投标人认真考虑其各种风险。</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5.验收标准：按本招标文件、投标单位的投标文件、承诺及国家相关标准为准。如双方对验收结果有分歧，则以苏州市技术质量监督局的检验结果为准，检验费用由有过失的一方支付。</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6.货物到达招标单位指定地点后，中标单位应有专人负责看护并派工程技术人员到达现场，在招标单位技术人员在场的情况下开箱清点货物，组织安装、调试及操作培训，并承担因此发生的一切费用。</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7.交货过程中如发现不符合本次采购文件所规定产品，中标单位应无条件退换。</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十一、</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1.投标人须明确所投设备生产厂家、品牌、型号等；须按照投标技术对照表格式对技术参数进行逐条应答、写出具体的数值，投标人必须对所有技术应答负责。</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2.货物到达招标单位指定地点后，投标人应有专人负责看护并在7天内派工程技术人员到达现场，在招标单位技术人员在场的情况下开箱清点货物，组织安装、调试及操作培训，并承担因此发生的一切费用。</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3.设备如涉及易损件，需详细提供设备涉及的所有易损件名称、价格。成交后出现未列出的易损件的，视为免费使用，或者视为虚假应标。</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4.投标人应提供软件版本免费升级服务（如有，在不涉及硬件情况下）。</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投标人不得以“密码”制约用户。如用户工作和维修需要，应无条件免费开放密码。</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投标人对采购人以后设备、系统永久无偿开放。</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如发生投标人怠于提供上述义务而导致采购人损失等，采购人有权要求投标人予以赔偿。</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5.招标单位在设备维护、信息系统升级、他方软件接入等情况时，投标方无条件免费开放接口，并配合招标单位工作。</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报价要求：投标总报价一次报定，包括产品供货、辅助材料、备品备件、运输、仓储、发货、送货、安装、调试、人工、机械、装卸、培训、保险、运费、检测验收、各种税费、利润、劳保、专利技术、质保及政策性文件规定及合同包含的所有风险、责任等完成本次项目所需的一切费用。</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9.付款方式：详见合同条款。</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 xml:space="preserve">10.交货要求</w:t>
      </w:r>
      <w:r>
        <w:rPr>
          <w:rFonts w:hint="eastAsia" w:ascii="宋体" w:hAnsi="宋体" w:eastAsia="宋体" w:cs="宋体"/>
          <w:b w:val="0"/>
          <w:bCs w:val="0"/>
          <w:sz w:val="24"/>
          <w:szCs w:val="24"/>
          <w:highlight w:val="none"/>
          <w:lang w:val="en-US" w:eastAsia="zh-CN"/>
        </w:rPr>
        <w:t xml:space="preserve">：合同签订之日起60天内完成交货并安装调试验收完毕。</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11.交货及安装地点：由乙方负责办理运输将标的物送到招标单位指定地点。</w:t>
      </w:r>
      <w:r/>
    </w:p>
    <w:p>
      <w:pPr>
        <w:ind w:firstLine="480"/>
        <w:keepLines w:val="0"/>
        <w:keepNext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12.本项目接受进口产品。</w:t>
      </w:r>
      <w:r/>
    </w:p>
    <w:p>
      <w:pPr>
        <w:ind w:firstLine="480"/>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13.凡涉及采购文件的补充说明和修改，均以江苏政府采购网、苏州政府采购网上发布的通知为准。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w:t>
      </w:r>
      <w:r>
        <w:rPr>
          <w:rFonts w:hint="eastAsia" w:ascii="宋体" w:hAnsi="宋体" w:eastAsia="宋体" w:cs="宋体"/>
          <w:b/>
          <w:sz w:val="24"/>
          <w:szCs w:val="24"/>
          <w:highlight w:val="none"/>
        </w:rPr>
        <w:t xml:space="preserve">为：</w:t>
      </w:r>
      <w:r>
        <w:rPr>
          <w:rFonts w:hint="eastAsia" w:ascii="宋体" w:hAnsi="宋体" w:eastAsia="宋体" w:cs="宋体"/>
          <w:b/>
          <w:sz w:val="24"/>
          <w:szCs w:val="24"/>
          <w:highlight w:val="none"/>
          <w:lang w:eastAsia="zh-CN"/>
        </w:rPr>
        <w:t xml:space="preserve">工业</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w:t>
      </w:r>
      <w:r>
        <w:rPr>
          <w:rFonts w:hint="eastAsia" w:ascii="宋体" w:hAnsi="宋体" w:eastAsia="宋体" w:cs="宋体"/>
          <w:sz w:val="24"/>
          <w:szCs w:val="24"/>
          <w:highlight w:val="none"/>
        </w:rPr>
        <w:t xml:space="preserve">价给予</w:t>
      </w:r>
      <w:r>
        <w:rPr>
          <w:rFonts w:hint="eastAsia" w:ascii="宋体" w:hAnsi="宋体" w:eastAsia="宋体" w:cs="宋体"/>
          <w:b/>
          <w:sz w:val="24"/>
          <w:szCs w:val="24"/>
          <w:highlight w:val="none"/>
        </w:rPr>
        <w:t xml:space="preserve">20%</w:t>
      </w:r>
      <w:r>
        <w:rPr>
          <w:rFonts w:hint="eastAsia" w:ascii="宋体" w:hAnsi="宋体" w:eastAsia="宋体" w:cs="宋体"/>
          <w:sz w:val="24"/>
          <w:szCs w:val="24"/>
          <w:highlight w:val="none"/>
        </w:rPr>
        <w:t xml:space="preserve">的扣除，</w:t>
      </w:r>
      <w:r>
        <w:rPr>
          <w:rFonts w:hint="eastAsia" w:ascii="宋体" w:hAnsi="宋体" w:eastAsia="宋体" w:cs="宋体"/>
          <w:sz w:val="24"/>
          <w:szCs w:val="24"/>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60" w:name="OLE_LINK13"/>
      <w:r>
        <w:rPr>
          <w:rFonts w:hint="eastAsia" w:ascii="宋体" w:hAnsi="宋体" w:eastAsia="宋体" w:cs="宋体"/>
          <w:sz w:val="24"/>
          <w:szCs w:val="24"/>
          <w:lang w:val="zh-CN"/>
        </w:rPr>
        <w:t xml:space="preserve">（国办发［2025］34号）</w:t>
      </w:r>
      <w:bookmarkEnd w:id="60"/>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w:t>
      </w:r>
      <w:r>
        <w:rPr>
          <w:rFonts w:hint="eastAsia" w:ascii="宋体" w:hAnsi="宋体" w:eastAsia="宋体" w:cs="宋体"/>
          <w:sz w:val="24"/>
          <w:szCs w:val="24"/>
          <w:highlight w:val="none"/>
        </w:rPr>
        <w:t xml:space="preserve">价给予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rPr>
        <w:t xml:space="preserve">，用扣除后的价格参与评审。供应商应提供《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978"/>
        <w:jc w:val="center"/>
        <w:spacing w:line="360" w:lineRule="auto"/>
        <w:rPr>
          <w:rFonts w:hint="eastAsia" w:ascii="宋体" w:hAnsi="宋体" w:eastAsia="宋体"/>
          <w:sz w:val="48"/>
          <w:szCs w:val="48"/>
        </w:rPr>
      </w:pPr>
      <w:r/>
      <w:bookmarkStart w:id="61" w:name="_Toc396747046"/>
      <w:r/>
      <w:bookmarkStart w:id="62" w:name="_Toc27821"/>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61"/>
      <w:r/>
      <w:bookmarkEnd w:id="62"/>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bookmarkEnd w:id="59"/>
      <w:r/>
      <w:r/>
    </w:p>
    <w:p>
      <w:pPr>
        <w:jc w:val="center"/>
        <w:spacing w:line="360" w:lineRule="auto"/>
        <w:rPr>
          <w:rFonts w:hint="eastAsia" w:ascii="宋体" w:hAnsi="宋体" w:eastAsia="宋体"/>
          <w:b/>
          <w:sz w:val="32"/>
          <w:szCs w:val="32"/>
        </w:rPr>
      </w:pPr>
      <w:r/>
      <w:bookmarkStart w:id="63" w:name="_Toc13889378"/>
      <w:r/>
      <w:bookmarkStart w:id="64" w:name="_Toc13642118"/>
      <w:r>
        <w:rPr>
          <w:rFonts w:hint="eastAsia" w:ascii="宋体" w:hAnsi="宋体" w:eastAsia="宋体"/>
          <w:b/>
          <w:sz w:val="32"/>
          <w:szCs w:val="32"/>
        </w:rPr>
        <w:t xml:space="preserve">合同一般条款</w:t>
      </w:r>
      <w:r/>
    </w:p>
    <w:p>
      <w:pPr>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一、合同文件</w:t>
      </w:r>
      <w:r/>
    </w:p>
    <w:p>
      <w:pPr>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color w:val="auto"/>
          <w:sz w:val="24"/>
          <w:szCs w:val="24"/>
          <w:highlight w:val="none"/>
          <w:lang w:val="zh-CN"/>
        </w:rPr>
        <w:t xml:space="preserve">合同文件适用法律</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1.1适用于合同文件的法律是中华人民共和国现行法律、法规及甲方所在地的地方性法规。</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2. 合同文件组成和解释顺序</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2.1合同文件的组成和解释顺序如下：</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2.1.1 合同的特殊性条款</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2.1.2 合同的一般性条款</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2.1.3 洽商、变更等明确双方权利义务的纪要、协议</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2.1.4 中标通知书、投标书和采购文件</w:t>
      </w:r>
      <w:r/>
    </w:p>
    <w:p>
      <w:pPr>
        <w:ind w:firstLine="425"/>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2.1.5 标准、规范和其它有关技术资料、技术要求</w:t>
      </w:r>
      <w:r/>
    </w:p>
    <w:p>
      <w:pPr>
        <w:ind w:firstLine="425"/>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2.1.6乙方在招投标过程中所作的其他承诺、声明、书面澄清等</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2.2 合同的特殊性条款的效力优于合同的一般性条款的效力</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3. 合同文件使用文字</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3.1 合同文件使用中文书写、解释和说明</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二、标的物的一般条款</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4.  完整物权</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5.  质量保证</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5.1  乙方应保证所提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6.  包装</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 售后服务</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7.1设备质保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7.2按合同定期到货，安装前乙方需把设备资料报甲方审核；</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7.3终身维修并标明保修期后的具体维修维护事宜；</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7.4在质保期满后，乙方需长期提供优惠价格的主要零配件；</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7.5乙方保证接到故障报修通知后，工程师 12 小时内到达现场，48 小时内需完成维修；如需更换设备或送修，乙方应在48小时内完成处理，并在更换或维修期间提供备用设备，确保系统正常运行。乙方逾期未到场维修、未完成维修或未提供备用设备的，每逾期1日，应按合同总金额的千分之一向甲方支付违约金。逾期超过7日的，甲方有权自行或委托第三方进行维修或提供备用设备，产生的全部费用由乙方承担，甲方有权从乙方未结款项或质保金中直接扣除；不足部分，甲方有权继续向乙方追偿。</w:t>
      </w:r>
      <w:r>
        <w:rPr>
          <w:rFonts w:hint="eastAsia" w:ascii="宋体" w:hAnsi="宋体" w:eastAsia="宋体" w:cs="宋体"/>
          <w:color w:val="auto"/>
          <w:sz w:val="24"/>
          <w:szCs w:val="24"/>
          <w:highlight w:val="none"/>
          <w:lang w:val="zh-CN" w:eastAsia="zh-CN"/>
        </w:rPr>
        <w:t xml:space="preserve">出现核心硬件重大故障时，承诺5个工作日内完成备件调配、更换与整机修复</w:t>
      </w:r>
      <w:r>
        <w:rPr>
          <w:rFonts w:hint="eastAsia" w:ascii="宋体" w:hAnsi="宋体" w:eastAsia="宋体" w:cs="宋体"/>
          <w:color w:val="auto"/>
          <w:sz w:val="24"/>
          <w:szCs w:val="24"/>
          <w:highlight w:val="none"/>
          <w:lang w:val="zh-CN"/>
        </w:rPr>
        <w:t xml:space="preserve">。</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三、标的物的交付、检验和验收</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8.标的物的交付</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8.1 标的物的所有权自标的物交付时转移。</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8.2 乙方应当按照约定的期限和约定的地点交付标的物。</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8.3 乙方应当按照约定或者交易习惯向甲方交付提取标的物单证以外的有关单证和资料。</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9. </w:t>
      </w:r>
      <w:r>
        <w:rPr>
          <w:rFonts w:hint="eastAsia" w:ascii="宋体" w:hAnsi="宋体" w:eastAsia="宋体" w:cs="宋体"/>
          <w:color w:val="auto"/>
          <w:sz w:val="24"/>
          <w:szCs w:val="24"/>
          <w:highlight w:val="none"/>
          <w:lang w:val="zh-CN"/>
        </w:rPr>
        <w:t xml:space="preserve">验收标准和方式：</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9.1验收条件：</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（2）投标设备由甲方及有关部门进行验收；</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9.2验收方式：</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（2）验收合格后，甲乙双方共同签署验收报告</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四、对标的物提出异议的时间和办法</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10.  对标的物提出异议的时间和办法 </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五、合同价款和支付</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w:t>
      </w:r>
      <w:r>
        <w:rPr>
          <w:rFonts w:hint="eastAsia" w:ascii="宋体" w:hAnsi="宋体" w:eastAsia="宋体" w:cs="宋体"/>
          <w:b/>
          <w:bCs/>
          <w:color w:val="auto"/>
          <w:sz w:val="24"/>
          <w:szCs w:val="24"/>
          <w:highlight w:val="none"/>
          <w:lang w:val="zh-CN"/>
        </w:rPr>
        <w:t xml:space="preserve">合同价款和支付</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11.1本合同的结算货币为人民币，单位元。</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11.2.1合格的销售发票；</w:t>
      </w:r>
      <w:r/>
    </w:p>
    <w:p>
      <w:pPr>
        <w:ind w:firstLine="425"/>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11.2.2甲方签收后的送货回单和验收合格证明。</w:t>
      </w:r>
      <w:r/>
    </w:p>
    <w:p>
      <w:pPr>
        <w:ind w:firstLine="425"/>
        <w:spacing w:line="3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11.2.3 由甲乙双方及采购代理机构签章的《苏州市政府采购合同履行验收报告》。</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11.3 甲方应按合同特殊条款规定的期限和方式付款。</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六、违约责任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12.2甲方违约责任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w:t>
      </w:r>
      <w:r>
        <w:rPr>
          <w:rFonts w:hint="eastAsia" w:ascii="宋体" w:hAnsi="宋体" w:eastAsia="宋体" w:cs="宋体"/>
          <w:color w:val="auto"/>
          <w:sz w:val="24"/>
          <w:szCs w:val="24"/>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w:t>
      </w:r>
      <w:r>
        <w:rPr>
          <w:rFonts w:hint="eastAsia" w:ascii="宋体" w:hAnsi="宋体" w:eastAsia="宋体" w:cs="宋体"/>
          <w:color w:val="auto"/>
          <w:sz w:val="24"/>
          <w:szCs w:val="24"/>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12.3</w:t>
      </w:r>
      <w:r>
        <w:rPr>
          <w:rFonts w:hint="eastAsia" w:ascii="宋体" w:hAnsi="宋体" w:eastAsia="宋体" w:cs="宋体"/>
          <w:b/>
          <w:bCs/>
          <w:color w:val="auto"/>
          <w:sz w:val="24"/>
          <w:szCs w:val="24"/>
          <w:highlight w:val="none"/>
          <w:lang w:val="zh-CN"/>
        </w:rPr>
        <w:t xml:space="preserve">乙方违约责任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12.3.2</w:t>
      </w:r>
      <w:r>
        <w:rPr>
          <w:rFonts w:hint="eastAsia" w:ascii="宋体" w:hAnsi="宋体" w:eastAsia="宋体" w:cs="宋体"/>
          <w:color w:val="auto"/>
          <w:sz w:val="24"/>
          <w:szCs w:val="24"/>
          <w:highlight w:val="none"/>
          <w:lang w:val="zh-CN"/>
        </w:rPr>
        <w:t xml:space="preserve">乙方逾期交货的，应在发货前与甲方协商，甲方仍需求的，乙方应立即发货并应按照逾期交货部分货款的每天千分之四支付逾期交货违约金，同时承担甲方因此遭致的损失</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12.3.3 乙方对在合同履行过程中知悉的甲方业务信息、技术资料等负有保密义务，未经甲方书面同意不得向任何第三方披露或使用。乙方违反本义务的，应向甲方支付合同总价款【】%的违约金；造成损失的，还应赔偿甲方全部损失。</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12.3.4 如因乙方提供的设备或其任何部分侵犯第三方知识产权，导致甲方被索赔或诉讼的，乙方应承担全部赔偿责任，包括但不限于赔偿金、诉讼费、律师费，并向甲方支付合同总价款【】%的违约金。费用。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rPr>
          <w:rFonts w:hint="eastAsia" w:ascii="宋体" w:hAnsi="宋体" w:eastAsia="宋体" w:cs="宋体"/>
          <w:b/>
          <w:bCs/>
          <w:color w:val="auto"/>
          <w:sz w:val="24"/>
          <w:szCs w:val="24"/>
          <w:highlight w:val="none"/>
          <w:lang w:val="zh-CN"/>
        </w:rPr>
        <w:t xml:space="preserve">不可抗力</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 合同一方因不可抗力不能履行合同的，应当及时通知对方，以减轻可能给对方造成的损失，并应当在合理期限内提供证明。</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八、索赔</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14. 索赔</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14.1甲方有权根据当地产品质量检验机构或其它有权部门出具的检验证书向乙方提出索赔。</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14.2.2 根据标的物的低劣程度、损坏程度以及甲方遭受损失的数额，经双方协商确定降低标的物的价格。</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14.4  甲方提出索赔的书面材料应报政府采购监督管理部门备案。同时乙方同意的索赔方案也应报政府采购监督管理部门备案。</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九、合同的解除和转让</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w:t>
      </w:r>
      <w:r>
        <w:rPr>
          <w:rFonts w:hint="eastAsia" w:ascii="宋体" w:hAnsi="宋体" w:eastAsia="宋体" w:cs="宋体"/>
          <w:b/>
          <w:bCs/>
          <w:color w:val="auto"/>
          <w:sz w:val="24"/>
          <w:szCs w:val="24"/>
          <w:highlight w:val="none"/>
          <w:lang w:val="zh-CN"/>
        </w:rPr>
        <w:t xml:space="preserve">合同的解除</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val="zh-CN"/>
        </w:rPr>
        <w:t xml:space="preserve">有下列情形之一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合同一方可以解除合同</w:t>
      </w:r>
      <w:r>
        <w:rPr>
          <w:rFonts w:hint="eastAsia" w:ascii="宋体" w:hAnsi="宋体" w:eastAsia="宋体" w:cs="宋体"/>
          <w:color w:val="auto"/>
          <w:sz w:val="24"/>
          <w:szCs w:val="24"/>
          <w:highlight w:val="none"/>
        </w:rPr>
        <w:t xml:space="preserve">：</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15.1.1 因不可抗力致使不能实现合同目的，未受不可抗力影响的一方有权解除合同；</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15.1.2 因合同一方违约导致合同不能履行，另一方有权解除合同；</w:t>
      </w:r>
      <w:r/>
    </w:p>
    <w:p>
      <w:pPr>
        <w:ind w:firstLine="425"/>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15.2 有权解除合同的一方，应当在违约事实或不可抗力发生之后三十天内书面通知对方以主张解除合同，合同在书面通知到达对方时解除。</w:t>
      </w:r>
      <w:r/>
    </w:p>
    <w:p>
      <w:pPr>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16. 合同的转让</w:t>
      </w:r>
      <w:r/>
    </w:p>
    <w:p>
      <w:pPr>
        <w:ind w:right="-159"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合同不得转让。</w:t>
      </w:r>
      <w:r/>
    </w:p>
    <w:p>
      <w:pPr>
        <w:spacing w:line="40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zh-CN"/>
        </w:rPr>
        <w:t xml:space="preserve">、争议解决</w:t>
      </w:r>
      <w:r>
        <w:rPr>
          <w:rFonts w:hint="eastAsia" w:ascii="宋体" w:hAnsi="宋体" w:eastAsia="宋体" w:cs="宋体"/>
          <w:b/>
          <w:bCs/>
          <w:color w:val="auto"/>
          <w:sz w:val="24"/>
          <w:szCs w:val="24"/>
          <w:highlight w:val="none"/>
        </w:rPr>
        <w:t xml:space="preserve">及未尽事宜</w:t>
      </w:r>
      <w:r/>
    </w:p>
    <w:p>
      <w:pPr>
        <w:ind w:right="-159"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17.争议解决</w:t>
      </w:r>
      <w:r/>
    </w:p>
    <w:p>
      <w:pPr>
        <w:ind w:right="-159"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甲乙双方因合同发生争议，应在代理机构的主持下进行调解，协商不成，任何一方可以向甲方所在地人民法院起诉。</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十一、附则</w:t>
      </w:r>
      <w:r/>
    </w:p>
    <w:p>
      <w:pPr>
        <w:ind w:firstLine="42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18. 合同份数。</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本合同一式四份，甲方两份、乙方及采购代理机构各执一份，</w:t>
      </w:r>
      <w:r>
        <w:rPr>
          <w:rFonts w:hint="eastAsia" w:ascii="宋体" w:hAnsi="宋体" w:eastAsia="宋体" w:cs="宋体"/>
          <w:color w:val="auto"/>
          <w:sz w:val="24"/>
          <w:szCs w:val="24"/>
          <w:highlight w:val="none"/>
          <w:lang w:val="en-US" w:eastAsia="zh-CN"/>
        </w:rPr>
        <w:t xml:space="preserve">各份具有同等法律效力</w:t>
      </w:r>
      <w:r>
        <w:rPr>
          <w:rFonts w:hint="eastAsia" w:ascii="宋体" w:hAnsi="宋体" w:eastAsia="宋体" w:cs="宋体"/>
          <w:color w:val="auto"/>
          <w:sz w:val="24"/>
          <w:szCs w:val="24"/>
          <w:highlight w:val="none"/>
          <w:lang w:val="zh-CN"/>
        </w:rPr>
        <w:t xml:space="preserve">。</w:t>
      </w:r>
      <w:r/>
    </w:p>
    <w:p>
      <w:pPr>
        <w:ind w:firstLine="422"/>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19. 未尽事宜</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本合同未尽事宜应按《中华人民共和国政府采购法》及其它有关政府采购的法律法规的规定执行。</w:t>
      </w:r>
      <w:r/>
    </w:p>
    <w:p>
      <w:pPr>
        <w:jc w:val="center"/>
        <w:spacing w:line="360" w:lineRule="auto"/>
        <w:rPr>
          <w:rFonts w:hint="eastAsia" w:ascii="宋体" w:hAnsi="宋体" w:eastAsia="宋体"/>
          <w:b/>
          <w:sz w:val="32"/>
          <w:szCs w:val="32"/>
        </w:rPr>
      </w:pPr>
      <w:r>
        <w:rPr>
          <w:rFonts w:ascii="宋体" w:hAnsi="宋体"/>
          <w:color w:val="auto"/>
          <w:szCs w:val="21"/>
          <w:highlight w:val="none"/>
        </w:rPr>
        <w:br w:type="page" w:clear="all"/>
      </w:r>
      <w:r>
        <w:rPr>
          <w:rFonts w:hint="eastAsia" w:ascii="宋体" w:hAnsi="宋体" w:eastAsia="宋体"/>
          <w:b/>
          <w:sz w:val="32"/>
          <w:szCs w:val="32"/>
        </w:rPr>
        <w:t xml:space="preserve">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甲方：</w:t>
      </w:r>
      <w:r/>
    </w:p>
    <w:p>
      <w:pPr>
        <w:ind w:firstLine="425"/>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乙方：</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根据苏州市政府采购编号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采购文件及乙方中标的投标文件和中标通知书，甲乙双方就此次中标的事宜，签订本合同书。</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一、合同内容：</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、乙方负责完成甲方的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，详见《标的物清单》。</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、下列文件为本合同不可分割部分：</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2.1采购文件；</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2.2乙方中标的投标书；</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2.3乙方在招投标过程中所作的其他承诺、声明、书面澄清等；</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2.4中标通知书。</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二、价格与支付：</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1、合同价格按此次中标价格执行，合同总金额为人民币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元，投标总价一次报定，</w:t>
      </w:r>
      <w:r>
        <w:rPr>
          <w:rFonts w:hint="eastAsia" w:ascii="宋体" w:hAnsi="宋体" w:eastAsia="宋体" w:cs="宋体"/>
          <w:color w:val="auto"/>
          <w:sz w:val="24"/>
          <w:szCs w:val="24"/>
          <w:highlight w:val="none"/>
        </w:rPr>
        <w:t xml:space="preserve">总报价</w:t>
      </w:r>
      <w:r>
        <w:rPr>
          <w:rFonts w:hint="eastAsia" w:hAnsi="宋体" w:eastAsia="宋体"/>
          <w:sz w:val="24"/>
          <w:highlight w:val="none"/>
          <w:lang w:eastAsia="zh-CN"/>
        </w:rPr>
        <w:t xml:space="preserve">包括产品供货、辅助材料、备品备件、运输、仓储、发货、送货、安装、调试、人工、机械、装卸、培训、保险、运费、检测验收、各种税费、</w:t>
      </w:r>
      <w:r>
        <w:rPr>
          <w:rFonts w:hint="eastAsia" w:hAnsi="宋体" w:eastAsia="宋体"/>
          <w:sz w:val="24"/>
          <w:highlight w:val="none"/>
          <w:lang w:val="en-US" w:eastAsia="zh-CN"/>
        </w:rPr>
        <w:t xml:space="preserve">利润、</w:t>
      </w:r>
      <w:r>
        <w:rPr>
          <w:rFonts w:hint="eastAsia" w:hAnsi="宋体" w:eastAsia="宋体"/>
          <w:sz w:val="24"/>
          <w:highlight w:val="none"/>
          <w:lang w:eastAsia="zh-CN"/>
        </w:rPr>
        <w:t xml:space="preserve">劳保、专利技术、质保</w:t>
      </w:r>
      <w:r>
        <w:rPr>
          <w:rFonts w:hint="eastAsia" w:hAnsi="宋体" w:eastAsia="宋体"/>
          <w:sz w:val="24"/>
          <w:highlight w:val="none"/>
          <w:lang w:val="en-US" w:eastAsia="zh-CN"/>
        </w:rPr>
        <w:t xml:space="preserve">及</w:t>
      </w:r>
      <w:r>
        <w:rPr>
          <w:rFonts w:hint="eastAsia" w:ascii="宋体" w:hAnsi="宋体" w:eastAsia="宋体" w:cs="宋体"/>
          <w:color w:val="auto"/>
          <w:sz w:val="24"/>
          <w:szCs w:val="24"/>
          <w:highlight w:val="none"/>
          <w:lang w:val="zh-CN"/>
        </w:rPr>
        <w:t xml:space="preserve">政策性文件规定及合同包含的所有风险、责任</w:t>
      </w:r>
      <w:r>
        <w:rPr>
          <w:rFonts w:hint="eastAsia" w:hAnsi="宋体" w:eastAsia="宋体"/>
          <w:sz w:val="24"/>
          <w:highlight w:val="none"/>
          <w:lang w:eastAsia="zh-CN"/>
        </w:rPr>
        <w:t xml:space="preserve">等完成本次项目所需的一切费用</w:t>
      </w:r>
      <w:r>
        <w:rPr>
          <w:rFonts w:hint="eastAsia" w:ascii="宋体" w:hAnsi="宋体" w:eastAsia="宋体" w:cs="宋体"/>
          <w:color w:val="auto"/>
          <w:sz w:val="24"/>
          <w:szCs w:val="24"/>
          <w:highlight w:val="none"/>
        </w:rPr>
        <w:t xml:space="preserve">。</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w:t>
      </w:r>
      <w:r/>
    </w:p>
    <w:p>
      <w:pPr>
        <w:ind w:firstLine="420"/>
        <w:spacing w:line="3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在政府采购合同签订生效后，</w:t>
      </w:r>
      <w:r>
        <w:rPr>
          <w:rFonts w:hint="eastAsia" w:ascii="宋体" w:hAnsi="宋体" w:eastAsia="宋体" w:cs="宋体"/>
          <w:color w:val="auto"/>
          <w:sz w:val="24"/>
          <w:szCs w:val="24"/>
          <w:highlight w:val="none"/>
          <w:lang w:val="en-US" w:eastAsia="zh-CN"/>
        </w:rPr>
        <w:t xml:space="preserve">甲方向乙方付至合同金额的30%；</w:t>
      </w:r>
      <w:r>
        <w:rPr>
          <w:rFonts w:hint="eastAsia" w:ascii="宋体" w:hAnsi="宋体" w:eastAsia="宋体" w:cs="宋体"/>
          <w:color w:val="auto"/>
          <w:sz w:val="24"/>
          <w:szCs w:val="24"/>
          <w:highlight w:val="none"/>
          <w:lang w:val="zh-CN"/>
        </w:rPr>
        <w:t xml:space="preserve">待所有货物到达甲方指定地点，设备安装调试完毕，经甲方最终验收合格，并向甲方提供下列单据（A、B、C）后，余款在验收合格后支付。</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A、甲方签收的送货回单。</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B、合格销售发票。</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C、由甲乙双方及采购代理机构签章的《苏州市政府采购合同履行验收报告》。</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三、质量与验收：</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1、乙方应按照标书的有关规定提供合格设备；</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2、质保期内设备质量出现问题，乙方负责包修、包退、包换，费用由乙方承担；</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3、设备的验收包括：数量、外观、质量、性能、质保单、包装和乙方承诺的其它指标；</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4、验收标准：根据标书要求及有关规定并按国家最新行业标准进行验收通过；</w:t>
      </w:r>
      <w:r/>
    </w:p>
    <w:p>
      <w:pPr>
        <w:ind w:firstLine="42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5、乙方交付验收时应先用书面方式通告甲方；</w:t>
      </w:r>
      <w:r/>
    </w:p>
    <w:p>
      <w:pPr>
        <w:ind w:firstLine="42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鉴于信息化的快速发展以及甲方自身各类发展需求，乙方应无条件向甲方及甲方合作方开放或提供标的物原生具备的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四、售后服务：</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、鉴于信息化的快速发展以及甲方自身各类发展需求，乙方应无条件向甲方及甲方合作方开放或提供各类端口或信息采集口，对此乙方予以再次确认且无权收取任何费用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如乙方不予配合，则甲方有权直接终止本合同并不予支付任何款项(如己支付、则乙方须全额归还)、不予退回履约保证金等，且有权要求乙方承担本合同总金额20%违约金。</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、其他要求按照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文件和乙方在投标书中承诺的服务执行。</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五、交货和安装：</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1、交货时间：合同签订生效接甲方进场通知后60天内供货并安装调试结束。</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2、交货地点：由乙方负责办理运输将标的物送到</w:t>
      </w:r>
      <w:r>
        <w:rPr>
          <w:rFonts w:hint="eastAsia" w:ascii="宋体" w:hAnsi="宋体" w:eastAsia="宋体" w:cs="宋体"/>
          <w:color w:val="auto"/>
          <w:sz w:val="24"/>
          <w:szCs w:val="24"/>
          <w:highlight w:val="none"/>
          <w:lang w:val="en-US" w:eastAsia="zh-CN"/>
        </w:rPr>
        <w:t xml:space="preserve">甲方指定地点</w:t>
      </w:r>
      <w:r>
        <w:rPr>
          <w:rFonts w:hint="eastAsia" w:ascii="宋体" w:hAnsi="宋体" w:eastAsia="宋体" w:cs="宋体"/>
          <w:color w:val="auto"/>
          <w:sz w:val="24"/>
          <w:szCs w:val="24"/>
          <w:highlight w:val="none"/>
        </w:rPr>
        <w:t xml:space="preserve">。</w:t>
      </w:r>
      <w:r/>
    </w:p>
    <w:p>
      <w:pPr>
        <w:ind w:firstLine="420"/>
        <w:spacing w:line="3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2020〕8号）。</w:t>
      </w:r>
      <w:r/>
    </w:p>
    <w:p>
      <w:pPr>
        <w:ind w:firstLine="425"/>
        <w:spacing w:line="4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六、违约责任：</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按采购文件的规定执行。</w:t>
      </w:r>
      <w:r/>
    </w:p>
    <w:p>
      <w:pPr>
        <w:ind w:firstLine="425"/>
        <w:spacing w:line="40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七、合同生效及其它：</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双方签名盖章后即生效。</w:t>
      </w:r>
      <w:r/>
    </w:p>
    <w:p>
      <w:pPr>
        <w:ind w:firstLine="425"/>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r>
      <w:r/>
    </w:p>
    <w:p>
      <w:pPr>
        <w:keepLines w:val="0"/>
        <w:keepNext w:val="0"/>
        <w:pageBreakBefore w:val="0"/>
        <w:spacing w:line="360" w:lineRule="auto"/>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zh-CN"/>
        </w:rPr>
        <w:t xml:space="preserve">甲方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zh-CN"/>
        </w:rPr>
        <w:t xml:space="preserve">乙方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w:t>
      </w:r>
      <w:r/>
    </w:p>
    <w:p>
      <w:pPr>
        <w:pStyle w:val="1183"/>
        <w:ind w:firstLine="480"/>
        <w:keepLines w:val="0"/>
        <w:keepNext w:val="0"/>
        <w:pageBreakBefore w:val="0"/>
        <w:spacing w:line="360" w:lineRule="auto"/>
        <w:tabs>
          <w:tab w:val="center" w:pos="4201" w:leader="none"/>
          <w:tab w:val="right" w:pos="9298" w:leader="dot"/>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p>
    <w:p>
      <w:pPr>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hAnsi="宋体" w:eastAsia="宋体"/>
          <w:sz w:val="32"/>
          <w:szCs w:val="32"/>
        </w:rPr>
      </w:pPr>
      <w:r>
        <w:rPr>
          <w:rFonts w:hint="eastAsia" w:ascii="宋体" w:hAnsi="宋体" w:eastAsia="宋体" w:cs="宋体"/>
          <w:sz w:val="24"/>
          <w:szCs w:val="24"/>
        </w:rPr>
        <w:t xml:space="preserve">      </w:t>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rFonts w:hint="eastAsia" w:hAnsi="宋体" w:eastAsia="宋体"/>
          <w:sz w:val="32"/>
          <w:szCs w:val="32"/>
        </w:rPr>
      </w:pPr>
      <w:r>
        <w:rPr>
          <w:rFonts w:hint="eastAsia" w:hAnsi="宋体" w:eastAsia="宋体"/>
          <w:sz w:val="32"/>
          <w:szCs w:val="32"/>
        </w:rPr>
      </w:r>
      <w:r/>
    </w:p>
    <w:p>
      <w:pPr>
        <w:pStyle w:val="1080"/>
        <w:rPr>
          <w:sz w:val="32"/>
          <w:szCs w:val="32"/>
        </w:rPr>
      </w:pPr>
      <w:r>
        <w:rPr>
          <w:sz w:val="32"/>
          <w:szCs w:val="32"/>
        </w:rPr>
      </w:r>
      <w:r/>
    </w:p>
    <w:p>
      <w:pPr>
        <w:pStyle w:val="978"/>
        <w:jc w:val="center"/>
        <w:spacing w:line="360" w:lineRule="auto"/>
        <w:rPr>
          <w:rFonts w:hint="eastAsia" w:ascii="宋体" w:hAnsi="宋体" w:eastAsia="宋体"/>
          <w:sz w:val="52"/>
        </w:rPr>
      </w:pPr>
      <w:r/>
      <w:bookmarkStart w:id="65" w:name="_Toc7042"/>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3"/>
      <w:r/>
      <w:bookmarkEnd w:id="64"/>
      <w:r>
        <w:rPr>
          <w:rFonts w:hint="eastAsia" w:ascii="宋体" w:hAnsi="宋体" w:eastAsia="宋体"/>
          <w:sz w:val="52"/>
        </w:rPr>
        <w:t xml:space="preserve">标准</w:t>
      </w:r>
      <w:bookmarkEnd w:id="65"/>
      <w:r/>
      <w:r/>
    </w:p>
    <w:p>
      <w:pPr>
        <w:spacing w:line="360" w:lineRule="auto"/>
        <w:rPr>
          <w:rFonts w:hint="eastAsia" w:ascii="宋体" w:hAnsi="宋体" w:eastAsia="宋体"/>
        </w:rPr>
      </w:pPr>
      <w:r/>
      <w:bookmarkStart w:id="66" w:name="OLE_LINK2"/>
      <w:r>
        <w:rPr>
          <w:rFonts w:ascii="宋体" w:hAnsi="宋体" w:eastAsia="宋体"/>
        </w:rPr>
        <w:br w:type="page" w:clear="all"/>
      </w:r>
      <w:bookmarkEnd w:id="66"/>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2、综合评分的主要因素为：价格、技术水平、履约能力、售后服务等，对采购文件的响应程度，以及相应的商务标和技术标比重或者分值等。</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评标结果按评审后得分由高到低顺序排列。</w:t>
      </w:r>
      <w:bookmarkStart w:id="67" w:name="_Hlk124435667"/>
      <w:r>
        <w:rPr>
          <w:rFonts w:hint="eastAsia" w:ascii="宋体" w:hAnsi="宋体" w:eastAsia="宋体" w:cs="宋体"/>
          <w:b w:val="0"/>
          <w:bCs w:val="0"/>
          <w:sz w:val="24"/>
          <w:szCs w:val="24"/>
        </w:rPr>
        <w:t xml:space="preserve">得分相同的，按投标报价由低到高顺序排列。得分且投标报价相同的抽签确定排序。投标文件满足招标文件全部实质性要求，按照评审因素的量化指标评审得分推荐中标候选人顺序。</w:t>
      </w:r>
      <w:bookmarkEnd w:id="67"/>
      <w:r/>
      <w:r/>
    </w:p>
    <w:p>
      <w:pPr>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lang w:val="en-US" w:eastAsia="zh-CN"/>
        </w:rPr>
        <w:t xml:space="preserve">招标单位</w:t>
      </w:r>
      <w:r>
        <w:rPr>
          <w:rFonts w:hint="eastAsia" w:ascii="宋体" w:hAnsi="宋体" w:eastAsia="宋体" w:cs="宋体"/>
          <w:b w:val="0"/>
          <w:bCs w:val="0"/>
          <w:sz w:val="24"/>
          <w:szCs w:val="24"/>
        </w:rPr>
        <w:t xml:space="preserve">已书面授权评标委员会直接确定中标供应商。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zh-CN"/>
        </w:rPr>
        <w:t xml:space="preserve">（一）价格分：最高为30分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第一步：投标总报价低于或等于</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val="zh-CN"/>
        </w:rPr>
        <w:t xml:space="preserve">预算价格的，为有效投标报价。超采购预算的投标报价为无效投标报价。无效投标报价的投标文件不得中标。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投标报价得分=（评标基准价/投标报价）*价格权值*100，小数点后保留两位（价格权值为30%）</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（二）技术参数比较（</w:t>
      </w:r>
      <w:r>
        <w:rPr>
          <w:rFonts w:hint="eastAsia" w:ascii="宋体" w:hAnsi="宋体" w:eastAsia="宋体" w:cs="宋体"/>
          <w:b/>
          <w:bCs/>
          <w:sz w:val="24"/>
          <w:szCs w:val="24"/>
          <w:lang w:val="en-US" w:eastAsia="zh-CN"/>
        </w:rPr>
        <w:t xml:space="preserve">28</w:t>
      </w:r>
      <w:r>
        <w:rPr>
          <w:rFonts w:hint="eastAsia" w:ascii="宋体" w:hAnsi="宋体" w:eastAsia="宋体" w:cs="宋体"/>
          <w:b/>
          <w:bCs/>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投标单位结合第四章招标书中“</w:t>
      </w:r>
      <w:r>
        <w:rPr>
          <w:rFonts w:hint="eastAsia" w:ascii="宋体" w:hAnsi="宋体" w:eastAsia="宋体" w:cs="宋体"/>
          <w:b/>
          <w:bCs/>
          <w:sz w:val="24"/>
          <w:szCs w:val="24"/>
          <w:lang w:val="zh-CN" w:eastAsia="zh-CN"/>
        </w:rPr>
        <w:t xml:space="preserve">招标</w:t>
      </w:r>
      <w:r>
        <w:rPr>
          <w:rFonts w:hint="eastAsia" w:ascii="宋体" w:hAnsi="宋体" w:eastAsia="宋体" w:cs="宋体"/>
          <w:b/>
          <w:bCs/>
          <w:sz w:val="24"/>
          <w:szCs w:val="24"/>
          <w:lang w:val="zh-CN"/>
        </w:rPr>
        <w:t xml:space="preserve">清单及产品具体技术要求</w:t>
      </w:r>
      <w:r>
        <w:rPr>
          <w:rFonts w:hint="eastAsia" w:ascii="宋体" w:hAnsi="宋体" w:eastAsia="宋体" w:cs="宋体"/>
          <w:sz w:val="24"/>
          <w:szCs w:val="24"/>
          <w:lang w:val="zh-CN"/>
        </w:rPr>
        <w:t xml:space="preserve">”中的参数进行响应，注</w:t>
      </w:r>
      <w:bookmarkStart w:id="68" w:name="OLE_LINK7"/>
      <w:r>
        <w:rPr>
          <w:rFonts w:hint="eastAsia" w:ascii="宋体" w:hAnsi="宋体" w:eastAsia="宋体" w:cs="宋体"/>
          <w:sz w:val="24"/>
          <w:szCs w:val="24"/>
          <w:lang w:val="zh-CN"/>
        </w:rPr>
        <w:t xml:space="preserve">★</w:t>
      </w:r>
      <w:bookmarkEnd w:id="68"/>
      <w:r>
        <w:rPr>
          <w:rFonts w:hint="eastAsia" w:ascii="宋体" w:hAnsi="宋体" w:eastAsia="宋体" w:cs="宋体"/>
          <w:sz w:val="24"/>
          <w:szCs w:val="24"/>
          <w:lang w:val="zh-CN"/>
        </w:rPr>
        <w:t xml:space="preserve">项参数</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项。</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评委会根据所投设备的技术参数响应情况进行打分。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1、注★项参数都符合采购要求，得</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lang w:val="zh-CN"/>
        </w:rPr>
        <w:t xml:space="preserve">分。若出现负偏离，每负偏离一项扣</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分。扣完为止。</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2、其余技术参数为实质性响应参数，不允许出现负偏离，否则为无效投标。</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注：上述注★参数按照</w:t>
      </w:r>
      <w:r>
        <w:rPr>
          <w:rFonts w:hint="eastAsia" w:ascii="宋体" w:hAnsi="宋体" w:eastAsia="宋体" w:cs="宋体"/>
          <w:sz w:val="24"/>
          <w:szCs w:val="24"/>
          <w:highlight w:val="none"/>
          <w:lang w:val="zh-CN"/>
        </w:rPr>
        <w:t xml:space="preserve">采购需求中要求提供的佐证材料加盖厂家公章，否则</w:t>
      </w:r>
      <w:r>
        <w:rPr>
          <w:rFonts w:hint="eastAsia" w:ascii="宋体" w:hAnsi="宋体" w:eastAsia="宋体" w:cs="宋体"/>
          <w:sz w:val="24"/>
          <w:szCs w:val="24"/>
          <w:lang w:val="zh-CN"/>
        </w:rPr>
        <w:t xml:space="preserve">视为负偏离。其余技术参数应当一一对应提供技术对照表加盖投标单位公章，标明是否偏离。否则视为负偏离。</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（三）针对本项目实施方案情况比较（12分）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方案内容应包括但不限于①安装调试、测试、调优等内容，②工作时间进度表、工作程序和步骤，③管理和协调方法④关键步骤的思路和要点。</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上述方案每缺少一项内容，或内容明显错误，或内容非专门针对本项目，或内容不能满足本项目实际需求的，每一项扣3分。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（四）投标人培训方案情况比较（10分）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包括培训内容时间地点、人次、安装调试、配置及技能支持、业务人员培训、应用操作及使用等。</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培训方案详细具体，可行性高，满足本项目实际需求的得10分；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上述方案有一项内容缺陷或一项明显错误或一项内容不能满足本项目实际需求的得6分。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上述方案有两处及以上内容缺陷或非专门针对本项目，或部分内容不能满足本项目实际需求的得2分。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其余情况不得分。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（五）投标人售后服务方案情况比较（8分）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针对本项目制定的售后服务管理体系方案，包括售后服务机制、响应时间、故障解决等内容的合理性和可行性。</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售后服务方案详细具体，可行性高，满足本项目实际需求的得8分；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上述方案有一项内容缺陷或一项明显错误或一项内容不能满足本项目实际需求的得5分。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上述方案有两处及以上内容缺陷或非专门针对本项目，或部分内容不能满足本项目实际需求的得2分。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其余情况不得分。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（六）针对本项目的应急和重大故障解决方案（7分）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应急和重大故障解决方案内容阐述不全面、有缺项漏项，内容较为简要，针对性一般，可行性一般的得4分；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应急和重大故障解决方案内容阐述粗略或无阐述，无针对性，可行性较差的得1分；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未提供相关说明或存在逻辑错误、前后矛盾的不得分。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（七）履约能力（</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类似业绩（</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分）：投标人提供2023年1月1日以来（</w:t>
      </w:r>
      <w:r>
        <w:rPr>
          <w:rFonts w:hint="eastAsia" w:ascii="宋体" w:hAnsi="宋体" w:eastAsia="宋体" w:cs="宋体"/>
          <w:sz w:val="24"/>
          <w:szCs w:val="24"/>
          <w:lang w:val="en-US" w:eastAsia="zh-CN"/>
        </w:rPr>
        <w:t xml:space="preserve">时间以合同签订时间为准</w:t>
      </w:r>
      <w:r>
        <w:rPr>
          <w:rFonts w:hint="eastAsia" w:ascii="宋体" w:hAnsi="宋体" w:eastAsia="宋体" w:cs="宋体"/>
          <w:sz w:val="24"/>
          <w:szCs w:val="24"/>
          <w:lang w:val="zh-CN"/>
        </w:rPr>
        <w:t xml:space="preserve">）所投同类产品的业绩，提供合同复印件，每提供1份得1分，最高</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3"/>
      <w:footerReference w:type="first" r:id="rId14"/>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46</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ind w:right="360"/>
                          </w:pPr>
                          <w:r>
                            <w:rPr>
                              <w:rFonts w:hint="eastAsia"/>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ind w:right="360"/>
                    </w:pP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JSZC-320500-SZHX-G2026-0036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6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2"/>
      <w:numFmt w:val="decimal"/>
      <w:pStyle w:val="1098"/>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pStyle w:val="98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4"/>
    <w:link w:val="978"/>
    <w:uiPriority w:val="9"/>
    <w:rPr>
      <w:rFonts w:ascii="Arial" w:hAnsi="Arial" w:eastAsia="Arial" w:cs="Arial"/>
      <w:sz w:val="40"/>
      <w:szCs w:val="40"/>
    </w:rPr>
  </w:style>
  <w:style w:type="character" w:styleId="826">
    <w:name w:val="Heading 2 Char"/>
    <w:basedOn w:val="984"/>
    <w:link w:val="979"/>
    <w:uiPriority w:val="9"/>
    <w:rPr>
      <w:rFonts w:ascii="Arial" w:hAnsi="Arial" w:eastAsia="Arial" w:cs="Arial"/>
      <w:sz w:val="34"/>
    </w:rPr>
  </w:style>
  <w:style w:type="character" w:styleId="827">
    <w:name w:val="Heading 3 Char"/>
    <w:basedOn w:val="984"/>
    <w:link w:val="980"/>
    <w:uiPriority w:val="9"/>
    <w:rPr>
      <w:rFonts w:ascii="Arial" w:hAnsi="Arial" w:eastAsia="Arial" w:cs="Arial"/>
      <w:sz w:val="30"/>
      <w:szCs w:val="30"/>
    </w:rPr>
  </w:style>
  <w:style w:type="character" w:styleId="828">
    <w:name w:val="Heading 4 Char"/>
    <w:basedOn w:val="984"/>
    <w:link w:val="981"/>
    <w:uiPriority w:val="9"/>
    <w:rPr>
      <w:rFonts w:ascii="Arial" w:hAnsi="Arial" w:eastAsia="Arial" w:cs="Arial"/>
      <w:b/>
      <w:bCs/>
      <w:sz w:val="26"/>
      <w:szCs w:val="26"/>
    </w:rPr>
  </w:style>
  <w:style w:type="character" w:styleId="829">
    <w:name w:val="Heading 5 Char"/>
    <w:basedOn w:val="984"/>
    <w:link w:val="982"/>
    <w:uiPriority w:val="9"/>
    <w:rPr>
      <w:rFonts w:ascii="Arial" w:hAnsi="Arial" w:eastAsia="Arial" w:cs="Arial"/>
      <w:b/>
      <w:bCs/>
      <w:sz w:val="24"/>
      <w:szCs w:val="24"/>
    </w:rPr>
  </w:style>
  <w:style w:type="character" w:styleId="830">
    <w:name w:val="Heading 6 Char"/>
    <w:basedOn w:val="984"/>
    <w:link w:val="983"/>
    <w:uiPriority w:val="9"/>
    <w:rPr>
      <w:rFonts w:ascii="Arial" w:hAnsi="Arial" w:eastAsia="Arial" w:cs="Arial"/>
      <w:b/>
      <w:bCs/>
      <w:sz w:val="22"/>
      <w:szCs w:val="22"/>
    </w:rPr>
  </w:style>
  <w:style w:type="paragraph" w:styleId="831">
    <w:name w:val="Heading 7"/>
    <w:basedOn w:val="977"/>
    <w:next w:val="977"/>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basedOn w:val="984"/>
    <w:link w:val="831"/>
    <w:uiPriority w:val="9"/>
    <w:rPr>
      <w:rFonts w:ascii="Arial" w:hAnsi="Arial" w:eastAsia="Arial" w:cs="Arial"/>
      <w:b/>
      <w:bCs/>
      <w:i/>
      <w:iCs/>
      <w:sz w:val="22"/>
      <w:szCs w:val="22"/>
    </w:rPr>
  </w:style>
  <w:style w:type="paragraph" w:styleId="833">
    <w:name w:val="Heading 8"/>
    <w:basedOn w:val="977"/>
    <w:next w:val="977"/>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basedOn w:val="984"/>
    <w:link w:val="833"/>
    <w:uiPriority w:val="9"/>
    <w:rPr>
      <w:rFonts w:ascii="Arial" w:hAnsi="Arial" w:eastAsia="Arial" w:cs="Arial"/>
      <w:i/>
      <w:iCs/>
      <w:sz w:val="22"/>
      <w:szCs w:val="22"/>
    </w:rPr>
  </w:style>
  <w:style w:type="paragraph" w:styleId="835">
    <w:name w:val="Heading 9"/>
    <w:basedOn w:val="977"/>
    <w:next w:val="977"/>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basedOn w:val="984"/>
    <w:link w:val="835"/>
    <w:uiPriority w:val="9"/>
    <w:rPr>
      <w:rFonts w:ascii="Arial" w:hAnsi="Arial" w:eastAsia="Arial" w:cs="Arial"/>
      <w:i/>
      <w:iCs/>
      <w:sz w:val="21"/>
      <w:szCs w:val="21"/>
    </w:rPr>
  </w:style>
  <w:style w:type="paragraph" w:styleId="837">
    <w:name w:val="No Spacing"/>
    <w:uiPriority w:val="1"/>
    <w:qFormat/>
    <w:pPr>
      <w:spacing w:before="0" w:after="0" w:line="240" w:lineRule="auto"/>
    </w:pPr>
  </w:style>
  <w:style w:type="character" w:styleId="838">
    <w:name w:val="Title Char"/>
    <w:basedOn w:val="984"/>
    <w:link w:val="1027"/>
    <w:uiPriority w:val="10"/>
    <w:rPr>
      <w:sz w:val="48"/>
      <w:szCs w:val="48"/>
    </w:rPr>
  </w:style>
  <w:style w:type="paragraph" w:styleId="839">
    <w:name w:val="Subtitle"/>
    <w:basedOn w:val="977"/>
    <w:next w:val="977"/>
    <w:link w:val="840"/>
    <w:uiPriority w:val="11"/>
    <w:qFormat/>
    <w:pPr>
      <w:spacing w:before="200" w:after="200"/>
    </w:pPr>
    <w:rPr>
      <w:sz w:val="24"/>
      <w:szCs w:val="24"/>
    </w:rPr>
  </w:style>
  <w:style w:type="character" w:styleId="840">
    <w:name w:val="Subtitle Char"/>
    <w:basedOn w:val="984"/>
    <w:link w:val="839"/>
    <w:uiPriority w:val="11"/>
    <w:rPr>
      <w:sz w:val="24"/>
      <w:szCs w:val="24"/>
    </w:rPr>
  </w:style>
  <w:style w:type="paragraph" w:styleId="841">
    <w:name w:val="Quote"/>
    <w:basedOn w:val="977"/>
    <w:next w:val="977"/>
    <w:link w:val="842"/>
    <w:uiPriority w:val="29"/>
    <w:qFormat/>
    <w:pPr>
      <w:ind w:left="720" w:right="720"/>
    </w:pPr>
    <w:rPr>
      <w:i/>
    </w:rPr>
  </w:style>
  <w:style w:type="character" w:styleId="842">
    <w:name w:val="Quote Char"/>
    <w:link w:val="841"/>
    <w:uiPriority w:val="29"/>
    <w:rPr>
      <w:i/>
    </w:rPr>
  </w:style>
  <w:style w:type="paragraph" w:styleId="843">
    <w:name w:val="Intense Quote"/>
    <w:basedOn w:val="977"/>
    <w:next w:val="977"/>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84"/>
    <w:link w:val="1011"/>
    <w:uiPriority w:val="99"/>
  </w:style>
  <w:style w:type="character" w:styleId="846">
    <w:name w:val="Footer Char"/>
    <w:basedOn w:val="984"/>
    <w:link w:val="1010"/>
    <w:uiPriority w:val="99"/>
  </w:style>
  <w:style w:type="paragraph" w:styleId="847">
    <w:name w:val="Caption"/>
    <w:basedOn w:val="977"/>
    <w:next w:val="977"/>
    <w:uiPriority w:val="35"/>
    <w:semiHidden/>
    <w:unhideWhenUsed/>
    <w:qFormat/>
    <w:pPr>
      <w:spacing w:line="276" w:lineRule="auto"/>
    </w:pPr>
    <w:rPr>
      <w:b/>
      <w:bCs/>
      <w:color w:val="4f81bd" w:themeColor="accent1"/>
      <w:sz w:val="18"/>
      <w:szCs w:val="18"/>
    </w:rPr>
  </w:style>
  <w:style w:type="character" w:styleId="848">
    <w:name w:val="Caption Char"/>
    <w:basedOn w:val="847"/>
    <w:link w:val="1010"/>
    <w:uiPriority w:val="99"/>
  </w:style>
  <w:style w:type="table" w:styleId="849">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Footnote Text Char"/>
    <w:link w:val="1016"/>
    <w:uiPriority w:val="99"/>
    <w:rPr>
      <w:sz w:val="18"/>
    </w:rPr>
  </w:style>
  <w:style w:type="character" w:styleId="975">
    <w:name w:val="Endnote Text Char"/>
    <w:link w:val="1008"/>
    <w:uiPriority w:val="99"/>
    <w:rPr>
      <w:sz w:val="20"/>
    </w:rPr>
  </w:style>
  <w:style w:type="paragraph" w:styleId="976">
    <w:name w:val="TOC Heading"/>
    <w:uiPriority w:val="39"/>
    <w:unhideWhenUsed/>
  </w:style>
  <w:style w:type="paragraph" w:styleId="97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78">
    <w:name w:val="Heading 1"/>
    <w:basedOn w:val="977"/>
    <w:next w:val="977"/>
    <w:link w:val="1039"/>
    <w:uiPriority w:val="0"/>
    <w:qFormat/>
    <w:pPr>
      <w:keepLines/>
      <w:keepNext/>
      <w:spacing w:before="340" w:after="330" w:line="578" w:lineRule="auto"/>
      <w:outlineLvl w:val="0"/>
    </w:pPr>
    <w:rPr>
      <w:b/>
      <w:sz w:val="44"/>
    </w:rPr>
  </w:style>
  <w:style w:type="paragraph" w:styleId="979">
    <w:name w:val="Heading 2"/>
    <w:basedOn w:val="977"/>
    <w:next w:val="977"/>
    <w:link w:val="1040"/>
    <w:uiPriority w:val="0"/>
    <w:qFormat/>
    <w:pPr>
      <w:jc w:val="left"/>
      <w:keepLines/>
      <w:keepNext/>
      <w:outlineLvl w:val="1"/>
    </w:pPr>
    <w:rPr>
      <w:rFonts w:asciiTheme="minorEastAsia" w:hAnsiTheme="minorEastAsia" w:eastAsiaTheme="minorEastAsia"/>
      <w:b/>
      <w:bCs/>
      <w:sz w:val="21"/>
      <w:szCs w:val="21"/>
    </w:rPr>
  </w:style>
  <w:style w:type="paragraph" w:styleId="980">
    <w:name w:val="Heading 3"/>
    <w:basedOn w:val="977"/>
    <w:next w:val="977"/>
    <w:link w:val="1041"/>
    <w:uiPriority w:val="0"/>
    <w:qFormat/>
    <w:pPr>
      <w:jc w:val="left"/>
      <w:keepLines/>
      <w:keepNext/>
      <w:outlineLvl w:val="2"/>
    </w:pPr>
    <w:rPr>
      <w:b/>
    </w:rPr>
  </w:style>
  <w:style w:type="paragraph" w:styleId="981">
    <w:name w:val="Heading 4"/>
    <w:basedOn w:val="977"/>
    <w:next w:val="977"/>
    <w:link w:val="1042"/>
    <w:uiPriority w:val="0"/>
    <w:qFormat/>
    <w:pPr>
      <w:keepLines/>
      <w:keepNext/>
      <w:spacing w:before="280" w:after="290" w:line="376" w:lineRule="auto"/>
      <w:outlineLvl w:val="3"/>
    </w:pPr>
    <w:rPr>
      <w:rFonts w:ascii="Arial" w:hAnsi="Arial" w:eastAsia="黑体"/>
      <w:b/>
      <w:bCs/>
      <w:sz w:val="28"/>
      <w:szCs w:val="28"/>
    </w:rPr>
  </w:style>
  <w:style w:type="paragraph" w:styleId="982">
    <w:name w:val="Heading 5"/>
    <w:basedOn w:val="986"/>
    <w:next w:val="987"/>
    <w:link w:val="1043"/>
    <w:uiPriority w:val="0"/>
    <w:unhideWhenUsed/>
    <w:qFormat/>
    <w:pPr>
      <w:keepLines/>
      <w:keepNext/>
      <w:spacing w:before="280" w:after="290" w:line="376" w:lineRule="auto"/>
      <w:tabs>
        <w:tab w:val="left" w:pos="780" w:leader="none"/>
      </w:tabs>
      <w:outlineLvl w:val="4"/>
    </w:pPr>
    <w:rPr>
      <w:b/>
      <w:bCs/>
      <w:sz w:val="28"/>
      <w:szCs w:val="28"/>
    </w:rPr>
  </w:style>
  <w:style w:type="paragraph" w:styleId="983">
    <w:name w:val="Heading 6"/>
    <w:basedOn w:val="977"/>
    <w:next w:val="977"/>
    <w:link w:val="1044"/>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List Number 2"/>
    <w:basedOn w:val="977"/>
    <w:uiPriority w:val="0"/>
    <w:semiHidden/>
    <w:unhideWhenUsed/>
    <w:qFormat/>
    <w:pPr>
      <w:numPr>
        <w:ilvl w:val="0"/>
        <w:numId w:val="1"/>
      </w:numPr>
    </w:pPr>
  </w:style>
  <w:style w:type="paragraph" w:styleId="987">
    <w:name w:val="Normal (Web)"/>
    <w:basedOn w:val="977"/>
    <w:uiPriority w:val="0"/>
    <w:qFormat/>
    <w:pPr>
      <w:jc w:val="left"/>
      <w:spacing w:before="100" w:beforeAutospacing="1" w:after="100" w:afterAutospacing="1"/>
    </w:pPr>
    <w:rPr>
      <w:rFonts w:ascii="Calibri" w:hAnsi="Calibri"/>
      <w:sz w:val="24"/>
      <w:szCs w:val="22"/>
    </w:rPr>
  </w:style>
  <w:style w:type="paragraph" w:styleId="988">
    <w:name w:val="toc 7"/>
    <w:basedOn w:val="978"/>
    <w:next w:val="977"/>
    <w:uiPriority w:val="0"/>
    <w:semiHidden/>
    <w:qFormat/>
    <w:pPr>
      <w:ind w:left="2520"/>
    </w:pPr>
  </w:style>
  <w:style w:type="paragraph" w:styleId="989">
    <w:name w:val="index 8"/>
    <w:basedOn w:val="977"/>
    <w:next w:val="977"/>
    <w:uiPriority w:val="0"/>
    <w:semiHidden/>
    <w:qFormat/>
    <w:pPr>
      <w:ind w:left="2940"/>
    </w:pPr>
  </w:style>
  <w:style w:type="paragraph" w:styleId="990">
    <w:name w:val="List Number"/>
    <w:basedOn w:val="977"/>
    <w:uiPriority w:val="0"/>
    <w:qFormat/>
    <w:pPr>
      <w:ind w:left="502" w:hanging="360"/>
      <w:tabs>
        <w:tab w:val="left" w:pos="420" w:leader="none"/>
      </w:tabs>
    </w:pPr>
    <w:rPr>
      <w:rFonts w:eastAsia="宋体"/>
      <w:sz w:val="21"/>
    </w:rPr>
  </w:style>
  <w:style w:type="paragraph" w:styleId="991">
    <w:name w:val="Normal Indent"/>
    <w:basedOn w:val="977"/>
    <w:next w:val="977"/>
    <w:link w:val="1047"/>
    <w:uiPriority w:val="0"/>
    <w:qFormat/>
    <w:pPr>
      <w:ind w:firstLine="420"/>
      <w:jc w:val="left"/>
    </w:pPr>
    <w:rPr>
      <w:sz w:val="24"/>
    </w:rPr>
  </w:style>
  <w:style w:type="paragraph" w:styleId="992">
    <w:name w:val="index 5"/>
    <w:basedOn w:val="977"/>
    <w:next w:val="977"/>
    <w:uiPriority w:val="0"/>
    <w:semiHidden/>
    <w:qFormat/>
    <w:pPr>
      <w:ind w:left="1680"/>
    </w:pPr>
  </w:style>
  <w:style w:type="paragraph" w:styleId="993">
    <w:name w:val="Document Map"/>
    <w:basedOn w:val="977"/>
    <w:link w:val="1048"/>
    <w:uiPriority w:val="0"/>
    <w:qFormat/>
    <w:pPr>
      <w:shd w:val="clear" w:color="auto" w:fill="000080"/>
    </w:pPr>
  </w:style>
  <w:style w:type="paragraph" w:styleId="994">
    <w:name w:val="annotation text"/>
    <w:basedOn w:val="977"/>
    <w:link w:val="1045"/>
    <w:uiPriority w:val="0"/>
    <w:qFormat/>
    <w:pPr>
      <w:jc w:val="left"/>
    </w:pPr>
  </w:style>
  <w:style w:type="paragraph" w:styleId="995">
    <w:name w:val="index 6"/>
    <w:basedOn w:val="977"/>
    <w:next w:val="977"/>
    <w:uiPriority w:val="0"/>
    <w:semiHidden/>
    <w:qFormat/>
    <w:pPr>
      <w:ind w:left="2100"/>
    </w:pPr>
  </w:style>
  <w:style w:type="paragraph" w:styleId="996">
    <w:name w:val="Body Text"/>
    <w:basedOn w:val="977"/>
    <w:link w:val="1049"/>
    <w:uiPriority w:val="0"/>
    <w:qFormat/>
    <w:pPr>
      <w:spacing w:line="400" w:lineRule="exact"/>
    </w:pPr>
    <w:rPr>
      <w:rFonts w:ascii="楷体_GB2312"/>
      <w:sz w:val="28"/>
    </w:rPr>
  </w:style>
  <w:style w:type="paragraph" w:styleId="997">
    <w:name w:val="Body Text Indent"/>
    <w:basedOn w:val="977"/>
    <w:link w:val="1050"/>
    <w:uiPriority w:val="0"/>
    <w:qFormat/>
    <w:pPr>
      <w:ind w:left="570"/>
      <w:spacing w:line="520" w:lineRule="exact"/>
    </w:pPr>
    <w:rPr>
      <w:rFonts w:ascii="方正仿宋简体" w:hAnsi="创艺简仿宋" w:eastAsia="方正仿宋简体"/>
      <w:sz w:val="24"/>
    </w:rPr>
  </w:style>
  <w:style w:type="paragraph" w:styleId="998">
    <w:name w:val="List 2"/>
    <w:basedOn w:val="978"/>
    <w:next w:val="988"/>
    <w:uiPriority w:val="0"/>
    <w:qFormat/>
    <w:pPr>
      <w:ind w:left="100" w:firstLine="3640"/>
      <w:spacing w:before="0" w:after="0"/>
    </w:pPr>
    <w:rPr>
      <w:rFonts w:ascii="Times New Roman" w:hAnsi="Times New Roman" w:eastAsia="宋体" w:cs="Times New Roman"/>
    </w:rPr>
  </w:style>
  <w:style w:type="paragraph" w:styleId="999">
    <w:name w:val="Block Text"/>
    <w:basedOn w:val="978"/>
    <w:next w:val="977"/>
    <w:uiPriority w:val="0"/>
    <w:qFormat/>
    <w:pPr>
      <w:ind w:left="630" w:right="-609" w:firstLine="420"/>
      <w:spacing w:line="360" w:lineRule="auto"/>
    </w:pPr>
    <w:rPr>
      <w:rFonts w:hint="eastAsia" w:ascii="仿宋_GB2312" w:eastAsia="仿宋_GB2312"/>
      <w:szCs w:val="20"/>
    </w:rPr>
  </w:style>
  <w:style w:type="paragraph" w:styleId="1000">
    <w:name w:val="index 4"/>
    <w:basedOn w:val="977"/>
    <w:next w:val="977"/>
    <w:uiPriority w:val="0"/>
    <w:semiHidden/>
    <w:qFormat/>
    <w:pPr>
      <w:ind w:left="1260"/>
    </w:pPr>
  </w:style>
  <w:style w:type="paragraph" w:styleId="1001">
    <w:name w:val="toc 5"/>
    <w:basedOn w:val="977"/>
    <w:next w:val="977"/>
    <w:uiPriority w:val="0"/>
    <w:semiHidden/>
    <w:qFormat/>
    <w:pPr>
      <w:ind w:left="1680"/>
    </w:pPr>
  </w:style>
  <w:style w:type="paragraph" w:styleId="1002">
    <w:name w:val="toc 3"/>
    <w:basedOn w:val="977"/>
    <w:next w:val="977"/>
    <w:uiPriority w:val="0"/>
    <w:semiHidden/>
    <w:qFormat/>
    <w:pPr>
      <w:ind w:left="840"/>
    </w:pPr>
  </w:style>
  <w:style w:type="paragraph" w:styleId="1003">
    <w:name w:val="Plain Text"/>
    <w:basedOn w:val="977"/>
    <w:link w:val="1051"/>
    <w:uiPriority w:val="0"/>
    <w:qFormat/>
    <w:rPr>
      <w:rFonts w:ascii="宋体" w:hAnsi="Courier New"/>
    </w:rPr>
  </w:style>
  <w:style w:type="paragraph" w:styleId="1004">
    <w:name w:val="toc 8"/>
    <w:basedOn w:val="977"/>
    <w:next w:val="977"/>
    <w:uiPriority w:val="0"/>
    <w:semiHidden/>
    <w:qFormat/>
    <w:pPr>
      <w:ind w:left="2940"/>
    </w:pPr>
  </w:style>
  <w:style w:type="paragraph" w:styleId="1005">
    <w:name w:val="index 3"/>
    <w:basedOn w:val="977"/>
    <w:next w:val="977"/>
    <w:uiPriority w:val="0"/>
    <w:semiHidden/>
    <w:qFormat/>
    <w:pPr>
      <w:ind w:left="840"/>
    </w:pPr>
  </w:style>
  <w:style w:type="paragraph" w:styleId="1006">
    <w:name w:val="Date"/>
    <w:basedOn w:val="977"/>
    <w:next w:val="977"/>
    <w:link w:val="1052"/>
    <w:uiPriority w:val="0"/>
    <w:qFormat/>
    <w:rPr>
      <w:rFonts w:ascii="宋体" w:hAnsi="宋体"/>
      <w:sz w:val="24"/>
    </w:rPr>
  </w:style>
  <w:style w:type="paragraph" w:styleId="1007">
    <w:name w:val="Body Text Indent 2"/>
    <w:basedOn w:val="977"/>
    <w:link w:val="1053"/>
    <w:uiPriority w:val="0"/>
    <w:qFormat/>
    <w:pPr>
      <w:ind w:firstLine="502"/>
      <w:spacing w:line="360" w:lineRule="auto"/>
      <w:tabs>
        <w:tab w:val="left" w:pos="0" w:leader="none"/>
      </w:tabs>
    </w:pPr>
    <w:rPr>
      <w:rFonts w:ascii="宋体" w:eastAsia="宋体"/>
      <w:b/>
      <w:bCs/>
      <w:sz w:val="24"/>
    </w:rPr>
  </w:style>
  <w:style w:type="paragraph" w:styleId="1008">
    <w:name w:val="endnote text"/>
    <w:basedOn w:val="977"/>
    <w:link w:val="1054"/>
    <w:uiPriority w:val="0"/>
    <w:qFormat/>
    <w:pPr>
      <w:jc w:val="left"/>
    </w:pPr>
  </w:style>
  <w:style w:type="paragraph" w:styleId="1009">
    <w:name w:val="Balloon Text"/>
    <w:basedOn w:val="977"/>
    <w:link w:val="1055"/>
    <w:uiPriority w:val="99"/>
    <w:qFormat/>
    <w:rPr>
      <w:sz w:val="18"/>
      <w:szCs w:val="18"/>
    </w:rPr>
  </w:style>
  <w:style w:type="paragraph" w:styleId="1010">
    <w:name w:val="Footer"/>
    <w:basedOn w:val="977"/>
    <w:link w:val="1056"/>
    <w:uiPriority w:val="99"/>
    <w:qFormat/>
    <w:pPr>
      <w:jc w:val="left"/>
      <w:tabs>
        <w:tab w:val="center" w:pos="4153" w:leader="none"/>
        <w:tab w:val="right" w:pos="8306" w:leader="none"/>
      </w:tabs>
    </w:pPr>
    <w:rPr>
      <w:sz w:val="18"/>
    </w:rPr>
  </w:style>
  <w:style w:type="paragraph" w:styleId="1011">
    <w:name w:val="Header"/>
    <w:basedOn w:val="977"/>
    <w:link w:val="1057"/>
    <w:uiPriority w:val="99"/>
    <w:qFormat/>
    <w:pPr>
      <w:jc w:val="center"/>
      <w:tabs>
        <w:tab w:val="center" w:pos="4153" w:leader="none"/>
        <w:tab w:val="right" w:pos="8306" w:leader="none"/>
      </w:tabs>
      <w:pBdr>
        <w:bottom w:val="single" w:color="auto" w:sz="6" w:space="1"/>
      </w:pBdr>
    </w:pPr>
    <w:rPr>
      <w:sz w:val="18"/>
    </w:rPr>
  </w:style>
  <w:style w:type="paragraph" w:styleId="1012">
    <w:name w:val="toc 1"/>
    <w:basedOn w:val="977"/>
    <w:next w:val="977"/>
    <w:uiPriority w:val="39"/>
    <w:qFormat/>
    <w:pPr>
      <w:jc w:val="left"/>
    </w:pPr>
    <w:rPr>
      <w:sz w:val="24"/>
    </w:rPr>
  </w:style>
  <w:style w:type="paragraph" w:styleId="1013">
    <w:name w:val="toc 4"/>
    <w:basedOn w:val="977"/>
    <w:next w:val="977"/>
    <w:uiPriority w:val="0"/>
    <w:semiHidden/>
    <w:qFormat/>
    <w:pPr>
      <w:ind w:left="1260"/>
    </w:pPr>
  </w:style>
  <w:style w:type="paragraph" w:styleId="1014">
    <w:name w:val="index heading"/>
    <w:basedOn w:val="977"/>
    <w:next w:val="1015"/>
    <w:uiPriority w:val="0"/>
    <w:semiHidden/>
    <w:qFormat/>
  </w:style>
  <w:style w:type="paragraph" w:styleId="1015">
    <w:name w:val="index 1"/>
    <w:basedOn w:val="977"/>
    <w:next w:val="977"/>
    <w:uiPriority w:val="0"/>
    <w:semiHidden/>
    <w:qFormat/>
  </w:style>
  <w:style w:type="paragraph" w:styleId="1016">
    <w:name w:val="footnote text"/>
    <w:basedOn w:val="978"/>
    <w:next w:val="999"/>
    <w:link w:val="1058"/>
    <w:uiPriority w:val="0"/>
    <w:semiHidden/>
    <w:qFormat/>
    <w:pPr>
      <w:jc w:val="left"/>
    </w:pPr>
    <w:rPr>
      <w:sz w:val="18"/>
    </w:rPr>
  </w:style>
  <w:style w:type="paragraph" w:styleId="1017">
    <w:name w:val="toc 6"/>
    <w:basedOn w:val="977"/>
    <w:next w:val="977"/>
    <w:uiPriority w:val="0"/>
    <w:semiHidden/>
    <w:qFormat/>
    <w:pPr>
      <w:ind w:left="2100"/>
    </w:pPr>
  </w:style>
  <w:style w:type="paragraph" w:styleId="1018">
    <w:name w:val="Body Text Indent 3"/>
    <w:basedOn w:val="977"/>
    <w:link w:val="1059"/>
    <w:uiPriority w:val="0"/>
    <w:qFormat/>
    <w:pPr>
      <w:ind w:firstLine="617"/>
      <w:spacing w:line="360" w:lineRule="auto"/>
    </w:pPr>
    <w:rPr>
      <w:rFonts w:eastAsia="宋体"/>
      <w:sz w:val="24"/>
      <w:szCs w:val="24"/>
    </w:rPr>
  </w:style>
  <w:style w:type="paragraph" w:styleId="1019">
    <w:name w:val="index 7"/>
    <w:basedOn w:val="977"/>
    <w:next w:val="977"/>
    <w:uiPriority w:val="0"/>
    <w:semiHidden/>
    <w:qFormat/>
    <w:pPr>
      <w:ind w:left="2520"/>
    </w:pPr>
  </w:style>
  <w:style w:type="paragraph" w:styleId="1020">
    <w:name w:val="index 9"/>
    <w:basedOn w:val="977"/>
    <w:next w:val="977"/>
    <w:uiPriority w:val="0"/>
    <w:semiHidden/>
    <w:qFormat/>
    <w:pPr>
      <w:ind w:left="3360"/>
    </w:pPr>
  </w:style>
  <w:style w:type="paragraph" w:styleId="1021">
    <w:name w:val="table of figures"/>
    <w:basedOn w:val="977"/>
    <w:next w:val="977"/>
    <w:uiPriority w:val="0"/>
    <w:semiHidden/>
    <w:qFormat/>
    <w:pPr>
      <w:ind w:left="420" w:hanging="420"/>
      <w:jc w:val="left"/>
    </w:pPr>
    <w:rPr>
      <w:smallCaps/>
      <w:sz w:val="24"/>
    </w:rPr>
  </w:style>
  <w:style w:type="paragraph" w:styleId="1022">
    <w:name w:val="toc 2"/>
    <w:basedOn w:val="977"/>
    <w:next w:val="977"/>
    <w:uiPriority w:val="0"/>
    <w:semiHidden/>
    <w:qFormat/>
    <w:pPr>
      <w:ind w:left="420"/>
    </w:pPr>
  </w:style>
  <w:style w:type="paragraph" w:styleId="1023">
    <w:name w:val="toc 9"/>
    <w:basedOn w:val="977"/>
    <w:next w:val="977"/>
    <w:uiPriority w:val="0"/>
    <w:semiHidden/>
    <w:qFormat/>
    <w:pPr>
      <w:ind w:left="3360"/>
    </w:pPr>
  </w:style>
  <w:style w:type="paragraph" w:styleId="1024">
    <w:name w:val="Body Text 2"/>
    <w:basedOn w:val="977"/>
    <w:link w:val="1060"/>
    <w:uiPriority w:val="0"/>
    <w:qFormat/>
    <w:pPr>
      <w:jc w:val="center"/>
      <w:spacing w:line="360" w:lineRule="auto"/>
    </w:pPr>
    <w:rPr>
      <w:rFonts w:eastAsia="宋体"/>
      <w:color w:val="ff00ff"/>
      <w:sz w:val="20"/>
    </w:rPr>
  </w:style>
  <w:style w:type="paragraph" w:styleId="1025">
    <w:name w:val="HTML Preformatted"/>
    <w:basedOn w:val="977"/>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26">
    <w:name w:val="index 2"/>
    <w:basedOn w:val="977"/>
    <w:next w:val="977"/>
    <w:uiPriority w:val="0"/>
    <w:semiHidden/>
    <w:qFormat/>
    <w:pPr>
      <w:ind w:left="420"/>
    </w:pPr>
  </w:style>
  <w:style w:type="paragraph" w:styleId="1027">
    <w:name w:val="Title"/>
    <w:basedOn w:val="977"/>
    <w:next w:val="977"/>
    <w:link w:val="1062"/>
    <w:uiPriority w:val="0"/>
    <w:qFormat/>
    <w:pPr>
      <w:jc w:val="center"/>
      <w:spacing w:before="240" w:after="60"/>
      <w:outlineLvl w:val="0"/>
    </w:pPr>
    <w:rPr>
      <w:rFonts w:ascii="Cambria" w:hAnsi="Cambria" w:eastAsia="宋体"/>
      <w:b/>
      <w:bCs/>
      <w:sz w:val="32"/>
      <w:szCs w:val="32"/>
    </w:rPr>
  </w:style>
  <w:style w:type="paragraph" w:styleId="1028">
    <w:name w:val="annotation subject"/>
    <w:basedOn w:val="994"/>
    <w:next w:val="994"/>
    <w:link w:val="1046"/>
    <w:uiPriority w:val="99"/>
    <w:qFormat/>
    <w:rPr>
      <w:b/>
      <w:bCs/>
    </w:rPr>
  </w:style>
  <w:style w:type="paragraph" w:styleId="1029">
    <w:name w:val="Body Text First Indent 2"/>
    <w:basedOn w:val="997"/>
    <w:link w:val="1178"/>
    <w:uiPriority w:val="0"/>
    <w:semiHidden/>
    <w:unhideWhenUsed/>
    <w:qFormat/>
    <w:pPr>
      <w:ind w:left="420" w:firstLine="420"/>
      <w:spacing w:after="120" w:line="240" w:lineRule="auto"/>
    </w:pPr>
    <w:rPr>
      <w:rFonts w:ascii="Times New Roman" w:hAnsi="Times New Roman" w:eastAsia="楷体_GB2312"/>
      <w:sz w:val="26"/>
    </w:rPr>
  </w:style>
  <w:style w:type="table" w:styleId="1030">
    <w:name w:val="Table Grid"/>
    <w:basedOn w:val="98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1">
    <w:name w:val="Strong"/>
    <w:uiPriority w:val="0"/>
    <w:qFormat/>
    <w:rPr>
      <w:b/>
    </w:rPr>
  </w:style>
  <w:style w:type="character" w:styleId="1032">
    <w:name w:val="endnote reference"/>
    <w:uiPriority w:val="0"/>
    <w:qFormat/>
    <w:rPr>
      <w:vertAlign w:val="superscript"/>
    </w:rPr>
  </w:style>
  <w:style w:type="character" w:styleId="1033">
    <w:name w:val="page number"/>
    <w:basedOn w:val="984"/>
    <w:uiPriority w:val="0"/>
    <w:qFormat/>
  </w:style>
  <w:style w:type="character" w:styleId="1034">
    <w:name w:val="Emphasis"/>
    <w:basedOn w:val="984"/>
    <w:uiPriority w:val="20"/>
    <w:qFormat/>
    <w:rPr>
      <w:i/>
      <w:iCs/>
    </w:rPr>
  </w:style>
  <w:style w:type="character" w:styleId="1035">
    <w:name w:val="HTML Typewriter"/>
    <w:uiPriority w:val="0"/>
    <w:qFormat/>
    <w:rPr>
      <w:rFonts w:ascii="黑体" w:hAnsi="Courier New" w:eastAsia="黑体" w:cs="Courier New"/>
      <w:sz w:val="14"/>
      <w:szCs w:val="14"/>
    </w:rPr>
  </w:style>
  <w:style w:type="character" w:styleId="1036">
    <w:name w:val="Hyperlink"/>
    <w:uiPriority w:val="99"/>
    <w:unhideWhenUsed/>
    <w:qFormat/>
    <w:rPr>
      <w:color w:val="0000ff"/>
      <w:u w:val="single"/>
    </w:rPr>
  </w:style>
  <w:style w:type="character" w:styleId="1037">
    <w:name w:val="annotation reference"/>
    <w:basedOn w:val="984"/>
    <w:uiPriority w:val="0"/>
    <w:qFormat/>
    <w:rPr>
      <w:sz w:val="21"/>
      <w:szCs w:val="21"/>
    </w:rPr>
  </w:style>
  <w:style w:type="character" w:styleId="1038">
    <w:name w:val="footnote reference"/>
    <w:uiPriority w:val="0"/>
    <w:semiHidden/>
    <w:qFormat/>
    <w:rPr>
      <w:vertAlign w:val="superscript"/>
    </w:rPr>
  </w:style>
  <w:style w:type="character" w:styleId="1039" w:customStyle="1">
    <w:name w:val="标题 1 字符"/>
    <w:basedOn w:val="984"/>
    <w:link w:val="978"/>
    <w:uiPriority w:val="0"/>
    <w:qFormat/>
    <w:rPr>
      <w:rFonts w:eastAsia="楷体_GB2312"/>
      <w:b/>
      <w:sz w:val="44"/>
    </w:rPr>
  </w:style>
  <w:style w:type="character" w:styleId="1040" w:customStyle="1">
    <w:name w:val="标题 2 字符"/>
    <w:link w:val="979"/>
    <w:uiPriority w:val="0"/>
    <w:qFormat/>
    <w:rPr>
      <w:rFonts w:cs="Times New Roman" w:asciiTheme="minorEastAsia" w:hAnsiTheme="minorEastAsia"/>
      <w:b/>
      <w:bCs/>
      <w:sz w:val="21"/>
      <w:szCs w:val="21"/>
    </w:rPr>
  </w:style>
  <w:style w:type="character" w:styleId="1041" w:customStyle="1">
    <w:name w:val="标题 3 字符"/>
    <w:basedOn w:val="984"/>
    <w:link w:val="980"/>
    <w:uiPriority w:val="0"/>
    <w:qFormat/>
    <w:rPr>
      <w:rFonts w:eastAsia="楷体_GB2312"/>
      <w:b/>
      <w:sz w:val="26"/>
    </w:rPr>
  </w:style>
  <w:style w:type="character" w:styleId="1042" w:customStyle="1">
    <w:name w:val="标题 4 字符"/>
    <w:basedOn w:val="984"/>
    <w:link w:val="981"/>
    <w:uiPriority w:val="0"/>
    <w:qFormat/>
    <w:rPr>
      <w:rFonts w:ascii="Arial" w:hAnsi="Arial" w:eastAsia="黑体"/>
      <w:b/>
      <w:bCs/>
      <w:sz w:val="28"/>
      <w:szCs w:val="28"/>
    </w:rPr>
  </w:style>
  <w:style w:type="character" w:styleId="1043" w:customStyle="1">
    <w:name w:val="标题 5 字符"/>
    <w:link w:val="982"/>
    <w:uiPriority w:val="0"/>
    <w:qFormat/>
    <w:rPr>
      <w:rFonts w:eastAsia="楷体_GB2312"/>
      <w:b/>
      <w:bCs/>
      <w:sz w:val="28"/>
      <w:szCs w:val="28"/>
    </w:rPr>
  </w:style>
  <w:style w:type="character" w:styleId="1044" w:customStyle="1">
    <w:name w:val="标题 6 字符"/>
    <w:basedOn w:val="984"/>
    <w:link w:val="983"/>
    <w:uiPriority w:val="0"/>
    <w:semiHidden/>
    <w:qFormat/>
    <w:rPr>
      <w:rFonts w:asciiTheme="majorHAnsi" w:hAnsiTheme="majorHAnsi" w:eastAsiaTheme="majorEastAsia" w:cstheme="majorBidi"/>
      <w:b/>
      <w:bCs/>
      <w:sz w:val="24"/>
      <w:szCs w:val="24"/>
    </w:rPr>
  </w:style>
  <w:style w:type="character" w:styleId="1045" w:customStyle="1">
    <w:name w:val="批注文字 字符"/>
    <w:basedOn w:val="984"/>
    <w:link w:val="994"/>
    <w:uiPriority w:val="99"/>
    <w:qFormat/>
    <w:rPr>
      <w:rFonts w:eastAsia="楷体_GB2312"/>
      <w:sz w:val="26"/>
    </w:rPr>
  </w:style>
  <w:style w:type="character" w:styleId="1046" w:customStyle="1">
    <w:name w:val="批注主题 字符"/>
    <w:basedOn w:val="1045"/>
    <w:link w:val="1028"/>
    <w:uiPriority w:val="99"/>
    <w:qFormat/>
    <w:rPr>
      <w:rFonts w:eastAsia="楷体_GB2312"/>
      <w:b/>
      <w:bCs/>
      <w:sz w:val="26"/>
    </w:rPr>
  </w:style>
  <w:style w:type="character" w:styleId="1047" w:customStyle="1">
    <w:name w:val="正文缩进 字符"/>
    <w:link w:val="991"/>
    <w:uiPriority w:val="0"/>
    <w:qFormat/>
    <w:rPr>
      <w:rFonts w:eastAsia="楷体_GB2312"/>
      <w:sz w:val="24"/>
      <w:lang w:val="en-US" w:eastAsia="zh-CN" w:bidi="ar-SA"/>
    </w:rPr>
  </w:style>
  <w:style w:type="character" w:styleId="1048" w:customStyle="1">
    <w:name w:val="文档结构图 字符"/>
    <w:basedOn w:val="984"/>
    <w:link w:val="993"/>
    <w:uiPriority w:val="0"/>
    <w:qFormat/>
    <w:rPr>
      <w:rFonts w:eastAsia="楷体_GB2312"/>
      <w:sz w:val="26"/>
      <w:shd w:val="clear" w:color="auto" w:fill="000080"/>
    </w:rPr>
  </w:style>
  <w:style w:type="character" w:styleId="1049" w:customStyle="1">
    <w:name w:val="正文文本 字符"/>
    <w:link w:val="996"/>
    <w:uiPriority w:val="0"/>
    <w:qFormat/>
    <w:rPr>
      <w:rFonts w:ascii="楷体_GB2312" w:eastAsia="楷体_GB2312"/>
      <w:sz w:val="28"/>
    </w:rPr>
  </w:style>
  <w:style w:type="character" w:styleId="1050" w:customStyle="1">
    <w:name w:val="正文文本缩进 字符"/>
    <w:link w:val="997"/>
    <w:uiPriority w:val="0"/>
    <w:qFormat/>
    <w:rPr>
      <w:rFonts w:ascii="方正仿宋简体" w:hAnsi="创艺简仿宋" w:eastAsia="方正仿宋简体"/>
      <w:sz w:val="24"/>
    </w:rPr>
  </w:style>
  <w:style w:type="character" w:styleId="1051" w:customStyle="1">
    <w:name w:val="纯文本 字符"/>
    <w:link w:val="1003"/>
    <w:uiPriority w:val="0"/>
    <w:qFormat/>
    <w:rPr>
      <w:rFonts w:ascii="宋体" w:hAnsi="Courier New" w:eastAsia="楷体_GB2312"/>
      <w:sz w:val="26"/>
    </w:rPr>
  </w:style>
  <w:style w:type="character" w:styleId="1052" w:customStyle="1">
    <w:name w:val="日期 字符"/>
    <w:basedOn w:val="984"/>
    <w:link w:val="1006"/>
    <w:uiPriority w:val="0"/>
    <w:qFormat/>
    <w:rPr>
      <w:rFonts w:ascii="宋体" w:hAnsi="宋体" w:eastAsia="楷体_GB2312"/>
      <w:sz w:val="24"/>
    </w:rPr>
  </w:style>
  <w:style w:type="character" w:styleId="1053" w:customStyle="1">
    <w:name w:val="正文文本缩进 2 字符"/>
    <w:basedOn w:val="984"/>
    <w:link w:val="1007"/>
    <w:uiPriority w:val="0"/>
    <w:qFormat/>
    <w:rPr>
      <w:rFonts w:ascii="宋体"/>
      <w:b/>
      <w:bCs/>
      <w:sz w:val="24"/>
    </w:rPr>
  </w:style>
  <w:style w:type="character" w:styleId="1054" w:customStyle="1">
    <w:name w:val="尾注文本 字符"/>
    <w:link w:val="1008"/>
    <w:uiPriority w:val="0"/>
    <w:qFormat/>
    <w:rPr>
      <w:rFonts w:eastAsia="楷体_GB2312"/>
      <w:sz w:val="26"/>
    </w:rPr>
  </w:style>
  <w:style w:type="character" w:styleId="1055" w:customStyle="1">
    <w:name w:val="批注框文本 字符"/>
    <w:link w:val="1009"/>
    <w:uiPriority w:val="99"/>
    <w:qFormat/>
    <w:rPr>
      <w:rFonts w:eastAsia="楷体_GB2312"/>
      <w:sz w:val="18"/>
      <w:szCs w:val="18"/>
    </w:rPr>
  </w:style>
  <w:style w:type="character" w:styleId="1056" w:customStyle="1">
    <w:name w:val="页脚 字符"/>
    <w:link w:val="1010"/>
    <w:uiPriority w:val="99"/>
    <w:qFormat/>
    <w:rPr>
      <w:rFonts w:eastAsia="楷体_GB2312"/>
      <w:sz w:val="18"/>
    </w:rPr>
  </w:style>
  <w:style w:type="character" w:styleId="1057" w:customStyle="1">
    <w:name w:val="页眉 字符"/>
    <w:link w:val="1011"/>
    <w:uiPriority w:val="99"/>
    <w:qFormat/>
    <w:rPr>
      <w:rFonts w:eastAsia="楷体_GB2312"/>
      <w:sz w:val="18"/>
    </w:rPr>
  </w:style>
  <w:style w:type="character" w:styleId="1058" w:customStyle="1">
    <w:name w:val="脚注文本 字符"/>
    <w:basedOn w:val="984"/>
    <w:link w:val="1016"/>
    <w:uiPriority w:val="0"/>
    <w:semiHidden/>
    <w:qFormat/>
    <w:rPr>
      <w:rFonts w:eastAsia="楷体_GB2312"/>
      <w:sz w:val="18"/>
    </w:rPr>
  </w:style>
  <w:style w:type="character" w:styleId="1059" w:customStyle="1">
    <w:name w:val="正文文本缩进 3 字符"/>
    <w:link w:val="1018"/>
    <w:uiPriority w:val="0"/>
    <w:qFormat/>
    <w:rPr>
      <w:sz w:val="24"/>
      <w:szCs w:val="24"/>
    </w:rPr>
  </w:style>
  <w:style w:type="character" w:styleId="1060" w:customStyle="1">
    <w:name w:val="正文文本 2 字符"/>
    <w:basedOn w:val="984"/>
    <w:link w:val="1024"/>
    <w:uiPriority w:val="99"/>
    <w:qFormat/>
    <w:rPr>
      <w:rFonts w:eastAsia="楷体_GB2312"/>
      <w:sz w:val="26"/>
    </w:rPr>
  </w:style>
  <w:style w:type="character" w:styleId="1061" w:customStyle="1">
    <w:name w:val="HTML 预设格式 字符"/>
    <w:basedOn w:val="984"/>
    <w:link w:val="1025"/>
    <w:uiPriority w:val="0"/>
    <w:qFormat/>
    <w:rPr>
      <w:rFonts w:ascii="黑体" w:hAnsi="Courier New" w:eastAsia="黑体" w:cs="楷体_GB2312"/>
    </w:rPr>
  </w:style>
  <w:style w:type="character" w:styleId="1062" w:customStyle="1">
    <w:name w:val="标题 字符"/>
    <w:basedOn w:val="984"/>
    <w:link w:val="1027"/>
    <w:uiPriority w:val="0"/>
    <w:qFormat/>
    <w:rPr>
      <w:rFonts w:ascii="Cambria" w:hAnsi="Cambria"/>
      <w:b/>
      <w:bCs/>
      <w:sz w:val="32"/>
      <w:szCs w:val="32"/>
    </w:rPr>
  </w:style>
  <w:style w:type="character" w:styleId="1063" w:customStyle="1">
    <w:name w:val="访问过的超链接1"/>
    <w:uiPriority w:val="99"/>
    <w:unhideWhenUsed/>
    <w:qFormat/>
    <w:rPr>
      <w:color w:val="800080"/>
      <w:u w:val="single"/>
    </w:rPr>
  </w:style>
  <w:style w:type="character" w:styleId="1064" w:customStyle="1">
    <w:name w:val="Andy_2级 Char"/>
    <w:link w:val="1065"/>
    <w:uiPriority w:val="0"/>
    <w:qFormat/>
    <w:rPr>
      <w:rFonts w:ascii="Calibri" w:hAnsi="Calibri"/>
      <w:sz w:val="24"/>
    </w:rPr>
  </w:style>
  <w:style w:type="paragraph" w:styleId="1065" w:customStyle="1">
    <w:name w:val="Andy_2级"/>
    <w:basedOn w:val="977"/>
    <w:link w:val="1064"/>
    <w:uiPriority w:val="0"/>
    <w:qFormat/>
    <w:pPr>
      <w:numPr>
        <w:ilvl w:val="1"/>
        <w:numId w:val="2"/>
      </w:numPr>
      <w:spacing w:line="360" w:lineRule="auto"/>
    </w:pPr>
    <w:rPr>
      <w:rFonts w:ascii="Calibri" w:hAnsi="Calibri" w:eastAsia="宋体"/>
      <w:sz w:val="24"/>
    </w:rPr>
  </w:style>
  <w:style w:type="character" w:styleId="1066" w:customStyle="1">
    <w:name w:val="表正文 Char1"/>
    <w:uiPriority w:val="0"/>
    <w:qFormat/>
    <w:rPr>
      <w:rFonts w:eastAsia="楷体_GB2312"/>
      <w:sz w:val="24"/>
      <w:lang w:val="en-US" w:eastAsia="zh-CN" w:bidi="ar-SA"/>
    </w:rPr>
  </w:style>
  <w:style w:type="character" w:styleId="1067" w:customStyle="1">
    <w:name w:val="ca-221"/>
    <w:uiPriority w:val="0"/>
    <w:qFormat/>
    <w:rPr>
      <w:rFonts w:hint="eastAsia" w:ascii="宋体" w:hAnsi="宋体" w:eastAsia="宋体"/>
      <w:color w:val="ff0000"/>
      <w:sz w:val="24"/>
      <w:szCs w:val="24"/>
    </w:rPr>
  </w:style>
  <w:style w:type="paragraph" w:styleId="1068" w:customStyle="1">
    <w:name w:val="xl94"/>
    <w:basedOn w:val="977"/>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69" w:customStyle="1">
    <w:name w:val="xl68"/>
    <w:basedOn w:val="977"/>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0" w:customStyle="1">
    <w:name w:val="xl70"/>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1" w:customStyle="1">
    <w:name w:val="xl87"/>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72" w:customStyle="1">
    <w:name w:val="xl96"/>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73" w:customStyle="1">
    <w:name w:val="xl91"/>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4" w:customStyle="1">
    <w:name w:val="xl78"/>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7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76" w:customStyle="1">
    <w:name w:val="xl93"/>
    <w:basedOn w:val="97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77" w:customStyle="1">
    <w:name w:val="Char"/>
    <w:basedOn w:val="977"/>
    <w:uiPriority w:val="0"/>
    <w:qFormat/>
    <w:rPr>
      <w:rFonts w:ascii="Tahoma" w:hAnsi="Tahoma" w:eastAsia="宋体"/>
      <w:sz w:val="24"/>
    </w:rPr>
  </w:style>
  <w:style w:type="paragraph" w:styleId="1078" w:customStyle="1">
    <w:name w:val="纯文本1"/>
    <w:basedOn w:val="977"/>
    <w:uiPriority w:val="0"/>
    <w:qFormat/>
    <w:rPr>
      <w:rFonts w:ascii="宋体" w:hAnsi="Courier New"/>
    </w:rPr>
  </w:style>
  <w:style w:type="paragraph" w:styleId="1079" w:customStyle="1">
    <w:name w:val="纯文本2"/>
    <w:basedOn w:val="977"/>
    <w:uiPriority w:val="0"/>
    <w:qFormat/>
    <w:rPr>
      <w:rFonts w:ascii="宋体" w:hAnsi="Courier New"/>
    </w:rPr>
  </w:style>
  <w:style w:type="paragraph" w:styleId="1080" w:customStyle="1">
    <w:name w:val="纯文本3"/>
    <w:basedOn w:val="977"/>
    <w:link w:val="1081"/>
    <w:uiPriority w:val="0"/>
    <w:qFormat/>
    <w:rPr>
      <w:rFonts w:ascii="宋体" w:hAnsi="Courier New"/>
    </w:rPr>
  </w:style>
  <w:style w:type="character" w:styleId="1081" w:customStyle="1">
    <w:name w:val="Plain Text Char Char"/>
    <w:link w:val="1080"/>
    <w:uiPriority w:val="0"/>
    <w:qFormat/>
    <w:rPr>
      <w:rFonts w:ascii="宋体" w:hAnsi="Courier New" w:eastAsia="楷体_GB2312"/>
      <w:sz w:val="26"/>
    </w:rPr>
  </w:style>
  <w:style w:type="paragraph" w:styleId="1082" w:customStyle="1">
    <w:name w:val="xl75"/>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3" w:customStyle="1">
    <w:name w:val="xl71"/>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4" w:customStyle="1">
    <w:name w:val="xl97"/>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85">
    <w:name w:val="List Paragraph"/>
    <w:basedOn w:val="977"/>
    <w:uiPriority w:val="99"/>
    <w:qFormat/>
    <w:pPr>
      <w:ind w:firstLine="420"/>
    </w:pPr>
  </w:style>
  <w:style w:type="paragraph" w:styleId="1086" w:customStyle="1">
    <w:name w:val="xl80"/>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7" w:customStyle="1">
    <w:name w:val="xl72"/>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88" w:customStyle="1">
    <w:name w:val="xl95"/>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89" w:customStyle="1">
    <w:name w:val="xl85"/>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0" w:customStyle="1">
    <w:name w:val="Char Char3"/>
    <w:basedOn w:val="977"/>
    <w:uiPriority w:val="0"/>
    <w:qFormat/>
    <w:pPr>
      <w:jc w:val="left"/>
      <w:spacing w:after="160" w:line="240" w:lineRule="exact"/>
      <w:widowControl/>
    </w:pPr>
    <w:rPr>
      <w:rFonts w:eastAsia="宋体"/>
      <w:sz w:val="24"/>
      <w:szCs w:val="24"/>
    </w:rPr>
  </w:style>
  <w:style w:type="paragraph" w:styleId="1091" w:customStyle="1">
    <w:name w:val="xl89"/>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2" w:customStyle="1">
    <w:name w:val="修订1"/>
    <w:uiPriority w:val="99"/>
    <w:unhideWhenUsed/>
    <w:qFormat/>
    <w:rPr>
      <w:rFonts w:ascii="Times New Roman" w:hAnsi="Times New Roman" w:eastAsia="楷体_GB2312" w:cs="Times New Roman"/>
      <w:sz w:val="26"/>
      <w:lang w:val="en-US" w:eastAsia="zh-CN" w:bidi="ar-SA"/>
    </w:rPr>
  </w:style>
  <w:style w:type="paragraph" w:styleId="1093" w:customStyle="1">
    <w:name w:val="Char1"/>
    <w:basedOn w:val="977"/>
    <w:uiPriority w:val="0"/>
    <w:qFormat/>
    <w:pPr>
      <w:jc w:val="left"/>
      <w:spacing w:after="160" w:line="240" w:lineRule="exact"/>
      <w:widowControl/>
    </w:pPr>
    <w:rPr>
      <w:rFonts w:ascii="Verdana" w:hAnsi="Verdana" w:eastAsia="仿宋_GB2312"/>
      <w:sz w:val="24"/>
      <w:lang w:eastAsia="en-US"/>
    </w:rPr>
  </w:style>
  <w:style w:type="paragraph" w:styleId="1094" w:customStyle="1">
    <w:name w:val="xl67"/>
    <w:basedOn w:val="977"/>
    <w:uiPriority w:val="0"/>
    <w:qFormat/>
    <w:pPr>
      <w:jc w:val="left"/>
      <w:spacing w:before="100" w:beforeAutospacing="1" w:after="100" w:afterAutospacing="1"/>
      <w:widowControl/>
    </w:pPr>
    <w:rPr>
      <w:rFonts w:ascii="仿宋_GB2312" w:hAnsi="宋体" w:eastAsia="仿宋_GB2312" w:cs="宋体"/>
      <w:sz w:val="20"/>
    </w:rPr>
  </w:style>
  <w:style w:type="paragraph" w:styleId="1095" w:customStyle="1">
    <w:name w:val="Char Char Char Char"/>
    <w:basedOn w:val="993"/>
    <w:uiPriority w:val="0"/>
    <w:qFormat/>
    <w:pPr>
      <w:ind w:left="357"/>
      <w:jc w:val="left"/>
      <w:spacing w:line="436" w:lineRule="exact"/>
      <w:outlineLvl w:val="3"/>
    </w:pPr>
    <w:rPr>
      <w:rFonts w:ascii="Tahoma" w:hAnsi="Tahoma" w:eastAsia="宋体"/>
      <w:b/>
      <w:sz w:val="24"/>
      <w:szCs w:val="24"/>
    </w:rPr>
  </w:style>
  <w:style w:type="paragraph" w:styleId="1096" w:customStyle="1">
    <w:name w:val="xl69"/>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97" w:customStyle="1">
    <w:name w:val="xl66"/>
    <w:basedOn w:val="977"/>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8" w:customStyle="1">
    <w:name w:val="Char Char Char"/>
    <w:basedOn w:val="977"/>
    <w:uiPriority w:val="0"/>
    <w:qFormat/>
    <w:pPr>
      <w:numPr>
        <w:ilvl w:val="0"/>
        <w:numId w:val="3"/>
      </w:numPr>
    </w:pPr>
    <w:rPr>
      <w:rFonts w:eastAsia="宋体"/>
      <w:sz w:val="24"/>
      <w:szCs w:val="24"/>
    </w:rPr>
  </w:style>
  <w:style w:type="paragraph" w:styleId="1099" w:customStyle="1">
    <w:name w:val="xl76"/>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0" w:customStyle="1">
    <w:name w:val="xl74"/>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101" w:customStyle="1">
    <w:name w:val="xl92"/>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2" w:customStyle="1">
    <w:name w:val="xl86"/>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103" w:customStyle="1">
    <w:name w:val="xl77"/>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4" w:customStyle="1">
    <w:name w:val="xl90"/>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5" w:customStyle="1">
    <w:name w:val="xl88"/>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1106" w:customStyle="1">
    <w:name w:val="xl83"/>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7" w:customStyle="1">
    <w:name w:val="xl84"/>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08" w:customStyle="1">
    <w:name w:val="xl82"/>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09" w:customStyle="1">
    <w:name w:val="xl73"/>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0" w:customStyle="1">
    <w:name w:val="xl81"/>
    <w:basedOn w:val="9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1" w:customStyle="1">
    <w:name w:val="xl79"/>
    <w:basedOn w:val="9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1112"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1113" w:customStyle="1">
    <w:name w:val="列出段落1"/>
    <w:basedOn w:val="977"/>
    <w:uiPriority w:val="0"/>
    <w:qFormat/>
    <w:pPr>
      <w:ind w:firstLine="420"/>
    </w:pPr>
    <w:rPr>
      <w:rFonts w:ascii="Calibri" w:hAnsi="Calibri" w:eastAsia="宋体"/>
      <w:sz w:val="21"/>
      <w:szCs w:val="22"/>
    </w:rPr>
  </w:style>
  <w:style w:type="character" w:styleId="1114" w:customStyle="1">
    <w:name w:val="正文2 Char"/>
    <w:link w:val="1115"/>
    <w:uiPriority w:val="0"/>
    <w:qFormat/>
    <w:rPr>
      <w:rFonts w:ascii="Calibri" w:hAnsi="Calibri"/>
      <w:sz w:val="24"/>
    </w:rPr>
  </w:style>
  <w:style w:type="paragraph" w:styleId="1115" w:customStyle="1">
    <w:name w:val="正文2"/>
    <w:basedOn w:val="977"/>
    <w:link w:val="1114"/>
    <w:uiPriority w:val="0"/>
    <w:qFormat/>
    <w:pPr>
      <w:ind w:firstLine="510"/>
      <w:spacing w:before="156" w:line="360" w:lineRule="auto"/>
    </w:pPr>
    <w:rPr>
      <w:rFonts w:ascii="Calibri" w:hAnsi="Calibri" w:eastAsia="宋体"/>
      <w:sz w:val="24"/>
    </w:rPr>
  </w:style>
  <w:style w:type="paragraph" w:styleId="1116" w:customStyle="1">
    <w:name w:val="Andy_二级"/>
    <w:basedOn w:val="1113"/>
    <w:uiPriority w:val="0"/>
    <w:qFormat/>
    <w:pPr>
      <w:ind w:firstLine="510"/>
      <w:spacing w:line="360" w:lineRule="auto"/>
    </w:pPr>
    <w:rPr>
      <w:sz w:val="24"/>
    </w:rPr>
  </w:style>
  <w:style w:type="paragraph" w:styleId="1117" w:customStyle="1">
    <w:name w:val="Andy_4级"/>
    <w:basedOn w:val="1113"/>
    <w:uiPriority w:val="0"/>
    <w:qFormat/>
    <w:pPr>
      <w:ind w:firstLine="510"/>
      <w:spacing w:line="360" w:lineRule="auto"/>
    </w:pPr>
    <w:rPr>
      <w:sz w:val="24"/>
      <w:szCs w:val="20"/>
    </w:rPr>
  </w:style>
  <w:style w:type="paragraph" w:styleId="1118" w:customStyle="1">
    <w:name w:val="Andy_3级"/>
    <w:basedOn w:val="977"/>
    <w:uiPriority w:val="0"/>
    <w:qFormat/>
    <w:pPr>
      <w:ind w:firstLine="510"/>
      <w:spacing w:line="360" w:lineRule="auto"/>
    </w:pPr>
    <w:rPr>
      <w:rFonts w:ascii="Calibri" w:hAnsi="Calibri" w:eastAsia="宋体"/>
      <w:sz w:val="24"/>
    </w:rPr>
  </w:style>
  <w:style w:type="paragraph" w:styleId="1119" w:customStyle="1">
    <w:name w:val="Andy_一级"/>
    <w:basedOn w:val="1113"/>
    <w:uiPriority w:val="0"/>
    <w:qFormat/>
    <w:pPr>
      <w:ind w:firstLine="0"/>
      <w:keepNext/>
      <w:spacing w:line="360" w:lineRule="auto"/>
    </w:pPr>
    <w:rPr>
      <w:b/>
      <w:sz w:val="24"/>
    </w:rPr>
  </w:style>
  <w:style w:type="paragraph" w:styleId="1120" w:customStyle="1">
    <w:name w:val="首行缩进"/>
    <w:basedOn w:val="977"/>
    <w:uiPriority w:val="0"/>
    <w:qFormat/>
    <w:pPr>
      <w:ind w:firstLine="480"/>
    </w:pPr>
    <w:rPr>
      <w:rFonts w:eastAsia="宋体"/>
      <w:sz w:val="21"/>
      <w:lang w:val="zh-CN"/>
    </w:rPr>
  </w:style>
  <w:style w:type="paragraph" w:styleId="1121" w:customStyle="1">
    <w:name w:val="表格"/>
    <w:basedOn w:val="977"/>
    <w:next w:val="1003"/>
    <w:uiPriority w:val="0"/>
    <w:qFormat/>
    <w:rPr>
      <w:rFonts w:ascii="宋体" w:hAnsi="Courier New" w:eastAsia="仿宋_GB2312"/>
      <w:sz w:val="28"/>
      <w:szCs w:val="21"/>
    </w:rPr>
  </w:style>
  <w:style w:type="paragraph" w:styleId="1122" w:customStyle="1">
    <w:name w:val="列出段落5"/>
    <w:basedOn w:val="977"/>
    <w:uiPriority w:val="0"/>
    <w:qFormat/>
    <w:pPr>
      <w:ind w:firstLine="420"/>
      <w:jc w:val="left"/>
      <w:widowControl/>
    </w:pPr>
    <w:rPr>
      <w:rFonts w:ascii="Calibri" w:hAnsi="Calibri" w:eastAsia="宋体" w:cs="Arial"/>
      <w:sz w:val="20"/>
    </w:rPr>
  </w:style>
  <w:style w:type="paragraph" w:styleId="1123" w:customStyle="1">
    <w:name w:val="列出段落3"/>
    <w:basedOn w:val="977"/>
    <w:uiPriority w:val="99"/>
    <w:qFormat/>
    <w:pPr>
      <w:ind w:firstLine="420"/>
    </w:pPr>
    <w:rPr>
      <w:rFonts w:eastAsia="宋体"/>
      <w:sz w:val="21"/>
      <w:szCs w:val="24"/>
    </w:rPr>
  </w:style>
  <w:style w:type="paragraph" w:styleId="1124"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1125" w:customStyle="1">
    <w:name w:val="CharAttribute3"/>
    <w:uiPriority w:val="0"/>
    <w:qFormat/>
    <w:rPr>
      <w:rFonts w:hint="default" w:ascii="Times New Roman" w:hAnsi="宋体" w:eastAsia="宋体" w:cs="Times New Roman"/>
      <w:sz w:val="32"/>
    </w:rPr>
  </w:style>
  <w:style w:type="paragraph" w:styleId="1126" w:customStyle="1">
    <w:name w:val="List Paragraph1"/>
    <w:basedOn w:val="977"/>
    <w:uiPriority w:val="0"/>
    <w:qFormat/>
    <w:pPr>
      <w:ind w:firstLine="420"/>
    </w:pPr>
    <w:rPr>
      <w:rFonts w:eastAsia="宋体"/>
      <w:sz w:val="21"/>
    </w:rPr>
  </w:style>
  <w:style w:type="paragraph" w:styleId="1127" w:customStyle="1">
    <w:name w:val="纯文本31"/>
    <w:basedOn w:val="977"/>
    <w:uiPriority w:val="0"/>
    <w:qFormat/>
    <w:rPr>
      <w:rFonts w:ascii="宋体" w:hAnsi="Courier New"/>
    </w:rPr>
  </w:style>
  <w:style w:type="paragraph" w:styleId="1128" w:customStyle="1">
    <w:name w:val="Char Char31"/>
    <w:basedOn w:val="977"/>
    <w:uiPriority w:val="0"/>
    <w:qFormat/>
    <w:pPr>
      <w:jc w:val="left"/>
      <w:spacing w:after="160" w:line="240" w:lineRule="exact"/>
      <w:widowControl/>
    </w:pPr>
    <w:rPr>
      <w:rFonts w:eastAsia="宋体"/>
      <w:sz w:val="24"/>
      <w:szCs w:val="24"/>
    </w:rPr>
  </w:style>
  <w:style w:type="paragraph" w:styleId="1129" w:customStyle="1">
    <w:name w:val="Char Char Char Char1"/>
    <w:basedOn w:val="993"/>
    <w:uiPriority w:val="0"/>
    <w:qFormat/>
    <w:pPr>
      <w:ind w:left="357"/>
      <w:jc w:val="left"/>
      <w:spacing w:line="436" w:lineRule="exact"/>
      <w:outlineLvl w:val="3"/>
    </w:pPr>
    <w:rPr>
      <w:rFonts w:ascii="Tahoma" w:hAnsi="Tahoma" w:eastAsia="宋体"/>
      <w:b/>
      <w:sz w:val="24"/>
      <w:szCs w:val="24"/>
    </w:rPr>
  </w:style>
  <w:style w:type="paragraph" w:styleId="1130" w:customStyle="1">
    <w:name w:val="Char Char Char1"/>
    <w:basedOn w:val="977"/>
    <w:uiPriority w:val="0"/>
    <w:qFormat/>
    <w:pPr>
      <w:ind w:left="360" w:hanging="360"/>
      <w:tabs>
        <w:tab w:val="left" w:pos="360" w:leader="none"/>
      </w:tabs>
    </w:pPr>
    <w:rPr>
      <w:rFonts w:eastAsia="宋体"/>
      <w:sz w:val="24"/>
      <w:szCs w:val="24"/>
    </w:rPr>
  </w:style>
  <w:style w:type="paragraph" w:styleId="1131" w:customStyle="1">
    <w:name w:val="列出段落2"/>
    <w:basedOn w:val="977"/>
    <w:uiPriority w:val="0"/>
    <w:qFormat/>
    <w:pPr>
      <w:ind w:firstLine="420"/>
    </w:pPr>
    <w:rPr>
      <w:rFonts w:eastAsia="宋体"/>
      <w:sz w:val="21"/>
    </w:rPr>
  </w:style>
  <w:style w:type="paragraph" w:styleId="1132" w:customStyle="1">
    <w:name w:val="xl27"/>
    <w:basedOn w:val="9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133" w:customStyle="1">
    <w:name w:val="xl31"/>
    <w:basedOn w:val="9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134" w:customStyle="1">
    <w:name w:val="正文文本 2 Char"/>
    <w:basedOn w:val="984"/>
    <w:uiPriority w:val="0"/>
    <w:qFormat/>
    <w:rPr>
      <w:color w:val="ff00ff"/>
    </w:rPr>
  </w:style>
  <w:style w:type="character" w:styleId="1135" w:customStyle="1">
    <w:name w:val="+正文 Char3"/>
    <w:link w:val="1136"/>
    <w:uiPriority w:val="0"/>
    <w:qFormat/>
    <w:rPr>
      <w:sz w:val="24"/>
    </w:rPr>
  </w:style>
  <w:style w:type="paragraph" w:styleId="1136" w:customStyle="1">
    <w:name w:val="+正文"/>
    <w:basedOn w:val="977"/>
    <w:link w:val="1135"/>
    <w:uiPriority w:val="0"/>
    <w:qFormat/>
    <w:pPr>
      <w:ind w:firstLine="200"/>
      <w:spacing w:line="360" w:lineRule="auto"/>
    </w:pPr>
    <w:rPr>
      <w:rFonts w:eastAsia="宋体"/>
      <w:sz w:val="24"/>
    </w:rPr>
  </w:style>
  <w:style w:type="character" w:styleId="1137" w:customStyle="1">
    <w:name w:val="Char Char"/>
    <w:basedOn w:val="984"/>
    <w:uiPriority w:val="0"/>
    <w:qFormat/>
    <w:rPr>
      <w:rFonts w:ascii="宋体" w:hAnsi="Courier New" w:eastAsia="楷体_GB2312"/>
      <w:sz w:val="26"/>
      <w:lang w:val="en-US" w:eastAsia="zh-CN" w:bidi="ar-SA"/>
    </w:rPr>
  </w:style>
  <w:style w:type="character" w:styleId="1138" w:customStyle="1">
    <w:name w:val="样式 正文缩进 + 首行缩进:  2 字符 Char Char"/>
    <w:basedOn w:val="984"/>
    <w:link w:val="1139"/>
    <w:uiPriority w:val="0"/>
    <w:qFormat/>
    <w:rPr>
      <w:sz w:val="24"/>
    </w:rPr>
  </w:style>
  <w:style w:type="paragraph" w:styleId="1139" w:customStyle="1">
    <w:name w:val="样式 正文缩进 + 首行缩进:  2 字符"/>
    <w:basedOn w:val="991"/>
    <w:link w:val="1138"/>
    <w:uiPriority w:val="0"/>
    <w:qFormat/>
    <w:pPr>
      <w:ind w:firstLine="480"/>
      <w:jc w:val="both"/>
      <w:spacing w:after="80" w:line="360" w:lineRule="auto"/>
    </w:pPr>
    <w:rPr>
      <w:rFonts w:eastAsia="宋体"/>
    </w:rPr>
  </w:style>
  <w:style w:type="character" w:styleId="1140" w:customStyle="1">
    <w:name w:val="style11"/>
    <w:basedOn w:val="984"/>
    <w:uiPriority w:val="0"/>
    <w:qFormat/>
    <w:rPr>
      <w:rFonts w:hint="default" w:ascii="Verdana" w:hAnsi="Verdana"/>
      <w:sz w:val="21"/>
    </w:rPr>
  </w:style>
  <w:style w:type="character" w:styleId="1141" w:customStyle="1">
    <w:name w:val="Char Char1"/>
    <w:basedOn w:val="984"/>
    <w:uiPriority w:val="0"/>
    <w:qFormat/>
    <w:rPr>
      <w:rFonts w:eastAsia="宋体"/>
      <w:sz w:val="24"/>
      <w:lang w:val="en-US" w:eastAsia="zh-CN" w:bidi="ar-SA"/>
    </w:rPr>
  </w:style>
  <w:style w:type="character" w:styleId="1142" w:customStyle="1">
    <w:name w:val="1.1（特殊） Char Char"/>
    <w:basedOn w:val="984"/>
    <w:link w:val="1143"/>
    <w:uiPriority w:val="0"/>
    <w:qFormat/>
    <w:rPr>
      <w:rFonts w:ascii="微软雅黑" w:hAnsi="微软雅黑" w:eastAsia="微软雅黑"/>
      <w:b/>
      <w:sz w:val="28"/>
      <w:szCs w:val="28"/>
    </w:rPr>
  </w:style>
  <w:style w:type="paragraph" w:styleId="1143" w:customStyle="1">
    <w:name w:val="1.1（特殊）"/>
    <w:basedOn w:val="977"/>
    <w:link w:val="1142"/>
    <w:uiPriority w:val="0"/>
    <w:qFormat/>
    <w:pPr>
      <w:jc w:val="left"/>
      <w:spacing w:before="120"/>
    </w:pPr>
    <w:rPr>
      <w:rFonts w:ascii="微软雅黑" w:hAnsi="微软雅黑" w:eastAsia="微软雅黑"/>
      <w:b/>
      <w:sz w:val="28"/>
      <w:szCs w:val="28"/>
    </w:rPr>
  </w:style>
  <w:style w:type="character" w:styleId="1144" w:customStyle="1">
    <w:name w:val="point_normal1"/>
    <w:basedOn w:val="984"/>
    <w:uiPriority w:val="0"/>
    <w:qFormat/>
    <w:rPr>
      <w:rFonts w:hint="default" w:ascii="Arial" w:hAnsi="Arial"/>
      <w:sz w:val="18"/>
    </w:rPr>
  </w:style>
  <w:style w:type="paragraph" w:styleId="1145" w:customStyle="1">
    <w:name w:val="段落正文 Char Char"/>
    <w:basedOn w:val="977"/>
    <w:uiPriority w:val="0"/>
    <w:qFormat/>
    <w:pPr>
      <w:ind w:firstLine="461"/>
      <w:spacing w:line="360" w:lineRule="auto"/>
    </w:pPr>
    <w:rPr>
      <w:rFonts w:ascii="宋体" w:hAnsi="宋体" w:eastAsia="宋体"/>
      <w:sz w:val="24"/>
      <w:szCs w:val="24"/>
    </w:rPr>
  </w:style>
  <w:style w:type="paragraph" w:styleId="1146" w:customStyle="1">
    <w:name w:val="00"/>
    <w:basedOn w:val="977"/>
    <w:uiPriority w:val="0"/>
    <w:qFormat/>
    <w:pPr>
      <w:jc w:val="left"/>
    </w:pPr>
    <w:rPr>
      <w:rFonts w:ascii="黑体" w:eastAsia="黑体"/>
      <w:b/>
      <w:bCs/>
      <w:sz w:val="20"/>
    </w:rPr>
  </w:style>
  <w:style w:type="paragraph" w:styleId="1147" w:customStyle="1">
    <w:name w:val="第三级"/>
    <w:basedOn w:val="980"/>
    <w:next w:val="977"/>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148" w:customStyle="1">
    <w:name w:val="无缩进正文"/>
    <w:basedOn w:val="977"/>
    <w:uiPriority w:val="0"/>
    <w:qFormat/>
    <w:rPr>
      <w:rFonts w:eastAsia="宋体"/>
      <w:sz w:val="21"/>
    </w:rPr>
  </w:style>
  <w:style w:type="paragraph" w:styleId="1149" w:customStyle="1">
    <w:name w:val="+正文 Char"/>
    <w:basedOn w:val="977"/>
    <w:uiPriority w:val="0"/>
    <w:qFormat/>
    <w:pPr>
      <w:ind w:firstLine="200"/>
      <w:spacing w:line="360" w:lineRule="auto"/>
    </w:pPr>
    <w:rPr>
      <w:rFonts w:eastAsia="宋体"/>
      <w:sz w:val="24"/>
    </w:rPr>
  </w:style>
  <w:style w:type="paragraph" w:styleId="1150" w:customStyle="1">
    <w:name w:val="Char Char Char Char Char Char Char Char Char Char"/>
    <w:basedOn w:val="977"/>
    <w:uiPriority w:val="0"/>
    <w:qFormat/>
    <w:pPr>
      <w:ind w:left="420" w:hanging="420"/>
      <w:tabs>
        <w:tab w:val="left" w:pos="420" w:leader="none"/>
      </w:tabs>
    </w:pPr>
    <w:rPr>
      <w:rFonts w:eastAsia="宋体"/>
      <w:sz w:val="24"/>
      <w:szCs w:val="24"/>
    </w:rPr>
  </w:style>
  <w:style w:type="paragraph" w:styleId="1151" w:customStyle="1">
    <w:name w:val="Char Char Char1 Char"/>
    <w:basedOn w:val="977"/>
    <w:uiPriority w:val="0"/>
    <w:qFormat/>
    <w:pPr>
      <w:jc w:val="left"/>
      <w:spacing w:after="160" w:line="240" w:lineRule="exact"/>
      <w:widowControl/>
    </w:pPr>
    <w:rPr>
      <w:rFonts w:eastAsia="宋体"/>
      <w:sz w:val="21"/>
      <w:szCs w:val="24"/>
    </w:rPr>
  </w:style>
  <w:style w:type="paragraph" w:styleId="1152" w:customStyle="1">
    <w:name w:val="小四 段落 宋体 Char"/>
    <w:basedOn w:val="990"/>
    <w:uiPriority w:val="0"/>
    <w:qFormat/>
    <w:pPr>
      <w:ind w:left="0" w:right="-33" w:firstLine="480"/>
      <w:jc w:val="left"/>
      <w:spacing w:line="360" w:lineRule="auto"/>
    </w:pPr>
    <w:rPr>
      <w:sz w:val="24"/>
      <w:szCs w:val="24"/>
    </w:rPr>
  </w:style>
  <w:style w:type="paragraph" w:styleId="1153" w:customStyle="1">
    <w:name w:val="小点说明"/>
    <w:basedOn w:val="977"/>
    <w:uiPriority w:val="0"/>
    <w:qFormat/>
    <w:pPr>
      <w:ind w:left="360" w:hanging="360"/>
      <w:spacing w:after="80" w:line="360" w:lineRule="auto"/>
      <w:tabs>
        <w:tab w:val="left" w:pos="780" w:leader="none"/>
      </w:tabs>
    </w:pPr>
    <w:rPr>
      <w:rFonts w:eastAsia="宋体"/>
      <w:sz w:val="24"/>
      <w:szCs w:val="24"/>
    </w:rPr>
  </w:style>
  <w:style w:type="paragraph" w:styleId="1154" w:customStyle="1">
    <w:name w:val="msolistparagraph"/>
    <w:basedOn w:val="977"/>
    <w:uiPriority w:val="0"/>
    <w:qFormat/>
    <w:pPr>
      <w:jc w:val="left"/>
      <w:spacing w:before="100" w:beforeAutospacing="1" w:after="100" w:afterAutospacing="1"/>
      <w:widowControl/>
    </w:pPr>
    <w:rPr>
      <w:rFonts w:ascii="宋体" w:hAnsi="宋体" w:eastAsia="宋体" w:cs="宋体"/>
      <w:sz w:val="24"/>
      <w:szCs w:val="24"/>
    </w:rPr>
  </w:style>
  <w:style w:type="paragraph" w:styleId="1155" w:customStyle="1">
    <w:name w:val="xl44"/>
    <w:basedOn w:val="977"/>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156" w:customStyle="1">
    <w:name w:val="_Style 18"/>
    <w:basedOn w:val="977"/>
    <w:uiPriority w:val="0"/>
    <w:qFormat/>
    <w:rPr>
      <w:rFonts w:eastAsia="宋体"/>
      <w:sz w:val="24"/>
      <w:szCs w:val="24"/>
    </w:rPr>
  </w:style>
  <w:style w:type="paragraph" w:styleId="1157" w:customStyle="1">
    <w:name w:val="_Style 13"/>
    <w:basedOn w:val="977"/>
    <w:next w:val="977"/>
    <w:uiPriority w:val="0"/>
    <w:qFormat/>
    <w:rPr>
      <w:rFonts w:eastAsia="宋体"/>
      <w:sz w:val="24"/>
    </w:rPr>
  </w:style>
  <w:style w:type="paragraph" w:styleId="1158" w:customStyle="1">
    <w:name w:val="标书正文"/>
    <w:basedOn w:val="996"/>
    <w:uiPriority w:val="0"/>
    <w:qFormat/>
  </w:style>
  <w:style w:type="paragraph" w:styleId="1159" w:customStyle="1">
    <w:name w:val="p0"/>
    <w:basedOn w:val="977"/>
    <w:uiPriority w:val="0"/>
    <w:qFormat/>
    <w:pPr>
      <w:widowControl/>
    </w:pPr>
    <w:rPr>
      <w:rFonts w:eastAsia="宋体"/>
      <w:sz w:val="28"/>
      <w:szCs w:val="28"/>
    </w:rPr>
  </w:style>
  <w:style w:type="paragraph" w:styleId="116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61" w:customStyle="1">
    <w:name w:val="textcontents"/>
    <w:basedOn w:val="984"/>
    <w:uiPriority w:val="0"/>
    <w:qFormat/>
  </w:style>
  <w:style w:type="paragraph" w:styleId="1162" w:customStyle="1">
    <w:name w:val="纯文本4"/>
    <w:basedOn w:val="977"/>
    <w:uiPriority w:val="0"/>
    <w:qFormat/>
    <w:rPr>
      <w:rFonts w:ascii="宋体" w:hAnsi="Courier New"/>
    </w:rPr>
  </w:style>
  <w:style w:type="paragraph" w:styleId="1163" w:customStyle="1">
    <w:name w:val="纯文本5"/>
    <w:basedOn w:val="977"/>
    <w:uiPriority w:val="0"/>
    <w:qFormat/>
    <w:rPr>
      <w:rFonts w:ascii="宋体" w:hAnsi="Courier New"/>
    </w:rPr>
  </w:style>
  <w:style w:type="character" w:styleId="1164" w:customStyle="1">
    <w:name w:val="font01"/>
    <w:basedOn w:val="984"/>
    <w:uiPriority w:val="0"/>
    <w:qFormat/>
    <w:rPr>
      <w:rFonts w:hint="default" w:ascii="Times New Roman" w:hAnsi="Times New Roman" w:cs="Times New Roman"/>
      <w:color w:val="000000"/>
      <w:sz w:val="26"/>
      <w:szCs w:val="26"/>
      <w:u w:val="none"/>
    </w:rPr>
  </w:style>
  <w:style w:type="character" w:styleId="1165" w:customStyle="1">
    <w:name w:val="font11"/>
    <w:basedOn w:val="984"/>
    <w:uiPriority w:val="0"/>
    <w:qFormat/>
    <w:rPr>
      <w:rFonts w:hint="default" w:ascii="楷体_GB2312" w:eastAsia="楷体_GB2312" w:cs="楷体_GB2312"/>
      <w:color w:val="000000"/>
      <w:sz w:val="26"/>
      <w:szCs w:val="26"/>
      <w:u w:val="none"/>
    </w:rPr>
  </w:style>
  <w:style w:type="character" w:styleId="1166" w:customStyle="1">
    <w:name w:val="日期 Char1"/>
    <w:basedOn w:val="984"/>
    <w:uiPriority w:val="0"/>
    <w:qFormat/>
    <w:rPr>
      <w:rFonts w:ascii="宋体" w:hAnsi="宋体" w:eastAsia="楷体_GB2312"/>
      <w:sz w:val="24"/>
    </w:rPr>
  </w:style>
  <w:style w:type="paragraph" w:styleId="1167" w:customStyle="1">
    <w:name w:val="Plain Text1"/>
    <w:basedOn w:val="977"/>
    <w:uiPriority w:val="0"/>
    <w:qFormat/>
    <w:rPr>
      <w:rFonts w:ascii="宋体" w:hAnsi="Courier New"/>
    </w:rPr>
  </w:style>
  <w:style w:type="character" w:styleId="1168" w:customStyle="1">
    <w:name w:val="Andy_正文 Char"/>
    <w:link w:val="1169"/>
    <w:uiPriority w:val="0"/>
    <w:qFormat/>
    <w:rPr>
      <w:rFonts w:ascii="Calibri" w:hAnsi="Calibri"/>
      <w:sz w:val="24"/>
      <w:szCs w:val="24"/>
    </w:rPr>
  </w:style>
  <w:style w:type="paragraph" w:styleId="1169" w:customStyle="1">
    <w:name w:val="Andy_正文"/>
    <w:basedOn w:val="977"/>
    <w:link w:val="1168"/>
    <w:uiPriority w:val="0"/>
    <w:qFormat/>
    <w:pPr>
      <w:ind w:firstLine="480"/>
      <w:spacing w:line="360" w:lineRule="auto"/>
    </w:pPr>
    <w:rPr>
      <w:rFonts w:ascii="Calibri" w:hAnsi="Calibri" w:eastAsia="宋体"/>
      <w:sz w:val="24"/>
      <w:szCs w:val="24"/>
    </w:rPr>
  </w:style>
  <w:style w:type="character" w:styleId="1170" w:customStyle="1">
    <w:name w:val="正文缩进 字符1"/>
    <w:uiPriority w:val="0"/>
    <w:qFormat/>
    <w:rPr>
      <w:rFonts w:eastAsia="楷体_GB2312"/>
      <w:sz w:val="24"/>
      <w:lang w:val="en-US" w:eastAsia="zh-CN" w:bidi="ar-SA"/>
    </w:rPr>
  </w:style>
  <w:style w:type="paragraph" w:styleId="1171" w:customStyle="1">
    <w:name w:val="纯文本11"/>
    <w:basedOn w:val="977"/>
    <w:uiPriority w:val="0"/>
    <w:qFormat/>
    <w:rPr>
      <w:rFonts w:ascii="宋体" w:hAnsi="Courier New"/>
    </w:rPr>
  </w:style>
  <w:style w:type="paragraph" w:styleId="1172" w:customStyle="1">
    <w:name w:val="正文缩进1"/>
    <w:basedOn w:val="977"/>
    <w:uiPriority w:val="0"/>
    <w:qFormat/>
    <w:pPr>
      <w:ind w:firstLine="420"/>
    </w:pPr>
    <w:rPr>
      <w:rFonts w:eastAsia="宋体"/>
      <w:sz w:val="21"/>
    </w:rPr>
  </w:style>
  <w:style w:type="character" w:styleId="1173" w:customStyle="1">
    <w:name w:val="Plain Text Char"/>
    <w:uiPriority w:val="0"/>
    <w:qFormat/>
    <w:rPr>
      <w:rFonts w:ascii="宋体" w:hAnsi="Courier New" w:eastAsia="楷体_GB2312"/>
      <w:sz w:val="26"/>
    </w:rPr>
  </w:style>
  <w:style w:type="paragraph" w:styleId="1174" w:customStyle="1">
    <w:name w:val="纯文本6"/>
    <w:basedOn w:val="977"/>
    <w:uiPriority w:val="0"/>
    <w:qFormat/>
    <w:rPr>
      <w:rFonts w:ascii="宋体" w:hAnsi="Courier New"/>
    </w:rPr>
  </w:style>
  <w:style w:type="paragraph" w:styleId="1175" w:customStyle="1">
    <w:name w:val="修订2"/>
    <w:hidden/>
    <w:uiPriority w:val="99"/>
    <w:semiHidden/>
    <w:qFormat/>
    <w:rPr>
      <w:rFonts w:ascii="Times New Roman" w:hAnsi="Times New Roman" w:eastAsia="楷体_GB2312" w:cs="Times New Roman"/>
      <w:sz w:val="26"/>
      <w:lang w:val="en-US" w:eastAsia="zh-CN" w:bidi="ar-SA"/>
    </w:rPr>
  </w:style>
  <w:style w:type="paragraph" w:styleId="1176" w:customStyle="1">
    <w:name w:val="修订3"/>
    <w:hidden/>
    <w:uiPriority w:val="99"/>
    <w:semiHidden/>
    <w:qFormat/>
    <w:rPr>
      <w:rFonts w:ascii="Times New Roman" w:hAnsi="Times New Roman" w:eastAsia="楷体_GB2312" w:cs="Times New Roman"/>
      <w:sz w:val="26"/>
      <w:lang w:val="en-US" w:eastAsia="zh-CN" w:bidi="ar-SA"/>
    </w:rPr>
  </w:style>
  <w:style w:type="paragraph" w:styleId="1177" w:customStyle="1">
    <w:name w:val="修订4"/>
    <w:hidden/>
    <w:uiPriority w:val="99"/>
    <w:semiHidden/>
    <w:qFormat/>
    <w:rPr>
      <w:rFonts w:ascii="Times New Roman" w:hAnsi="Times New Roman" w:eastAsia="楷体_GB2312" w:cs="Times New Roman"/>
      <w:sz w:val="26"/>
      <w:lang w:val="en-US" w:eastAsia="zh-CN" w:bidi="ar-SA"/>
    </w:rPr>
  </w:style>
  <w:style w:type="character" w:styleId="1178" w:customStyle="1">
    <w:name w:val="正文文本首行缩进 2 字符"/>
    <w:basedOn w:val="1050"/>
    <w:link w:val="1029"/>
    <w:uiPriority w:val="0"/>
    <w:semiHidden/>
    <w:qFormat/>
    <w:rPr>
      <w:rFonts w:ascii="Times New Roman" w:hAnsi="Times New Roman" w:eastAsia="楷体_GB2312" w:cs="Times New Roman"/>
      <w:sz w:val="26"/>
    </w:rPr>
  </w:style>
  <w:style w:type="character" w:styleId="1179" w:customStyle="1">
    <w:name w:val="未处理的提及1"/>
    <w:basedOn w:val="984"/>
    <w:uiPriority w:val="99"/>
    <w:semiHidden/>
    <w:unhideWhenUsed/>
    <w:qFormat/>
    <w:rPr>
      <w:color w:val="605e5c"/>
      <w:shd w:val="clear" w:color="auto" w:fill="e1dfdd"/>
    </w:rPr>
  </w:style>
  <w:style w:type="paragraph" w:styleId="1180" w:customStyle="1">
    <w:name w:val="Revision"/>
    <w:hidden/>
    <w:uiPriority w:val="99"/>
    <w:unhideWhenUsed/>
    <w:qFormat/>
    <w:rPr>
      <w:rFonts w:ascii="Times New Roman" w:hAnsi="Times New Roman" w:eastAsia="楷体_GB2312" w:cs="Times New Roman"/>
      <w:sz w:val="26"/>
      <w:lang w:val="en-US" w:eastAsia="zh-CN" w:bidi="ar-SA"/>
    </w:rPr>
  </w:style>
  <w:style w:type="character" w:styleId="1181" w:customStyle="1">
    <w:name w:val="Unresolved Mention"/>
    <w:basedOn w:val="984"/>
    <w:uiPriority w:val="99"/>
    <w:semiHidden/>
    <w:unhideWhenUsed/>
    <w:qFormat/>
    <w:rPr>
      <w:color w:val="605e5c"/>
      <w:shd w:val="clear" w:color="auto" w:fill="e1dfdd"/>
    </w:rPr>
  </w:style>
  <w:style w:type="character" w:styleId="1182" w:customStyle="1">
    <w:name w:val="NormalCharacter"/>
    <w:uiPriority w:val="0"/>
    <w:semiHidden/>
    <w:qFormat/>
    <w:rPr>
      <w:rFonts w:ascii="Times New Roman" w:hAnsi="Times New Roman" w:eastAsia="宋体" w:cs="Times New Roman"/>
    </w:rPr>
  </w:style>
  <w:style w:type="paragraph" w:styleId="1183" w:customStyle="1">
    <w:name w:val="段"/>
    <w:next w:val="977"/>
    <w:uiPriority w:val="0"/>
    <w:qFormat/>
    <w:pPr>
      <w:ind w:firstLine="200"/>
      <w:jc w:val="both"/>
    </w:pPr>
    <w:rPr>
      <w:rFonts w:ascii="宋体" w:hAnsi="Times New Roman" w:eastAsia="宋体" w:cs="Times New Roman"/>
      <w:sz w:val="21"/>
      <w:lang w:val="en-US" w:eastAsia="zh-CN" w:bidi="ar-SA"/>
    </w:rPr>
  </w:style>
  <w:style w:type="paragraph" w:styleId="1184" w:customStyle="1">
    <w:name w:val="正文文本缩进11"/>
    <w:basedOn w:val="977"/>
    <w:next w:val="977"/>
    <w:uiPriority w:val="0"/>
    <w:qFormat/>
    <w:pPr>
      <w:ind w:left="420" w:firstLine="1188"/>
      <w:spacing w:line="360" w:lineRule="exact"/>
    </w:pPr>
    <w:rPr>
      <w:rFonts w:ascii="Times New Roman" w:hAnsi="Times New Roman" w:cs="Times New Roman"/>
    </w:rPr>
  </w:style>
  <w:style w:type="paragraph" w:styleId="1185" w:customStyle="1">
    <w:name w:val="纯文本7"/>
    <w:basedOn w:val="977"/>
    <w:uiPriority w:val="0"/>
    <w:qFormat/>
    <w:rPr>
      <w:rFonts w:ascii="宋体" w:hAnsi="Courier New" w:eastAsia="楷体_GB2312"/>
      <w:sz w:val="26"/>
      <w:szCs w:val="20"/>
    </w:rPr>
  </w:style>
  <w:style w:type="character" w:styleId="1186" w:customStyle="1">
    <w:name w:val="font31"/>
    <w:basedOn w:val="984"/>
    <w:uiPriority w:val="0"/>
    <w:qFormat/>
    <w:rPr>
      <w:rFonts w:hint="eastAsia" w:ascii="宋体" w:hAnsi="宋体" w:eastAsia="宋体" w:cs="宋体"/>
      <w:color w:val="000000"/>
      <w:sz w:val="22"/>
      <w:szCs w:val="22"/>
      <w:u w:val="none"/>
    </w:rPr>
  </w:style>
  <w:style w:type="character" w:styleId="1187" w:customStyle="1">
    <w:name w:val="font51"/>
    <w:basedOn w:val="984"/>
    <w:uiPriority w:val="0"/>
    <w:qFormat/>
    <w:rPr>
      <w:rFonts w:hint="eastAsia" w:ascii="宋体" w:hAnsi="宋体" w:eastAsia="宋体" w:cs="宋体"/>
      <w:color w:val="ff0000"/>
      <w:sz w:val="22"/>
      <w:szCs w:val="22"/>
      <w:u w:val="none"/>
    </w:rPr>
  </w:style>
  <w:style w:type="character" w:styleId="1188" w:customStyle="1">
    <w:name w:val="font121"/>
    <w:basedOn w:val="984"/>
    <w:uiPriority w:val="0"/>
    <w:qFormat/>
    <w:rPr>
      <w:rFonts w:hint="default" w:ascii="Times New Roman" w:hAnsi="Times New Roman" w:cs="Times New Roman"/>
      <w:color w:val="000000"/>
      <w:sz w:val="22"/>
      <w:szCs w:val="22"/>
      <w:u w:val="none"/>
    </w:rPr>
  </w:style>
  <w:style w:type="paragraph" w:styleId="1189" w:customStyle="1">
    <w:name w:val="Table Text"/>
    <w:basedOn w:val="977"/>
    <w:uiPriority w:val="0"/>
    <w:semiHidden/>
    <w:qFormat/>
    <w:rPr>
      <w:rFonts w:ascii="宋体" w:hAnsi="宋体" w:eastAsia="宋体" w:cs="宋体"/>
      <w:sz w:val="22"/>
      <w:szCs w:val="22"/>
      <w:lang w:val="en-US" w:eastAsia="en-US" w:bidi="ar-SA"/>
    </w:rPr>
  </w:style>
  <w:style w:type="table" w:styleId="1190" w:customStyle="1">
    <w:name w:val="Table Normal"/>
    <w:uiPriority w:val="0"/>
    <w:semiHidden/>
    <w:unhideWhenUsed/>
    <w:qFormat/>
    <w:tblPr>
      <w:tblCellMar>
        <w:left w:w="0" w:type="dxa"/>
        <w:top w:w="0" w:type="dxa"/>
        <w:right w:w="0" w:type="dxa"/>
        <w:bottom w:w="0" w:type="dxa"/>
      </w:tblCellMar>
    </w:tbl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0868CB8-6367-4AA4-A3A1-381138FE09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216</cp:revision>
  <dcterms:created xsi:type="dcterms:W3CDTF">2025-04-07T15:47:00Z</dcterms:created>
  <dcterms:modified xsi:type="dcterms:W3CDTF">2026-09-22T04:27:57Z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26BE2C137EBB6C017579AF6A09077634_43</vt:lpwstr>
  </property>
  <property fmtid="{D5CDD505-2E9C-101B-9397-08002B2CF9AE}" pid="4" name="KSOTemplateDocerSaveRecord">
    <vt:lpwstr>eyJoZGlkIjoiNTc4OTdiYWYwZmQ4ODk5ZDBiZTkxNmE1MjdiMmMwNTMiLCJ1c2VySWQiOiI1NjI3MjA1NTkifQ==</vt:lpwstr>
  </property>
</Properties>
</file>