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43"/>
        <w:jc w:val="both"/>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bookmarkStart w:id="31" w:name="_GoBack"/>
      <w:r/>
      <w:bookmarkEnd w:id="31"/>
      <w:r/>
      <w:r/>
    </w:p>
    <w:p>
      <w:pPr>
        <w:ind w:firstLine="2249"/>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2249"/>
        <w:jc w:val="left"/>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firstLine="0"/>
        <w:spacing w:line="48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项目名称：</w:t>
      </w:r>
      <w:r>
        <w:rPr>
          <w:rFonts w:hint="eastAsia" w:ascii="宋体" w:hAnsi="宋体" w:eastAsia="宋体" w:cs="宋体"/>
          <w:b/>
          <w:bCs/>
          <w:color w:val="auto"/>
          <w:sz w:val="32"/>
          <w:szCs w:val="24"/>
          <w:highlight w:val="none"/>
          <w:lang w:eastAsia="zh-CN"/>
        </w:rPr>
        <w:t xml:space="preserve">连云港数智自贸平台建设及日常运维</w:t>
      </w:r>
      <w:r/>
    </w:p>
    <w:p>
      <w:pPr>
        <w:ind w:left="0" w:firstLine="0"/>
        <w:spacing w:line="480" w:lineRule="auto"/>
        <w:rPr>
          <w:rFonts w:hint="eastAsia" w:ascii="宋体" w:hAnsi="宋体" w:eastAsia="宋体" w:cs="宋体"/>
          <w:b/>
          <w:bCs/>
          <w:color w:val="auto"/>
          <w:sz w:val="32"/>
          <w:szCs w:val="24"/>
          <w:highlight w:val="none"/>
          <w:lang w:val="en-US" w:eastAsia="zh-CN"/>
        </w:rPr>
      </w:pPr>
      <w:r/>
      <w:bookmarkStart w:id="0" w:name="_Toc11094"/>
      <w:r>
        <w:rPr>
          <w:rFonts w:hint="eastAsia" w:ascii="宋体" w:hAnsi="宋体" w:eastAsia="宋体" w:cs="宋体"/>
          <w:b/>
          <w:bCs/>
          <w:color w:val="auto"/>
          <w:sz w:val="32"/>
          <w:szCs w:val="24"/>
          <w:highlight w:val="none"/>
        </w:rPr>
        <w:t xml:space="preserve">项目编号：</w:t>
      </w:r>
      <w:bookmarkEnd w:id="0"/>
      <w:r>
        <w:rPr>
          <w:rFonts w:hint="eastAsia" w:ascii="宋体" w:hAnsi="宋体" w:eastAsia="宋体" w:cs="宋体"/>
          <w:b/>
          <w:bCs/>
          <w:color w:val="auto"/>
          <w:sz w:val="32"/>
          <w:szCs w:val="24"/>
          <w:highlight w:val="none"/>
        </w:rPr>
        <w:t xml:space="preserve">JSZC-320791-LYZX-G2026-0005</w:t>
      </w:r>
      <w:r/>
    </w:p>
    <w:p>
      <w:pPr>
        <w:ind w:left="0" w:firstLine="0"/>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left="0" w:firstLine="0"/>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left="0" w:firstLine="0"/>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81"/>
        <w:spacing w:line="480" w:lineRule="auto"/>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lang w:eastAsia="zh-CN"/>
        </w:rPr>
        <w:t xml:space="preserve">采   购   人：</w:t>
      </w:r>
      <w:r/>
    </w:p>
    <w:p>
      <w:pPr>
        <w:ind w:firstLine="281"/>
        <w:spacing w:line="480" w:lineRule="auto"/>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lang w:eastAsia="zh-CN"/>
        </w:rPr>
        <w:t xml:space="preserve">中国（江苏）自由贸易试验区连云港片区制度创新局</w:t>
      </w:r>
      <w:r/>
    </w:p>
    <w:p>
      <w:pPr>
        <w:ind w:firstLine="281"/>
        <w:spacing w:line="480" w:lineRule="auto"/>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lang w:eastAsia="zh-CN"/>
        </w:rPr>
        <w:t xml:space="preserve">中国（江苏）自由贸易试验区连云港片区综合协调局</w:t>
      </w:r>
      <w:r/>
    </w:p>
    <w:p>
      <w:pPr>
        <w:ind w:firstLine="281"/>
        <w:spacing w:line="480" w:lineRule="auto"/>
        <w:rPr>
          <w:rFonts w:hint="eastAsia" w:ascii="宋体" w:hAnsi="宋体" w:eastAsia="宋体" w:cs="宋体"/>
          <w:b/>
          <w:bCs/>
          <w:color w:val="auto"/>
          <w:sz w:val="28"/>
          <w:szCs w:val="22"/>
          <w:highlight w:val="none"/>
          <w:lang w:eastAsia="zh-CN"/>
        </w:rPr>
      </w:pPr>
      <w:r>
        <w:rPr>
          <w:rFonts w:hint="eastAsia" w:ascii="宋体" w:hAnsi="宋体" w:eastAsia="宋体" w:cs="宋体"/>
          <w:b/>
          <w:bCs/>
          <w:color w:val="auto"/>
          <w:sz w:val="28"/>
          <w:szCs w:val="22"/>
          <w:highlight w:val="none"/>
          <w:lang w:eastAsia="zh-CN"/>
        </w:rPr>
        <w:t xml:space="preserve">采购代理机构：江苏政贤全过程工程咨询有限公司</w:t>
      </w:r>
      <w:r/>
    </w:p>
    <w:p>
      <w:pPr>
        <w:ind w:left="0" w:firstLine="0"/>
        <w:jc w:val="center"/>
        <w:spacing w:line="480" w:lineRule="auto"/>
        <w:rPr>
          <w:rFonts w:hint="eastAsia" w:ascii="宋体" w:hAnsi="宋体" w:eastAsia="宋体" w:cs="宋体"/>
          <w:color w:val="auto"/>
          <w:highlight w:val="none"/>
        </w:rPr>
      </w:pPr>
      <w:r>
        <w:rPr>
          <w:rFonts w:hint="eastAsia" w:ascii="宋体" w:hAnsi="宋体" w:eastAsia="宋体" w:cs="宋体"/>
          <w:b/>
          <w:bCs/>
          <w:color w:val="auto"/>
          <w:sz w:val="32"/>
          <w:szCs w:val="24"/>
          <w:highlight w:val="none"/>
        </w:rPr>
        <w:t xml:space="preserve">202</w:t>
      </w:r>
      <w:r>
        <w:rPr>
          <w:rFonts w:hint="eastAsia" w:ascii="宋体" w:hAnsi="宋体" w:eastAsia="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rPr>
        <w:t xml:space="preserve">年</w:t>
      </w:r>
      <w:r>
        <w:rPr>
          <w:rFonts w:hint="eastAsia" w:ascii="宋体" w:hAnsi="宋体" w:eastAsia="宋体" w:cs="宋体"/>
          <w:b/>
          <w:bCs/>
          <w:color w:val="auto"/>
          <w:sz w:val="32"/>
          <w:szCs w:val="24"/>
          <w:highlight w:val="none"/>
          <w:lang w:val="en-US" w:eastAsia="zh-CN"/>
        </w:rPr>
        <w:t xml:space="preserve">10月</w:t>
      </w:r>
      <w:r>
        <w:rPr>
          <w:rFonts w:hint="eastAsia" w:ascii="宋体" w:hAnsi="宋体" w:eastAsia="宋体" w:cs="宋体"/>
          <w:b/>
          <w:bCs/>
          <w:color w:val="auto"/>
          <w:sz w:val="32"/>
          <w:szCs w:val="24"/>
          <w:highlight w:val="none"/>
        </w:rPr>
        <w:br w:type="page" w:clear="all"/>
      </w:r>
      <w:r/>
    </w:p>
    <w:p>
      <w:pPr>
        <w:pStyle w:val="672"/>
        <w:ind w:left="0" w:firstLine="0"/>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  录</w:t>
      </w:r>
      <w:r/>
    </w:p>
    <w:p>
      <w:pPr>
        <w:ind w:left="0" w:right="0" w:firstLine="0"/>
        <w:jc w:val="center"/>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56"/>
        <w:keepLines w:val="0"/>
        <w:keepNext w:val="0"/>
        <w:pageBreakBefore w:val="0"/>
        <w:spacing w:line="360" w:lineRule="auto"/>
        <w:widowControl/>
        <w:tabs>
          <w:tab w:val="right" w:pos="8306"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_Toc471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fldChar w:fldCharType="end"/>
      </w:r>
      <w:r/>
    </w:p>
    <w:p>
      <w:pPr>
        <w:pStyle w:val="856"/>
        <w:keepLines w:val="0"/>
        <w:keepNext w:val="0"/>
        <w:pageBreakBefore w:val="0"/>
        <w:spacing w:line="360" w:lineRule="auto"/>
        <w:widowControl/>
        <w:tabs>
          <w:tab w:val="right" w:pos="8306"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_Toc15485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fldChar w:fldCharType="end"/>
      </w:r>
      <w:r/>
    </w:p>
    <w:p>
      <w:pPr>
        <w:pStyle w:val="856"/>
        <w:keepLines w:val="0"/>
        <w:keepNext w:val="0"/>
        <w:pageBreakBefore w:val="0"/>
        <w:spacing w:line="360" w:lineRule="auto"/>
        <w:widowControl/>
        <w:tabs>
          <w:tab w:val="right" w:pos="8306"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第三章  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_Toc19724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24</w:t>
      </w:r>
      <w:r>
        <w:rPr>
          <w:rFonts w:hint="eastAsia" w:ascii="宋体" w:hAnsi="宋体" w:eastAsia="宋体" w:cs="宋体"/>
          <w:color w:val="auto"/>
          <w:sz w:val="28"/>
          <w:szCs w:val="28"/>
          <w:highlight w:val="none"/>
          <w:lang w:val="en-US" w:eastAsia="zh-CN" w:bidi="ar-SA"/>
        </w:rPr>
        <w:fldChar w:fldCharType="end"/>
      </w:r>
      <w:r/>
    </w:p>
    <w:p>
      <w:pPr>
        <w:pStyle w:val="856"/>
        <w:keepLines w:val="0"/>
        <w:keepNext w:val="0"/>
        <w:pageBreakBefore w:val="0"/>
        <w:spacing w:line="360" w:lineRule="auto"/>
        <w:widowControl/>
        <w:tabs>
          <w:tab w:val="right" w:pos="8306"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第四章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_Toc7686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30</w:t>
      </w:r>
      <w:r>
        <w:rPr>
          <w:rFonts w:hint="eastAsia" w:ascii="宋体" w:hAnsi="宋体" w:eastAsia="宋体" w:cs="宋体"/>
          <w:color w:val="auto"/>
          <w:sz w:val="28"/>
          <w:szCs w:val="28"/>
          <w:highlight w:val="none"/>
          <w:lang w:val="en-US" w:eastAsia="zh-CN" w:bidi="ar-SA"/>
        </w:rPr>
        <w:fldChar w:fldCharType="end"/>
      </w:r>
      <w:r/>
    </w:p>
    <w:p>
      <w:pPr>
        <w:pStyle w:val="856"/>
        <w:keepLines w:val="0"/>
        <w:keepNext w:val="0"/>
        <w:pageBreakBefore w:val="0"/>
        <w:spacing w:line="360" w:lineRule="auto"/>
        <w:widowControl/>
        <w:tabs>
          <w:tab w:val="right" w:pos="8306"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HYPERLINK \l _Toc5783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第五章  评标方法与评标标准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_Toc5783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49</w:t>
      </w:r>
      <w:r>
        <w:rPr>
          <w:rFonts w:hint="eastAsia" w:ascii="宋体" w:hAnsi="宋体" w:eastAsia="宋体" w:cs="宋体"/>
          <w:color w:val="auto"/>
          <w:sz w:val="28"/>
          <w:szCs w:val="28"/>
          <w:highlight w:val="none"/>
          <w:lang w:val="en-US" w:eastAsia="zh-CN" w:bidi="ar-SA"/>
        </w:rPr>
        <w:fldChar w:fldCharType="end"/>
      </w:r>
      <w:r/>
    </w:p>
    <w:p>
      <w:pPr>
        <w:pStyle w:val="856"/>
        <w:keepLines w:val="0"/>
        <w:keepNext w:val="0"/>
        <w:pageBreakBefore w:val="0"/>
        <w:spacing w:line="360" w:lineRule="auto"/>
        <w:widowControl/>
        <w:tabs>
          <w:tab w:val="right" w:pos="8306"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HYPERLINK \l _Toc20507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第六章  投标文件格式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_Toc20507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57</w:t>
      </w:r>
      <w:r>
        <w:rPr>
          <w:rFonts w:hint="eastAsia" w:ascii="宋体" w:hAnsi="宋体" w:eastAsia="宋体" w:cs="宋体"/>
          <w:color w:val="auto"/>
          <w:sz w:val="28"/>
          <w:szCs w:val="28"/>
          <w:highlight w:val="none"/>
          <w:lang w:val="en-US" w:eastAsia="zh-CN" w:bidi="ar-SA"/>
        </w:rPr>
        <w:fldChar w:fldCharType="end"/>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end"/>
      </w:r>
      <w:r/>
    </w:p>
    <w:p>
      <w:pP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645"/>
        <w:jc w:val="center"/>
        <w:spacing w:line="360" w:lineRule="auto"/>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b w:val="0"/>
          <w:color w:val="auto"/>
          <w:highlight w:val="none"/>
        </w:rPr>
      </w:r>
      <w:r/>
    </w:p>
    <w:p>
      <w:pPr>
        <w:pStyle w:val="645"/>
        <w:numPr>
          <w:ilvl w:val="0"/>
          <w:numId w:val="0"/>
        </w:numPr>
        <w:jc w:val="center"/>
        <w:spacing w:line="360" w:lineRule="auto"/>
        <w:rPr>
          <w:rFonts w:hint="eastAsia" w:ascii="宋体" w:hAnsi="宋体" w:eastAsia="宋体" w:cs="宋体"/>
          <w:b w:val="0"/>
          <w:color w:val="auto"/>
          <w:highlight w:val="none"/>
        </w:rPr>
      </w:pPr>
      <w:r/>
      <w:bookmarkStart w:id="1" w:name="_Toc471"/>
      <w:r/>
      <w:bookmarkStart w:id="2" w:name="_Toc165205794"/>
      <w:r>
        <w:rPr>
          <w:rFonts w:hint="eastAsia" w:ascii="Times New Roman" w:hAnsi="Times New Roman" w:eastAsia="黑体" w:cs="Times New Roman"/>
          <w:b w:val="0"/>
          <w:bCs/>
          <w:color w:val="auto"/>
          <w:sz w:val="44"/>
          <w:szCs w:val="44"/>
          <w:highlight w:val="none"/>
          <w:lang w:val="en-US" w:eastAsia="zh-CN" w:bidi="ar-SA"/>
        </w:rPr>
        <w:t xml:space="preserve">第一章</w:t>
      </w:r>
      <w:r>
        <w:rPr>
          <w:rFonts w:hint="eastAsia" w:ascii="Times New Roman" w:hAnsi="Times New Roman" w:eastAsia="黑体" w:cs="Times New Roman"/>
          <w:b w:val="0"/>
          <w:color w:val="auto"/>
          <w:highlight w:val="none"/>
        </w:rPr>
        <w:t xml:space="preserve"> 投标邀请</w:t>
      </w:r>
      <w:bookmarkEnd w:id="1"/>
      <w:r/>
      <w:bookmarkEnd w:id="2"/>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受</w:t>
      </w:r>
      <w:r>
        <w:rPr>
          <w:rFonts w:hint="eastAsia" w:ascii="宋体" w:hAnsi="宋体" w:eastAsia="宋体" w:cs="宋体"/>
          <w:b w:val="0"/>
          <w:bCs w:val="0"/>
          <w:color w:val="auto"/>
          <w:sz w:val="24"/>
          <w:szCs w:val="24"/>
          <w:highlight w:val="none"/>
          <w:u w:val="single"/>
        </w:rPr>
        <w:t xml:space="preserve">中国（江苏）自由贸易试验区连云港片区制度创新局和中国（江苏）自由贸易试验区连云港片区综合协调局</w:t>
      </w:r>
      <w:r>
        <w:rPr>
          <w:rFonts w:hint="eastAsia" w:ascii="宋体" w:hAnsi="宋体" w:eastAsia="宋体" w:cs="宋体"/>
          <w:b w:val="0"/>
          <w:bCs w:val="0"/>
          <w:color w:val="auto"/>
          <w:sz w:val="24"/>
          <w:szCs w:val="24"/>
          <w:highlight w:val="none"/>
        </w:rPr>
        <w:t xml:space="preserve">的委托，江苏政贤全过程工程咨询有限公司就</w:t>
      </w:r>
      <w:r>
        <w:rPr>
          <w:rFonts w:hint="eastAsia" w:ascii="宋体" w:hAnsi="宋体" w:eastAsia="宋体" w:cs="宋体"/>
          <w:b w:val="0"/>
          <w:bCs w:val="0"/>
          <w:color w:val="auto"/>
          <w:sz w:val="24"/>
          <w:szCs w:val="24"/>
          <w:highlight w:val="none"/>
          <w:u w:val="single"/>
          <w:lang w:eastAsia="zh-CN"/>
        </w:rPr>
        <w:t xml:space="preserve">连云港数智自贸平台建设及日常运维</w:t>
      </w:r>
      <w:r>
        <w:rPr>
          <w:rFonts w:hint="eastAsia" w:ascii="宋体" w:hAnsi="宋体" w:eastAsia="宋体" w:cs="宋体"/>
          <w:b w:val="0"/>
          <w:bCs w:val="0"/>
          <w:color w:val="auto"/>
          <w:sz w:val="24"/>
          <w:szCs w:val="24"/>
          <w:highlight w:val="none"/>
        </w:rPr>
        <w:t xml:space="preserve">（项目编号：</w:t>
      </w:r>
      <w:r>
        <w:rPr>
          <w:rFonts w:hint="eastAsia" w:ascii="宋体" w:hAnsi="宋体" w:eastAsia="宋体" w:cs="宋体"/>
          <w:b w:val="0"/>
          <w:bCs w:val="0"/>
          <w:color w:val="auto"/>
          <w:sz w:val="24"/>
          <w:szCs w:val="24"/>
          <w:highlight w:val="none"/>
          <w:u w:val="single"/>
        </w:rPr>
        <w:t xml:space="preserve">JSZC-320791-LYZX-G2026-0005</w:t>
      </w:r>
      <w:r>
        <w:rPr>
          <w:rFonts w:hint="eastAsia" w:ascii="宋体" w:hAnsi="宋体" w:eastAsia="宋体" w:cs="宋体"/>
          <w:b w:val="0"/>
          <w:bCs w:val="0"/>
          <w:color w:val="auto"/>
          <w:sz w:val="24"/>
          <w:szCs w:val="24"/>
          <w:highlight w:val="none"/>
        </w:rPr>
        <w:t xml:space="preserve">）进行公开招标采购，欢迎符合条件的供应商投标。</w:t>
      </w:r>
      <w:r/>
    </w:p>
    <w:tbl>
      <w:tblPr>
        <w:tblStyle w:val="68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连云港数智自贸平台建设及日常运维</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自行免费下载招标文件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并于2026年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月6</w:t>
            </w:r>
            <w:r>
              <w:rPr>
                <w:rFonts w:hint="eastAsia" w:ascii="宋体" w:hAnsi="宋体" w:eastAsia="宋体" w:cs="宋体"/>
                <w:color w:val="auto"/>
                <w:sz w:val="24"/>
                <w:szCs w:val="24"/>
                <w:highlight w:val="none"/>
              </w:rPr>
              <w:t xml:space="preserve">日09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00（北京时间）前递交（上传）投标文件。</w:t>
            </w:r>
            <w:r/>
          </w:p>
        </w:tc>
      </w:tr>
    </w:tbl>
    <w:p>
      <w:pPr>
        <w:pStyle w:val="646"/>
        <w:pageBreakBefore w:val="0"/>
        <w:spacing w:before="0" w:after="0" w:line="360" w:lineRule="auto"/>
        <w:widowControl w:val="off"/>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一、项目基本情况</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项目编号：JSZC-320791-LYZX-G2026-0005</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连云港数智自贸平台建设及日常运维</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金额：230万元</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w:t>
      </w:r>
      <w:bookmarkStart w:id="3" w:name="OLE_LINK5"/>
      <w:r/>
      <w:bookmarkStart w:id="4" w:name="OLE_LINK6"/>
      <w:r>
        <w:rPr>
          <w:rFonts w:hint="eastAsia" w:ascii="宋体" w:hAnsi="宋体" w:eastAsia="宋体" w:cs="宋体"/>
          <w:color w:val="auto"/>
          <w:sz w:val="24"/>
          <w:szCs w:val="24"/>
          <w:highlight w:val="none"/>
          <w:lang w:val="en-US" w:eastAsia="zh-CN"/>
        </w:rPr>
        <w:t xml:space="preserve">230万元，投标报价超过最高限价的投标无效。</w:t>
      </w:r>
      <w:bookmarkEnd w:id="3"/>
      <w:r/>
      <w:bookmarkEnd w:id="4"/>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lef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bookmarkStart w:id="5" w:name="OLE_LINK22"/>
      <w:r/>
      <w:bookmarkEnd w:id="5"/>
      <w:r/>
      <w:bookmarkStart w:id="6" w:name="OLE_LINK2"/>
      <w:r/>
      <w:bookmarkEnd w:id="6"/>
      <w:r>
        <w:rPr>
          <w:rFonts w:hint="eastAsia" w:ascii="宋体" w:hAnsi="宋体" w:eastAsia="宋体" w:cs="宋体"/>
          <w:color w:val="auto"/>
          <w:sz w:val="24"/>
          <w:szCs w:val="24"/>
          <w:highlight w:val="none"/>
        </w:rPr>
        <w:t xml:space="preserve">采购需求：根据《国务院关于印发6个新设自</w:t>
      </w:r>
      <w:r>
        <w:rPr>
          <w:rFonts w:hint="eastAsia" w:ascii="宋体" w:hAnsi="宋体" w:eastAsia="宋体" w:cs="宋体"/>
          <w:color w:val="auto"/>
          <w:sz w:val="24"/>
          <w:szCs w:val="24"/>
          <w:highlight w:val="none"/>
        </w:rPr>
        <w:t xml:space="preserve">由贸易试验区总体方案的通知》（国发〔2019〕15号）、《中国（江苏）自由贸易试验区条例》、《政务信息系统政府采购管理暂行办法》（财库〔2017〕210号）及《江苏省省级政务信息化项目建设管理办法》（苏政办发〔2024〕38号）、《连云港市市级政务信息化项目建设管理办法》（连政办发〔2025〕24号）、《中国（江苏）自由贸易试验区数据出境负面清单管理办法（试行）》（苏网办发〔2025〕6号）等文件精神，为加快推进自贸片区数字化建设，提升对外服务能力和对内管理效能，拟建设连云港数智自贸平台，具体详见采购需求。</w:t>
      </w:r>
      <w:r/>
    </w:p>
    <w:p>
      <w:pPr>
        <w:ind w:firstLine="482"/>
        <w:jc w:val="left"/>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对本项目资格要求、采购需求、评标方法与评标标准等部分的询问、质疑请与采购人</w:t>
      </w:r>
      <w:r>
        <w:rPr>
          <w:rFonts w:hint="eastAsia" w:ascii="宋体" w:hAnsi="宋体" w:eastAsia="宋体" w:cs="宋体"/>
          <w:b/>
          <w:color w:val="auto"/>
          <w:sz w:val="24"/>
          <w:szCs w:val="24"/>
          <w:highlight w:val="none"/>
          <w:lang w:val="en-US" w:eastAsia="zh-CN"/>
        </w:rPr>
        <w:t xml:space="preserve">或代理机构</w:t>
      </w:r>
      <w:r>
        <w:rPr>
          <w:rFonts w:hint="eastAsia" w:ascii="宋体" w:hAnsi="宋体" w:eastAsia="宋体" w:cs="宋体"/>
          <w:b/>
          <w:color w:val="auto"/>
          <w:sz w:val="24"/>
          <w:szCs w:val="24"/>
          <w:highlight w:val="none"/>
        </w:rPr>
        <w:t xml:space="preserve">联系</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由采购人</w:t>
      </w:r>
      <w:r>
        <w:rPr>
          <w:rFonts w:hint="eastAsia" w:ascii="宋体" w:hAnsi="宋体" w:eastAsia="宋体" w:cs="宋体"/>
          <w:b/>
          <w:color w:val="auto"/>
          <w:sz w:val="24"/>
          <w:szCs w:val="24"/>
          <w:highlight w:val="none"/>
          <w:lang w:val="en-US" w:eastAsia="zh-CN"/>
        </w:rPr>
        <w:t xml:space="preserve">或代理机构</w:t>
      </w:r>
      <w:r>
        <w:rPr>
          <w:rFonts w:hint="eastAsia" w:ascii="宋体" w:hAnsi="宋体" w:eastAsia="宋体" w:cs="宋体"/>
          <w:b/>
          <w:color w:val="auto"/>
          <w:sz w:val="24"/>
          <w:szCs w:val="24"/>
          <w:highlight w:val="none"/>
        </w:rPr>
        <w:t xml:space="preserve">负责答复。</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自合同签订之日起6个月内完成平台建设、试运行并通过最终验收交付，其中合同签订后</w:t>
      </w:r>
      <w:r>
        <w:rPr>
          <w:rFonts w:hint="eastAsia" w:ascii="宋体" w:hAnsi="宋体" w:eastAsia="宋体" w:cs="宋体"/>
          <w:color w:val="auto"/>
          <w:sz w:val="24"/>
          <w:szCs w:val="24"/>
          <w:highlight w:val="none"/>
          <w:lang w:val="en-US" w:eastAsia="zh-CN"/>
        </w:rPr>
        <w:t xml:space="preserve">45天内</w:t>
      </w:r>
      <w:r>
        <w:rPr>
          <w:rFonts w:hint="eastAsia" w:ascii="宋体" w:hAnsi="宋体" w:eastAsia="宋体" w:cs="宋体"/>
          <w:color w:val="auto"/>
          <w:sz w:val="24"/>
          <w:szCs w:val="24"/>
          <w:highlight w:val="none"/>
          <w:lang w:val="en-US" w:eastAsia="zh-CN"/>
        </w:rPr>
        <w:t xml:space="preserve">完成核心功能开发并实现初步上线；项目验收合格后进入1年质保运维期。</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pStyle w:val="857"/>
        <w:ind w:firstLine="468"/>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本项目不接受进口产品（进口产品是指通过中国海关报关验放进入中国境内且产自关境外的产品）投标，中标后不允许分包或转包。</w:t>
      </w:r>
      <w:r/>
    </w:p>
    <w:p>
      <w:pPr>
        <w:pStyle w:val="646"/>
        <w:pageBreakBefore w:val="0"/>
        <w:spacing w:before="0" w:after="0" w:line="360" w:lineRule="auto"/>
        <w:widowControl w:val="off"/>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二、申请人的资格要求</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并提供下列材料：</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1.法人或者其他组织的营业执</w:t>
      </w:r>
      <w:r>
        <w:rPr>
          <w:rFonts w:hint="eastAsia" w:ascii="宋体" w:hAnsi="宋体" w:eastAsia="宋体" w:cs="宋体"/>
          <w:color w:val="auto"/>
          <w:sz w:val="24"/>
          <w:szCs w:val="24"/>
          <w:highlight w:val="none"/>
          <w:lang w:val="en-US" w:eastAsia="zh-CN"/>
        </w:rPr>
        <w:t xml:space="preserve">照</w:t>
      </w:r>
      <w:r>
        <w:rPr>
          <w:rFonts w:hint="eastAsia" w:ascii="宋体" w:hAnsi="宋体" w:eastAsia="宋体" w:cs="宋体"/>
          <w:color w:val="auto"/>
          <w:sz w:val="24"/>
          <w:szCs w:val="24"/>
          <w:highlight w:val="none"/>
        </w:rPr>
        <w:t xml:space="preserve">证明文件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自然人的身份证明</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2.</w:t>
      </w:r>
      <w:bookmarkStart w:id="7" w:name="OLE_LINK3"/>
      <w:r>
        <w:rPr>
          <w:rFonts w:hint="eastAsia" w:ascii="宋体" w:hAnsi="宋体" w:eastAsia="宋体" w:cs="宋体"/>
          <w:color w:val="auto"/>
          <w:sz w:val="24"/>
          <w:szCs w:val="24"/>
          <w:highlight w:val="none"/>
        </w:rPr>
        <w:t xml:space="preserve">上一年度的财务状况报告；（成立不满一年无需提供）</w:t>
      </w:r>
      <w:r>
        <w:rPr>
          <w:rFonts w:hint="eastAsia" w:ascii="宋体" w:hAnsi="宋体" w:eastAsia="宋体" w:cs="宋体"/>
          <w:color w:val="auto"/>
          <w:sz w:val="24"/>
          <w:szCs w:val="24"/>
          <w:highlight w:val="none"/>
          <w:lang w:eastAsia="zh-CN"/>
        </w:rPr>
        <w:t xml:space="preserve">；</w:t>
      </w:r>
      <w:bookmarkEnd w:id="7"/>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投标人依法享受缓缴、免缴税收、社会保障资金的提供证明材料）</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2、3项可以提供《财务状况报告及税收、社会保障资金缴纳情况承诺函》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详见第六章 投标文件格式）</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4.具备履行合同所必需的设备和专业技术能力的声明及证明材料</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请按要求提供）</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投标人被列入失信被执行人、税收违法黑名单、政府采购严重违法失信行为记录名单及具有其他不符合《中华人民共和国政府采购法》第二十二条规定情形的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拒绝其参与政府采购活动。（投标文件中无需提供证明材料）</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b/>
          <w:color w:val="auto"/>
          <w:sz w:val="24"/>
          <w:szCs w:val="24"/>
          <w:highlight w:val="none"/>
        </w:rPr>
        <w:t xml:space="preserve">根据财政部、工业和信息化部关于印发《政府采购促进中小企业发展管理办法》的通知（财库〔2020〕46号）等相关文件要求，</w:t>
      </w:r>
      <w:r>
        <w:rPr>
          <w:rFonts w:hint="eastAsia" w:ascii="Times New Roman" w:hAnsi="Times New Roman" w:eastAsia="宋体" w:cs="Times New Roman"/>
          <w:b/>
          <w:color w:val="auto"/>
          <w:sz w:val="24"/>
          <w:szCs w:val="24"/>
          <w:highlight w:val="none"/>
        </w:rPr>
        <w:t xml:space="preserve">本项目专门面向中型企业、小型企业、微型企业、残疾人福利性单位、监狱企业进行采购，符合要求的投标人投标文件中须提供《中小企业声明函》（详见第六章 投标文件格式）或《残疾人福利性单位声明函》（详见第六章 投标文件格式）或属于监狱企业的证明文件，否则投标无效。</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p>
    <w:p>
      <w:pPr>
        <w:pStyle w:val="646"/>
        <w:pageBreakBefore w:val="0"/>
        <w:spacing w:before="0" w:after="0" w:line="360" w:lineRule="auto"/>
        <w:widowControl w:val="off"/>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三、获取招标文件</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时间：自招标公告发布之日起5个工作日内</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登录“苏采云”政府采购交易系统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自行下载。</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646"/>
        <w:pageBreakBefore w:val="0"/>
        <w:spacing w:before="0" w:after="0" w:line="360" w:lineRule="auto"/>
        <w:widowControl w:val="off"/>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四、提交投标文件截止时间、开标时间和地点</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提交投标文件截止时间：2026年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日09:00:00（北京时间）</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开标时间：2026年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月6</w:t>
      </w:r>
      <w:r>
        <w:rPr>
          <w:rFonts w:hint="eastAsia" w:ascii="宋体" w:hAnsi="宋体" w:eastAsia="宋体" w:cs="宋体"/>
          <w:color w:val="auto"/>
          <w:sz w:val="24"/>
          <w:szCs w:val="24"/>
          <w:highlight w:val="none"/>
        </w:rPr>
        <w:t xml:space="preserve">日09:00:00（北京时间）</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646"/>
        <w:pageBreakBefore w:val="0"/>
        <w:spacing w:before="0" w:after="0" w:line="360" w:lineRule="auto"/>
        <w:widowControl w:val="off"/>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五、公告期限</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自招标公告发布之日起5个工作日内</w:t>
      </w:r>
      <w:r/>
    </w:p>
    <w:p>
      <w:pPr>
        <w:pStyle w:val="646"/>
        <w:pageBreakBefore w:val="0"/>
        <w:spacing w:before="0" w:after="0" w:line="360" w:lineRule="auto"/>
        <w:widowControl w:val="off"/>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六、其他补充事宜</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不收取投标保证金。</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本招标文件中</w:t>
      </w:r>
      <w:r>
        <w:rPr>
          <w:rFonts w:hint="eastAsia" w:ascii="宋体" w:hAnsi="宋体" w:eastAsia="宋体" w:cs="宋体"/>
          <w:i/>
          <w:iCs/>
          <w:color w:val="auto"/>
          <w:sz w:val="24"/>
          <w:szCs w:val="24"/>
          <w:highlight w:val="none"/>
          <w:u w:val="single"/>
        </w:rPr>
        <w:t xml:space="preserve">斜体且有下划线部分</w:t>
      </w:r>
      <w:r>
        <w:rPr>
          <w:rFonts w:hint="eastAsia" w:ascii="宋体" w:hAnsi="宋体" w:eastAsia="宋体" w:cs="宋体"/>
          <w:color w:val="auto"/>
          <w:sz w:val="24"/>
          <w:szCs w:val="24"/>
          <w:highlight w:val="none"/>
        </w:rPr>
        <w:t xml:space="preserve">为实质性要求和条件，由采购人根据实际情况设置，投标人须逐条明确作出满足实质性要求和条件的响应，否则将按无效响应处理。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采购人及其委托的采购代理机构在采购活动开始前可对招标文件进行修改、补充或者变更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其内容作为招标文件的重要组成部分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请各投标人关注江苏政府采购网。若因投标人自身原因未及时关注本项目有关修改、补充或者变更信息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导致投标文件编制或者提交失误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由此造成的一切损失由投标人自行承担。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“苏采云”政府采购交易系统的CA数字证书、电子签章已更换为江苏省电子政务证书认证中心CA和方正国际软件（北京）有限公司电子签章。投标人通过“苏采云”系统参与政府采购项目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需要办理（更换）CA数字证书和电子签章。具体办理指南和操作手册见链接：http://www.ccgpjiangsu.gov.cn/jiangsu/zlxz/ee/ee3a4bc5a3454aa2b0d9312230633ce9.html</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制作、递交（上传）电子投标文件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澄清、说明或者补正。因投标人未按要求操作原因导致电子投标文件被拒绝、造成无效响应的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自行承担一切损失。</w:t>
      </w:r>
      <w:r/>
    </w:p>
    <w:p>
      <w:pPr>
        <w:pStyle w:val="646"/>
        <w:pageBreakBefore w:val="0"/>
        <w:spacing w:before="0" w:after="0" w:line="360" w:lineRule="auto"/>
        <w:widowControl w:val="off"/>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七、对本次招标提出询问</w:t>
      </w:r>
      <w:r>
        <w:rPr>
          <w:rFonts w:hint="eastAsia" w:ascii="Times New Roman" w:hAnsi="Times New Roman" w:eastAsia="黑体" w:cs="Times New Roman"/>
          <w:b w:val="0"/>
          <w:color w:val="auto"/>
          <w:sz w:val="32"/>
          <w:szCs w:val="32"/>
          <w:highlight w:val="none"/>
          <w:lang w:eastAsia="zh-CN"/>
        </w:rPr>
        <w:t xml:space="preserve">，</w:t>
      </w:r>
      <w:r>
        <w:rPr>
          <w:rFonts w:hint="eastAsia" w:ascii="Times New Roman" w:hAnsi="Times New Roman" w:eastAsia="黑体" w:cs="Times New Roman"/>
          <w:b w:val="0"/>
          <w:color w:val="auto"/>
          <w:sz w:val="32"/>
          <w:szCs w:val="32"/>
          <w:highlight w:val="none"/>
        </w:rPr>
        <w:t xml:space="preserve">请按以下方式联系</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b w:val="0"/>
          <w:bCs w:val="0"/>
          <w:color w:val="auto"/>
          <w:sz w:val="24"/>
          <w:szCs w:val="24"/>
          <w:highlight w:val="none"/>
          <w:lang w:eastAsia="zh-CN"/>
        </w:rPr>
        <w:t xml:space="preserve">中国（江苏）自由贸易试验区连云港片区制度创新局</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中国（江苏）自由贸易试验区连云港片区综合协调局</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ascii="宋体" w:hAnsi="宋体" w:eastAsia="宋体" w:cs="宋体"/>
          <w:color w:val="auto"/>
          <w:sz w:val="24"/>
          <w:szCs w:val="24"/>
          <w:highlight w:val="none"/>
        </w:rPr>
        <w:t xml:space="preserve">连云港市连云区花果山大道 868 号 创智大厦 22 楼</w:t>
      </w:r>
      <w:r/>
    </w:p>
    <w:p>
      <w:pPr>
        <w:ind w:firstLine="480"/>
        <w:jc w:val="left"/>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联系方式：丁</w:t>
      </w:r>
      <w:r>
        <w:rPr>
          <w:rFonts w:hint="eastAsia" w:ascii="宋体" w:hAnsi="宋体" w:eastAsia="宋体" w:cs="宋体"/>
          <w:color w:val="auto"/>
          <w:sz w:val="24"/>
          <w:szCs w:val="24"/>
          <w:highlight w:val="none"/>
          <w:lang w:val="en-US" w:eastAsia="zh-CN"/>
        </w:rPr>
        <w:t xml:space="preserve">工0518-85882023</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称：江苏政贤全过程工程咨询有限公司</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址：连云港市海州区人民东路139号创业梦工厂A幢3单元15层</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罗工   </w:t>
      </w:r>
      <w:r>
        <w:rPr>
          <w:rFonts w:hint="eastAsia" w:ascii="宋体" w:hAnsi="宋体" w:eastAsia="宋体" w:cs="宋体"/>
          <w:color w:val="auto"/>
          <w:sz w:val="24"/>
          <w:szCs w:val="24"/>
          <w:highlight w:val="none"/>
          <w:lang w:eastAsia="zh-CN"/>
        </w:rPr>
        <w:t xml:space="preserve">0518-85517771</w:t>
      </w:r>
      <w:r/>
    </w:p>
    <w:p>
      <w:pPr>
        <w:ind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3.项目联系方式</w:t>
      </w:r>
      <w:r/>
    </w:p>
    <w:p>
      <w:pPr>
        <w:ind w:firstLine="480"/>
        <w:jc w:val="left"/>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项目联系人：杨</w:t>
      </w:r>
      <w:r>
        <w:rPr>
          <w:rFonts w:hint="eastAsia" w:ascii="宋体" w:hAnsi="宋体" w:eastAsia="宋体" w:cs="宋体"/>
          <w:color w:val="auto"/>
          <w:sz w:val="24"/>
          <w:szCs w:val="24"/>
          <w:highlight w:val="none"/>
          <w:lang w:val="en-US" w:eastAsia="zh-CN"/>
        </w:rPr>
        <w:t xml:space="preserve">工</w:t>
      </w:r>
      <w:r/>
    </w:p>
    <w:p>
      <w:pPr>
        <w:ind w:firstLine="480"/>
        <w:jc w:val="left"/>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电      话：</w:t>
      </w:r>
      <w:r>
        <w:rPr>
          <w:rFonts w:hint="eastAsia" w:ascii="宋体" w:hAnsi="宋体" w:eastAsia="宋体" w:cs="宋体"/>
          <w:color w:val="auto"/>
          <w:sz w:val="24"/>
          <w:szCs w:val="24"/>
          <w:highlight w:val="none"/>
          <w:lang w:val="en-US" w:eastAsia="zh-CN"/>
        </w:rPr>
        <w:t xml:space="preserve"> 0518-85882021</w:t>
      </w:r>
      <w:r/>
    </w:p>
    <w:p>
      <w:pPr>
        <w:ind w:firstLine="480"/>
        <w:jc w:val="left"/>
        <w:spacing w:line="360" w:lineRule="auto"/>
        <w:rPr>
          <w:rFonts w:hint="eastAsia" w:ascii="宋体" w:hAnsi="宋体" w:eastAsia="宋体" w:cs="宋体"/>
          <w:bCs/>
          <w:color w:val="auto"/>
          <w:sz w:val="44"/>
          <w:szCs w:val="44"/>
          <w:highlight w:val="none"/>
        </w:rPr>
      </w:pPr>
      <w:r>
        <w:rPr>
          <w:rFonts w:hint="eastAsia" w:ascii="宋体" w:hAnsi="宋体" w:eastAsia="宋体" w:cs="宋体"/>
          <w:color w:val="auto"/>
          <w:sz w:val="24"/>
          <w:szCs w:val="24"/>
          <w:highlight w:val="none"/>
          <w:lang w:eastAsia="zh-CN"/>
        </w:rPr>
        <w:br w:type="page" w:clear="all"/>
      </w:r>
      <w:r/>
    </w:p>
    <w:p>
      <w:pPr>
        <w:pStyle w:val="645"/>
        <w:jc w:val="center"/>
        <w:spacing w:line="360" w:lineRule="auto"/>
        <w:rPr>
          <w:rFonts w:hint="eastAsia" w:ascii="宋体" w:hAnsi="宋体" w:eastAsia="宋体" w:cs="宋体"/>
          <w:b w:val="0"/>
          <w:color w:val="auto"/>
          <w:highlight w:val="none"/>
        </w:rPr>
      </w:pPr>
      <w:r/>
      <w:bookmarkStart w:id="8" w:name="_Toc15485"/>
      <w:r/>
      <w:bookmarkStart w:id="9" w:name="_Toc165205795"/>
      <w:r>
        <w:rPr>
          <w:rFonts w:hint="eastAsia" w:ascii="Times New Roman" w:hAnsi="Times New Roman" w:eastAsia="黑体" w:cs="Times New Roman"/>
          <w:b w:val="0"/>
          <w:color w:val="auto"/>
          <w:highlight w:val="none"/>
        </w:rPr>
        <w:t xml:space="preserve">第二章  投标人须知</w:t>
      </w:r>
      <w:bookmarkEnd w:id="8"/>
      <w:r/>
      <w:bookmarkEnd w:id="9"/>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一、总则</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1、采购方式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本招标文件仅适用于招标公告中所述项目。</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2、合格的投标人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单位负责人为同一人或者存在直接控股、管理关系的不同供应商，不得参加同一合同项下的政府采购活动。</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3、适用法律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4、投标费用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无论投标过程和结果如何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w:t>
      </w:r>
      <w:r>
        <w:rPr>
          <w:rFonts w:hint="eastAsia" w:ascii="宋体" w:hAnsi="宋体" w:eastAsia="宋体" w:cs="宋体"/>
          <w:color w:val="auto"/>
          <w:sz w:val="24"/>
          <w:szCs w:val="24"/>
          <w:highlight w:val="none"/>
          <w:lang w:eastAsia="zh-CN"/>
        </w:rPr>
        <w:t xml:space="preserve">江苏政贤全过程工程咨询有限公司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本项目代理费由中标供应商支付；费用包含于投标总价中，不单独列项。收费参照苏招协〔2022〕002 号《江苏省招标代理服务收费的指导意见》指导标准（按标准 </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 计取），中标人于领取中标通知书</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向采购代理机构一次性缴纳。投标人投标即视为充分知晓并接受本费用约定。</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5、招标文件的约束力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w:t>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二、招标文件</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6、招标文件的构成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如有缺漏请立即与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联系解决。</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7、招标文件的澄清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应在投标截止时间十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日前按招标公告中的通讯地址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以书面形式通知采购人或者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8、招标文件的修改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可以对招标文件进行修改。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有权按照法定的要求推迟投标截止时间和开标时间。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并对投标人具有约束力。</w:t>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三、投标文件编制</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9、投标文件编写注意事项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在完全了解招标内容、技术性能要求和商务条件后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按照招标文件的要求编制投标文件。投标文件应当对招标文件提出的要求和条件作出明确响应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并保证所提供的全部资料的真实性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否则作无效响应处理。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相应要求和条件的响应。</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10、投标文件的语言及度量衡单位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投标人提交的投标文件以及投标人与采购人和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但相应内容应附有中文翻译本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在解释投标文件时以中文翻译本为准。未附中文翻译本或翻译本中文内容明显与外文内容不一致的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其不利后果由投标人自行承担。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投标文件所使用的度量衡单位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均须采用国家法定计量单位。</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11、投标文件的构成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请以江苏政府采购网发布的招标文件为准。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混乱的编排导致投标文件被误读或评标委员会（以下简称评委会）查找不到有效文件是投标人的风险。</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12、证明投标人及投标标的符合招标文件规定的文件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证明其及投标标的符合招标文件规定。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证明文件可以以文字资料、图纸和数据等形式提交。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请按招标文件第六章给定格式及要求填写并附法定代表人（单位负责人）与委托代理人身份证明。</w:t>
      </w:r>
      <w:r/>
    </w:p>
    <w:p>
      <w:pPr>
        <w:pStyle w:val="647"/>
        <w:ind w:firstLine="562"/>
        <w:jc w:val="left"/>
        <w:spacing w:before="0" w:after="0" w:line="360" w:lineRule="auto"/>
        <w:rPr>
          <w:rFonts w:hint="eastAsia" w:ascii="宋体" w:hAnsi="宋体" w:eastAsia="宋体" w:cs="宋体"/>
          <w:color w:val="auto"/>
          <w:highlight w:val="none"/>
        </w:rPr>
      </w:pPr>
      <w:r>
        <w:rPr>
          <w:rFonts w:hint="eastAsia" w:ascii="Times New Roman" w:hAnsi="Times New Roman" w:eastAsia="黑体" w:cs="Times New Roman"/>
          <w:color w:val="auto"/>
          <w:sz w:val="28"/>
          <w:szCs w:val="28"/>
          <w:highlight w:val="none"/>
        </w:rPr>
        <w:t xml:space="preserve">13、投标分项报价表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完成本项目软件开发、系统集成、部署实施、试运行、验收及质保运维等全部服务所需的各种费用及必要的保险费用和各项税金等所有费用的总和。投标报价为完成本项目全部服务的总价报价，投标报价必须含以下部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（1）软件开发、系统集成及部署实施等建设总价；</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（2）系统对接、数据接入及测试调试等各种费用；</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（3）必要的保险费用和各项税金；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（4）投标总价要求包含试运行、验收配合及质保运维费用。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未全部列示的作无效响应处理。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以元为单位标注。招标文件中另有规定的按规定执行。</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14、技术要求响应及偏离表、商务要求响应及偏离表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包括性能、材料、结构、外观、安全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或者服务内容和标准等。商务要求是指取得采购标的的时间、地点、财务和服务要求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包括交付（实施）的时间（期限）和地点（范围）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付款条件（进度和方式）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包装和运输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保险等。投标人应对招标文件中的技术要求与商务要求逐项作出响应或偏离。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15、服务承诺、培训计划、人员安排及其他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售后服务机构的分布情况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售后服务人员的数量、素质、技术水平及售后服务的反应能力等。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投标人应根据招标文件要求提供所投标的主要组成部分、功能设计、实现思路及关键技术等。</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16、投标函和开标一览表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开标一览表中的投标总报价应与投标分项报价表中的投标总报价一致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如不一致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不作无效投标处理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但评标时以开标一览表中价格为准。</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17、投标有效期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法律法规另有规定的除外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经监管部门批准后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于原投标有效期满之前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的这一要求而放弃投标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同意延长投标有效期的投标人既不能要求也不允许修改其投标文件。受投标有效期约束的所有权利与义务均延长至新的有效期。</w:t>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四、投标文件递交</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18、电子投标文件的递交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在投标截止时间前制作并递交（上传）电子投标文件。</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19、投标截止时间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如因投标人自身原因造成电子投标文件递交（上传）不成功的按照本招标文件第二章第27.1条规定作无效投标处理。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通过修改招标文件酌情延长投标截止时间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在此情况下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投标人的所有权利和义务以及投标人受制的截止时间均应以延长后新的截止时间为准。</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20、投标文件的拒收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21、投标文件的撤回和修改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撤回其电子投标文件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具体操作方法见《操作手册》。投标人撤回电子投标文件的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则认为其不再参与本项目采购活动。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对其电子投标文件进行修改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具体操作方法见《操作手册》。在投标截止时间之后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投标人不得对其电子投标文件做任何修改。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投标人不得撤回其投标。</w:t>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五、开标与评标</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22、开标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并在“苏采云”系统规定的时间内对其投标文件进行解密。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组织。“苏采云”系统将自动对项目进行开标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并宣布各投标人名称和投标价格。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应当按照《操作手册》规定执行。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应当按照《操作手册》规定提出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未在“苏采云”系统《开标记录表》宣布后5分钟内提出的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视同认可开标结果。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视同认可开标结果。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及时登录“苏采云”系统查阅、答复相关信息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并安排专人与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及评委会联系。</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23、评标委员会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将组织评委会进行评标。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且人员构成符合政府采购有关规定。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24、评标过程的保密与公正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采购人、评审专家、</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投标人不得以任何行为影响评标过程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否则其投标文件将被作为无效投标文件。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和评委会不向未中标的投标人解释未中标原因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也不公布评标过程中的相关细节。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未中标的投标人可于中标结果公告期限届满之日起通过“苏采云”系统查看自己的评审得分及排序情况。</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25、投标文件的澄清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有权要求投标人作出必要的澄清、说明或者补正。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并加盖公章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或者由法定代表人（单位负责人）或其授权的代表签字。投标人的澄清、说明或者补正不得超出投标文件的范围或者改变投标文件的实质性内容。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评委会将通过“苏采云”系统向供应商发出“澄清要求函”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接到“澄清要求函”的投标人应当按照要求在“苏采云”系统中提交“澄清响应函”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并加盖CA电子公章。澄清、说明或者补正的内容作为投标文件的补充部分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具体操作方法见《操作手册》。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其风险由投标人自行承担。</w:t>
      </w:r>
      <w:r/>
    </w:p>
    <w:p>
      <w:pPr>
        <w:pStyle w:val="647"/>
        <w:ind w:firstLine="562"/>
        <w:jc w:val="left"/>
        <w:spacing w:before="0" w:after="0" w:line="360" w:lineRule="auto"/>
        <w:rPr>
          <w:rFonts w:hint="eastAsia" w:ascii="宋体" w:hAnsi="宋体" w:eastAsia="宋体" w:cs="宋体"/>
          <w:color w:val="auto"/>
          <w:sz w:val="28"/>
          <w:szCs w:val="28"/>
          <w:highlight w:val="none"/>
          <w:lang w:eastAsia="zh-CN"/>
        </w:rPr>
      </w:pPr>
      <w:r>
        <w:rPr>
          <w:rFonts w:hint="eastAsia" w:ascii="Times New Roman" w:hAnsi="Times New Roman" w:eastAsia="黑体" w:cs="Times New Roman"/>
          <w:color w:val="auto"/>
          <w:sz w:val="28"/>
          <w:szCs w:val="28"/>
          <w:highlight w:val="none"/>
        </w:rPr>
        <w:t xml:space="preserve">26、对投标文件的</w:t>
      </w:r>
      <w:r>
        <w:rPr>
          <w:rFonts w:hint="eastAsia" w:ascii="Times New Roman" w:hAnsi="Times New Roman" w:eastAsia="黑体" w:cs="Times New Roman"/>
          <w:color w:val="auto"/>
          <w:sz w:val="28"/>
          <w:szCs w:val="28"/>
          <w:highlight w:val="none"/>
          <w:lang w:val="en-US" w:eastAsia="zh-CN"/>
        </w:rPr>
        <w:t xml:space="preserve">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投标文件审查分为资格审查和符合性审查。</w:t>
      </w:r>
      <w:r/>
    </w:p>
    <w:p>
      <w:pPr>
        <w:pStyle w:val="859"/>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26.1.1 资格审查：采购人依据法律法规和招标文件的规定，对投标文件中的资格证明文件进行审查。资格审查的结论，采购人以书面形式向评委会进行反馈。</w:t>
      </w:r>
      <w:r/>
    </w:p>
    <w:p>
      <w:pPr>
        <w:pStyle w:val="859"/>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采购人在进行资格审查的同时，将在信用中国网站（www.creditchina.gov.cn）查询投标人的信用记录，以确定投标人是否具备投标资格，查询结果留存并归档。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pStyle w:val="85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pStyle w:val="859"/>
        <w:ind w:left="0" w:firstLine="48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本招标文件中斜体且有下划线部分为实质性要求和条件，投标人必须逐条做出满足实质性要求和条件的响应，否则将按无效响应处理。</w:t>
      </w:r>
      <w:r/>
    </w:p>
    <w:p>
      <w:pPr>
        <w:pStyle w:val="859"/>
        <w:ind w:left="0" w:firstLine="482"/>
        <w:jc w:val="both"/>
        <w:keepLines w:val="0"/>
        <w:keepNext w:val="0"/>
        <w:spacing w:before="0" w:beforeAutospacing="0" w:after="0" w:afterAutospacing="0" w:line="360" w:lineRule="auto"/>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26.1.3政府采购异常低价审查：</w:t>
      </w:r>
      <w:r/>
    </w:p>
    <w:p>
      <w:pPr>
        <w:pStyle w:val="859"/>
        <w:ind w:left="0" w:firstLine="48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ind w:firstLine="480"/>
        <w:jc w:val="left"/>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①投标（响应）报价低于全部通过符合性审查供应商投标（响应）报价平均值</w:t>
      </w:r>
      <w:r>
        <w:rPr>
          <w:rFonts w:hint="eastAsia" w:ascii="宋体" w:hAnsi="宋体" w:eastAsia="宋体" w:cs="宋体"/>
          <w:color w:val="auto"/>
          <w:sz w:val="24"/>
          <w:szCs w:val="24"/>
          <w:highlight w:val="none"/>
          <w:lang w:val="en-US" w:eastAsia="zh-CN" w:bidi="ar"/>
        </w:rPr>
        <w:t xml:space="preserve">65</w:t>
      </w:r>
      <w:r>
        <w:rPr>
          <w:rFonts w:hint="default" w:ascii="宋体" w:hAnsi="宋体" w:eastAsia="宋体" w:cs="宋体"/>
          <w:color w:val="auto"/>
          <w:sz w:val="24"/>
          <w:szCs w:val="24"/>
          <w:highlight w:val="none"/>
          <w:lang w:val="en-US" w:eastAsia="zh-CN" w:bidi="ar"/>
        </w:rPr>
        <w:t xml:space="preserve">%的，即投标（响应）报价〈全部通过符合性审查供应商投标（响应）报价平均值×</w:t>
      </w:r>
      <w:r>
        <w:rPr>
          <w:rFonts w:hint="eastAsia" w:ascii="宋体" w:hAnsi="宋体" w:eastAsia="宋体" w:cs="宋体"/>
          <w:color w:val="auto"/>
          <w:sz w:val="24"/>
          <w:szCs w:val="24"/>
          <w:highlight w:val="none"/>
          <w:lang w:val="en-US" w:eastAsia="zh-CN" w:bidi="ar"/>
        </w:rPr>
        <w:t xml:space="preserve">65</w:t>
      </w:r>
      <w:r>
        <w:rPr>
          <w:rFonts w:hint="default" w:ascii="宋体" w:hAnsi="宋体" w:eastAsia="宋体" w:cs="宋体"/>
          <w:color w:val="auto"/>
          <w:sz w:val="24"/>
          <w:szCs w:val="24"/>
          <w:highlight w:val="none"/>
          <w:lang w:val="en-US" w:eastAsia="zh-CN" w:bidi="ar"/>
        </w:rPr>
        <w:t xml:space="preserve">%；</w:t>
      </w:r>
      <w:r/>
    </w:p>
    <w:p>
      <w:pPr>
        <w:ind w:firstLine="480"/>
        <w:jc w:val="left"/>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②投标（响应）报价低于通过符合性审查的次低报价供应商投标（响应）报价</w:t>
      </w:r>
      <w:r>
        <w:rPr>
          <w:rFonts w:hint="eastAsia" w:ascii="宋体" w:hAnsi="宋体" w:eastAsia="宋体" w:cs="宋体"/>
          <w:color w:val="auto"/>
          <w:sz w:val="24"/>
          <w:szCs w:val="24"/>
          <w:highlight w:val="none"/>
          <w:lang w:val="en-US" w:eastAsia="zh-CN" w:bidi="ar"/>
        </w:rPr>
        <w:t xml:space="preserve">65</w:t>
      </w:r>
      <w:r>
        <w:rPr>
          <w:rFonts w:hint="default" w:ascii="宋体" w:hAnsi="宋体" w:eastAsia="宋体" w:cs="宋体"/>
          <w:color w:val="auto"/>
          <w:sz w:val="24"/>
          <w:szCs w:val="24"/>
          <w:highlight w:val="none"/>
          <w:lang w:val="en-US" w:eastAsia="zh-CN" w:bidi="ar"/>
        </w:rPr>
        <w:t xml:space="preserve">%的，即投标（响应）报价〈通过符合性审查的次低报价供应商投标（响应）报价×</w:t>
      </w:r>
      <w:r>
        <w:rPr>
          <w:rFonts w:hint="eastAsia" w:ascii="宋体" w:hAnsi="宋体" w:eastAsia="宋体" w:cs="宋体"/>
          <w:color w:val="auto"/>
          <w:sz w:val="24"/>
          <w:szCs w:val="24"/>
          <w:highlight w:val="none"/>
          <w:lang w:val="en-US" w:eastAsia="zh-CN" w:bidi="ar"/>
        </w:rPr>
        <w:t xml:space="preserve">65</w:t>
      </w:r>
      <w:r>
        <w:rPr>
          <w:rFonts w:hint="default" w:ascii="宋体" w:hAnsi="宋体" w:eastAsia="宋体" w:cs="宋体"/>
          <w:color w:val="auto"/>
          <w:sz w:val="24"/>
          <w:szCs w:val="24"/>
          <w:highlight w:val="none"/>
          <w:lang w:val="en-US" w:eastAsia="zh-CN" w:bidi="ar"/>
        </w:rPr>
        <w:t xml:space="preserve">%；</w:t>
      </w:r>
      <w:r/>
    </w:p>
    <w:p>
      <w:pPr>
        <w:ind w:firstLine="480"/>
        <w:jc w:val="left"/>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③投标（响应）报价低于采购项目最高限价</w:t>
      </w:r>
      <w:r>
        <w:rPr>
          <w:rFonts w:hint="eastAsia" w:ascii="宋体" w:hAnsi="宋体" w:eastAsia="宋体" w:cs="宋体"/>
          <w:color w:val="auto"/>
          <w:sz w:val="24"/>
          <w:szCs w:val="24"/>
          <w:highlight w:val="none"/>
          <w:lang w:val="en-US" w:eastAsia="zh-CN" w:bidi="ar"/>
        </w:rPr>
        <w:t xml:space="preserve">65</w:t>
      </w:r>
      <w:r>
        <w:rPr>
          <w:rFonts w:hint="default" w:ascii="宋体" w:hAnsi="宋体" w:eastAsia="宋体" w:cs="宋体"/>
          <w:color w:val="auto"/>
          <w:sz w:val="24"/>
          <w:szCs w:val="24"/>
          <w:highlight w:val="none"/>
          <w:lang w:val="en-US" w:eastAsia="zh-CN" w:bidi="ar"/>
        </w:rPr>
        <w:t xml:space="preserve">%的，即投标（响应）报价〈采购项目最高限价×</w:t>
      </w:r>
      <w:r>
        <w:rPr>
          <w:rFonts w:hint="eastAsia" w:ascii="宋体" w:hAnsi="宋体" w:eastAsia="宋体" w:cs="宋体"/>
          <w:color w:val="auto"/>
          <w:sz w:val="24"/>
          <w:szCs w:val="24"/>
          <w:highlight w:val="none"/>
          <w:lang w:val="en-US" w:eastAsia="zh-CN" w:bidi="ar"/>
        </w:rPr>
        <w:t xml:space="preserve">65</w:t>
      </w:r>
      <w:r>
        <w:rPr>
          <w:rFonts w:hint="default" w:ascii="宋体" w:hAnsi="宋体" w:eastAsia="宋体" w:cs="宋体"/>
          <w:color w:val="auto"/>
          <w:sz w:val="24"/>
          <w:szCs w:val="24"/>
          <w:highlight w:val="none"/>
          <w:lang w:val="en-US" w:eastAsia="zh-CN" w:bidi="ar"/>
        </w:rPr>
        <w:t xml:space="preserve">%；</w:t>
      </w:r>
      <w:r/>
    </w:p>
    <w:p>
      <w:pPr>
        <w:ind w:firstLine="480"/>
        <w:spacing w:line="360" w:lineRule="auto"/>
        <w:rPr>
          <w:rFonts w:hint="default"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val="en-US" w:eastAsia="zh-CN" w:bidi="ar"/>
        </w:rPr>
        <w:t xml:space="preserve">④评审委员会基于专业判断，认为供应商报价过低，有可能影响产品质量或者不能诚信履约的其他情形。</w:t>
      </w:r>
      <w:r/>
    </w:p>
    <w:p>
      <w:pPr>
        <w:pStyle w:val="859"/>
        <w:ind w:left="0" w:firstLine="48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59"/>
        <w:ind w:left="0" w:firstLine="48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26.1.4未通过资格审查或符合性审查的投标人，将通过“苏采云”系统中告知其未通过的原因，评审结束后，将不再告知</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所谓重大偏离</w:t>
      </w:r>
      <w:r>
        <w:rPr>
          <w:rFonts w:hint="eastAsia" w:ascii="宋体" w:hAnsi="宋体" w:eastAsia="宋体" w:cs="宋体"/>
          <w:color w:val="auto"/>
          <w:sz w:val="24"/>
          <w:highlight w:val="none"/>
        </w:rPr>
        <w:t xml:space="preserve">是指</w:t>
      </w:r>
      <w:r>
        <w:rPr>
          <w:rFonts w:hint="eastAsia" w:ascii="宋体" w:hAnsi="宋体" w:eastAsia="宋体" w:cs="宋体"/>
          <w:color w:val="auto"/>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27、无效投标条款和废标条款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（8）不符合招标文件规定的实质性要求和条件的。（</w:t>
      </w:r>
      <w:r>
        <w:rPr>
          <w:rFonts w:hint="eastAsia" w:ascii="宋体" w:hAnsi="宋体" w:eastAsia="宋体" w:cs="宋体"/>
          <w:color w:val="auto"/>
          <w:sz w:val="24"/>
          <w:szCs w:val="24"/>
          <w:highlight w:val="none"/>
        </w:rPr>
        <w:t xml:space="preserve">本招标文件中斜体且有下划线部分为实质性要求和条件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而投标人投标产品不在强制采购范围内或者未按要求提供国家确定的认证机构出具的、处于有效期之内的节能产品认证证书的。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视为投标人串通投标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或者招标文件内容违反国家有关强制性规定的。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采购任务取消的。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按照政府采购有关规定执行。</w:t>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六、定标</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28、确定中标单位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将在江苏政府采购网发布中标公告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公告期限为1个工作日。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中标人存在下列情形之一的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一经查实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将被取消中标资格：</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恶意串通的。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（6）属于本招标文件规定的无效情形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但在评标过程中又未被评委会发现的。</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29、中标通知书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登录“苏采云”系统及时领取（下载）中标通知书。因系统存储空间有限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自中标结果公告届满之日起30日后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“苏采云”系统不再保证提供中标通知书下载服务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因未及时下载造成的不利后果由中标人自行承担。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中标通知书将作为政府采购合同的一个组成部分。对采购人和中标人均具有法律效力。中标通知书发出后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采购人改变中标结果的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或者中标人放弃中标项目的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应当依法承担法律责任。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中标供应商在领取</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通知书时，需提供</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份与电子投标文件</w:t>
      </w:r>
      <w:r>
        <w:rPr>
          <w:rFonts w:hint="eastAsia" w:ascii="宋体" w:hAnsi="宋体" w:eastAsia="宋体" w:cs="宋体"/>
          <w:color w:val="auto"/>
          <w:sz w:val="24"/>
          <w:szCs w:val="24"/>
          <w:highlight w:val="none"/>
        </w:rPr>
        <w:t xml:space="preserve">一致的纸质打印投标文件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封面、骑缝需加盖公章。</w:t>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七、授予合同</w:t>
      </w:r>
      <w:r/>
    </w:p>
    <w:p>
      <w:pPr>
        <w:pStyle w:val="647"/>
        <w:ind w:firstLine="562"/>
        <w:jc w:val="left"/>
        <w:spacing w:before="0" w:after="0" w:line="360" w:lineRule="auto"/>
        <w:rPr>
          <w:rFonts w:hint="eastAsia" w:ascii="宋体" w:hAnsi="宋体" w:eastAsia="宋体" w:cs="宋体"/>
          <w:color w:val="auto"/>
          <w:sz w:val="28"/>
          <w:szCs w:val="28"/>
          <w:highlight w:val="none"/>
          <w:lang w:val="en-US" w:eastAsia="zh-CN"/>
        </w:rPr>
      </w:pPr>
      <w:r>
        <w:rPr>
          <w:rFonts w:hint="eastAsia" w:ascii="Times New Roman" w:hAnsi="Times New Roman" w:eastAsia="黑体" w:cs="Times New Roman"/>
          <w:color w:val="auto"/>
          <w:sz w:val="28"/>
          <w:szCs w:val="28"/>
          <w:highlight w:val="none"/>
        </w:rPr>
        <w:t xml:space="preserve">30、</w:t>
      </w:r>
      <w:r>
        <w:rPr>
          <w:rFonts w:hint="eastAsia" w:ascii="Times New Roman" w:hAnsi="Times New Roman" w:eastAsia="黑体" w:cs="Times New Roman"/>
          <w:color w:val="auto"/>
          <w:sz w:val="28"/>
          <w:szCs w:val="28"/>
          <w:highlight w:val="none"/>
          <w:lang w:val="en-US" w:eastAsia="zh-CN"/>
        </w:rPr>
        <w:t xml:space="preserve">履约保证金</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本项目履约保证金要求详见招标文件第四章 采购需求。</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3</w:t>
      </w:r>
      <w:r>
        <w:rPr>
          <w:rFonts w:hint="eastAsia" w:ascii="Times New Roman" w:hAnsi="Times New Roman" w:eastAsia="黑体" w:cs="Times New Roman"/>
          <w:color w:val="auto"/>
          <w:sz w:val="28"/>
          <w:szCs w:val="28"/>
          <w:highlight w:val="none"/>
          <w:lang w:val="en-US" w:eastAsia="zh-CN"/>
        </w:rPr>
        <w:t xml:space="preserve">1</w:t>
      </w:r>
      <w:r>
        <w:rPr>
          <w:rFonts w:hint="eastAsia" w:ascii="Times New Roman" w:hAnsi="Times New Roman" w:eastAsia="黑体" w:cs="Times New Roman"/>
          <w:color w:val="auto"/>
          <w:sz w:val="28"/>
          <w:szCs w:val="28"/>
          <w:highlight w:val="none"/>
        </w:rPr>
        <w:t xml:space="preserve">、签订合同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3</w:t>
      </w:r>
      <w:r>
        <w:rPr>
          <w:rFonts w:hint="eastAsia" w:ascii="Times New Roman" w:hAnsi="Times New Roman" w:eastAsia="黑体" w:cs="Times New Roman"/>
          <w:color w:val="auto"/>
          <w:sz w:val="28"/>
          <w:szCs w:val="28"/>
          <w:highlight w:val="none"/>
          <w:lang w:val="en-US" w:eastAsia="zh-CN"/>
        </w:rPr>
        <w:t xml:space="preserve">2</w:t>
      </w:r>
      <w:r>
        <w:rPr>
          <w:rFonts w:hint="eastAsia" w:ascii="Times New Roman" w:hAnsi="Times New Roman" w:eastAsia="黑体" w:cs="Times New Roman"/>
          <w:color w:val="auto"/>
          <w:sz w:val="28"/>
          <w:szCs w:val="28"/>
          <w:highlight w:val="none"/>
        </w:rPr>
        <w:t xml:space="preserve">、合同标的的追加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政府采购合同履行中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采购人需追加与合同标的相同的货物、工程或者服务的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在不改变合同其他条款的前提下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可以按照《中华人民共和国政府采购法》第四十九条规定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与供应商协商签订补充合同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但所有补充合同的采购金额不得超过原合同采购金额的百分之十。</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3</w:t>
      </w:r>
      <w:r>
        <w:rPr>
          <w:rFonts w:hint="eastAsia" w:ascii="Times New Roman" w:hAnsi="Times New Roman" w:eastAsia="黑体" w:cs="Times New Roman"/>
          <w:color w:val="auto"/>
          <w:sz w:val="28"/>
          <w:szCs w:val="28"/>
          <w:highlight w:val="none"/>
          <w:lang w:val="en-US" w:eastAsia="zh-CN"/>
        </w:rPr>
        <w:t xml:space="preserve">3</w:t>
      </w:r>
      <w:r>
        <w:rPr>
          <w:rFonts w:hint="eastAsia" w:ascii="Times New Roman" w:hAnsi="Times New Roman" w:eastAsia="黑体" w:cs="Times New Roman"/>
          <w:color w:val="auto"/>
          <w:sz w:val="28"/>
          <w:szCs w:val="28"/>
          <w:highlight w:val="none"/>
        </w:rPr>
        <w:t xml:space="preserve">、政府采购履约资金扶持政策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中标人可凭政府采购合同办理融资贷款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详情请见江苏政府采购网“政采贷”专栏。</w:t>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八、询问与质疑</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lang w:val="en-US" w:eastAsia="zh-CN"/>
        </w:rPr>
        <w:t xml:space="preserve">34</w:t>
      </w:r>
      <w:r>
        <w:rPr>
          <w:rFonts w:hint="eastAsia" w:ascii="Times New Roman" w:hAnsi="Times New Roman" w:eastAsia="黑体" w:cs="Times New Roman"/>
          <w:color w:val="auto"/>
          <w:sz w:val="28"/>
          <w:szCs w:val="28"/>
          <w:highlight w:val="none"/>
        </w:rPr>
        <w:t xml:space="preserve">、询问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 供应商对政府采购活动事项有疑问的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可以提出询问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应当在3个工作日内对供应商依法提出的询问作出答复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但答复的内容不得涉及商业秘密。供应商提出的询问超出采购人对</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应当告知其向采购人提出。</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lang w:val="en-US" w:eastAsia="zh-CN"/>
        </w:rPr>
        <w:t xml:space="preserve">35</w:t>
      </w:r>
      <w:r>
        <w:rPr>
          <w:rFonts w:hint="eastAsia" w:ascii="Times New Roman" w:hAnsi="Times New Roman" w:eastAsia="黑体" w:cs="Times New Roman"/>
          <w:color w:val="auto"/>
          <w:sz w:val="28"/>
          <w:szCs w:val="28"/>
          <w:highlight w:val="none"/>
        </w:rPr>
        <w:t xml:space="preserve">、质疑提出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提出质疑的供应商应当是参与所质疑项目采购活动的供应商。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供应商认为采购文件、采购过程、采购结果使自己的权益受到损害的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可以在知道或者应知其权益受到损害之日（获取采购文件之日、</w:t>
      </w:r>
      <w:r>
        <w:rPr>
          <w:rFonts w:ascii="Times New Roman" w:hAnsi="Times New Roman" w:eastAsia="宋体"/>
          <w:b w:val="0"/>
          <w:color w:val="auto"/>
          <w:sz w:val="21"/>
          <w:highlight w:val="none"/>
        </w:rPr>
        <w:t xml:space="preserve">中标（成交）结果公告期限届满之日</w:t>
      </w:r>
      <w:r>
        <w:rPr>
          <w:rFonts w:hint="eastAsia" w:ascii="宋体" w:hAnsi="宋体" w:eastAsia="宋体" w:cs="宋体"/>
          <w:color w:val="auto"/>
          <w:sz w:val="24"/>
          <w:szCs w:val="24"/>
          <w:highlight w:val="none"/>
        </w:rPr>
        <w:t xml:space="preserve">）起七个工作日内以书面形式向采购人、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供应商如在法定期限内对同一采购程序环节提出多次质疑的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将只对供应商第一次质疑作出答复。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未按照采购公告要求获取采购文件的供应商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视为未参与该项目采购活动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不具备对该采购文件提出质疑的法定权利。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提出质疑时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必须坚持“实事求是”的原则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不能臆测。属于须由法定部门调查、侦查或先行作出相关认定的事项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质疑供应商应当依法申请具有法定职权的部门查清、认定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并将相关结果提供给采购人、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不具有法定调查、认定权限。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.4 质疑函的接收方式为供应商书面原件提交。联系部门、联系电话和通讯地址详见招标文件第一章。质疑实行实名制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不得进行虚假、恶意质疑。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.5 质疑函应当使用范本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详见招标文件第六章。供应商提出质疑应当提交质疑函和必要的证明材料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应当包括下列内容：</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（1）供应商的姓名或者名称、地址、邮编、联系人及联系电话</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（2）质疑项目的名称、编号</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（3）具体、明确的质疑事项和与质疑事项相关的请求</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（4）事实依据</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（5）必要的法律依据</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（6）提出质疑的日期</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（7）必要的证明材料</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应当由本人签字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供应商为法人或者其他组织的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应当由法定代表人、主要负责人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或者其委托代理人签字或者盖章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并加盖单位公章。</w:t>
      </w:r>
      <w:r/>
    </w:p>
    <w:p>
      <w:pPr>
        <w:pStyle w:val="647"/>
        <w:ind w:firstLine="562"/>
        <w:jc w:val="left"/>
        <w:spacing w:before="0" w:after="0" w:line="360" w:lineRule="auto"/>
        <w:rPr>
          <w:rFonts w:hint="eastAsia" w:ascii="宋体" w:hAnsi="宋体" w:eastAsia="宋体" w:cs="宋体"/>
          <w:color w:val="auto"/>
          <w:sz w:val="24"/>
          <w:szCs w:val="24"/>
          <w:highlight w:val="none"/>
        </w:rPr>
      </w:pPr>
      <w:r>
        <w:rPr>
          <w:rFonts w:hint="eastAsia" w:ascii="Times New Roman" w:hAnsi="Times New Roman" w:eastAsia="黑体" w:cs="Times New Roman"/>
          <w:color w:val="auto"/>
          <w:sz w:val="28"/>
          <w:szCs w:val="28"/>
          <w:highlight w:val="none"/>
          <w:lang w:val="en-US" w:eastAsia="zh-CN"/>
        </w:rPr>
        <w:t xml:space="preserve">36</w:t>
      </w:r>
      <w:r>
        <w:rPr>
          <w:rFonts w:hint="eastAsia" w:ascii="Times New Roman" w:hAnsi="Times New Roman" w:eastAsia="黑体" w:cs="Times New Roman"/>
          <w:color w:val="auto"/>
          <w:sz w:val="28"/>
          <w:szCs w:val="28"/>
          <w:highlight w:val="none"/>
        </w:rPr>
        <w:t xml:space="preserve">、质疑函的受理和答复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.1 质疑供应商应当保证其提出的质疑事项及必要的证明材料的真实性及来源的合法性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并承担相应的法律责任。对不能提供必要的证明材料的、涉及商业秘密的、非书面原件形式的、匿名的质疑函将不予受理。必要的证明材料要具备客观性、关联性、合法性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无法查实的（如宣传册、媒体报道、猜测、推理等）不能作为证明材料。采购人、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不负责搜集必要的证明材料等工作。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2 对符合法定要求的质疑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接收并登记《质疑函登记表》。在处理过程中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发现需要质疑供应商进一步补充必要的证明材料的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质疑供应商应在法定的时间内提供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质疑答复时间相应顺延。质疑供应商不能按时提供必要的证明材料的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视同放弃质疑。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3 对不符合质疑要求的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有权要求其补充必要的证明材料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质疑供应商未在法定时间内补充必要的证明材料的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视同放弃质疑。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.4 以下情形的质疑依法不予受理：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联合体中任何一方或多方未按要求签字（盖章）、加盖公章的质疑。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.5 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依法受理的质疑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将按照政府采购有关规定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在法定期限内作出答复。</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36.6 </w:t>
      </w:r>
      <w:r>
        <w:rPr>
          <w:rFonts w:hint="eastAsia" w:ascii="宋体" w:hAnsi="宋体" w:eastAsia="宋体" w:cs="宋体"/>
          <w:color w:val="auto"/>
          <w:sz w:val="24"/>
          <w:szCs w:val="24"/>
          <w:highlight w:val="none"/>
        </w:rPr>
        <w:t xml:space="preserve">因质疑供应商所留联系方式无效，或者无故不接收，导致质疑答复结果无法送达的，视为质疑供应商主动放弃知晓质疑答复结果的权利。</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lang w:val="en-US" w:eastAsia="zh-CN"/>
        </w:rPr>
        <w:t xml:space="preserve">37</w:t>
      </w:r>
      <w:r>
        <w:rPr>
          <w:rFonts w:hint="eastAsia" w:ascii="Times New Roman" w:hAnsi="Times New Roman" w:eastAsia="黑体" w:cs="Times New Roman"/>
          <w:color w:val="auto"/>
          <w:sz w:val="28"/>
          <w:szCs w:val="28"/>
          <w:highlight w:val="none"/>
        </w:rPr>
        <w:t xml:space="preserve">、质疑处理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质疑供应商未按照法定程序进行质疑投诉的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质疑供应商不配合或者采取不正当手段干扰政府采购质疑、投诉处理工作的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质疑供应商投诉受理期间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就同一事项多头举报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干扰财政部门投诉处理的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质疑供应商在全国范围12个月内三次以上质疑查无实据的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视为一般失信行为。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.5 质疑供应商采用捏造事实、提供虚假材料或者以非法手段取得证明材料等方式进行虚假、恶意投诉的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视为严重失信行为。（证据来源的合法性存在明显疑问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投诉人无法证明其取得方式合法的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视为以非法手段取得证明材料）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.6 质疑供应商在全国范围12个月内三次以上投诉查无实据的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视为严重失信行为。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.7 未尽事宜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依照有关法律、法规执行。</w:t>
      </w:r>
      <w:r/>
    </w:p>
    <w:p>
      <w:pPr>
        <w:pStyle w:val="646"/>
        <w:spacing w:before="0" w:after="0"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sz w:val="32"/>
          <w:szCs w:val="32"/>
          <w:highlight w:val="none"/>
        </w:rPr>
        <w:t xml:space="preserve">九、政府采购政策功能</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3</w:t>
      </w:r>
      <w:r>
        <w:rPr>
          <w:rFonts w:hint="eastAsia" w:ascii="Times New Roman" w:hAnsi="Times New Roman" w:eastAsia="黑体" w:cs="Times New Roman"/>
          <w:color w:val="auto"/>
          <w:sz w:val="28"/>
          <w:szCs w:val="28"/>
          <w:highlight w:val="none"/>
          <w:lang w:val="en-US" w:eastAsia="zh-CN"/>
        </w:rPr>
        <w:t xml:space="preserve">8</w:t>
      </w:r>
      <w:r>
        <w:rPr>
          <w:rFonts w:hint="eastAsia" w:ascii="Times New Roman" w:hAnsi="Times New Roman" w:eastAsia="黑体" w:cs="Times New Roman"/>
          <w:color w:val="auto"/>
          <w:sz w:val="28"/>
          <w:szCs w:val="28"/>
          <w:highlight w:val="none"/>
        </w:rPr>
        <w:t xml:space="preserve">、促进中小企业发展</w:t>
      </w:r>
      <w:r/>
    </w:p>
    <w:p>
      <w:pPr>
        <w:ind w:firstLine="480"/>
        <w:spacing w:line="360" w:lineRule="auto"/>
        <w:rPr>
          <w:rFonts w:ascii="Arial" w:hAnsi="Arial"/>
          <w:color w:val="auto"/>
          <w:sz w:val="24"/>
          <w:szCs w:val="24"/>
          <w:highlight w:val="none"/>
        </w:rPr>
      </w:pPr>
      <w:r>
        <w:rPr>
          <w:rFonts w:hint="eastAsia" w:ascii="Times New Roman" w:hAnsi="Times New Roman" w:eastAsia="宋体" w:cs="Times New Roman"/>
          <w:color w:val="auto"/>
          <w:sz w:val="24"/>
          <w:szCs w:val="24"/>
          <w:highlight w:val="none"/>
        </w:rPr>
        <w:t xml:space="preserve">38.1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360" w:lineRule="auto"/>
        <w:rPr>
          <w:rFonts w:ascii="Arial" w:hAnsi="Arial"/>
          <w:b/>
          <w:color w:val="auto"/>
          <w:sz w:val="24"/>
          <w:szCs w:val="24"/>
          <w:highlight w:val="none"/>
        </w:rPr>
      </w:pPr>
      <w:r>
        <w:rPr>
          <w:rFonts w:hint="eastAsia" w:ascii="Times New Roman" w:hAnsi="Times New Roman" w:eastAsia="宋体" w:cs="Times New Roman"/>
          <w:b/>
          <w:color w:val="auto"/>
          <w:sz w:val="24"/>
          <w:szCs w:val="24"/>
          <w:highlight w:val="none"/>
        </w:rPr>
        <w:t xml:space="preserve">38.2 参加本项目政府采购活动的供应商应当提供的材料： </w:t>
      </w:r>
      <w:r/>
    </w:p>
    <w:p>
      <w:pPr>
        <w:ind w:firstLine="482"/>
        <w:spacing w:line="360" w:lineRule="auto"/>
        <w:rPr>
          <w:rFonts w:ascii="Arial" w:hAnsi="Arial"/>
          <w:b/>
          <w:color w:val="auto"/>
          <w:sz w:val="24"/>
          <w:szCs w:val="24"/>
          <w:highlight w:val="none"/>
        </w:rPr>
      </w:pPr>
      <w:r>
        <w:rPr>
          <w:rFonts w:hint="eastAsia" w:ascii="Times New Roman" w:hAnsi="Times New Roman" w:eastAsia="宋体" w:cs="Times New Roman"/>
          <w:b/>
          <w:color w:val="auto"/>
          <w:sz w:val="24"/>
          <w:szCs w:val="24"/>
          <w:highlight w:val="none"/>
        </w:rPr>
        <w:t xml:space="preserve">（1）投标人为中型企业、小型企业、微型企业的，提供《中小企业声明函》（第六章 投标文件格式）。</w:t>
      </w:r>
      <w:r/>
    </w:p>
    <w:p>
      <w:pPr>
        <w:ind w:firstLine="482"/>
        <w:spacing w:line="360" w:lineRule="auto"/>
        <w:rPr>
          <w:rFonts w:ascii="Arial" w:hAnsi="Arial"/>
          <w:b/>
          <w:color w:val="auto"/>
          <w:sz w:val="24"/>
          <w:szCs w:val="24"/>
          <w:highlight w:val="none"/>
        </w:rPr>
      </w:pPr>
      <w:r>
        <w:rPr>
          <w:rFonts w:hint="eastAsia" w:ascii="Times New Roman" w:hAnsi="Times New Roman" w:eastAsia="宋体" w:cs="Times New Roman"/>
          <w:b/>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2"/>
        <w:spacing w:line="360" w:lineRule="auto"/>
        <w:rPr>
          <w:rFonts w:ascii="Arial" w:hAnsi="Arial"/>
          <w:b/>
          <w:color w:val="auto"/>
          <w:sz w:val="24"/>
          <w:szCs w:val="24"/>
          <w:highlight w:val="none"/>
        </w:rPr>
      </w:pPr>
      <w:r>
        <w:rPr>
          <w:rFonts w:hint="eastAsia" w:ascii="Times New Roman" w:hAnsi="Times New Roman" w:eastAsia="宋体" w:cs="Times New Roman"/>
          <w:b/>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ascii="Arial" w:hAnsi="Arial"/>
          <w:color w:val="auto"/>
          <w:sz w:val="24"/>
          <w:szCs w:val="24"/>
          <w:highlight w:val="none"/>
        </w:rPr>
      </w:pPr>
      <w:r>
        <w:rPr>
          <w:rFonts w:hint="eastAsia" w:ascii="Times New Roman" w:hAnsi="Times New Roman" w:eastAsia="宋体" w:cs="Times New Roman"/>
          <w:color w:val="auto"/>
          <w:sz w:val="24"/>
          <w:szCs w:val="24"/>
          <w:highlight w:val="none"/>
        </w:rPr>
        <w:t xml:space="preserve">38.3 享受扶持政策获得政府采购合同的，小微企业不得将合同分包给大中型企业，中型企业不得将合同分包给大型企业。</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rPr>
        <w:t xml:space="preserve">3</w:t>
      </w:r>
      <w:r>
        <w:rPr>
          <w:rFonts w:hint="eastAsia" w:ascii="Times New Roman" w:hAnsi="Times New Roman" w:eastAsia="黑体" w:cs="Times New Roman"/>
          <w:color w:val="auto"/>
          <w:sz w:val="28"/>
          <w:szCs w:val="28"/>
          <w:highlight w:val="none"/>
          <w:lang w:val="en-US" w:eastAsia="zh-CN"/>
        </w:rPr>
        <w:t xml:space="preserve">9</w:t>
      </w:r>
      <w:r>
        <w:rPr>
          <w:rFonts w:hint="eastAsia" w:ascii="Times New Roman" w:hAnsi="Times New Roman" w:eastAsia="黑体" w:cs="Times New Roman"/>
          <w:color w:val="auto"/>
          <w:sz w:val="28"/>
          <w:szCs w:val="28"/>
          <w:highlight w:val="none"/>
        </w:rPr>
        <w:t xml:space="preserve">、支持绿色发展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本项目执行《关于印发环境标志产品政府采购品目清单的通知》（财库〔2019〕18号）、《关于印发节能产品政府采购品目清单的通知》（财库〔2019〕19号）等有关规定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采购产品属于品目清单范围的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采购人及其委托的采购代理机构将依据国家确定的认证机构出具的、处于有效期之内的节能产品、环境标志产品认证证书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对获得证书的产品实施政府优先采购或者强制采购。投标人须按招标文件要求提供相关产品认证证书。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为助力打好污染防治攻坚战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推广使用绿色包装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政府采购货物、工程和服务项目中涉及商品包装和快递包装的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投标人提供产品及相关快递服务的具体包装要求要参考《商品包装政府采购需求标准（试行）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360" w:lineRule="auto"/>
        <w:rPr>
          <w:rFonts w:ascii="Calibri" w:hAnsi="Calibri" w:eastAsia="宋体" w:cs="Times New Roman"/>
          <w:b/>
          <w:bCs/>
          <w:color w:val="auto"/>
          <w:sz w:val="28"/>
          <w:szCs w:val="28"/>
          <w:highlight w:val="none"/>
        </w:rPr>
      </w:pPr>
      <w:r>
        <w:rPr>
          <w:rFonts w:hint="eastAsia" w:ascii="Times New Roman" w:hAnsi="Times New Roman" w:eastAsia="黑体" w:cs="Times New Roman"/>
          <w:b/>
          <w:bCs/>
          <w:color w:val="auto"/>
          <w:sz w:val="28"/>
          <w:szCs w:val="28"/>
          <w:highlight w:val="none"/>
          <w:lang w:val="en-US" w:eastAsia="zh-CN"/>
        </w:rPr>
        <w:t xml:space="preserve">40</w:t>
      </w:r>
      <w:r>
        <w:rPr>
          <w:rFonts w:hint="eastAsia" w:ascii="Times New Roman" w:hAnsi="Times New Roman" w:eastAsia="黑体" w:cs="Times New Roman"/>
          <w:b/>
          <w:bCs/>
          <w:color w:val="auto"/>
          <w:sz w:val="28"/>
          <w:szCs w:val="28"/>
          <w:highlight w:val="none"/>
        </w:rPr>
        <w:t xml:space="preserve">、采购本国产品的支持政策</w:t>
      </w:r>
      <w:r/>
    </w:p>
    <w:p>
      <w:pPr>
        <w:ind w:firstLine="480"/>
        <w:spacing w:line="360" w:lineRule="auto"/>
        <w:rPr>
          <w:color w:val="auto"/>
          <w:sz w:val="24"/>
          <w:szCs w:val="24"/>
          <w:highlight w:val="none"/>
        </w:rPr>
      </w:pPr>
      <w:r>
        <w:rPr>
          <w:rFonts w:hint="eastAsia" w:eastAsia="宋体"/>
          <w:color w:val="auto"/>
          <w:sz w:val="24"/>
          <w:szCs w:val="24"/>
          <w:highlight w:val="none"/>
          <w:lang w:val="en-US" w:eastAsia="zh-CN"/>
        </w:rPr>
        <w:t xml:space="preserve">40</w:t>
      </w:r>
      <w:r>
        <w:rPr>
          <w:rFonts w:hint="eastAsia" w:ascii="Times New Roman" w:hAnsi="Times New Roman"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40.5 政府采购中的本国产品标准及其他未尽事宜详见《国务院办公厅关于在政府采购中实施本国产品标准及相关政策的通知》（国办发〔2025〕34号）。   </w:t>
      </w: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color w:val="auto"/>
          <w:sz w:val="24"/>
          <w:szCs w:val="24"/>
          <w:highlight w:val="none"/>
        </w:rPr>
        <w:t xml:space="preserve">本项目专门面向中小企业采购，本条价格评审优惠不适用本项目</w:t>
      </w:r>
      <w:r>
        <w:rPr>
          <w:rFonts w:hint="eastAsia" w:ascii="宋体" w:hAnsi="宋体" w:eastAsia="宋体" w:cs="宋体"/>
          <w:b/>
          <w:bCs/>
          <w:color w:val="auto"/>
          <w:sz w:val="24"/>
          <w:szCs w:val="24"/>
          <w:highlight w:val="none"/>
          <w:lang w:eastAsia="zh-CN"/>
        </w:rPr>
        <w:t xml:space="preserve">。</w:t>
      </w:r>
      <w:r/>
    </w:p>
    <w:p>
      <w:pPr>
        <w:pStyle w:val="647"/>
        <w:ind w:firstLine="562"/>
        <w:jc w:val="left"/>
        <w:spacing w:before="0" w:after="0" w:line="360" w:lineRule="auto"/>
        <w:rPr>
          <w:rFonts w:hint="eastAsia" w:ascii="宋体" w:hAnsi="宋体" w:eastAsia="宋体" w:cs="宋体"/>
          <w:color w:val="auto"/>
          <w:sz w:val="28"/>
          <w:szCs w:val="28"/>
          <w:highlight w:val="none"/>
        </w:rPr>
      </w:pPr>
      <w:r>
        <w:rPr>
          <w:rFonts w:hint="eastAsia" w:ascii="Times New Roman" w:hAnsi="Times New Roman" w:eastAsia="黑体" w:cs="Times New Roman"/>
          <w:color w:val="auto"/>
          <w:sz w:val="28"/>
          <w:szCs w:val="28"/>
          <w:highlight w:val="none"/>
          <w:lang w:val="en-US" w:eastAsia="zh-CN"/>
        </w:rPr>
        <w:t xml:space="preserve">41</w:t>
      </w:r>
      <w:r>
        <w:rPr>
          <w:rFonts w:hint="eastAsia" w:ascii="Times New Roman" w:hAnsi="Times New Roman" w:eastAsia="黑体" w:cs="Times New Roman"/>
          <w:color w:val="auto"/>
          <w:sz w:val="28"/>
          <w:szCs w:val="28"/>
          <w:highlight w:val="none"/>
        </w:rPr>
        <w:t xml:space="preserve">、政府采购需求标准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.1 本项目执行《绿色数据中心政府采购需求标准（试行）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台式计算机政府采购需求标准（2023年版）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便携式计算机政府采购需求标准（2023年版）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一体式计算机政府采购需求标准（2023年版）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工作站政府采购需求标准（2023年版）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通用服务器政府采购需求标准（2023年版）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操作系统政府采购需求标准（2023年版）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数据库政府采购需求标准（2023年版）》等政府采购需求标准。采购标的如涉及数据中心相关设备及运维服务、台式计算机、便携式计算机、一体式计算机、工作站、通用服务器、操作系统、数据库的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执行相关政府采购需求标准。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45"/>
        <w:jc w:val="center"/>
        <w:spacing w:line="360" w:lineRule="auto"/>
        <w:rPr>
          <w:color w:val="auto"/>
          <w:sz w:val="24"/>
          <w:szCs w:val="24"/>
          <w:highlight w:val="none"/>
        </w:rPr>
      </w:pPr>
      <w:r/>
      <w:bookmarkStart w:id="10" w:name="_Toc165205796"/>
      <w:r/>
      <w:bookmarkStart w:id="11" w:name="_Toc19724"/>
      <w:r>
        <w:rPr>
          <w:rFonts w:hint="eastAsia" w:ascii="Times New Roman" w:hAnsi="Times New Roman" w:eastAsia="黑体" w:cs="Times New Roman"/>
          <w:b w:val="0"/>
          <w:color w:val="auto"/>
          <w:highlight w:val="none"/>
        </w:rPr>
        <w:t xml:space="preserve">第三章  合同文本</w:t>
      </w:r>
      <w:bookmarkEnd w:id="10"/>
      <w:r/>
      <w:bookmarkEnd w:id="11"/>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t xml:space="preserve">连云港市政府采购合同（服务）</w:t>
      </w:r>
      <w:r/>
    </w:p>
    <w:p>
      <w:pPr>
        <w:jc w:val="center"/>
        <w:spacing w:line="500" w:lineRule="exact"/>
        <w:rPr>
          <w:rFonts w:hint="eastAsia"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eastAsia="zh-CN"/>
        </w:rPr>
        <w:t xml:space="preserve">连云港数智自贸平台建设及日常运维</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目（项目编号：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公开招标的结果，签订本合同。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服务内容：乙方为甲方建设连云港数智自贸平台（“连数通”平台），包括基础平台、走进自贸、链上自贸、跨境自贸、跨境数据、领导驾驶舱、AI</w:t>
      </w:r>
      <w:r>
        <w:rPr>
          <w:rFonts w:hint="eastAsia" w:ascii="宋体" w:hAnsi="宋体" w:eastAsia="宋体" w:cs="宋体"/>
          <w:color w:val="auto"/>
          <w:sz w:val="24"/>
          <w:szCs w:val="24"/>
          <w:highlight w:val="none"/>
        </w:rPr>
        <w:t xml:space="preserve">智能助手7大业务板块21个功能模块，以及公众号端移动服务平台、系统集成模块，合计23个功能模块等全部建设内容，并提供项目最终验收合格之日起</w:t>
      </w:r>
      <w:r>
        <w:rPr>
          <w:rFonts w:hint="eastAsia" w:ascii="宋体" w:hAnsi="宋体" w:eastAsia="宋体" w:cs="宋体"/>
          <w:color w:val="auto"/>
          <w:sz w:val="24"/>
          <w:szCs w:val="24"/>
          <w:highlight w:val="none"/>
        </w:rPr>
        <w:t xml:space="preserve">1年质保运维服务。具体以招标文件第四章《采购需求》及乙方投标文件为准。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乙方应按照招标文件第四章《采购需求》、乙方投标文件及双方确认的技术方案组织实施，平台功能、性能指标、信息安全等须满足招标文件规定的各项要求；合同签订后45天内完成核心功能开发并实现初步上线，自合同签订之日起</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个月内完成平台建设、试运行并通过最终验收交付。</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服务标准：平台须满足《信息安全技术 网络安全等级保护基本要求》（GB/T 22239—2019）第二级及《信息安全技术 信息系统密码应用基本要求》（GB/T 39786—2021）等国家有关标准要求，并达到招标文件规定的性能指标和验收标准。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补充条款：招标文件、乙方投标文件及招标过程中有关澄清、承诺等文件均作为本合同附件，与本合同具有同等法律效力；本合同未尽事宜，按招标文件及政府采购有关规定执行。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二、合同金额</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乙方应按招标文件规定的时间向甲方提供有关技术资料。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本项目定制开发形成软件著作权、源代码成果全部归采购人所有，中标人应当完整交付无混淆可编译源代码，不得设置后门、加密锁限制采购人后续二次开发维护</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本合同不收取履约保证金。</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七、合同转包或分包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lang w:val="en-US" w:eastAsia="zh-CN" w:bidi="ar"/>
        </w:rPr>
        <w:t xml:space="preserve">本项目专门面向中小企业采购，小微企业不得将合同分包给大中型企业，中型企业不得将合同分包给大型企业；如发生上述情形的，采购人有权解除合同并依法追究其违约责任。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八、服务时间</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服务时间：自合同签订之日起</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个月内完成平台建设、试运行并通过最终验收交付，</w:t>
      </w:r>
      <w:r>
        <w:rPr>
          <w:rFonts w:hint="eastAsia" w:ascii="宋体" w:hAnsi="宋体" w:eastAsia="宋体" w:cs="宋体"/>
          <w:color w:val="auto"/>
          <w:sz w:val="24"/>
          <w:szCs w:val="24"/>
          <w:highlight w:val="none"/>
          <w:lang w:val="en-US" w:eastAsia="zh-CN"/>
        </w:rPr>
        <w:t xml:space="preserve">其中合同签订</w:t>
      </w:r>
      <w:r>
        <w:rPr>
          <w:rFonts w:hint="eastAsia" w:ascii="宋体" w:hAnsi="宋体" w:eastAsia="宋体" w:cs="宋体"/>
          <w:color w:val="auto"/>
          <w:sz w:val="24"/>
          <w:szCs w:val="24"/>
          <w:highlight w:val="none"/>
          <w:lang w:val="en-US" w:eastAsia="zh-CN"/>
        </w:rPr>
        <w:t xml:space="preserve">后45天内完成核心功能开发并实现初步上线</w:t>
      </w:r>
      <w:r>
        <w:rPr>
          <w:rFonts w:hint="eastAsia" w:ascii="宋体" w:hAnsi="宋体" w:eastAsia="宋体" w:cs="宋体"/>
          <w:color w:val="auto"/>
          <w:sz w:val="24"/>
          <w:szCs w:val="24"/>
          <w:highlight w:val="none"/>
        </w:rPr>
        <w:t xml:space="preserve">；项目最终验收合格之日起进入1年质保运维期。</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九、合同内容的交付</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交 付 期：自合同签订之日起</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个月内完成全部建设内容、试运行并通过最终验收交付。</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交付方式：平台部署于连云港市政务云平台，采用线上部署交付，乙方同步交付源代码、部署文档、操作手册、测试报告等成果资料。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交付地点：连云港市政务云平台及甲方指定地点。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w:t>
      </w:r>
      <w:r>
        <w:rPr>
          <w:color w:val="auto"/>
          <w:sz w:val="24"/>
          <w:szCs w:val="24"/>
          <w:highlight w:val="none"/>
        </w:rPr>
        <w:t xml:space="preserve">乙方应保证平台部署及交付过程中的数据安全，部署完成前风险由乙方负责。</w:t>
      </w:r>
      <w:r>
        <w:rPr>
          <w:rFonts w:hint="eastAsia" w:ascii="宋体" w:hAnsi="宋体" w:eastAsia="宋体" w:cs="宋体"/>
          <w:color w:val="auto"/>
          <w:sz w:val="24"/>
          <w:szCs w:val="24"/>
          <w:highlight w:val="none"/>
        </w:rPr>
        <w:t xml:space="preserve">合同标的涉及包装的应符合《商品包装政府采购需求标准（试行）》、《快递包装政府采购需求标准（试行）》的规定。使用说明书、质量检验证明书等（如有）一并提交甲方。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乙方在合同标的交付甲方48小时前通知甲方准备接收。合同标的在规定的交付期限内由乙方送达甲方指定的地点视为交付，乙方同时需通知甲方已送达。</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十、合同款支付</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10.1 付款方式：（1）根据政府采购扶持中小企业政策，采购人可按财政相关规定向中标中小企业支付预付款</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（2）项目全部建设内容完成、试运行期满并经最终验收合格后，支付至合同金额的90%；</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）质保运维期满，无质量问题且乙方履行完毕全部合同义务后，支付剩余10%。注：上述各笔款项均通过国库集中支付方式支付，甲方付款前乙方应先提供等额有效的发票。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本合同采用总价包干方式，合同金额不因市场价格波动等因素调整。</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十一、税费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十二、质量保证及售后服务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乙方应按招标文件规定和投标文件承诺的性能、技术要求、质量标准向甲方提供产品或服务。</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w:t>
      </w:r>
      <w:r>
        <w:rPr>
          <w:rFonts w:hint="eastAsia" w:ascii="宋体" w:hAnsi="宋体" w:eastAsia="宋体" w:cs="宋体"/>
          <w:color w:val="auto"/>
          <w:sz w:val="24"/>
          <w:szCs w:val="24"/>
          <w:highlight w:val="none"/>
        </w:rPr>
        <w:t xml:space="preserve">费用，甲方不承担由此产生的任何费用。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如在使用过程中发生质量问题，乙方在接到甲方通知后24小时内到达甲方现场。</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十三、项目验收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rPr>
        <w:t xml:space="preserve">》。乙方在履约过程中有政府采购法律法规规定的违法违规情形的，甲方将及时报告本级财政部门。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十四、违约责任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甲方无正当理由拒收的，甲方向乙方偿付拒收标的总额百分之五（5%）的违约金。</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甲方无故逾期验收和办理合同款支付手续的，甲方应按逾期付款总额每日万分之五向乙方支付违约金，最高限额为本合同总额的百分之五（5%）。</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合同标的的，乙方应按逾期交付总额每日万分之五向甲方支付违约金，由甲方从待付合同款中扣除，最高限额为本合同总额的百分之五（5%）。逾期超过约定日期三十（30）日不能交付的，甲方可解除本合同。乙方因逾期交付或因其他违约行为导致甲方解除合同的，乙方应向甲方支付合同总额百分之五（5%）的违约金，如造成甲方损失超过违约金的，超出部分由乙方继续承担赔偿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十五、不可抗力事件处理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不可抗力事件发生后，应立即通知对方，并寄送有关权威机构出具的证明。</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不可抗力事件延续120天以上，双方应通过友好协商，确定是否继续履行合同。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十六、解决争议的方法</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十七、合同生效及其他</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合同经双方法定代表人或授权代表签字并加盖单位公章后生效。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本合同未尽事宜，遵照</w:t>
      </w:r>
      <w:r>
        <w:rPr>
          <w:rFonts w:hint="eastAsia" w:ascii="宋体" w:hAnsi="宋体" w:eastAsia="宋体" w:cs="宋体"/>
          <w:color w:val="auto"/>
          <w:sz w:val="24"/>
          <w:szCs w:val="24"/>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本合同正本一式四份，具有同等法律效力，甲方执</w:t>
      </w:r>
      <w:r>
        <w:rPr>
          <w:rFonts w:hint="eastAsia" w:ascii="宋体" w:hAnsi="宋体" w:eastAsia="宋体" w:cs="宋体"/>
          <w:color w:val="auto"/>
          <w:sz w:val="24"/>
          <w:szCs w:val="24"/>
          <w:highlight w:val="none"/>
          <w:lang w:eastAsia="zh-CN"/>
        </w:rPr>
        <w:t xml:space="preserve">两</w:t>
      </w:r>
      <w:r>
        <w:rPr>
          <w:rFonts w:hint="eastAsia" w:ascii="宋体" w:hAnsi="宋体" w:eastAsia="宋体" w:cs="宋体"/>
          <w:color w:val="auto"/>
          <w:sz w:val="24"/>
          <w:szCs w:val="24"/>
          <w:highlight w:val="none"/>
        </w:rPr>
        <w:t xml:space="preserve">份、乙方执一份，甲方报一份至政府采购监督管理部门。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right"/>
        <w:spacing w:line="360" w:lineRule="auto"/>
        <w:rPr>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jc w:val="left"/>
        <w:widowControl/>
        <w:rPr>
          <w:rFonts w:hint="eastAsia" w:ascii="宋体" w:hAnsi="宋体" w:eastAsia="宋体" w:cs="宋体"/>
          <w:b/>
          <w:bCs/>
          <w:color w:val="auto"/>
          <w:spacing w:val="-20"/>
          <w:sz w:val="48"/>
          <w:szCs w:val="48"/>
          <w:highlight w:val="none"/>
        </w:rPr>
      </w:pPr>
      <w:r>
        <w:rPr>
          <w:color w:val="auto"/>
          <w:sz w:val="24"/>
          <w:szCs w:val="24"/>
          <w:highlight w:val="none"/>
        </w:rPr>
        <w:br w:type="page" w:clear="all"/>
      </w:r>
      <w:r/>
    </w:p>
    <w:p>
      <w:pPr>
        <w:pStyle w:val="645"/>
        <w:jc w:val="center"/>
        <w:spacing w:line="360" w:lineRule="auto"/>
        <w:rPr>
          <w:rFonts w:hint="eastAsia" w:ascii="宋体" w:hAnsi="宋体" w:eastAsia="宋体" w:cs="宋体"/>
          <w:b w:val="0"/>
          <w:color w:val="auto"/>
          <w:highlight w:val="none"/>
        </w:rPr>
      </w:pPr>
      <w:r/>
      <w:bookmarkStart w:id="12" w:name="_Toc7686"/>
      <w:r>
        <w:rPr>
          <w:rFonts w:hint="eastAsia" w:ascii="Times New Roman" w:hAnsi="Times New Roman" w:eastAsia="黑体" w:cs="Times New Roman"/>
          <w:b w:val="0"/>
          <w:color w:val="auto"/>
          <w:highlight w:val="none"/>
        </w:rPr>
        <w:t xml:space="preserve">第四章  采购需求</w:t>
      </w:r>
      <w:bookmarkEnd w:id="12"/>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说明：本项目属性</w:t>
      </w:r>
      <w:r>
        <w:rPr>
          <w:rFonts w:hint="eastAsia" w:ascii="宋体" w:hAnsi="宋体" w:eastAsia="宋体" w:cs="宋体"/>
          <w:b/>
          <w:bCs/>
          <w:color w:val="auto"/>
          <w:sz w:val="24"/>
          <w:szCs w:val="24"/>
          <w:highlight w:val="none"/>
          <w:u w:val="single"/>
        </w:rPr>
        <w:t xml:space="preserve">为</w:t>
      </w:r>
      <w:r>
        <w:rPr>
          <w:rFonts w:ascii="宋体" w:hAnsi="宋体" w:eastAsia="宋体" w:cs="宋体"/>
          <w:b/>
          <w:bCs/>
          <w:color w:val="auto"/>
          <w:sz w:val="24"/>
          <w:szCs w:val="24"/>
          <w:highlight w:val="none"/>
          <w:u w:val="single"/>
        </w:rPr>
        <w:t xml:space="preserve">软件和信息技术服务业</w:t>
      </w:r>
      <w:r>
        <w:rPr>
          <w:rFonts w:hint="eastAsia" w:ascii="宋体" w:hAnsi="宋体" w:eastAsia="宋体" w:cs="宋体"/>
          <w:color w:val="auto"/>
          <w:sz w:val="24"/>
          <w:szCs w:val="24"/>
          <w:highlight w:val="none"/>
        </w:rPr>
        <w:t xml:space="preserve">，采购标的对应的中小企业划分标准所属行业详见第六章投标文件格式中的投标分项报价表。</w:t>
      </w:r>
      <w:r/>
    </w:p>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根据《</w:t>
      </w:r>
      <w:r>
        <w:rPr>
          <w:rFonts w:hint="eastAsia" w:ascii="宋体" w:hAnsi="宋体" w:eastAsia="宋体" w:cs="宋体"/>
          <w:b/>
          <w:bCs/>
          <w:color w:val="auto"/>
          <w:sz w:val="24"/>
          <w:szCs w:val="24"/>
          <w:highlight w:val="none"/>
          <w:shd w:val="clear" w:color="auto" w:fill="ffffff"/>
        </w:rPr>
        <w:t xml:space="preserve">关于印发中小企业划型标准规定的通知</w:t>
      </w:r>
      <w:r>
        <w:rPr>
          <w:rFonts w:hint="eastAsia" w:ascii="宋体" w:hAnsi="宋体" w:eastAsia="宋体" w:cs="宋体"/>
          <w:b/>
          <w:color w:val="auto"/>
          <w:sz w:val="24"/>
          <w:szCs w:val="24"/>
          <w:highlight w:val="none"/>
          <w:shd w:val="clear" w:color="auto" w:fill="ffffff"/>
        </w:rPr>
        <w:t xml:space="preserve">》（工信部联企业〔2011〕300号）规定：</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lang w:val="en-US" w:eastAsia="zh-CN"/>
        </w:rPr>
        <w:t xml:space="preserve">软件和信息技术服务业</w:t>
      </w:r>
      <w:r>
        <w:rPr>
          <w:rFonts w:hint="eastAsia" w:ascii="宋体" w:hAnsi="宋体" w:eastAsia="宋体" w:cs="宋体"/>
          <w:color w:val="auto"/>
          <w:sz w:val="24"/>
          <w:szCs w:val="24"/>
          <w:highlight w:val="none"/>
        </w:rPr>
        <w:t xml:space="preserve">行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本招标文件中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，由采购人根据实际情况设置，投标人须逐条明确作出满足实质性要求和条件的响应，否则将按无效响应处理</w:t>
      </w:r>
      <w:r>
        <w:rPr>
          <w:rFonts w:hint="eastAsia" w:ascii="宋体" w:hAnsi="宋体" w:eastAsia="宋体" w:cs="宋体"/>
          <w:color w:val="auto"/>
          <w:sz w:val="24"/>
          <w:szCs w:val="24"/>
          <w:highlight w:val="none"/>
          <w:lang w:eastAsia="zh-CN"/>
        </w:rPr>
        <w:t xml:space="preserve">。</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689"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W w:w="816"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689" w:type="dxa"/>
            <w:vAlign w:val="top"/>
            <w:textDirection w:val="lrTb"/>
            <w:noWrap w:val="false"/>
          </w:tcPr>
          <w:p>
            <w:pPr>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1、服务期限：</w:t>
            </w:r>
            <w:r>
              <w:rPr>
                <w:rFonts w:hint="eastAsia" w:ascii="宋体" w:hAnsi="宋体" w:eastAsia="宋体" w:cs="宋体"/>
                <w:i/>
                <w:iCs/>
                <w:color w:val="auto"/>
                <w:sz w:val="24"/>
                <w:szCs w:val="24"/>
                <w:highlight w:val="none"/>
                <w:u w:val="single"/>
                <w:lang w:val="en-US" w:eastAsia="zh-CN"/>
              </w:rPr>
              <w:t xml:space="preserve">自合同签订之日起6个月内完成平台建设、试运行并通过最终验收交付，其中合同签订后45天内完成核心功能开发并实现初步上线；项目验收合格后进入1年质保运维期。</w:t>
            </w:r>
            <w:r/>
          </w:p>
        </w:tc>
      </w:tr>
      <w:tr>
        <w:trPr>
          <w:jc w:val="center"/>
          <w:trHeight w:val="3875"/>
        </w:trPr>
        <w:tc>
          <w:tcPr>
            <w:tcW w:w="816"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689" w:type="dxa"/>
            <w:vAlign w:val="top"/>
            <w:textDirection w:val="lrTb"/>
            <w:noWrap w:val="false"/>
          </w:tcPr>
          <w:p>
            <w:pPr>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2、付款方式：（1）根据政府采购扶持中小企业政策，采购人可按财政相关规定向中标中小企业支付预付款。</w:t>
            </w:r>
            <w:r/>
          </w:p>
          <w:p>
            <w:pPr>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（2）项目全部建设内容完成、试运行期满并经最终验收合格后，支付至合同金额的90%；</w:t>
            </w:r>
            <w:r/>
          </w:p>
          <w:p>
            <w:pPr>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（3）质保运维期满，无质量问题且乙方履行完毕全部合同义务后，支付剩余10%。注：上述各笔款项均通过国库集中支付方式支付，甲方付款前乙方应先提供等额有效的发票。</w:t>
            </w:r>
            <w:r/>
          </w:p>
          <w:p>
            <w:pPr>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总价包干方式：合同金额不因市场价格波动等因素调整。</w:t>
            </w:r>
            <w:r/>
          </w:p>
        </w:tc>
      </w:tr>
    </w:tbl>
    <w:p>
      <w:pPr>
        <w:pStyle w:val="646"/>
        <w:keepNext/>
        <w:spacing w:before="240" w:after="120" w:line="360" w:lineRule="auto"/>
        <w:rPr>
          <w:color w:val="auto"/>
          <w:highlight w:val="none"/>
        </w:rPr>
        <w:outlineLvl w:val="1"/>
      </w:pPr>
      <w:r>
        <w:rPr>
          <w:rFonts w:ascii="Times New Roman" w:hAnsi="Times New Roman" w:eastAsia="黑体" w:cs="Times New Roman"/>
          <w:b/>
          <w:color w:val="auto"/>
          <w:sz w:val="32"/>
          <w:szCs w:val="32"/>
          <w:highlight w:val="none"/>
        </w:rPr>
        <w:t xml:space="preserve">一、项目概述</w:t>
      </w:r>
      <w:r/>
    </w:p>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（一）项目名称</w:t>
      </w:r>
      <w:r/>
    </w:p>
    <w:p>
      <w:pPr>
        <w:ind w:firstLine="480"/>
        <w:spacing w:before="0" w:after="0" w:line="360" w:lineRule="auto"/>
        <w:rPr>
          <w:rFonts w:ascii="Times New Roman" w:hAnsi="Times New Roman" w:eastAsia="宋体"/>
          <w:b w:val="0"/>
          <w:color w:val="auto"/>
          <w:sz w:val="24"/>
          <w:highlight w:val="none"/>
        </w:rPr>
      </w:pPr>
      <w:r>
        <w:rPr>
          <w:rFonts w:hint="eastAsia" w:ascii="Times New Roman" w:hAnsi="Times New Roman" w:eastAsia="宋体"/>
          <w:color w:val="auto"/>
          <w:sz w:val="24"/>
          <w:highlight w:val="none"/>
          <w:lang w:eastAsia="zh-CN"/>
        </w:rPr>
        <w:t xml:space="preserve">连云港数智自贸平台建设及日常运维</w:t>
      </w:r>
      <w:r>
        <w:rPr>
          <w:rFonts w:ascii="Times New Roman" w:hAnsi="Times New Roman" w:eastAsia="宋体"/>
          <w:color w:val="auto"/>
          <w:sz w:val="24"/>
          <w:highlight w:val="none"/>
        </w:rPr>
        <w:t xml:space="preserve">项目。</w:t>
      </w:r>
      <w:r/>
    </w:p>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（二）项目背景</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根据《国务院关于印发6个新设自由贸易试验区总体方案的通知》（国</w:t>
      </w:r>
      <w:r>
        <w:rPr>
          <w:rFonts w:ascii="Times New Roman" w:hAnsi="Times New Roman" w:eastAsia="宋体"/>
          <w:color w:val="auto"/>
          <w:sz w:val="24"/>
          <w:highlight w:val="none"/>
        </w:rPr>
        <w:t xml:space="preserve">发〔2019〕15号）、《中国（江苏）自由贸易试验区条例》、《政务信息系统政府采购管理暂行办法》（财库〔2017〕210号）、《江苏省省级政务信息化项目建设管理办法》（苏政办发〔2024〕38号）、《市政府办公室关于印发连云港市市级政务信息化项目建设管理办法的通知》（连政办发〔2025〕24号）、《中国（江苏）自由贸易试验区数据出境负面清单管理办法（试行）》（苏网办发〔2025〕6号）等文件精神，为加快推进自贸片区数字化建设，提升对外服务能力和对内管理效能，建设连云港数智自贸平台（以下简称“连数通”平台）。</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中国（江苏）自由贸易试验区连云港片区自2019年8月获批以来，紧扣亚欧重要国际交通枢纽、集聚优质要素的开放门户、“一带一路”沿线国家（地区）交流合作平台的战略定位，已形成大宗贸易、跨境电商、港航物流等特色产业集群，累计形成259项制度创新成果，以全市2.7‰的面积贡献了全市近1/4的实际利用外资、1/5的外贸进出口、1/8的新设企业，已成为全市开放型经济的重要引擎。</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当前片区信息化建设仍存在以下突出问题：一是自贸片区无独立门户网站和对外展示窗口，开发区、连云区、港口集团门户网站均未设立自贸板块，制度创新成果分散在各部门</w:t>
      </w:r>
      <w:r>
        <w:rPr>
          <w:rFonts w:ascii="Times New Roman" w:hAnsi="Times New Roman" w:eastAsia="宋体"/>
          <w:color w:val="auto"/>
          <w:sz w:val="24"/>
          <w:highlight w:val="none"/>
        </w:rPr>
        <w:t xml:space="preserve">，缺乏集中展示的数字化载体；二是企业办事入口分散，涉及三个区块、多个业务系统，企业办理跨片区业务平均需登录3个以上独立系统，流程不互通，办事时间成本和经济成本较高；三是领导决策缺乏实时数据支撑，三区块产业运行数据分散，缺乏统一汇聚和可视化呈现手段，“链长—链主—链创—链配”四链协同机制缺乏数字化监测手段；四是数据跨境合规服务存在空白，尚未落实数据出境负面清单管理办法相关要求，企业缺乏便捷的数据出境合规指引和申报辅导渠道。建设统一的数智自贸平台，是弥补上述空白、整合服务资源、推动自贸片区数字化转型的迫切需要。</w:t>
      </w:r>
      <w:r/>
    </w:p>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（三）建设目标</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本项目搭建连云港数智自贸平台，采用“一套后台、多端展示”的技术架构，覆盖PC端和微信公众号端，实现“企业进一个门、办所有事；领导开一屏、看全貌”。</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平台定位为“制度创新的展示窗口、企业服务的统一入口、产业运行的监测平台、数据跨境的合规通道”：集中展示制度创新成果、招商政策和发展成效，打造自贸片区的“数字名片”；整合分散的企业服务入口，实现企业“一个门户、一次登录”；汇聚三区块产业运行数据，支撑领导决策和“四链”协同监测；落实数据出境负面清单管理办法要求，为企业提供数据跨境合规指引和申报辅导服务。</w:t>
      </w:r>
      <w:r/>
    </w:p>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（四）建设地点与服务范围</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本项目覆盖中国（江苏）自由贸易试验区连云港片区全区域（开发区区块、连云区块、港口区块），服务对象涵盖片区管委会、三区块管理部门、2万余家市场主体及社会公众。平台采用云端部署方式，部署在连云港市政务云平台，无需新建物理机房，平台管理运营机构设在采购人办公场所内。</w:t>
      </w:r>
      <w:r/>
    </w:p>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（五）预算与最高限价</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本项目预算金额为人民币2</w:t>
      </w:r>
      <w:r>
        <w:rPr>
          <w:rFonts w:hint="eastAsia" w:ascii="Times New Roman" w:hAnsi="Times New Roman" w:eastAsia="宋体"/>
          <w:color w:val="auto"/>
          <w:sz w:val="24"/>
          <w:highlight w:val="none"/>
          <w:lang w:val="en-US" w:eastAsia="zh-CN"/>
        </w:rPr>
        <w:t xml:space="preserve">30</w:t>
      </w:r>
      <w:r>
        <w:rPr>
          <w:rFonts w:ascii="Times New Roman" w:hAnsi="Times New Roman" w:eastAsia="宋体"/>
          <w:color w:val="auto"/>
          <w:sz w:val="24"/>
          <w:highlight w:val="none"/>
        </w:rPr>
        <w:t xml:space="preserve">万元，最高限价为人民币2</w:t>
      </w:r>
      <w:r>
        <w:rPr>
          <w:rFonts w:hint="eastAsia" w:ascii="Times New Roman" w:hAnsi="Times New Roman" w:eastAsia="宋体"/>
          <w:color w:val="auto"/>
          <w:sz w:val="24"/>
          <w:highlight w:val="none"/>
          <w:lang w:val="en-US" w:eastAsia="zh-CN"/>
        </w:rPr>
        <w:t xml:space="preserve">30</w:t>
      </w:r>
      <w:r>
        <w:rPr>
          <w:rFonts w:ascii="Times New Roman" w:hAnsi="Times New Roman" w:eastAsia="宋体"/>
          <w:color w:val="auto"/>
          <w:sz w:val="24"/>
          <w:highlight w:val="none"/>
        </w:rPr>
        <w:t xml:space="preserve">万元。投标报价不得超过预算金额（最高限价），否则按无效响应处理。投资构成（费用明细）如下表：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247"/>
        <w:gridCol w:w="1785"/>
        <w:gridCol w:w="4921"/>
      </w:tblGrid>
      <w:tr>
        <w:trPr>
          <w:jc w:val="center"/>
        </w:trPr>
        <w:tc>
          <w:tcPr>
            <w:tcW w:w="0" w:type="auto"/>
            <w:vAlign w:val="center"/>
            <w:textDirection w:val="lrTb"/>
            <w:noWrap w:val="false"/>
          </w:tcPr>
          <w:p>
            <w:pPr>
              <w:jc w:val="center"/>
              <w:spacing w:line="360" w:lineRule="auto"/>
              <w:rPr>
                <w:color w:val="auto"/>
                <w:sz w:val="24"/>
                <w:szCs w:val="24"/>
                <w:highlight w:val="none"/>
              </w:rPr>
            </w:pPr>
            <w:r>
              <w:rPr>
                <w:rFonts w:ascii="Times New Roman" w:hAnsi="Times New Roman" w:eastAsia="宋体"/>
                <w:b/>
                <w:color w:val="auto"/>
                <w:sz w:val="24"/>
                <w:szCs w:val="24"/>
                <w:highlight w:val="none"/>
              </w:rPr>
              <w:t xml:space="preserve">序号</w:t>
            </w:r>
            <w:r/>
          </w:p>
        </w:tc>
        <w:tc>
          <w:tcPr>
            <w:tcW w:w="1247" w:type="dxa"/>
            <w:vAlign w:val="center"/>
            <w:textDirection w:val="lrTb"/>
            <w:noWrap w:val="false"/>
          </w:tcPr>
          <w:p>
            <w:pPr>
              <w:jc w:val="center"/>
              <w:spacing w:line="360" w:lineRule="auto"/>
              <w:rPr>
                <w:color w:val="auto"/>
                <w:sz w:val="24"/>
                <w:szCs w:val="24"/>
                <w:highlight w:val="none"/>
              </w:rPr>
            </w:pPr>
            <w:r>
              <w:rPr>
                <w:rFonts w:ascii="Times New Roman" w:hAnsi="Times New Roman" w:eastAsia="宋体"/>
                <w:b/>
                <w:color w:val="auto"/>
                <w:sz w:val="24"/>
                <w:szCs w:val="24"/>
                <w:highlight w:val="none"/>
              </w:rPr>
              <w:t xml:space="preserve">费用项目</w:t>
            </w:r>
            <w:r/>
          </w:p>
        </w:tc>
        <w:tc>
          <w:tcPr>
            <w:tcW w:w="1785" w:type="dxa"/>
            <w:vAlign w:val="center"/>
            <w:textDirection w:val="lrTb"/>
            <w:noWrap w:val="false"/>
          </w:tcPr>
          <w:p>
            <w:pPr>
              <w:jc w:val="center"/>
              <w:spacing w:line="360" w:lineRule="auto"/>
              <w:rPr>
                <w:color w:val="auto"/>
                <w:sz w:val="24"/>
                <w:szCs w:val="24"/>
                <w:highlight w:val="none"/>
              </w:rPr>
            </w:pPr>
            <w:r>
              <w:rPr>
                <w:rFonts w:ascii="Times New Roman" w:hAnsi="Times New Roman" w:eastAsia="宋体"/>
                <w:b/>
                <w:color w:val="auto"/>
                <w:sz w:val="24"/>
                <w:szCs w:val="24"/>
                <w:highlight w:val="none"/>
              </w:rPr>
              <w:t xml:space="preserve">金额（万元）</w:t>
            </w:r>
            <w:r/>
          </w:p>
        </w:tc>
        <w:tc>
          <w:tcPr>
            <w:tcW w:w="4921" w:type="dxa"/>
            <w:vAlign w:val="center"/>
            <w:textDirection w:val="lrTb"/>
            <w:noWrap w:val="false"/>
          </w:tcPr>
          <w:p>
            <w:pPr>
              <w:jc w:val="center"/>
              <w:spacing w:line="360" w:lineRule="auto"/>
              <w:rPr>
                <w:color w:val="auto"/>
                <w:sz w:val="24"/>
                <w:szCs w:val="24"/>
                <w:highlight w:val="none"/>
              </w:rPr>
            </w:pPr>
            <w:r>
              <w:rPr>
                <w:rFonts w:ascii="Times New Roman" w:hAnsi="Times New Roman" w:eastAsia="宋体"/>
                <w:b/>
                <w:color w:val="auto"/>
                <w:sz w:val="24"/>
                <w:szCs w:val="24"/>
                <w:highlight w:val="none"/>
              </w:rPr>
              <w:t xml:space="preserve">备注</w:t>
            </w:r>
            <w:r/>
          </w:p>
        </w:tc>
      </w:tr>
      <w:tr>
        <w:trPr>
          <w:jc w:val="center"/>
        </w:trPr>
        <w:tc>
          <w:tcPr>
            <w:tcW w:w="0" w:type="auto"/>
            <w:vAlign w:val="center"/>
            <w:textDirection w:val="lrTb"/>
            <w:noWrap w:val="false"/>
          </w:tcPr>
          <w:p>
            <w:pPr>
              <w:jc w:val="center"/>
              <w:spacing w:line="360" w:lineRule="auto"/>
              <w:rPr>
                <w:color w:val="auto"/>
                <w:sz w:val="24"/>
                <w:szCs w:val="24"/>
                <w:highlight w:val="none"/>
              </w:rPr>
            </w:pPr>
            <w:r>
              <w:rPr>
                <w:rFonts w:ascii="Times New Roman" w:hAnsi="Times New Roman" w:eastAsia="宋体"/>
                <w:color w:val="auto"/>
                <w:sz w:val="24"/>
                <w:szCs w:val="24"/>
                <w:highlight w:val="none"/>
              </w:rPr>
              <w:t xml:space="preserve">1</w:t>
            </w:r>
            <w:r/>
          </w:p>
        </w:tc>
        <w:tc>
          <w:tcPr>
            <w:tcW w:w="1247" w:type="dxa"/>
            <w:vAlign w:val="center"/>
            <w:textDirection w:val="lrTb"/>
            <w:noWrap w:val="false"/>
          </w:tcPr>
          <w:p>
            <w:pPr>
              <w:jc w:val="center"/>
              <w:spacing w:line="360" w:lineRule="auto"/>
              <w:rPr>
                <w:color w:val="auto"/>
                <w:sz w:val="24"/>
                <w:szCs w:val="24"/>
                <w:highlight w:val="none"/>
              </w:rPr>
            </w:pPr>
            <w:r>
              <w:rPr>
                <w:rFonts w:ascii="Times New Roman" w:hAnsi="Times New Roman" w:eastAsia="宋体"/>
                <w:color w:val="auto"/>
                <w:sz w:val="24"/>
                <w:szCs w:val="24"/>
                <w:highlight w:val="none"/>
              </w:rPr>
              <w:t xml:space="preserve">定制软件开发费</w:t>
            </w:r>
            <w:r/>
          </w:p>
        </w:tc>
        <w:tc>
          <w:tcPr>
            <w:tcW w:w="1785" w:type="dxa"/>
            <w:vAlign w:val="center"/>
            <w:textDirection w:val="lrTb"/>
            <w:noWrap w:val="false"/>
          </w:tcPr>
          <w:p>
            <w:pPr>
              <w:jc w:val="center"/>
              <w:spacing w:line="360" w:lineRule="auto"/>
              <w:rPr>
                <w:rFonts w:hint="eastAsia" w:eastAsia="宋体"/>
                <w:color w:val="auto"/>
                <w:sz w:val="24"/>
                <w:szCs w:val="24"/>
                <w:highlight w:val="none"/>
                <w:lang w:val="en-US" w:eastAsia="zh-CN"/>
              </w:rPr>
            </w:pPr>
            <w:r>
              <w:rPr>
                <w:rFonts w:ascii="Times New Roman" w:hAnsi="Times New Roman" w:eastAsia="宋体"/>
                <w:color w:val="auto"/>
                <w:sz w:val="24"/>
                <w:szCs w:val="24"/>
                <w:highlight w:val="none"/>
              </w:rPr>
              <w:t xml:space="preserve">21</w:t>
            </w:r>
            <w:r>
              <w:rPr>
                <w:rFonts w:hint="eastAsia" w:ascii="Times New Roman" w:hAnsi="Times New Roman" w:eastAsia="宋体"/>
                <w:color w:val="auto"/>
                <w:sz w:val="24"/>
                <w:szCs w:val="24"/>
                <w:highlight w:val="none"/>
                <w:lang w:val="en-US" w:eastAsia="zh-CN"/>
              </w:rPr>
              <w:t xml:space="preserve">0</w:t>
            </w:r>
            <w:r/>
          </w:p>
        </w:tc>
        <w:tc>
          <w:tcPr>
            <w:tcW w:w="4921" w:type="dxa"/>
            <w:vAlign w:val="center"/>
            <w:textDirection w:val="lrTb"/>
            <w:noWrap w:val="false"/>
          </w:tcPr>
          <w:p>
            <w:pPr>
              <w:jc w:val="center"/>
              <w:spacing w:line="360" w:lineRule="auto"/>
              <w:rPr>
                <w:color w:val="auto"/>
                <w:sz w:val="24"/>
                <w:szCs w:val="24"/>
                <w:highlight w:val="none"/>
              </w:rPr>
            </w:pPr>
            <w:r>
              <w:rPr>
                <w:rFonts w:ascii="Times New Roman" w:hAnsi="Times New Roman" w:eastAsia="宋体"/>
                <w:color w:val="auto"/>
                <w:sz w:val="24"/>
                <w:szCs w:val="24"/>
                <w:highlight w:val="none"/>
              </w:rPr>
              <w:t xml:space="preserve">覆盖23个功能模块，含需求分析、系统设计、编码开发、测试、部署实施及一年质保期内的技术支撑服务</w:t>
            </w:r>
            <w:r/>
          </w:p>
        </w:tc>
      </w:tr>
      <w:tr>
        <w:trPr>
          <w:jc w:val="center"/>
        </w:trPr>
        <w:tc>
          <w:tcPr>
            <w:tcW w:w="0" w:type="auto"/>
            <w:vAlign w:val="center"/>
            <w:textDirection w:val="lrTb"/>
            <w:noWrap w:val="false"/>
          </w:tcPr>
          <w:p>
            <w:pPr>
              <w:jc w:val="center"/>
              <w:spacing w:line="360" w:lineRule="auto"/>
              <w:rPr>
                <w:color w:val="auto"/>
                <w:sz w:val="24"/>
                <w:szCs w:val="24"/>
                <w:highlight w:val="none"/>
              </w:rPr>
            </w:pPr>
            <w:r>
              <w:rPr>
                <w:rFonts w:ascii="Times New Roman" w:hAnsi="Times New Roman" w:eastAsia="宋体"/>
                <w:color w:val="auto"/>
                <w:sz w:val="24"/>
                <w:szCs w:val="24"/>
                <w:highlight w:val="none"/>
              </w:rPr>
              <w:t xml:space="preserve">2</w:t>
            </w:r>
            <w:r/>
          </w:p>
        </w:tc>
        <w:tc>
          <w:tcPr>
            <w:tcW w:w="1247" w:type="dxa"/>
            <w:vAlign w:val="center"/>
            <w:textDirection w:val="lrTb"/>
            <w:noWrap w:val="false"/>
          </w:tcPr>
          <w:p>
            <w:pPr>
              <w:jc w:val="center"/>
              <w:spacing w:line="360" w:lineRule="auto"/>
              <w:rPr>
                <w:color w:val="auto"/>
                <w:sz w:val="24"/>
                <w:szCs w:val="24"/>
                <w:highlight w:val="none"/>
              </w:rPr>
            </w:pPr>
            <w:r>
              <w:rPr>
                <w:rFonts w:ascii="Times New Roman" w:hAnsi="Times New Roman" w:eastAsia="宋体"/>
                <w:color w:val="auto"/>
                <w:sz w:val="24"/>
                <w:szCs w:val="24"/>
                <w:highlight w:val="none"/>
              </w:rPr>
              <w:t xml:space="preserve">成品软件购置费</w:t>
            </w:r>
            <w:r/>
          </w:p>
        </w:tc>
        <w:tc>
          <w:tcPr>
            <w:tcW w:w="1785" w:type="dxa"/>
            <w:vAlign w:val="center"/>
            <w:textDirection w:val="lrTb"/>
            <w:noWrap w:val="false"/>
          </w:tcPr>
          <w:p>
            <w:pPr>
              <w:jc w:val="center"/>
              <w:spacing w:line="360" w:lineRule="auto"/>
              <w:rPr>
                <w:color w:val="auto"/>
                <w:sz w:val="24"/>
                <w:szCs w:val="24"/>
                <w:highlight w:val="none"/>
              </w:rPr>
            </w:pPr>
            <w:r>
              <w:rPr>
                <w:rFonts w:ascii="Times New Roman" w:hAnsi="Times New Roman" w:eastAsia="宋体"/>
                <w:color w:val="auto"/>
                <w:sz w:val="24"/>
                <w:szCs w:val="24"/>
                <w:highlight w:val="none"/>
              </w:rPr>
              <w:t xml:space="preserve">20</w:t>
            </w:r>
            <w:r/>
          </w:p>
        </w:tc>
        <w:tc>
          <w:tcPr>
            <w:tcW w:w="4921" w:type="dxa"/>
            <w:vAlign w:val="center"/>
            <w:textDirection w:val="lrTb"/>
            <w:noWrap w:val="false"/>
          </w:tcPr>
          <w:p>
            <w:pPr>
              <w:jc w:val="center"/>
              <w:spacing w:line="360" w:lineRule="auto"/>
              <w:rPr>
                <w:color w:val="auto"/>
                <w:sz w:val="24"/>
                <w:szCs w:val="24"/>
                <w:highlight w:val="none"/>
              </w:rPr>
            </w:pPr>
            <w:r>
              <w:rPr>
                <w:rFonts w:hint="eastAsia" w:ascii="宋体" w:hAnsi="宋体" w:eastAsia="宋体" w:cs="宋体"/>
                <w:color w:val="auto"/>
                <w:sz w:val="24"/>
                <w:szCs w:val="24"/>
                <w:highlight w:val="none"/>
              </w:rPr>
              <w:t xml:space="preserve">三维地图引擎（开源或商用均可，满足三维场景展示、空间查询、交互操作即可）</w:t>
            </w:r>
            <w:r/>
          </w:p>
        </w:tc>
      </w:tr>
    </w:tbl>
    <w:p>
      <w:pPr>
        <w:ind w:firstLine="480"/>
        <w:spacing w:before="0" w:after="0" w:line="360" w:lineRule="auto"/>
        <w:rPr>
          <w:rFonts w:hint="eastAsia" w:ascii="宋体" w:hAnsi="宋体" w:eastAsia="宋体" w:cs="宋体"/>
          <w:b/>
          <w:bCs/>
          <w:color w:val="auto"/>
          <w:sz w:val="24"/>
          <w:szCs w:val="24"/>
          <w:highlight w:val="none"/>
          <w:lang w:eastAsia="zh-CN"/>
        </w:rPr>
      </w:pPr>
      <w:r>
        <w:rPr>
          <w:rFonts w:ascii="Times New Roman" w:hAnsi="Times New Roman" w:eastAsia="宋体"/>
          <w:b/>
          <w:bCs/>
          <w:i w:val="0"/>
          <w:iCs w:val="0"/>
          <w:color w:val="auto"/>
          <w:sz w:val="24"/>
          <w:highlight w:val="none"/>
        </w:rPr>
        <w:t xml:space="preserve">注：</w:t>
      </w:r>
      <w:r>
        <w:rPr>
          <w:rFonts w:hint="eastAsia" w:ascii="Times New Roman" w:hAnsi="Times New Roman" w:eastAsia="宋体"/>
          <w:b/>
          <w:bCs/>
          <w:i w:val="0"/>
          <w:iCs w:val="0"/>
          <w:color w:val="auto"/>
          <w:sz w:val="24"/>
          <w:highlight w:val="none"/>
          <w:lang w:eastAsia="zh-CN"/>
        </w:rPr>
        <w:t xml:space="preserve">（</w:t>
      </w:r>
      <w:r>
        <w:rPr>
          <w:rFonts w:hint="eastAsia" w:ascii="Times New Roman" w:hAnsi="Times New Roman" w:eastAsia="宋体"/>
          <w:b/>
          <w:bCs/>
          <w:i w:val="0"/>
          <w:iCs w:val="0"/>
          <w:color w:val="auto"/>
          <w:sz w:val="24"/>
          <w:highlight w:val="none"/>
          <w:lang w:val="en-US" w:eastAsia="zh-CN"/>
        </w:rPr>
        <w:t xml:space="preserve">1</w:t>
      </w:r>
      <w:r>
        <w:rPr>
          <w:rFonts w:hint="eastAsia" w:ascii="Times New Roman" w:hAnsi="Times New Roman" w:eastAsia="宋体"/>
          <w:b/>
          <w:bCs/>
          <w:i w:val="0"/>
          <w:iCs w:val="0"/>
          <w:color w:val="auto"/>
          <w:sz w:val="24"/>
          <w:highlight w:val="none"/>
          <w:lang w:eastAsia="zh-CN"/>
        </w:rPr>
        <w:t xml:space="preserve">）</w:t>
      </w:r>
      <w:r>
        <w:rPr>
          <w:rFonts w:hint="eastAsia" w:ascii="Times New Roman" w:hAnsi="Times New Roman" w:eastAsia="宋体"/>
          <w:b/>
          <w:bCs/>
          <w:i w:val="0"/>
          <w:iCs w:val="0"/>
          <w:color w:val="auto"/>
          <w:sz w:val="24"/>
          <w:highlight w:val="none"/>
          <w:lang w:val="en-US" w:eastAsia="zh-CN"/>
        </w:rPr>
        <w:t xml:space="preserve">此</w:t>
      </w:r>
      <w:r>
        <w:rPr>
          <w:rFonts w:ascii="宋体" w:hAnsi="宋体" w:eastAsia="宋体" w:cs="宋体"/>
          <w:b/>
          <w:bCs/>
          <w:color w:val="auto"/>
          <w:sz w:val="24"/>
          <w:szCs w:val="24"/>
          <w:highlight w:val="none"/>
        </w:rPr>
        <w:t xml:space="preserve">表为采购人投资测算参考，投标人各分项报价可自行合理分配，但投标总报价不得超过最高限价 2</w:t>
      </w:r>
      <w:r>
        <w:rPr>
          <w:rFonts w:hint="eastAsia" w:ascii="宋体" w:hAnsi="宋体" w:eastAsia="宋体" w:cs="宋体"/>
          <w:b/>
          <w:bCs/>
          <w:color w:val="auto"/>
          <w:sz w:val="24"/>
          <w:szCs w:val="24"/>
          <w:highlight w:val="none"/>
          <w:lang w:val="en-US" w:eastAsia="zh-CN"/>
        </w:rPr>
        <w:t xml:space="preserve">30</w:t>
      </w:r>
      <w:r>
        <w:rPr>
          <w:rFonts w:ascii="宋体" w:hAnsi="宋体" w:eastAsia="宋体" w:cs="宋体"/>
          <w:b/>
          <w:bCs/>
          <w:color w:val="auto"/>
          <w:sz w:val="24"/>
          <w:szCs w:val="24"/>
          <w:highlight w:val="none"/>
        </w:rPr>
        <w:t xml:space="preserve"> 万元。中标后，各分项作为合同执行参考</w:t>
      </w:r>
      <w:r>
        <w:rPr>
          <w:rFonts w:hint="eastAsia" w:ascii="宋体" w:hAnsi="宋体" w:eastAsia="宋体" w:cs="宋体"/>
          <w:b/>
          <w:bCs/>
          <w:color w:val="auto"/>
          <w:sz w:val="24"/>
          <w:szCs w:val="24"/>
          <w:highlight w:val="none"/>
          <w:lang w:eastAsia="zh-CN"/>
        </w:rPr>
        <w:t xml:space="preserve">。</w:t>
      </w:r>
      <w:r/>
    </w:p>
    <w:p>
      <w:pPr>
        <w:pStyle w:val="660"/>
        <w:numPr>
          <w:ilvl w:val="0"/>
          <w:numId w:val="0"/>
        </w:num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）本项目投标总报价不包含等保测评、密码测评、软件测评及第三方测评费用，该等费用由采购人另行承担，中标人仅负责技术配合。</w:t>
      </w:r>
      <w:r/>
    </w:p>
    <w:p>
      <w:pPr>
        <w:ind w:firstLine="480"/>
        <w:spacing w:before="0"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（3）本项目AI的token数量为10亿，用完后由采购人继续付费使用。</w:t>
      </w:r>
      <w:r/>
    </w:p>
    <w:p>
      <w:pPr>
        <w:ind w:firstLine="480"/>
        <w:spacing w:before="0"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（4）本项目点点通、E港通、市级法人库、三区块审批系统等4～6个数据源系统的对接，如若对方厂商需要付费，由采购人进行协调解决，本项目不包含三方厂商开发费用。</w:t>
      </w:r>
      <w:r/>
    </w:p>
    <w:p>
      <w:pPr>
        <w:ind w:firstLine="480"/>
        <w:spacing w:before="0" w:after="0" w:line="360" w:lineRule="auto"/>
        <w:rPr>
          <w:rFonts w:hint="eastAsia" w:ascii="Times New Roman" w:hAnsi="Times New Roman" w:eastAsia="宋体"/>
          <w:b/>
          <w:bCs/>
          <w:i w:val="0"/>
          <w:iCs w:val="0"/>
          <w:color w:val="auto"/>
          <w:sz w:val="24"/>
          <w:highlight w:val="none"/>
          <w:lang w:eastAsia="zh-CN"/>
        </w:rPr>
      </w:pPr>
      <w:r>
        <w:rPr>
          <w:rFonts w:hint="eastAsia" w:ascii="宋体" w:hAnsi="宋体" w:eastAsia="宋体" w:cs="宋体"/>
          <w:b/>
          <w:bCs/>
          <w:color w:val="auto"/>
          <w:sz w:val="24"/>
          <w:szCs w:val="24"/>
          <w:highlight w:val="none"/>
          <w:lang w:val="en-US" w:eastAsia="zh-CN"/>
        </w:rPr>
        <w:t xml:space="preserve">（5）本项目系统平台中涉及一些数据源，</w:t>
      </w:r>
      <w:r>
        <w:rPr>
          <w:rFonts w:hint="eastAsia" w:ascii="宋体" w:hAnsi="宋体" w:eastAsia="宋体" w:cs="宋体"/>
          <w:b/>
          <w:bCs/>
          <w:color w:val="auto"/>
          <w:sz w:val="24"/>
          <w:szCs w:val="24"/>
          <w:highlight w:val="none"/>
          <w:lang w:val="en-US" w:eastAsia="zh-CN"/>
        </w:rPr>
        <w:t xml:space="preserve">政策制度等相关信息</w:t>
      </w:r>
      <w:r>
        <w:rPr>
          <w:rFonts w:hint="eastAsia" w:ascii="宋体" w:hAnsi="宋体" w:eastAsia="宋体" w:cs="宋体"/>
          <w:b/>
          <w:bCs/>
          <w:color w:val="auto"/>
          <w:sz w:val="24"/>
          <w:szCs w:val="24"/>
          <w:highlight w:val="none"/>
          <w:lang w:val="en-US" w:eastAsia="zh-CN"/>
        </w:rPr>
        <w:t xml:space="preserve">，由采购人提供；涉及要对接三方的数据源，如中信保资讯接口等需要额外采购的，由采购人负责采购。</w:t>
      </w:r>
      <w:r/>
    </w:p>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（六）建设周期与实施进度安排</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本项目为新建项目，建设周期自合同签订之日起</w:t>
      </w:r>
      <w:r>
        <w:rPr>
          <w:rFonts w:hint="eastAsia" w:ascii="Times New Roman" w:hAnsi="Times New Roman" w:eastAsia="宋体"/>
          <w:color w:val="auto"/>
          <w:sz w:val="24"/>
          <w:highlight w:val="none"/>
          <w:lang w:val="en-US" w:eastAsia="zh-CN"/>
        </w:rPr>
        <w:t xml:space="preserve">6</w:t>
      </w:r>
      <w:r>
        <w:rPr>
          <w:rFonts w:ascii="Times New Roman" w:hAnsi="Times New Roman" w:eastAsia="宋体"/>
          <w:color w:val="auto"/>
          <w:sz w:val="24"/>
          <w:highlight w:val="none"/>
        </w:rPr>
        <w:t xml:space="preserve">个月，其中合同签订后45天内完成核心功能开发并实现初步上线，</w:t>
      </w:r>
      <w:r>
        <w:rPr>
          <w:rFonts w:hint="eastAsia" w:ascii="Times New Roman" w:hAnsi="Times New Roman" w:eastAsia="宋体"/>
          <w:color w:val="auto"/>
          <w:sz w:val="24"/>
          <w:highlight w:val="none"/>
          <w:lang w:val="en-US" w:eastAsia="zh-CN"/>
        </w:rPr>
        <w:t xml:space="preserve">6</w:t>
      </w:r>
      <w:r>
        <w:rPr>
          <w:rFonts w:ascii="Times New Roman" w:hAnsi="Times New Roman" w:eastAsia="宋体"/>
          <w:color w:val="auto"/>
          <w:sz w:val="24"/>
          <w:highlight w:val="none"/>
        </w:rPr>
        <w:t xml:space="preserve">个月内完成平台建设、试运行并通过最终验收交付；项目验收合格后进入1年质保运维期。</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实施进度按“需求分析与详细设计、核心功能开发与初步上线、全面开发与系统集成、试运行与验收”四个阶段推进（时间自合同签订之日起计算），具体如下表：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1245"/>
        <w:gridCol w:w="5213"/>
        <w:gridCol w:w="926"/>
      </w:tblGrid>
      <w:tr>
        <w:trPr>
          <w:jc w:val="center"/>
        </w:trPr>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阶段</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时间安排</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主要工作内容</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里程碑</w:t>
            </w:r>
            <w:r/>
          </w:p>
        </w:tc>
      </w:tr>
      <w:tr>
        <w:trPr>
          <w:jc w:val="center"/>
        </w:trPr>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需求分析与详细设计</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合同签订后约</w:t>
            </w:r>
            <w:r>
              <w:rPr>
                <w:rFonts w:hint="eastAsia" w:ascii="Times New Roman" w:hAnsi="Times New Roman" w:eastAsia="宋体"/>
                <w:color w:val="auto"/>
                <w:sz w:val="21"/>
                <w:szCs w:val="21"/>
                <w:highlight w:val="none"/>
                <w:lang w:val="en-US" w:eastAsia="zh-CN"/>
              </w:rPr>
              <w:t xml:space="preserve">15</w:t>
            </w:r>
            <w:r>
              <w:rPr>
                <w:rFonts w:ascii="Times New Roman" w:hAnsi="Times New Roman" w:eastAsia="宋体"/>
                <w:color w:val="auto"/>
                <w:sz w:val="21"/>
                <w:szCs w:val="21"/>
                <w:highlight w:val="none"/>
              </w:rPr>
              <w:t xml:space="preserve">个</w:t>
            </w:r>
            <w:r>
              <w:rPr>
                <w:rFonts w:hint="eastAsia" w:ascii="Times New Roman" w:hAnsi="Times New Roman" w:eastAsia="宋体"/>
                <w:color w:val="auto"/>
                <w:sz w:val="21"/>
                <w:szCs w:val="21"/>
                <w:highlight w:val="none"/>
                <w:lang w:val="en-US" w:eastAsia="zh-CN"/>
              </w:rPr>
              <w:t xml:space="preserve">工作日</w:t>
            </w:r>
            <w:r>
              <w:rPr>
                <w:rFonts w:ascii="Times New Roman" w:hAnsi="Times New Roman" w:eastAsia="宋体"/>
                <w:color w:val="auto"/>
                <w:sz w:val="21"/>
                <w:szCs w:val="21"/>
                <w:highlight w:val="none"/>
              </w:rPr>
              <w:t xml:space="preserve">内</w:t>
            </w:r>
            <w:r/>
          </w:p>
        </w:tc>
        <w:tc>
          <w:tcPr>
            <w:tcW w:w="0" w:type="auto"/>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需求调研确认、系统详细设计与数据库设计、外部系统对接调研、技术方案评审</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详细设计评审通过</w:t>
            </w:r>
            <w:r/>
          </w:p>
        </w:tc>
      </w:tr>
      <w:tr>
        <w:trPr>
          <w:jc w:val="center"/>
        </w:trPr>
        <w:tc>
          <w:tcPr>
            <w:tcW w:w="0" w:type="auto"/>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核心功能开发与初步上线</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合同签订后45天内</w:t>
            </w:r>
            <w:r/>
          </w:p>
        </w:tc>
        <w:tc>
          <w:tcPr>
            <w:tcW w:w="0" w:type="auto"/>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开发统一门户框架、轻量化数据中台及走进自贸、链上自贸、领导驾驶舱、AI智能助手等核心板块，公众号端同步开发，完成核心系统对接和联调测试</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核心功能初步上线</w:t>
            </w:r>
            <w:r/>
          </w:p>
        </w:tc>
      </w:tr>
      <w:tr>
        <w:trPr>
          <w:jc w:val="center"/>
        </w:trPr>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全面开发与系统集成</w:t>
            </w:r>
            <w:r/>
          </w:p>
        </w:tc>
        <w:tc>
          <w:tcPr>
            <w:tcW w:w="0" w:type="auto"/>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合同签订后45天至</w:t>
            </w:r>
            <w:r>
              <w:rPr>
                <w:rFonts w:hint="eastAsia" w:ascii="Times New Roman" w:hAnsi="Times New Roman" w:eastAsia="宋体"/>
                <w:color w:val="auto"/>
                <w:sz w:val="21"/>
                <w:szCs w:val="21"/>
                <w:highlight w:val="none"/>
                <w:lang w:val="en-US" w:eastAsia="zh-CN"/>
              </w:rPr>
              <w:t xml:space="preserve">4</w:t>
            </w:r>
            <w:r>
              <w:rPr>
                <w:rFonts w:ascii="Times New Roman" w:hAnsi="Times New Roman" w:eastAsia="宋体"/>
                <w:color w:val="auto"/>
                <w:sz w:val="21"/>
                <w:szCs w:val="21"/>
                <w:highlight w:val="none"/>
              </w:rPr>
              <w:t xml:space="preserve">个月</w:t>
            </w:r>
            <w:r/>
          </w:p>
        </w:tc>
        <w:tc>
          <w:tcPr>
            <w:tcW w:w="0" w:type="auto"/>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完善跨境自贸、跨境数据等剩余功能模块，全面推进外部系统对接和数据接入，开展用户培训和宣传推广</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系统试运行</w:t>
            </w:r>
            <w:r/>
          </w:p>
        </w:tc>
      </w:tr>
      <w:tr>
        <w:trPr>
          <w:jc w:val="center"/>
        </w:trPr>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试运行与验收</w:t>
            </w:r>
            <w:r/>
          </w:p>
        </w:tc>
        <w:tc>
          <w:tcPr>
            <w:tcW w:w="0" w:type="auto"/>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合同签订后</w:t>
            </w:r>
            <w:r>
              <w:rPr>
                <w:rFonts w:hint="eastAsia" w:ascii="Times New Roman" w:hAnsi="Times New Roman" w:eastAsia="宋体"/>
                <w:color w:val="auto"/>
                <w:sz w:val="21"/>
                <w:szCs w:val="21"/>
                <w:highlight w:val="none"/>
                <w:lang w:val="en-US" w:eastAsia="zh-CN"/>
              </w:rPr>
              <w:t xml:space="preserve">4</w:t>
            </w:r>
            <w:r>
              <w:rPr>
                <w:rFonts w:ascii="Times New Roman" w:hAnsi="Times New Roman" w:eastAsia="宋体"/>
                <w:color w:val="auto"/>
                <w:sz w:val="21"/>
                <w:szCs w:val="21"/>
                <w:highlight w:val="none"/>
              </w:rPr>
              <w:t xml:space="preserve">个月至</w:t>
            </w:r>
            <w:r>
              <w:rPr>
                <w:rFonts w:hint="eastAsia" w:ascii="Times New Roman" w:hAnsi="Times New Roman" w:eastAsia="宋体"/>
                <w:color w:val="auto"/>
                <w:sz w:val="21"/>
                <w:szCs w:val="21"/>
                <w:highlight w:val="none"/>
                <w:lang w:val="en-US" w:eastAsia="zh-CN"/>
              </w:rPr>
              <w:t xml:space="preserve">6</w:t>
            </w:r>
            <w:r>
              <w:rPr>
                <w:rFonts w:ascii="Times New Roman" w:hAnsi="Times New Roman" w:eastAsia="宋体"/>
                <w:color w:val="auto"/>
                <w:sz w:val="21"/>
                <w:szCs w:val="21"/>
                <w:highlight w:val="none"/>
              </w:rPr>
              <w:t xml:space="preserve">个月</w:t>
            </w:r>
            <w:r/>
          </w:p>
        </w:tc>
        <w:tc>
          <w:tcPr>
            <w:tcW w:w="0" w:type="auto"/>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系统试运行（试运行期不少于1个月）和性能优化，开展网络安全等级保护测评、密码应用安全性评估、软件测评，完成项目竣工验收和成果交付</w:t>
            </w:r>
            <w:r/>
          </w:p>
        </w:tc>
        <w:tc>
          <w:tcPr>
            <w:tcW w:w="0" w:type="auto"/>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项目竣工验收交付</w:t>
            </w:r>
            <w:r/>
          </w:p>
        </w:tc>
      </w:tr>
    </w:tbl>
    <w:p>
      <w:pPr>
        <w:pStyle w:val="646"/>
        <w:keepNext/>
        <w:spacing w:before="240" w:after="120" w:line="360" w:lineRule="auto"/>
        <w:rPr>
          <w:color w:val="auto"/>
          <w:highlight w:val="none"/>
        </w:rPr>
        <w:outlineLvl w:val="1"/>
      </w:pPr>
      <w:r>
        <w:rPr>
          <w:rFonts w:ascii="Times New Roman" w:hAnsi="Times New Roman" w:eastAsia="黑体" w:cs="Times New Roman"/>
          <w:b/>
          <w:color w:val="auto"/>
          <w:sz w:val="32"/>
          <w:szCs w:val="32"/>
          <w:highlight w:val="none"/>
        </w:rPr>
        <w:t xml:space="preserve">二、建设原则</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1．链接为主、自建为辅：凡已有成熟系统的（如点点通、E港通、市数据局政务服务平台等），通过链接整合，不重复建设。连数通平台与现有系统是“门户+后台”的互补关系，不是替代关系。</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2．先解决有没有、再解决好不好：按照“快速原型、迭代优化”策略，合同签订后45天内实现核心功能初步上线，后续根据用户反馈持续迭代优化。</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3．轻量实用、安全可控：采用国产化环境开发部署，数据中台轻量化建设，优先选用国产大模型，确保数据不出境，满足信创与安全要求。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4．统筹发展、统一标准：统一规划、统一设计、统一开发、统一建设，确保PC端、公众号端、各功能模块协同衔接，避免重复建设。</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5．业务引领、需求驱动：以企业实际需求为依据，以问题为导向，以数据为关键要素，以应用为核心，促进技术与业务深度融合。</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6．严格执行国家和地方网络安全、数据安全、个人信息保护等有关法规、标准和规范，做到安全建设、安全运行。</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三、总体架构</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平台采用“1+2+7”总体架构设计：</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个数据底座：轻量化数据中台，对接点点通、E港通、市级法人库、三区块审批系统等4～6个数据源，提供基础API服务，实现数据汇聚、治理与标准化输出，打通数据孤岛，实现“一次采集、多方使用”。本期仅做数据汇聚和接口封装，不做全流程数据治理。</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“2”个服务终端：PC端（面向企业用户、管理领导、访客）和微信公众号端（面向移动端用户）。采用“一套后台、多端展示”的技术架构，PC端和公众号端共用后台API，确保数据一致性和维护便捷性。</w:t>
      </w:r>
      <w:r/>
    </w:p>
    <w:p>
      <w:pPr>
        <w:ind w:firstLine="480"/>
        <w:spacing w:before="0" w:after="0" w:line="360" w:lineRule="auto"/>
        <w:rPr>
          <w:rFonts w:ascii="Times New Roman" w:hAnsi="Times New Roman" w:eastAsia="宋体"/>
          <w:b w:val="0"/>
          <w:bCs w:val="0"/>
          <w:color w:val="auto"/>
          <w:sz w:val="24"/>
          <w:highlight w:val="none"/>
        </w:rPr>
      </w:pPr>
      <w:r>
        <w:rPr>
          <w:rFonts w:ascii="Times New Roman" w:hAnsi="Times New Roman" w:eastAsia="宋体"/>
          <w:b w:val="0"/>
          <w:bCs w:val="0"/>
          <w:color w:val="auto"/>
          <w:sz w:val="24"/>
          <w:highlight w:val="none"/>
        </w:rPr>
        <w:t xml:space="preserve">“7”大业务板块：</w:t>
      </w:r>
      <w:r>
        <w:rPr>
          <w:rFonts w:ascii="宋体" w:hAnsi="宋体" w:eastAsia="宋体" w:cs="宋体"/>
          <w:b w:val="0"/>
          <w:bCs w:val="0"/>
          <w:color w:val="auto"/>
          <w:sz w:val="24"/>
          <w:szCs w:val="24"/>
          <w:highlight w:val="none"/>
        </w:rPr>
        <w:t xml:space="preserve"> 本系统共设置</w:t>
      </w:r>
      <w:r>
        <w:rPr>
          <w:rStyle w:val="684"/>
          <w:rFonts w:ascii="宋体" w:hAnsi="宋体" w:eastAsia="宋体" w:cs="宋体"/>
          <w:b w:val="0"/>
          <w:bCs w:val="0"/>
          <w:color w:val="auto"/>
          <w:sz w:val="24"/>
          <w:szCs w:val="24"/>
          <w:highlight w:val="none"/>
        </w:rPr>
        <w:t xml:space="preserve">7 大业务板块</w:t>
      </w:r>
      <w:r>
        <w:rPr>
          <w:rFonts w:ascii="宋体" w:hAnsi="宋体" w:eastAsia="宋体" w:cs="宋体"/>
          <w:b w:val="0"/>
          <w:bCs w:val="0"/>
          <w:color w:val="auto"/>
          <w:sz w:val="24"/>
          <w:szCs w:val="24"/>
          <w:highlight w:val="none"/>
        </w:rPr>
        <w:t xml:space="preserve">，包含 21 个功能模块；另建设公众号端移动服务平台，并配套系统集成模块，合计 23 个功能模块。7 大业务板块分别为：基础平台、走进自贸、链上自贸、跨境自贸、跨境数据、领导驾驶舱、AI 智能助手，各功能模块明细详见下表</w:t>
      </w:r>
      <w:r>
        <w:rPr>
          <w:rFonts w:ascii="Times New Roman" w:hAnsi="Times New Roman" w:eastAsia="宋体"/>
          <w:b w:val="0"/>
          <w:bCs w:val="0"/>
          <w:color w:val="auto"/>
          <w:sz w:val="24"/>
          <w:highlight w:val="none"/>
        </w:rPr>
        <w:t xml:space="preserve">：</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2882"/>
        <w:gridCol w:w="1400"/>
        <w:gridCol w:w="3461"/>
      </w:tblGrid>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序号</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板块名称</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功能模块数量</w:t>
            </w:r>
            <w:r/>
          </w:p>
        </w:tc>
        <w:tc>
          <w:tcPr>
            <w:tcW w:w="3461"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主要功能</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基础平台</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2</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统一门户框架、轻量化数据中台</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2</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走进自贸</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3</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数字沙盘、制度创新成果展厅、招商门户</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3</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链上自贸</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5</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企业工作台、一网通办、政策直达、AI智能解读引擎、政策计算器</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4</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跨境自贸</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4</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FTA数据查询（跨境贸易服务统一入口框架）、原产地规则判定、跨境物流可视化、物流时效分析</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5</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跨境数据</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4</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负面清单查询与合规指引、负面清单备案申报入口、政策宣贯、跨境电商赋能</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6</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领导驾驶舱</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2</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数据看盘、数据可视化大屏</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7</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AI智能助手</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平台级AI智能助手（六大领域知识库）</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8</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公众号端移动服务平台</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移动端H5页面适配、微信公众号OAuth2.0授权登录、公众号菜单配置、消息推送</w:t>
            </w:r>
            <w:r/>
          </w:p>
        </w:tc>
      </w:tr>
      <w:tr>
        <w:trPr>
          <w:jc w:val="center"/>
        </w:trPr>
        <w:tc>
          <w:tcPr>
            <w:tcW w:w="77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9</w:t>
            </w:r>
            <w:r/>
          </w:p>
        </w:tc>
        <w:tc>
          <w:tcPr>
            <w:tcW w:w="288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系统集成</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w:t>
            </w:r>
            <w:r/>
          </w:p>
        </w:tc>
        <w:tc>
          <w:tcPr>
            <w:tcW w:w="3461"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对接市数据局平台、点点通、E港通、市级法人库、三区块审批系统</w:t>
            </w:r>
            <w:r/>
          </w:p>
        </w:tc>
      </w:tr>
    </w:tbl>
    <w:p>
      <w:pPr>
        <w:pStyle w:val="646"/>
        <w:keepNext/>
        <w:spacing w:before="240" w:after="120" w:line="360" w:lineRule="auto"/>
        <w:rPr>
          <w:color w:val="auto"/>
          <w:highlight w:val="none"/>
        </w:rPr>
        <w:outlineLvl w:val="1"/>
      </w:pPr>
      <w:r>
        <w:rPr>
          <w:rFonts w:ascii="Times New Roman" w:hAnsi="Times New Roman" w:eastAsia="黑体" w:cs="Times New Roman"/>
          <w:b/>
          <w:color w:val="auto"/>
          <w:sz w:val="32"/>
          <w:szCs w:val="32"/>
          <w:highlight w:val="none"/>
        </w:rPr>
        <w:t xml:space="preserve">四、建设内容及技术要求</w:t>
      </w:r>
      <w:r/>
    </w:p>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（一）基础平台（2个模块）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1．统一门户框架：搭建平台统一入口，含首页、</w:t>
      </w:r>
      <w:r>
        <w:rPr>
          <w:rFonts w:hint="eastAsia" w:ascii="Times New Roman" w:hAnsi="Times New Roman" w:eastAsia="宋体"/>
          <w:color w:val="auto"/>
          <w:sz w:val="24"/>
          <w:highlight w:val="none"/>
          <w:lang w:val="en-US" w:eastAsia="zh-CN"/>
        </w:rPr>
        <w:t xml:space="preserve">七大</w:t>
      </w:r>
      <w:r>
        <w:rPr>
          <w:rFonts w:ascii="Times New Roman" w:hAnsi="Times New Roman" w:eastAsia="宋体"/>
          <w:color w:val="auto"/>
          <w:sz w:val="24"/>
          <w:highlight w:val="none"/>
        </w:rPr>
        <w:t xml:space="preserve">板块导航</w:t>
      </w:r>
      <w:r>
        <w:rPr>
          <w:rFonts w:ascii="Times New Roman" w:hAnsi="Times New Roman" w:eastAsia="宋体"/>
          <w:color w:val="auto"/>
          <w:sz w:val="24"/>
          <w:highlight w:val="none"/>
        </w:rPr>
        <w:t xml:space="preserve">、统一身份认证（SSO）、角色权限管理。首页采用卡片式布局，展示平台核心功能入口和重要信息推送。统一身份认证支持账号密码登录、微信OAuth2.0授权登录、政务统一身份认证对接等多种登录方式。角色权限管理支持按角色（管理员、企业用户、领导、访客等）分配功能权限和数据权限，实现企业只记一个网址、一个账号，领导、企业、访客各看所需界面。</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轻量化数据中台：对接点点通、E港通、市级法人库、三区块审批系统等4～6个数据源，提供基础API服务。数据中台包含数据接入、数据存储、数据治理、数据服务四个模块，本期仅做数据汇聚和接口封装，不做全流程数据治理，打通数据孤岛，实现“一次采集、多方使用”。</w:t>
      </w:r>
      <w:r/>
    </w:p>
    <w:p>
      <w:pPr>
        <w:jc w:val="left"/>
        <w:spacing w:line="360" w:lineRule="auto"/>
        <w:rPr>
          <w:color w:val="auto"/>
          <w:highlight w:val="none"/>
        </w:rPr>
      </w:pPr>
      <w:r>
        <w:rPr>
          <w:rFonts w:ascii="Times New Roman" w:hAnsi="Times New Roman" w:eastAsia="宋体"/>
          <w:b/>
          <w:color w:val="auto"/>
          <w:sz w:val="21"/>
          <w:highlight w:val="none"/>
        </w:rPr>
        <w:t xml:space="preserve">基础平台功能模块技术要求明细表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1</w:t>
            </w:r>
            <w:r/>
          </w:p>
          <w:p>
            <w:pPr>
              <w:jc w:val="center"/>
              <w:spacing w:line="360" w:lineRule="auto"/>
              <w:rPr>
                <w:color w:val="auto"/>
                <w:highlight w:val="none"/>
              </w:rPr>
            </w:pPr>
            <w:r>
              <w:rPr>
                <w:color w:val="auto"/>
                <w:highlight w:val="none"/>
              </w:rPr>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统一门户框架</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单点登录</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支持企业用户、管委会领导、访客三类角色的统一身份认证，一次登录、全域通行；支持与市数据局政务服务平台、点点通、E港通等外部系统的单点登录集成；支持OAuth2.0、CAS等标准协议</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权限管理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基于角色的访问控制（RBAC），支持细粒度权限配置；支持按菜单、按钮、数据三个维度的权限控制；支持超级管理员、板块管理员、普通用户三级角色体系</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首页布局</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包含平台名称展示、</w:t>
            </w:r>
            <w:r>
              <w:rPr>
                <w:rFonts w:hint="eastAsia" w:ascii="Times New Roman" w:hAnsi="Times New Roman" w:eastAsia="宋体"/>
                <w:color w:val="auto"/>
                <w:sz w:val="21"/>
                <w:highlight w:val="none"/>
                <w:shd w:val="clear" w:color="auto" w:fill="ffff00"/>
                <w:lang w:val="en-US" w:eastAsia="zh-CN"/>
              </w:rPr>
              <w:t xml:space="preserve">七大</w:t>
            </w:r>
            <w:r>
              <w:rPr>
                <w:rFonts w:ascii="Times New Roman" w:hAnsi="Times New Roman" w:eastAsia="宋体"/>
                <w:color w:val="auto"/>
                <w:sz w:val="21"/>
                <w:highlight w:val="none"/>
                <w:shd w:val="clear" w:color="auto" w:fill="ffff00"/>
              </w:rPr>
              <w:t xml:space="preserve">板块导航</w:t>
            </w:r>
            <w:r>
              <w:rPr>
                <w:rFonts w:ascii="Times New Roman" w:hAnsi="Times New Roman" w:eastAsia="宋体"/>
                <w:color w:val="auto"/>
                <w:sz w:val="21"/>
                <w:highlight w:val="none"/>
              </w:rPr>
              <w:t xml:space="preserve">、核心服务入口（不少于6个，含一网通办、要素资源超市、政策直达、政策计算器、企业诉求、数据跨境服务等）、数据滚动条、最新动态、制度创新成果、招商信息等功能区域；首页须适配PC端和移动端显示</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多端适配</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支持PC端和移动端自适应显示，适配主流浏览器和移动端屏幕尺寸</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品牌一致性管理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统一Logo、主色调、全局样式；统一字体、按钮样式、卡片样式、表单样式</w:t>
            </w:r>
            <w:r/>
          </w:p>
        </w:tc>
      </w:tr>
      <w:tr>
        <w:trPr>
          <w:jc w:val="center"/>
        </w:trPr>
        <w:tc>
          <w:tcPr>
            <w:tcW w:w="700" w:type="dxa"/>
            <w:vAlign w:val="center"/>
            <w:vMerge w:val="restart"/>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t xml:space="preserve">2</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数据中台</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数据源接入</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对接不少于4个数据源（含点点通、E港通、市级法人库、三区块），支持API接口对接和每日增量数据同步；支持MySQL、PostgreSQL、Oracle、达梦等主流数据库接入；支持对数据连接进行测试并反馈结果，支持对数据源的结构、内容和含义进行探查并展示结果</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数据读取配置</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支持选择读取的数据对象和读取方式；支持全量读取和增量读取两种方式</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原始表定义</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支持原始表结构自动映射和修改；支持原始表物理信息管理</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数据写入配置</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支持追加插入和覆盖写入两种模式</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API网关服务</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提供标准化数据调用接口，支持“一次采集、多方使用”；接口支持鉴权、限流、日志记录功能</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任务调度与运行管理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支持单次执行和周期执行两种运行模式</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数据安全控制</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支持API鉴权、数据加密传输、数据脱敏展示；支持对关系型数据库、数据接口和文件目录三种形式的数据连接参数进行维护和查询</w:t>
            </w:r>
            <w:r/>
          </w:p>
        </w:tc>
      </w:tr>
    </w:tbl>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（二）走进自贸板块（3个模块）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数字沙盘：基于三维地图引擎，标注自贸区四至范围、三区块边界、港口、交通枢纽、产业园区、重点企业等地理要素。配置双模式展示——日常展示模式（固定视角自动轮播，适合大厅展示）和交互讲解模式（领导视察时自由缩放、旋转、点击查看详情），支持图层切换、要素查询、路径规划等功能。</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2．制度创新成果展厅：按投资便利化、贸易便利化、金融创新、事中事后监管、体制机制创新等</w:t>
      </w:r>
      <w:r>
        <w:rPr>
          <w:rFonts w:hint="eastAsia" w:ascii="Times New Roman" w:hAnsi="Times New Roman" w:eastAsia="宋体"/>
          <w:color w:val="auto"/>
          <w:sz w:val="24"/>
          <w:highlight w:val="none"/>
          <w:lang w:val="en-US" w:eastAsia="zh-CN"/>
        </w:rPr>
        <w:t xml:space="preserve">五</w:t>
      </w:r>
      <w:r>
        <w:rPr>
          <w:rFonts w:hint="eastAsia" w:ascii="Times New Roman" w:hAnsi="Times New Roman" w:eastAsia="宋体"/>
          <w:color w:val="auto"/>
          <w:sz w:val="24"/>
          <w:highlight w:val="none"/>
          <w:lang w:eastAsia="zh-CN"/>
        </w:rPr>
        <w:t xml:space="preserve">大</w:t>
      </w:r>
      <w:r>
        <w:rPr>
          <w:rFonts w:ascii="Times New Roman" w:hAnsi="Times New Roman" w:eastAsia="宋体"/>
          <w:color w:val="auto"/>
          <w:sz w:val="24"/>
          <w:highlight w:val="none"/>
        </w:rPr>
        <w:t xml:space="preserve">领域分类展示259项制度创新成果，支持按领域、</w:t>
      </w:r>
      <w:r>
        <w:rPr>
          <w:rFonts w:ascii="Times New Roman" w:hAnsi="Times New Roman" w:eastAsia="宋体"/>
          <w:color w:val="auto"/>
          <w:sz w:val="24"/>
          <w:highlight w:val="none"/>
        </w:rPr>
        <w:t xml:space="preserve">年份、关键词筛选和检索，支持详情查看和成果下载，实现成果“可查、可用、可转化”。</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3．招商门户：纯链接跳转至现有招商应用，统一招商入口，展示片区投资环境、招商政策、重点项目、载体资源等信息，低成本实现招商入口统一。</w:t>
      </w:r>
      <w:r/>
    </w:p>
    <w:p>
      <w:pPr>
        <w:jc w:val="left"/>
        <w:spacing w:line="360" w:lineRule="auto"/>
        <w:rPr>
          <w:color w:val="auto"/>
          <w:highlight w:val="none"/>
        </w:rPr>
      </w:pPr>
      <w:r>
        <w:rPr>
          <w:rFonts w:ascii="Times New Roman" w:hAnsi="Times New Roman" w:eastAsia="宋体"/>
          <w:b/>
          <w:color w:val="auto"/>
          <w:sz w:val="21"/>
          <w:highlight w:val="none"/>
        </w:rPr>
        <w:t xml:space="preserve">走进自贸板块功能模块技术要求明细表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t xml:space="preserve">1</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数字沙盘</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三维地图展示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具备三维地图展示能力，支持加载卫星影像、矢量地图等多源数据；所采用软件环境为成熟方案，授权在项目验收后可持续使用，不采用按年付费订阅模式；支持国产化环境部署</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地图标注管理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标注自贸区四至范围（红色边界线）、三区块边界（三种颜色区分）；标注港口泊位（≥10个）、铁路站场（≥3个）、高速公路出入口（≥5个）；标注重点产业园区（≥8个）、标志性企业（≥15家，含恒瑞医药、康缘药业、港口集团等）</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交互操作</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支持鼠标拖拽旋转、滚轮缩放、双击复位；支持从全域俯瞰到局部详查的多级缩放；支持点击标注点弹出信息卡片（含名称、简介、相关数据）</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双模式展示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日常展示模式：固定视角自动轮播，路径可配置，支持3-5个视角预设；交互讲解模式：支持讲解员自由操作，支持一键切换；两种模式可通过遥控器或平板一键切换</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标注数据更新</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标注信息支持后台管理，支持增删改查；更新后前端实时生效；支持标注信息的版本管理和历史追溯</w:t>
            </w:r>
            <w:r/>
          </w:p>
        </w:tc>
      </w:tr>
      <w:tr>
        <w:trPr>
          <w:jc w:val="center"/>
        </w:trPr>
        <w:tc>
          <w:tcPr>
            <w:tcW w:w="700" w:type="dxa"/>
            <w:vAlign w:val="center"/>
            <w:vMerge w:val="restart"/>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t xml:space="preserve">2</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制度创新成果展厅</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成果展示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shd w:val="clear" w:color="auto"/>
              </w:rPr>
              <w:t xml:space="preserve">259项制度创新成果按</w:t>
            </w:r>
            <w:r>
              <w:rPr>
                <w:rFonts w:hint="eastAsia" w:ascii="Times New Roman" w:hAnsi="Times New Roman" w:eastAsia="宋体"/>
                <w:color w:val="auto"/>
                <w:sz w:val="21"/>
                <w:highlight w:val="none"/>
                <w:shd w:val="clear" w:color="auto"/>
                <w:lang w:val="en-US" w:eastAsia="zh-CN"/>
              </w:rPr>
              <w:t xml:space="preserve">五</w:t>
            </w:r>
            <w:r>
              <w:rPr>
                <w:rFonts w:hint="eastAsia" w:ascii="Times New Roman" w:hAnsi="Times New Roman" w:eastAsia="宋体"/>
                <w:color w:val="auto"/>
                <w:sz w:val="21"/>
                <w:highlight w:val="none"/>
                <w:shd w:val="clear" w:color="auto"/>
                <w:lang w:eastAsia="zh-CN"/>
              </w:rPr>
              <w:t xml:space="preserve">大</w:t>
            </w:r>
            <w:r>
              <w:rPr>
                <w:rFonts w:ascii="Times New Roman" w:hAnsi="Times New Roman" w:eastAsia="宋体"/>
                <w:color w:val="auto"/>
                <w:sz w:val="21"/>
                <w:highlight w:val="none"/>
                <w:shd w:val="clear" w:color="auto"/>
              </w:rPr>
              <w:t xml:space="preserve">领域（投资便利化、贸易便利化、金融创新、事中事后监管、体制机制创新）分类展示；成果卡片展示含成果名称、领域标签、创新点简介、推广情况</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筛选与检索</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支持按领域筛选、关键词搜索；支持按时间、按热度排序</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成果详情查看</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详情弹窗含成果名称、领域、创新点、实施效果、推广情况、相关文件下载</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后台管理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支持成果新增、编辑、下架；数据从数据中台读取；支持成果批量导入导出</w:t>
            </w:r>
            <w:r/>
          </w:p>
        </w:tc>
      </w:tr>
      <w:tr>
        <w:trPr>
          <w:jc w:val="center"/>
        </w:trPr>
        <w:tc>
          <w:tcPr>
            <w:tcW w:w="700" w:type="dxa"/>
            <w:vAlign w:val="center"/>
            <w:vMerge w:val="restart"/>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t xml:space="preserve">3</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招商门户</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链接整合</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通过超链接跳转至开发区A2招商平台等现有招商应用；支持新窗口打开或当前窗口跳转（可配置）</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入口展示与风格统一</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链接入口页面与平台整体UI风格保持一致；链接卡片展示统一设计（含应用名称、简介、图标）</w:t>
            </w:r>
            <w:r/>
          </w:p>
        </w:tc>
      </w:tr>
      <w:tr>
        <w:trPr>
          <w:jc w:val="center"/>
        </w:trPr>
        <w:tc>
          <w:tcPr>
            <w:tcW w:w="7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链接可用性监测</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链接可用性≥99.5%；链接跳转响应时间≤3秒</w:t>
            </w:r>
            <w:r/>
          </w:p>
        </w:tc>
      </w:tr>
      <w:tr>
        <w:trPr>
          <w:jc w:val="center"/>
        </w:trPr>
        <w:tc>
          <w:tcPr>
            <w:tcW w:w="700" w:type="dxa"/>
            <w:vAlign w:val="center"/>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4</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成品软件购置</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三维地图引擎商用授权</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三维地图引擎商用授权，永久授权，不采用按年付费订阅模式</w:t>
            </w:r>
            <w:r>
              <w:rPr>
                <w:rFonts w:ascii="Times New Roman" w:hAnsi="Times New Roman" w:eastAsia="宋体"/>
                <w:color w:val="auto"/>
                <w:sz w:val="21"/>
                <w:highlight w:val="none"/>
              </w:rPr>
              <w:t xml:space="preserve">（注：本项为成品软件采购项，不属于功能模块，不计入23个功能模块数量。）</w:t>
            </w:r>
            <w:r/>
          </w:p>
        </w:tc>
      </w:tr>
    </w:tbl>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（三）链上自贸板块（5个模块）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企业工作台：企业登录后专属首页，包含信息卡片、快捷办事入口、待办事项、消息通知、政策推送等模块。基于企业行业类型、规模、经营状况等画像数据实现“千人千面”个性化展示，如生物医药企业看到生物医药专属服务，大宗贸易企业看到贸易相关服务。</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一网通办：链接整合市数据局政务服务平台涉企事项入口，统一风格展示，支持事项分类浏览、关键词搜索、在线办理、进度查询等功能。企业从连数通统一入口进入政务服务平台办理业务，办理完成后状态回传至连数通。</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3．政策直达：政策分类展示（国家级/省级/片区级），基于企业画像精准推送。包含政策列表、政策详情、政策订阅、申报提醒等功能，解决“政策找不到、看不懂、总错过申报期”的痛点。</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4．AI智能解读引擎：调用成熟大模型API，将政策文件自动提炼为核心条款、适用条件、申报时限、所需材料等关键信息，支持政策文件上传解读和问答交互。</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5．政策计算器：企业输入产业类型、营收、研发投入、员工人数等条件，系统自动匹配可享受政策，计算补贴/减免金额，生成“政策体检报告”，支持报告下载和分享。</w:t>
      </w:r>
      <w:r/>
    </w:p>
    <w:p>
      <w:pPr>
        <w:jc w:val="left"/>
        <w:spacing w:line="360" w:lineRule="auto"/>
        <w:rPr>
          <w:color w:val="auto"/>
          <w:highlight w:val="none"/>
        </w:rPr>
      </w:pPr>
      <w:r>
        <w:rPr>
          <w:rFonts w:ascii="Times New Roman" w:hAnsi="Times New Roman" w:eastAsia="宋体"/>
          <w:b/>
          <w:color w:val="auto"/>
          <w:sz w:val="21"/>
          <w:highlight w:val="none"/>
        </w:rPr>
        <w:t xml:space="preserve">链上自贸板块功能模块技术要求明细表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1</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企业工作台</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企业信息卡片</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从数据中台读取企业名称、Logo、所属区块、产业类型、信用等级等信息；支持企业信息不完整时的提示和引导补充</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快捷办事</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基于企业画像智能推荐4-6个高频事项入口；支持企业自定义常用事项排序；支持事项搜索</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待办事项</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展示进行中的办件列表（含审核中/待补充/已办结状态）；支持按状态筛选、按时间排序；点击待办事项直接跳转至办理页面</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消息通知</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办件进度推送、诉求进度推送、政策推送；支持站内消息和短信推送；消息列表支持已读/未读标记；支持消息一键全部已读</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政策推送</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基于企业画像精准推送3-5条适配政策；推送政策含匹配度百分比显示；支持查看详情和收藏</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2</w:t>
            </w:r>
            <w:r/>
          </w:p>
        </w:tc>
        <w:tc>
          <w:tcPr>
            <w:tcW w:w="1400" w:type="dxa"/>
            <w:vAlign w:val="center"/>
            <w:vMerge w:val="restart"/>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一网通办</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事项链接整合</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对接市数据局政务服务平台涉企事项列表接口；事项列表自动同步更新；支持事项分类管理（按部门、按业务类型）</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事项展示与筛选</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事项名称、所属类别、办理部门等信息统一展示；支持按类别筛选、关键词搜索</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单点登录跳转</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点击事项跳转至市政务平台对应办理页面，无需二次登录；跳转后自动携带用户身份信息</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风格统一</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跳转前页面与平台整体UI风格一致；跳转过渡页展示统一品牌标识</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ascii="Times New Roman" w:hAnsi="Times New Roman" w:eastAsia="宋体"/>
                <w:color w:val="auto"/>
                <w:sz w:val="21"/>
                <w:highlight w:val="none"/>
              </w:rPr>
              <w:t xml:space="preserve">3</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政策直达</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政策数据管理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不少于100项政策数据入库；分国家级/省级/片区级三级分类；政策数据含政策名称、发布单位、发布时间、政策全文、适用条件等字段；支持附件上传（PDF、Word格式）</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卡片式列表展示，含政策名称、层级标签、产业领域标签；支持政策置顶、轮播展示、收藏</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多维度筛选</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支持按政策层级、产业领域、适用企业类型筛选；支持组合筛选</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精准推送</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基于企业画像自动匹配推送；推送策略支持管理员手动配置</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收藏管理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支持企业收藏关注政策；收藏政策变更时自动提醒；支持收藏分类管理（自定义标签）</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统计分析</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支持政策点击量统计、企业浏览行为分析</w:t>
            </w:r>
            <w:r/>
          </w:p>
        </w:tc>
      </w:tr>
      <w:tr>
        <w:trPr>
          <w:jc w:val="center"/>
        </w:trPr>
        <w:tc>
          <w:tcPr>
            <w:tcW w:w="700" w:type="dxa"/>
            <w:vAlign w:val="center"/>
            <w:vMerge w:val="restart"/>
            <w:textDirection w:val="lrTb"/>
            <w:noWrap w:val="false"/>
          </w:tcPr>
          <w:p>
            <w:pPr>
              <w:jc w:val="center"/>
              <w:spacing w:line="360" w:lineRule="auto"/>
              <w:rPr>
                <w:rFonts w:hint="eastAsia" w:eastAsia="宋体"/>
                <w:color w:val="auto"/>
                <w:highlight w:val="none"/>
                <w:lang w:val="en-US" w:eastAsia="zh-CN"/>
              </w:rPr>
            </w:pPr>
            <w:r>
              <w:rPr>
                <w:rFonts w:ascii="Times New Roman" w:hAnsi="Times New Roman" w:eastAsia="宋体"/>
                <w:color w:val="auto"/>
                <w:sz w:val="21"/>
                <w:highlight w:val="none"/>
              </w:rPr>
              <w:t xml:space="preserve">4</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AI智能解读引擎</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政策文件上传</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支持政策文件上传（PDF、Word格式）和文号输入两种方式</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智能解读</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自动提取核心条款（3-5条）、适用条件、申报时限、所需材料</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解读报告生成</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生成图解式解读报告（结构化展示）；支持解读报告导出为PDF格式；支持解读报告打印</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解读知识库管理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解读结果存储至知识库，支持复用；知识库支持人工审核和补充；支持标签分类</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5</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政策计算器</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条件输入</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支持产业类型、营收规模、研发投入、用工人数、是否高新、是否外资、出口目的地等字段输入；输入表单针对手机端优化</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政策匹配</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基于输入条件自动匹配可享受政策；匹配算法支持规则配置和动态调整</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补贴计算</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自动计算可获补贴/减免金额；计算逻辑与政策主管部门确认；计算过程可追溯（显示计算依据和公式）</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匹配度展示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每条政策显示匹配度百分比（进度条形式）；匹配结果按匹配度排序（高到低）</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报告生成</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生成“政策体检报告”，支持PDF下载；报告含政策清单、匹配度、可获金额、申报建议</w:t>
            </w:r>
            <w:r/>
          </w:p>
        </w:tc>
      </w:tr>
    </w:tbl>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（四）跨境自贸板块（4个模块）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FTA数据查询（跨境贸易服务统一入口框架）：建设跨境贸易服务统一入口框架，集成FTA关税分析、跨境风险雷达、碳关税服务、国别研究等功能的宣传展示页面和入口预留。其中FTA关税分析提供签署的23个自贸协定（包含RCEP、东盟、中韩、中澳、中新等）完整清单及商品协定税率全套查询指南，支持按商品编码、商品名称、协定国家等多维度查询。</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2．原产地规则判定：企业输入产品原材料明细、生产工序等信息，可实现RCEP等自贸协定原产地规则快速辅助判定，帮助企业判断产品是否符合原产地标准。</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3．跨境物流可视化：为外贸进出口企业提供从自贸区港口（连云港口岸）进出货物全程可视化追踪便捷服务，支持货物状态查询、物流节点追踪、预计到达时间预估等功能，彰显自贸跨境便利化服务水平。</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4．物流时效分析：展示自贸区港口区块货物进出通关物流时效分析情况，包含平均通关时间、时效变化趋势、与其他口岸对比等指标，体现成为自贸片区后通关便利化水平提升。</w:t>
      </w:r>
      <w:r/>
    </w:p>
    <w:p>
      <w:pPr>
        <w:jc w:val="left"/>
        <w:spacing w:line="360" w:lineRule="auto"/>
        <w:rPr>
          <w:color w:val="auto"/>
          <w:highlight w:val="none"/>
        </w:rPr>
      </w:pPr>
      <w:r>
        <w:rPr>
          <w:rFonts w:ascii="Times New Roman" w:hAnsi="Times New Roman" w:eastAsia="宋体"/>
          <w:b/>
          <w:color w:val="auto"/>
          <w:sz w:val="21"/>
          <w:highlight w:val="none"/>
        </w:rPr>
        <w:t xml:space="preserve">跨境自贸板块功能模块技术要求明细表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1</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关税规则专题</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关税查询</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支持基于目的国及商品税则号查询商品关税情况、协定关税未来十年的降税走势；支持进出口双向关税查询</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优惠类型判定</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支持基于企业输入的原材料判定商品的优惠类型</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税则号智能归类</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支持税则号智能归类</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原产地证书申请</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支持产品预审信息与原产地证书信息的在线申请；支持证书结果实时查询、证书管理和历史记录查询</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AI税则号查询</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企业可随时唤起AI查询出口税则号</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2</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跨境风险雷达</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风险信息采集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基于中信保的资讯接口获取跨境贸易风险信息</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风险识别标记</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通过AI识别标记资讯风险</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风险信息展示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以图文内容结构化展示风险预警信息；支持分页浏览</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排序与置顶管理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支持置顶管理、重要性标识；提供按时间、部门、政策类型等多维度排序</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3</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碳关税专栏</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CBAM任务管理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按进口商、季度创建CBAM报告填报任务</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产品信息调用</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调用已维护的产品信息，带入产品隐含排放强度默认值</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排放数据填报</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填报产品的直接、间接排放等相关信息</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报告生成与下载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自动生成符合欧盟标准的全英文报告内容；报告支持下载</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4</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国别研究展示</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国别信息查询</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提供全球主要贸易国的营商等投资信息查询</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地图检索</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支持以地图形式检索主要贸易国家</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国家详情展示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国家详情信息包含营商环境政策信息、税务指南等</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政策推送</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基于企业关注的国别，主动推送政策法规信息</w:t>
            </w:r>
            <w:r/>
          </w:p>
        </w:tc>
      </w:tr>
    </w:tbl>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（五）跨境数据板块（4个模块）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负面清单查询与合规指引：江苏省数据出境负面清单在线展示，包含禁止出境数据类目、限制出境数据类目、一般数据类目等内容，提供三种合规路径导航（安全评估、标准合同、认证）、政策文件下载、常见问题解答等功能。</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2．负面清单备案申报入口：在线提交备案申请、材料上传，后台接收后线下流转处理，包含申报指南、在线填表、材料上传、进度查询、结果通知等功能。</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3．政策宣贯：数据出境相关政策动态发布与解读，包含政策新闻、专家解读、培训通知、案例分享等内容，帮助企业及时了解数据出境合规要求。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4．跨境电商赋能：链接整合点点通现有功能，形成数据跨境与贸易协同，为跨境电商企业提供数据合规咨询、海外市场拓展、供应链金融等增值服务。</w:t>
      </w:r>
      <w:r/>
    </w:p>
    <w:p>
      <w:pPr>
        <w:jc w:val="left"/>
        <w:spacing w:line="360" w:lineRule="auto"/>
        <w:rPr>
          <w:color w:val="auto"/>
          <w:highlight w:val="none"/>
        </w:rPr>
      </w:pPr>
      <w:r>
        <w:rPr>
          <w:rFonts w:ascii="Times New Roman" w:hAnsi="Times New Roman" w:eastAsia="宋体"/>
          <w:b/>
          <w:color w:val="auto"/>
          <w:sz w:val="21"/>
          <w:highlight w:val="none"/>
        </w:rPr>
        <w:t xml:space="preserve">跨境数据板块功能模块技术要求明细表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1</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负面清单查询与合规指引</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负面清单展示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江苏省数据出境负面清单在线展示（不少于21个数据子类，按行业领域分类）；支持按行业领域筛选、关键词搜索</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合规路径导航</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三种合规路径（安全评估/标准合同备案/保护认证）导航；展示适用条件、流程说明、所需材料</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智能匹配</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企业输入数据类型关键词，自动匹配是否在负面清单内；展示匹配度及对应合规路径建议；支持一键生成合规建议报告（PDF格式）</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政策文件下载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政策文件在线预览与下载</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2</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负面清单备案申报入口</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在线申报</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负面清单备案申请在线提交；支持企业基本信息自动带入；支持申报进度查询</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材料清单与模板</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9类申报材料清单展示及模板下载；每类材料提供标准模板（Word/PDF格式）；支持在线预览和打印</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在线填表</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备案申报表在线填写；支持草稿保存、分次编辑提交；支持表单自动校验</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材料上传</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支持9类材料分项上传、预览、删除；支持PDF、Word、Excel、图片等格式；支持批量上传</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后台审核管理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后台接收申报材料，支持线下流转处理；支持审核状态跟踪和结果反馈</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3</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政策宣贯</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政策发布</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国家、省、市数据跨境政策动态实时更新；支持政策分类管理</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政策解读</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负面清单条款通俗化解读；支持政策解读文章发布</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咨询互动</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企业在线提交负面清单使用相关问题与建议；支持后台回复和状态跟踪</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4</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跨境电商赋能</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链接整合</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通过超链接跳转至点点通现有功能页面；支持新窗口打开或当前窗口跳转（可配置）</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统一入口</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在平台中提供统一入口；入口卡片展示点点通平台名称、简介、图标</w:t>
            </w:r>
            <w:r/>
          </w:p>
        </w:tc>
      </w:tr>
    </w:tbl>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（六）领导驾驶舱板块（2个模块）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数据看盘：五类核心指标可视化（企业服务、要素匹配、产业运行、制度创新、区块对比），三区块对比，四链协同监测（链长—链主—链创—链配）。包含核心指标卡片、趋势分析图表、对比分析图表、地图分布展示等组件。新增“制度创新成效追踪”维度，展示制度创新成果的企业使用率、满意度、带动新增注册企业数等指标，让领导不仅看到“做了多少创新”，更看到“创新带来了什么”。</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2．数据可视化大屏：大屏适配界面，适合一楼大厅展示，数据动态刷新。采用深色主题设计，包含核心指标展示、动态图表、滚动新闻等元素，支持自动轮播和手动切换。</w:t>
      </w:r>
      <w:r/>
    </w:p>
    <w:p>
      <w:pPr>
        <w:jc w:val="left"/>
        <w:spacing w:line="360" w:lineRule="auto"/>
        <w:rPr>
          <w:color w:val="auto"/>
          <w:highlight w:val="none"/>
        </w:rPr>
      </w:pPr>
      <w:r>
        <w:rPr>
          <w:rFonts w:ascii="Times New Roman" w:hAnsi="Times New Roman" w:eastAsia="宋体"/>
          <w:b/>
          <w:color w:val="auto"/>
          <w:sz w:val="21"/>
          <w:highlight w:val="none"/>
        </w:rPr>
        <w:t xml:space="preserve">领导驾驶舱板块功能模块技术要求明细表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1</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数据看盘</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指标看板</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五张指标卡（累计注册企业、月度新增企业、累计办件量及满意度、大宗贸易月度额、跨境电商交易额）；支持数据自动刷新、同比/环比变化显示；支持下钻查看明细数据</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三区块对比</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柱状图展示开发/连云/港口三个区块的办件量、企业数、贸易额对比；支持按月度/季度/年度切换；支持数据导出（Excel格式）</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产业趋势</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折线图展示大宗贸易/跨境电商/港航物流近12个月趋势；支持鼠标悬停查看具体数值；支持趋势预测</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四链协同监测</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展示链主企业产值、链创机构数量、链配对接成功率；支持下钻查看各产业链详情；支持按产业链筛选</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要素匹配</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展示金融撮合金额、人才匹配数、土地对接次数；展示要素匹配趋势（月度变化）</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制度创新成效追踪</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展示259项制度创新成果的企业使用率、企业满意度、带动新增注册企业数等指标；支持按领域筛选查看；支持成效数据可视化展示</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2</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数据可视化大屏</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大屏适配</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支持1920×1080及以上分辨率大屏显示，支持超高清（4K）显示适配</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图表复用</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与数据看盘模块复用图表组件</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数据刷新</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支持数据定时/实时刷新，刷新频率可配置（5分钟/15分钟/30分钟/1小时）</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全屏展示</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支持全屏展示；支持讲解模式（讲解员控制翻页和展示内容）</w:t>
            </w:r>
            <w:r/>
          </w:p>
        </w:tc>
      </w:tr>
    </w:tbl>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（七）AI智能助手（1个模块）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平台级AI智能助手：首页设置“平台级AI智能助手（设置拟人化虚拟形象，形象与名称可由中标人设计并经采购人确认）”形象，各板块设置场景化入口，实现“即用即问”的AI服务体验，7×24小时在线。多领域知识库覆盖制度创新、自贸概况、办事指南、政策解读、跨境贸易、跨境数据六大领域，场景化嵌入各板块页面。大模型API集成优先选用国产大模型，符合信创和安全要求，确保数据不出境。支持文本问答、语音交互、多轮对话、上下文理解等功能。</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知识库由指定专人负责维护，每月从制度创新局、三区块管理部门、市数据局等渠道收集最新政策文件、制度创新成果、办事指南等信息，经审核后纳入知识库。首年由中标人协助建立更新流程，后续由采购人自行维护。</w:t>
      </w:r>
      <w:r/>
    </w:p>
    <w:p>
      <w:pPr>
        <w:jc w:val="left"/>
        <w:spacing w:line="360" w:lineRule="auto"/>
        <w:rPr>
          <w:color w:val="auto"/>
          <w:highlight w:val="none"/>
        </w:rPr>
      </w:pPr>
      <w:r>
        <w:rPr>
          <w:rFonts w:ascii="Times New Roman" w:hAnsi="Times New Roman" w:eastAsia="宋体"/>
          <w:b/>
          <w:color w:val="auto"/>
          <w:sz w:val="21"/>
          <w:highlight w:val="none"/>
        </w:rPr>
        <w:t xml:space="preserve">AI智能助手功能模块技术要求明细表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1</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平台级AI智能助手</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统一入口</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首页AI数字人形象入口；各板块场景化入口；支持快捷提问（预设常见问题快速入口）</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知识库管理</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覆盖制度创新、自贸概况、办事指南、政策解读、跨境贸易、跨境数据六大领域；知识库初始问答对不少于200条；支持多格式文档采集（含Word、PDF、图片型PDF等格式）；支持文档挂载后的智能分割与分割结果预览；支持通过可视化界面进行知识地图的创建；知识地图中的每个节点支持知识标签的挂载；形成通用知识库和专题知识库；知识库支持定期更新，由指定专人负责维护</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场景化嵌入</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在各板块页面嵌入对应问答入口，问答上下文与当前页面内容联动</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大模型智能问答</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调用成熟大模型API（优先选用国产大模型，数据不出境）；支持文字问答和语音输入两种方式；支持通过在线问答对构建的知识库进行实时测试；支持对回复内容进行知识探索，明确所有回答内容的知识点来源；针对来源支持是否采用以及标记</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问答准确率优化</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问答准确率≥85%；支持用户反馈和答案优化机制</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知识库维护</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支持定期更新，由指定专人负责维护；首年由开发团队协助建立更新流程，后续由建设单位自行维护</w:t>
            </w:r>
            <w:r/>
          </w:p>
        </w:tc>
      </w:tr>
    </w:tbl>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（八）公众号端移动服务平台（1个模块）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将平台核心功能延伸至连云港自贸片区微信公众号，实现“掌上自贸区”服务。采</w:t>
      </w:r>
      <w:r>
        <w:rPr>
          <w:rFonts w:ascii="Times New Roman" w:hAnsi="Times New Roman" w:eastAsia="宋体"/>
          <w:color w:val="auto"/>
          <w:sz w:val="24"/>
          <w:highlight w:val="none"/>
        </w:rPr>
        <w:t xml:space="preserve">用“一套后台、多端展示”的技术架构，与PC端共用后台API。具体包括：移动端H5页面适配（首页、制度创新成果展厅、政策直达、政策计算器、AI智能助手、负面清单查询、企业工作台等核心功能），确保在手机端良好显示和操作；微信公众号OAuth2.0授权登录，用户关注公众号后可一键登录平台，无需额外注册账号；公众号菜单配置（“走进自贸”“企业服务”“AI助手”“我的”等），用户点击菜单可直接进入对应功能页面；消息推送，支持公众号模板消息推送，包括政策更新提醒、申报截止提醒、办事进度通知等，帮助企业及时获取重要信息。</w:t>
      </w:r>
      <w:r/>
    </w:p>
    <w:p>
      <w:pPr>
        <w:jc w:val="left"/>
        <w:spacing w:line="360" w:lineRule="auto"/>
        <w:rPr>
          <w:color w:val="auto"/>
          <w:highlight w:val="none"/>
        </w:rPr>
      </w:pPr>
      <w:r>
        <w:rPr>
          <w:rFonts w:ascii="Times New Roman" w:hAnsi="Times New Roman" w:eastAsia="宋体"/>
          <w:b/>
          <w:color w:val="auto"/>
          <w:sz w:val="21"/>
          <w:highlight w:val="none"/>
        </w:rPr>
        <w:t xml:space="preserve">公众号端移动服务平台功能模块技术要求明细表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1</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移动服务平台</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H5页面适配</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首页、成果展厅、政策直达、政策计算器、AI智能助手、负面清单查询、企业工作台共7个核心页面的手机端H5适配；适配鸿蒙和Android主流机型</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微信授权登录</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微信公众号OAuth2.0授权登录；企业用户通过微信一键登录；支持企业账号与微信OpenID绑定/解绑</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公众号菜单配置</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底部菜单项设计与配置（建议：数智自贸、政策服务、AI助手、我的）；菜单变更须提交微信审核</w:t>
            </w:r>
            <w:r/>
          </w:p>
        </w:tc>
      </w:tr>
      <w:tr>
        <w:trPr>
          <w:jc w:val="center"/>
        </w:trPr>
        <w:tc>
          <w:tcPr>
            <w:tcW w:w="700" w:type="dxa"/>
            <w:vAlign w:val="center"/>
            <w:vMerge w:val="continue"/>
            <w:textDirection w:val="lrTb"/>
            <w:noWrap w:val="false"/>
          </w:tcPr>
          <w:p>
            <w:pPr>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统一后台支撑</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PC端与公众号端共用后台API；数据实时同步，多端一致</w:t>
            </w:r>
            <w:r/>
          </w:p>
        </w:tc>
      </w:tr>
    </w:tbl>
    <w:p>
      <w:pPr>
        <w:pStyle w:val="647"/>
        <w:keepNext/>
        <w:spacing w:before="120" w:after="60" w:line="360" w:lineRule="auto"/>
        <w:rPr>
          <w:rFonts w:hint="default" w:ascii="Times New Roman" w:hAnsi="Times New Roman" w:eastAsia="黑体" w:cs="Times New Roman"/>
          <w:b/>
          <w:bCs/>
          <w:color w:val="auto"/>
          <w:sz w:val="28"/>
          <w:szCs w:val="32"/>
          <w:highlight w:val="none"/>
          <w:lang w:val="en-US" w:eastAsia="zh-CN" w:bidi="ar-SA"/>
        </w:rPr>
        <w:outlineLvl w:val="2"/>
      </w:pPr>
      <w:r>
        <w:rPr>
          <w:rFonts w:hint="default" w:ascii="Times New Roman" w:hAnsi="Times New Roman" w:eastAsia="黑体" w:cs="Times New Roman"/>
          <w:b/>
          <w:bCs/>
          <w:color w:val="auto"/>
          <w:sz w:val="28"/>
          <w:szCs w:val="32"/>
          <w:highlight w:val="none"/>
          <w:lang w:val="en-US" w:eastAsia="zh-CN" w:bidi="ar-SA"/>
        </w:rPr>
        <w:t xml:space="preserve">（九）系统集成（1个模块）</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对接市数据局平台、点点通、E港通、市级法人库、三区块审批系统，实现“前台统一入口、后台专业处理”。连数通平台与现有系统的关系是“门户+后台”的互补关系——点点通继续发挥跨境电商专业平台功能，E港通继续发挥港航贸易专业平台功能，连数通作为统一门户提供入口整合和展示层。企业从连数通统一入口进入各系统，办理完成后状态回传至连数通。</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系统集成采用API接口对接方式，通过统一API网关进行管理。对接内容包括用户身份认证对接、业务数据对接、办事状态回传、数据共享交换等。各系统之间的数据交换遵循统一的数据标准和接口规范，确保数据安全、准确、及时。</w:t>
      </w:r>
      <w:r/>
    </w:p>
    <w:p>
      <w:pPr>
        <w:jc w:val="left"/>
        <w:spacing w:line="360" w:lineRule="auto"/>
        <w:rPr>
          <w:color w:val="auto"/>
          <w:highlight w:val="none"/>
        </w:rPr>
      </w:pPr>
      <w:r>
        <w:rPr>
          <w:rFonts w:ascii="Times New Roman" w:hAnsi="Times New Roman" w:eastAsia="宋体"/>
          <w:b/>
          <w:color w:val="auto"/>
          <w:sz w:val="21"/>
          <w:highlight w:val="none"/>
        </w:rPr>
        <w:t xml:space="preserve">系统集成功能模块技术要求明细表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400"/>
        <w:gridCol w:w="1500"/>
        <w:gridCol w:w="4600"/>
      </w:tblGrid>
      <w:tr>
        <w:trPr>
          <w:jc w:val="center"/>
        </w:trPr>
        <w:tc>
          <w:tcPr>
            <w:tcW w:w="7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序号</w:t>
            </w:r>
            <w:r/>
          </w:p>
        </w:tc>
        <w:tc>
          <w:tcPr>
            <w:tcW w:w="14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功能模块名称</w:t>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一级功能</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highlight w:val="none"/>
              </w:rPr>
              <w:t xml:space="preserve">详细功能要求</w:t>
            </w:r>
            <w:r/>
          </w:p>
        </w:tc>
      </w:tr>
      <w:tr>
        <w:trPr>
          <w:jc w:val="center"/>
        </w:trPr>
        <w:tc>
          <w:tcPr>
            <w:tcW w:w="700" w:type="dxa"/>
            <w:vAlign w:val="center"/>
            <w:vMerge w:val="restart"/>
            <w:textDirection w:val="lrTb"/>
            <w:noWrap w:val="false"/>
          </w:tcPr>
          <w:p>
            <w:pPr>
              <w:jc w:val="center"/>
              <w:spacing w:line="360" w:lineRule="auto"/>
              <w:rPr>
                <w:rFonts w:hint="default" w:eastAsia="宋体"/>
                <w:color w:val="auto"/>
                <w:highlight w:val="none"/>
                <w:lang w:val="en-US" w:eastAsia="zh-CN"/>
              </w:rPr>
            </w:pPr>
            <w:r>
              <w:rPr>
                <w:rFonts w:hint="eastAsia" w:eastAsia="宋体"/>
                <w:color w:val="auto"/>
                <w:highlight w:val="none"/>
                <w:lang w:val="en-US" w:eastAsia="zh-CN"/>
              </w:rPr>
              <w:t xml:space="preserve">1</w:t>
            </w:r>
            <w:r/>
          </w:p>
        </w:tc>
        <w:tc>
          <w:tcPr>
            <w:tcW w:w="1400" w:type="dxa"/>
            <w:vAlign w:val="center"/>
            <w:vMerge w:val="restart"/>
            <w:textDirection w:val="lrTb"/>
            <w:noWrap w:val="false"/>
          </w:tcPr>
          <w:p>
            <w:pPr>
              <w:jc w:val="center"/>
              <w:spacing w:line="360" w:lineRule="auto"/>
              <w:rPr>
                <w:rFonts w:ascii="Times New Roman" w:hAnsi="Times New Roman" w:eastAsia="宋体"/>
                <w:color w:val="auto"/>
                <w:sz w:val="21"/>
                <w:highlight w:val="none"/>
              </w:rPr>
            </w:pPr>
            <w:r>
              <w:rPr>
                <w:rFonts w:ascii="Times New Roman" w:hAnsi="Times New Roman" w:eastAsia="宋体"/>
                <w:color w:val="auto"/>
                <w:sz w:val="21"/>
                <w:highlight w:val="none"/>
              </w:rPr>
              <w:t xml:space="preserve">外部系统对接</w:t>
            </w:r>
            <w:r/>
          </w:p>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SSO集成</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各外部系统单点登录集成，支持OAuth2.0、CAS等标准协议</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API对接</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不少于4个外部系统的API接口对接；支持接口异常自动重试和日志记录；支持接口可用性监控和告警</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状态回传</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办理完成后状态回传至平台，支持Webhook和轮询两种方式</w:t>
            </w:r>
            <w:r/>
          </w:p>
        </w:tc>
      </w:tr>
      <w:tr>
        <w:trPr>
          <w:jc w:val="center"/>
        </w:trPr>
        <w:tc>
          <w:tcPr>
            <w:tcW w:w="700" w:type="dxa"/>
            <w:vAlign w:val="center"/>
            <w:vMerge w:val="continue"/>
            <w:textDirection w:val="lrTb"/>
            <w:noWrap w:val="false"/>
          </w:tcPr>
          <w:p>
            <w:pPr>
              <w:jc w:val="center"/>
              <w:spacing w:line="360" w:lineRule="auto"/>
              <w:rPr>
                <w:rFonts w:hint="default" w:eastAsia="宋体"/>
                <w:color w:val="auto"/>
                <w:highlight w:val="none"/>
                <w:lang w:val="en-US" w:eastAsia="zh-CN"/>
              </w:rPr>
            </w:pPr>
            <w:r>
              <w:rPr>
                <w:rFonts w:hint="default" w:eastAsia="宋体"/>
                <w:color w:val="auto"/>
                <w:highlight w:val="none"/>
                <w:lang w:val="en-US" w:eastAsia="zh-CN"/>
              </w:rPr>
            </w:r>
            <w:r/>
          </w:p>
        </w:tc>
        <w:tc>
          <w:tcPr>
            <w:tcW w:w="1400" w:type="dxa"/>
            <w:vAlign w:val="center"/>
            <w:vMerge w:val="continue"/>
            <w:textDirection w:val="lrTb"/>
            <w:noWrap w:val="false"/>
          </w:tcPr>
          <w:p>
            <w:pPr>
              <w:jc w:val="center"/>
              <w:spacing w:line="360" w:lineRule="auto"/>
              <w:rPr>
                <w:color w:val="auto"/>
                <w:highlight w:val="none"/>
              </w:rPr>
            </w:pPr>
            <w:r>
              <w:rPr>
                <w:color w:val="auto"/>
                <w:highlight w:val="none"/>
              </w:rPr>
            </w:r>
            <w:r/>
          </w:p>
        </w:tc>
        <w:tc>
          <w:tcPr>
            <w:tcW w:w="15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数据同步</w:t>
            </w:r>
            <w:r/>
          </w:p>
        </w:tc>
        <w:tc>
          <w:tcPr>
            <w:tcW w:w="460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highlight w:val="none"/>
              </w:rPr>
              <w:t xml:space="preserve">企业基础信息实时同步，支持全量和增量两种同步模式</w:t>
            </w:r>
            <w:r/>
          </w:p>
        </w:tc>
      </w:tr>
    </w:tbl>
    <w:p>
      <w:pPr>
        <w:pStyle w:val="646"/>
        <w:keepNext/>
        <w:spacing w:before="240" w:after="120" w:line="360" w:lineRule="auto"/>
        <w:rPr>
          <w:color w:val="auto"/>
          <w:highlight w:val="none"/>
        </w:rPr>
        <w:outlineLvl w:val="1"/>
      </w:pPr>
      <w:r>
        <w:rPr>
          <w:rFonts w:ascii="Times New Roman" w:hAnsi="Times New Roman" w:eastAsia="黑体" w:cs="Times New Roman"/>
          <w:b/>
          <w:color w:val="auto"/>
          <w:sz w:val="32"/>
          <w:szCs w:val="32"/>
          <w:highlight w:val="none"/>
        </w:rPr>
        <w:t xml:space="preserve">五、技术路线与信创要求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1．平台采用国产化环境开发部署，优先选用国产服务器、操作系统、数据库、中间件及安全产品，满足信创与安全要求，确保平台底层架构自主可控。</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2．采用成熟、主流的B/S架构，前后端分离，支持主流国产浏览器，兼容适配。</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3．优先选用国产大模型提供AI能力，训练及推理过程确保数据不出境。</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4．API接口遵循国家标准及政务数据交换规范，提供标准化的数据接口服务。</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5．平台应具备良好的可扩展性、可维护性，支持后续功能迭代升级。</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6．前端技术：PC端采用主流前端框架（如Vue.js/React）开发，支持响应式布局；公众号端采用H5页面开发，适配移动端显示。后端采用微服务架构（如Spring Cloud等成熟框架），支持服务注册发现、配置管理、负载均衡、熔断降级等功能。</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7．数据库：采用国产化关系型数据库（如达梦、人大金仓等）存储结构化数据，采用Redis缓存热点数据，采用Elasticsearch提供全文检索服务；AI能力通过API接口集成国产大模型（如百度文心一言、阿里通义千问、科大讯飞星火等），提供智能问答、政策解读、文本生成等AI服务。</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8．三维地图：采用商用三维地图引擎（如Cesium、超图等）构建数字沙盘，支持三维场景展示、空间查询和交互操作；数据可视化采用ECharts、DataV等框架构建领导驾驶舱和数据可视化大屏，支持多维度数据展示和动态刷新。</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9．部署架构：平台采用云端部署方式，部署在连云港市政务云平台上，采用前后端分离部署模式，前端静态资源部署在CDN节点，后端服务部署在云服务器集群，数据库采用主从架构，确保系统高可用和数据安全；平台与外部系统的对接通过API网关进行统一管理，支持接口鉴权、流量控制、日志审计等功能，确保数据交换安全可控。</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10．平台相关设备、系统和服务应支持互联网协议第六版（IPv6），满足国家IPv6规模部署和应用有关要求，支持IPv6/IPv4双栈运行；平台对外提供的网站、域名解析、API接口等服务应支持IPv6访问，确保IPv6网络环境用户可正常访问使用。</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六、信息安全要求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1．平台建设全面贯彻国家网络安全等级保护制度，满足《信息安全技术 网络安全等级保护基本要求》（GB/T 22239—2019）第二级及以上安全要求。平台网络安全等级保护等级定为第二级，项目建成后采购人将按《网络安全等级保护条例》要求办理等级保护备案手续。本项目平台不含国家秘密信息，不涉及分级保护要求；如后续平台承载涉密信息，按国家有关分级保护规定执行。</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2．投标人须承诺配合完成本项目等保二级测评、密码应用安全性评估、软件测评工作，并提供相应技术支撑。相关测评及评估通过后方可申请项目竣工验收。</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3．安全防护体系至少包括：</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安全通信网络与区域边界防护：部署云防火墙，配置严格的访问控制策略，启用入侵防御功能，实时检测并阻断网络层攻击；平台部署在政务云，合理划分互联网接入区、应用服务区、数据区、管理区等安全区域，区域之间进行逻辑隔离，关键网络设备和链路采用冗余设计。</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（2）应用层深度防护：部署云Web应用防火墙（WAF），精准识别并阻断SQL注入、跨站脚本（XSS）、跨站请求伪造（CSRF）、文件上传漏洞等Web应用攻击，启用CC攻击防护。</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（3）安全计算环境防护：部署主机安全（EDR），提供主机层入侵检测、恶意代码查杀、漏洞管理、基线检查等功能；服务器操作系统采用国产化操作系统，关闭不必要的服务和端口，最小化攻击面。</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（4）统一运维安全管控：部署云堡垒机，实现运维访问的唯一入口管控，所有运维操作必须通过堡垒机进行，支持多因素认证、操作全程录像与审计。</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（5）集中审计与分析：部署日志审计系统，集中采集、存储、分析各安全组件的日志，实现关联分析与合规报表，日志保存时间不少于6个月，建立安全事件告警机制。</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6）数据安全：采用国产化数据加密软件，对传输与存储过程中的敏感数据进行加密处理；落实数据分类分级管理和数据备份策略，定期进行数据备份，确保数据可恢复；对个人信息按《中华人民共和国个人信息保护法》要求进行特殊保护。</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4．平台涉及数据出境合规服务的，应符合《中国（江苏）自由贸易试验区数据出境负面清单管理办法（试行）》（苏网办发〔2025〕6号）有关要求。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5．密码应用：根据《中华人民共和国密码法》《信息安全技术 信息系统密码应用基本要求》（GB/T 39786—2021）及《政务信息系统政府</w:t>
      </w:r>
      <w:r>
        <w:rPr>
          <w:rFonts w:ascii="Times New Roman" w:hAnsi="Times New Roman" w:eastAsia="宋体"/>
          <w:color w:val="auto"/>
          <w:sz w:val="24"/>
          <w:highlight w:val="none"/>
        </w:rPr>
        <w:t xml:space="preserve">采购管理暂行办法》（财库〔2017〕210号）有关规定，本项目密码保障系统与平台主体工程同步规划、同步建设、同步运行并定期进行评估。密码保障系统建设内容主要包括：身份鉴别（采用口令加密存储、数字证书等密码技术）、数据传输（采用国密算法加密传输通道）、数据存储（敏感数据采用国密算法加密存储）、重要数据完整性保护（采用商用密码哈希算法进行完整性校验）、抗抵赖（电子签名、验签）等，使用符合国家密码管理要求的国产商用密码产品和算法；项目建成后按国家有关规定开展密码应用安全性评估，评估结论作为项目竣工验收的依据之一。</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6．保密要求：</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1）中标人应严格遵守《中华人民共和国保守国家秘密法》《中华人民共和国数据安全法》《中华人民共和国个人信息保护法》等法律法规及采购人保密管理有关规定，对项目实施和运维过程中知悉的采购人业务数据、敏感信息、系统架构、源代码、技术文档等承担保密义务，未经采购人书面同意，不得以任何方式向任何第三方披露、泄露或许可第三方使用，项目结束后保密义务持续有效。</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（2）中标人应与采购人签订保密协议，并对项目人员进行保密教育和保密承诺管理；处理个人信息和重要数据应遵循最小必要原则，落实数据分类分级保护要求。</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（3）平台涉及数据出境合规服务的，应严格按照《中国（江苏）自由贸易试验区数据出境负面清单管理办法（试行）》（苏网办发〔2025〕6号）执行，确保数据依法合规处理，不得违规出境。</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（4）保密管理情况纳入项目验收和运维考核范围，因中标人原因造成失泄密的，中标人依法承担相应法律责任并赔偿采购人损失。</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7．信创产品：优先选用国产化服务器、操作系统、数据库、中间件及安全产品，确保平台底层架构自主可控；AI大模型优先选用国产大模型，确保数据不出境，符合信创和安全要求。</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七、数据共享与数据开放要求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（一）数据共享要求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数据共享总体要求：平台建设应落实政务信息系统整合共享要求，遵循国家政务信息共享标准体系和连云港市政务数据共享交换有关要求，确保相关系统能够按规定接入市数据共享交换平台和国家共享数据交换平台；平台建设与现有系统功能协调一致，避免重复建设。</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共享数据项：平台通过API接口等方式与市数据局平台、点点通、E港通、市级法人库、三区块审批系统等不少于4个外部系统开展数据共享交换，共享数据项主要包括企业基本信息、法人信息、审批事项及办理进度、办事状态回传、跨境贸易业务数据（物流状态、通关时效）、制度创新成果、政策文件及解读信息、产业运行指标数据等，具体共享数据项以双方确认的数据共享清单为准。</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共享频率：企业基本信息、法人信息等基础类数据原则上每日同步；业务办理状态、办事进度回传实时同步；跨境物流状态、通关时效数据每日更新；制度创新成果、政策文件及解读信息于发布后5个工作日内完成更新；领导驾驶舱产业运行指标数据每日更新。</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共享方式：以API接口对接为主，通过统一API网关进行统一管理，支持接口鉴权、流量控制、日志审计；涉及批量数据的可采用文件交换方式，并明确数据交换格式（JSON、XML等）、加密传输要求和数据质量校验规则；各系统间数据交换遵循统一的数据标准和接口规范，确保数据安全、准确、及时。</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5．投标人应在投标文件中提供数据共享方案，明确数据共享清单、对接方式、接口标准、安全管控措施及与现有系统的协调衔接方案。</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（二）公共数据开放要求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1．平台建设应落实公共数据开放有关要求，推动平台沉淀的公共数据向社会开放，坚持“原始性、可机器读取、可供社会化再利用”原则。</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2．开放数据集主要包括：制度创新成果数据集、政策文件及解读数据集、自贸区产业运行统计数据（经脱敏处理）、跨境贸易服务指南数据集、数据出境负面清单及合规指引数据集等。</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3．平台应预留与连云港市公共数据开放平台的对接能力，具备条件时按市公共数据开放有关规定编制数据开放目录，明确开放数据集名称、格式（CSV、JSON等可机器读取格式）和更新频率，并动态更新。</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4．涉及国家秘密、商业秘密、个人信息及法律法规规定不予开放的数据不得开放；数据开放前应完成脱敏处理和安全审查。</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八、性能指标要求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投标人提供的系统性能指标应不低于以下要求：</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4491"/>
        <w:gridCol w:w="3213"/>
      </w:tblGrid>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序号</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指标项</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指标值</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平台功能模块</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≥23个</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2</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对接外部系统</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≥4个</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3</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系统响应速率</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≥98%</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4</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AI问答准确率</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≥85%</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5</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系统验收合格率</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≥95%</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6</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基本功能建成率</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100%</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7</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一网通办办事周期缩短</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≥50%</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8</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页面加载时间</w:t>
            </w:r>
            <w:r/>
          </w:p>
        </w:tc>
        <w:tc>
          <w:tcPr>
            <w:tcW w:w="3402"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≤3秒</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9</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系统可用性</w:t>
            </w:r>
            <w:r/>
          </w:p>
        </w:tc>
        <w:tc>
          <w:tcPr>
            <w:tcW w:w="3402"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≥99.5%（运维期内）</w:t>
            </w:r>
            <w:r/>
          </w:p>
        </w:tc>
      </w:tr>
      <w:tr>
        <w:trPr>
          <w:jc w:val="center"/>
        </w:trPr>
        <w:tc>
          <w:tcPr>
            <w:tcW w:w="850"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10</w:t>
            </w:r>
            <w:r/>
          </w:p>
        </w:tc>
        <w:tc>
          <w:tcPr>
            <w:tcW w:w="4819"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数据备份</w:t>
            </w:r>
            <w:r/>
          </w:p>
        </w:tc>
        <w:tc>
          <w:tcPr>
            <w:tcW w:w="3402"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每日增量备份、每周全量备份，备份数据可恢复</w:t>
            </w:r>
            <w:r/>
          </w:p>
        </w:tc>
      </w:tr>
    </w:tbl>
    <w:p>
      <w:pPr>
        <w:pStyle w:val="646"/>
        <w:keepNext/>
        <w:spacing w:before="240" w:after="120" w:line="360" w:lineRule="auto"/>
        <w:rPr>
          <w:color w:val="auto"/>
          <w:highlight w:val="none"/>
        </w:rPr>
        <w:outlineLvl w:val="1"/>
      </w:pPr>
      <w:r>
        <w:rPr>
          <w:rFonts w:ascii="Times New Roman" w:hAnsi="Times New Roman" w:eastAsia="黑体" w:cs="Times New Roman"/>
          <w:b/>
          <w:color w:val="auto"/>
          <w:sz w:val="32"/>
          <w:szCs w:val="32"/>
          <w:highlight w:val="none"/>
        </w:rPr>
        <w:t xml:space="preserve">九、项目实施要求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投标人应建立项目组织架构，成立项目实施团队，配备项目经理、需求分析师、系统架构师、前端开发工程师、后端开发工程师、测试工程师、UI设计师、运维工程师等人员，明确项目负责人及分工，制定详细的项目管理计划和沟通协调机制，确保三区块协同推进。</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2．采用“快速原型、迭代优化”策略，预留20%缓冲时间应对接口联调与需求微调风险。</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3．建立例会制度，定期向采购人汇报项目进展；重大事项及时沟通。</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4．项目实施过程中形成的文档资料（需求文档、设计文档、测试报告、操作手册等）应完整归档并移交采购人。</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十、验收要求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1．验收依据：以本招标文件、投标文件、中标通知书及双方签订的政府采购合同为依据。</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验收内容：功能验收（23个功能模块全部实现并达到性能指标要求）、安全验收（通过等保二级测评、密码应用安全性评估、软件测评）、文档验收、培训验收、数据共享与数据开放验收（按采购需求要求完成数据共享清单对接和数据开放目录编制发布）等。</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3．系统上线运行并经初验后进入试运行期，试运行期不少于1个月；试运行期满无重大缺陷且满足验收条件后，组织最终验收。</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4．验收时投标人应提交测试报告、部署文档、操作手册、培训记录等成果材料。</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5．采购人将委托第三方（如适用）对项目建设质量、功能实现情况进行测评，测评结果作为验收依据之一。</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6．本项目面向社会公众和市场主体提供服务，验收时应将企业用户和社会公众的使用反馈、满意度调查情况作为验收的重要参考依据，企业使用满意度不低于90%。</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7．量化验收指标及测试方法：验收时按下列量化指标逐项测试验收：</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（1）AI问答准确率：≥85%。测试方法：从六大领域知识库中抽取不少于100条标准测试问题开展问答测试，按回答正确率统计；</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（2）系统响应速率：≥98%。测试方法：对平台主要业务接口开展并发压力测试，统计测试期内业务请求成功响应率；</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（3）页面加载时间：≤3秒。测试方法：在政务云部署环境下使用主流国产浏览器对首页及各板块主要页面进行加载时间实测，取多次测试平均值；</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（4）系统可用性：≥99.5%。测试方法：统计试运行期内平台正常运行时间占运行总时间的比例；</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（5）数据共享与对接：对接外部系统不少于4个，共享接口连通率100%，数据准确性不低于99%；</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（6）数据开放：数据开放目录及开放数据集按要求编制发布，开放数据集可机器读取、可下载；</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（7）23个功能模块全部实现并达到性能指标要求，各功能模块按功能清单逐项验收。</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十一、运行维护与售后服务要求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1．质保运维期：项目最终验收合格之日起1年，质保期内供应商免费提供系统运行维护及技术支撑服务。</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2．运维服务内容包括但不限于：</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（1）日常运行维护：系统日常运行监控、故障排查与修复、性能优化、数据备份（每日增量备份、每周全量备份，备份数据可恢复）、安全管理（定期漏洞扫描和安全加固）等；</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内容更新维护：内容维护工作量按月度量化管理，质保运维期内月均完成各类内容更新不少于40条，其中：制度创新成果更新原则上于成果正式发布后5个工作日内完成上线，月均不少于4条；政策信息更新（国家、省、市、片区各级政策信息）原则上于政策正式发布后5个工作日内完成录入上线，月均不少于20条；新闻动态更新每周不少于</w:t>
      </w:r>
      <w:r>
        <w:rPr>
          <w:rFonts w:hint="eastAsia" w:ascii="Times New Roman" w:hAnsi="Times New Roman" w:eastAsia="宋体"/>
          <w:color w:val="auto"/>
          <w:sz w:val="24"/>
          <w:highlight w:val="none"/>
          <w:lang w:val="en-US" w:eastAsia="zh-CN"/>
        </w:rPr>
        <w:t xml:space="preserve">3</w:t>
      </w:r>
      <w:r>
        <w:rPr>
          <w:rFonts w:ascii="Times New Roman" w:hAnsi="Times New Roman" w:eastAsia="宋体"/>
          <w:color w:val="auto"/>
          <w:sz w:val="24"/>
          <w:highlight w:val="none"/>
        </w:rPr>
        <w:t xml:space="preserve">次；招商信息更新每周不少于1次；领导驾驶舱指标数据每日更新不少于1次。建立内容更新台账，每月随运维服务报告提交采购人审核。</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AI知识库维护：设专人负责AI智能助手知识库维护，每月完成不少于1次知识库整体更新，月均新增、修订知识条目不少于50条；每月从制度创新局、三区块管理部门、市数据局等渠道收集最新政策文件、制度创新成果、办事指南等信息，重要政策文件、制度创新成果原则上于发布后3个工作日内完成解读并纳入知识库；知识库内容准确率抽查不低于95%；每次更新后开展问答验证，确保AI回答的准确性和时效性；建立知识库更新台账，每月随运维服务报告提交采购人。</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3．服务响应要求：提供7×24小时服务响应。一般故障4小时内响应、24小时内解决；重大故障2小时内响应、立即启动应急预案处置；系统重大故障恢复时间不超过8小时。</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4．设立专人对接机制，运维期内每月向采购人提交运维服务报告。</w:t>
      </w:r>
      <w:r/>
    </w:p>
    <w:p>
      <w:pPr>
        <w:ind w:firstLine="480"/>
        <w:spacing w:before="0" w:after="0" w:line="360" w:lineRule="auto"/>
        <w:rPr>
          <w:rFonts w:hint="eastAsia"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5．</w:t>
      </w:r>
      <w:r>
        <w:rPr>
          <w:rFonts w:hint="eastAsia" w:ascii="Times New Roman" w:hAnsi="Times New Roman" w:eastAsia="宋体"/>
          <w:color w:val="auto"/>
          <w:sz w:val="24"/>
          <w:highlight w:val="none"/>
          <w:lang w:eastAsia="zh-CN"/>
        </w:rPr>
        <w:t xml:space="preserve">质保期届满后，若采购人继续采购年度运行维护服务，双方可依据合同约定或另行签订运维服务合同；若下一年度经招标程序更换服务供应商，原供应商须提供相关服务支持并全力配合，保障服务实现无缝衔接。</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十二、培训要求</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1．投标人应在项目验收前完成对采购人指定人员的培训，培训内容包括系统操作、内容维护、知识库管理、日常运维等。</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2．培训应提供配套培训教材，并组织培训考核，确保受训人员能够独立操作系统。</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十三、绩效指标</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本项目实施后应达到如下绩效指标，相关指标将纳入验收及运维考核范围：</w:t>
      </w:r>
      <w:r/>
    </w:p>
    <w:p>
      <w:pPr>
        <w:ind w:firstLine="480"/>
        <w:spacing w:before="0" w:after="0" w:line="360" w:lineRule="auto"/>
        <w:rPr>
          <w:rFonts w:ascii="Times New Roman" w:hAnsi="Times New Roman" w:eastAsia="宋体"/>
          <w:b/>
          <w:bCs/>
          <w:color w:val="auto"/>
          <w:sz w:val="24"/>
          <w:highlight w:val="none"/>
        </w:rPr>
      </w:pPr>
      <w:r>
        <w:rPr>
          <w:rFonts w:ascii="Times New Roman" w:hAnsi="Times New Roman" w:eastAsia="宋体"/>
          <w:b/>
          <w:bCs/>
          <w:color w:val="auto"/>
          <w:sz w:val="24"/>
          <w:highlight w:val="none"/>
        </w:rPr>
        <w:t xml:space="preserve">注：上表“技术指标”部分与第四章“八、性能指标要求”一致，口径以“八、性能指标”表为准；本表新增效益指标与满意度指标。</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701"/>
        <w:gridCol w:w="3118"/>
        <w:gridCol w:w="1701"/>
      </w:tblGrid>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一级指标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二级指标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三级指标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b/>
                <w:color w:val="auto"/>
                <w:sz w:val="21"/>
                <w:szCs w:val="21"/>
                <w:highlight w:val="none"/>
              </w:rPr>
              <w:t xml:space="preserve">指标值</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技术指标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功能指标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平台功能模块</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≥23个</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技术指标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功能指标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对接外部系统</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≥4个</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技术指标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质量指标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系统响应速率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≥98%</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技术指标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质量指标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AI问答准确率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≥85%</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技术指标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质量指标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系统验收合格率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≥95%</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技术指标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质量指标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基本功能建成率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100%</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技术指标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时效指标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一网通办办事周期缩短</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≥50%</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技术指标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时效指标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页面加载时间</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≤3秒</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效益指标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社会效益指标</w:t>
            </w:r>
            <w:r/>
          </w:p>
        </w:tc>
        <w:tc>
          <w:tcPr>
            <w:tcW w:w="3118" w:type="dxa"/>
            <w:vAlign w:val="center"/>
            <w:textDirection w:val="lrTb"/>
            <w:noWrap w:val="false"/>
          </w:tcPr>
          <w:p>
            <w:pPr>
              <w:jc w:val="left"/>
              <w:spacing w:line="360" w:lineRule="auto"/>
              <w:rPr>
                <w:color w:val="auto"/>
                <w:highlight w:val="none"/>
              </w:rPr>
            </w:pPr>
            <w:r>
              <w:rPr>
                <w:rFonts w:ascii="Times New Roman" w:hAnsi="Times New Roman" w:eastAsia="宋体"/>
                <w:color w:val="auto"/>
                <w:sz w:val="21"/>
                <w:szCs w:val="21"/>
                <w:highlight w:val="none"/>
              </w:rPr>
              <w:t xml:space="preserve">制度创新成果数字转化率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100%</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效益指标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社会效益指标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企业服务入口统一率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100%</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效益指标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经济效益指标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降低企业办事时间成本</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≥50%</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效益指标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经济效益指标</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政策匹配精准度</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≥80%</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满意度指标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服务对象满意度</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企业使用满意度</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≥90%</w:t>
            </w:r>
            <w:r/>
          </w:p>
        </w:tc>
      </w:tr>
      <w:tr>
        <w:trPr>
          <w:jc w:val="center"/>
        </w:trPr>
        <w:tc>
          <w:tcPr>
            <w:tcW w:w="1417"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满意度指标</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服务对象满意度</w:t>
            </w:r>
            <w:r/>
          </w:p>
        </w:tc>
        <w:tc>
          <w:tcPr>
            <w:tcW w:w="3118"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领导决策支撑满意度</w:t>
            </w:r>
            <w:r/>
          </w:p>
        </w:tc>
        <w:tc>
          <w:tcPr>
            <w:tcW w:w="1701" w:type="dxa"/>
            <w:vAlign w:val="center"/>
            <w:textDirection w:val="lrTb"/>
            <w:noWrap w:val="false"/>
          </w:tcPr>
          <w:p>
            <w:pPr>
              <w:jc w:val="center"/>
              <w:spacing w:line="360" w:lineRule="auto"/>
              <w:rPr>
                <w:color w:val="auto"/>
                <w:highlight w:val="none"/>
              </w:rPr>
            </w:pPr>
            <w:r>
              <w:rPr>
                <w:rFonts w:ascii="Times New Roman" w:hAnsi="Times New Roman" w:eastAsia="宋体"/>
                <w:color w:val="auto"/>
                <w:sz w:val="21"/>
                <w:szCs w:val="21"/>
                <w:highlight w:val="none"/>
              </w:rPr>
              <w:t xml:space="preserve">≥90%</w:t>
            </w:r>
            <w:r/>
          </w:p>
        </w:tc>
      </w:tr>
    </w:tbl>
    <w:p>
      <w:pPr>
        <w:pStyle w:val="646"/>
        <w:keepNext/>
        <w:spacing w:before="240" w:after="120" w:line="360" w:lineRule="auto"/>
        <w:rPr>
          <w:color w:val="auto"/>
          <w:highlight w:val="none"/>
        </w:rPr>
        <w:outlineLvl w:val="1"/>
      </w:pPr>
      <w:r>
        <w:rPr>
          <w:rFonts w:ascii="Times New Roman" w:hAnsi="Times New Roman" w:eastAsia="黑体" w:cs="Times New Roman"/>
          <w:b/>
          <w:color w:val="auto"/>
          <w:sz w:val="32"/>
          <w:szCs w:val="32"/>
          <w:highlight w:val="none"/>
        </w:rPr>
        <w:t xml:space="preserve">十四、投标报价要求</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报价方式：总价报价。</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十五、付款方式与履约保证金</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1．付款方式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（1）</w:t>
      </w:r>
      <w:r>
        <w:rPr>
          <w:rFonts w:ascii="宋体" w:hAnsi="宋体" w:eastAsia="宋体" w:cs="宋体"/>
          <w:color w:val="auto"/>
          <w:sz w:val="24"/>
          <w:szCs w:val="24"/>
          <w:highlight w:val="none"/>
        </w:rPr>
        <w:t xml:space="preserve">根据政府采购扶持中小企业政策，采购人可按财政相关规定向中标中小企业支付预付款</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color w:val="auto"/>
          <w:sz w:val="24"/>
          <w:szCs w:val="24"/>
          <w:highlight w:val="none"/>
        </w:rPr>
      </w:pPr>
      <w:r>
        <w:rPr>
          <w:rFonts w:hint="eastAsia" w:ascii="Times New Roman" w:hAnsi="Times New Roman" w:eastAsia="宋体" w:cs="Times New Roman"/>
          <w:color w:val="auto"/>
          <w:sz w:val="24"/>
          <w:szCs w:val="24"/>
          <w:highlight w:val="none"/>
        </w:rPr>
        <w:t xml:space="preserve">（2）项目全部建设内容完成、试运行期满并经最终验收合格后，支付至合同金额的90%；</w:t>
      </w:r>
      <w:r/>
    </w:p>
    <w:p>
      <w:pPr>
        <w:ind w:firstLine="480"/>
        <w:jc w:val="left"/>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w:t>
      </w:r>
      <w:r>
        <w:rPr>
          <w:rFonts w:hint="eastAsia" w:eastAsia="宋体"/>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）质保运维期满，无质量问题且乙方履行完毕全部合同义务后，支付剩余10%。注：上述各笔款项均通过国库集中支付方式支付，甲方付款前乙方应先提供等额有效的发票。</w:t>
      </w:r>
      <w:r/>
    </w:p>
    <w:p>
      <w:pPr>
        <w:ind w:firstLine="480"/>
        <w:jc w:val="left"/>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合同计价方式：本项目采用总价包干方式，合同金额不因市场价格波动等因素调整。</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2．履约保证金</w:t>
      </w:r>
      <w:r/>
    </w:p>
    <w:p>
      <w:pPr>
        <w:ind w:firstLine="480"/>
        <w:spacing w:before="0" w:after="0"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t xml:space="preserve">本项目不收取履约保证金。</w:t>
      </w:r>
      <w:r/>
    </w:p>
    <w:p>
      <w:pPr>
        <w:spacing w:before="0" w:after="0" w:line="360" w:lineRule="auto"/>
        <w:rPr>
          <w:color w:val="auto"/>
          <w:highlight w:val="none"/>
        </w:rPr>
      </w:pPr>
      <w:r>
        <w:rPr>
          <w:rFonts w:ascii="Times New Roman" w:hAnsi="Times New Roman" w:eastAsia="黑体" w:cs="Times New Roman"/>
          <w:b/>
          <w:color w:val="auto"/>
          <w:sz w:val="32"/>
          <w:szCs w:val="32"/>
          <w:highlight w:val="none"/>
        </w:rPr>
        <w:t xml:space="preserve">十六、其他</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本项目报价不得超过预算价（最高限价）。</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特别提醒投标人：应根据国家收费标准并结合市场实际进行报价。</w:t>
      </w:r>
      <w:r/>
    </w:p>
    <w:p>
      <w:pPr>
        <w:ind w:firstLine="480"/>
        <w:spacing w:before="0" w:after="0" w:line="360" w:lineRule="auto"/>
        <w:rPr>
          <w:rFonts w:ascii="Times New Roman" w:hAnsi="Times New Roman" w:eastAsia="宋体"/>
          <w:b w:val="0"/>
          <w:color w:val="auto"/>
          <w:sz w:val="24"/>
          <w:highlight w:val="none"/>
        </w:rPr>
      </w:pPr>
      <w:r>
        <w:rPr>
          <w:rFonts w:ascii="Times New Roman" w:hAnsi="Times New Roman" w:eastAsia="宋体"/>
          <w:color w:val="auto"/>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spacing w:line="360" w:lineRule="auto"/>
        <w:rPr>
          <w:rFonts w:hint="eastAsia"/>
          <w:color w:val="auto"/>
          <w:highlight w:val="none"/>
        </w:rPr>
      </w:pPr>
      <w:r/>
      <w:bookmarkStart w:id="13" w:name="_Toc5783"/>
      <w:r>
        <w:rPr>
          <w:rFonts w:hint="eastAsia" w:ascii="宋体" w:hAnsi="宋体" w:eastAsia="宋体" w:cs="宋体"/>
          <w:b w:val="0"/>
          <w:color w:val="auto"/>
          <w:highlight w:val="none"/>
        </w:rPr>
        <w:br w:type="page" w:clear="all"/>
      </w:r>
      <w:r/>
    </w:p>
    <w:p>
      <w:pPr>
        <w:pStyle w:val="645"/>
        <w:jc w:val="center"/>
        <w:spacing w:line="360" w:lineRule="auto"/>
        <w:rPr>
          <w:rFonts w:hint="eastAsia" w:ascii="宋体" w:hAnsi="宋体" w:eastAsia="宋体" w:cs="宋体"/>
          <w:b w:val="0"/>
          <w:color w:val="auto"/>
          <w:highlight w:val="none"/>
        </w:rPr>
      </w:pPr>
      <w:r>
        <w:rPr>
          <w:rFonts w:hint="eastAsia" w:ascii="Times New Roman" w:hAnsi="Times New Roman" w:eastAsia="黑体" w:cs="Times New Roman"/>
          <w:b w:val="0"/>
          <w:color w:val="auto"/>
          <w:highlight w:val="none"/>
        </w:rPr>
        <w:t xml:space="preserve">第五章  评标方法与评标标准</w:t>
      </w:r>
      <w:bookmarkEnd w:id="13"/>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按投标报价由低到高顺序排列。得分且投标报价相同的并列。投标文件满足招标文件全部实质性要求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且按照评审因素的量化指标评审得分最高的投标人为中标候选人。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评委会以招标文件为评标依据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评委会各成员独立对每个投标人的投标文件进行评价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并汇总每个投标人的得分。评标过程中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（一）价格分</w:t>
      </w:r>
      <w:r>
        <w:rPr>
          <w:rFonts w:hint="eastAsia" w:ascii="宋体" w:hAnsi="宋体" w:eastAsia="宋体" w:cs="宋体"/>
          <w:color w:val="auto"/>
          <w:sz w:val="24"/>
          <w:szCs w:val="24"/>
          <w:highlight w:val="none"/>
        </w:rPr>
        <w:t xml:space="preserve">（10分）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即满足招标文件要求且投标价格最低的投标报价为评标基准价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投标报价得分=（评标基准价／投标报价）×10分</w:t>
      </w:r>
      <w:r/>
    </w:p>
    <w:p>
      <w:pPr>
        <w:ind w:firstLine="480"/>
        <w:jc w:val="left"/>
        <w:spacing w:line="360" w:lineRule="auto"/>
        <w:rPr>
          <w:rFonts w:hint="eastAsia" w:ascii="宋体" w:hAnsi="宋体" w:eastAsia="宋体" w:cs="宋体"/>
          <w:color w:val="auto"/>
          <w:sz w:val="24"/>
          <w:szCs w:val="24"/>
          <w:highlight w:val="none"/>
        </w:rPr>
      </w:pPr>
      <w:r/>
      <w:bookmarkStart w:id="14" w:name="OLE_LINK1"/>
      <w:r>
        <w:rPr>
          <w:rFonts w:hint="eastAsia" w:ascii="宋体" w:hAnsi="宋体" w:eastAsia="宋体" w:cs="宋体"/>
          <w:color w:val="auto"/>
          <w:sz w:val="24"/>
          <w:szCs w:val="24"/>
          <w:highlight w:val="none"/>
        </w:rPr>
        <w:t xml:space="preserve">（二）商务分</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bl>
      <w:tblPr>
        <w:tblStyle w:val="655"/>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867"/>
        <w:gridCol w:w="6575"/>
      </w:tblGrid>
      <w:tr>
        <w:trPr>
          <w:jc w:val="center"/>
          <w:trHeight w:val="522"/>
        </w:trPr>
        <w:tc>
          <w:tcPr>
            <w:tcW w:w="173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评审因素</w:t>
            </w:r>
            <w:r/>
          </w:p>
        </w:tc>
        <w:tc>
          <w:tcP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分值</w:t>
            </w:r>
            <w:r/>
          </w:p>
        </w:tc>
        <w:tc>
          <w:tcPr>
            <w:tcW w:w="6575" w:type="dxa"/>
            <w:vAlign w:val="center"/>
            <w:textDirection w:val="lrTb"/>
            <w:noWrap w:val="false"/>
          </w:tcPr>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评审内容及评分标准</w:t>
            </w:r>
            <w:r/>
          </w:p>
        </w:tc>
      </w:tr>
      <w:tr>
        <w:trPr>
          <w:jc w:val="center"/>
          <w:trHeight w:val="522"/>
        </w:trPr>
        <w:tc>
          <w:tcPr>
            <w:tcW w:w="1736"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项目团队配置</w:t>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10分</w:t>
            </w:r>
            <w:r/>
          </w:p>
        </w:tc>
        <w:tc>
          <w:tcPr>
            <w:tcW w:w="6575" w:type="dxa"/>
            <w:vAlign w:val="center"/>
            <w:textDirection w:val="lrTb"/>
            <w:noWrap w:val="false"/>
          </w:tcPr>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1、投标人拟派项目负责人具有计算机技术与软件专业资格，或电子信息类、软件工程、大数据等信息化相关专业中级及以上职称，每提供1人得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投标人拟派项目组成员（不包含项目负责人）具有计算机技术与软件专业资格，或电子信息类、软件工程、大数据等信息化相关专业中级及以上职称，每提供1人得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同一人员同时具备多项资格（职称）的，按 1 人计分，不重复计分；同一资格证书仅可用于 1 名人员计分，不得重复使用</w:t>
            </w:r>
            <w:r>
              <w:rPr>
                <w:rFonts w:hint="eastAsia" w:ascii="宋体" w:hAnsi="宋体" w:eastAsia="宋体" w:cs="宋体"/>
                <w:b/>
                <w:bCs/>
                <w:color w:val="auto"/>
                <w:sz w:val="24"/>
                <w:szCs w:val="24"/>
                <w:highlight w:val="none"/>
              </w:rPr>
              <w:t xml:space="preserve">；投标文件中提供有效证书扫描件或复印件及2026年</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月（含）</w:t>
            </w:r>
            <w:r>
              <w:rPr>
                <w:rFonts w:hint="eastAsia" w:ascii="宋体" w:hAnsi="宋体" w:eastAsia="宋体" w:cs="宋体"/>
                <w:b/>
                <w:bCs/>
                <w:color w:val="auto"/>
                <w:sz w:val="24"/>
                <w:szCs w:val="24"/>
                <w:highlight w:val="none"/>
                <w:lang w:val="en-US" w:eastAsia="zh-CN"/>
              </w:rPr>
              <w:t xml:space="preserve">至今</w:t>
            </w:r>
            <w:r>
              <w:rPr>
                <w:rFonts w:hint="eastAsia" w:ascii="宋体" w:hAnsi="宋体" w:eastAsia="宋体" w:cs="宋体"/>
                <w:b/>
                <w:bCs/>
                <w:color w:val="auto"/>
                <w:sz w:val="24"/>
                <w:szCs w:val="24"/>
                <w:highlight w:val="none"/>
              </w:rPr>
              <w:t xml:space="preserve">任意一个月由投标人为其缴纳的社保证明材料复印件或扫描件并加盖投标人公章，人员须为投标人本单位正式在职人员，借调、外聘人员</w:t>
            </w:r>
            <w:r>
              <w:rPr>
                <w:rFonts w:hint="eastAsia" w:ascii="宋体" w:hAnsi="宋体" w:eastAsia="宋体" w:cs="宋体"/>
                <w:b/>
                <w:bCs/>
                <w:color w:val="auto"/>
                <w:sz w:val="24"/>
                <w:szCs w:val="24"/>
                <w:highlight w:val="none"/>
                <w:lang w:val="en-US" w:eastAsia="zh-CN" w:bidi="ar"/>
              </w:rPr>
              <w:t xml:space="preserve">不予计分</w:t>
            </w:r>
            <w:r>
              <w:rPr>
                <w:rFonts w:hint="eastAsia" w:ascii="宋体" w:hAnsi="宋体" w:eastAsia="宋体" w:cs="宋体"/>
                <w:b/>
                <w:bCs/>
                <w:color w:val="auto"/>
                <w:sz w:val="24"/>
                <w:szCs w:val="24"/>
                <w:highlight w:val="none"/>
              </w:rPr>
              <w:t xml:space="preserve">。</w:t>
            </w:r>
            <w:r/>
          </w:p>
        </w:tc>
      </w:tr>
      <w:tr>
        <w:trPr>
          <w:jc w:val="center"/>
          <w:trHeight w:val="522"/>
        </w:trPr>
        <w:tc>
          <w:tcPr>
            <w:tcW w:w="1736"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类似项目业绩</w:t>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6分</w:t>
            </w:r>
            <w:r/>
          </w:p>
        </w:tc>
        <w:tc>
          <w:tcPr>
            <w:tcW w:w="6575" w:type="dxa"/>
            <w:vAlign w:val="center"/>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年1月1日以来（以合同签订时间为准）承担过类似信息化平台（</w:t>
            </w:r>
            <w:r>
              <w:rPr>
                <w:rFonts w:hint="eastAsia" w:ascii="宋体" w:hAnsi="宋体" w:eastAsia="宋体" w:cs="宋体"/>
                <w:color w:val="auto"/>
                <w:sz w:val="24"/>
                <w:szCs w:val="24"/>
                <w:highlight w:val="none"/>
                <w:lang w:val="en-US" w:eastAsia="zh-CN"/>
              </w:rPr>
              <w:t xml:space="preserve">包含但不限于</w:t>
            </w:r>
            <w:r>
              <w:rPr>
                <w:rFonts w:hint="eastAsia" w:ascii="宋体" w:hAnsi="宋体" w:eastAsia="宋体" w:cs="宋体"/>
                <w:color w:val="auto"/>
                <w:sz w:val="24"/>
                <w:szCs w:val="24"/>
                <w:highlight w:val="none"/>
              </w:rPr>
              <w:t xml:space="preserve">政务服务平台、数据</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台、</w:t>
            </w:r>
            <w:r>
              <w:rPr>
                <w:rFonts w:hint="eastAsia" w:ascii="宋体" w:hAnsi="宋体" w:eastAsia="宋体" w:cs="宋体"/>
                <w:color w:val="auto"/>
                <w:sz w:val="24"/>
                <w:szCs w:val="24"/>
                <w:highlight w:val="none"/>
                <w:lang w:val="en-US" w:eastAsia="zh-CN"/>
              </w:rPr>
              <w:t xml:space="preserve">数据</w:t>
            </w:r>
            <w:r>
              <w:rPr>
                <w:rFonts w:hint="eastAsia" w:ascii="宋体" w:hAnsi="宋体" w:eastAsia="宋体" w:cs="宋体"/>
                <w:color w:val="auto"/>
                <w:sz w:val="24"/>
                <w:szCs w:val="24"/>
                <w:highlight w:val="none"/>
              </w:rPr>
              <w:t xml:space="preserve">跨境</w:t>
            </w:r>
            <w:r>
              <w:rPr>
                <w:rFonts w:hint="eastAsia" w:ascii="宋体" w:hAnsi="宋体" w:eastAsia="宋体" w:cs="宋体"/>
                <w:color w:val="auto"/>
                <w:sz w:val="24"/>
                <w:szCs w:val="24"/>
                <w:highlight w:val="none"/>
                <w:lang w:val="en-US" w:eastAsia="zh-CN"/>
              </w:rPr>
              <w:t xml:space="preserve">平台</w:t>
            </w:r>
            <w:r>
              <w:rPr>
                <w:rFonts w:hint="eastAsia" w:ascii="宋体" w:hAnsi="宋体" w:eastAsia="宋体" w:cs="宋体"/>
                <w:color w:val="auto"/>
                <w:sz w:val="24"/>
                <w:szCs w:val="24"/>
                <w:highlight w:val="none"/>
              </w:rPr>
              <w:t xml:space="preserve">等）建设项目业绩，每提供1份有效</w:t>
            </w:r>
            <w:r>
              <w:rPr>
                <w:rFonts w:hint="eastAsia" w:ascii="宋体" w:hAnsi="宋体" w:eastAsia="宋体" w:cs="宋体"/>
                <w:color w:val="auto"/>
                <w:sz w:val="24"/>
                <w:szCs w:val="24"/>
                <w:highlight w:val="none"/>
                <w:shd w:val="clear" w:color="auto"/>
              </w:rPr>
              <w:t xml:space="preserve">业绩得</w:t>
            </w:r>
            <w:r>
              <w:rPr>
                <w:rFonts w:hint="eastAsia" w:ascii="宋体" w:hAnsi="宋体" w:eastAsia="宋体" w:cs="宋体"/>
                <w:color w:val="auto"/>
                <w:sz w:val="24"/>
                <w:szCs w:val="24"/>
                <w:highlight w:val="none"/>
                <w:shd w:val="clear" w:color="auto"/>
                <w:lang w:val="en-US" w:eastAsia="zh-CN"/>
              </w:rPr>
              <w:t xml:space="preserve">3</w:t>
            </w:r>
            <w:r>
              <w:rPr>
                <w:rFonts w:hint="eastAsia" w:ascii="宋体" w:hAnsi="宋体" w:eastAsia="宋体" w:cs="宋体"/>
                <w:color w:val="auto"/>
                <w:sz w:val="24"/>
                <w:szCs w:val="24"/>
                <w:highlight w:val="none"/>
                <w:shd w:val="clear" w:color="auto"/>
              </w:rPr>
              <w:t xml:space="preserve">分，本项最高</w:t>
            </w:r>
            <w:r>
              <w:rPr>
                <w:rFonts w:hint="eastAsia" w:ascii="宋体" w:hAnsi="宋体" w:eastAsia="宋体" w:cs="宋体"/>
                <w:color w:val="auto"/>
                <w:sz w:val="24"/>
                <w:szCs w:val="24"/>
                <w:highlight w:val="none"/>
                <w:shd w:val="clear" w:color="auto"/>
                <w:lang w:val="en-US" w:eastAsia="zh-CN"/>
              </w:rPr>
              <w:t xml:space="preserve">6</w:t>
            </w:r>
            <w:r>
              <w:rPr>
                <w:rFonts w:hint="eastAsia" w:ascii="宋体" w:hAnsi="宋体" w:eastAsia="宋体" w:cs="宋体"/>
                <w:color w:val="auto"/>
                <w:sz w:val="24"/>
                <w:szCs w:val="24"/>
                <w:highlight w:val="none"/>
                <w:shd w:val="clear" w:color="auto"/>
              </w:rPr>
              <w:t xml:space="preserve">分。</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提供合同上传至电子响应文件中，</w:t>
            </w:r>
            <w:r>
              <w:rPr>
                <w:rFonts w:hint="eastAsia" w:ascii="宋体" w:hAnsi="宋体" w:eastAsia="宋体" w:cs="宋体"/>
                <w:b/>
                <w:bCs/>
                <w:color w:val="auto"/>
                <w:sz w:val="24"/>
                <w:szCs w:val="24"/>
                <w:highlight w:val="none"/>
                <w:lang w:val="en-US" w:eastAsia="zh-CN" w:bidi="ar"/>
              </w:rPr>
              <w:t xml:space="preserve">合同扫描件须包含项目名称、服务内容 / 建设范围、合同金额、签订时间；如合同正文无法体现本项目类似建设内容，须同步提供验收报告或关键页作为佐证材料，否则该项业绩不予计分</w:t>
            </w:r>
            <w:r>
              <w:rPr>
                <w:rFonts w:hint="eastAsia" w:ascii="宋体" w:hAnsi="宋体" w:eastAsia="宋体" w:cs="宋体"/>
                <w:color w:val="auto"/>
                <w:sz w:val="24"/>
                <w:szCs w:val="24"/>
                <w:highlight w:val="none"/>
                <w:lang w:val="en-US" w:eastAsia="zh-CN" w:bidi="ar"/>
              </w:rPr>
              <w:t xml:space="preserve">。</w:t>
            </w:r>
            <w:r/>
          </w:p>
        </w:tc>
      </w:tr>
      <w:tr>
        <w:trPr>
          <w:jc w:val="center"/>
          <w:trHeight w:val="522"/>
        </w:trPr>
        <w:tc>
          <w:tcPr>
            <w:tcW w:w="1736"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企业资质与体系认证</w:t>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9分</w:t>
            </w:r>
            <w:r/>
          </w:p>
        </w:tc>
        <w:tc>
          <w:tcPr>
            <w:tcW w:w="65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（1）具有ISO 9001质量管理体系认证证书的得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（2）具有ISO 27001信息安全管理体系认证证书的得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（3）具有ISO 20000信息技术服务管理体系认证证书的得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rPr>
              <w:t xml:space="preserve">（需提供有效期内的证书扫描件，同一认证不重复计分，本项最高</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分。）</w:t>
            </w:r>
            <w:r/>
          </w:p>
        </w:tc>
      </w:tr>
      <w:tr>
        <w:trPr>
          <w:jc w:val="center"/>
          <w:trHeight w:val="522"/>
        </w:trPr>
        <w:tc>
          <w:tcPr>
            <w:tcW w:w="1736"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便捷化服务</w:t>
            </w:r>
            <w:r>
              <w:rPr>
                <w:rFonts w:hint="eastAsia"/>
                <w:color w:val="auto"/>
                <w:sz w:val="24"/>
                <w:szCs w:val="24"/>
                <w:highlight w:val="none"/>
              </w:rPr>
              <w:br/>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7分</w:t>
            </w:r>
            <w:r/>
          </w:p>
        </w:tc>
        <w:tc>
          <w:tcPr>
            <w:tcW w:w="6575"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投标人针对本项目制定现场驻场及应急保障实施方案，应包含以下内容：</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bidi="ar-SA"/>
              </w:rPr>
              <w:t xml:space="preserve">（1）驻场人员安排（2分）</w:t>
            </w:r>
            <w:r>
              <w:rPr>
                <w:rFonts w:hint="eastAsia" w:ascii="宋体" w:hAnsi="宋体" w:eastAsia="宋体" w:cs="宋体"/>
                <w:color w:val="auto"/>
                <w:sz w:val="24"/>
                <w:szCs w:val="24"/>
                <w:highlight w:val="none"/>
              </w:rPr>
              <w:t xml:space="preserve">：明确驻场人员数量、专业分工、驻场周期及工作职责。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驻场人员≥2人且专业分工明确（含1名开发/运维工程师+1名业务支持人员）的得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驻场人员1人得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无驻场安排不得分。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bidi="ar-SA"/>
              </w:rPr>
              <w:t xml:space="preserve">（2）现场响应机制（2.5分）</w:t>
            </w:r>
            <w:r>
              <w:rPr>
                <w:rFonts w:hint="eastAsia" w:ascii="宋体" w:hAnsi="宋体" w:eastAsia="宋体" w:cs="宋体"/>
                <w:color w:val="auto"/>
                <w:sz w:val="24"/>
                <w:szCs w:val="24"/>
                <w:highlight w:val="none"/>
              </w:rPr>
              <w:t xml:space="preserve">：明确响应分级、响应时限、升级机制及通讯渠道。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响应机制完整（含一般问题≤2小时到场、紧急问题≤30分钟到场、明确的升级路径和备用联络人）的得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响应机制基本完整但缺少升级路径或备用联络人的得1分；仅有响应时限承诺但无完整机制的得0.5分；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w:t>
            </w:r>
            <w:r/>
          </w:p>
          <w:p>
            <w:pPr>
              <w:numPr>
                <w:ilvl w:val="0"/>
                <w:numId w:val="1"/>
              </w:num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bidi="ar-SA"/>
              </w:rPr>
              <w:t xml:space="preserve">应急处置流程（2.5分）：</w:t>
            </w:r>
            <w:r>
              <w:rPr>
                <w:rFonts w:hint="eastAsia" w:ascii="宋体" w:hAnsi="宋体" w:eastAsia="宋体" w:cs="宋体"/>
                <w:color w:val="auto"/>
                <w:sz w:val="24"/>
                <w:szCs w:val="24"/>
                <w:highlight w:val="none"/>
              </w:rPr>
              <w:t xml:space="preserve">针对平台运行中可能出现的系统宕机、数据丢失、安全事件等典型场景，逐一提供应急处置流程。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覆盖3类及以上典型场景且每类场景均有明确处置步骤、责任人、恢复时限的得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覆盖2类场景的得1分；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仅提供1类场景或流程不完整的得0.5分；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w:t>
            </w:r>
            <w:r/>
          </w:p>
          <w:p>
            <w:pPr>
              <w:ind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b/>
                <w:bCs/>
                <w:color w:val="auto"/>
                <w:sz w:val="24"/>
                <w:szCs w:val="24"/>
                <w:highlight w:val="none"/>
              </w:rPr>
              <w:t xml:space="preserve">注：投标文件中提供方案并加盖投标人公章，否则不得分</w:t>
            </w:r>
            <w:r/>
          </w:p>
        </w:tc>
      </w:tr>
      <w:tr>
        <w:trPr>
          <w:jc w:val="center"/>
          <w:trHeight w:val="522"/>
        </w:trPr>
        <w:tc>
          <w:tcPr>
            <w:tcW w:w="1736" w:type="dxa"/>
            <w:vAlign w:val="center"/>
            <w:textDirection w:val="lrTb"/>
            <w:noWrap w:val="false"/>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服务承诺</w:t>
            </w:r>
            <w:r/>
          </w:p>
          <w:p>
            <w:pPr>
              <w:jc w:val="center"/>
              <w:rPr>
                <w:rFonts w:hint="eastAsia"/>
                <w:color w:val="auto"/>
                <w:sz w:val="24"/>
                <w:szCs w:val="24"/>
                <w:highlight w:val="none"/>
              </w:rPr>
            </w:pPr>
            <w:r>
              <w:rPr>
                <w:rFonts w:hint="eastAsia"/>
                <w:color w:val="auto"/>
                <w:sz w:val="24"/>
                <w:szCs w:val="24"/>
                <w:highlight w:val="none"/>
              </w:rPr>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6分</w:t>
            </w:r>
            <w:r/>
          </w:p>
        </w:tc>
        <w:tc>
          <w:tcPr>
            <w:tcW w:w="6575" w:type="dxa"/>
            <w:vAlign w:val="center"/>
            <w:textDirection w:val="lrTb"/>
            <w:noWrap w:val="false"/>
          </w:tcPr>
          <w:p>
            <w:pPr>
              <w:ind w:firstLine="48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、投标人承诺服务期内</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人员每天对所有维保</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进行例行巡检和健康检查，对发现的问题及时处理的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、投标人承诺服务期限内如遇到严重故障或其他紧急突发事件，能够在</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分钟内回应的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、投标人承诺服务期限内故障恢复时间：工作时间内（工作日的8时至19时）不超过</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小时，非工作时间内不超过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注：投标文件中提供承诺函（格式自拟）</w:t>
            </w:r>
            <w:r>
              <w:rPr>
                <w:rFonts w:hint="eastAsia" w:ascii="宋体" w:hAnsi="宋体" w:eastAsia="宋体" w:cs="宋体"/>
                <w:b/>
                <w:bCs/>
                <w:color w:val="auto"/>
                <w:sz w:val="24"/>
                <w:szCs w:val="24"/>
                <w:highlight w:val="none"/>
                <w:lang w:val="en-US" w:eastAsia="zh-CN"/>
              </w:rPr>
              <w:t xml:space="preserve">并加盖投标人公章，否则不得分</w:t>
            </w:r>
            <w:r>
              <w:rPr>
                <w:rFonts w:hint="eastAsia" w:ascii="宋体" w:hAnsi="宋体" w:eastAsia="宋体" w:cs="宋体"/>
                <w:b/>
                <w:bCs/>
                <w:color w:val="auto"/>
                <w:sz w:val="24"/>
                <w:szCs w:val="24"/>
                <w:highlight w:val="none"/>
              </w:rPr>
              <w:t xml:space="preserve">。</w:t>
            </w:r>
            <w:r/>
          </w:p>
          <w:p>
            <w:pPr>
              <w:ind w:firstLine="482"/>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rPr>
              <w:t xml:space="preserve">（注：本项承诺时限为优于第四章“运行维护与售后服务要求”中强制性基准——重大故障恢复时间不超过8小时——的加分承诺，不改变强制性验收标准。）</w:t>
            </w:r>
            <w:r/>
          </w:p>
        </w:tc>
      </w:tr>
      <w:tr>
        <w:trPr>
          <w:jc w:val="center"/>
          <w:trHeight w:val="522"/>
        </w:trPr>
        <w:tc>
          <w:tcPr>
            <w:tcW w:w="1736" w:type="dxa"/>
            <w:vAlign w:val="center"/>
            <w:textDirection w:val="lrTb"/>
            <w:noWrap w:val="false"/>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软著</w:t>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2分</w:t>
            </w:r>
            <w:r/>
          </w:p>
        </w:tc>
        <w:tc>
          <w:tcPr>
            <w:tcW w:w="6575" w:type="dxa"/>
            <w:vAlign w:val="top"/>
            <w:textDirection w:val="lrTb"/>
            <w:noWrap w:val="false"/>
          </w:tcPr>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投标人具有中华人民共和国国家版权局颁发的计算机软件著作权登记证书，软件登记业务功能属于门户网站、用户分析、管理平台 / 系统、数据管理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数据服务平台、关税管理、企业应用平台、移动办公</w:t>
            </w:r>
            <w:r>
              <w:rPr>
                <w:rFonts w:hint="eastAsia" w:ascii="宋体" w:hAnsi="宋体" w:eastAsia="宋体" w:cs="宋体"/>
                <w:color w:val="auto"/>
                <w:sz w:val="24"/>
                <w:szCs w:val="24"/>
                <w:highlight w:val="none"/>
              </w:rPr>
              <w:t xml:space="preserve">等同类管理及业务系统范畴。每提供 1 份符合要求的有效著作权证书得 1 分，本项最高得 2 分。</w:t>
            </w:r>
            <w:r/>
          </w:p>
          <w:p>
            <w:pPr>
              <w:ind w:firstLine="482"/>
              <w:jc w:val="left"/>
              <w:keepLines w:val="0"/>
              <w:keepNext w:val="0"/>
              <w:pageBreakBefore w:val="0"/>
              <w:spacing w:line="360" w:lineRule="auto"/>
              <w:rPr>
                <w:rStyle w:val="684"/>
                <w:rFonts w:hint="eastAsia" w:ascii="宋体" w:hAnsi="宋体" w:eastAsia="宋体" w:cs="宋体"/>
                <w:b/>
                <w:bCs/>
                <w:color w:val="auto"/>
                <w:sz w:val="24"/>
                <w:szCs w:val="24"/>
                <w:highlight w:val="none"/>
              </w:rPr>
            </w:pPr>
            <w:r>
              <w:rPr>
                <w:rStyle w:val="684"/>
                <w:rFonts w:hint="eastAsia" w:ascii="宋体" w:hAnsi="宋体" w:eastAsia="宋体" w:cs="宋体"/>
                <w:b/>
                <w:bCs/>
                <w:color w:val="auto"/>
                <w:sz w:val="24"/>
                <w:szCs w:val="24"/>
                <w:highlight w:val="none"/>
              </w:rPr>
              <w:t xml:space="preserve">评分说明：</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评审不以著作权证书软件名称文字完全一致作为得分条件，以著作权登记记载的软件业务功能，对照本项目采购需求中平台业务模块进行比对评判；</w:t>
            </w:r>
            <w:r/>
          </w:p>
          <w:p>
            <w:pPr>
              <w:numPr>
                <w:ilvl w:val="0"/>
                <w:numId w:val="2"/>
              </w:num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须在投标文件中针对每一份参评著作权证书提交功能对应说明，写明该软著对应本项目采购需求的业务模块，软件著作权功能对应说明表详见投标文件格式；仅提供证书、未提交功能对应说明，经评标委员会询标后仍无法说明匹配关系的，该份证书不予计分；</w:t>
            </w:r>
            <w:r/>
          </w:p>
          <w:p>
            <w:pPr>
              <w:numPr>
                <w:ilvl w:val="0"/>
                <w:numId w:val="2"/>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同一份著作权证书仅计分一次，不重复累计得分；</w:t>
            </w:r>
            <w:r/>
          </w:p>
          <w:p>
            <w:pPr>
              <w:numPr>
                <w:ilvl w:val="0"/>
                <w:numId w:val="2"/>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投标文件中提供加盖投标人公章的著作权证书复印件，评标委员会有权要求原件备查；</w:t>
            </w:r>
            <w:r/>
          </w:p>
          <w:p>
            <w:pPr>
              <w:numPr>
                <w:ilvl w:val="0"/>
                <w:numId w:val="0"/>
              </w:num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5. 若使用第三方著作权人软件著作权参与得分的，投标文件须同步提供本项目范围内合法有效的使用授权文件，授权材料不全或授权范围不包含本项目的，该份证书不予计分</w:t>
            </w:r>
            <w:r>
              <w:rPr>
                <w:rFonts w:hint="eastAsia" w:ascii="宋体" w:hAnsi="宋体" w:eastAsia="宋体" w:cs="宋体"/>
                <w:b/>
                <w:bCs/>
                <w:color w:val="auto"/>
                <w:sz w:val="24"/>
                <w:szCs w:val="24"/>
                <w:highlight w:val="none"/>
                <w:lang w:eastAsia="zh-CN"/>
              </w:rPr>
              <w:t xml:space="preserve">。</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color w:val="auto"/>
          <w:highlight w:val="none"/>
        </w:rPr>
      </w:pPr>
      <w:r>
        <w:rPr>
          <w:rFonts w:hint="eastAsia" w:ascii="宋体" w:hAnsi="宋体" w:eastAsia="宋体" w:cs="宋体"/>
          <w:color w:val="auto"/>
          <w:sz w:val="24"/>
          <w:szCs w:val="24"/>
          <w:highlight w:val="none"/>
          <w:lang w:val="en-US" w:eastAsia="zh-CN"/>
        </w:rPr>
        <w:t xml:space="preserve">（三）技术分</w:t>
      </w:r>
      <w:r>
        <w:rPr>
          <w:rFonts w:hint="eastAsia" w:ascii="宋体" w:hAnsi="宋体" w:eastAsia="宋体" w:cs="宋体"/>
          <w:color w:val="auto"/>
          <w:sz w:val="24"/>
          <w:szCs w:val="24"/>
          <w:highlight w:val="none"/>
          <w:lang w:val="en-US" w:eastAsia="zh-CN"/>
        </w:rPr>
        <w:t xml:space="preserve">（50分）</w:t>
      </w:r>
      <w:r/>
    </w:p>
    <w:tbl>
      <w:tblPr>
        <w:tblStyle w:val="655"/>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867"/>
        <w:gridCol w:w="6575"/>
      </w:tblGrid>
      <w:tr>
        <w:trPr>
          <w:jc w:val="center"/>
          <w:trHeight w:val="522"/>
        </w:trPr>
        <w:tc>
          <w:tcPr>
            <w:tcW w:w="1736"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lang w:val="en-US" w:eastAsia="zh-CN"/>
              </w:rPr>
              <w:t xml:space="preserve">评审因素</w:t>
            </w:r>
            <w:r/>
          </w:p>
        </w:tc>
        <w:tc>
          <w:tcPr>
            <w:tcW w:w="867"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lang w:val="en-US" w:eastAsia="zh-CN"/>
              </w:rPr>
              <w:t xml:space="preserve">分值</w:t>
            </w:r>
            <w:r/>
          </w:p>
        </w:tc>
        <w:tc>
          <w:tcPr>
            <w:tcW w:w="6575" w:type="dxa"/>
            <w:vAlign w:val="center"/>
            <w:textDirection w:val="lrTb"/>
            <w:noWrap w:val="false"/>
          </w:tcPr>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评审内容及评分标准</w:t>
            </w:r>
            <w:r/>
          </w:p>
        </w:tc>
      </w:tr>
      <w:tr>
        <w:trPr>
          <w:jc w:val="center"/>
          <w:trHeight w:val="777"/>
        </w:trPr>
        <w:tc>
          <w:tcPr>
            <w:shd w:val="clear" w:color="auto" w:fill="auto"/>
            <w:tcW w:w="1736" w:type="dxa"/>
            <w:vAlign w:val="center"/>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val="en-US" w:eastAsia="zh-CN"/>
              </w:rPr>
              <w:t xml:space="preserve">建设内容及技术要求</w:t>
            </w:r>
            <w:r/>
          </w:p>
        </w:tc>
        <w:tc>
          <w:tcPr>
            <w:shd w:val="clear" w:color="auto" w:fill="auto"/>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5分</w:t>
            </w:r>
            <w:r/>
          </w:p>
        </w:tc>
        <w:tc>
          <w:tcPr>
            <w:shd w:val="clear" w:color="auto" w:fill="auto"/>
            <w:tcW w:w="6575" w:type="dxa"/>
            <w:vAlign w:val="center"/>
            <w:textDirection w:val="lrTb"/>
            <w:noWrap w:val="false"/>
          </w:tcPr>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投标人对招标文件建设内容及技术要求逐项响应，全部满足的得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分；每存在一处负偏离（不满足或未响应）</w:t>
            </w:r>
            <w:r/>
          </w:p>
          <w:p>
            <w:pPr>
              <w:ind w:left="0" w:right="0"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tc>
      </w:tr>
      <w:tr>
        <w:trPr>
          <w:jc w:val="center"/>
          <w:trHeight w:val="522"/>
        </w:trPr>
        <w:tc>
          <w:tcPr>
            <w:tcW w:w="1736" w:type="dxa"/>
            <w:vAlign w:val="center"/>
            <w:textDirection w:val="lrTb"/>
            <w:noWrap w:val="false"/>
          </w:tcPr>
          <w:p>
            <w:pPr>
              <w:jc w:val="center"/>
              <w:rPr>
                <w:rFonts w:hint="eastAsia"/>
                <w:color w:val="auto"/>
                <w:sz w:val="24"/>
                <w:szCs w:val="24"/>
                <w:highlight w:val="none"/>
                <w:lang w:val="en-US" w:eastAsia="zh-CN"/>
              </w:rPr>
            </w:pPr>
            <w:r>
              <w:rPr>
                <w:rFonts w:hint="eastAsia"/>
                <w:color w:val="auto"/>
                <w:sz w:val="24"/>
                <w:szCs w:val="24"/>
                <w:highlight w:val="none"/>
              </w:rPr>
              <w:t xml:space="preserve">对项目的理解与需求分析</w:t>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6分</w:t>
            </w:r>
            <w:r/>
          </w:p>
        </w:tc>
        <w:tc>
          <w:tcPr>
            <w:tcW w:w="6575" w:type="dxa"/>
            <w:vAlign w:val="center"/>
            <w:textDirection w:val="lrTb"/>
            <w:noWrap w:val="false"/>
          </w:tcPr>
          <w:p>
            <w:pPr>
              <w:pStyle w:val="681"/>
              <w:numPr>
                <w:ilvl w:val="0"/>
                <w:numId w:val="3"/>
              </w:numPr>
              <w:ind w:left="0" w:right="0" w:firstLine="482"/>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对项目背景与建设目标的理解（1分）</w:t>
            </w:r>
            <w:r>
              <w:rPr>
                <w:rFonts w:hint="eastAsia" w:ascii="宋体" w:hAnsi="宋体" w:eastAsia="宋体" w:cs="宋体"/>
                <w:b w:val="0"/>
                <w:bCs w:val="0"/>
                <w:i w:val="0"/>
                <w:iCs w:val="0"/>
                <w:caps w:val="0"/>
                <w:color w:val="auto"/>
                <w:spacing w:val="0"/>
                <w:sz w:val="24"/>
                <w:szCs w:val="24"/>
                <w:highlight w:val="none"/>
                <w:shd w:val="clear" w:color="auto" w:fill="ffffff"/>
              </w:rPr>
              <w:t xml:space="preserve">：投标人需准确识别本项目4大痛点（自贸片区无独立门户、企业入口分散、决策缺数据支撑、数据跨境服务空白），并逐项提出针对性分析。</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4项痛点全部识别且有深入分析（每项痛点分析≥200字，含现状数据支撑）的得1分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识别3项痛点的得0.5分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识别≤2项或分析流于表面的得0分</w:t>
            </w:r>
            <w:r/>
          </w:p>
          <w:p>
            <w:pPr>
              <w:pStyle w:val="681"/>
              <w:ind w:left="0" w:right="0" w:firstLine="482"/>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（2）对业务需求的分析（</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b w:val="0"/>
                <w:bCs w:val="0"/>
                <w:i w:val="0"/>
                <w:iCs w:val="0"/>
                <w:caps w:val="0"/>
                <w:color w:val="auto"/>
                <w:spacing w:val="0"/>
                <w:sz w:val="24"/>
                <w:szCs w:val="24"/>
                <w:highlight w:val="none"/>
                <w:shd w:val="clear" w:color="auto" w:fill="ffffff"/>
              </w:rPr>
              <w:t xml:space="preserve">：投标人需针对三区块（开发区、连云、港口）的差异化业务需求进行分析。</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覆盖三区块且能区分各区块业务特点的得</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val="0"/>
                <w:bCs w:val="0"/>
                <w:i w:val="0"/>
                <w:iCs w:val="0"/>
                <w:caps w:val="0"/>
                <w:color w:val="auto"/>
                <w:spacing w:val="0"/>
                <w:sz w:val="24"/>
                <w:szCs w:val="24"/>
                <w:highlight w:val="none"/>
                <w:shd w:val="clear" w:color="auto" w:fill="ffffff"/>
              </w:rPr>
              <w:t xml:space="preserve">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覆盖三区块但未区分差异化需求的得1分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仅覆盖部分区块的得0.5分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未分析的得0分</w:t>
            </w:r>
            <w:r/>
          </w:p>
          <w:p>
            <w:pPr>
              <w:pStyle w:val="681"/>
              <w:ind w:left="0" w:right="0" w:firstLine="482"/>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（3）对建设难点及建设重点的把握（</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b w:val="0"/>
                <w:bCs w:val="0"/>
                <w:i w:val="0"/>
                <w:iCs w:val="0"/>
                <w:caps w:val="0"/>
                <w:color w:val="auto"/>
                <w:spacing w:val="0"/>
                <w:sz w:val="24"/>
                <w:szCs w:val="24"/>
                <w:highlight w:val="none"/>
                <w:shd w:val="clear" w:color="auto" w:fill="ffffff"/>
              </w:rPr>
              <w:t xml:space="preserve">：投标人需识别本项目关键难点（至少包含：4~6个外部系统接口对接难度、45天核心功能上线的工期压力、数据不出境的信创约束）。</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3项难点全部识别且每项均提出应对思路的得1.5分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识别2项难点的得1分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识别1项难点的得0.5分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未识别的得0分</w:t>
            </w:r>
            <w:r/>
          </w:p>
          <w:p>
            <w:pPr>
              <w:pStyle w:val="681"/>
              <w:ind w:left="0" w:right="0" w:firstLine="482"/>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（4）系统性解决思路与分阶段落地路径（1分）</w:t>
            </w:r>
            <w:r>
              <w:rPr>
                <w:rFonts w:hint="eastAsia" w:ascii="宋体" w:hAnsi="宋体" w:eastAsia="宋体" w:cs="宋体"/>
                <w:b w:val="0"/>
                <w:bCs w:val="0"/>
                <w:i w:val="0"/>
                <w:iCs w:val="0"/>
                <w:caps w:val="0"/>
                <w:color w:val="auto"/>
                <w:spacing w:val="0"/>
                <w:sz w:val="24"/>
                <w:szCs w:val="24"/>
                <w:highlight w:val="none"/>
                <w:shd w:val="clear" w:color="auto" w:fill="ffffff"/>
              </w:rPr>
              <w:t xml:space="preserve">：投标人需提出与上述痛点一一对应的解决思路，并明确分阶段落地路径（需求分析→核心功能开发→全面开发→试运行验收）。</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解决思路完整且覆盖全部痛点、分阶段路径清晰可执行的得1分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解决思路基本完整但缺少1个痛点对应的解决思路的得0.5分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rPr>
              <w:t xml:space="preserve">无系统性思路或无分阶段路径的得0分</w:t>
            </w:r>
            <w:r/>
          </w:p>
        </w:tc>
      </w:tr>
      <w:tr>
        <w:trPr>
          <w:jc w:val="center"/>
          <w:trHeight w:val="522"/>
        </w:trPr>
        <w:tc>
          <w:tcPr>
            <w:tcW w:w="173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总体架构与设计方案</w:t>
            </w:r>
            <w:r/>
          </w:p>
        </w:tc>
        <w:tc>
          <w:tcPr>
            <w:tcW w:w="86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W w:w="6575" w:type="dxa"/>
            <w:vAlign w:val="center"/>
            <w:textDirection w:val="lrTb"/>
            <w:noWrap w:val="false"/>
          </w:tcPr>
          <w:p>
            <w:pPr>
              <w:pStyle w:val="681"/>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（1）对“1+2+7”架构各层定位及数据流、业务流衔接的理解（</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rPr>
              <w:t xml:space="preserve">：需逐一说明1个数据底座、2个服务终端、7大业务板块的功能定位，并绘制数据流/业务流衔接图。</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全部层级说明清楚且附完整数据流/业务流图的得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说明基本清楚但缺少数据流/业务流图的得1分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仅说明部分层级或说明不清的得0.5分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未说明的得0分</w:t>
            </w:r>
            <w:r/>
          </w:p>
          <w:p>
            <w:pPr>
              <w:pStyle w:val="681"/>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（2）技术路线选型及先进性（</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rPr>
              <w:t xml:space="preserve">：需明确说明微服务架构、前后端分离、容器化部署等技术的选型依据。</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技术路线明确（含微服务框架具体选型、前后端技术栈、容器化方案）且说明选型依据的得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技术路线较明确但缺少选型依据说明的得1分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泛泛描述技术路线但未给出具体选型的得0.5分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未说明的得0分</w:t>
            </w:r>
            <w:r/>
          </w:p>
          <w:p>
            <w:pPr>
              <w:pStyle w:val="681"/>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（3）国产化（信创）方案覆盖的关键环节及适配（1分）</w:t>
            </w:r>
            <w:r>
              <w:rPr>
                <w:rFonts w:hint="eastAsia" w:ascii="宋体" w:hAnsi="宋体" w:eastAsia="宋体" w:cs="宋体"/>
                <w:i w:val="0"/>
                <w:iCs w:val="0"/>
                <w:caps w:val="0"/>
                <w:color w:val="auto"/>
                <w:spacing w:val="0"/>
                <w:sz w:val="24"/>
                <w:szCs w:val="24"/>
                <w:highlight w:val="none"/>
                <w:shd w:val="clear" w:color="auto" w:fill="ffffff"/>
              </w:rPr>
              <w:t xml:space="preserve">：需明确说明芯片、操作系统、数据库、中间件、浏览器等关键环节的国产化选型。</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覆盖≥4个关键环节且给出具体产品型号或技术方案的得1分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覆盖3个关键环节的得0.5分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覆盖≤2个关键环节或仅笼统表述的得0分</w:t>
            </w:r>
            <w:r/>
          </w:p>
          <w:p>
            <w:pPr>
              <w:pStyle w:val="681"/>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（4）可扩展性与可维护性机制（1分）</w:t>
            </w:r>
            <w:r>
              <w:rPr>
                <w:rFonts w:hint="eastAsia" w:ascii="宋体" w:hAnsi="宋体" w:eastAsia="宋体" w:cs="宋体"/>
                <w:i w:val="0"/>
                <w:iCs w:val="0"/>
                <w:caps w:val="0"/>
                <w:color w:val="auto"/>
                <w:spacing w:val="0"/>
                <w:sz w:val="24"/>
                <w:szCs w:val="24"/>
                <w:highlight w:val="none"/>
                <w:shd w:val="clear" w:color="auto" w:fill="ffffff"/>
              </w:rPr>
              <w:t xml:space="preserve">：需说明模块化设计、接口标准化、监控日志、版本管理等方面的具体机制。</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4项机制均有具体说明的得1分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覆盖2~3项机制且有具体说明的得0.5分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覆盖≤1项或无具体说明的得0分</w:t>
            </w:r>
            <w:r/>
          </w:p>
        </w:tc>
      </w:tr>
      <w:tr>
        <w:trPr>
          <w:jc w:val="center"/>
          <w:trHeight w:val="522"/>
        </w:trPr>
        <w:tc>
          <w:tcPr>
            <w:tcW w:w="1736" w:type="dxa"/>
            <w:vAlign w:val="center"/>
            <w:textDirection w:val="lrTb"/>
            <w:noWrap w:val="false"/>
          </w:tcPr>
          <w:p>
            <w:pPr>
              <w:jc w:val="center"/>
              <w:rPr>
                <w:rFonts w:hint="eastAsia"/>
                <w:color w:val="auto"/>
                <w:sz w:val="24"/>
                <w:szCs w:val="24"/>
                <w:highlight w:val="none"/>
                <w:lang w:val="en-US" w:eastAsia="zh-CN"/>
              </w:rPr>
            </w:pPr>
            <w:r>
              <w:rPr>
                <w:rFonts w:hint="eastAsia"/>
                <w:color w:val="auto"/>
                <w:sz w:val="24"/>
                <w:szCs w:val="24"/>
                <w:highlight w:val="none"/>
              </w:rPr>
              <w:t xml:space="preserve">功能模块设计方案</w:t>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5分</w:t>
            </w:r>
            <w:r/>
          </w:p>
        </w:tc>
        <w:tc>
          <w:tcPr>
            <w:tcW w:w="6575" w:type="dxa"/>
            <w:vAlign w:val="center"/>
            <w:textDirection w:val="lrTb"/>
            <w:noWrap w:val="false"/>
          </w:tcPr>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投标人需对23个功能模块逐一提供设计方案，每个模块包含：功能说明（≥100字）、界面设计（含原型图或线框图）、业务流程设计（含流程图）。</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23个模块全部提供完整方案（含原型图+流程图）的得5分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20~22个模块提供完整方案的得4分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15~19个模块提供完整方案的得3分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10~14个模块提供完整方案的得2分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10个以下模块提供完整方案的得1分</w:t>
            </w:r>
            <w:r/>
          </w:p>
          <w:p>
            <w:pPr>
              <w:pStyle w:val="681"/>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tc>
      </w:tr>
      <w:tr>
        <w:trPr>
          <w:jc w:val="center"/>
          <w:trHeight w:val="522"/>
        </w:trPr>
        <w:tc>
          <w:tcPr>
            <w:tcW w:w="1736"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数据中台与系统集成方案</w:t>
            </w:r>
            <w:r/>
          </w:p>
        </w:tc>
        <w:tc>
          <w:tcPr>
            <w:tcW w:w="867" w:type="dxa"/>
            <w:vAlign w:val="center"/>
            <w:textDirection w:val="lrTb"/>
            <w:noWrap w:val="false"/>
          </w:tcPr>
          <w:p>
            <w:pPr>
              <w:jc w:val="center"/>
              <w:rPr>
                <w:rFonts w:hint="default"/>
                <w:color w:val="auto"/>
                <w:sz w:val="24"/>
                <w:szCs w:val="24"/>
                <w:highlight w:val="none"/>
                <w:lang w:val="en-US" w:eastAsia="zh-CN"/>
              </w:rPr>
            </w:pPr>
            <w:r>
              <w:rPr>
                <w:rFonts w:hint="eastAsia"/>
                <w:color w:val="auto"/>
                <w:sz w:val="24"/>
                <w:szCs w:val="24"/>
                <w:highlight w:val="none"/>
                <w:lang w:val="en-US" w:eastAsia="zh-CN"/>
              </w:rPr>
              <w:t xml:space="preserve">6分</w:t>
            </w:r>
            <w:r/>
          </w:p>
        </w:tc>
        <w:tc>
          <w:tcPr>
            <w:tcW w:w="6575" w:type="dxa"/>
            <w:vAlign w:val="center"/>
            <w:textDirection w:val="lrTb"/>
            <w:noWrap w:val="false"/>
          </w:tcPr>
          <w:p>
            <w:pPr>
              <w:pStyle w:val="681"/>
              <w:numPr>
                <w:ilvl w:val="0"/>
                <w:numId w:val="4"/>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数据对接方案（</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rPr>
              <w:t xml:space="preserve">：需明确列出对接4~6个数据源的清单、对接方式（API/文件交换/数据库直连）及数据标准。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全部数据源均明确对接方式和数据标准的得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明确对接方式但缺少数据标准说明的得1分；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仅列出数据源清单的得0.5分；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pStyle w:val="681"/>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（2）接口标准规范（</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需明确接口协议（RESTful等）、接口文档规范、数据格式（JSON/XML）、加密鉴权方式。</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4项均明确的得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明确3项的得1分；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明确≤2项的得0.5分；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pStyle w:val="681"/>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（3）集成路径实施步骤（1分）</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需明确“前台统一入口、后台专业处理”的集成路径及实施步骤。</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集成路径清晰且步骤可执行的得1分；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路径基本清晰但步骤不够具体的得0.5分；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pStyle w:val="681"/>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（4）风险应对措施（1分）</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需针对接口变更、数据质量、数据安全等至少3类风险提出应对措施。</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覆盖≥3类风险且每类有具体措施的得1分；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覆盖2类的得0.5分；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覆盖≤1类的得0分。</w:t>
            </w:r>
            <w:r/>
          </w:p>
        </w:tc>
      </w:tr>
      <w:tr>
        <w:trPr>
          <w:jc w:val="center"/>
          <w:trHeight w:val="522"/>
        </w:trPr>
        <w:tc>
          <w:tcPr>
            <w:tcW w:w="173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信息安全与信创方案</w:t>
            </w:r>
            <w:r/>
          </w:p>
        </w:tc>
        <w:tc>
          <w:tcPr>
            <w:tcW w:w="86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W w:w="6575" w:type="dxa"/>
            <w:vAlign w:val="center"/>
            <w:textDirection w:val="lrTb"/>
            <w:noWrap w:val="false"/>
          </w:tcPr>
          <w:p>
            <w:pPr>
              <w:pStyle w:val="681"/>
              <w:numPr>
                <w:ilvl w:val="0"/>
                <w:numId w:val="5"/>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等级保护安排（</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rPr>
              <w:t xml:space="preserve">：需明确等保二级的定级、建设整改方案、测评备案时间安排。</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3项均明确且时间节点可执行的得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明确2项的得1分；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明确1项的得0.5分；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pStyle w:val="681"/>
              <w:numPr>
                <w:ilvl w:val="0"/>
                <w:numId w:val="5"/>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网络安全防护体系（</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rPr>
              <w:t xml:space="preserve">：需逐一说明云防火墙、WAF、EDR、堡垒机、日志审计、数据加密等6项措施的作用与部署位置。</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覆盖全部6项且每项均说明部署位置的得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覆盖4~5项的得1分；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覆盖2~3项的得0.5分；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覆盖≤1项的得0分。</w:t>
            </w:r>
            <w:r/>
          </w:p>
          <w:p>
            <w:pPr>
              <w:pStyle w:val="681"/>
              <w:numPr>
                <w:ilvl w:val="0"/>
                <w:numId w:val="5"/>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数据跨境合规落地措施（1分）</w:t>
            </w:r>
            <w:r>
              <w:rPr>
                <w:rFonts w:hint="eastAsia" w:ascii="宋体" w:hAnsi="宋体" w:eastAsia="宋体" w:cs="宋体"/>
                <w:i w:val="0"/>
                <w:iCs w:val="0"/>
                <w:caps w:val="0"/>
                <w:color w:val="auto"/>
                <w:spacing w:val="0"/>
                <w:sz w:val="24"/>
                <w:szCs w:val="24"/>
                <w:highlight w:val="none"/>
                <w:shd w:val="clear" w:color="auto" w:fill="ffffff"/>
              </w:rPr>
              <w:t xml:space="preserve">：需结合苏网办发〔2025〕6号提出具体落地措施。</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有具体可落地的合规措施（含负面清单查询、合规路径导航、备案申报等）的得1分；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有一般性说明但缺少具体措施的得0.5分；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numPr>
                <w:ilvl w:val="0"/>
                <w:numId w:val="5"/>
              </w:numPr>
              <w:ind w:left="0" w:right="0" w:firstLine="482"/>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rPr>
              <w:t xml:space="preserve">国产化信创方案（1分）</w:t>
            </w:r>
            <w:r>
              <w:rPr>
                <w:rFonts w:hint="eastAsia" w:ascii="宋体" w:hAnsi="宋体" w:eastAsia="宋体" w:cs="宋体"/>
                <w:i w:val="0"/>
                <w:iCs w:val="0"/>
                <w:caps w:val="0"/>
                <w:color w:val="auto"/>
                <w:spacing w:val="0"/>
                <w:sz w:val="24"/>
                <w:szCs w:val="24"/>
                <w:highlight w:val="none"/>
                <w:shd w:val="clear" w:color="auto" w:fill="ffffff"/>
              </w:rPr>
              <w:t xml:space="preserve">：需明确服务器、操作系统、数据库、中间件等至少4类信创产品的选型。</w:t>
            </w:r>
            <w:r/>
          </w:p>
          <w:p>
            <w:pPr>
              <w:numPr>
                <w:ilvl w:val="0"/>
                <w:numId w:val="0"/>
              </w:numPr>
              <w:ind w:right="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覆盖≥4类且给出具体产品选型的得1分；</w:t>
            </w:r>
            <w:r/>
          </w:p>
          <w:p>
            <w:pPr>
              <w:numPr>
                <w:ilvl w:val="0"/>
                <w:numId w:val="0"/>
              </w:numPr>
              <w:ind w:right="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覆盖2~3类的得0.5分；</w:t>
            </w:r>
            <w:r/>
          </w:p>
          <w:p>
            <w:pPr>
              <w:numPr>
                <w:ilvl w:val="0"/>
                <w:numId w:val="0"/>
              </w:numPr>
              <w:ind w:right="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覆盖≤1类的得0分。</w:t>
            </w:r>
            <w:r/>
          </w:p>
        </w:tc>
      </w:tr>
      <w:tr>
        <w:trPr>
          <w:jc w:val="center"/>
          <w:trHeight w:val="522"/>
        </w:trPr>
        <w:tc>
          <w:tcPr>
            <w:tcW w:w="17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项目实施管理与进度计划</w:t>
            </w:r>
            <w:r/>
          </w:p>
        </w:tc>
        <w:tc>
          <w:tcPr>
            <w:tcW w:w="8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分</w:t>
            </w:r>
            <w:r/>
          </w:p>
        </w:tc>
        <w:tc>
          <w:tcPr>
            <w:tcW w:w="6575" w:type="dxa"/>
            <w:vAlign w:val="center"/>
            <w:textDirection w:val="lrTb"/>
            <w:noWrap w:val="false"/>
          </w:tcPr>
          <w:p>
            <w:pPr>
              <w:pStyle w:val="681"/>
              <w:numPr>
                <w:ilvl w:val="0"/>
                <w:numId w:val="6"/>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项目管理组织机构及职责分工（1分）</w:t>
            </w:r>
            <w:r>
              <w:rPr>
                <w:rFonts w:hint="eastAsia" w:ascii="宋体" w:hAnsi="宋体" w:eastAsia="宋体" w:cs="宋体"/>
                <w:i w:val="0"/>
                <w:iCs w:val="0"/>
                <w:caps w:val="0"/>
                <w:color w:val="auto"/>
                <w:spacing w:val="0"/>
                <w:sz w:val="24"/>
                <w:szCs w:val="24"/>
                <w:highlight w:val="none"/>
                <w:shd w:val="clear" w:color="auto" w:fill="ffffff"/>
              </w:rPr>
              <w:t xml:space="preserve">：需提供项目组织架构图，明确项目经理、需求分析师、架构师、开发工程师、测试工程师等岗位的职责分工。</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组织架构完整（覆盖≥6个岗位）且职责分工明确的得1分；</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覆盖4~5个岗位的得0.5分；</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覆盖≤3个岗位的得0分。</w:t>
            </w:r>
            <w:r/>
          </w:p>
          <w:p>
            <w:pPr>
              <w:pStyle w:val="681"/>
              <w:numPr>
                <w:ilvl w:val="0"/>
                <w:numId w:val="4"/>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实施计划关键节点及阶段任务分解（2分）</w:t>
            </w:r>
            <w:r>
              <w:rPr>
                <w:rFonts w:hint="eastAsia" w:ascii="宋体" w:hAnsi="宋体" w:eastAsia="宋体" w:cs="宋体"/>
                <w:i w:val="0"/>
                <w:iCs w:val="0"/>
                <w:caps w:val="0"/>
                <w:color w:val="auto"/>
                <w:spacing w:val="0"/>
                <w:sz w:val="24"/>
                <w:szCs w:val="24"/>
                <w:highlight w:val="none"/>
                <w:shd w:val="clear" w:color="auto" w:fill="ffffff"/>
              </w:rPr>
              <w:t xml:space="preserve">：需明确四个阶段（需求分析与详细设计、核心功能开发与初步上线、全面开发与系统集成、试运行与验收）的关键节点、交付物及时间安排。</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四阶段全部明确且每阶段均有交付物清单的得2分；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明确3个阶段的得1.5分；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明确2个阶段的得1分；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明确≤1个阶段的得0.5分；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pStyle w:val="681"/>
              <w:numPr>
                <w:ilvl w:val="0"/>
                <w:numId w:val="4"/>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进度保障措施与风险控制（1分）</w:t>
            </w:r>
            <w:r>
              <w:rPr>
                <w:rFonts w:hint="eastAsia" w:ascii="宋体" w:hAnsi="宋体" w:eastAsia="宋体" w:cs="宋体"/>
                <w:i w:val="0"/>
                <w:iCs w:val="0"/>
                <w:caps w:val="0"/>
                <w:color w:val="auto"/>
                <w:spacing w:val="0"/>
                <w:sz w:val="24"/>
                <w:szCs w:val="24"/>
                <w:highlight w:val="none"/>
                <w:shd w:val="clear" w:color="auto" w:fill="ffffff"/>
              </w:rPr>
              <w:t xml:space="preserve">：需明确预留20%缓冲时间的具体安排及应对接口联调、需求变更等风险的措施。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有明确的缓冲时间安排且覆盖≥2类风险的应对措施的得1分；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仅有缓冲时间安排但无风险应对措施的得0.5分；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未提供的得0分。</w:t>
            </w:r>
            <w:r/>
          </w:p>
          <w:p>
            <w:pPr>
              <w:pStyle w:val="681"/>
              <w:numPr>
                <w:ilvl w:val="0"/>
                <w:numId w:val="4"/>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质量保证体系（1分）</w:t>
            </w:r>
            <w:r>
              <w:rPr>
                <w:rFonts w:hint="eastAsia" w:ascii="宋体" w:hAnsi="宋体" w:eastAsia="宋体" w:cs="宋体"/>
                <w:i w:val="0"/>
                <w:iCs w:val="0"/>
                <w:caps w:val="0"/>
                <w:color w:val="auto"/>
                <w:spacing w:val="0"/>
                <w:sz w:val="24"/>
                <w:szCs w:val="24"/>
                <w:highlight w:val="none"/>
                <w:shd w:val="clear" w:color="auto" w:fill="ffffff"/>
              </w:rPr>
              <w:t xml:space="preserve">：需说明代码审查、测试流程、缺陷管理等质量保证机制。</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3项机制均有具体说明的得1分；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覆盖2项的得0.5分；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覆盖≤1项的得0分。</w:t>
            </w:r>
            <w:r/>
          </w:p>
        </w:tc>
      </w:tr>
      <w:tr>
        <w:trPr>
          <w:jc w:val="center"/>
          <w:trHeight w:val="522"/>
        </w:trPr>
        <w:tc>
          <w:tcPr>
            <w:tcW w:w="17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运行维护与售后服务方案</w:t>
            </w:r>
            <w:r/>
          </w:p>
        </w:tc>
        <w:tc>
          <w:tcPr>
            <w:tcW w:w="86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分</w:t>
            </w:r>
            <w:r/>
          </w:p>
        </w:tc>
        <w:tc>
          <w:tcPr>
            <w:tcW w:w="6575" w:type="dxa"/>
            <w:vAlign w:val="center"/>
            <w:textDirection w:val="lrTb"/>
            <w:noWrap w:val="false"/>
          </w:tcPr>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）运维组织、服务范围及运维机制（1分）</w:t>
            </w:r>
            <w:r>
              <w:rPr>
                <w:rFonts w:hint="eastAsia" w:ascii="宋体" w:hAnsi="宋体" w:eastAsia="宋体" w:cs="宋体"/>
                <w:i w:val="0"/>
                <w:iCs w:val="0"/>
                <w:caps w:val="0"/>
                <w:color w:val="auto"/>
                <w:spacing w:val="0"/>
                <w:sz w:val="24"/>
                <w:szCs w:val="24"/>
                <w:highlight w:val="none"/>
                <w:shd w:val="clear" w:color="auto" w:fill="ffffff"/>
              </w:rPr>
              <w:t xml:space="preserve">：需明确运维团队人员配置、服务范围（含日常运行监控、故障排查、性能优化、数据备份等）、运维工作流程。</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3项均明确且具体的得1分；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明确2项的得0.5分；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明确≤1项的得0分。</w:t>
            </w:r>
            <w:r/>
          </w:p>
          <w:p>
            <w:pPr>
              <w:pStyle w:val="681"/>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（2）7×24小时服务响应及故障分级处置（2分）</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需明确响应渠道、故障分级标准（一般故障/重大故障）、各级别响应时限及处置流程。有明确的故障分级标准（≥2级）且每级均有响应时限和处置流程的得2分；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有分级但部分级别缺少处置流程的得1.5分；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仅有响应时限承诺但无分级处置流程的得1分；</w:t>
            </w:r>
            <w:r/>
          </w:p>
          <w:p>
            <w:pPr>
              <w:pStyle w:val="681"/>
              <w:ind w:left="0"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仅有一般性承诺的得0.5分；未提供的得0分。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月度运维报告及知识库维护协助（1分）</w:t>
            </w:r>
            <w:r>
              <w:rPr>
                <w:rFonts w:hint="eastAsia" w:ascii="宋体" w:hAnsi="宋体" w:eastAsia="宋体" w:cs="宋体"/>
                <w:i w:val="0"/>
                <w:iCs w:val="0"/>
                <w:caps w:val="0"/>
                <w:color w:val="auto"/>
                <w:spacing w:val="0"/>
                <w:sz w:val="24"/>
                <w:szCs w:val="24"/>
                <w:highlight w:val="none"/>
                <w:shd w:val="clear" w:color="auto" w:fill="ffffff"/>
              </w:rPr>
              <w:t xml:space="preserve">：需明确月度运维报告的内容框架（如故障统计、性能指标、安全事件、内容更新台账等）及知识库维护协助的具体方式（如每月新增/修订知识条目数量、更新流程等）。</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有明确报告框架和知识库维护协助安排的得1分；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仅有其中一项的得0.5分；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b/>
                <w:bCs/>
                <w:i w:val="0"/>
                <w:iCs w:val="0"/>
                <w:caps w:val="0"/>
                <w:color w:val="auto"/>
                <w:spacing w:val="0"/>
                <w:sz w:val="24"/>
                <w:szCs w:val="24"/>
                <w:highlight w:val="none"/>
                <w:shd w:val="clear" w:color="auto" w:fill="ffffff"/>
              </w:rPr>
              <w:t xml:space="preserve">应急预案（1分</w:t>
            </w:r>
            <w:r>
              <w:rPr>
                <w:rFonts w:hint="eastAsia" w:ascii="宋体" w:hAnsi="宋体" w:eastAsia="宋体" w:cs="宋体"/>
                <w:i w:val="0"/>
                <w:iCs w:val="0"/>
                <w:caps w:val="0"/>
                <w:color w:val="auto"/>
                <w:spacing w:val="0"/>
                <w:sz w:val="24"/>
                <w:szCs w:val="24"/>
                <w:highlight w:val="none"/>
                <w:shd w:val="clear" w:color="auto" w:fill="ffffff"/>
              </w:rPr>
              <w:t xml:space="preserve">：需针对系统宕机、数据丢失、安全事件等至少3类场景提供应急预案。</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覆盖≥3类场景且每类有明确处置步骤的得1分；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覆盖2类的得0.5分；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覆盖≤1类的得0分。</w:t>
            </w:r>
            <w:r/>
          </w:p>
        </w:tc>
      </w:tr>
      <w:tr>
        <w:trPr>
          <w:jc w:val="center"/>
          <w:trHeight w:val="522"/>
        </w:trPr>
        <w:tc>
          <w:tcPr>
            <w:tcW w:w="17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培训与知识转移方案</w:t>
            </w:r>
            <w:r/>
          </w:p>
        </w:tc>
        <w:tc>
          <w:tcPr>
            <w:tcW w:w="86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W w:w="6575" w:type="dxa"/>
            <w:vAlign w:val="center"/>
            <w:textDirection w:val="lrTb"/>
            <w:noWrap w:val="false"/>
          </w:tcPr>
          <w:p>
            <w:pPr>
              <w:pStyle w:val="681"/>
              <w:numPr>
                <w:ilvl w:val="0"/>
                <w:numId w:val="7"/>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培训计划（</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color w:val="auto"/>
                <w:highlight w:val="none"/>
              </w:rPr>
              <w:t xml:space="preserve">需明确系统操作、内容维护、知识库管理、日常运维等4类培训的内容、对象及时间安排。</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4类培训均有明确安排（含培训对象、课时、时间节点）的得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覆盖3类的得1分；</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color w:val="auto"/>
                <w:highlight w:val="none"/>
              </w:rPr>
              <w:t xml:space="preserve">覆盖2类的得0.5</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覆盖≤1类的得0分。</w:t>
            </w:r>
            <w:r/>
          </w:p>
          <w:p>
            <w:pPr>
              <w:pStyle w:val="681"/>
              <w:numPr>
                <w:ilvl w:val="0"/>
                <w:numId w:val="7"/>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培训教材编制与交付（</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rPr>
              <w:t xml:space="preserve">：需明确操作手册、运维文档等教材的编制计划和交付时间。</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有完整教材编制计划（含教材清单、编制时间、交付时间）的得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分；</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有教材清单但缺少时间安排的得1分；</w:t>
            </w:r>
            <w:r/>
          </w:p>
          <w:p>
            <w:pPr>
              <w:pStyle w:val="681"/>
              <w:numPr>
                <w:ilvl w:val="0"/>
                <w:numId w:val="0"/>
              </w:numPr>
              <w:ind w:right="0" w:firstLine="48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仅一般性承诺的得0.5分；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pStyle w:val="681"/>
              <w:numPr>
                <w:ilvl w:val="0"/>
                <w:numId w:val="7"/>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培训考核方式及合格标准（1分）</w:t>
            </w:r>
            <w:r>
              <w:rPr>
                <w:rFonts w:hint="eastAsia" w:ascii="宋体" w:hAnsi="宋体" w:eastAsia="宋体" w:cs="宋体"/>
                <w:i w:val="0"/>
                <w:iCs w:val="0"/>
                <w:caps w:val="0"/>
                <w:color w:val="auto"/>
                <w:spacing w:val="0"/>
                <w:sz w:val="24"/>
                <w:szCs w:val="24"/>
                <w:highlight w:val="none"/>
                <w:shd w:val="clear" w:color="auto" w:fill="ffffff"/>
              </w:rPr>
              <w:t xml:space="preserve">：需明确考核方式（笔试/实操/综合）及合格标准（如≥80分为合格）。</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考核方式和合格标准均明确的得1分；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仅明确其中一项的得0.5分；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未提供的得0分。</w:t>
            </w:r>
            <w:r/>
          </w:p>
          <w:p>
            <w:pPr>
              <w:pStyle w:val="681"/>
              <w:numPr>
                <w:ilvl w:val="0"/>
                <w:numId w:val="7"/>
              </w:numPr>
              <w:ind w:left="0" w:right="0" w:firstLine="482"/>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知识转移方式（1分）</w:t>
            </w:r>
            <w:r>
              <w:rPr>
                <w:rFonts w:hint="eastAsia" w:ascii="宋体" w:hAnsi="宋体" w:eastAsia="宋体" w:cs="宋体"/>
                <w:i w:val="0"/>
                <w:iCs w:val="0"/>
                <w:caps w:val="0"/>
                <w:color w:val="auto"/>
                <w:spacing w:val="0"/>
                <w:sz w:val="24"/>
                <w:szCs w:val="24"/>
                <w:highlight w:val="none"/>
                <w:shd w:val="clear" w:color="auto" w:fill="ffffff"/>
              </w:rPr>
              <w:t xml:space="preserve">：需明确文档移交、现场带教、答疑支持等至少3种知识转移方式。</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覆盖≥3种方式的得1分；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覆盖2种的得0.5分；</w:t>
            </w:r>
            <w:r/>
          </w:p>
          <w:p>
            <w:pPr>
              <w:pStyle w:val="681"/>
              <w:numPr>
                <w:ilvl w:val="0"/>
                <w:numId w:val="0"/>
              </w:numPr>
              <w:ind w:right="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覆盖≤1种的得0分。</w:t>
            </w:r>
            <w:bookmarkEnd w:id="14"/>
            <w:r/>
          </w:p>
        </w:tc>
      </w:tr>
    </w:tbl>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45"/>
        <w:jc w:val="both"/>
        <w:spacing w:line="360" w:lineRule="auto"/>
        <w:rPr>
          <w:rFonts w:hint="eastAsia" w:ascii="宋体" w:hAnsi="宋体" w:eastAsia="宋体" w:cs="宋体"/>
          <w:b w:val="0"/>
          <w:color w:val="auto"/>
          <w:highlight w:val="none"/>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outlineLvl w:val="9"/>
      </w:pPr>
      <w:r/>
      <w:bookmarkStart w:id="15" w:name="_Toc165205799"/>
      <w:r/>
      <w:bookmarkEnd w:id="15"/>
      <w:r/>
    </w:p>
    <w:p>
      <w:pPr>
        <w:pStyle w:val="645"/>
        <w:jc w:val="center"/>
        <w:spacing w:before="156" w:after="156" w:line="360" w:lineRule="auto"/>
        <w:rPr>
          <w:rFonts w:hint="eastAsia" w:ascii="黑体" w:hAnsi="黑体" w:eastAsia="黑体"/>
          <w:b w:val="0"/>
          <w:color w:val="auto"/>
          <w:highlight w:val="none"/>
        </w:rPr>
      </w:pPr>
      <w:r/>
      <w:bookmarkStart w:id="16" w:name="_Toc20507"/>
      <w:r/>
      <w:bookmarkStart w:id="17" w:name="_Toc155796361"/>
      <w:r>
        <w:rPr>
          <w:rFonts w:hint="eastAsia" w:ascii="Times New Roman" w:hAnsi="Times New Roman" w:eastAsia="黑体" w:cs="Times New Roman"/>
          <w:b w:val="0"/>
          <w:color w:val="auto"/>
          <w:highlight w:val="none"/>
        </w:rPr>
        <w:t xml:space="preserve">第六章  投标文件格式</w:t>
      </w:r>
      <w:bookmarkEnd w:id="16"/>
      <w:r/>
      <w:bookmarkEnd w:id="17"/>
      <w:r/>
      <w:r/>
    </w:p>
    <w:p>
      <w:pPr>
        <w:jc w:val="left"/>
        <w:spacing w:line="500" w:lineRule="exact"/>
        <w:rPr>
          <w:color w:val="auto"/>
          <w:sz w:val="24"/>
          <w:szCs w:val="24"/>
          <w:highlight w:val="none"/>
        </w:rPr>
      </w:pPr>
      <w:r>
        <w:rPr>
          <w:color w:val="auto"/>
          <w:sz w:val="24"/>
          <w:szCs w:val="24"/>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color w:val="auto"/>
          <w:sz w:val="36"/>
          <w:highlight w:val="none"/>
          <w:u w:val="single"/>
        </w:rPr>
        <w:outlineLvl w:val="1"/>
      </w:pPr>
      <w:r>
        <w:rPr>
          <w:rFonts w:hint="eastAsia" w:ascii="Times New Roman" w:hAnsi="Times New Roman" w:eastAsia="宋体" w:cs="Times New Roman"/>
          <w:i/>
          <w:color w:val="auto"/>
          <w:sz w:val="36"/>
          <w:highlight w:val="none"/>
          <w:u w:val="single"/>
        </w:rPr>
        <w:t xml:space="preserve">二、上一年度的财务状况报告</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olor w:val="auto"/>
          <w:szCs w:val="24"/>
          <w:highlight w:val="none"/>
        </w:rPr>
      </w:pPr>
      <w:r>
        <w:rPr>
          <w:rFonts w:ascii="MS Mincho"/>
          <w:color w:val="auto"/>
          <w:szCs w:val="24"/>
          <w:highlight w:val="none"/>
        </w:rPr>
      </w:r>
      <w:r/>
    </w:p>
    <w:p>
      <w:pPr>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致：</w:t>
      </w:r>
      <w:r>
        <w:rPr>
          <w:rFonts w:hint="eastAsia" w:ascii="Times New Roman" w:hAnsi="Times New Roman" w:eastAsia="宋体" w:cs="Times New Roman"/>
          <w:i/>
          <w:color w:val="auto"/>
          <w:sz w:val="24"/>
          <w:szCs w:val="24"/>
          <w:highlight w:val="none"/>
          <w:u w:val="single"/>
        </w:rPr>
        <w:t xml:space="preserve">采购人名称</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我方</w:t>
      </w:r>
      <w:r>
        <w:rPr>
          <w:rFonts w:hint="eastAsia" w:ascii="Times New Roman" w:hAnsi="Times New Roman" w:eastAsia="宋体" w:cs="Times New Roman"/>
          <w:i/>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参加</w:t>
      </w:r>
      <w:r>
        <w:rPr>
          <w:rFonts w:hint="eastAsia" w:ascii="Times New Roman" w:hAnsi="Times New Roman" w:eastAsia="宋体" w:cs="Times New Roman"/>
          <w:i/>
          <w:color w:val="auto"/>
          <w:sz w:val="24"/>
          <w:szCs w:val="24"/>
          <w:highlight w:val="none"/>
          <w:u w:val="single"/>
        </w:rPr>
        <w:t xml:space="preserve">项目名称</w:t>
      </w:r>
      <w:r>
        <w:rPr>
          <w:rFonts w:hint="eastAsia"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i/>
          <w:color w:val="auto"/>
          <w:sz w:val="24"/>
          <w:szCs w:val="24"/>
          <w:highlight w:val="none"/>
          <w:u w:val="single"/>
        </w:rPr>
        <w:t xml:space="preserve">项目编号</w:t>
      </w:r>
      <w:r>
        <w:rPr>
          <w:rFonts w:hint="eastAsia" w:ascii="Times New Roman" w:hAnsi="Times New Roman"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（2）有依法缴纳税收和社会保障资金的良好记录。</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特此承诺</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供应商（公章）：</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或委托代理人（签名或签章）：</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四、具备履行合同所必需的设备和专业技术能力的声明及证明材料</w:t>
      </w:r>
      <w:r/>
    </w:p>
    <w:p>
      <w:pPr>
        <w:jc w:val="center"/>
        <w:spacing w:line="460" w:lineRule="exact"/>
        <w:rPr>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。（须附证明材料）</w:t>
      </w:r>
      <w:r/>
    </w:p>
    <w:p>
      <w:pPr>
        <w:jc w:val="left"/>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。（须附证明材料）</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left"/>
        <w:rPr>
          <w:rFonts w:ascii="MS Mincho"/>
          <w:color w:val="auto"/>
          <w:szCs w:val="24"/>
          <w:highlight w:val="none"/>
        </w:rPr>
      </w:pPr>
      <w:r>
        <w:rPr>
          <w:rFonts w:ascii="MS Mincho"/>
          <w:color w:val="auto"/>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六、法律、行政法规规定的其他条件的证明文件</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七、落实政府采购政策需满足的资格要求的证明文件</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八、特定资格要求的证明文件</w:t>
      </w:r>
      <w:r/>
    </w:p>
    <w:p>
      <w:pPr>
        <w:ind w:firstLine="480"/>
        <w:jc w:val="left"/>
        <w:spacing w:line="500" w:lineRule="exact"/>
        <w:rPr>
          <w:color w:val="auto"/>
          <w:sz w:val="24"/>
          <w:szCs w:val="24"/>
          <w:highlight w:val="none"/>
        </w:rPr>
      </w:pPr>
      <w:r>
        <w:rPr>
          <w:rFonts w:hint="eastAsia" w:ascii="Times New Roman" w:hAnsi="Times New Roman"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九、授权委托书与法定代表人（单位负责人）身份证明</w:t>
      </w:r>
      <w:r/>
    </w:p>
    <w:p>
      <w:pPr>
        <w:jc w:val="center"/>
        <w:spacing w:line="360" w:lineRule="exact"/>
        <w:rPr>
          <w:rFonts w:hint="eastAsia" w:ascii="宋体" w:hAnsi="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color w:val="auto"/>
          <w:sz w:val="24"/>
          <w:szCs w:val="24"/>
          <w:highlight w:val="none"/>
        </w:rPr>
      </w:pPr>
      <w:r>
        <w:rPr>
          <w:rFonts w:ascii="Times New Roman" w:hAnsi="Times New Roman"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采购单位</w:t>
      </w:r>
      <w:r/>
    </w:p>
    <w:p>
      <w:pPr>
        <w:ind w:firstLine="420"/>
        <w:jc w:val="left"/>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本人</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姓名</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系</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投标人</w:t>
      </w:r>
      <w:r>
        <w:rPr>
          <w:rFonts w:ascii="Times New Roman" w:hAnsi="Times New Roman" w:eastAsia="宋体" w:cs="Times New Roman"/>
          <w:color w:val="auto"/>
          <w:sz w:val="24"/>
          <w:szCs w:val="24"/>
          <w:highlight w:val="none"/>
          <w:u w:val="single"/>
        </w:rPr>
        <w:t xml:space="preserve">名称）</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法定代表人（</w:t>
      </w:r>
      <w:r>
        <w:rPr>
          <w:rFonts w:hint="eastAsia" w:ascii="Times New Roman" w:hAnsi="Times New Roman" w:eastAsia="宋体" w:cs="Times New Roman"/>
          <w:color w:val="auto"/>
          <w:sz w:val="24"/>
          <w:szCs w:val="24"/>
          <w:highlight w:val="none"/>
        </w:rPr>
        <w:t xml:space="preserve">单位</w:t>
      </w:r>
      <w:r>
        <w:rPr>
          <w:rFonts w:ascii="Times New Roman" w:hAnsi="Times New Roman" w:eastAsia="宋体" w:cs="Times New Roman"/>
          <w:color w:val="auto"/>
          <w:sz w:val="24"/>
          <w:szCs w:val="24"/>
          <w:highlight w:val="none"/>
        </w:rPr>
        <w:t xml:space="preserve">负责人）</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现委托</w:t>
      </w:r>
      <w:r>
        <w:rPr>
          <w:rFonts w:hint="eastAsia" w:ascii="Times New Roman" w:hAnsi="Times New Roman" w:eastAsia="宋体" w:cs="Times New Roman"/>
          <w:color w:val="auto"/>
          <w:sz w:val="24"/>
          <w:szCs w:val="24"/>
          <w:highlight w:val="none"/>
          <w:u w:val="single"/>
        </w:rPr>
        <w:t xml:space="preserve"> （姓名</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为</w:t>
      </w:r>
      <w:r>
        <w:rPr>
          <w:rFonts w:ascii="Times New Roman" w:hAnsi="Times New Roman" w:eastAsia="宋体" w:cs="Times New Roman"/>
          <w:color w:val="auto"/>
          <w:sz w:val="24"/>
          <w:szCs w:val="24"/>
          <w:highlight w:val="none"/>
        </w:rPr>
        <w:t xml:space="preserve">我方代理人。</w:t>
      </w:r>
      <w:r>
        <w:rPr>
          <w:rFonts w:hint="eastAsia" w:ascii="Times New Roman" w:hAnsi="Times New Roman" w:eastAsia="宋体" w:cs="Times New Roman"/>
          <w:color w:val="auto"/>
          <w:sz w:val="24"/>
          <w:szCs w:val="24"/>
          <w:highlight w:val="none"/>
        </w:rPr>
        <w:t xml:space="preserve">代理人根据</w:t>
      </w:r>
      <w:r>
        <w:rPr>
          <w:rFonts w:ascii="Times New Roman" w:hAnsi="Times New Roman" w:eastAsia="宋体" w:cs="Times New Roman"/>
          <w:color w:val="auto"/>
          <w:sz w:val="24"/>
          <w:szCs w:val="24"/>
          <w:highlight w:val="none"/>
        </w:rPr>
        <w:t xml:space="preserve">授权，以我方名义签署、澄清确认、递交、撤回、修改</w:t>
      </w:r>
      <w:r>
        <w:rPr>
          <w:rFonts w:hint="eastAsia" w:ascii="Times New Roman" w:hAnsi="Times New Roman" w:eastAsia="宋体" w:cs="Times New Roman"/>
          <w:color w:val="auto"/>
          <w:sz w:val="24"/>
          <w:szCs w:val="24"/>
          <w:highlight w:val="none"/>
          <w:u w:val="single"/>
        </w:rPr>
        <w:t xml:space="preserve"> （项目名称） </w:t>
      </w:r>
      <w:r>
        <w:rPr>
          <w:rFonts w:hint="eastAsia" w:ascii="Times New Roman" w:hAnsi="Times New Roman" w:eastAsia="宋体" w:cs="Times New Roman"/>
          <w:color w:val="auto"/>
          <w:sz w:val="24"/>
          <w:szCs w:val="24"/>
          <w:highlight w:val="none"/>
        </w:rPr>
        <w:t xml:space="preserve">项目（项目编号：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）投标</w:t>
      </w:r>
      <w:r>
        <w:rPr>
          <w:rFonts w:ascii="Times New Roman" w:hAnsi="Times New Roman" w:eastAsia="宋体" w:cs="Times New Roman"/>
          <w:color w:val="auto"/>
          <w:sz w:val="24"/>
          <w:szCs w:val="24"/>
          <w:highlight w:val="none"/>
        </w:rPr>
        <w:t xml:space="preserve">文件</w:t>
      </w:r>
      <w:r>
        <w:rPr>
          <w:rFonts w:hint="eastAsia" w:ascii="Times New Roman" w:hAnsi="Times New Roman" w:eastAsia="宋体" w:cs="Times New Roman"/>
          <w:color w:val="auto"/>
          <w:sz w:val="24"/>
          <w:szCs w:val="24"/>
          <w:highlight w:val="none"/>
        </w:rPr>
        <w:t xml:space="preserve">和</w:t>
      </w:r>
      <w:r>
        <w:rPr>
          <w:rFonts w:ascii="Times New Roman" w:hAnsi="Times New Roman" w:eastAsia="宋体" w:cs="Times New Roman"/>
          <w:color w:val="auto"/>
          <w:sz w:val="24"/>
          <w:szCs w:val="24"/>
          <w:highlight w:val="none"/>
        </w:rPr>
        <w:t xml:space="preserve">处理有关事宜，其法律后果由我方承担。</w:t>
      </w:r>
      <w:r/>
    </w:p>
    <w:p>
      <w:pPr>
        <w:ind w:firstLine="420"/>
        <w:jc w:val="left"/>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委托</w:t>
      </w:r>
      <w:r>
        <w:rPr>
          <w:rFonts w:ascii="Times New Roman" w:hAnsi="Times New Roman" w:eastAsia="宋体" w:cs="Times New Roman"/>
          <w:color w:val="auto"/>
          <w:sz w:val="24"/>
          <w:szCs w:val="24"/>
          <w:highlight w:val="none"/>
        </w:rPr>
        <w:t xml:space="preserve">期限：自本</w:t>
      </w:r>
      <w:r>
        <w:rPr>
          <w:rFonts w:hint="eastAsia" w:ascii="Times New Roman" w:hAnsi="Times New Roman" w:eastAsia="宋体" w:cs="Times New Roman"/>
          <w:color w:val="auto"/>
          <w:sz w:val="24"/>
          <w:szCs w:val="24"/>
          <w:highlight w:val="none"/>
        </w:rPr>
        <w:t xml:space="preserve">授权</w:t>
      </w:r>
      <w:r>
        <w:rPr>
          <w:rFonts w:ascii="Times New Roman" w:hAnsi="Times New Roman" w:eastAsia="宋体" w:cs="Times New Roman"/>
          <w:color w:val="auto"/>
          <w:sz w:val="24"/>
          <w:szCs w:val="24"/>
          <w:highlight w:val="none"/>
        </w:rPr>
        <w:t xml:space="preserve">委托书签署之日起至</w:t>
      </w:r>
      <w:r>
        <w:rPr>
          <w:rFonts w:hint="eastAsia" w:ascii="Times New Roman" w:hAnsi="Times New Roman" w:eastAsia="宋体" w:cs="Times New Roman"/>
          <w:color w:val="auto"/>
          <w:sz w:val="24"/>
          <w:szCs w:val="24"/>
          <w:highlight w:val="none"/>
        </w:rPr>
        <w:t xml:space="preserve">响应</w:t>
      </w:r>
      <w:r>
        <w:rPr>
          <w:rFonts w:ascii="Times New Roman" w:hAnsi="Times New Roman" w:eastAsia="宋体" w:cs="Times New Roman"/>
          <w:color w:val="auto"/>
          <w:sz w:val="24"/>
          <w:szCs w:val="24"/>
          <w:highlight w:val="none"/>
        </w:rPr>
        <w:t xml:space="preserve">有效期</w:t>
      </w:r>
      <w:r>
        <w:rPr>
          <w:rFonts w:hint="eastAsia" w:ascii="Times New Roman" w:hAnsi="Times New Roman" w:eastAsia="宋体" w:cs="Times New Roman"/>
          <w:color w:val="auto"/>
          <w:sz w:val="24"/>
          <w:szCs w:val="24"/>
          <w:highlight w:val="none"/>
        </w:rPr>
        <w:t xml:space="preserve">届满</w:t>
      </w:r>
      <w:r>
        <w:rPr>
          <w:rFonts w:ascii="Times New Roman" w:hAnsi="Times New Roman" w:eastAsia="宋体" w:cs="Times New Roman"/>
          <w:color w:val="auto"/>
          <w:sz w:val="24"/>
          <w:szCs w:val="24"/>
          <w:highlight w:val="none"/>
        </w:rPr>
        <w:t xml:space="preserve">之日止。</w:t>
      </w:r>
      <w:r/>
    </w:p>
    <w:p>
      <w:pPr>
        <w:ind w:firstLine="420"/>
        <w:jc w:val="left"/>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代理人</w:t>
      </w:r>
      <w:r>
        <w:rPr>
          <w:rFonts w:ascii="Times New Roman" w:hAnsi="Times New Roman" w:eastAsia="宋体" w:cs="Times New Roman"/>
          <w:color w:val="auto"/>
          <w:sz w:val="24"/>
          <w:szCs w:val="24"/>
          <w:highlight w:val="none"/>
        </w:rPr>
        <w:t xml:space="preserve">无转委托权。</w:t>
      </w:r>
      <w:r/>
    </w:p>
    <w:p>
      <w:pPr>
        <w:ind w:firstLine="420"/>
        <w:jc w:val="left"/>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投标人</w:t>
      </w:r>
      <w:r>
        <w:rPr>
          <w:rFonts w:ascii="Times New Roman" w:hAnsi="Times New Roman" w:eastAsia="宋体" w:cs="Times New Roman"/>
          <w:color w:val="auto"/>
          <w:sz w:val="24"/>
          <w:szCs w:val="24"/>
          <w:highlight w:val="none"/>
        </w:rPr>
        <w:t xml:space="preserve">名称（加盖公章）：</w:t>
      </w:r>
      <w:r>
        <w:rPr>
          <w:rFonts w:hint="eastAsia" w:ascii="Times New Roman" w:hAnsi="Times New Roman" w:eastAsia="宋体" w:cs="Times New Roman"/>
          <w:color w:val="auto"/>
          <w:sz w:val="24"/>
          <w:szCs w:val="24"/>
          <w:highlight w:val="none"/>
          <w:u w:val="single"/>
        </w:rPr>
        <w:t xml:space="preserve">             </w:t>
      </w:r>
      <w:r/>
    </w:p>
    <w:p>
      <w:pPr>
        <w:spacing w:line="360" w:lineRule="auto"/>
        <w:rPr>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法定代表人（单位负责人）（签字</w:t>
      </w:r>
      <w:r>
        <w:rPr>
          <w:rFonts w:hint="eastAsia" w:ascii="Times New Roman" w:hAnsi="Times New Roman" w:eastAsia="宋体" w:cs="Times New Roman"/>
          <w:color w:val="auto"/>
          <w:sz w:val="24"/>
          <w:szCs w:val="24"/>
          <w:highlight w:val="none"/>
        </w:rPr>
        <w:t xml:space="preserve">、签章</w:t>
      </w:r>
      <w:r>
        <w:rPr>
          <w:rFonts w:ascii="Times New Roman" w:hAnsi="Times New Roman" w:eastAsia="宋体" w:cs="Times New Roman"/>
          <w:color w:val="auto"/>
          <w:sz w:val="24"/>
          <w:szCs w:val="24"/>
          <w:highlight w:val="none"/>
        </w:rPr>
        <w:t xml:space="preserve">或</w:t>
      </w:r>
      <w:r>
        <w:rPr>
          <w:rFonts w:hint="eastAsia" w:ascii="Times New Roman" w:hAnsi="Times New Roman" w:eastAsia="宋体" w:cs="Times New Roman"/>
          <w:color w:val="auto"/>
          <w:sz w:val="24"/>
          <w:szCs w:val="24"/>
          <w:highlight w:val="none"/>
        </w:rPr>
        <w:t xml:space="preserve">印鉴）</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，联系方式</w:t>
      </w:r>
      <w:r>
        <w:rPr>
          <w:rFonts w:hint="eastAsia" w:ascii="Times New Roman" w:hAnsi="Times New Roman" w:eastAsia="宋体" w:cs="Times New Roman"/>
          <w:color w:val="auto"/>
          <w:sz w:val="24"/>
          <w:szCs w:val="24"/>
          <w:highlight w:val="none"/>
          <w:u w:val="single"/>
        </w:rPr>
        <w:t xml:space="preserve">           </w:t>
      </w:r>
      <w:r/>
    </w:p>
    <w:p>
      <w:pPr>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委托代理</w:t>
      </w:r>
      <w:r>
        <w:rPr>
          <w:rFonts w:ascii="Times New Roman" w:hAnsi="Times New Roman" w:eastAsia="宋体" w:cs="Times New Roman"/>
          <w:color w:val="auto"/>
          <w:sz w:val="24"/>
          <w:szCs w:val="24"/>
          <w:highlight w:val="none"/>
        </w:rPr>
        <w:t xml:space="preserve">人（签字</w:t>
      </w:r>
      <w:r>
        <w:rPr>
          <w:rFonts w:hint="eastAsia" w:ascii="Times New Roman" w:hAnsi="Times New Roman" w:eastAsia="宋体" w:cs="Times New Roman"/>
          <w:color w:val="auto"/>
          <w:sz w:val="24"/>
          <w:szCs w:val="24"/>
          <w:highlight w:val="none"/>
        </w:rPr>
        <w:t xml:space="preserve">/签章</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，联系方式</w:t>
      </w:r>
      <w:r>
        <w:rPr>
          <w:rFonts w:hint="eastAsia" w:ascii="Times New Roman" w:hAnsi="Times New Roman" w:eastAsia="宋体" w:cs="Times New Roman"/>
          <w:color w:val="auto"/>
          <w:sz w:val="24"/>
          <w:szCs w:val="24"/>
          <w:highlight w:val="none"/>
          <w:u w:val="single"/>
        </w:rPr>
        <w:t xml:space="preserve">         </w:t>
      </w:r>
      <w:r/>
    </w:p>
    <w:p>
      <w:pPr>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ascii="宋体" w:hAnsi="宋体" w:eastAsia="宋体" w:cs="宋体"/>
          <w:color w:val="auto"/>
          <w:sz w:val="24"/>
          <w:szCs w:val="20"/>
          <w:highlight w:val="none"/>
        </w:rPr>
        <w:t xml:space="preserve">法定代表人（单位负责人）有效期内的身份证</w:t>
      </w:r>
      <w:r>
        <w:rPr>
          <w:rFonts w:ascii="宋体" w:hAnsi="宋体" w:eastAsia="宋体" w:cs="宋体"/>
          <w:b/>
          <w:color w:val="auto"/>
          <w:sz w:val="24"/>
          <w:szCs w:val="20"/>
          <w:highlight w:val="none"/>
        </w:rPr>
        <w:t xml:space="preserve">正反面</w:t>
      </w:r>
      <w:r>
        <w:rPr>
          <w:rFonts w:ascii="宋体" w:hAnsi="宋体" w:eastAsia="宋体" w:cs="宋体"/>
          <w:color w:val="auto"/>
          <w:sz w:val="24"/>
          <w:szCs w:val="20"/>
          <w:highlight w:val="none"/>
        </w:rPr>
        <w:t xml:space="preserve">电子件：</w:t>
      </w:r>
      <w:r/>
    </w:p>
    <w:tbl>
      <w:tblPr>
        <w:tblStyle w:val="6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eastAsia="宋体" w:cs="宋体"/>
          <w:color w:val="auto"/>
          <w:sz w:val="24"/>
          <w:szCs w:val="20"/>
          <w:highlight w:val="none"/>
        </w:rPr>
        <w:t xml:space="preserve">委托代理人</w:t>
      </w:r>
      <w:r>
        <w:rPr>
          <w:rFonts w:ascii="宋体" w:hAnsi="宋体" w:eastAsia="宋体" w:cs="宋体"/>
          <w:color w:val="auto"/>
          <w:sz w:val="24"/>
          <w:szCs w:val="20"/>
          <w:highlight w:val="none"/>
        </w:rPr>
        <w:t xml:space="preserve">有效期内的身份证</w:t>
      </w:r>
      <w:r>
        <w:rPr>
          <w:rFonts w:ascii="宋体" w:hAnsi="宋体" w:eastAsia="宋体" w:cs="宋体"/>
          <w:b/>
          <w:color w:val="auto"/>
          <w:sz w:val="24"/>
          <w:szCs w:val="20"/>
          <w:highlight w:val="none"/>
        </w:rPr>
        <w:t xml:space="preserve">正反面</w:t>
      </w:r>
      <w:r>
        <w:rPr>
          <w:rFonts w:ascii="宋体" w:hAnsi="宋体" w:eastAsia="宋体" w:cs="宋体"/>
          <w:color w:val="auto"/>
          <w:sz w:val="24"/>
          <w:szCs w:val="20"/>
          <w:highlight w:val="none"/>
        </w:rPr>
        <w:t xml:space="preserve">电子件：</w:t>
      </w:r>
      <w:r/>
    </w:p>
    <w:tbl>
      <w:tblPr>
        <w:tblStyle w:val="6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jc w:val="left"/>
        <w:spacing w:line="360" w:lineRule="auto"/>
        <w:tabs>
          <w:tab w:val="left" w:pos="5580" w:leader="none"/>
        </w:tabs>
        <w:rPr>
          <w:color w:val="auto"/>
          <w:sz w:val="24"/>
          <w:szCs w:val="24"/>
          <w:highlight w:val="none"/>
        </w:rPr>
      </w:pPr>
      <w:r>
        <w:rPr>
          <w:rFonts w:hint="eastAsia" w:ascii="Times New Roman" w:hAnsi="Times New Roman" w:eastAsia="宋体" w:cs="Times New Roman"/>
          <w:color w:val="auto"/>
          <w:sz w:val="24"/>
          <w:szCs w:val="24"/>
          <w:highlight w:val="none"/>
        </w:rPr>
        <w:t xml:space="preserve">填报说明</w:t>
      </w:r>
      <w:r>
        <w:rPr>
          <w:rFonts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ascii="Times New Roman" w:hAnsi="Times New Roman" w:eastAsia="宋体" w:cs="Times New Roman"/>
          <w:color w:val="auto"/>
          <w:sz w:val="24"/>
          <w:szCs w:val="24"/>
          <w:highlight w:val="none"/>
        </w:rPr>
        <w:t xml:space="preserve">1、若供应商为事业单位或其他组织或分支机构（仅当</w:t>
      </w:r>
      <w:r>
        <w:rPr>
          <w:rFonts w:hint="eastAsia" w:ascii="Times New Roman" w:hAnsi="Times New Roman" w:eastAsia="宋体" w:cs="Times New Roman"/>
          <w:color w:val="auto"/>
          <w:sz w:val="24"/>
          <w:szCs w:val="24"/>
          <w:highlight w:val="none"/>
        </w:rPr>
        <w:t xml:space="preserve">招标</w:t>
      </w:r>
      <w:r>
        <w:rPr>
          <w:rFonts w:ascii="Times New Roman" w:hAnsi="Times New Roman" w:eastAsia="宋体" w:cs="Times New Roman"/>
          <w:color w:val="auto"/>
          <w:sz w:val="24"/>
          <w:szCs w:val="24"/>
          <w:highlight w:val="none"/>
        </w:rPr>
        <w:t xml:space="preserve">文件注明允许分支机构</w:t>
      </w:r>
      <w:r>
        <w:rPr>
          <w:rFonts w:hint="eastAsia" w:ascii="Times New Roman" w:hAnsi="Times New Roman" w:eastAsia="宋体" w:cs="Times New Roman"/>
          <w:color w:val="auto"/>
          <w:sz w:val="24"/>
          <w:szCs w:val="24"/>
          <w:highlight w:val="none"/>
        </w:rPr>
        <w:t xml:space="preserve">投标</w:t>
      </w:r>
      <w:r>
        <w:rPr>
          <w:rFonts w:ascii="Times New Roman" w:hAnsi="Times New Roman" w:eastAsia="宋体" w:cs="Times New Roman"/>
          <w:color w:val="auto"/>
          <w:sz w:val="24"/>
          <w:szCs w:val="24"/>
          <w:highlight w:val="none"/>
        </w:rPr>
        <w:t xml:space="preserve">的），则法定代表人（单位负责人）</w:t>
      </w:r>
      <w:r>
        <w:rPr>
          <w:rFonts w:hint="eastAsia" w:ascii="Times New Roman" w:hAnsi="Times New Roman" w:eastAsia="宋体" w:cs="Times New Roman"/>
          <w:color w:val="auto"/>
          <w:sz w:val="24"/>
          <w:szCs w:val="24"/>
          <w:highlight w:val="none"/>
        </w:rPr>
        <w:t xml:space="preserve">处</w:t>
      </w:r>
      <w:r>
        <w:rPr>
          <w:rFonts w:ascii="Times New Roman" w:hAnsi="Times New Roman" w:eastAsia="宋体" w:cs="Times New Roman"/>
          <w:color w:val="auto"/>
          <w:sz w:val="24"/>
          <w:szCs w:val="24"/>
          <w:highlight w:val="none"/>
        </w:rPr>
        <w:t xml:space="preserve">的签署人可为单位负责人</w:t>
      </w:r>
      <w:r>
        <w:rPr>
          <w:rFonts w:hint="eastAsia"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rPr>
        <w:t xml:space="preserve">若</w:t>
      </w:r>
      <w:r>
        <w:rPr>
          <w:rFonts w:hint="eastAsia" w:ascii="Times New Roman" w:hAnsi="Times New Roman" w:eastAsia="宋体" w:cs="Times New Roman"/>
          <w:color w:val="auto"/>
          <w:sz w:val="24"/>
          <w:szCs w:val="24"/>
          <w:highlight w:val="none"/>
        </w:rPr>
        <w:t xml:space="preserve">投标</w:t>
      </w:r>
      <w:r>
        <w:rPr>
          <w:rFonts w:ascii="Times New Roman" w:hAnsi="Times New Roman" w:eastAsia="宋体" w:cs="Times New Roman"/>
          <w:color w:val="auto"/>
          <w:sz w:val="24"/>
          <w:szCs w:val="24"/>
          <w:highlight w:val="none"/>
        </w:rPr>
        <w:t xml:space="preserve">文件中全部签字之处均为法定代表人（单位负责人）本人签署，则可不提供本《</w:t>
      </w:r>
      <w:r>
        <w:rPr>
          <w:rFonts w:hint="eastAsia" w:ascii="Times New Roman" w:hAnsi="Times New Roman" w:eastAsia="宋体" w:cs="Times New Roman"/>
          <w:color w:val="auto"/>
          <w:sz w:val="24"/>
          <w:szCs w:val="24"/>
          <w:highlight w:val="none"/>
        </w:rPr>
        <w:t xml:space="preserve">授权委托书</w:t>
      </w:r>
      <w:r>
        <w:rPr>
          <w:rFonts w:ascii="Times New Roman" w:hAnsi="Times New Roman" w:eastAsia="宋体" w:cs="Times New Roman"/>
          <w:color w:val="auto"/>
          <w:sz w:val="24"/>
          <w:szCs w:val="24"/>
          <w:highlight w:val="none"/>
        </w:rPr>
        <w:t xml:space="preserve">》，但须提供</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法定代表人（单位负责人）身份证</w:t>
      </w:r>
      <w:r>
        <w:rPr>
          <w:rFonts w:hint="eastAsia" w:ascii="Times New Roman" w:hAnsi="Times New Roman" w:eastAsia="宋体" w:cs="Times New Roman"/>
          <w:color w:val="auto"/>
          <w:sz w:val="24"/>
          <w:szCs w:val="24"/>
          <w:highlight w:val="none"/>
        </w:rPr>
        <w:t xml:space="preserve">明》</w:t>
      </w:r>
      <w:r>
        <w:rPr>
          <w:rFonts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供应商为自然人的情形，可不提供本</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授权委托书</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w:t>
      </w:r>
      <w:r/>
    </w:p>
    <w:p>
      <w:pPr>
        <w:ind w:firstLine="482"/>
        <w:jc w:val="left"/>
        <w:spacing w:line="360" w:lineRule="auto"/>
        <w:tabs>
          <w:tab w:val="left" w:pos="5580" w:leader="none"/>
        </w:tabs>
        <w:rPr>
          <w:color w:val="auto"/>
          <w:sz w:val="24"/>
          <w:szCs w:val="24"/>
          <w:highlight w:val="none"/>
        </w:rPr>
      </w:pPr>
      <w:r>
        <w:rPr>
          <w:rFonts w:hint="eastAsia" w:ascii="Times New Roman" w:hAnsi="Times New Roman" w:eastAsia="宋体" w:cs="Times New Roman"/>
          <w:b/>
          <w:color w:val="auto"/>
          <w:sz w:val="24"/>
          <w:szCs w:val="24"/>
          <w:highlight w:val="none"/>
        </w:rPr>
        <w:t xml:space="preserve">4、请供应商如实填写联系方式并在评审过程中保持联系方式畅通，评审过程中如联系不上，由供应商承担一切不利后果。</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hint="eastAsia" w:ascii="宋体" w:hAnsi="宋体"/>
          <w:b/>
          <w:color w:val="auto"/>
          <w:sz w:val="36"/>
          <w:szCs w:val="36"/>
          <w:highlight w:val="none"/>
        </w:rPr>
      </w:pPr>
      <w:r>
        <w:rPr>
          <w:rFonts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color w:val="auto"/>
          <w:sz w:val="20"/>
          <w:szCs w:val="20"/>
          <w:highlight w:val="none"/>
        </w:rPr>
      </w:pPr>
      <w:r>
        <w:rPr>
          <w:rFonts w:hint="eastAsia" w:ascii="宋体" w:hAnsi="宋体"/>
          <w:color w:val="auto"/>
          <w:sz w:val="20"/>
          <w:szCs w:val="20"/>
          <w:highlight w:val="none"/>
        </w:rPr>
      </w:r>
      <w:r/>
    </w:p>
    <w:p>
      <w:pPr>
        <w:spacing w:line="360" w:lineRule="auto"/>
        <w:tabs>
          <w:tab w:val="left" w:pos="5580" w:leader="none"/>
        </w:tabs>
        <w:rPr>
          <w:rFonts w:hint="eastAsia" w:ascii="宋体" w:hAnsi="宋体"/>
          <w:color w:val="auto"/>
          <w:sz w:val="24"/>
          <w:szCs w:val="24"/>
          <w:highlight w:val="none"/>
        </w:rPr>
      </w:pPr>
      <w:r>
        <w:rPr>
          <w:rFonts w:ascii="宋体" w:hAnsi="宋体" w:eastAsia="宋体" w:cs="宋体"/>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olor w:val="auto"/>
          <w:sz w:val="24"/>
          <w:szCs w:val="24"/>
          <w:highlight w:val="none"/>
        </w:rPr>
      </w:pPr>
      <w:r>
        <w:rPr>
          <w:rFonts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olor w:val="auto"/>
          <w:sz w:val="24"/>
          <w:szCs w:val="24"/>
          <w:highlight w:val="none"/>
        </w:rPr>
      </w:pPr>
      <w:r>
        <w:rPr>
          <w:rFonts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投标人</w:t>
      </w:r>
      <w:r>
        <w:rPr>
          <w:rFonts w:ascii="Times New Roman" w:hAnsi="Times New Roman" w:eastAsia="宋体" w:cs="Times New Roman"/>
          <w:color w:val="auto"/>
          <w:sz w:val="24"/>
          <w:szCs w:val="24"/>
          <w:highlight w:val="none"/>
          <w:u w:val="single"/>
        </w:rPr>
        <w:t xml:space="preserve">名称）</w:t>
      </w:r>
      <w:r>
        <w:rPr>
          <w:rFonts w:hint="eastAsia" w:ascii="Times New Roman" w:hAnsi="Times New Roman" w:eastAsia="宋体" w:cs="Times New Roman"/>
          <w:color w:val="auto"/>
          <w:sz w:val="24"/>
          <w:szCs w:val="24"/>
          <w:highlight w:val="none"/>
          <w:u w:val="single"/>
        </w:rPr>
        <w:t xml:space="preserve"> </w:t>
      </w:r>
      <w:r>
        <w:rPr>
          <w:rFonts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46"/>
        <w:spacing w:before="120" w:line="583" w:lineRule="auto"/>
        <w:tabs>
          <w:tab w:val="left" w:pos="567" w:leader="none"/>
        </w:tabs>
        <w:rPr>
          <w:rFonts w:hint="eastAsia" w:ascii="宋体" w:hAnsi="宋体"/>
          <w:color w:val="auto"/>
          <w:spacing w:val="-3"/>
          <w:sz w:val="24"/>
          <w:szCs w:val="24"/>
          <w:highlight w:val="none"/>
        </w:rPr>
      </w:pPr>
      <w:r>
        <w:rPr>
          <w:rFonts w:ascii="宋体" w:hAnsi="宋体" w:eastAsia="宋体" w:cs="宋体"/>
          <w:color w:val="auto"/>
          <w:spacing w:val="-3"/>
          <w:sz w:val="24"/>
          <w:szCs w:val="24"/>
          <w:highlight w:val="none"/>
        </w:rPr>
        <w:t xml:space="preserve">法</w:t>
      </w:r>
      <w:r>
        <w:rPr>
          <w:rFonts w:ascii="宋体" w:hAnsi="宋体" w:eastAsia="宋体" w:cs="宋体"/>
          <w:color w:val="auto"/>
          <w:sz w:val="24"/>
          <w:szCs w:val="24"/>
          <w:highlight w:val="none"/>
        </w:rPr>
        <w:t xml:space="preserve">定</w:t>
      </w:r>
      <w:r>
        <w:rPr>
          <w:rFonts w:ascii="宋体" w:hAnsi="宋体" w:eastAsia="宋体" w:cs="宋体"/>
          <w:color w:val="auto"/>
          <w:spacing w:val="-3"/>
          <w:sz w:val="24"/>
          <w:szCs w:val="24"/>
          <w:highlight w:val="none"/>
        </w:rPr>
        <w:t xml:space="preserve">代</w:t>
      </w:r>
      <w:r>
        <w:rPr>
          <w:rFonts w:ascii="宋体" w:hAnsi="宋体" w:eastAsia="宋体" w:cs="宋体"/>
          <w:color w:val="auto"/>
          <w:sz w:val="24"/>
          <w:szCs w:val="24"/>
          <w:highlight w:val="none"/>
        </w:rPr>
        <w:t xml:space="preserve">表</w:t>
      </w:r>
      <w:r>
        <w:rPr>
          <w:rFonts w:ascii="宋体" w:hAnsi="宋体" w:eastAsia="宋体" w:cs="宋体"/>
          <w:color w:val="auto"/>
          <w:spacing w:val="-3"/>
          <w:sz w:val="24"/>
          <w:szCs w:val="24"/>
          <w:highlight w:val="none"/>
        </w:rPr>
        <w:t xml:space="preserve">人</w:t>
      </w:r>
      <w:r>
        <w:rPr>
          <w:rFonts w:ascii="宋体" w:hAnsi="宋体" w:eastAsia="宋体" w:cs="宋体"/>
          <w:color w:val="auto"/>
          <w:sz w:val="24"/>
          <w:szCs w:val="24"/>
          <w:highlight w:val="none"/>
        </w:rPr>
        <w:t xml:space="preserve">（</w:t>
      </w:r>
      <w:r>
        <w:rPr>
          <w:rFonts w:ascii="宋体" w:hAnsi="宋体" w:eastAsia="宋体" w:cs="宋体"/>
          <w:color w:val="auto"/>
          <w:spacing w:val="-3"/>
          <w:sz w:val="24"/>
          <w:szCs w:val="24"/>
          <w:highlight w:val="none"/>
        </w:rPr>
        <w:t xml:space="preserve">单</w:t>
      </w:r>
      <w:r>
        <w:rPr>
          <w:rFonts w:ascii="宋体" w:hAnsi="宋体" w:eastAsia="宋体" w:cs="宋体"/>
          <w:color w:val="auto"/>
          <w:sz w:val="24"/>
          <w:szCs w:val="24"/>
          <w:highlight w:val="none"/>
        </w:rPr>
        <w:t xml:space="preserve">位</w:t>
      </w:r>
      <w:r>
        <w:rPr>
          <w:rFonts w:ascii="宋体" w:hAnsi="宋体" w:eastAsia="宋体" w:cs="宋体"/>
          <w:color w:val="auto"/>
          <w:spacing w:val="-3"/>
          <w:sz w:val="24"/>
          <w:szCs w:val="24"/>
          <w:highlight w:val="none"/>
        </w:rPr>
        <w:t xml:space="preserve">负</w:t>
      </w:r>
      <w:r>
        <w:rPr>
          <w:rFonts w:ascii="宋体" w:hAnsi="宋体" w:eastAsia="宋体" w:cs="宋体"/>
          <w:color w:val="auto"/>
          <w:sz w:val="24"/>
          <w:szCs w:val="24"/>
          <w:highlight w:val="none"/>
        </w:rPr>
        <w:t xml:space="preserve">责人</w:t>
      </w:r>
      <w:r>
        <w:rPr>
          <w:rFonts w:ascii="宋体" w:hAnsi="宋体" w:eastAsia="宋体" w:cs="宋体"/>
          <w:color w:val="auto"/>
          <w:spacing w:val="-3"/>
          <w:sz w:val="24"/>
          <w:szCs w:val="24"/>
          <w:highlight w:val="none"/>
        </w:rPr>
        <w:t xml:space="preserve">）有效期内的身</w:t>
      </w:r>
      <w:r>
        <w:rPr>
          <w:rFonts w:hint="eastAsia" w:ascii="宋体" w:hAnsi="宋体" w:eastAsia="宋体" w:cs="宋体"/>
          <w:color w:val="auto"/>
          <w:spacing w:val="-3"/>
          <w:sz w:val="24"/>
          <w:szCs w:val="24"/>
          <w:highlight w:val="none"/>
        </w:rPr>
        <w:t xml:space="preserve">份</w:t>
      </w:r>
      <w:r>
        <w:rPr>
          <w:rFonts w:ascii="宋体" w:hAnsi="宋体" w:eastAsia="宋体" w:cs="宋体"/>
          <w:color w:val="auto"/>
          <w:spacing w:val="-3"/>
          <w:sz w:val="24"/>
          <w:szCs w:val="24"/>
          <w:highlight w:val="none"/>
        </w:rPr>
        <w:t xml:space="preserve">证正反面</w:t>
      </w:r>
      <w:r>
        <w:rPr>
          <w:rFonts w:hint="eastAsia" w:ascii="宋体" w:hAnsi="宋体" w:eastAsia="宋体" w:cs="宋体"/>
          <w:color w:val="auto"/>
          <w:spacing w:val="-3"/>
          <w:sz w:val="24"/>
          <w:szCs w:val="24"/>
          <w:highlight w:val="none"/>
        </w:rPr>
        <w:t xml:space="preserve">电子</w:t>
      </w:r>
      <w:r>
        <w:rPr>
          <w:rFonts w:ascii="宋体" w:hAnsi="宋体" w:eastAsia="宋体" w:cs="宋体"/>
          <w:color w:val="auto"/>
          <w:spacing w:val="-3"/>
          <w:sz w:val="24"/>
          <w:szCs w:val="24"/>
          <w:highlight w:val="none"/>
        </w:rPr>
        <w:t xml:space="preserve">件</w:t>
      </w:r>
      <w:r>
        <w:rPr>
          <w:rFonts w:hint="eastAsia" w:ascii="宋体" w:hAnsi="宋体" w:eastAsia="宋体" w:cs="宋体"/>
          <w:color w:val="auto"/>
          <w:spacing w:val="-3"/>
          <w:sz w:val="24"/>
          <w:szCs w:val="24"/>
          <w:highlight w:val="none"/>
        </w:rPr>
        <w:t xml:space="preserve">：</w:t>
      </w:r>
      <w:r/>
    </w:p>
    <w:tbl>
      <w:tblPr>
        <w:tblStyle w:val="6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p>
        </w:tc>
      </w:tr>
    </w:tbl>
    <w:p>
      <w:pPr>
        <w:ind w:right="4305"/>
        <w:spacing w:before="120" w:line="583" w:lineRule="auto"/>
        <w:tabs>
          <w:tab w:val="left" w:pos="567" w:leader="none"/>
        </w:tabs>
        <w:rPr>
          <w:rFonts w:hint="eastAsia" w:ascii="宋体" w:hAnsi="宋体"/>
          <w:color w:val="auto"/>
          <w:spacing w:val="-3"/>
          <w:sz w:val="24"/>
          <w:szCs w:val="24"/>
          <w:highlight w:val="none"/>
        </w:rPr>
      </w:pPr>
      <w:r>
        <w:rPr>
          <w:rFonts w:hint="eastAsia" w:ascii="宋体" w:hAnsi="宋体"/>
          <w:color w:val="auto"/>
          <w:spacing w:val="-3"/>
          <w:sz w:val="24"/>
          <w:szCs w:val="24"/>
          <w:highlight w:val="none"/>
        </w:rPr>
      </w:r>
      <w:r/>
    </w:p>
    <w:p>
      <w:pPr>
        <w:spacing w:line="360" w:lineRule="auto"/>
        <w:rPr>
          <w:color w:val="auto"/>
          <w:sz w:val="24"/>
          <w:szCs w:val="24"/>
          <w:highlight w:val="none"/>
        </w:rPr>
      </w:pPr>
      <w:r>
        <w:rPr>
          <w:rFonts w:hint="eastAsia" w:ascii="宋体" w:hAnsi="宋体" w:eastAsia="宋体" w:cs="宋体"/>
          <w:color w:val="auto"/>
          <w:sz w:val="24"/>
          <w:szCs w:val="24"/>
          <w:highlight w:val="none"/>
        </w:rPr>
        <w:t xml:space="preserve">投标人</w:t>
      </w:r>
      <w:r>
        <w:rPr>
          <w:rFonts w:ascii="宋体" w:hAnsi="宋体" w:eastAsia="宋体" w:cs="宋体"/>
          <w:color w:val="auto"/>
          <w:sz w:val="24"/>
          <w:szCs w:val="24"/>
          <w:highlight w:val="none"/>
        </w:rPr>
        <w:t xml:space="preserve">名称（加盖公章）</w:t>
      </w:r>
      <w:r>
        <w:rPr>
          <w:rFonts w:ascii="宋体" w:hAnsi="宋体" w:eastAsia="宋体" w:cs="宋体"/>
          <w:color w:val="auto"/>
          <w:sz w:val="24"/>
          <w:szCs w:val="24"/>
          <w:highlight w:val="none"/>
          <w:lang w:val="zh-CN"/>
        </w:rPr>
        <w:t xml:space="preserve">：</w:t>
      </w:r>
      <w:r>
        <w:rPr>
          <w:rFonts w:hint="eastAsia" w:ascii="Times New Roman" w:hAnsi="Times New Roman" w:eastAsia="宋体" w:cs="Times New Roman"/>
          <w:color w:val="auto"/>
          <w:sz w:val="24"/>
          <w:szCs w:val="24"/>
          <w:highlight w:val="none"/>
          <w:u w:val="single"/>
        </w:rPr>
        <w:t xml:space="preserve">             </w:t>
      </w:r>
      <w:r/>
    </w:p>
    <w:p>
      <w:pPr>
        <w:spacing w:line="360" w:lineRule="auto"/>
        <w:rPr>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w:t>
      </w:r>
      <w:r/>
    </w:p>
    <w:p>
      <w:pPr>
        <w:spacing w:line="360" w:lineRule="auto"/>
        <w:rPr>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w:t>
      </w:r>
      <w:r>
        <w:rPr>
          <w:rFonts w:hint="eastAsia" w:ascii="Times New Roman" w:hAnsi="Times New Roman" w:eastAsia="宋体" w:cs="Times New Roman"/>
          <w:color w:val="auto"/>
          <w:sz w:val="24"/>
          <w:szCs w:val="24"/>
          <w:highlight w:val="none"/>
        </w:rPr>
        <w:t xml:space="preserve">联系方式</w:t>
      </w:r>
      <w:r>
        <w:rPr>
          <w:rFonts w:hint="eastAsia" w:ascii="Times New Roman" w:hAnsi="Times New Roman" w:eastAsia="宋体" w:cs="Times New Roman"/>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left"/>
        <w:spacing w:line="360" w:lineRule="auto"/>
        <w:tabs>
          <w:tab w:val="left" w:pos="5580" w:leader="none"/>
        </w:tabs>
        <w:rPr>
          <w:b/>
          <w:color w:val="auto"/>
          <w:sz w:val="24"/>
          <w:szCs w:val="24"/>
          <w:highlight w:val="none"/>
        </w:rPr>
      </w:pPr>
      <w:r>
        <w:rPr>
          <w:rFonts w:hint="eastAsia" w:ascii="Times New Roman" w:hAnsi="Times New Roman" w:eastAsia="宋体" w:cs="Times New Roman"/>
          <w:b/>
          <w:color w:val="auto"/>
          <w:sz w:val="24"/>
          <w:szCs w:val="24"/>
          <w:highlight w:val="none"/>
        </w:rPr>
        <w:t xml:space="preserve">注：请供应商如实填写联系方式并在评审过程中保持联系方式畅通，评审过程中如联系不上，由供应商承担一切不利后果。</w:t>
      </w:r>
      <w:r/>
    </w:p>
    <w:p>
      <w:pPr>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hint="eastAsia" w:ascii="黑体" w:hAnsi="黑体" w:eastAsia="黑体"/>
          <w:b/>
          <w:i/>
          <w:color w:val="auto"/>
          <w:sz w:val="32"/>
          <w:szCs w:val="32"/>
          <w:highlight w:val="none"/>
          <w:u w:val="single"/>
        </w:rPr>
        <w:outlineLvl w:val="1"/>
      </w:pPr>
      <w:r>
        <w:rPr>
          <w:rFonts w:hint="eastAsia" w:ascii="Times New Roman" w:hAnsi="Times New Roman" w:eastAsia="宋体" w:cs="Times New Roman"/>
          <w:i/>
          <w:iCs/>
          <w:color w:val="auto"/>
          <w:sz w:val="36"/>
          <w:highlight w:val="none"/>
          <w:u w:val="single"/>
        </w:rPr>
        <w:t xml:space="preserve">十、投标函</w:t>
      </w:r>
      <w:r/>
    </w:p>
    <w:p>
      <w:pPr>
        <w:jc w:val="center"/>
        <w:spacing w:line="360" w:lineRule="auto"/>
        <w:tabs>
          <w:tab w:val="left" w:pos="360" w:leader="none"/>
        </w:tabs>
        <w:rPr>
          <w:rFonts w:ascii="Times New Roman" w:hAnsi="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致：中国（江苏）自由贸易试验区连云港片区制度创新局、中国（江苏）自由贸易试验区连云港片区综合协调局</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auto"/>
          <w:sz w:val="24"/>
          <w:szCs w:val="21"/>
          <w:highlight w:val="none"/>
        </w:rPr>
      </w:pPr>
      <w:r>
        <w:rPr>
          <w:rFonts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auto"/>
          <w:sz w:val="24"/>
          <w:szCs w:val="21"/>
          <w:highlight w:val="none"/>
        </w:rPr>
      </w:pPr>
      <w:r>
        <w:rPr>
          <w:rFonts w:ascii="宋体" w:hAnsi="宋体" w:eastAsia="宋体" w:cs="宋体"/>
          <w:color w:val="auto"/>
          <w:sz w:val="24"/>
          <w:szCs w:val="21"/>
          <w:highlight w:val="none"/>
        </w:rPr>
        <w:t xml:space="preserve">6</w:t>
      </w:r>
      <w:r>
        <w:rPr>
          <w:rFonts w:hint="eastAsia" w:ascii="宋体" w:hAnsi="宋体" w:eastAsia="宋体" w:cs="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auto"/>
          <w:sz w:val="24"/>
          <w:szCs w:val="21"/>
          <w:highlight w:val="none"/>
        </w:rPr>
      </w:pPr>
      <w:r>
        <w:rPr>
          <w:rFonts w:ascii="宋体" w:hAnsi="宋体" w:eastAsia="宋体" w:cs="宋体"/>
          <w:color w:val="auto"/>
          <w:sz w:val="24"/>
          <w:szCs w:val="21"/>
          <w:highlight w:val="none"/>
        </w:rPr>
        <w:t xml:space="preserve">7</w:t>
      </w:r>
      <w:r>
        <w:rPr>
          <w:rFonts w:hint="eastAsia" w:ascii="宋体" w:hAnsi="宋体" w:eastAsia="宋体" w:cs="宋体"/>
          <w:color w:val="auto"/>
          <w:sz w:val="24"/>
          <w:szCs w:val="21"/>
          <w:highlight w:val="none"/>
        </w:rPr>
        <w:t xml:space="preserve">.与本投标有关的正式通讯地址为：</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Times New Roman" w:hAnsi="Times New Roman" w:eastAsia="宋体" w:cs="Times New Roman"/>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十一、中小企业声明函（服务）（分包号：**）</w:t>
      </w:r>
      <w:r/>
    </w:p>
    <w:p>
      <w:pPr>
        <w:jc w:val="center"/>
        <w:spacing w:line="360" w:lineRule="auto"/>
        <w:tabs>
          <w:tab w:val="left" w:pos="360" w:leader="none"/>
        </w:tabs>
        <w:rPr>
          <w:rFonts w:hint="eastAsia" w:ascii="宋体" w:hAnsi="宋体"/>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hint="eastAsia" w:ascii="宋体" w:hAnsi="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中国（江苏）自由贸易试验区连云港片区制度创新局、中国（江苏）自由贸易试验区连云港片区综合协调局的</w:t>
      </w:r>
      <w:r>
        <w:rPr>
          <w:rFonts w:hint="eastAsia" w:ascii="宋体" w:hAnsi="宋体" w:eastAsia="宋体"/>
          <w:color w:val="auto"/>
          <w:sz w:val="24"/>
          <w:szCs w:val="24"/>
          <w:highlight w:val="none"/>
          <w:lang w:eastAsia="zh-CN"/>
        </w:rPr>
        <w:t xml:space="preserve">连云港数智自贸平台建设及日常运维</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）采购活动，提供的服务全部由符合政策要求的中小企业承接。</w:t>
      </w:r>
      <w:r/>
    </w:p>
    <w:p>
      <w:pPr>
        <w:ind w:firstLine="480"/>
        <w:spacing w:line="500" w:lineRule="exact"/>
        <w:rPr>
          <w:rFonts w:hint="eastAsia" w:ascii="宋体" w:hAnsi="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620" w:firstLine="2880"/>
        <w:spacing w:line="56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480"/>
        <w:jc w:val="left"/>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3、本项目属性为服务，声明函中不对其中涉及的货物的承接商作出要求。</w:t>
      </w:r>
      <w:r/>
    </w:p>
    <w:p>
      <w:pPr>
        <w:ind w:firstLine="480"/>
        <w:jc w:val="left"/>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4、中标人的《中小企业声明函》随中标结果公开，接受社会监督。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Times New Roman" w:hAnsi="Times New Roman" w:eastAsia="宋体" w:cs="Times New Roman"/>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十二、残疾人福利性单位声明函（分包号：**）</w:t>
      </w:r>
      <w:r/>
    </w:p>
    <w:p>
      <w:pPr>
        <w:jc w:val="center"/>
        <w:spacing w:line="360" w:lineRule="auto"/>
        <w:tabs>
          <w:tab w:val="left" w:pos="360" w:leader="none"/>
        </w:tabs>
        <w:rPr>
          <w:rFonts w:hint="eastAsia" w:ascii="宋体" w:hAnsi="宋体"/>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中国（江苏）自由贸易试验区连云港片区制度创新局、中国（江苏）自由贸易试验区连云港片区综合协调局的</w:t>
      </w:r>
      <w:r>
        <w:rPr>
          <w:rFonts w:hint="eastAsia" w:ascii="宋体" w:hAnsi="宋体" w:eastAsia="宋体"/>
          <w:color w:val="auto"/>
          <w:sz w:val="24"/>
          <w:szCs w:val="21"/>
          <w:highlight w:val="none"/>
          <w:lang w:eastAsia="zh-CN"/>
        </w:rPr>
        <w:t xml:space="preserve">连云港数智自贸平台建设及日常运维</w:t>
      </w:r>
      <w:r>
        <w:rPr>
          <w:rFonts w:hint="eastAsia" w:ascii="宋体" w:hAnsi="宋体" w:eastAsia="宋体" w:cs="宋体"/>
          <w:color w:val="auto"/>
          <w:sz w:val="24"/>
          <w:szCs w:val="21"/>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 xml:space="preserve"> ）采购活动由本单位提供全部服务。</w:t>
      </w:r>
      <w:r/>
    </w:p>
    <w:p>
      <w:pPr>
        <w:ind w:firstLine="480"/>
        <w:spacing w:line="500" w:lineRule="exact"/>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right="1620" w:firstLine="2880"/>
        <w:spacing w:line="56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十三、投标分项报价表（分包号：**）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hint="eastAsia" w:ascii="宋体" w:hAnsi="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rPr>
          <w:rFonts w:ascii="宋体" w:hAnsi="宋体" w:eastAsia="宋体" w:cs="宋体"/>
          <w:bCs/>
          <w:color w:val="auto"/>
          <w:sz w:val="24"/>
          <w:szCs w:val="24"/>
          <w:highlight w:val="none"/>
        </w:rPr>
        <w:t xml:space="preserve"> </w:t>
      </w:r>
      <w:r/>
    </w:p>
    <w:p>
      <w:pPr>
        <w:jc w:val="right"/>
        <w:spacing w:line="360" w:lineRule="auto"/>
        <w:rPr>
          <w:rFonts w:hint="eastAsia" w:ascii="宋体" w:hAnsi="宋体"/>
          <w:color w:val="auto"/>
          <w:szCs w:val="24"/>
          <w:highlight w:val="none"/>
        </w:rPr>
      </w:pPr>
      <w:r>
        <w:rPr>
          <w:rFonts w:hint="eastAsia" w:ascii="宋体" w:hAnsi="宋体" w:eastAsia="宋体" w:cs="宋体"/>
          <w:color w:val="auto"/>
          <w:szCs w:val="24"/>
          <w:highlight w:val="none"/>
        </w:rPr>
        <w:t xml:space="preserve">单位：元</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序号</w:t>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分项单位</w:t>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数量</w:t>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单价</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单项</w:t>
            </w:r>
            <w:r/>
          </w:p>
          <w:p>
            <w:pPr>
              <w:jc w:val="center"/>
              <w:spacing w:line="56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总计（元）</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rFonts w:ascii="Times New Roman" w:hAnsi="Times New Roman"/>
          <w:color w:val="auto"/>
          <w:szCs w:val="24"/>
          <w:highlight w:val="none"/>
        </w:rPr>
      </w:pPr>
      <w:r>
        <w:rPr>
          <w:rFonts w:ascii="Times New Roman" w:hAnsi="Times New Roman"/>
          <w:color w:val="auto"/>
          <w:szCs w:val="24"/>
          <w:highlight w:val="none"/>
        </w:rPr>
      </w:r>
      <w:r/>
    </w:p>
    <w:p>
      <w:pPr>
        <w:ind w:firstLine="420"/>
        <w:spacing w:line="360" w:lineRule="auto"/>
        <w:rPr>
          <w:rFonts w:ascii="Times New Roman" w:hAnsi="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hint="eastAsia" w:ascii="宋体" w:hAnsi="宋体"/>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left"/>
        <w:keepLines/>
        <w:keepNext/>
        <w:spacing w:before="360" w:after="200" w:line="360" w:lineRule="auto"/>
        <w:rPr>
          <w:rFonts w:hint="eastAsia" w:ascii="Arial" w:hAnsi="Arial" w:cs="Arial"/>
          <w:b w:val="0"/>
          <w:bCs w:val="0"/>
          <w:i/>
          <w:iCs/>
          <w:color w:val="auto"/>
          <w:sz w:val="36"/>
          <w:highlight w:val="none"/>
          <w:u w:val="single"/>
        </w:rPr>
        <w:outlineLvl w:val="1"/>
      </w:pPr>
      <w:r>
        <w:rPr>
          <w:rFonts w:hint="eastAsia" w:ascii="Times New Roman" w:hAnsi="Times New Roman" w:eastAsia="宋体" w:cs="Times New Roman"/>
          <w:b w:val="0"/>
          <w:bCs w:val="0"/>
          <w:i/>
          <w:iCs/>
          <w:color w:val="auto"/>
          <w:sz w:val="36"/>
          <w:highlight w:val="none"/>
          <w:u w:val="single"/>
        </w:rPr>
        <w:t xml:space="preserve">十</w:t>
      </w:r>
      <w:r>
        <w:rPr>
          <w:rFonts w:hint="eastAsia" w:ascii="Times New Roman" w:hAnsi="Times New Roman" w:eastAsia="宋体" w:cs="Times New Roman"/>
          <w:b w:val="0"/>
          <w:bCs w:val="0"/>
          <w:i/>
          <w:iCs/>
          <w:color w:val="auto"/>
          <w:sz w:val="36"/>
          <w:highlight w:val="none"/>
          <w:u w:val="single"/>
          <w:lang w:val="en-US" w:eastAsia="zh-CN"/>
        </w:rPr>
        <w:t xml:space="preserve">四</w:t>
      </w:r>
      <w:r>
        <w:rPr>
          <w:rFonts w:hint="eastAsia" w:ascii="Times New Roman" w:hAnsi="Times New Roman" w:eastAsia="宋体" w:cs="Times New Roman"/>
          <w:b w:val="0"/>
          <w:bCs w:val="0"/>
          <w:i/>
          <w:iCs/>
          <w:color w:val="auto"/>
          <w:sz w:val="36"/>
          <w:highlight w:val="none"/>
          <w:u w:val="single"/>
        </w:rPr>
        <w:t xml:space="preserve">、关于符合本国产品标准的声明函（分包号：**）</w:t>
      </w:r>
      <w:r/>
    </w:p>
    <w:p>
      <w:pPr>
        <w:pStyle w:val="681"/>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681"/>
        <w:ind w:firstLine="420"/>
        <w:spacing w:before="0" w:beforeAutospacing="0" w:after="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1"/>
        <w:ind w:firstLine="42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638175</wp:posOffset>
                </wp:positionV>
                <wp:extent cx="565785" cy="130810"/>
                <wp:effectExtent l="1270" t="4445" r="4445" b="17145"/>
                <wp:wrapNone/>
                <wp:docPr id="1" name="直接箭头连接符 1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5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1921510</wp:posOffset>
                </wp:positionH>
                <wp:positionV relativeFrom="paragraph">
                  <wp:posOffset>720090</wp:posOffset>
                </wp:positionV>
                <wp:extent cx="876300" cy="120015"/>
                <wp:effectExtent l="635" t="4445" r="12065" b="15240"/>
                <wp:wrapNone/>
                <wp:docPr id="2" name="直接箭头连接符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51.3pt;mso-position-horizontal:absolute;mso-position-vertical-relative:text;margin-top:56.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8255" b="13335"/>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5080" b="12065"/>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8255" b="635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825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2540" b="1206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shd w:val="clear" w:color="auto" w:fill="ffffff"/>
        </w:rPr>
        <w:t xml:space="preserve">1.</w:t>
      </w:r>
      <w:r>
        <w:rPr>
          <w:rStyle w:val="686"/>
          <w:rFonts w:hint="eastAsia" w:ascii="宋体" w:hAnsi="宋体" w:eastAsia="宋体" w:cs="宋体"/>
          <w:i w:val="0"/>
          <w:color w:val="auto"/>
          <w:szCs w:val="24"/>
          <w:highlight w:val="none"/>
          <w:u w:val="single"/>
          <w:shd w:val="clear" w:color="auto" w:fill="ffffff"/>
        </w:rPr>
        <w:t xml:space="preserve">（产品名称1）</w:t>
      </w:r>
      <w:r>
        <w:rPr>
          <w:rStyle w:val="686"/>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686"/>
          <w:rFonts w:hint="eastAsia" w:ascii="宋体" w:hAnsi="宋体" w:eastAsia="宋体" w:cs="宋体"/>
          <w:i w:val="0"/>
          <w:color w:val="auto"/>
          <w:szCs w:val="24"/>
          <w:highlight w:val="none"/>
          <w:u w:val="single"/>
          <w:shd w:val="clear" w:color="auto" w:fill="ffffff"/>
        </w:rPr>
        <w:t xml:space="preserve">（厂名）</w:t>
      </w:r>
      <w:r>
        <w:rPr>
          <w:rStyle w:val="686"/>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686"/>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686"/>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686"/>
          <w:rFonts w:hint="eastAsia" w:ascii="宋体" w:hAnsi="宋体" w:eastAsia="宋体" w:cs="宋体"/>
          <w:i w:val="0"/>
          <w:color w:val="auto"/>
          <w:szCs w:val="24"/>
          <w:highlight w:val="none"/>
          <w:u w:val="single"/>
          <w:shd w:val="clear" w:color="auto" w:fill="ffffff"/>
        </w:rPr>
        <w:t xml:space="preserve">（规定比例）</w:t>
      </w:r>
      <w:r>
        <w:rPr>
          <w:rStyle w:val="686"/>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686"/>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686"/>
          <w:rFonts w:hint="eastAsia" w:ascii="宋体" w:hAnsi="宋体" w:eastAsia="宋体" w:cs="宋体"/>
          <w:i w:val="0"/>
          <w:color w:val="auto"/>
          <w:szCs w:val="24"/>
          <w:highlight w:val="none"/>
          <w:u w:val="single"/>
          <w:shd w:val="clear" w:color="auto" w:fill="ffffff"/>
        </w:rPr>
        <w:t xml:space="preserve">（关键组件）</w:t>
      </w:r>
      <w:r>
        <w:rPr>
          <w:rStyle w:val="686"/>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686"/>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686"/>
          <w:rFonts w:hint="eastAsia" w:ascii="宋体" w:hAnsi="宋体" w:eastAsia="宋体" w:cs="宋体"/>
          <w:i w:val="0"/>
          <w:color w:val="auto"/>
          <w:szCs w:val="24"/>
          <w:highlight w:val="none"/>
          <w:u w:val="single"/>
          <w:shd w:val="clear" w:color="auto" w:fill="ffffff"/>
        </w:rPr>
        <w:t xml:space="preserve">（关键工序）</w:t>
      </w:r>
      <w:r>
        <w:rPr>
          <w:rStyle w:val="686"/>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pStyle w:val="681"/>
        <w:ind w:firstLine="420"/>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4445</wp:posOffset>
                </wp:positionH>
                <wp:positionV relativeFrom="paragraph">
                  <wp:posOffset>686435</wp:posOffset>
                </wp:positionV>
                <wp:extent cx="424815" cy="112395"/>
                <wp:effectExtent l="1270" t="4445" r="5715" b="10160"/>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4624;o:allowoverlap:true;o:allowincell:true;mso-position-horizontal-relative:text;margin-left:0.3pt;mso-position-horizontal:absolute;mso-position-vertical-relative:text;margin-top:54.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3175" b="698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6350" b="952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35" b="1524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6350" b="13335"/>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5080" b="1016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szCs w:val="24"/>
          <w:highlight w:val="none"/>
          <w:shd w:val="clear" w:color="auto" w:fill="ffffff"/>
        </w:rPr>
        <w:t xml:space="preserve">2.</w:t>
      </w:r>
      <w:r>
        <w:rPr>
          <w:rStyle w:val="686"/>
          <w:rFonts w:hint="eastAsia" w:ascii="宋体" w:hAnsi="宋体" w:eastAsia="宋体" w:cs="宋体"/>
          <w:i w:val="0"/>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，生产厂为</w:t>
      </w:r>
      <w:r>
        <w:rPr>
          <w:rStyle w:val="686"/>
          <w:rFonts w:hint="eastAsia" w:ascii="宋体" w:hAnsi="宋体" w:eastAsia="宋体" w:cs="宋体"/>
          <w:i w:val="0"/>
          <w:color w:val="auto"/>
          <w:szCs w:val="24"/>
          <w:highlight w:val="none"/>
          <w:u w:val="single"/>
          <w:shd w:val="clear" w:color="auto" w:fill="ffffff"/>
        </w:rPr>
        <w:t xml:space="preserve">（厂名）</w:t>
      </w:r>
      <w:r>
        <w:rPr>
          <w:rFonts w:hint="eastAsia" w:ascii="宋体" w:hAnsi="宋体" w:eastAsia="宋体" w:cs="宋体"/>
          <w:color w:val="auto"/>
          <w:szCs w:val="24"/>
          <w:highlight w:val="none"/>
          <w:shd w:val="clear" w:color="auto" w:fill="ffffff"/>
        </w:rPr>
        <w:t xml:space="preserve">，厂址为</w:t>
      </w:r>
      <w:r>
        <w:rPr>
          <w:rStyle w:val="686"/>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Style w:val="686"/>
          <w:rFonts w:hint="eastAsia" w:ascii="宋体" w:hAnsi="宋体" w:eastAsia="宋体" w:cs="宋体"/>
          <w:i w:val="0"/>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的中国境内生产的组件成本占比≥</w:t>
      </w:r>
      <w:r>
        <w:rPr>
          <w:rStyle w:val="686"/>
          <w:rFonts w:hint="eastAsia" w:ascii="宋体" w:hAnsi="宋体" w:eastAsia="宋体" w:cs="宋体"/>
          <w:i w:val="0"/>
          <w:color w:val="auto"/>
          <w:szCs w:val="24"/>
          <w:highlight w:val="none"/>
          <w:u w:val="single"/>
          <w:shd w:val="clear" w:color="auto" w:fill="ffffff"/>
        </w:rPr>
        <w:t xml:space="preserve">（规定比例）</w:t>
      </w:r>
      <w:r>
        <w:rPr>
          <w:rFonts w:hint="eastAsia" w:ascii="宋体" w:hAnsi="宋体" w:eastAsia="宋体" w:cs="宋体"/>
          <w:color w:val="auto"/>
          <w:szCs w:val="24"/>
          <w:highlight w:val="none"/>
          <w:shd w:val="clear" w:color="auto" w:fill="ffffff"/>
        </w:rPr>
        <w:t xml:space="preserve">。</w:t>
      </w:r>
      <w:r>
        <w:rPr>
          <w:rStyle w:val="686"/>
          <w:rFonts w:hint="eastAsia" w:ascii="宋体" w:hAnsi="宋体" w:eastAsia="宋体" w:cs="宋体"/>
          <w:i w:val="0"/>
          <w:color w:val="auto"/>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w:t>
      </w:r>
      <w:r>
        <w:rPr>
          <w:rStyle w:val="686"/>
          <w:rFonts w:hint="eastAsia" w:ascii="宋体" w:hAnsi="宋体" w:eastAsia="宋体" w:cs="宋体"/>
          <w:i w:val="0"/>
          <w:color w:val="auto"/>
          <w:szCs w:val="24"/>
          <w:highlight w:val="none"/>
          <w:u w:val="single"/>
          <w:shd w:val="clear" w:color="auto" w:fill="ffffff"/>
        </w:rPr>
        <w:t xml:space="preserve">（关键组件）</w:t>
      </w:r>
      <w:r>
        <w:rPr>
          <w:rFonts w:hint="eastAsia" w:ascii="宋体" w:hAnsi="宋体" w:eastAsia="宋体" w:cs="宋体"/>
          <w:color w:val="auto"/>
          <w:szCs w:val="24"/>
          <w:highlight w:val="none"/>
          <w:shd w:val="clear" w:color="auto" w:fill="ffffff"/>
        </w:rPr>
        <w:t xml:space="preserve">在中国境内生产。</w:t>
      </w:r>
      <w:r>
        <w:rPr>
          <w:rStyle w:val="686"/>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686"/>
          <w:rFonts w:hint="eastAsia" w:ascii="宋体" w:hAnsi="宋体" w:eastAsia="宋体" w:cs="宋体"/>
          <w:i w:val="0"/>
          <w:color w:val="auto"/>
          <w:szCs w:val="24"/>
          <w:highlight w:val="none"/>
          <w:u w:val="single"/>
          <w:shd w:val="clear" w:color="auto" w:fill="ffffff"/>
        </w:rPr>
        <w:t xml:space="preserve">（关键工序）</w:t>
      </w:r>
      <w:r>
        <w:rPr>
          <w:rFonts w:hint="eastAsia" w:ascii="宋体" w:hAnsi="宋体" w:eastAsia="宋体" w:cs="宋体"/>
          <w:color w:val="auto"/>
          <w:szCs w:val="24"/>
          <w:highlight w:val="none"/>
          <w:shd w:val="clear" w:color="auto" w:fill="ffffff"/>
        </w:rPr>
        <w:t xml:space="preserve">在中国境内完成。</w:t>
      </w:r>
      <w:r/>
    </w:p>
    <w:p>
      <w:pPr>
        <w:pStyle w:val="681"/>
        <w:ind w:firstLine="420"/>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w:t>
      </w:r>
      <w:r/>
    </w:p>
    <w:p>
      <w:pPr>
        <w:pStyle w:val="681"/>
        <w:ind w:firstLine="420"/>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本公司（单位）对上述声明内容的真实性负责。如有虚假，愿承担相应法律责任。</w:t>
      </w:r>
      <w:r/>
    </w:p>
    <w:p>
      <w:pPr>
        <w:pStyle w:val="681"/>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681"/>
        <w:ind w:right="480" w:firstLine="3720"/>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公司（单位）名称（盖章）：　        </w:t>
      </w:r>
      <w:r/>
    </w:p>
    <w:p>
      <w:pPr>
        <w:pStyle w:val="681"/>
        <w:jc w:val="center"/>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                                日期：　   年　  月　  日         </w:t>
      </w:r>
      <w:r/>
    </w:p>
    <w:p>
      <w:pPr>
        <w:pStyle w:val="681"/>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__________________</w:t>
      </w:r>
      <w:r/>
    </w:p>
    <w:p>
      <w:pPr>
        <w:pStyle w:val="681"/>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1.产品如有型号，请在“产品名称”栏一并填写。</w:t>
      </w:r>
      <w:r/>
    </w:p>
    <w:p>
      <w:pPr>
        <w:pStyle w:val="681"/>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2.生产厂名与厂址应与生产厂营业执照载明的相关信息保持一致。</w:t>
      </w:r>
      <w:r/>
    </w:p>
    <w:p>
      <w:pPr>
        <w:pStyle w:val="681"/>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3.该产品的中国境内生产的组件成本占比相关要求实施前，“规定比例”栏可不填，下同。</w:t>
      </w:r>
      <w:r/>
    </w:p>
    <w:p>
      <w:pPr>
        <w:pStyle w:val="681"/>
        <w:spacing w:before="30" w:beforeAutospacing="0" w:after="30" w:afterAutospacing="0" w:line="360" w:lineRule="auto"/>
        <w:rPr>
          <w:rFonts w:hint="eastAsia" w:ascii="宋体" w:hAnsi="宋体" w:cs="宋体"/>
          <w:color w:val="auto"/>
          <w:szCs w:val="24"/>
          <w:highlight w:val="none"/>
        </w:rPr>
      </w:pPr>
      <w:r>
        <w:rPr>
          <w:rFonts w:hint="eastAsia" w:ascii="宋体" w:hAnsi="宋体" w:eastAsia="宋体" w:cs="宋体"/>
          <w:color w:val="auto"/>
          <w:szCs w:val="24"/>
          <w:highlight w:val="none"/>
          <w:shd w:val="clear" w:color="auto" w:fill="ffffff"/>
        </w:rPr>
        <w:t xml:space="preserve">4.该产品的关键组件要求实施前，“关键组件”栏可不填，下同。</w:t>
      </w:r>
      <w:r/>
    </w:p>
    <w:p>
      <w:pPr>
        <w:pStyle w:val="681"/>
        <w:spacing w:before="30" w:beforeAutospacing="0" w:after="30" w:afterAutospacing="0" w:line="360" w:lineRule="auto"/>
        <w:rPr>
          <w:rFonts w:hint="eastAsia" w:ascii="宋体" w:hAnsi="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pStyle w:val="681"/>
        <w:spacing w:before="30" w:beforeAutospacing="0" w:after="3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7.请供应商如实填写，如填写有误，将承担一切不利后果。</w:t>
      </w:r>
      <w:r/>
    </w:p>
    <w:p>
      <w:pPr>
        <w:pStyle w:val="681"/>
        <w:spacing w:before="30" w:beforeAutospacing="0" w:after="3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8.供应商提供虚假《声明函》、虚假证明文件谋取中标的，依照《中华人民共和国政府采购法》等法律法规规定追究相应责任。</w:t>
      </w:r>
      <w:r/>
    </w:p>
    <w:p>
      <w:pPr>
        <w:pStyle w:val="681"/>
        <w:spacing w:before="30" w:beforeAutospacing="0" w:after="3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9.中标人的《声明函》或有关证明文件随中标结果公开，接受社会监督。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default" w:ascii="Arial" w:hAnsi="Arial" w:eastAsia="宋体" w:cs="Arial"/>
          <w:i w:val="0"/>
          <w:iCs w:val="0"/>
          <w:color w:val="auto"/>
          <w:sz w:val="36"/>
          <w:highlight w:val="none"/>
          <w:u w:val="none"/>
          <w:lang w:val="en-US" w:eastAsia="zh-CN"/>
        </w:rPr>
        <w:outlineLvl w:val="1"/>
      </w:pPr>
      <w:r>
        <w:rPr>
          <w:rFonts w:hint="eastAsia" w:ascii="Times New Roman" w:hAnsi="Times New Roman" w:eastAsia="宋体" w:cs="Times New Roman"/>
          <w:i w:val="0"/>
          <w:iCs w:val="0"/>
          <w:color w:val="auto"/>
          <w:sz w:val="36"/>
          <w:highlight w:val="none"/>
          <w:u w:val="none"/>
          <w:lang w:val="en-US" w:eastAsia="zh-CN"/>
        </w:rPr>
        <w:t xml:space="preserve">注：本项目不适用。</w:t>
      </w:r>
      <w:r/>
    </w:p>
    <w:p>
      <w:pPr>
        <w:jc w:val="left"/>
        <w:keepLines/>
        <w:keepNext/>
        <w:spacing w:before="360" w:after="200" w:line="360" w:lineRule="auto"/>
        <w:rPr>
          <w:rFonts w:hint="eastAsia" w:ascii="Arial" w:hAnsi="Arial" w:cs="Arial"/>
          <w:i/>
          <w:iCs/>
          <w:color w:val="auto"/>
          <w:sz w:val="36"/>
          <w:highlight w:val="none"/>
          <w:u w:val="single"/>
        </w:rPr>
        <w:outlineLvl w:val="1"/>
      </w:pPr>
      <w:r>
        <w:rPr>
          <w:rFonts w:hint="eastAsia" w:ascii="Arial" w:hAnsi="Arial" w:cs="Arial"/>
          <w:i/>
          <w:iCs/>
          <w:color w:val="auto"/>
          <w:sz w:val="36"/>
          <w:highlight w:val="none"/>
          <w:u w:val="single"/>
        </w:rPr>
      </w:r>
      <w:r/>
    </w:p>
    <w:p>
      <w:pPr>
        <w:jc w:val="left"/>
        <w:keepLines/>
        <w:keepNext/>
        <w:spacing w:before="360" w:after="200" w:line="360" w:lineRule="auto"/>
        <w:rPr>
          <w:rFonts w:hint="eastAsia" w:ascii="Arial" w:hAnsi="Arial" w:cs="Arial"/>
          <w:i/>
          <w:iCs/>
          <w:color w:val="auto"/>
          <w:sz w:val="36"/>
          <w:highlight w:val="none"/>
          <w:u w:val="single"/>
        </w:rPr>
        <w:outlineLvl w:val="1"/>
      </w:pPr>
      <w:r>
        <w:rPr>
          <w:rFonts w:hint="eastAsia" w:ascii="Arial" w:hAnsi="Arial" w:cs="Arial"/>
          <w:i/>
          <w:iCs/>
          <w:color w:val="auto"/>
          <w:sz w:val="36"/>
          <w:highlight w:val="none"/>
          <w:u w:val="single"/>
        </w:rPr>
      </w:r>
      <w:r/>
    </w:p>
    <w:p>
      <w:pPr>
        <w:jc w:val="left"/>
        <w:keepLines/>
        <w:keepNext/>
        <w:spacing w:before="360" w:after="200" w:line="360" w:lineRule="auto"/>
        <w:rPr>
          <w:rFonts w:hint="eastAsia" w:ascii="Arial" w:hAnsi="Arial" w:cs="Arial"/>
          <w:i/>
          <w:iCs/>
          <w:color w:val="auto"/>
          <w:sz w:val="36"/>
          <w:highlight w:val="none"/>
          <w:u w:val="single"/>
        </w:rPr>
        <w:outlineLvl w:val="1"/>
      </w:pPr>
      <w:r>
        <w:rPr>
          <w:rFonts w:hint="eastAsia" w:ascii="Arial" w:hAnsi="Arial" w:cs="Arial"/>
          <w:i/>
          <w:iCs/>
          <w:color w:val="auto"/>
          <w:sz w:val="36"/>
          <w:highlight w:val="none"/>
          <w:u w:val="single"/>
        </w:rPr>
      </w:r>
      <w:r/>
    </w:p>
    <w:p>
      <w:pPr>
        <w:jc w:val="left"/>
        <w:keepLines/>
        <w:keepNext/>
        <w:spacing w:before="360" w:after="200" w:line="360" w:lineRule="auto"/>
        <w:rPr>
          <w:rFonts w:hint="eastAsia" w:ascii="Arial" w:hAnsi="Arial" w:cs="Arial"/>
          <w:i/>
          <w:iCs/>
          <w:color w:val="auto"/>
          <w:sz w:val="36"/>
          <w:highlight w:val="none"/>
          <w:u w:val="single"/>
        </w:rPr>
        <w:outlineLvl w:val="1"/>
      </w:pPr>
      <w:r>
        <w:rPr>
          <w:rFonts w:hint="eastAsia" w:ascii="Arial" w:hAnsi="Arial" w:cs="Arial"/>
          <w:i/>
          <w:iCs/>
          <w:color w:val="auto"/>
          <w:sz w:val="36"/>
          <w:highlight w:val="none"/>
          <w:u w:val="single"/>
        </w:rPr>
      </w:r>
      <w:r/>
    </w:p>
    <w:p>
      <w:pPr>
        <w:jc w:val="left"/>
        <w:keepLines/>
        <w:keepNext/>
        <w:spacing w:before="360" w:after="200" w:line="360" w:lineRule="auto"/>
        <w:rPr>
          <w:rFonts w:hint="eastAsia" w:ascii="Arial" w:hAnsi="Arial" w:cs="Arial"/>
          <w:i/>
          <w:iCs/>
          <w:color w:val="auto"/>
          <w:sz w:val="36"/>
          <w:highlight w:val="none"/>
          <w:u w:val="single"/>
        </w:rPr>
        <w:outlineLvl w:val="1"/>
      </w:pPr>
      <w:r>
        <w:rPr>
          <w:rFonts w:hint="eastAsia" w:ascii="Arial" w:hAnsi="Arial" w:cs="Arial"/>
          <w:i/>
          <w:iCs/>
          <w:color w:val="auto"/>
          <w:sz w:val="36"/>
          <w:highlight w:val="none"/>
          <w:u w:val="single"/>
        </w:rPr>
      </w:r>
      <w:r/>
    </w:p>
    <w:p>
      <w:pPr>
        <w:jc w:val="left"/>
        <w:keepLines/>
        <w:keepNext/>
        <w:spacing w:before="360" w:after="200" w:line="360" w:lineRule="auto"/>
        <w:rPr>
          <w:rFonts w:hint="eastAsia" w:ascii="Arial" w:hAnsi="Arial" w:cs="Arial"/>
          <w:i/>
          <w:iCs/>
          <w:color w:val="auto"/>
          <w:sz w:val="36"/>
          <w:highlight w:val="none"/>
          <w:u w:val="single"/>
        </w:rPr>
        <w:outlineLvl w:val="1"/>
      </w:pPr>
      <w:r>
        <w:rPr>
          <w:rFonts w:hint="eastAsia" w:ascii="Arial" w:hAnsi="Arial" w:cs="Arial"/>
          <w:i/>
          <w:iCs/>
          <w:color w:val="auto"/>
          <w:sz w:val="36"/>
          <w:highlight w:val="none"/>
          <w:u w:val="single"/>
        </w:rPr>
      </w:r>
      <w:r/>
    </w:p>
    <w:p>
      <w:pPr>
        <w:rPr>
          <w:rFonts w:hint="eastAsia"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十</w:t>
      </w:r>
      <w:r>
        <w:rPr>
          <w:rFonts w:hint="eastAsia" w:ascii="Times New Roman" w:hAnsi="Times New Roman" w:eastAsia="宋体" w:cs="Times New Roman"/>
          <w:i/>
          <w:iCs/>
          <w:color w:val="auto"/>
          <w:sz w:val="36"/>
          <w:highlight w:val="none"/>
          <w:u w:val="single"/>
          <w:lang w:val="en-US" w:eastAsia="zh-CN"/>
        </w:rPr>
        <w:t xml:space="preserve">五</w:t>
      </w:r>
      <w:r>
        <w:rPr>
          <w:rFonts w:hint="eastAsia" w:ascii="Times New Roman" w:hAnsi="Times New Roman" w:eastAsia="宋体" w:cs="Times New Roman"/>
          <w:i/>
          <w:iCs/>
          <w:color w:val="auto"/>
          <w:sz w:val="36"/>
          <w:highlight w:val="none"/>
          <w:u w:val="single"/>
        </w:rPr>
        <w:t xml:space="preserve">、技术要求响应及偏离表（分包号：**）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eastAsia="宋体" w:cs="宋体"/>
          <w:color w:val="auto"/>
          <w:sz w:val="24"/>
          <w:szCs w:val="24"/>
          <w:highlight w:val="none"/>
        </w:rPr>
        <w:t xml:space="preserve">项目名称：      项目编号：      分包号：</w:t>
      </w:r>
      <w:r>
        <w:rPr>
          <w:rFonts w:ascii="宋体" w:hAnsi="宋体" w:eastAsia="宋体" w:cs="宋体"/>
          <w:bCs/>
          <w:color w:val="auto"/>
          <w:sz w:val="24"/>
          <w:szCs w:val="24"/>
          <w:highlight w:val="none"/>
        </w:rPr>
        <w:t xml:space="preserve"> </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9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9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9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highlight w:val="none"/>
              </w:rPr>
            </w:pPr>
            <w:r>
              <w:rPr>
                <w:rFonts w:ascii="宋体" w:hAnsi="宋体" w:eastAsia="宋体" w:cs="宋体"/>
                <w:color w:val="auto"/>
                <w:sz w:val="24"/>
                <w:szCs w:val="24"/>
                <w:highlight w:val="none"/>
              </w:rPr>
              <w:t xml:space="preserve">…</w:t>
            </w:r>
            <w:r/>
          </w:p>
        </w:tc>
        <w:tc>
          <w:tcPr>
            <w:tcW w:w="32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9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left"/>
        <w:keepLines/>
        <w:keepNext/>
        <w:spacing w:before="360" w:after="200" w:line="360" w:lineRule="auto"/>
        <w:rPr>
          <w:rFonts w:ascii="Arial" w:hAnsi="Arial" w:cs="Arial"/>
          <w:i/>
          <w:iCs/>
          <w:color w:val="auto"/>
          <w:sz w:val="36"/>
          <w:highlight w:val="none"/>
          <w:u w:val="single"/>
        </w:rPr>
        <w:outlineLvl w:val="1"/>
      </w:pPr>
      <w:r/>
      <w:bookmarkStart w:id="18" w:name="_Hlt26955054"/>
      <w:r/>
      <w:bookmarkEnd w:id="18"/>
      <w:r>
        <w:rPr>
          <w:rFonts w:hint="eastAsia" w:ascii="Times New Roman" w:hAnsi="Times New Roman" w:eastAsia="宋体" w:cs="Times New Roman"/>
          <w:i/>
          <w:iCs/>
          <w:color w:val="auto"/>
          <w:sz w:val="36"/>
          <w:highlight w:val="none"/>
          <w:u w:val="single"/>
        </w:rPr>
        <w:t xml:space="preserve">十</w:t>
      </w:r>
      <w:r>
        <w:rPr>
          <w:rFonts w:hint="eastAsia" w:ascii="Times New Roman" w:hAnsi="Times New Roman" w:eastAsia="宋体" w:cs="Times New Roman"/>
          <w:i/>
          <w:iCs/>
          <w:color w:val="auto"/>
          <w:sz w:val="36"/>
          <w:highlight w:val="none"/>
          <w:u w:val="single"/>
          <w:lang w:val="en-US" w:eastAsia="zh-CN"/>
        </w:rPr>
        <w:t xml:space="preserve">六</w:t>
      </w:r>
      <w:r>
        <w:rPr>
          <w:rFonts w:hint="eastAsia" w:ascii="Times New Roman" w:hAnsi="Times New Roman" w:eastAsia="宋体" w:cs="Times New Roman"/>
          <w:i/>
          <w:iCs/>
          <w:color w:val="auto"/>
          <w:sz w:val="36"/>
          <w:highlight w:val="none"/>
          <w:u w:val="single"/>
        </w:rPr>
        <w:t xml:space="preserve">、商务要求响应及偏离表（分包号：**）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宋体"/>
          <w:color w:val="auto"/>
          <w:sz w:val="24"/>
          <w:szCs w:val="24"/>
          <w:highlight w:val="none"/>
        </w:rPr>
        <w:t xml:space="preserve">项目名称：      项目编号：      分包号：</w:t>
      </w:r>
      <w:r>
        <w:rPr>
          <w:rFonts w:ascii="宋体" w:hAnsi="宋体" w:eastAsia="宋体" w:cs="宋体"/>
          <w:bCs/>
          <w:color w:val="auto"/>
          <w:sz w:val="24"/>
          <w:szCs w:val="24"/>
          <w:highlight w:val="none"/>
        </w:rPr>
        <w:t xml:space="preserve"> </w:t>
      </w:r>
      <w:r/>
    </w:p>
    <w:tbl>
      <w:tblPr>
        <w:tblStyle w:val="65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auto"/>
                <w:sz w:val="24"/>
                <w:szCs w:val="24"/>
                <w:highlight w:val="none"/>
              </w:rPr>
            </w:pPr>
            <w:r/>
            <w:bookmarkStart w:id="19" w:name="_Hlt24879081"/>
            <w:r/>
            <w:bookmarkEnd w:id="19"/>
            <w:r/>
            <w:bookmarkStart w:id="20" w:name="_Hlt26671343"/>
            <w:r/>
            <w:bookmarkEnd w:id="20"/>
            <w:r/>
            <w:bookmarkStart w:id="21" w:name="_Hlt26955056"/>
            <w:r/>
            <w:bookmarkEnd w:id="21"/>
            <w:r/>
            <w:bookmarkStart w:id="22" w:name="_Hlt26955064"/>
            <w:r/>
            <w:bookmarkEnd w:id="22"/>
            <w:r/>
            <w:bookmarkStart w:id="23" w:name="_Hlt26782999"/>
            <w:r/>
            <w:bookmarkEnd w:id="23"/>
            <w:r/>
            <w:bookmarkStart w:id="24" w:name="_Hlt26580838"/>
            <w:r/>
            <w:bookmarkEnd w:id="24"/>
            <w:r/>
            <w:bookmarkStart w:id="25" w:name="_Hlt26671372"/>
            <w:r/>
            <w:bookmarkEnd w:id="25"/>
            <w:r/>
            <w:bookmarkStart w:id="26" w:name="_Hlt26609391"/>
            <w:r/>
            <w:bookmarkEnd w:id="26"/>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highlight w:val="none"/>
              </w:rPr>
            </w:pPr>
            <w:r>
              <w:rPr>
                <w:rFonts w:ascii="宋体" w:hAnsi="宋体" w:eastAsia="宋体" w:cs="宋体"/>
                <w:color w:val="auto"/>
                <w:sz w:val="24"/>
                <w:szCs w:val="24"/>
                <w:highlight w:val="none"/>
              </w:rPr>
              <w:t xml:space="preserve">…</w:t>
            </w:r>
            <w:r/>
          </w:p>
        </w:tc>
        <w:tc>
          <w:tcPr>
            <w:tcW w:w="326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0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27" w:name="_Hlt26609389"/>
      <w:r/>
      <w:bookmarkEnd w:id="27"/>
      <w:r/>
      <w:bookmarkStart w:id="28" w:name="_格式2__法定代表人授权书"/>
      <w:r/>
      <w:bookmarkEnd w:id="28"/>
      <w:r/>
      <w:bookmarkStart w:id="29" w:name="_Hlt26955066"/>
      <w:r/>
      <w:bookmarkEnd w:id="29"/>
      <w:r/>
      <w:bookmarkStart w:id="30" w:name="_Hlt26671374"/>
      <w:r/>
      <w:bookmarkEnd w:id="30"/>
      <w:r>
        <w:rPr>
          <w:color w:val="auto"/>
          <w:highlight w:val="none"/>
        </w:rPr>
        <w:br w:type="page" w:clear="all"/>
      </w:r>
      <w:r/>
    </w:p>
    <w:p>
      <w:pPr>
        <w:jc w:val="left"/>
        <w:keepLines/>
        <w:keepNext/>
        <w:spacing w:before="360" w:after="200" w:line="360" w:lineRule="auto"/>
        <w:rPr>
          <w:rFonts w:hint="eastAsia" w:ascii="Times New Roman" w:hAnsi="Times New Roman" w:eastAsia="宋体" w:cs="Times New Roman"/>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十</w:t>
      </w:r>
      <w:r>
        <w:rPr>
          <w:rFonts w:hint="eastAsia" w:ascii="Times New Roman" w:hAnsi="Times New Roman" w:eastAsia="宋体" w:cs="Times New Roman"/>
          <w:i/>
          <w:iCs/>
          <w:color w:val="auto"/>
          <w:sz w:val="36"/>
          <w:highlight w:val="none"/>
          <w:u w:val="single"/>
          <w:lang w:val="en-US" w:eastAsia="zh-CN"/>
        </w:rPr>
        <w:t xml:space="preserve">七</w:t>
      </w:r>
      <w:r>
        <w:rPr>
          <w:rFonts w:hint="eastAsia" w:ascii="Times New Roman" w:hAnsi="Times New Roman" w:eastAsia="宋体" w:cs="Times New Roman"/>
          <w:i/>
          <w:iCs/>
          <w:color w:val="auto"/>
          <w:sz w:val="36"/>
          <w:highlight w:val="none"/>
          <w:u w:val="single"/>
        </w:rPr>
        <w:t xml:space="preserve">、类似项目业绩一览表（分包号：**）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宋体"/>
          <w:color w:val="auto"/>
          <w:sz w:val="24"/>
          <w:szCs w:val="24"/>
          <w:highlight w:val="none"/>
        </w:rPr>
        <w:t xml:space="preserve">项目名称：      项目编号：      分包号：</w:t>
      </w:r>
      <w:r>
        <w:rPr>
          <w:rFonts w:ascii="宋体" w:hAnsi="宋体" w:eastAsia="宋体" w:cs="宋体"/>
          <w:bCs/>
          <w:color w:val="auto"/>
          <w:sz w:val="24"/>
          <w:szCs w:val="24"/>
          <w:highlight w:val="none"/>
        </w:rPr>
        <w:t xml:space="preserve"> </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5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9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5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9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5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9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highlight w:val="none"/>
              </w:rPr>
            </w:pPr>
            <w:r>
              <w:rPr>
                <w:rFonts w:ascii="宋体" w:hAnsi="宋体" w:eastAsia="宋体" w:cs="宋体"/>
                <w:color w:val="auto"/>
                <w:sz w:val="24"/>
                <w:szCs w:val="24"/>
                <w:highlight w:val="none"/>
              </w:rPr>
              <w:t xml:space="preserve">…</w:t>
            </w:r>
            <w:r/>
          </w:p>
        </w:tc>
        <w:tc>
          <w:tcPr>
            <w:tcW w:w="268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5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9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Arial" w:hAnsi="Arial" w:cs="Arial"/>
          <w:iCs/>
          <w:color w:val="auto"/>
          <w:sz w:val="36"/>
          <w:highlight w:val="none"/>
        </w:rPr>
      </w:pPr>
      <w:r>
        <w:rPr>
          <w:rFonts w:hint="eastAsia" w:ascii="Arial" w:hAnsi="Arial" w:cs="Arial"/>
          <w:iCs/>
          <w:color w:val="auto"/>
          <w:sz w:val="36"/>
          <w:highlight w:val="none"/>
        </w:rPr>
        <w:br w:type="page" w:clear="all"/>
      </w:r>
      <w:r/>
    </w:p>
    <w:p>
      <w:pPr>
        <w:jc w:val="left"/>
        <w:keepLines/>
        <w:keepNext/>
        <w:spacing w:before="360" w:after="200" w:line="360" w:lineRule="auto"/>
        <w:rPr>
          <w:rFonts w:hint="eastAsia" w:ascii="Times New Roman" w:hAnsi="Times New Roman" w:eastAsia="宋体" w:cs="Times New Roman"/>
          <w:i/>
          <w:iCs/>
          <w:color w:val="auto"/>
          <w:sz w:val="36"/>
          <w:highlight w:val="none"/>
          <w:u w:val="single"/>
        </w:rPr>
        <w:outlineLvl w:val="1"/>
      </w:pPr>
      <w:r>
        <w:rPr>
          <w:rFonts w:hint="eastAsia" w:ascii="Times New Roman" w:hAnsi="Times New Roman" w:eastAsia="宋体" w:cs="Times New Roman"/>
          <w:i/>
          <w:iCs/>
          <w:color w:val="auto"/>
          <w:sz w:val="36"/>
          <w:highlight w:val="none"/>
          <w:u w:val="single"/>
        </w:rPr>
        <w:t xml:space="preserve">十</w:t>
      </w:r>
      <w:r>
        <w:rPr>
          <w:rFonts w:hint="eastAsia" w:ascii="Times New Roman" w:hAnsi="Times New Roman" w:eastAsia="宋体" w:cs="Times New Roman"/>
          <w:i/>
          <w:iCs/>
          <w:color w:val="auto"/>
          <w:sz w:val="36"/>
          <w:highlight w:val="none"/>
          <w:u w:val="single"/>
          <w:lang w:val="en-US" w:eastAsia="zh-CN"/>
        </w:rPr>
        <w:t xml:space="preserve">八</w:t>
      </w:r>
      <w:r>
        <w:rPr>
          <w:rFonts w:hint="eastAsia" w:ascii="Times New Roman" w:hAnsi="Times New Roman" w:eastAsia="宋体" w:cs="Times New Roman"/>
          <w:i/>
          <w:iCs/>
          <w:color w:val="auto"/>
          <w:sz w:val="36"/>
          <w:highlight w:val="none"/>
          <w:u w:val="single"/>
        </w:rPr>
        <w:t xml:space="preserve">、项目团队人员一览表（分包号：**）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宋体"/>
          <w:color w:val="auto"/>
          <w:sz w:val="24"/>
          <w:szCs w:val="24"/>
          <w:highlight w:val="none"/>
        </w:rPr>
        <w:t xml:space="preserve">项目名称：      项目编号：      分包号：</w:t>
      </w:r>
      <w:r>
        <w:rPr>
          <w:rFonts w:ascii="宋体" w:hAnsi="宋体" w:eastAsia="宋体" w:cs="宋体"/>
          <w:bCs/>
          <w:color w:val="auto"/>
          <w:sz w:val="24"/>
          <w:szCs w:val="24"/>
          <w:highlight w:val="none"/>
        </w:rPr>
        <w:t xml:space="preserve"> </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4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23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39"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3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39"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3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39"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3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4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39"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3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3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0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left"/>
        <w:keepLines/>
        <w:keepNext/>
        <w:spacing w:before="360" w:after="200" w:line="360" w:lineRule="auto"/>
        <w:rPr>
          <w:rFonts w:hint="eastAsia" w:ascii="Times New Roman" w:hAnsi="Times New Roman" w:eastAsia="宋体" w:cs="Times New Roman"/>
          <w:i/>
          <w:iCs/>
          <w:color w:val="auto"/>
          <w:sz w:val="36"/>
          <w:highlight w:val="none"/>
          <w:u w:val="single"/>
          <w:lang w:val="en-US" w:eastAsia="zh-CN"/>
        </w:rPr>
        <w:outlineLvl w:val="1"/>
      </w:pPr>
      <w:r>
        <w:rPr>
          <w:rFonts w:hint="eastAsia" w:ascii="Times New Roman" w:hAnsi="Times New Roman" w:eastAsia="宋体" w:cs="Times New Roman"/>
          <w:i/>
          <w:iCs/>
          <w:color w:val="auto"/>
          <w:sz w:val="36"/>
          <w:highlight w:val="none"/>
          <w:u w:val="single"/>
          <w:lang w:val="en-US" w:eastAsia="zh-CN"/>
        </w:rPr>
        <w:t xml:space="preserve">十九、软件著作权功能对应说明</w:t>
      </w:r>
      <w:r/>
    </w:p>
    <w:p>
      <w:pPr>
        <w:ind w:left="0" w:firstLine="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color w:val="auto"/>
          <w:sz w:val="24"/>
          <w:szCs w:val="24"/>
          <w:highlight w:val="none"/>
          <w:u w:val="single"/>
          <w:lang w:val="en-US" w:eastAsia="zh-CN" w:bidi="ar-SA"/>
        </w:rPr>
        <w:t xml:space="preserve">：中国（江苏）自由贸易试验区连云港片区制度创新局、中国（江苏）自由贸易试验区连云港片区综合协调局</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本单位针对本项目参评的计算机软件著作权证书，逐一说明著作权软件登记业务功能与本项目采购需求业务模块的对应关系如下：</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表格</w:t>
      </w:r>
      <w:r/>
    </w:p>
    <w:tbl>
      <w:tblPr>
        <w:tblStyle w:val="655"/>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16"/>
        <w:gridCol w:w="1223"/>
        <w:gridCol w:w="863"/>
        <w:gridCol w:w="863"/>
        <w:gridCol w:w="1946"/>
        <w:gridCol w:w="2127"/>
        <w:gridCol w:w="878"/>
      </w:tblGrid>
      <w:tr>
        <w:trPr>
          <w:tblCellSpacing w:w="15" w:type="dxa"/>
          <w:tblHeader/>
        </w:trPr>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著作权登记号</w:t>
            </w:r>
            <w:r/>
          </w:p>
        </w:tc>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软件全称</w:t>
            </w:r>
            <w:r/>
          </w:p>
        </w:tc>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著作权人</w:t>
            </w:r>
            <w:r/>
          </w:p>
        </w:tc>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软著登记主要功能简述</w:t>
            </w:r>
            <w:r/>
          </w:p>
        </w:tc>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对应本项目采购需求模块</w:t>
            </w:r>
            <w:r/>
          </w:p>
        </w:tc>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匹配说明</w:t>
            </w:r>
            <w:r/>
          </w:p>
        </w:tc>
      </w:tr>
      <w:tr>
        <w:trPr>
          <w:tblCellSpacing w:w="15" w:type="dxa"/>
        </w:trPr>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blCellSpacing w:w="15" w:type="dxa"/>
        </w:trPr>
        <w:tc>
          <w:tcPr>
            <w:shd w:val="clear" w:color="auto" w:fill="auto"/>
            <w:tcW w:w="0" w:type="auto"/>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注：填报说明：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1.如为第三方著作权人软件著作权，须随本表一并提供本项目范围内合法有效的使用授权文件，授权材料不全或授权范围不包含本项目的，该份证书不予计分；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2.“软著登记主要功能简述” 可摘抄计算机软件著作权登记证书登记简介内容；</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3.“对应本项目采购需求模块” 填写本项目采购需求中对应的板块 / 模块名称；</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4.参评证书不足 2 份可删除多余行；无参评证书本表填写 “无”。</w:t>
      </w:r>
      <w:r/>
    </w:p>
    <w:p>
      <w:pPr>
        <w:ind w:left="0" w:firstLine="480"/>
        <w:jc w:val="both"/>
        <w:spacing w:after="120" w:line="360" w:lineRule="auto"/>
        <w:widowControl w:val="off"/>
        <w:rPr>
          <w:rFonts w:hint="eastAsia" w:ascii="宋体" w:hAnsi="宋体" w:eastAsia="宋体" w:cs="宋体"/>
          <w:b w:val="0"/>
          <w:i w:val="0"/>
          <w:strike w:val="0"/>
          <w:color w:val="auto"/>
          <w:sz w:val="24"/>
          <w:szCs w:val="24"/>
          <w:highlight w:val="none"/>
          <w:u w:val="none"/>
          <w:lang w:val="en-US" w:eastAsia="zh-CN" w:bidi="ar-SA"/>
        </w:rPr>
      </w:pPr>
      <w:r>
        <w:rPr>
          <w:rFonts w:hint="eastAsia" w:ascii="宋体" w:hAnsi="宋体" w:eastAsia="宋体" w:cs="宋体"/>
          <w:b w:val="0"/>
          <w:i w:val="0"/>
          <w:strike w:val="0"/>
          <w:color w:val="auto"/>
          <w:sz w:val="24"/>
          <w:szCs w:val="24"/>
          <w:highlight w:val="none"/>
          <w:u w:val="none"/>
          <w:lang w:val="en-US" w:eastAsia="zh-CN" w:bidi="ar-SA"/>
        </w:rPr>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投标人（加盖 CA 电子公章）：____________________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法定代表人（单位负责人）或委托代理人（签字或签章）：_________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期：_______年_______月_______日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keepLines/>
        <w:keepNext/>
        <w:spacing w:before="360" w:after="200" w:line="360" w:lineRule="auto"/>
        <w:rPr>
          <w:rFonts w:ascii="Arial" w:hAnsi="Arial" w:cs="Arial"/>
          <w:i/>
          <w:color w:val="auto"/>
          <w:sz w:val="36"/>
          <w:highlight w:val="none"/>
          <w:u w:val="single"/>
        </w:rPr>
        <w:outlineLvl w:val="1"/>
      </w:pPr>
      <w:r>
        <w:rPr>
          <w:rFonts w:hint="eastAsia" w:ascii="Times New Roman" w:hAnsi="Times New Roman" w:eastAsia="宋体" w:cs="Times New Roman"/>
          <w:i/>
          <w:color w:val="auto"/>
          <w:sz w:val="36"/>
          <w:highlight w:val="none"/>
          <w:u w:val="single"/>
          <w:lang w:val="en-US" w:eastAsia="zh-CN"/>
        </w:rPr>
        <w:t xml:space="preserve">二十</w:t>
      </w:r>
      <w:r>
        <w:rPr>
          <w:rFonts w:hint="eastAsia" w:ascii="Times New Roman" w:hAnsi="Times New Roman" w:eastAsia="宋体" w:cs="Times New Roman"/>
          <w:i/>
          <w:color w:val="auto"/>
          <w:sz w:val="36"/>
          <w:highlight w:val="none"/>
          <w:u w:val="single"/>
        </w:rPr>
        <w:t xml:space="preserve">、开标一览表</w:t>
      </w:r>
      <w:r/>
    </w:p>
    <w:p>
      <w:pPr>
        <w:jc w:val="left"/>
        <w:spacing w:line="360" w:lineRule="auto"/>
        <w:rPr>
          <w:rFonts w:ascii="Arial" w:hAnsi="Arial" w:cs="Arial"/>
          <w:color w:val="auto"/>
          <w:sz w:val="36"/>
          <w:highlight w:val="none"/>
        </w:rPr>
      </w:pPr>
      <w:r>
        <w:rPr>
          <w:rFonts w:hint="eastAsia" w:ascii="宋体" w:hAnsi="宋体" w:eastAsia="宋体" w:cs="宋体"/>
          <w:color w:val="auto"/>
          <w:sz w:val="24"/>
          <w:szCs w:val="24"/>
          <w:highlight w:val="none"/>
        </w:rPr>
        <w:t xml:space="preserve">项目编号：      分包号：</w:t>
      </w:r>
      <w:r>
        <w:rPr>
          <w:rFonts w:ascii="宋体" w:hAnsi="宋体" w:eastAsia="宋体" w:cs="宋体"/>
          <w:bCs/>
          <w:color w:val="auto"/>
          <w:sz w:val="24"/>
          <w:szCs w:val="24"/>
          <w:highlight w:val="none"/>
        </w:rPr>
        <w:t xml:space="preserve"> </w:t>
      </w:r>
      <w:r/>
    </w:p>
    <w:p>
      <w:pPr>
        <w:ind w:firstLine="480"/>
        <w:jc w:val="right"/>
        <w:spacing w:line="500" w:lineRule="exact"/>
        <w:rPr>
          <w:rFonts w:ascii="Times New Roman" w:hAnsi="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6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c>
          <w:tcPr>
            <w:tcW w:w="2840"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500" w:lineRule="exact"/>
        <w:rPr>
          <w:rFonts w:ascii="Times New Roman" w:hAnsi="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widowControl/>
        <w:rPr>
          <w:rFonts w:hint="eastAsia" w:ascii="黑体" w:hAnsi="黑体" w:eastAsia="黑体" w:cs="仿宋"/>
          <w:bCs/>
          <w:color w:val="auto"/>
          <w:sz w:val="40"/>
          <w:szCs w:val="32"/>
          <w:highlight w:val="none"/>
        </w:rPr>
      </w:pPr>
      <w:r>
        <w:rPr>
          <w:rFonts w:ascii="黑体" w:hAnsi="黑体" w:eastAsia="黑体" w:cs="仿宋"/>
          <w:bCs/>
          <w:color w:val="auto"/>
          <w:sz w:val="40"/>
          <w:szCs w:val="32"/>
          <w:highlight w:val="none"/>
        </w:rPr>
        <w:br w:type="page" w:clear="all"/>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rPr>
        <w:t xml:space="preserve">地址：</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cs="仿宋"/>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hint="eastAsia" w:ascii="宋体" w:hAnsi="宋体" w:cs="仿宋"/>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MS Mincho">
    <w:panose1 w:val="02020603050405090304"/>
  </w:font>
  <w:font w:name="楷体_GB2312">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Courier New">
    <w:panose1 w:val="020703090202050204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pPr>
    <w:r/>
    <w:r/>
  </w:p>
  <w:p>
    <w:pPr>
      <w:pStyle w:val="6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645">
    <w:name w:val="Heading 1"/>
    <w:basedOn w:val="644"/>
    <w:next w:val="644"/>
    <w:link w:val="690"/>
    <w:uiPriority w:val="9"/>
    <w:qFormat/>
    <w:pPr>
      <w:keepLines/>
      <w:keepNext/>
      <w:spacing w:before="340" w:after="330" w:line="578" w:lineRule="auto"/>
      <w:outlineLvl w:val="0"/>
    </w:pPr>
    <w:rPr>
      <w:b/>
      <w:bCs/>
      <w:sz w:val="44"/>
      <w:szCs w:val="44"/>
    </w:rPr>
  </w:style>
  <w:style w:type="paragraph" w:styleId="646">
    <w:name w:val="Heading 2"/>
    <w:basedOn w:val="644"/>
    <w:next w:val="644"/>
    <w:link w:val="691"/>
    <w:uiPriority w:val="9"/>
    <w:unhideWhenUsed/>
    <w:qFormat/>
    <w:pPr>
      <w:keepLines/>
      <w:keepNext/>
      <w:spacing w:before="260" w:after="260" w:line="416" w:lineRule="auto"/>
      <w:outlineLvl w:val="1"/>
    </w:pPr>
    <w:rPr>
      <w:rFonts w:ascii="Cambria" w:hAnsi="Cambria" w:eastAsia="Arial" w:cs="Times New Roman"/>
      <w:b/>
      <w:bCs/>
      <w:sz w:val="32"/>
      <w:szCs w:val="32"/>
    </w:rPr>
  </w:style>
  <w:style w:type="paragraph" w:styleId="647">
    <w:name w:val="Heading 3"/>
    <w:basedOn w:val="644"/>
    <w:next w:val="644"/>
    <w:link w:val="692"/>
    <w:uiPriority w:val="9"/>
    <w:unhideWhenUsed/>
    <w:qFormat/>
    <w:pPr>
      <w:keepLines/>
      <w:keepNext/>
      <w:spacing w:before="260" w:after="260" w:line="416" w:lineRule="auto"/>
      <w:outlineLvl w:val="2"/>
    </w:pPr>
    <w:rPr>
      <w:b/>
      <w:bCs/>
      <w:sz w:val="32"/>
      <w:szCs w:val="32"/>
    </w:rPr>
  </w:style>
  <w:style w:type="paragraph" w:styleId="648">
    <w:name w:val="Heading 4"/>
    <w:basedOn w:val="644"/>
    <w:next w:val="644"/>
    <w:link w:val="693"/>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694"/>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695"/>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697"/>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698"/>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1"/>
    <w:unhideWhenUsed/>
    <w:qFormat/>
  </w:style>
  <w:style w:type="table" w:styleId="655" w:default="1">
    <w:name w:val="Normal Table"/>
    <w:uiPriority w:val="99"/>
    <w:unhideWhenUsed/>
    <w:qFormat/>
    <w:tblPr>
      <w:tblCellMar>
        <w:left w:w="108" w:type="dxa"/>
        <w:top w:w="0" w:type="dxa"/>
        <w:right w:w="108" w:type="dxa"/>
        <w:bottom w:w="0" w:type="dxa"/>
      </w:tblCellMar>
    </w:tblPr>
  </w:style>
  <w:style w:type="paragraph" w:styleId="656">
    <w:name w:val="toc 7"/>
    <w:basedOn w:val="644"/>
    <w:next w:val="644"/>
    <w:uiPriority w:val="39"/>
    <w:unhideWhenUsed/>
    <w:qFormat/>
    <w:pPr>
      <w:ind w:left="1701" w:right="0" w:firstLine="0"/>
      <w:spacing w:after="57"/>
    </w:pPr>
  </w:style>
  <w:style w:type="paragraph" w:styleId="657">
    <w:name w:val="Normal Indent"/>
    <w:basedOn w:val="644"/>
    <w:uiPriority w:val="0"/>
    <w:qFormat/>
    <w:pPr>
      <w:ind w:firstLine="420"/>
    </w:pPr>
  </w:style>
  <w:style w:type="paragraph" w:styleId="658">
    <w:name w:val="Caption"/>
    <w:basedOn w:val="644"/>
    <w:next w:val="644"/>
    <w:uiPriority w:val="35"/>
    <w:unhideWhenUsed/>
    <w:qFormat/>
    <w:pPr>
      <w:spacing w:line="276" w:lineRule="auto"/>
    </w:pPr>
    <w:rPr>
      <w:b/>
      <w:bCs/>
      <w:color w:val="4f81bd"/>
      <w:sz w:val="18"/>
      <w:szCs w:val="18"/>
    </w:rPr>
  </w:style>
  <w:style w:type="paragraph" w:styleId="659">
    <w:name w:val="Document Map"/>
    <w:basedOn w:val="644"/>
    <w:link w:val="699"/>
    <w:uiPriority w:val="99"/>
    <w:unhideWhenUsed/>
    <w:qFormat/>
    <w:rPr>
      <w:rFonts w:ascii="宋体" w:eastAsia="宋体"/>
      <w:sz w:val="18"/>
      <w:szCs w:val="18"/>
    </w:rPr>
  </w:style>
  <w:style w:type="paragraph" w:styleId="660">
    <w:name w:val="annotation text"/>
    <w:basedOn w:val="644"/>
    <w:link w:val="700"/>
    <w:uiPriority w:val="0"/>
    <w:qFormat/>
    <w:pPr>
      <w:ind w:firstLine="922"/>
      <w:jc w:val="left"/>
      <w:spacing w:line="360" w:lineRule="auto"/>
    </w:pPr>
    <w:rPr>
      <w:rFonts w:ascii="Times New Roman" w:hAnsi="Times New Roman" w:eastAsia="宋体" w:cs="Times New Roman"/>
      <w:szCs w:val="24"/>
    </w:rPr>
  </w:style>
  <w:style w:type="paragraph" w:styleId="661">
    <w:name w:val="Body Text"/>
    <w:basedOn w:val="644"/>
    <w:link w:val="701"/>
    <w:uiPriority w:val="0"/>
    <w:unhideWhenUsed/>
    <w:qFormat/>
    <w:pPr>
      <w:spacing w:after="120"/>
    </w:pPr>
    <w:rPr>
      <w:rFonts w:ascii="Calibri" w:hAnsi="Calibri" w:eastAsia="宋体" w:cs="Times New Roman"/>
    </w:rPr>
  </w:style>
  <w:style w:type="paragraph" w:styleId="662">
    <w:name w:val="Body Text Indent"/>
    <w:basedOn w:val="644"/>
    <w:link w:val="702"/>
    <w:uiPriority w:val="0"/>
    <w:qFormat/>
    <w:pPr>
      <w:ind w:left="420"/>
      <w:spacing w:after="120"/>
    </w:pPr>
    <w:rPr>
      <w:rFonts w:ascii="Times New Roman" w:hAnsi="Times New Roman" w:eastAsia="宋体" w:cs="Times New Roman"/>
      <w:szCs w:val="24"/>
    </w:rPr>
  </w:style>
  <w:style w:type="paragraph" w:styleId="663">
    <w:name w:val="toc 5"/>
    <w:basedOn w:val="644"/>
    <w:next w:val="644"/>
    <w:uiPriority w:val="39"/>
    <w:unhideWhenUsed/>
    <w:qFormat/>
    <w:pPr>
      <w:ind w:left="1134" w:right="0" w:firstLine="0"/>
      <w:spacing w:after="57"/>
    </w:pPr>
  </w:style>
  <w:style w:type="paragraph" w:styleId="664">
    <w:name w:val="toc 3"/>
    <w:basedOn w:val="644"/>
    <w:next w:val="644"/>
    <w:uiPriority w:val="39"/>
    <w:unhideWhenUsed/>
    <w:qFormat/>
    <w:pPr>
      <w:ind w:left="567" w:right="0" w:firstLine="0"/>
      <w:spacing w:after="57"/>
    </w:pPr>
  </w:style>
  <w:style w:type="paragraph" w:styleId="665">
    <w:name w:val="Plain Text"/>
    <w:basedOn w:val="644"/>
    <w:next w:val="644"/>
    <w:link w:val="703"/>
    <w:uiPriority w:val="0"/>
    <w:qFormat/>
    <w:rPr>
      <w:rFonts w:ascii="宋体" w:hAnsi="Courier New" w:eastAsia="宋体" w:cs="Courier New"/>
      <w:szCs w:val="21"/>
    </w:rPr>
  </w:style>
  <w:style w:type="paragraph" w:styleId="666">
    <w:name w:val="toc 8"/>
    <w:basedOn w:val="644"/>
    <w:next w:val="644"/>
    <w:uiPriority w:val="39"/>
    <w:unhideWhenUsed/>
    <w:qFormat/>
    <w:pPr>
      <w:ind w:left="1984" w:right="0" w:firstLine="0"/>
      <w:spacing w:after="57"/>
    </w:pPr>
  </w:style>
  <w:style w:type="paragraph" w:styleId="667">
    <w:name w:val="Date"/>
    <w:basedOn w:val="644"/>
    <w:next w:val="644"/>
    <w:link w:val="704"/>
    <w:uiPriority w:val="99"/>
    <w:unhideWhenUsed/>
    <w:qFormat/>
    <w:pPr>
      <w:ind w:left="100"/>
    </w:pPr>
  </w:style>
  <w:style w:type="paragraph" w:styleId="668">
    <w:name w:val="endnote text"/>
    <w:basedOn w:val="644"/>
    <w:link w:val="705"/>
    <w:uiPriority w:val="99"/>
    <w:unhideWhenUsed/>
    <w:qFormat/>
    <w:pPr>
      <w:spacing w:after="0" w:line="240" w:lineRule="auto"/>
    </w:pPr>
    <w:rPr>
      <w:sz w:val="20"/>
    </w:rPr>
  </w:style>
  <w:style w:type="paragraph" w:styleId="669">
    <w:name w:val="Balloon Text"/>
    <w:basedOn w:val="644"/>
    <w:link w:val="706"/>
    <w:uiPriority w:val="99"/>
    <w:unhideWhenUsed/>
    <w:qFormat/>
    <w:rPr>
      <w:sz w:val="18"/>
      <w:szCs w:val="18"/>
    </w:rPr>
  </w:style>
  <w:style w:type="paragraph" w:styleId="670">
    <w:name w:val="Footer"/>
    <w:basedOn w:val="644"/>
    <w:link w:val="707"/>
    <w:uiPriority w:val="99"/>
    <w:unhideWhenUsed/>
    <w:qFormat/>
    <w:pPr>
      <w:jc w:val="left"/>
      <w:tabs>
        <w:tab w:val="center" w:pos="4153" w:leader="none"/>
        <w:tab w:val="right" w:pos="8306" w:leader="none"/>
      </w:tabs>
    </w:pPr>
    <w:rPr>
      <w:sz w:val="18"/>
      <w:szCs w:val="18"/>
    </w:rPr>
  </w:style>
  <w:style w:type="paragraph" w:styleId="671">
    <w:name w:val="Header"/>
    <w:basedOn w:val="644"/>
    <w:link w:val="7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2">
    <w:name w:val="toc 1"/>
    <w:basedOn w:val="673"/>
    <w:next w:val="644"/>
    <w:uiPriority w:val="39"/>
    <w:unhideWhenUsed/>
    <w:qFormat/>
    <w:pPr>
      <w:jc w:val="center"/>
      <w:tabs>
        <w:tab w:val="right" w:pos="8296" w:leader="dot"/>
      </w:tabs>
    </w:pPr>
    <w:rPr>
      <w:rFonts w:ascii="黑体" w:hAnsi="黑体" w:eastAsia="黑体"/>
      <w:sz w:val="44"/>
      <w:szCs w:val="44"/>
    </w:rPr>
  </w:style>
  <w:style w:type="paragraph" w:styleId="673">
    <w:name w:val="index 1"/>
    <w:basedOn w:val="644"/>
    <w:next w:val="644"/>
    <w:uiPriority w:val="0"/>
    <w:qFormat/>
    <w:pPr>
      <w:ind w:firstLine="200"/>
      <w:spacing w:line="360" w:lineRule="auto"/>
    </w:pPr>
    <w:rPr>
      <w:rFonts w:ascii="Times New Roman" w:hAnsi="Times New Roman" w:eastAsia="宋体" w:cs="Times New Roman"/>
      <w:szCs w:val="24"/>
    </w:rPr>
  </w:style>
  <w:style w:type="paragraph" w:styleId="674">
    <w:name w:val="toc 4"/>
    <w:basedOn w:val="644"/>
    <w:next w:val="644"/>
    <w:uiPriority w:val="39"/>
    <w:unhideWhenUsed/>
    <w:qFormat/>
    <w:pPr>
      <w:ind w:left="850" w:right="0" w:firstLine="0"/>
      <w:spacing w:after="57"/>
    </w:pPr>
  </w:style>
  <w:style w:type="paragraph" w:styleId="675">
    <w:name w:val="Subtitle"/>
    <w:basedOn w:val="644"/>
    <w:next w:val="644"/>
    <w:link w:val="709"/>
    <w:uiPriority w:val="11"/>
    <w:qFormat/>
    <w:pPr>
      <w:spacing w:before="200" w:after="200"/>
    </w:pPr>
    <w:rPr>
      <w:sz w:val="24"/>
      <w:szCs w:val="24"/>
    </w:rPr>
  </w:style>
  <w:style w:type="paragraph" w:styleId="676">
    <w:name w:val="footnote text"/>
    <w:basedOn w:val="644"/>
    <w:link w:val="710"/>
    <w:uiPriority w:val="99"/>
    <w:unhideWhenUsed/>
    <w:qFormat/>
    <w:pPr>
      <w:spacing w:after="40" w:line="240" w:lineRule="auto"/>
    </w:pPr>
    <w:rPr>
      <w:sz w:val="18"/>
    </w:rPr>
  </w:style>
  <w:style w:type="paragraph" w:styleId="677">
    <w:name w:val="toc 6"/>
    <w:basedOn w:val="644"/>
    <w:next w:val="644"/>
    <w:uiPriority w:val="39"/>
    <w:unhideWhenUsed/>
    <w:qFormat/>
    <w:pPr>
      <w:ind w:left="1417" w:right="0" w:firstLine="0"/>
      <w:spacing w:after="57"/>
    </w:pPr>
  </w:style>
  <w:style w:type="paragraph" w:styleId="678">
    <w:name w:val="table of figures"/>
    <w:basedOn w:val="644"/>
    <w:next w:val="644"/>
    <w:uiPriority w:val="99"/>
    <w:unhideWhenUsed/>
    <w:qFormat/>
    <w:pPr>
      <w:spacing w:after="0" w:afterAutospacing="0"/>
    </w:pPr>
  </w:style>
  <w:style w:type="paragraph" w:styleId="679">
    <w:name w:val="toc 2"/>
    <w:basedOn w:val="644"/>
    <w:next w:val="644"/>
    <w:uiPriority w:val="39"/>
    <w:unhideWhenUsed/>
    <w:qFormat/>
    <w:pPr>
      <w:ind w:left="283" w:right="0" w:firstLine="0"/>
      <w:spacing w:after="57"/>
    </w:pPr>
  </w:style>
  <w:style w:type="paragraph" w:styleId="680">
    <w:name w:val="toc 9"/>
    <w:basedOn w:val="644"/>
    <w:next w:val="644"/>
    <w:uiPriority w:val="39"/>
    <w:unhideWhenUsed/>
    <w:qFormat/>
    <w:pPr>
      <w:ind w:left="2268" w:right="0" w:firstLine="0"/>
      <w:spacing w:after="57"/>
    </w:pPr>
  </w:style>
  <w:style w:type="paragraph" w:styleId="681">
    <w:name w:val="Normal (Web)"/>
    <w:basedOn w:val="644"/>
    <w:uiPriority w:val="99"/>
    <w:unhideWhenUsed/>
    <w:qFormat/>
    <w:pPr>
      <w:jc w:val="left"/>
      <w:spacing w:beforeAutospacing="1" w:afterAutospacing="1"/>
    </w:pPr>
    <w:rPr>
      <w:rFonts w:cs="Times New Roman"/>
      <w:sz w:val="24"/>
    </w:rPr>
  </w:style>
  <w:style w:type="paragraph" w:styleId="682">
    <w:name w:val="Title"/>
    <w:basedOn w:val="644"/>
    <w:next w:val="644"/>
    <w:link w:val="711"/>
    <w:uiPriority w:val="10"/>
    <w:qFormat/>
    <w:pPr>
      <w:contextualSpacing/>
      <w:spacing w:before="300" w:after="200"/>
    </w:pPr>
    <w:rPr>
      <w:sz w:val="48"/>
      <w:szCs w:val="48"/>
    </w:rPr>
  </w:style>
  <w:style w:type="table" w:styleId="683">
    <w:name w:val="Table Grid"/>
    <w:basedOn w:val="6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54"/>
    <w:uiPriority w:val="0"/>
    <w:qFormat/>
    <w:rPr>
      <w:b/>
      <w:bCs/>
    </w:rPr>
  </w:style>
  <w:style w:type="character" w:styleId="685">
    <w:name w:val="endnote reference"/>
    <w:basedOn w:val="654"/>
    <w:uiPriority w:val="99"/>
    <w:unhideWhenUsed/>
    <w:qFormat/>
    <w:rPr>
      <w:vertAlign w:val="superscript"/>
    </w:rPr>
  </w:style>
  <w:style w:type="character" w:styleId="686">
    <w:name w:val="Emphasis"/>
    <w:uiPriority w:val="0"/>
    <w:qFormat/>
    <w:rPr>
      <w:i/>
    </w:rPr>
  </w:style>
  <w:style w:type="character" w:styleId="687">
    <w:name w:val="Hyperlink"/>
    <w:uiPriority w:val="99"/>
    <w:qFormat/>
    <w:rPr>
      <w:color w:val="0000ff"/>
      <w:u w:val="none"/>
    </w:rPr>
  </w:style>
  <w:style w:type="character" w:styleId="688">
    <w:name w:val="annotation reference"/>
    <w:uiPriority w:val="0"/>
    <w:qFormat/>
    <w:rPr>
      <w:sz w:val="21"/>
      <w:szCs w:val="21"/>
    </w:rPr>
  </w:style>
  <w:style w:type="character" w:styleId="689">
    <w:name w:val="footnote reference"/>
    <w:basedOn w:val="654"/>
    <w:uiPriority w:val="99"/>
    <w:unhideWhenUsed/>
    <w:qFormat/>
    <w:rPr>
      <w:vertAlign w:val="superscript"/>
    </w:rPr>
  </w:style>
  <w:style w:type="character" w:styleId="690" w:customStyle="1">
    <w:name w:val="标题 1 Char"/>
    <w:basedOn w:val="654"/>
    <w:link w:val="645"/>
    <w:uiPriority w:val="9"/>
    <w:qFormat/>
    <w:rPr>
      <w:b/>
      <w:bCs/>
      <w:sz w:val="44"/>
      <w:szCs w:val="44"/>
    </w:rPr>
  </w:style>
  <w:style w:type="character" w:styleId="691" w:customStyle="1">
    <w:name w:val="标题 2 Char"/>
    <w:basedOn w:val="654"/>
    <w:link w:val="646"/>
    <w:uiPriority w:val="9"/>
    <w:qFormat/>
    <w:rPr>
      <w:rFonts w:ascii="Cambria" w:hAnsi="Cambria" w:eastAsia="Arial" w:cs="Times New Roman"/>
      <w:b/>
      <w:bCs/>
      <w:sz w:val="32"/>
      <w:szCs w:val="32"/>
    </w:rPr>
  </w:style>
  <w:style w:type="character" w:styleId="692" w:customStyle="1">
    <w:name w:val="标题 3 Char"/>
    <w:basedOn w:val="654"/>
    <w:link w:val="647"/>
    <w:uiPriority w:val="9"/>
    <w:qFormat/>
    <w:rPr>
      <w:b/>
      <w:bCs/>
      <w:sz w:val="32"/>
      <w:szCs w:val="32"/>
    </w:rPr>
  </w:style>
  <w:style w:type="character" w:styleId="693" w:customStyle="1">
    <w:name w:val="Heading 4 Char"/>
    <w:basedOn w:val="654"/>
    <w:link w:val="648"/>
    <w:uiPriority w:val="9"/>
    <w:qFormat/>
    <w:rPr>
      <w:rFonts w:ascii="Arial" w:hAnsi="Arial" w:eastAsia="Arial" w:cs="Arial"/>
      <w:b/>
      <w:bCs/>
      <w:sz w:val="26"/>
      <w:szCs w:val="26"/>
    </w:rPr>
  </w:style>
  <w:style w:type="character" w:styleId="694" w:customStyle="1">
    <w:name w:val="Heading 5 Char"/>
    <w:basedOn w:val="654"/>
    <w:link w:val="649"/>
    <w:uiPriority w:val="9"/>
    <w:qFormat/>
    <w:rPr>
      <w:rFonts w:ascii="Arial" w:hAnsi="Arial" w:eastAsia="Arial" w:cs="Arial"/>
      <w:b/>
      <w:bCs/>
      <w:sz w:val="24"/>
      <w:szCs w:val="24"/>
    </w:rPr>
  </w:style>
  <w:style w:type="character" w:styleId="695" w:customStyle="1">
    <w:name w:val="Heading 6 Char"/>
    <w:basedOn w:val="654"/>
    <w:link w:val="650"/>
    <w:uiPriority w:val="9"/>
    <w:qFormat/>
    <w:rPr>
      <w:rFonts w:ascii="Arial" w:hAnsi="Arial" w:eastAsia="Arial" w:cs="Arial"/>
      <w:b/>
      <w:bCs/>
      <w:sz w:val="22"/>
      <w:szCs w:val="22"/>
    </w:rPr>
  </w:style>
  <w:style w:type="character" w:styleId="696" w:customStyle="1">
    <w:name w:val="Heading 7 Char"/>
    <w:basedOn w:val="654"/>
    <w:link w:val="651"/>
    <w:uiPriority w:val="9"/>
    <w:qFormat/>
    <w:rPr>
      <w:rFonts w:ascii="Arial" w:hAnsi="Arial" w:eastAsia="Arial" w:cs="Arial"/>
      <w:b/>
      <w:bCs/>
      <w:i/>
      <w:iCs/>
      <w:sz w:val="22"/>
      <w:szCs w:val="22"/>
    </w:rPr>
  </w:style>
  <w:style w:type="character" w:styleId="697" w:customStyle="1">
    <w:name w:val="Heading 8 Char"/>
    <w:basedOn w:val="654"/>
    <w:link w:val="652"/>
    <w:uiPriority w:val="9"/>
    <w:qFormat/>
    <w:rPr>
      <w:rFonts w:ascii="Arial" w:hAnsi="Arial" w:eastAsia="Arial" w:cs="Arial"/>
      <w:i/>
      <w:iCs/>
      <w:sz w:val="22"/>
      <w:szCs w:val="22"/>
    </w:rPr>
  </w:style>
  <w:style w:type="character" w:styleId="698" w:customStyle="1">
    <w:name w:val="Heading 9 Char"/>
    <w:basedOn w:val="654"/>
    <w:link w:val="653"/>
    <w:uiPriority w:val="9"/>
    <w:qFormat/>
    <w:rPr>
      <w:rFonts w:ascii="Arial" w:hAnsi="Arial" w:eastAsia="Arial" w:cs="Arial"/>
      <w:i/>
      <w:iCs/>
      <w:sz w:val="21"/>
      <w:szCs w:val="21"/>
    </w:rPr>
  </w:style>
  <w:style w:type="character" w:styleId="699" w:customStyle="1">
    <w:name w:val="文档结构图 Char"/>
    <w:basedOn w:val="654"/>
    <w:link w:val="659"/>
    <w:uiPriority w:val="99"/>
    <w:semiHidden/>
    <w:qFormat/>
    <w:rPr>
      <w:rFonts w:ascii="宋体" w:eastAsia="宋体"/>
      <w:sz w:val="18"/>
      <w:szCs w:val="18"/>
    </w:rPr>
  </w:style>
  <w:style w:type="character" w:styleId="700" w:customStyle="1">
    <w:name w:val="批注文字 Char"/>
    <w:basedOn w:val="654"/>
    <w:link w:val="660"/>
    <w:uiPriority w:val="0"/>
    <w:qFormat/>
    <w:rPr>
      <w:rFonts w:ascii="Times New Roman" w:hAnsi="Times New Roman" w:eastAsia="宋体" w:cs="Times New Roman"/>
      <w:szCs w:val="24"/>
    </w:rPr>
  </w:style>
  <w:style w:type="character" w:styleId="701" w:customStyle="1">
    <w:name w:val="正文文本 Char"/>
    <w:basedOn w:val="654"/>
    <w:link w:val="661"/>
    <w:uiPriority w:val="0"/>
    <w:qFormat/>
    <w:rPr>
      <w:rFonts w:ascii="Calibri" w:hAnsi="Calibri" w:eastAsia="宋体" w:cs="Times New Roman"/>
    </w:rPr>
  </w:style>
  <w:style w:type="character" w:styleId="702" w:customStyle="1">
    <w:name w:val="正文文本缩进 Char"/>
    <w:basedOn w:val="654"/>
    <w:link w:val="662"/>
    <w:uiPriority w:val="0"/>
    <w:qFormat/>
    <w:rPr>
      <w:rFonts w:ascii="Times New Roman" w:hAnsi="Times New Roman" w:eastAsia="宋体" w:cs="Times New Roman"/>
      <w:szCs w:val="24"/>
    </w:rPr>
  </w:style>
  <w:style w:type="character" w:styleId="703" w:customStyle="1">
    <w:name w:val="纯文本 Char"/>
    <w:basedOn w:val="654"/>
    <w:link w:val="665"/>
    <w:uiPriority w:val="0"/>
    <w:qFormat/>
    <w:rPr>
      <w:rFonts w:ascii="宋体" w:hAnsi="Courier New" w:eastAsia="宋体" w:cs="Courier New"/>
      <w:szCs w:val="21"/>
    </w:rPr>
  </w:style>
  <w:style w:type="character" w:styleId="704" w:customStyle="1">
    <w:name w:val="日期 Char"/>
    <w:basedOn w:val="654"/>
    <w:link w:val="667"/>
    <w:uiPriority w:val="99"/>
    <w:semiHidden/>
    <w:qFormat/>
  </w:style>
  <w:style w:type="character" w:styleId="705" w:customStyle="1">
    <w:name w:val="Endnote Text Char"/>
    <w:link w:val="668"/>
    <w:uiPriority w:val="99"/>
    <w:qFormat/>
    <w:rPr>
      <w:sz w:val="20"/>
    </w:rPr>
  </w:style>
  <w:style w:type="character" w:styleId="706" w:customStyle="1">
    <w:name w:val="批注框文本 Char"/>
    <w:basedOn w:val="654"/>
    <w:link w:val="669"/>
    <w:uiPriority w:val="99"/>
    <w:semiHidden/>
    <w:qFormat/>
    <w:rPr>
      <w:sz w:val="18"/>
      <w:szCs w:val="18"/>
    </w:rPr>
  </w:style>
  <w:style w:type="character" w:styleId="707" w:customStyle="1">
    <w:name w:val="页脚 Char"/>
    <w:basedOn w:val="654"/>
    <w:link w:val="670"/>
    <w:uiPriority w:val="99"/>
    <w:qFormat/>
    <w:rPr>
      <w:sz w:val="18"/>
      <w:szCs w:val="18"/>
    </w:rPr>
  </w:style>
  <w:style w:type="character" w:styleId="708" w:customStyle="1">
    <w:name w:val="页眉 Char"/>
    <w:basedOn w:val="654"/>
    <w:link w:val="671"/>
    <w:uiPriority w:val="99"/>
    <w:semiHidden/>
    <w:qFormat/>
    <w:rPr>
      <w:sz w:val="18"/>
      <w:szCs w:val="18"/>
    </w:rPr>
  </w:style>
  <w:style w:type="character" w:styleId="709" w:customStyle="1">
    <w:name w:val="Subtitle Char"/>
    <w:basedOn w:val="654"/>
    <w:link w:val="675"/>
    <w:uiPriority w:val="11"/>
    <w:qFormat/>
    <w:rPr>
      <w:sz w:val="24"/>
      <w:szCs w:val="24"/>
    </w:rPr>
  </w:style>
  <w:style w:type="character" w:styleId="710" w:customStyle="1">
    <w:name w:val="Footnote Text Char"/>
    <w:link w:val="676"/>
    <w:uiPriority w:val="99"/>
    <w:qFormat/>
    <w:rPr>
      <w:sz w:val="18"/>
    </w:rPr>
  </w:style>
  <w:style w:type="character" w:styleId="711" w:customStyle="1">
    <w:name w:val="Title Char"/>
    <w:basedOn w:val="654"/>
    <w:link w:val="682"/>
    <w:uiPriority w:val="10"/>
    <w:qFormat/>
    <w:rPr>
      <w:sz w:val="48"/>
      <w:szCs w:val="48"/>
    </w:rPr>
  </w:style>
  <w:style w:type="character" w:styleId="712" w:customStyle="1">
    <w:name w:val="Heading 1 Char"/>
    <w:basedOn w:val="654"/>
    <w:uiPriority w:val="9"/>
    <w:qFormat/>
    <w:rPr>
      <w:rFonts w:ascii="Arial" w:hAnsi="Arial" w:eastAsia="Arial" w:cs="Arial"/>
      <w:sz w:val="40"/>
      <w:szCs w:val="40"/>
    </w:rPr>
  </w:style>
  <w:style w:type="character" w:styleId="713" w:customStyle="1">
    <w:name w:val="Heading 2 Char"/>
    <w:basedOn w:val="654"/>
    <w:uiPriority w:val="9"/>
    <w:qFormat/>
    <w:rPr>
      <w:rFonts w:ascii="Arial" w:hAnsi="Arial" w:eastAsia="Arial" w:cs="Arial"/>
      <w:sz w:val="34"/>
    </w:rPr>
  </w:style>
  <w:style w:type="character" w:styleId="714" w:customStyle="1">
    <w:name w:val="Heading 3 Char"/>
    <w:basedOn w:val="654"/>
    <w:uiPriority w:val="9"/>
    <w:qFormat/>
    <w:rPr>
      <w:rFonts w:ascii="Arial" w:hAnsi="Arial" w:eastAsia="Arial" w:cs="Arial"/>
      <w:sz w:val="30"/>
      <w:szCs w:val="30"/>
    </w:r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paragraph" w:styleId="716">
    <w:name w:val="Quote"/>
    <w:basedOn w:val="644"/>
    <w:next w:val="644"/>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44"/>
    <w:next w:val="644"/>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basedOn w:val="654"/>
    <w:uiPriority w:val="99"/>
    <w:qFormat/>
  </w:style>
  <w:style w:type="character" w:styleId="721" w:customStyle="1">
    <w:name w:val="Footer Char"/>
    <w:basedOn w:val="654"/>
    <w:uiPriority w:val="99"/>
    <w:qFormat/>
  </w:style>
  <w:style w:type="character" w:styleId="722" w:customStyle="1">
    <w:name w:val="Caption Char"/>
    <w:uiPriority w:val="99"/>
    <w:qFormat/>
  </w:style>
  <w:style w:type="table" w:styleId="723" w:customStyle="1">
    <w:name w:val="Table Grid Light"/>
    <w:basedOn w:val="65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24" w:customStyle="1">
    <w:name w:val="Plain Table 1"/>
    <w:basedOn w:val="655"/>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655"/>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65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65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65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9" w:customStyle="1">
    <w:name w:val="Grid Table 1 Light"/>
    <w:basedOn w:val="655"/>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0" w:customStyle="1">
    <w:name w:val="Grid Table 1 Light - Accent 1"/>
    <w:basedOn w:val="655"/>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1" w:customStyle="1">
    <w:name w:val="Grid Table 1 Light - Accent 2"/>
    <w:basedOn w:val="655"/>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2" w:customStyle="1">
    <w:name w:val="Grid Table 1 Light - Accent 3"/>
    <w:basedOn w:val="655"/>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3" w:customStyle="1">
    <w:name w:val="Grid Table 1 Light - Accent 4"/>
    <w:basedOn w:val="655"/>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4" w:customStyle="1">
    <w:name w:val="Grid Table 1 Light - Accent 5"/>
    <w:basedOn w:val="65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5" w:customStyle="1">
    <w:name w:val="Grid Table 1 Light - Accent 6"/>
    <w:basedOn w:val="655"/>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6" w:customStyle="1">
    <w:name w:val="Grid Table 2"/>
    <w:basedOn w:val="65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7" w:customStyle="1">
    <w:name w:val="Grid Table 2 - Accent 1"/>
    <w:basedOn w:val="655"/>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8" w:customStyle="1">
    <w:name w:val="Grid Table 2 - Accent 2"/>
    <w:basedOn w:val="655"/>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9" w:customStyle="1">
    <w:name w:val="Grid Table 2 - Accent 3"/>
    <w:basedOn w:val="655"/>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0" w:customStyle="1">
    <w:name w:val="Grid Table 2 - Accent 4"/>
    <w:basedOn w:val="655"/>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1" w:customStyle="1">
    <w:name w:val="Grid Table 2 - Accent 5"/>
    <w:basedOn w:val="65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2" w:customStyle="1">
    <w:name w:val="Grid Table 2 - Accent 6"/>
    <w:basedOn w:val="655"/>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Grid Table 3"/>
    <w:basedOn w:val="655"/>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4" w:customStyle="1">
    <w:name w:val="Grid Table 3 - Accent 1"/>
    <w:basedOn w:val="655"/>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Grid Table 3 - Accent 2"/>
    <w:basedOn w:val="655"/>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Grid Table 3 - Accent 3"/>
    <w:basedOn w:val="655"/>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Grid Table 3 - Accent 4"/>
    <w:basedOn w:val="655"/>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Grid Table 3 - Accent 5"/>
    <w:basedOn w:val="65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9" w:customStyle="1">
    <w:name w:val="Grid Table 3 - Accent 6"/>
    <w:basedOn w:val="655"/>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Grid Table 4"/>
    <w:basedOn w:val="655"/>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Grid Table 4 - Accent 1"/>
    <w:basedOn w:val="655"/>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Grid Table 4 - Accent 2"/>
    <w:basedOn w:val="655"/>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customStyle="1">
    <w:name w:val="Grid Table 4 - Accent 3"/>
    <w:basedOn w:val="655"/>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4 - Accent 4"/>
    <w:basedOn w:val="655"/>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5" w:customStyle="1">
    <w:name w:val="Grid Table 4 - Accent 5"/>
    <w:basedOn w:val="65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Grid Table 4 - Accent 6"/>
    <w:basedOn w:val="655"/>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7" w:customStyle="1">
    <w:name w:val="Grid Table 5 Dark"/>
    <w:basedOn w:val="65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Grid Table 5 Dark- Accent 1"/>
    <w:basedOn w:val="65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9" w:customStyle="1">
    <w:name w:val="Grid Table 5 Dark - Accent 2"/>
    <w:basedOn w:val="65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5 Dark - Accent 3"/>
    <w:basedOn w:val="65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Grid Table 5 Dark- Accent 4"/>
    <w:basedOn w:val="65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Grid Table 5 Dark - Accent 5"/>
    <w:basedOn w:val="65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3" w:customStyle="1">
    <w:name w:val="Grid Table 5 Dark - Accent 6"/>
    <w:basedOn w:val="655"/>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6 Colorful"/>
    <w:basedOn w:val="655"/>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65" w:customStyle="1">
    <w:name w:val="Grid Table 6 Colorful - Accent 1"/>
    <w:basedOn w:val="655"/>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66" w:customStyle="1">
    <w:name w:val="Grid Table 6 Colorful - Accent 2"/>
    <w:basedOn w:val="655"/>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767" w:customStyle="1">
    <w:name w:val="Grid Table 6 Colorful - Accent 3"/>
    <w:basedOn w:val="655"/>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768" w:customStyle="1">
    <w:name w:val="Grid Table 6 Colorful - Accent 4"/>
    <w:basedOn w:val="655"/>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769" w:customStyle="1">
    <w:name w:val="Grid Table 6 Colorful - Accent 5"/>
    <w:basedOn w:val="65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770" w:customStyle="1">
    <w:name w:val="Grid Table 6 Colorful - Accent 6"/>
    <w:basedOn w:val="655"/>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771" w:customStyle="1">
    <w:name w:val="Grid Table 7 Colorful"/>
    <w:basedOn w:val="655"/>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7 Colorful - Accent 1"/>
    <w:basedOn w:val="655"/>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7 Colorful - Accent 2"/>
    <w:basedOn w:val="655"/>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cce8cf" w:fill="cce8c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cce8cf" w:fill="cce8c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7 Colorful - Accent 3"/>
    <w:basedOn w:val="655"/>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cce8cf" w:fill="cce8c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cce8cf" w:fill="cce8c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7 Colorful - Accent 4"/>
    <w:basedOn w:val="655"/>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7 Colorful - Accent 5"/>
    <w:basedOn w:val="65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cce8cf" w:fill="cce8c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cce8cf" w:fill="cce8c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7 Colorful - Accent 6"/>
    <w:basedOn w:val="655"/>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cce8cf" w:fill="cce8c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cce8cf" w:fill="cce8c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List Table 1 Light"/>
    <w:basedOn w:val="65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List Table 1 Light - Accent 1"/>
    <w:basedOn w:val="655"/>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List Table 1 Light - Accent 2"/>
    <w:basedOn w:val="655"/>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List Table 1 Light - Accent 3"/>
    <w:basedOn w:val="655"/>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List Table 1 Light - Accent 4"/>
    <w:basedOn w:val="655"/>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List Table 1 Light - Accent 5"/>
    <w:basedOn w:val="65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List Table 1 Light - Accent 6"/>
    <w:basedOn w:val="655"/>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List Table 2"/>
    <w:basedOn w:val="655"/>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86" w:customStyle="1">
    <w:name w:val="List Table 2 - Accent 1"/>
    <w:basedOn w:val="655"/>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787" w:customStyle="1">
    <w:name w:val="List Table 2 - Accent 2"/>
    <w:basedOn w:val="655"/>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788" w:customStyle="1">
    <w:name w:val="List Table 2 - Accent 3"/>
    <w:basedOn w:val="655"/>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789" w:customStyle="1">
    <w:name w:val="List Table 2 - Accent 4"/>
    <w:basedOn w:val="655"/>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790" w:customStyle="1">
    <w:name w:val="List Table 2 - Accent 5"/>
    <w:basedOn w:val="65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791" w:customStyle="1">
    <w:name w:val="List Table 2 - Accent 6"/>
    <w:basedOn w:val="655"/>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792" w:customStyle="1">
    <w:name w:val="List Table 3"/>
    <w:basedOn w:val="655"/>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3" w:customStyle="1">
    <w:name w:val="List Table 3 - Accent 1"/>
    <w:basedOn w:val="655"/>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94" w:customStyle="1">
    <w:name w:val="List Table 3 - Accent 2"/>
    <w:basedOn w:val="655"/>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795" w:customStyle="1">
    <w:name w:val="List Table 3 - Accent 3"/>
    <w:basedOn w:val="655"/>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796" w:customStyle="1">
    <w:name w:val="List Table 3 - Accent 4"/>
    <w:basedOn w:val="655"/>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797" w:customStyle="1">
    <w:name w:val="List Table 3 - Accent 5"/>
    <w:basedOn w:val="65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798" w:customStyle="1">
    <w:name w:val="List Table 3 - Accent 6"/>
    <w:basedOn w:val="655"/>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799" w:customStyle="1">
    <w:name w:val="List Table 4"/>
    <w:basedOn w:val="655"/>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0" w:customStyle="1">
    <w:name w:val="List Table 4 - Accent 1"/>
    <w:basedOn w:val="655"/>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01" w:customStyle="1">
    <w:name w:val="List Table 4 - Accent 2"/>
    <w:basedOn w:val="655"/>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02" w:customStyle="1">
    <w:name w:val="List Table 4 - Accent 3"/>
    <w:basedOn w:val="655"/>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03" w:customStyle="1">
    <w:name w:val="List Table 4 - Accent 4"/>
    <w:basedOn w:val="655"/>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04" w:customStyle="1">
    <w:name w:val="List Table 4 - Accent 5"/>
    <w:basedOn w:val="65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05" w:customStyle="1">
    <w:name w:val="List Table 4 - Accent 6"/>
    <w:basedOn w:val="655"/>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06" w:customStyle="1">
    <w:name w:val="List Table 5 Dark"/>
    <w:basedOn w:val="655"/>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7e7e7e" w:fill="7e7e7e"/>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7E7E7E"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7e7e7e" w:fill="7e7e7e"/>
        <w:tcBorders>
          <w:top w:val="single" w:color="7E7E7E"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cce8cf"/>
        <w:sz w:val="22"/>
      </w:rPr>
    </w:tblStylePr>
  </w:style>
  <w:style w:type="table" w:styleId="807" w:customStyle="1">
    <w:name w:val="List Table 5 Dark - Accent 1"/>
    <w:basedOn w:val="655"/>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4f81bd" w:fill="4f81bd"/>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4F81BD"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4f81bd" w:fill="4f81bd"/>
        <w:tcBorders>
          <w:top w:val="single" w:color="4F81BD"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cce8cf"/>
        <w:sz w:val="22"/>
      </w:rPr>
    </w:tblStylePr>
  </w:style>
  <w:style w:type="table" w:styleId="808" w:customStyle="1">
    <w:name w:val="List Table 5 Dark - Accent 2"/>
    <w:basedOn w:val="655"/>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d99795" w:fill="d99795"/>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D99795"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d99795" w:fill="d99795"/>
        <w:tcBorders>
          <w:top w:val="single" w:color="D99795"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cce8cf"/>
        <w:sz w:val="22"/>
      </w:rPr>
    </w:tblStylePr>
  </w:style>
  <w:style w:type="table" w:styleId="809" w:customStyle="1">
    <w:name w:val="List Table 5 Dark - Accent 3"/>
    <w:basedOn w:val="655"/>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c3d69c" w:fill="c3d69c"/>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C3D69C"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c3d69c" w:fill="c3d69c"/>
        <w:tcBorders>
          <w:top w:val="single" w:color="C3D69C"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cce8cf"/>
        <w:sz w:val="22"/>
      </w:rPr>
    </w:tblStylePr>
  </w:style>
  <w:style w:type="table" w:styleId="810" w:customStyle="1">
    <w:name w:val="List Table 5 Dark - Accent 4"/>
    <w:basedOn w:val="655"/>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b2a1c6" w:fill="b2a1c6"/>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B2A1C6"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b2a1c6" w:fill="b2a1c6"/>
        <w:tcBorders>
          <w:top w:val="single" w:color="B2A1C6"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cce8cf"/>
        <w:sz w:val="22"/>
      </w:rPr>
    </w:tblStylePr>
  </w:style>
  <w:style w:type="table" w:styleId="811" w:customStyle="1">
    <w:name w:val="List Table 5 Dark - Accent 5"/>
    <w:basedOn w:val="65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92ccdc" w:fill="92ccdc"/>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92CCDC"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92ccdc" w:fill="92ccdc"/>
        <w:tcBorders>
          <w:top w:val="single" w:color="92CCDC"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cce8cf"/>
        <w:sz w:val="22"/>
      </w:rPr>
    </w:tblStylePr>
  </w:style>
  <w:style w:type="table" w:styleId="812" w:customStyle="1">
    <w:name w:val="List Table 5 Dark - Accent 6"/>
    <w:basedOn w:val="655"/>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fac090" w:fill="fac090"/>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FAC090"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fac090" w:fill="fac090"/>
        <w:tcBorders>
          <w:top w:val="single" w:color="FAC090"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cce8cf"/>
        <w:sz w:val="22"/>
      </w:rPr>
    </w:tblStylePr>
  </w:style>
  <w:style w:type="table" w:styleId="813" w:customStyle="1">
    <w:name w:val="List Table 6 Colorful"/>
    <w:basedOn w:val="655"/>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6 Colorful - Accent 1"/>
    <w:basedOn w:val="655"/>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6 Colorful - Accent 2"/>
    <w:basedOn w:val="655"/>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6 Colorful - Accent 3"/>
    <w:basedOn w:val="655"/>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6 Colorful - Accent 4"/>
    <w:basedOn w:val="655"/>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6 Colorful - Accent 5"/>
    <w:basedOn w:val="65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6 Colorful - Accent 6"/>
    <w:basedOn w:val="655"/>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7 Colorful"/>
    <w:basedOn w:val="655"/>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7 Colorful - Accent 1"/>
    <w:basedOn w:val="655"/>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cce8cf" w:fill="cce8c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cce8cf" w:fill="cce8c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7 Colorful - Accent 2"/>
    <w:basedOn w:val="655"/>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cce8cf" w:fill="cce8c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cce8cf" w:fill="cce8c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7 Colorful - Accent 3"/>
    <w:basedOn w:val="655"/>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cce8cf" w:fill="cce8c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cce8cf" w:fill="cce8c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7 Colorful - Accent 4"/>
    <w:basedOn w:val="655"/>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7 Colorful - Accent 5"/>
    <w:basedOn w:val="65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cce8cf" w:fill="cce8c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cce8cf" w:fill="cce8c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7 Colorful - Accent 6"/>
    <w:basedOn w:val="655"/>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cce8cf" w:fill="cce8c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cce8cf" w:fill="cce8c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Lined - Accent"/>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28" w:customStyle="1">
    <w:name w:val="Lined - Accent 1"/>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29" w:customStyle="1">
    <w:name w:val="Lined - Accent 2"/>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30" w:customStyle="1">
    <w:name w:val="Lined - Accent 3"/>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31" w:customStyle="1">
    <w:name w:val="Lined - Accent 4"/>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32" w:customStyle="1">
    <w:name w:val="Lined - Accent 5"/>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33" w:customStyle="1">
    <w:name w:val="Lined - Accent 6"/>
    <w:basedOn w:val="6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34" w:customStyle="1">
    <w:name w:val="Bordered &amp; Lined - Accent"/>
    <w:basedOn w:val="655"/>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35" w:customStyle="1">
    <w:name w:val="Bordered &amp; Lined - Accent 1"/>
    <w:basedOn w:val="655"/>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36" w:customStyle="1">
    <w:name w:val="Bordered &amp; Lined - Accent 2"/>
    <w:basedOn w:val="655"/>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37" w:customStyle="1">
    <w:name w:val="Bordered &amp; Lined - Accent 3"/>
    <w:basedOn w:val="655"/>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38" w:customStyle="1">
    <w:name w:val="Bordered &amp; Lined - Accent 4"/>
    <w:basedOn w:val="655"/>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39" w:customStyle="1">
    <w:name w:val="Bordered &amp; Lined - Accent 5"/>
    <w:basedOn w:val="65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40" w:customStyle="1">
    <w:name w:val="Bordered &amp; Lined - Accent 6"/>
    <w:basedOn w:val="655"/>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41" w:customStyle="1">
    <w:name w:val="Bordered"/>
    <w:basedOn w:val="655"/>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Bordered - Accent 1"/>
    <w:basedOn w:val="655"/>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Bordered - Accent 2"/>
    <w:basedOn w:val="655"/>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Bordered - Accent 3"/>
    <w:basedOn w:val="655"/>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Bordered - Accent 4"/>
    <w:basedOn w:val="655"/>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Bordered - Accent 5"/>
    <w:basedOn w:val="65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Bordered - Accent 6"/>
    <w:basedOn w:val="655"/>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0" w:customStyle="1">
    <w:name w:val="列出段落1"/>
    <w:basedOn w:val="644"/>
    <w:uiPriority w:val="0"/>
    <w:qFormat/>
    <w:pPr>
      <w:ind w:firstLine="420"/>
    </w:pPr>
    <w:rPr>
      <w:rFonts w:ascii="Times New Roman" w:hAnsi="Times New Roman" w:eastAsia="宋体" w:cs="Times New Roman"/>
      <w:szCs w:val="21"/>
    </w:rPr>
  </w:style>
  <w:style w:type="character" w:styleId="851" w:customStyle="1">
    <w:name w:val="font51"/>
    <w:basedOn w:val="654"/>
    <w:uiPriority w:val="0"/>
    <w:qFormat/>
    <w:rPr>
      <w:rFonts w:hint="eastAsia" w:ascii="宋体" w:hAnsi="宋体" w:eastAsia="宋体" w:cs="宋体"/>
      <w:color w:val="000000"/>
      <w:sz w:val="20"/>
      <w:szCs w:val="20"/>
      <w:u w:val="none"/>
    </w:rPr>
  </w:style>
  <w:style w:type="character" w:styleId="852" w:customStyle="1">
    <w:name w:val="font101"/>
    <w:basedOn w:val="654"/>
    <w:uiPriority w:val="0"/>
    <w:qFormat/>
    <w:rPr>
      <w:rFonts w:hint="eastAsia" w:ascii="宋体" w:hAnsi="宋体" w:eastAsia="宋体" w:cs="宋体"/>
      <w:color w:val="ff0000"/>
      <w:sz w:val="20"/>
      <w:szCs w:val="20"/>
      <w:u w:val="none"/>
    </w:rPr>
  </w:style>
  <w:style w:type="paragraph" w:styleId="853" w:customStyle="1">
    <w:name w:val="段"/>
    <w:next w:val="644"/>
    <w:uiPriority w:val="0"/>
    <w:qFormat/>
    <w:pPr>
      <w:ind w:firstLine="200"/>
      <w:jc w:val="both"/>
    </w:pPr>
    <w:rPr>
      <w:rFonts w:hint="default" w:ascii="宋体" w:hAnsi="Times New Roman" w:eastAsia="宋体" w:cs="Times New Roman"/>
      <w:sz w:val="21"/>
      <w:szCs w:val="22"/>
      <w:lang w:val="en-US" w:eastAsia="zh-CN" w:bidi="ar-SA"/>
    </w:rPr>
  </w:style>
  <w:style w:type="paragraph" w:styleId="854">
    <w:name w:val="List Paragraph"/>
    <w:basedOn w:val="644"/>
    <w:uiPriority w:val="99"/>
    <w:unhideWhenUsed/>
    <w:qFormat/>
    <w:pPr>
      <w:ind w:firstLine="420"/>
    </w:pPr>
  </w:style>
  <w:style w:type="paragraph" w:styleId="855" w:customStyle="1">
    <w:name w:val="正文-公1"/>
    <w:basedOn w:val="644"/>
    <w:uiPriority w:val="0"/>
    <w:qFormat/>
    <w:pPr>
      <w:ind w:firstLine="200"/>
    </w:pPr>
    <w:rPr>
      <w:rFonts w:ascii="Times New Roman" w:hAnsi="Times New Roman" w:eastAsia="宋体" w:cs="Times New Roman"/>
      <w:szCs w:val="24"/>
    </w:rPr>
  </w:style>
  <w:style w:type="paragraph" w:styleId="856" w:customStyle="1">
    <w:name w:val="WPSOffice手动目录 1"/>
    <w:uiPriority w:val="0"/>
    <w:qFormat/>
    <w:rPr>
      <w:rFonts w:hint="default" w:ascii="Times New Roman" w:hAnsi="Times New Roman" w:eastAsia="宋体" w:cs="Times New Roman"/>
      <w:sz w:val="20"/>
      <w:szCs w:val="20"/>
    </w:rPr>
  </w:style>
  <w:style w:type="paragraph" w:styleId="857" w:customStyle="1">
    <w:name w:val="正文首行缩进11"/>
    <w:basedOn w:val="858"/>
    <w:uiPriority w:val="0"/>
    <w:qFormat/>
    <w:pPr>
      <w:ind w:firstLine="200"/>
      <w:spacing w:line="360" w:lineRule="auto"/>
    </w:pPr>
    <w:rPr>
      <w:rFonts w:ascii="仿宋_GB2312" w:hAnsi="Times New Roman" w:eastAsia="仿宋_GB2312"/>
      <w:sz w:val="30"/>
      <w:szCs w:val="30"/>
    </w:rPr>
  </w:style>
  <w:style w:type="paragraph" w:styleId="858" w:customStyle="1">
    <w:name w:val="正文文本11"/>
    <w:basedOn w:val="644"/>
    <w:next w:val="644"/>
    <w:uiPriority w:val="0"/>
    <w:qFormat/>
    <w:rPr>
      <w:rFonts w:ascii="楷体_GB2312" w:hAnsi="Arial" w:eastAsia="楷体_GB2312"/>
      <w:sz w:val="28"/>
      <w:szCs w:val="28"/>
      <w:lang w:eastAsia="en-US"/>
    </w:rPr>
  </w:style>
  <w:style w:type="paragraph" w:styleId="859" w:customStyle="1">
    <w:name w:val="普通(网站)1"/>
    <w:basedOn w:val="644"/>
    <w:uiPriority w:val="99"/>
    <w:unhideWhenUsed/>
    <w:qFormat/>
    <w:pPr>
      <w:ind w:left="0" w:right="0"/>
      <w:jc w:val="left"/>
      <w:spacing w:before="100" w:beforeAutospacing="1" w:after="100" w:afterAutospacing="1"/>
    </w:pPr>
    <w:rPr>
      <w:sz w:val="24"/>
      <w:lang w:val="en-US" w:eastAsia="zh-CN" w:bidi="ar"/>
    </w:rPr>
  </w:style>
  <w:style w:type="paragraph" w:styleId="860" w:customStyle="1">
    <w:name w:val="正文文本1"/>
    <w:basedOn w:val="644"/>
    <w:next w:val="644"/>
    <w:uiPriority w:val="0"/>
    <w:unhideWhenUsed/>
    <w:qFormat/>
    <w:pPr>
      <w:spacing w:after="120"/>
    </w:pPr>
    <w:rPr>
      <w:rFonts w:ascii="Calibri" w:hAnsi="Calibri" w:eastAsia="宋体" w:cs="Times New Roman"/>
    </w:rPr>
  </w:style>
  <w:style w:type="paragraph" w:styleId="861" w:customStyle="1">
    <w:name w:val="标题 21"/>
    <w:basedOn w:val="644"/>
    <w:next w:val="64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2" w:customStyle="1">
    <w:name w:val="正文文本缩进11"/>
    <w:basedOn w:val="644"/>
    <w:uiPriority w:val="0"/>
    <w:qFormat/>
    <w:pPr>
      <w:ind w:left="420"/>
      <w:spacing w:after="120"/>
    </w:pPr>
    <w:rPr>
      <w:rFonts w:ascii="Times New Roman" w:hAnsi="Times New Roman" w:eastAsia="宋体" w:cs="Times New Roman"/>
      <w:szCs w:val="24"/>
    </w:rPr>
  </w:style>
  <w:style w:type="paragraph" w:styleId="863" w:customStyle="1">
    <w:name w:val="纯文本1"/>
    <w:basedOn w:val="644"/>
    <w:uiPriority w:val="0"/>
    <w:qFormat/>
    <w:rPr>
      <w:rFonts w:ascii="宋体" w:hAnsi="Courier New" w:eastAsia="宋体" w:cs="Courier New"/>
      <w:szCs w:val="21"/>
    </w:rPr>
  </w:style>
  <w:style w:type="paragraph" w:styleId="86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65" w:customStyle="1">
    <w:name w:val="标题 11"/>
    <w:basedOn w:val="644"/>
    <w:next w:val="644"/>
    <w:uiPriority w:val="9"/>
    <w:qFormat/>
    <w:pPr>
      <w:keepLines/>
      <w:keepNext/>
      <w:spacing w:before="340" w:after="330" w:line="578" w:lineRule="auto"/>
      <w:outlineLvl w:val="0"/>
    </w:pPr>
    <w:rPr>
      <w:b/>
      <w:bCs/>
      <w:sz w:val="44"/>
      <w:szCs w:val="44"/>
    </w:rPr>
  </w:style>
  <w:style w:type="paragraph" w:styleId="866" w:customStyle="1">
    <w:name w:val="页脚1"/>
    <w:basedOn w:val="644"/>
    <w:uiPriority w:val="99"/>
    <w:unhideWhenUsed/>
    <w:qFormat/>
    <w:pPr>
      <w:jc w:val="left"/>
      <w:tabs>
        <w:tab w:val="center" w:pos="4153" w:leader="none"/>
        <w:tab w:val="right" w:pos="8306" w:leader="none"/>
      </w:tabs>
    </w:pPr>
    <w:rPr>
      <w:sz w:val="18"/>
      <w:szCs w:val="18"/>
    </w:rPr>
  </w:style>
  <w:style w:type="numbering" w:styleId="15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江苏政贤</cp:lastModifiedBy>
  <cp:revision>2</cp:revision>
  <dcterms:created xsi:type="dcterms:W3CDTF">2024-01-04T03:50:00Z</dcterms:created>
  <dcterms:modified xsi:type="dcterms:W3CDTF">2026-10-15T01:37:33Z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0DE075F6E7404D57933BDB68362BFC4E_13</vt:lpwstr>
  </property>
  <property fmtid="{D5CDD505-2E9C-101B-9397-08002B2CF9AE}" pid="4" name="KSOTemplateDocerSaveRecord">
    <vt:lpwstr>eyJoZGlkIjoiNmU3NWQwNTZhZTBiOTYwYjQzZWUxNWQyZDYwNWEzYmYiLCJ1c2VySWQiOiI0ODQ4MjU5MjUifQ==</vt:lpwstr>
  </property>
</Properties>
</file>