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DBBEFD">
      <w:pPr>
        <w:spacing w:line="360" w:lineRule="auto"/>
        <w:jc w:val="left"/>
        <w:rPr>
          <w:rFonts w:hint="eastAsia" w:ascii="宋体" w:hAnsi="宋体" w:eastAsia="宋体" w:cs="宋体"/>
          <w:b/>
          <w:bCs/>
          <w:color w:val="auto"/>
          <w:spacing w:val="80"/>
          <w:sz w:val="64"/>
          <w:szCs w:val="20"/>
          <w:highlight w:val="none"/>
        </w:rPr>
      </w:pPr>
      <w:bookmarkStart w:id="28" w:name="_GoBack"/>
    </w:p>
    <w:p w14:paraId="7927BEC3">
      <w:pPr>
        <w:spacing w:line="360" w:lineRule="auto"/>
        <w:jc w:val="left"/>
        <w:rPr>
          <w:rFonts w:hint="eastAsia" w:ascii="宋体" w:hAnsi="宋体" w:eastAsia="宋体" w:cs="宋体"/>
          <w:b/>
          <w:bCs/>
          <w:color w:val="auto"/>
          <w:spacing w:val="80"/>
          <w:sz w:val="64"/>
          <w:szCs w:val="20"/>
          <w:highlight w:val="none"/>
        </w:rPr>
      </w:pPr>
    </w:p>
    <w:p w14:paraId="422C95B7">
      <w:pPr>
        <w:spacing w:line="360" w:lineRule="auto"/>
        <w:jc w:val="center"/>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连云港市政府采购</w:t>
      </w:r>
    </w:p>
    <w:p w14:paraId="3BE036C4">
      <w:pPr>
        <w:spacing w:line="360" w:lineRule="auto"/>
        <w:ind w:firstLine="947"/>
        <w:rPr>
          <w:rFonts w:hint="eastAsia" w:ascii="宋体" w:hAnsi="宋体" w:eastAsia="宋体" w:cs="宋体"/>
          <w:b/>
          <w:bCs/>
          <w:color w:val="auto"/>
          <w:spacing w:val="16"/>
          <w:sz w:val="44"/>
          <w:szCs w:val="24"/>
          <w:highlight w:val="none"/>
        </w:rPr>
      </w:pPr>
    </w:p>
    <w:p w14:paraId="43B190A8">
      <w:pPr>
        <w:spacing w:line="360" w:lineRule="auto"/>
        <w:ind w:firstLine="947"/>
        <w:rPr>
          <w:rFonts w:hint="eastAsia" w:ascii="宋体" w:hAnsi="宋体" w:eastAsia="宋体" w:cs="宋体"/>
          <w:b/>
          <w:bCs/>
          <w:color w:val="auto"/>
          <w:spacing w:val="16"/>
          <w:sz w:val="44"/>
          <w:szCs w:val="24"/>
          <w:highlight w:val="none"/>
        </w:rPr>
      </w:pPr>
    </w:p>
    <w:p w14:paraId="4F9B1F7F">
      <w:pPr>
        <w:spacing w:line="360" w:lineRule="auto"/>
        <w:jc w:val="center"/>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招标文件</w:t>
      </w:r>
    </w:p>
    <w:p w14:paraId="3C22E2DD">
      <w:pPr>
        <w:spacing w:line="360" w:lineRule="auto"/>
        <w:ind w:firstLine="947"/>
        <w:rPr>
          <w:rFonts w:hint="eastAsia" w:ascii="宋体" w:hAnsi="宋体" w:eastAsia="宋体" w:cs="宋体"/>
          <w:b/>
          <w:bCs/>
          <w:color w:val="auto"/>
          <w:spacing w:val="16"/>
          <w:sz w:val="44"/>
          <w:szCs w:val="24"/>
          <w:highlight w:val="none"/>
        </w:rPr>
      </w:pPr>
    </w:p>
    <w:p w14:paraId="3DDA69B5">
      <w:pPr>
        <w:spacing w:line="360" w:lineRule="auto"/>
        <w:ind w:firstLine="947"/>
        <w:rPr>
          <w:rFonts w:hint="eastAsia" w:ascii="宋体" w:hAnsi="宋体" w:eastAsia="宋体" w:cs="宋体"/>
          <w:b/>
          <w:bCs/>
          <w:color w:val="auto"/>
          <w:spacing w:val="16"/>
          <w:sz w:val="44"/>
          <w:szCs w:val="24"/>
          <w:highlight w:val="none"/>
        </w:rPr>
      </w:pPr>
    </w:p>
    <w:p w14:paraId="0719BA3F">
      <w:pPr>
        <w:spacing w:line="360" w:lineRule="auto"/>
        <w:ind w:firstLine="947"/>
        <w:rPr>
          <w:rFonts w:hint="eastAsia" w:ascii="宋体" w:hAnsi="宋体" w:eastAsia="宋体" w:cs="宋体"/>
          <w:b/>
          <w:bCs/>
          <w:color w:val="auto"/>
          <w:spacing w:val="16"/>
          <w:sz w:val="44"/>
          <w:szCs w:val="24"/>
          <w:highlight w:val="none"/>
        </w:rPr>
      </w:pPr>
    </w:p>
    <w:p w14:paraId="49BD5815">
      <w:pPr>
        <w:spacing w:line="360" w:lineRule="auto"/>
        <w:ind w:left="840" w:firstLine="611"/>
        <w:rPr>
          <w:rFonts w:hint="eastAsia" w:ascii="宋体" w:hAnsi="宋体" w:eastAsia="宋体" w:cs="宋体"/>
          <w:b/>
          <w:bCs/>
          <w:color w:val="auto"/>
          <w:spacing w:val="16"/>
          <w:sz w:val="44"/>
          <w:szCs w:val="24"/>
          <w:highlight w:val="none"/>
          <w:lang w:eastAsia="zh-CN"/>
        </w:rPr>
      </w:pPr>
      <w:r>
        <w:rPr>
          <w:rFonts w:hint="eastAsia" w:ascii="宋体" w:hAnsi="宋体" w:eastAsia="宋体" w:cs="宋体"/>
          <w:b/>
          <w:bCs/>
          <w:color w:val="auto"/>
          <w:sz w:val="32"/>
          <w:szCs w:val="24"/>
          <w:highlight w:val="none"/>
        </w:rPr>
        <w:t>项目名称：</w:t>
      </w:r>
      <w:r>
        <w:rPr>
          <w:rFonts w:hint="eastAsia" w:ascii="宋体" w:hAnsi="宋体" w:cs="宋体"/>
          <w:b/>
          <w:bCs/>
          <w:color w:val="auto"/>
          <w:sz w:val="32"/>
          <w:szCs w:val="24"/>
          <w:highlight w:val="none"/>
          <w:lang w:eastAsia="zh-CN"/>
        </w:rPr>
        <w:t>绿色化工技能实训中心设备采购类项目（专门面向中小企业）</w:t>
      </w:r>
    </w:p>
    <w:p w14:paraId="7C1ABE26">
      <w:pPr>
        <w:spacing w:line="360" w:lineRule="auto"/>
        <w:ind w:left="840" w:firstLine="611"/>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项目编号：JSZC-320700-ZHDH-G2026-0014</w:t>
      </w:r>
    </w:p>
    <w:p w14:paraId="60AB993C">
      <w:pPr>
        <w:spacing w:line="360" w:lineRule="auto"/>
        <w:rPr>
          <w:rFonts w:hint="eastAsia" w:ascii="宋体" w:hAnsi="宋体" w:eastAsia="宋体" w:cs="宋体"/>
          <w:color w:val="auto"/>
          <w:szCs w:val="24"/>
          <w:highlight w:val="none"/>
        </w:rPr>
      </w:pPr>
    </w:p>
    <w:p w14:paraId="4712F029">
      <w:pPr>
        <w:spacing w:line="360" w:lineRule="auto"/>
        <w:ind w:right="-993"/>
        <w:rPr>
          <w:rFonts w:hint="eastAsia" w:ascii="宋体" w:hAnsi="宋体" w:eastAsia="宋体" w:cs="宋体"/>
          <w:color w:val="auto"/>
          <w:szCs w:val="20"/>
          <w:highlight w:val="none"/>
        </w:rPr>
      </w:pPr>
    </w:p>
    <w:p w14:paraId="735C42D1">
      <w:pPr>
        <w:spacing w:before="120" w:after="120" w:line="360" w:lineRule="auto"/>
        <w:ind w:left="840" w:firstLine="640"/>
        <w:rPr>
          <w:rFonts w:hint="eastAsia" w:ascii="宋体" w:hAnsi="宋体" w:eastAsia="宋体" w:cs="宋体"/>
          <w:bCs/>
          <w:color w:val="auto"/>
          <w:sz w:val="32"/>
          <w:szCs w:val="24"/>
          <w:highlight w:val="none"/>
        </w:rPr>
      </w:pPr>
      <w:r>
        <w:rPr>
          <w:rFonts w:hint="eastAsia" w:ascii="宋体" w:hAnsi="宋体" w:eastAsia="宋体" w:cs="宋体"/>
          <w:bCs/>
          <w:color w:val="auto"/>
          <w:sz w:val="32"/>
          <w:szCs w:val="24"/>
          <w:highlight w:val="none"/>
        </w:rPr>
        <w:t>采购人：连云港职业技术学院</w:t>
      </w:r>
    </w:p>
    <w:p w14:paraId="3D8F2A81">
      <w:pPr>
        <w:spacing w:before="120" w:after="120" w:line="360" w:lineRule="auto"/>
        <w:ind w:left="840" w:firstLine="640"/>
        <w:jc w:val="left"/>
        <w:rPr>
          <w:rFonts w:hint="eastAsia" w:ascii="宋体" w:hAnsi="宋体" w:eastAsia="宋体" w:cs="宋体"/>
          <w:bCs/>
          <w:color w:val="auto"/>
          <w:sz w:val="32"/>
          <w:szCs w:val="24"/>
          <w:highlight w:val="none"/>
        </w:rPr>
      </w:pPr>
      <w:r>
        <w:rPr>
          <w:rFonts w:hint="eastAsia" w:ascii="宋体" w:hAnsi="宋体" w:eastAsia="宋体" w:cs="宋体"/>
          <w:bCs/>
          <w:color w:val="auto"/>
          <w:sz w:val="32"/>
          <w:szCs w:val="24"/>
          <w:highlight w:val="none"/>
        </w:rPr>
        <w:t>采购代理机构：中和德汇工程技术有限公司</w:t>
      </w:r>
    </w:p>
    <w:p w14:paraId="2ECAA9C5">
      <w:pPr>
        <w:spacing w:before="120" w:after="120" w:line="360" w:lineRule="auto"/>
        <w:jc w:val="center"/>
        <w:rPr>
          <w:rFonts w:hint="eastAsia" w:ascii="宋体" w:hAnsi="宋体" w:eastAsia="宋体" w:cs="宋体"/>
          <w:b/>
          <w:color w:val="auto"/>
          <w:sz w:val="36"/>
          <w:szCs w:val="20"/>
          <w:highlight w:val="none"/>
        </w:rPr>
      </w:pPr>
      <w:r>
        <w:rPr>
          <w:rFonts w:hint="eastAsia" w:ascii="宋体" w:hAnsi="宋体" w:eastAsia="宋体" w:cs="宋体"/>
          <w:bCs/>
          <w:color w:val="auto"/>
          <w:sz w:val="30"/>
          <w:szCs w:val="30"/>
          <w:highlight w:val="none"/>
        </w:rPr>
        <w:t>202</w:t>
      </w:r>
      <w:r>
        <w:rPr>
          <w:rFonts w:hint="eastAsia" w:ascii="宋体" w:hAnsi="宋体" w:eastAsia="宋体" w:cs="宋体"/>
          <w:bCs/>
          <w:color w:val="auto"/>
          <w:sz w:val="30"/>
          <w:szCs w:val="30"/>
          <w:highlight w:val="none"/>
          <w:lang w:val="en-US" w:eastAsia="zh-CN"/>
        </w:rPr>
        <w:t>6</w:t>
      </w:r>
      <w:r>
        <w:rPr>
          <w:rFonts w:hint="eastAsia" w:ascii="宋体" w:hAnsi="宋体" w:eastAsia="宋体" w:cs="宋体"/>
          <w:bCs/>
          <w:color w:val="auto"/>
          <w:sz w:val="30"/>
          <w:szCs w:val="30"/>
          <w:highlight w:val="none"/>
        </w:rPr>
        <w:t>年</w:t>
      </w:r>
      <w:r>
        <w:rPr>
          <w:rFonts w:hint="eastAsia" w:ascii="宋体" w:hAnsi="宋体" w:cs="宋体"/>
          <w:bCs/>
          <w:color w:val="auto"/>
          <w:sz w:val="30"/>
          <w:szCs w:val="30"/>
          <w:highlight w:val="none"/>
          <w:lang w:val="en-US" w:eastAsia="zh-CN"/>
        </w:rPr>
        <w:t>9</w:t>
      </w:r>
      <w:r>
        <w:rPr>
          <w:rFonts w:hint="eastAsia" w:ascii="宋体" w:hAnsi="宋体" w:eastAsia="宋体" w:cs="宋体"/>
          <w:bCs/>
          <w:color w:val="auto"/>
          <w:sz w:val="30"/>
          <w:szCs w:val="30"/>
          <w:highlight w:val="none"/>
        </w:rPr>
        <w:t>月</w:t>
      </w:r>
      <w:r>
        <w:rPr>
          <w:rFonts w:hint="eastAsia" w:ascii="宋体" w:hAnsi="宋体" w:eastAsia="宋体" w:cs="宋体"/>
          <w:b/>
          <w:color w:val="auto"/>
          <w:sz w:val="28"/>
          <w:szCs w:val="20"/>
          <w:highlight w:val="none"/>
        </w:rPr>
        <w:br w:type="page" w:clear="all"/>
      </w:r>
      <w:bookmarkStart w:id="0" w:name="_Toc3580"/>
      <w:r>
        <w:rPr>
          <w:rFonts w:hint="eastAsia" w:ascii="宋体" w:hAnsi="宋体" w:eastAsia="宋体" w:cs="宋体"/>
          <w:color w:val="auto"/>
          <w:sz w:val="36"/>
          <w:szCs w:val="20"/>
          <w:highlight w:val="none"/>
        </w:rPr>
        <w:t>目录</w:t>
      </w:r>
      <w:bookmarkEnd w:id="0"/>
    </w:p>
    <w:p w14:paraId="2DEE34A6">
      <w:pPr>
        <w:pStyle w:val="31"/>
        <w:tabs>
          <w:tab w:val="right" w:leader="dot" w:pos="9628"/>
        </w:tabs>
        <w:ind w:firstLine="560" w:firstLineChars="200"/>
        <w:rPr>
          <w:rFonts w:hint="eastAsia" w:ascii="宋体" w:hAnsi="宋体" w:cs="宋体"/>
          <w:b w:val="0"/>
          <w:bCs w:val="0"/>
          <w:i w:val="0"/>
          <w:iCs w:val="0"/>
          <w:color w:val="auto"/>
          <w:sz w:val="28"/>
          <w:szCs w:val="28"/>
          <w:highlight w:val="none"/>
        </w:rPr>
      </w:pPr>
      <w:r>
        <w:rPr>
          <w:rFonts w:hint="eastAsia" w:ascii="宋体" w:hAnsi="宋体" w:cs="宋体"/>
          <w:b w:val="0"/>
          <w:bCs w:val="0"/>
          <w:i w:val="0"/>
          <w:color w:val="auto"/>
          <w:sz w:val="28"/>
          <w:szCs w:val="28"/>
          <w:highlight w:val="none"/>
        </w:rPr>
        <w:fldChar w:fldCharType="begin"/>
      </w:r>
      <w:r>
        <w:rPr>
          <w:rFonts w:hint="eastAsia" w:ascii="宋体" w:hAnsi="宋体" w:cs="宋体"/>
          <w:i w:val="0"/>
          <w:color w:val="auto"/>
          <w:sz w:val="28"/>
          <w:szCs w:val="28"/>
          <w:highlight w:val="none"/>
        </w:rPr>
        <w:instrText xml:space="preserve">TOC \o "1-1" \h \u </w:instrText>
      </w:r>
      <w:r>
        <w:rPr>
          <w:rFonts w:hint="eastAsia" w:ascii="宋体" w:hAnsi="宋体" w:cs="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53"/>
          <w:rFonts w:hint="eastAsia" w:ascii="宋体" w:hAnsi="宋体" w:cs="宋体"/>
          <w:i w:val="0"/>
          <w:color w:val="auto"/>
          <w:sz w:val="28"/>
          <w:szCs w:val="28"/>
          <w:highlight w:val="none"/>
        </w:rPr>
        <w:t>第一章投标邀请</w:t>
      </w:r>
      <w:r>
        <w:rPr>
          <w:rFonts w:hint="eastAsia" w:ascii="宋体" w:hAnsi="宋体" w:cs="宋体"/>
          <w:i w:val="0"/>
          <w:color w:val="auto"/>
          <w:sz w:val="28"/>
          <w:szCs w:val="28"/>
          <w:highlight w:val="none"/>
        </w:rPr>
        <w:tab/>
      </w:r>
      <w:r>
        <w:rPr>
          <w:rFonts w:hint="eastAsia" w:ascii="宋体" w:hAnsi="宋体" w:cs="宋体"/>
          <w:i w:val="0"/>
          <w:color w:val="auto"/>
          <w:sz w:val="28"/>
          <w:szCs w:val="28"/>
          <w:highlight w:val="none"/>
        </w:rPr>
        <w:fldChar w:fldCharType="begin"/>
      </w:r>
      <w:r>
        <w:rPr>
          <w:rFonts w:hint="eastAsia" w:ascii="宋体" w:hAnsi="宋体" w:cs="宋体"/>
          <w:i w:val="0"/>
          <w:color w:val="auto"/>
          <w:sz w:val="28"/>
          <w:szCs w:val="28"/>
          <w:highlight w:val="none"/>
        </w:rPr>
        <w:instrText xml:space="preserve"> PAGEREF _Toc150765434 \h </w:instrText>
      </w:r>
      <w:r>
        <w:rPr>
          <w:rFonts w:hint="eastAsia" w:ascii="宋体" w:hAnsi="宋体" w:cs="宋体"/>
          <w:i w:val="0"/>
          <w:color w:val="auto"/>
          <w:sz w:val="28"/>
          <w:szCs w:val="28"/>
          <w:highlight w:val="none"/>
        </w:rPr>
        <w:fldChar w:fldCharType="separate"/>
      </w:r>
      <w:r>
        <w:rPr>
          <w:rFonts w:hint="eastAsia" w:ascii="宋体" w:hAnsi="宋体" w:cs="宋体"/>
          <w:i w:val="0"/>
          <w:color w:val="auto"/>
          <w:sz w:val="28"/>
          <w:szCs w:val="28"/>
          <w:highlight w:val="none"/>
        </w:rPr>
        <w:t>3</w:t>
      </w:r>
      <w:r>
        <w:rPr>
          <w:rFonts w:hint="eastAsia" w:ascii="宋体" w:hAnsi="宋体" w:cs="宋体"/>
          <w:i w:val="0"/>
          <w:color w:val="auto"/>
          <w:sz w:val="28"/>
          <w:szCs w:val="28"/>
          <w:highlight w:val="none"/>
        </w:rPr>
        <w:fldChar w:fldCharType="end"/>
      </w:r>
      <w:r>
        <w:rPr>
          <w:rFonts w:hint="eastAsia" w:ascii="宋体" w:hAnsi="宋体" w:cs="宋体"/>
          <w:i w:val="0"/>
          <w:color w:val="auto"/>
          <w:sz w:val="28"/>
          <w:szCs w:val="28"/>
          <w:highlight w:val="none"/>
        </w:rPr>
        <w:fldChar w:fldCharType="end"/>
      </w:r>
    </w:p>
    <w:p w14:paraId="0B4DD36B">
      <w:pPr>
        <w:pStyle w:val="31"/>
        <w:tabs>
          <w:tab w:val="right" w:leader="dot" w:pos="9628"/>
        </w:tabs>
        <w:ind w:firstLine="482"/>
        <w:rPr>
          <w:rFonts w:hint="eastAsia" w:ascii="宋体" w:hAnsi="宋体" w:cs="宋体"/>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53"/>
          <w:rFonts w:hint="eastAsia" w:ascii="宋体" w:hAnsi="宋体" w:cs="宋体"/>
          <w:i w:val="0"/>
          <w:color w:val="auto"/>
          <w:sz w:val="28"/>
          <w:szCs w:val="28"/>
          <w:highlight w:val="none"/>
        </w:rPr>
        <w:t>第二章投标人须知</w:t>
      </w:r>
      <w:r>
        <w:rPr>
          <w:rFonts w:hint="eastAsia" w:ascii="宋体" w:hAnsi="宋体" w:cs="宋体"/>
          <w:i w:val="0"/>
          <w:color w:val="auto"/>
          <w:sz w:val="28"/>
          <w:szCs w:val="28"/>
          <w:highlight w:val="none"/>
        </w:rPr>
        <w:tab/>
      </w:r>
      <w:r>
        <w:rPr>
          <w:rFonts w:hint="eastAsia" w:ascii="宋体" w:hAnsi="宋体" w:cs="宋体"/>
          <w:i w:val="0"/>
          <w:color w:val="auto"/>
          <w:sz w:val="28"/>
          <w:szCs w:val="28"/>
          <w:highlight w:val="none"/>
        </w:rPr>
        <w:fldChar w:fldCharType="begin"/>
      </w:r>
      <w:r>
        <w:rPr>
          <w:rFonts w:hint="eastAsia" w:ascii="宋体" w:hAnsi="宋体" w:cs="宋体"/>
          <w:i w:val="0"/>
          <w:color w:val="auto"/>
          <w:sz w:val="28"/>
          <w:szCs w:val="28"/>
          <w:highlight w:val="none"/>
        </w:rPr>
        <w:instrText xml:space="preserve"> PAGEREF _Toc150765435 \h </w:instrText>
      </w:r>
      <w:r>
        <w:rPr>
          <w:rFonts w:hint="eastAsia" w:ascii="宋体" w:hAnsi="宋体" w:cs="宋体"/>
          <w:i w:val="0"/>
          <w:color w:val="auto"/>
          <w:sz w:val="28"/>
          <w:szCs w:val="28"/>
          <w:highlight w:val="none"/>
        </w:rPr>
        <w:fldChar w:fldCharType="separate"/>
      </w:r>
      <w:r>
        <w:rPr>
          <w:rFonts w:hint="eastAsia" w:ascii="宋体" w:hAnsi="宋体" w:cs="宋体"/>
          <w:i w:val="0"/>
          <w:color w:val="auto"/>
          <w:sz w:val="28"/>
          <w:szCs w:val="28"/>
          <w:highlight w:val="none"/>
        </w:rPr>
        <w:t>7</w:t>
      </w:r>
      <w:r>
        <w:rPr>
          <w:rFonts w:hint="eastAsia" w:ascii="宋体" w:hAnsi="宋体" w:cs="宋体"/>
          <w:i w:val="0"/>
          <w:color w:val="auto"/>
          <w:sz w:val="28"/>
          <w:szCs w:val="28"/>
          <w:highlight w:val="none"/>
        </w:rPr>
        <w:fldChar w:fldCharType="end"/>
      </w:r>
      <w:r>
        <w:rPr>
          <w:rFonts w:hint="eastAsia" w:ascii="宋体" w:hAnsi="宋体" w:cs="宋体"/>
          <w:i w:val="0"/>
          <w:color w:val="auto"/>
          <w:sz w:val="28"/>
          <w:szCs w:val="28"/>
          <w:highlight w:val="none"/>
        </w:rPr>
        <w:fldChar w:fldCharType="end"/>
      </w:r>
    </w:p>
    <w:p w14:paraId="638BA431">
      <w:pPr>
        <w:pStyle w:val="31"/>
        <w:tabs>
          <w:tab w:val="right" w:leader="dot" w:pos="9628"/>
        </w:tabs>
        <w:ind w:firstLine="482"/>
        <w:rPr>
          <w:rFonts w:hint="eastAsia" w:ascii="宋体" w:hAnsi="宋体" w:cs="宋体"/>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53"/>
          <w:rFonts w:hint="eastAsia" w:ascii="宋体" w:hAnsi="宋体" w:cs="宋体"/>
          <w:i w:val="0"/>
          <w:color w:val="auto"/>
          <w:sz w:val="28"/>
          <w:szCs w:val="28"/>
          <w:highlight w:val="none"/>
        </w:rPr>
        <w:t>第三章政府采购合同格式</w:t>
      </w:r>
      <w:r>
        <w:rPr>
          <w:rFonts w:hint="eastAsia" w:ascii="宋体" w:hAnsi="宋体" w:cs="宋体"/>
          <w:i w:val="0"/>
          <w:color w:val="auto"/>
          <w:sz w:val="28"/>
          <w:szCs w:val="28"/>
          <w:highlight w:val="none"/>
        </w:rPr>
        <w:tab/>
      </w:r>
      <w:r>
        <w:rPr>
          <w:rFonts w:hint="eastAsia" w:ascii="宋体" w:hAnsi="宋体" w:cs="宋体"/>
          <w:i w:val="0"/>
          <w:color w:val="auto"/>
          <w:sz w:val="28"/>
          <w:szCs w:val="28"/>
          <w:highlight w:val="none"/>
        </w:rPr>
        <w:fldChar w:fldCharType="begin"/>
      </w:r>
      <w:r>
        <w:rPr>
          <w:rFonts w:hint="eastAsia" w:ascii="宋体" w:hAnsi="宋体" w:cs="宋体"/>
          <w:i w:val="0"/>
          <w:color w:val="auto"/>
          <w:sz w:val="28"/>
          <w:szCs w:val="28"/>
          <w:highlight w:val="none"/>
        </w:rPr>
        <w:instrText xml:space="preserve"> PAGEREF _Toc150765436 \h </w:instrText>
      </w:r>
      <w:r>
        <w:rPr>
          <w:rFonts w:hint="eastAsia" w:ascii="宋体" w:hAnsi="宋体" w:cs="宋体"/>
          <w:i w:val="0"/>
          <w:color w:val="auto"/>
          <w:sz w:val="28"/>
          <w:szCs w:val="28"/>
          <w:highlight w:val="none"/>
        </w:rPr>
        <w:fldChar w:fldCharType="separate"/>
      </w:r>
      <w:r>
        <w:rPr>
          <w:rFonts w:hint="eastAsia" w:ascii="宋体" w:hAnsi="宋体" w:cs="宋体"/>
          <w:i w:val="0"/>
          <w:color w:val="auto"/>
          <w:sz w:val="28"/>
          <w:szCs w:val="28"/>
          <w:highlight w:val="none"/>
        </w:rPr>
        <w:t>21</w:t>
      </w:r>
      <w:r>
        <w:rPr>
          <w:rFonts w:hint="eastAsia" w:ascii="宋体" w:hAnsi="宋体" w:cs="宋体"/>
          <w:i w:val="0"/>
          <w:color w:val="auto"/>
          <w:sz w:val="28"/>
          <w:szCs w:val="28"/>
          <w:highlight w:val="none"/>
        </w:rPr>
        <w:fldChar w:fldCharType="end"/>
      </w:r>
      <w:r>
        <w:rPr>
          <w:rFonts w:hint="eastAsia" w:ascii="宋体" w:hAnsi="宋体" w:cs="宋体"/>
          <w:i w:val="0"/>
          <w:color w:val="auto"/>
          <w:sz w:val="28"/>
          <w:szCs w:val="28"/>
          <w:highlight w:val="none"/>
        </w:rPr>
        <w:fldChar w:fldCharType="end"/>
      </w:r>
    </w:p>
    <w:p w14:paraId="7A8537E3">
      <w:pPr>
        <w:pStyle w:val="31"/>
        <w:tabs>
          <w:tab w:val="right" w:leader="dot" w:pos="9628"/>
        </w:tabs>
        <w:ind w:firstLine="482"/>
        <w:rPr>
          <w:rFonts w:hint="eastAsia" w:ascii="宋体" w:hAnsi="宋体" w:cs="宋体"/>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53"/>
          <w:rFonts w:hint="eastAsia" w:ascii="宋体" w:hAnsi="宋体" w:cs="宋体"/>
          <w:i w:val="0"/>
          <w:color w:val="auto"/>
          <w:sz w:val="28"/>
          <w:szCs w:val="28"/>
          <w:highlight w:val="none"/>
        </w:rPr>
        <w:t>第四章投标文件格式</w:t>
      </w:r>
      <w:r>
        <w:rPr>
          <w:rFonts w:hint="eastAsia" w:ascii="宋体" w:hAnsi="宋体" w:cs="宋体"/>
          <w:i w:val="0"/>
          <w:color w:val="auto"/>
          <w:sz w:val="28"/>
          <w:szCs w:val="28"/>
          <w:highlight w:val="none"/>
        </w:rPr>
        <w:tab/>
      </w:r>
      <w:r>
        <w:rPr>
          <w:rFonts w:hint="eastAsia" w:ascii="宋体" w:hAnsi="宋体" w:cs="宋体"/>
          <w:i w:val="0"/>
          <w:color w:val="auto"/>
          <w:sz w:val="28"/>
          <w:szCs w:val="28"/>
          <w:highlight w:val="none"/>
        </w:rPr>
        <w:fldChar w:fldCharType="begin"/>
      </w:r>
      <w:r>
        <w:rPr>
          <w:rFonts w:hint="eastAsia" w:ascii="宋体" w:hAnsi="宋体" w:cs="宋体"/>
          <w:i w:val="0"/>
          <w:color w:val="auto"/>
          <w:sz w:val="28"/>
          <w:szCs w:val="28"/>
          <w:highlight w:val="none"/>
        </w:rPr>
        <w:instrText xml:space="preserve"> PAGEREF _Toc150765437 \h </w:instrText>
      </w:r>
      <w:r>
        <w:rPr>
          <w:rFonts w:hint="eastAsia" w:ascii="宋体" w:hAnsi="宋体" w:cs="宋体"/>
          <w:i w:val="0"/>
          <w:color w:val="auto"/>
          <w:sz w:val="28"/>
          <w:szCs w:val="28"/>
          <w:highlight w:val="none"/>
        </w:rPr>
        <w:fldChar w:fldCharType="separate"/>
      </w:r>
      <w:r>
        <w:rPr>
          <w:rFonts w:hint="eastAsia" w:ascii="宋体" w:hAnsi="宋体" w:cs="宋体"/>
          <w:i w:val="0"/>
          <w:color w:val="auto"/>
          <w:sz w:val="28"/>
          <w:szCs w:val="28"/>
          <w:highlight w:val="none"/>
        </w:rPr>
        <w:t>26</w:t>
      </w:r>
      <w:r>
        <w:rPr>
          <w:rFonts w:hint="eastAsia" w:ascii="宋体" w:hAnsi="宋体" w:cs="宋体"/>
          <w:i w:val="0"/>
          <w:color w:val="auto"/>
          <w:sz w:val="28"/>
          <w:szCs w:val="28"/>
          <w:highlight w:val="none"/>
        </w:rPr>
        <w:fldChar w:fldCharType="end"/>
      </w:r>
      <w:r>
        <w:rPr>
          <w:rFonts w:hint="eastAsia" w:ascii="宋体" w:hAnsi="宋体" w:cs="宋体"/>
          <w:i w:val="0"/>
          <w:color w:val="auto"/>
          <w:sz w:val="28"/>
          <w:szCs w:val="28"/>
          <w:highlight w:val="none"/>
        </w:rPr>
        <w:fldChar w:fldCharType="end"/>
      </w:r>
    </w:p>
    <w:p w14:paraId="4048892E">
      <w:pPr>
        <w:pStyle w:val="31"/>
        <w:tabs>
          <w:tab w:val="right" w:leader="dot" w:pos="9628"/>
        </w:tabs>
        <w:ind w:firstLine="482"/>
        <w:rPr>
          <w:rFonts w:hint="eastAsia" w:ascii="宋体" w:hAnsi="宋体" w:cs="宋体"/>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53"/>
          <w:rFonts w:hint="eastAsia" w:ascii="宋体" w:hAnsi="宋体" w:cs="宋体"/>
          <w:i w:val="0"/>
          <w:color w:val="auto"/>
          <w:sz w:val="28"/>
          <w:szCs w:val="28"/>
          <w:highlight w:val="none"/>
        </w:rPr>
        <w:t>第五章合同专用条款表</w:t>
      </w:r>
      <w:r>
        <w:rPr>
          <w:rFonts w:hint="eastAsia" w:ascii="宋体" w:hAnsi="宋体" w:cs="宋体"/>
          <w:i w:val="0"/>
          <w:color w:val="auto"/>
          <w:sz w:val="28"/>
          <w:szCs w:val="28"/>
          <w:highlight w:val="none"/>
        </w:rPr>
        <w:tab/>
      </w:r>
      <w:r>
        <w:rPr>
          <w:rFonts w:hint="eastAsia" w:ascii="宋体" w:hAnsi="宋体" w:cs="宋体"/>
          <w:i w:val="0"/>
          <w:color w:val="auto"/>
          <w:sz w:val="28"/>
          <w:szCs w:val="28"/>
          <w:highlight w:val="none"/>
        </w:rPr>
        <w:fldChar w:fldCharType="begin"/>
      </w:r>
      <w:r>
        <w:rPr>
          <w:rFonts w:hint="eastAsia" w:ascii="宋体" w:hAnsi="宋体" w:cs="宋体"/>
          <w:i w:val="0"/>
          <w:color w:val="auto"/>
          <w:sz w:val="28"/>
          <w:szCs w:val="28"/>
          <w:highlight w:val="none"/>
        </w:rPr>
        <w:instrText xml:space="preserve"> PAGEREF _Toc150765438 \h </w:instrText>
      </w:r>
      <w:r>
        <w:rPr>
          <w:rFonts w:hint="eastAsia" w:ascii="宋体" w:hAnsi="宋体" w:cs="宋体"/>
          <w:i w:val="0"/>
          <w:color w:val="auto"/>
          <w:sz w:val="28"/>
          <w:szCs w:val="28"/>
          <w:highlight w:val="none"/>
        </w:rPr>
        <w:fldChar w:fldCharType="separate"/>
      </w:r>
      <w:r>
        <w:rPr>
          <w:rFonts w:hint="eastAsia" w:ascii="宋体" w:hAnsi="宋体" w:cs="宋体"/>
          <w:i w:val="0"/>
          <w:color w:val="auto"/>
          <w:sz w:val="28"/>
          <w:szCs w:val="28"/>
          <w:highlight w:val="none"/>
        </w:rPr>
        <w:t>44</w:t>
      </w:r>
      <w:r>
        <w:rPr>
          <w:rFonts w:hint="eastAsia" w:ascii="宋体" w:hAnsi="宋体" w:cs="宋体"/>
          <w:i w:val="0"/>
          <w:color w:val="auto"/>
          <w:sz w:val="28"/>
          <w:szCs w:val="28"/>
          <w:highlight w:val="none"/>
        </w:rPr>
        <w:fldChar w:fldCharType="end"/>
      </w:r>
      <w:r>
        <w:rPr>
          <w:rFonts w:hint="eastAsia" w:ascii="宋体" w:hAnsi="宋体" w:cs="宋体"/>
          <w:i w:val="0"/>
          <w:color w:val="auto"/>
          <w:sz w:val="28"/>
          <w:szCs w:val="28"/>
          <w:highlight w:val="none"/>
        </w:rPr>
        <w:fldChar w:fldCharType="end"/>
      </w:r>
    </w:p>
    <w:p w14:paraId="33D2573A">
      <w:pPr>
        <w:pStyle w:val="31"/>
        <w:tabs>
          <w:tab w:val="right" w:leader="dot" w:pos="9628"/>
        </w:tabs>
        <w:ind w:firstLine="482"/>
        <w:rPr>
          <w:rFonts w:hint="eastAsia" w:ascii="宋体" w:hAnsi="宋体" w:cs="宋体"/>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53"/>
          <w:rFonts w:hint="eastAsia" w:ascii="宋体" w:hAnsi="宋体" w:cs="宋体"/>
          <w:i w:val="0"/>
          <w:color w:val="auto"/>
          <w:sz w:val="28"/>
          <w:szCs w:val="28"/>
          <w:highlight w:val="none"/>
        </w:rPr>
        <w:t>第六章项目需求</w:t>
      </w:r>
      <w:r>
        <w:rPr>
          <w:rFonts w:hint="eastAsia" w:ascii="宋体" w:hAnsi="宋体" w:cs="宋体"/>
          <w:i w:val="0"/>
          <w:color w:val="auto"/>
          <w:sz w:val="28"/>
          <w:szCs w:val="28"/>
          <w:highlight w:val="none"/>
        </w:rPr>
        <w:tab/>
      </w:r>
      <w:r>
        <w:rPr>
          <w:rFonts w:hint="eastAsia" w:ascii="宋体" w:hAnsi="宋体" w:cs="宋体"/>
          <w:i w:val="0"/>
          <w:color w:val="auto"/>
          <w:sz w:val="28"/>
          <w:szCs w:val="28"/>
          <w:highlight w:val="none"/>
        </w:rPr>
        <w:fldChar w:fldCharType="begin"/>
      </w:r>
      <w:r>
        <w:rPr>
          <w:rFonts w:hint="eastAsia" w:ascii="宋体" w:hAnsi="宋体" w:cs="宋体"/>
          <w:i w:val="0"/>
          <w:color w:val="auto"/>
          <w:sz w:val="28"/>
          <w:szCs w:val="28"/>
          <w:highlight w:val="none"/>
        </w:rPr>
        <w:instrText xml:space="preserve"> PAGEREF _Toc150765439 \h </w:instrText>
      </w:r>
      <w:r>
        <w:rPr>
          <w:rFonts w:hint="eastAsia" w:ascii="宋体" w:hAnsi="宋体" w:cs="宋体"/>
          <w:i w:val="0"/>
          <w:color w:val="auto"/>
          <w:sz w:val="28"/>
          <w:szCs w:val="28"/>
          <w:highlight w:val="none"/>
        </w:rPr>
        <w:fldChar w:fldCharType="separate"/>
      </w:r>
      <w:r>
        <w:rPr>
          <w:rFonts w:hint="eastAsia" w:ascii="宋体" w:hAnsi="宋体" w:cs="宋体"/>
          <w:i w:val="0"/>
          <w:color w:val="auto"/>
          <w:sz w:val="28"/>
          <w:szCs w:val="28"/>
          <w:highlight w:val="none"/>
        </w:rPr>
        <w:t>46</w:t>
      </w:r>
      <w:r>
        <w:rPr>
          <w:rFonts w:hint="eastAsia" w:ascii="宋体" w:hAnsi="宋体" w:cs="宋体"/>
          <w:i w:val="0"/>
          <w:color w:val="auto"/>
          <w:sz w:val="28"/>
          <w:szCs w:val="28"/>
          <w:highlight w:val="none"/>
        </w:rPr>
        <w:fldChar w:fldCharType="end"/>
      </w:r>
      <w:r>
        <w:rPr>
          <w:rFonts w:hint="eastAsia" w:ascii="宋体" w:hAnsi="宋体" w:cs="宋体"/>
          <w:i w:val="0"/>
          <w:color w:val="auto"/>
          <w:sz w:val="28"/>
          <w:szCs w:val="28"/>
          <w:highlight w:val="none"/>
        </w:rPr>
        <w:fldChar w:fldCharType="end"/>
      </w:r>
    </w:p>
    <w:p w14:paraId="2F80CEB1">
      <w:pPr>
        <w:pStyle w:val="31"/>
        <w:tabs>
          <w:tab w:val="right" w:leader="dot" w:pos="9628"/>
        </w:tabs>
        <w:ind w:firstLine="482"/>
        <w:rPr>
          <w:rFonts w:hint="eastAsia" w:ascii="宋体" w:hAnsi="宋体" w:cs="宋体"/>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53"/>
          <w:rFonts w:hint="eastAsia" w:ascii="宋体" w:hAnsi="宋体" w:cs="宋体"/>
          <w:i w:val="0"/>
          <w:color w:val="auto"/>
          <w:sz w:val="28"/>
          <w:szCs w:val="28"/>
          <w:highlight w:val="none"/>
        </w:rPr>
        <w:t>第七章评标办法</w:t>
      </w:r>
      <w:r>
        <w:rPr>
          <w:rFonts w:hint="eastAsia" w:ascii="宋体" w:hAnsi="宋体" w:cs="宋体"/>
          <w:i w:val="0"/>
          <w:color w:val="auto"/>
          <w:sz w:val="28"/>
          <w:szCs w:val="28"/>
          <w:highlight w:val="none"/>
        </w:rPr>
        <w:tab/>
      </w:r>
      <w:r>
        <w:rPr>
          <w:rFonts w:hint="eastAsia" w:ascii="宋体" w:hAnsi="宋体" w:cs="宋体"/>
          <w:i w:val="0"/>
          <w:color w:val="auto"/>
          <w:sz w:val="28"/>
          <w:szCs w:val="28"/>
          <w:highlight w:val="none"/>
        </w:rPr>
        <w:fldChar w:fldCharType="begin"/>
      </w:r>
      <w:r>
        <w:rPr>
          <w:rFonts w:hint="eastAsia" w:ascii="宋体" w:hAnsi="宋体" w:cs="宋体"/>
          <w:i w:val="0"/>
          <w:color w:val="auto"/>
          <w:sz w:val="28"/>
          <w:szCs w:val="28"/>
          <w:highlight w:val="none"/>
        </w:rPr>
        <w:instrText xml:space="preserve"> PAGEREF _Toc150765440 \h </w:instrText>
      </w:r>
      <w:r>
        <w:rPr>
          <w:rFonts w:hint="eastAsia" w:ascii="宋体" w:hAnsi="宋体" w:cs="宋体"/>
          <w:i w:val="0"/>
          <w:color w:val="auto"/>
          <w:sz w:val="28"/>
          <w:szCs w:val="28"/>
          <w:highlight w:val="none"/>
        </w:rPr>
        <w:fldChar w:fldCharType="separate"/>
      </w:r>
      <w:r>
        <w:rPr>
          <w:rFonts w:hint="eastAsia" w:ascii="宋体" w:hAnsi="宋体" w:cs="宋体"/>
          <w:i w:val="0"/>
          <w:color w:val="auto"/>
          <w:sz w:val="28"/>
          <w:szCs w:val="28"/>
          <w:highlight w:val="none"/>
        </w:rPr>
        <w:t>69</w:t>
      </w:r>
      <w:r>
        <w:rPr>
          <w:rFonts w:hint="eastAsia" w:ascii="宋体" w:hAnsi="宋体" w:cs="宋体"/>
          <w:i w:val="0"/>
          <w:color w:val="auto"/>
          <w:sz w:val="28"/>
          <w:szCs w:val="28"/>
          <w:highlight w:val="none"/>
        </w:rPr>
        <w:fldChar w:fldCharType="end"/>
      </w:r>
      <w:r>
        <w:rPr>
          <w:rFonts w:hint="eastAsia" w:ascii="宋体" w:hAnsi="宋体" w:cs="宋体"/>
          <w:i w:val="0"/>
          <w:color w:val="auto"/>
          <w:sz w:val="28"/>
          <w:szCs w:val="28"/>
          <w:highlight w:val="none"/>
        </w:rPr>
        <w:fldChar w:fldCharType="end"/>
      </w:r>
    </w:p>
    <w:p w14:paraId="6D0A16C7">
      <w:pPr>
        <w:tabs>
          <w:tab w:val="right" w:leader="dot" w:pos="9638"/>
        </w:tabs>
        <w:spacing w:line="360" w:lineRule="auto"/>
        <w:rPr>
          <w:rFonts w:hint="eastAsia" w:ascii="宋体" w:hAnsi="宋体" w:eastAsia="宋体" w:cs="宋体"/>
          <w:color w:val="auto"/>
          <w:sz w:val="44"/>
          <w:szCs w:val="20"/>
          <w:highlight w:val="none"/>
        </w:rPr>
      </w:pPr>
      <w:r>
        <w:rPr>
          <w:rFonts w:hint="eastAsia" w:ascii="宋体" w:hAnsi="宋体" w:eastAsia="宋体" w:cs="宋体"/>
          <w:b/>
          <w:bCs/>
          <w:color w:val="auto"/>
          <w:sz w:val="28"/>
          <w:szCs w:val="28"/>
          <w:highlight w:val="none"/>
        </w:rPr>
        <w:fldChar w:fldCharType="end"/>
      </w:r>
    </w:p>
    <w:p w14:paraId="2D83DFEE">
      <w:pPr>
        <w:keepNext/>
        <w:keepLines/>
        <w:spacing w:line="360" w:lineRule="auto"/>
        <w:jc w:val="center"/>
        <w:outlineLvl w:val="0"/>
        <w:rPr>
          <w:rFonts w:hint="eastAsia" w:ascii="宋体" w:hAnsi="宋体" w:eastAsia="宋体" w:cs="宋体"/>
          <w:color w:val="auto"/>
          <w:szCs w:val="24"/>
          <w:highlight w:val="none"/>
        </w:rPr>
      </w:pPr>
      <w:bookmarkStart w:id="1" w:name="_Toc139966426"/>
      <w:bookmarkStart w:id="2" w:name="_Toc139967210"/>
      <w:r>
        <w:rPr>
          <w:rFonts w:hint="eastAsia" w:ascii="宋体" w:hAnsi="宋体" w:eastAsia="宋体" w:cs="宋体"/>
          <w:color w:val="auto"/>
          <w:sz w:val="36"/>
          <w:szCs w:val="20"/>
          <w:highlight w:val="none"/>
        </w:rPr>
        <w:br w:type="page" w:clear="all"/>
      </w:r>
      <w:bookmarkStart w:id="3" w:name="_Toc150765434"/>
      <w:bookmarkStart w:id="4" w:name="_Toc513622226"/>
      <w:r>
        <w:rPr>
          <w:rFonts w:hint="eastAsia" w:ascii="宋体" w:hAnsi="宋体" w:eastAsia="宋体" w:cs="宋体"/>
          <w:color w:val="auto"/>
          <w:sz w:val="36"/>
          <w:szCs w:val="20"/>
          <w:highlight w:val="none"/>
        </w:rPr>
        <w:t>第一章投标邀请</w:t>
      </w:r>
      <w:bookmarkEnd w:id="3"/>
      <w:bookmarkEnd w:id="4"/>
    </w:p>
    <w:tbl>
      <w:tblPr>
        <w:tblStyle w:val="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1329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7FF5F37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52E6114">
            <w:pPr>
              <w:spacing w:line="360" w:lineRule="auto"/>
              <w:ind w:firstLine="480"/>
              <w:rPr>
                <w:rFonts w:hint="eastAsia" w:ascii="宋体" w:hAnsi="宋体" w:eastAsia="宋体" w:cs="宋体"/>
                <w:color w:val="auto"/>
                <w:szCs w:val="24"/>
                <w:highlight w:val="none"/>
              </w:rPr>
            </w:pPr>
            <w:r>
              <w:rPr>
                <w:rFonts w:hint="eastAsia" w:ascii="宋体" w:hAnsi="宋体" w:cs="宋体"/>
                <w:color w:val="auto"/>
                <w:sz w:val="24"/>
                <w:szCs w:val="24"/>
                <w:highlight w:val="none"/>
                <w:u w:val="single"/>
                <w:lang w:eastAsia="zh-CN"/>
              </w:rPr>
              <w:t>绿色化工技能实训中心设备采购类项目（专门面向中小企业）</w:t>
            </w:r>
            <w:r>
              <w:rPr>
                <w:rFonts w:hint="eastAsia" w:ascii="宋体" w:hAnsi="宋体" w:eastAsia="宋体" w:cs="宋体"/>
                <w:color w:val="auto"/>
                <w:sz w:val="24"/>
                <w:szCs w:val="24"/>
                <w:highlight w:val="none"/>
              </w:rPr>
              <w:t>招标项目的潜在投标人应在</w:t>
            </w:r>
            <w:r>
              <w:rPr>
                <w:rFonts w:hint="eastAsia" w:ascii="宋体" w:hAnsi="宋体" w:eastAsia="宋体" w:cs="宋体"/>
                <w:color w:val="auto"/>
                <w:sz w:val="24"/>
                <w:szCs w:val="24"/>
                <w:highlight w:val="none"/>
                <w:u w:val="single"/>
              </w:rPr>
              <w:t>江苏政府采购网</w:t>
            </w:r>
            <w:r>
              <w:rPr>
                <w:rFonts w:hint="eastAsia" w:ascii="宋体" w:hAnsi="宋体" w:eastAsia="宋体" w:cs="宋体"/>
                <w:color w:val="auto"/>
                <w:sz w:val="24"/>
                <w:szCs w:val="24"/>
                <w:highlight w:val="none"/>
              </w:rPr>
              <w:t>获取招标文件，并于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21</w:t>
            </w:r>
            <w:r>
              <w:rPr>
                <w:rFonts w:hint="eastAsia" w:ascii="宋体" w:hAnsi="宋体" w:eastAsia="宋体" w:cs="宋体"/>
                <w:color w:val="auto"/>
                <w:sz w:val="24"/>
                <w:szCs w:val="24"/>
                <w:highlight w:val="none"/>
                <w:u w:val="single"/>
              </w:rPr>
              <w:t>日9点</w:t>
            </w:r>
            <w:r>
              <w:rPr>
                <w:rFonts w:hint="eastAsia" w:ascii="宋体" w:hAnsi="宋体" w:eastAsia="宋体" w:cs="宋体"/>
                <w:bCs/>
                <w:color w:val="auto"/>
                <w:sz w:val="24"/>
                <w:szCs w:val="24"/>
                <w:highlight w:val="none"/>
                <w:u w:val="single"/>
              </w:rPr>
              <w:t>00分00秒</w:t>
            </w:r>
            <w:r>
              <w:rPr>
                <w:rFonts w:hint="eastAsia" w:ascii="宋体" w:hAnsi="宋体" w:eastAsia="宋体" w:cs="宋体"/>
                <w:color w:val="auto"/>
                <w:sz w:val="24"/>
                <w:szCs w:val="24"/>
                <w:highlight w:val="none"/>
              </w:rPr>
              <w:t>（北京时间）前</w:t>
            </w:r>
            <w:r>
              <w:rPr>
                <w:rFonts w:hint="eastAsia" w:ascii="宋体" w:hAnsi="宋体" w:eastAsia="宋体" w:cs="宋体"/>
                <w:b/>
                <w:color w:val="auto"/>
                <w:sz w:val="24"/>
                <w:szCs w:val="24"/>
                <w:highlight w:val="none"/>
              </w:rPr>
              <w:t>上传电子投标文件</w:t>
            </w:r>
            <w:r>
              <w:rPr>
                <w:rFonts w:hint="eastAsia" w:ascii="宋体" w:hAnsi="宋体" w:eastAsia="宋体" w:cs="宋体"/>
                <w:color w:val="auto"/>
                <w:sz w:val="24"/>
                <w:szCs w:val="24"/>
                <w:highlight w:val="none"/>
              </w:rPr>
              <w:t>。</w:t>
            </w:r>
          </w:p>
        </w:tc>
      </w:tr>
    </w:tbl>
    <w:p w14:paraId="0A79AB77">
      <w:pPr>
        <w:spacing w:line="360" w:lineRule="auto"/>
        <w:rPr>
          <w:rFonts w:hint="eastAsia" w:ascii="宋体" w:hAnsi="宋体" w:eastAsia="宋体" w:cs="宋体"/>
          <w:color w:val="auto"/>
          <w:szCs w:val="24"/>
          <w:highlight w:val="none"/>
        </w:rPr>
      </w:pPr>
    </w:p>
    <w:p w14:paraId="12E061E8">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一、项目基本情况</w:t>
      </w:r>
    </w:p>
    <w:p w14:paraId="3BC4ED7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标段编号：JSZC-320700-ZHDH-G2026-0014</w:t>
      </w:r>
    </w:p>
    <w:p w14:paraId="4C7C3FF1">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标段名称：</w:t>
      </w:r>
      <w:r>
        <w:rPr>
          <w:rFonts w:hint="eastAsia" w:ascii="宋体" w:hAnsi="宋体" w:cs="宋体"/>
          <w:color w:val="auto"/>
          <w:sz w:val="24"/>
          <w:szCs w:val="24"/>
          <w:highlight w:val="none"/>
          <w:lang w:eastAsia="zh-CN"/>
        </w:rPr>
        <w:t>绿色化工技能实训中心设备采购类项目（专门面向中小企业）</w:t>
      </w:r>
    </w:p>
    <w:p w14:paraId="68947D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万元。</w:t>
      </w:r>
    </w:p>
    <w:p w14:paraId="47AC09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万元人民币，投标报价超出最高限价的按无效响应处理。</w:t>
      </w:r>
    </w:p>
    <w:p w14:paraId="3235187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r>
        <w:rPr>
          <w:rFonts w:hint="eastAsia" w:ascii="宋体" w:hAnsi="宋体" w:eastAsia="宋体" w:cs="Times New Roman"/>
          <w:color w:val="auto"/>
          <w:sz w:val="24"/>
          <w:szCs w:val="24"/>
          <w:highlight w:val="none"/>
        </w:rPr>
        <w:t>计划购置化工生产技术大赛及实训装置1套、材料工程技术科研相关装置，开发高密度聚乙烯虚拟仿真系统教学资源1套，</w:t>
      </w:r>
      <w:r>
        <w:rPr>
          <w:rFonts w:hint="eastAsia" w:ascii="宋体" w:hAnsi="宋体" w:eastAsia="宋体" w:cs="宋体"/>
          <w:color w:val="auto"/>
          <w:sz w:val="24"/>
          <w:szCs w:val="24"/>
          <w:highlight w:val="none"/>
          <w:shd w:val="clear" w:color="auto" w:fill="FFFFFF"/>
        </w:rPr>
        <w:t>校企合作共建《化工单元操作》专业核心在线课程</w:t>
      </w:r>
      <w:r>
        <w:rPr>
          <w:rFonts w:hint="eastAsia" w:ascii="宋体" w:hAnsi="宋体" w:eastAsia="宋体" w:cs="宋体"/>
          <w:color w:val="auto"/>
          <w:sz w:val="24"/>
          <w:szCs w:val="24"/>
          <w:highlight w:val="none"/>
        </w:rPr>
        <w:t>。</w:t>
      </w:r>
    </w:p>
    <w:p w14:paraId="3FA18BD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对项目采购需求部分的询问、质疑请与采购人联系，由采购人负责答复。</w:t>
      </w:r>
    </w:p>
    <w:p w14:paraId="1B58008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合同履行期限（交货期）：签订合同后</w:t>
      </w:r>
      <w:r>
        <w:rPr>
          <w:rFonts w:hint="eastAsia" w:ascii="宋体" w:hAnsi="宋体" w:eastAsia="宋体" w:cs="宋体"/>
          <w:color w:val="auto"/>
          <w:sz w:val="24"/>
          <w:szCs w:val="24"/>
          <w:highlight w:val="none"/>
          <w:lang w:val="en-US" w:eastAsia="zh-CN"/>
        </w:rPr>
        <w:t>60天</w:t>
      </w:r>
      <w:r>
        <w:rPr>
          <w:rFonts w:hint="eastAsia" w:ascii="宋体" w:hAnsi="宋体" w:eastAsia="宋体" w:cs="宋体"/>
          <w:color w:val="auto"/>
          <w:sz w:val="24"/>
          <w:szCs w:val="24"/>
          <w:highlight w:val="none"/>
        </w:rPr>
        <w:t>；</w:t>
      </w:r>
    </w:p>
    <w:p w14:paraId="157A29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本项目（是/否√）接受联合体投标。</w:t>
      </w:r>
    </w:p>
    <w:p w14:paraId="751579DB">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二、申请人的资格要求</w:t>
      </w:r>
    </w:p>
    <w:p w14:paraId="32C10B9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1.满足《中华人民共和国政府采购法》第二十二条规定，提供下列材料：</w:t>
      </w:r>
    </w:p>
    <w:p w14:paraId="007C31B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38D6BA1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p>
    <w:p w14:paraId="309AD0F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（3）依法缴纳税收和社会保障资金的相关证明材料（按连财购〔2023〕4号文件要求，符合要求的可提交《财务状况报告及税收、社会保障资金缴纳情况承诺函》，格式详见招标文件）；</w:t>
      </w:r>
    </w:p>
    <w:p w14:paraId="0D6126F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（4）具备履行合同所必需的设备和专业技术能力的声明及证明材料；</w:t>
      </w:r>
    </w:p>
    <w:p w14:paraId="2E6EA76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（5）参加政府采购活动前三年内在经营活动中没有重大违法记录的书面声明。</w:t>
      </w:r>
    </w:p>
    <w:p w14:paraId="4E4415EA">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2.落实政府采购政策需满足的资格要求：</w:t>
      </w:r>
      <w:r>
        <w:rPr>
          <w:rFonts w:hint="eastAsia" w:ascii="宋体" w:hAnsi="宋体" w:eastAsia="宋体" w:cs="宋体"/>
          <w:color w:val="auto"/>
          <w:sz w:val="24"/>
          <w:szCs w:val="24"/>
          <w:highlight w:val="none"/>
        </w:rPr>
        <w:t>本项目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p>
    <w:p w14:paraId="36276B42">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3.本项目的特定资格要求：无。</w:t>
      </w:r>
    </w:p>
    <w:p w14:paraId="07FFFB6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4.本项目的其他资格要求：</w:t>
      </w:r>
    </w:p>
    <w:p w14:paraId="58C73E0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（1）投标文件递交截止前，被信用中国、中国政府采购网列入失信被执行人、税收违法黑名单、政府采购严重违法失信行为记录名单的供应商，拒绝其参与政府采购活动。</w:t>
      </w:r>
    </w:p>
    <w:p w14:paraId="6419C8A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备注：采购人或采购代理机构通过信用中国网站（www.creditchina.gov.cn）、中国政府采购网（www.ccgp.gov.cn），对供应商信用记录情况进行查询。</w:t>
      </w:r>
    </w:p>
    <w:p w14:paraId="3CEF7CF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w:t>
      </w:r>
      <w:r>
        <w:rPr>
          <w:rFonts w:hint="eastAsia" w:ascii="宋体" w:hAnsi="宋体" w:eastAsia="宋体" w:cs="宋体"/>
          <w:b/>
          <w:color w:val="auto"/>
          <w:sz w:val="24"/>
          <w:szCs w:val="24"/>
          <w:highlight w:val="none"/>
        </w:rPr>
        <w:t>不接受进口产品</w:t>
      </w:r>
      <w:r>
        <w:rPr>
          <w:rFonts w:hint="eastAsia" w:ascii="宋体" w:hAnsi="宋体" w:eastAsia="宋体" w:cs="宋体"/>
          <w:color w:val="auto"/>
          <w:sz w:val="24"/>
          <w:szCs w:val="24"/>
          <w:highlight w:val="none"/>
        </w:rPr>
        <w:t>（进口产品是指通过中国海关报关验放进入中国境内且产自关境外的产品），中标后不允许分包或转包。</w:t>
      </w:r>
    </w:p>
    <w:p w14:paraId="3E045CF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5.法律法规规定的其他条件。</w:t>
      </w:r>
    </w:p>
    <w:p w14:paraId="7A5A47E2">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三、获取招标文件</w:t>
      </w:r>
    </w:p>
    <w:p w14:paraId="3548D98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29</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日</w:t>
      </w:r>
      <w:r>
        <w:rPr>
          <w:rFonts w:hint="eastAsia" w:ascii="宋体" w:hAnsi="宋体" w:eastAsia="宋体" w:cs="宋体"/>
          <w:color w:val="auto"/>
          <w:sz w:val="24"/>
          <w:highlight w:val="none"/>
        </w:rPr>
        <w:t>23:59止（北京时间）</w:t>
      </w:r>
      <w:r>
        <w:rPr>
          <w:rFonts w:hint="eastAsia" w:ascii="宋体" w:hAnsi="宋体" w:eastAsia="宋体" w:cs="宋体"/>
          <w:color w:val="auto"/>
          <w:sz w:val="24"/>
          <w:szCs w:val="24"/>
          <w:highlight w:val="none"/>
        </w:rPr>
        <w:t>。</w:t>
      </w:r>
    </w:p>
    <w:p w14:paraId="68F0C9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2．获取方式：本项目采用网上注册登记方式。</w:t>
      </w:r>
    </w:p>
    <w:p w14:paraId="441FDD7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2.1潜在投标人访问电子招标投标交易平台的网络地址和方法：</w:t>
      </w:r>
    </w:p>
    <w:p w14:paraId="0E62B4B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F65FA8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（2）潜在供应商访问“苏采云”系统的网络地址和方法：</w:t>
      </w:r>
    </w:p>
    <w:p w14:paraId="7006176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“苏采云”系统的网址：http://jszfcg.jsczt.cn/。</w:t>
      </w:r>
    </w:p>
    <w:p w14:paraId="754EA2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（3）“CA数字证书”的获取：</w:t>
      </w:r>
    </w:p>
    <w:p w14:paraId="3B6311D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供应商需办理CA锁，“苏采云”系统目前仅支持“苏采云”系统下的政务CA，省内各地区办理的“苏采云”系统下的政务CA全省通用。“CA数字证书”的办理材料详见“http://jsxcmm.com/help/gys.html”。</w:t>
      </w:r>
    </w:p>
    <w:p w14:paraId="35173A9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（4）采购文件（后缀名为“.kedt”）、供应商操作手册及政府采购客户端工具可通过“苏采云”系统--已报名项目--报名详情页面内相应链接进行下载。</w:t>
      </w:r>
    </w:p>
    <w:p w14:paraId="4860F3E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（5）招标代理机构（采购代理机构）将数据电文形式的采购文件加载至“苏采云”系统，供潜在供应商下载或者查阅。</w:t>
      </w:r>
    </w:p>
    <w:p w14:paraId="079E80F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（6）苏采云系统使用谷歌浏览器参与不见面开标。</w:t>
      </w:r>
    </w:p>
    <w:p w14:paraId="7A16DF7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3.地点：网上注册登记成功后系统内免费下载。</w:t>
      </w:r>
    </w:p>
    <w:p w14:paraId="62B0FFA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4.售价：免费</w:t>
      </w:r>
    </w:p>
    <w:p w14:paraId="3D1F0805">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四、提交投标文件截止时间、开标时间和地点</w:t>
      </w:r>
    </w:p>
    <w:p w14:paraId="53F874A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1.投标文件接收时间</w:t>
      </w:r>
    </w:p>
    <w:p w14:paraId="22B3287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投标文件接收截止时间：202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日9:00:00（北京时间）</w:t>
      </w:r>
    </w:p>
    <w:p w14:paraId="406D8E0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2.开标时间与地点</w:t>
      </w:r>
    </w:p>
    <w:p w14:paraId="0B02B23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日9:00:00（北京时间）</w:t>
      </w:r>
    </w:p>
    <w:p w14:paraId="6EF423E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开标地点：“苏采云”系统 “开标大厅”</w:t>
      </w:r>
    </w:p>
    <w:p w14:paraId="270462E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开标大厅网址：</w:t>
      </w:r>
    </w:p>
    <w:p w14:paraId="5111DC2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http://jszfcg.jsczt.cn/</w:t>
      </w:r>
    </w:p>
    <w:p w14:paraId="1EC02C69">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五、公告期限</w:t>
      </w:r>
    </w:p>
    <w:p w14:paraId="7788116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6EF9C4ED">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六、其他补充事宜</w:t>
      </w:r>
    </w:p>
    <w:p w14:paraId="2B8D650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1.本次公开招标不收取投标保证金。</w:t>
      </w:r>
    </w:p>
    <w:p w14:paraId="7CCD2D0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2.本招标文件中标注★的款项为实质性响应要求和条件，必须</w:t>
      </w:r>
      <w:r>
        <w:rPr>
          <w:rFonts w:hint="eastAsia" w:ascii="宋体" w:hAnsi="宋体" w:eastAsia="宋体" w:cs="宋体"/>
          <w:b/>
          <w:color w:val="auto"/>
          <w:sz w:val="24"/>
          <w:szCs w:val="24"/>
          <w:highlight w:val="none"/>
        </w:rPr>
        <w:t>逐条</w:t>
      </w:r>
      <w:r>
        <w:rPr>
          <w:rFonts w:hint="eastAsia" w:ascii="宋体" w:hAnsi="宋体" w:eastAsia="宋体" w:cs="宋体"/>
          <w:color w:val="auto"/>
          <w:sz w:val="24"/>
          <w:szCs w:val="24"/>
          <w:highlight w:val="none"/>
        </w:rPr>
        <w:t>做出满足要求和条件的响应，否则将按无效响应处理。</w:t>
      </w:r>
    </w:p>
    <w:p w14:paraId="7D392A3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3C19CB44">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七、对本次招标提出询问，请按以下方式联系。</w:t>
      </w:r>
    </w:p>
    <w:p w14:paraId="6819912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63ACD98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称：连云港职业技术学院</w:t>
      </w:r>
    </w:p>
    <w:p w14:paraId="54F4F18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highlight w:val="none"/>
        </w:rPr>
        <w:t>连云港市海州区花果山大道晨光路2号</w:t>
      </w:r>
    </w:p>
    <w:p w14:paraId="0FF26E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联系人：冯老师</w:t>
      </w:r>
    </w:p>
    <w:p w14:paraId="52ACBE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联系</w:t>
      </w:r>
      <w:r>
        <w:rPr>
          <w:rFonts w:hint="eastAsia" w:ascii="宋体" w:hAnsi="宋体" w:eastAsia="宋体" w:cs="宋体"/>
          <w:color w:val="auto"/>
          <w:sz w:val="24"/>
          <w:szCs w:val="24"/>
          <w:highlight w:val="none"/>
        </w:rPr>
        <w:t>方式</w:t>
      </w:r>
      <w:r>
        <w:rPr>
          <w:rFonts w:hint="eastAsia" w:ascii="宋体" w:hAnsi="宋体" w:eastAsia="宋体" w:cs="宋体"/>
          <w:color w:val="auto"/>
          <w:sz w:val="24"/>
          <w:highlight w:val="none"/>
        </w:rPr>
        <w:t>：0518-80228066</w:t>
      </w:r>
    </w:p>
    <w:p w14:paraId="383057F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1B3FF8B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称：中和德汇工程技术有限公司</w:t>
      </w:r>
    </w:p>
    <w:p w14:paraId="391A333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highlight w:val="none"/>
        </w:rPr>
        <w:t>连云港市朝阳东路南瀛洲路东盛世嘉缘1幢3层5号</w:t>
      </w:r>
    </w:p>
    <w:p w14:paraId="4FBCA7F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联系方式：陈工   15805130180</w:t>
      </w:r>
    </w:p>
    <w:p w14:paraId="0308643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1DA47F8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杨</w:t>
      </w:r>
      <w:r>
        <w:rPr>
          <w:rFonts w:hint="eastAsia" w:ascii="宋体" w:hAnsi="宋体" w:eastAsia="宋体" w:cs="宋体"/>
          <w:color w:val="auto"/>
          <w:sz w:val="24"/>
          <w:szCs w:val="24"/>
          <w:highlight w:val="none"/>
        </w:rPr>
        <w:t>老师</w:t>
      </w:r>
    </w:p>
    <w:p w14:paraId="03C8B0C2">
      <w:pPr>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color w:val="auto"/>
          <w:highlight w:val="none"/>
          <w:lang w:val="en-US" w:eastAsia="zh-CN"/>
        </w:rPr>
        <w:t>18795555292</w:t>
      </w:r>
    </w:p>
    <w:p w14:paraId="4FACEF1D">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八、电子招投标说明</w:t>
      </w:r>
    </w:p>
    <w:p w14:paraId="54DF764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1.本项目采用电子招标投标，请供应商严格按照招标文件的规定编制、提交投标文件，否则所造成的一切不利后果由供应商自行承担。</w:t>
      </w:r>
    </w:p>
    <w:p w14:paraId="15F3F0E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2.投标人应当通过“苏采云”系统提交数据电文形式的投标文件（即电子投标）。</w:t>
      </w:r>
    </w:p>
    <w:p w14:paraId="492AD36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特别说明：通过“苏采云”系统提交政府采购客户端工具导出加密的投标文件（后缀名为zip）。投标文件不得超过150M！</w:t>
      </w:r>
    </w:p>
    <w:p w14:paraId="2A9D484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说明：本项目采用线上投标，即供应商投标文件从政府采购客户端工具制作通过“苏采云”系统提交，未提供线上投标文件的，投标无效。</w:t>
      </w:r>
    </w:p>
    <w:p w14:paraId="71336CF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3.电子投标文件应由其法定代表人或法定代表人授权代表在规定的网上投标时间内，凭 CA 证书登陆“苏采云”系统在线编制投标文件（电子数据），并在投标截止时间之前上传投标文件。</w:t>
      </w:r>
    </w:p>
    <w:p w14:paraId="0D0DD03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投标人应在达到开标时间后，使用CA数字证书解密各自投标文件。</w:t>
      </w:r>
    </w:p>
    <w:p w14:paraId="2B2433E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73327A7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所有投标人解密（或解密时间）结束后，“苏采云”系统生成开标记录并向社会公众公布，但依法应当保密的除外。</w:t>
      </w:r>
    </w:p>
    <w:p w14:paraId="3058652B">
      <w:pPr>
        <w:spacing w:line="360" w:lineRule="auto"/>
        <w:rPr>
          <w:rFonts w:hint="eastAsia" w:ascii="宋体" w:hAnsi="宋体" w:eastAsia="宋体" w:cs="宋体"/>
          <w:color w:val="auto"/>
          <w:sz w:val="24"/>
          <w:szCs w:val="24"/>
          <w:highlight w:val="none"/>
        </w:rPr>
      </w:pPr>
    </w:p>
    <w:p w14:paraId="42ACCBF3">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中和德汇工程技术有限公司</w:t>
      </w:r>
    </w:p>
    <w:p w14:paraId="5E354217">
      <w:pPr>
        <w:wordWrap w:val="0"/>
        <w:spacing w:line="360" w:lineRule="auto"/>
        <w:ind w:firstLine="480"/>
        <w:jc w:val="right"/>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28</w:t>
      </w:r>
      <w:r>
        <w:rPr>
          <w:rFonts w:hint="eastAsia" w:ascii="宋体" w:hAnsi="宋体" w:eastAsia="宋体" w:cs="宋体"/>
          <w:color w:val="auto"/>
          <w:sz w:val="24"/>
          <w:szCs w:val="24"/>
          <w:highlight w:val="none"/>
        </w:rPr>
        <w:t>日</w:t>
      </w:r>
    </w:p>
    <w:p w14:paraId="702670D0">
      <w:pPr>
        <w:keepNext/>
        <w:keepLines/>
        <w:spacing w:line="360" w:lineRule="auto"/>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20"/>
          <w:highlight w:val="none"/>
        </w:rPr>
        <w:br w:type="page" w:clear="all"/>
      </w:r>
      <w:bookmarkStart w:id="5" w:name="_Toc150765435"/>
      <w:bookmarkStart w:id="6" w:name="_Toc513622227"/>
      <w:r>
        <w:rPr>
          <w:rFonts w:hint="eastAsia" w:ascii="宋体" w:hAnsi="宋体" w:eastAsia="宋体" w:cs="宋体"/>
          <w:color w:val="auto"/>
          <w:sz w:val="36"/>
          <w:szCs w:val="20"/>
          <w:highlight w:val="none"/>
        </w:rPr>
        <w:t>第二章投标人须知</w:t>
      </w:r>
      <w:bookmarkEnd w:id="1"/>
      <w:bookmarkEnd w:id="2"/>
      <w:bookmarkEnd w:id="5"/>
      <w:bookmarkEnd w:id="6"/>
    </w:p>
    <w:p w14:paraId="1E3F2DB2">
      <w:pPr>
        <w:pStyle w:val="3"/>
        <w:numPr>
          <w:ilvl w:val="0"/>
          <w:numId w:val="0"/>
        </w:numPr>
        <w:rPr>
          <w:rFonts w:hint="eastAsia" w:ascii="宋体" w:hAnsi="宋体" w:eastAsia="宋体" w:cs="宋体"/>
          <w:b w:val="0"/>
          <w:color w:val="auto"/>
          <w:highlight w:val="none"/>
        </w:rPr>
      </w:pPr>
      <w:r>
        <w:rPr>
          <w:rFonts w:hint="eastAsia" w:ascii="宋体" w:hAnsi="宋体" w:eastAsia="宋体" w:cs="宋体"/>
          <w:color w:val="auto"/>
          <w:highlight w:val="none"/>
        </w:rPr>
        <w:t>一、总则</w:t>
      </w:r>
    </w:p>
    <w:p w14:paraId="1C7B1B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采购人、项目（标段）名称及编号，详见第一章“投标邀请”。</w:t>
      </w:r>
    </w:p>
    <w:p w14:paraId="2FDF91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采购预算</w:t>
      </w:r>
    </w:p>
    <w:p w14:paraId="5335F35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本项目的采购预算，详见第一章“投标邀请”。</w:t>
      </w:r>
    </w:p>
    <w:p w14:paraId="467A85D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资金来源</w:t>
      </w:r>
    </w:p>
    <w:p w14:paraId="0A8991B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“投标邀请”中所述的采购人已获得一笔政府采购资金，用于采购第六章“项目需求”所列内容。</w:t>
      </w:r>
    </w:p>
    <w:p w14:paraId="7C0FC56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采购方式</w:t>
      </w:r>
    </w:p>
    <w:p w14:paraId="41A47D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本项目采用公开招标采购方式，招标、投标、开标、评标和中标结果发布全程电子化。</w:t>
      </w:r>
    </w:p>
    <w:p w14:paraId="1E5022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合格的投标人</w:t>
      </w:r>
    </w:p>
    <w:p w14:paraId="51E3D0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投标人应符合第一章“投标邀请”中规定的条件，</w:t>
      </w:r>
      <w:r>
        <w:rPr>
          <w:rFonts w:hint="eastAsia" w:ascii="宋体" w:hAnsi="宋体" w:eastAsia="宋体" w:cs="宋体"/>
          <w:b/>
          <w:bCs/>
          <w:color w:val="auto"/>
          <w:sz w:val="24"/>
          <w:szCs w:val="24"/>
          <w:highlight w:val="none"/>
        </w:rPr>
        <w:t>否则投标无效</w:t>
      </w:r>
      <w:r>
        <w:rPr>
          <w:rFonts w:hint="eastAsia" w:ascii="宋体" w:hAnsi="宋体" w:eastAsia="宋体" w:cs="宋体"/>
          <w:color w:val="auto"/>
          <w:sz w:val="24"/>
          <w:szCs w:val="24"/>
          <w:highlight w:val="none"/>
        </w:rPr>
        <w:t>。</w:t>
      </w:r>
    </w:p>
    <w:p w14:paraId="6BDC43C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投标人不得直接或间接地与为本次采购的标的进行设计、编制规范和其他文件的咨询公司、采购（代理）机构或其附属机构有任何关联。 </w:t>
      </w:r>
    </w:p>
    <w:p w14:paraId="1706310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41CE390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符合上述条件的投标人应承担投标及履约过程应承担的全部责任与义务。</w:t>
      </w:r>
    </w:p>
    <w:p w14:paraId="25C74D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投标费用</w:t>
      </w:r>
    </w:p>
    <w:p w14:paraId="0ACA3C1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不论投标结果如何，投标人均应自行承担所有与编写和提交投标文件有关的全部费用。</w:t>
      </w:r>
    </w:p>
    <w:p w14:paraId="1B6A3DE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质疑</w:t>
      </w:r>
    </w:p>
    <w:p w14:paraId="6E0E60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质疑的提出</w:t>
      </w:r>
    </w:p>
    <w:p w14:paraId="67F3435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提出质疑的供应商应当是参与所质疑项目采购活动的供应商。</w:t>
      </w:r>
    </w:p>
    <w:p w14:paraId="127367E9">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中和德汇工程技术有限公司（以下简称采购代理机构）提出质疑。供应商应当在法定质疑期内一次性提出针对同一采购程序环节的质疑。</w:t>
      </w:r>
      <w:r>
        <w:rPr>
          <w:rFonts w:hint="eastAsia" w:ascii="宋体" w:hAnsi="宋体" w:eastAsia="宋体" w:cs="宋体"/>
          <w:b/>
          <w:bCs/>
          <w:color w:val="auto"/>
          <w:sz w:val="24"/>
          <w:szCs w:val="24"/>
          <w:highlight w:val="none"/>
        </w:rPr>
        <w:t>未依照采购公告要求获取招标文件的供应商，视为未参与该项目的采购活动，不具备对该招标文件提出质疑的法定权利。</w:t>
      </w:r>
    </w:p>
    <w:p w14:paraId="1BF518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5AD478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w:t>
      </w:r>
      <w:r>
        <w:rPr>
          <w:rFonts w:hint="eastAsia" w:ascii="宋体" w:hAnsi="宋体" w:eastAsia="宋体" w:cs="宋体"/>
          <w:b/>
          <w:color w:val="auto"/>
          <w:sz w:val="24"/>
          <w:szCs w:val="24"/>
          <w:highlight w:val="none"/>
        </w:rPr>
        <w:t>质疑函的接收方式为供应商书面原件提交</w:t>
      </w:r>
      <w:r>
        <w:rPr>
          <w:rFonts w:hint="eastAsia" w:ascii="宋体" w:hAnsi="宋体" w:eastAsia="宋体" w:cs="宋体"/>
          <w:color w:val="auto"/>
          <w:sz w:val="24"/>
          <w:szCs w:val="24"/>
          <w:highlight w:val="none"/>
        </w:rPr>
        <w:t>。联系部门、联系电话和通讯地址详见第一章“投标邀请”。质疑实行实名制，不得进行虚假、恶意质疑。</w:t>
      </w:r>
    </w:p>
    <w:p w14:paraId="76B02B7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7.1.5 质疑函应当使用范本（详见连云港市政府采购交易平台-监管信息-意见反馈）。</w:t>
      </w:r>
    </w:p>
    <w:p w14:paraId="68AD0E9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供应商提出质疑</w:t>
      </w:r>
      <w:r>
        <w:rPr>
          <w:rFonts w:hint="eastAsia" w:ascii="宋体" w:hAnsi="宋体" w:eastAsia="宋体" w:cs="宋体"/>
          <w:b/>
          <w:color w:val="auto"/>
          <w:sz w:val="24"/>
          <w:szCs w:val="24"/>
          <w:highlight w:val="none"/>
        </w:rPr>
        <w:t>应当提交质疑函和必要的证明材料</w:t>
      </w:r>
      <w:r>
        <w:rPr>
          <w:rFonts w:hint="eastAsia" w:ascii="宋体" w:hAnsi="宋体" w:eastAsia="宋体" w:cs="宋体"/>
          <w:color w:val="auto"/>
          <w:sz w:val="24"/>
          <w:szCs w:val="24"/>
          <w:highlight w:val="none"/>
        </w:rPr>
        <w:t>，应当包括下列内容：</w:t>
      </w:r>
    </w:p>
    <w:p w14:paraId="7436FA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5D4A8E0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7DE19E2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7B28C3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26AA0F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39835A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286678CD">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b/>
          <w:color w:val="auto"/>
          <w:sz w:val="24"/>
          <w:szCs w:val="24"/>
          <w:highlight w:val="none"/>
        </w:rPr>
        <w:t>必要的证明材料；</w:t>
      </w:r>
    </w:p>
    <w:p w14:paraId="47146608">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（8）招标文件(交易文件)下载回执函；</w:t>
      </w:r>
    </w:p>
    <w:p w14:paraId="1CA0B59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（9）营业执照复印件及法定代表人授权委托书、法定代表人身份证复印件、委托代理人身份证复印件。</w:t>
      </w:r>
    </w:p>
    <w:p w14:paraId="7238179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供应商为自然人的，应当由本人签字；供应商为法人或者其他组织的，应当由法定代表人、主要负责人，或者其授权代理人签字或者盖章，并加盖单位公章。</w:t>
      </w:r>
    </w:p>
    <w:p w14:paraId="79E573F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质疑函的受理和答复</w:t>
      </w:r>
    </w:p>
    <w:p w14:paraId="4ED2313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对不能提供必要的证明材料的、涉及商业秘密的、非书面原件形式的、匿名的质疑函将不予受理</w:t>
      </w:r>
      <w:r>
        <w:rPr>
          <w:rFonts w:hint="eastAsia" w:ascii="宋体" w:hAnsi="宋体" w:eastAsia="宋体" w:cs="宋体"/>
          <w:color w:val="auto"/>
          <w:sz w:val="24"/>
          <w:szCs w:val="24"/>
          <w:highlight w:val="none"/>
        </w:rPr>
        <w:t>。必要的证明材料要具备客观性、关联性、合法性，无法查实的（如宣传册、媒体报道、猜测、推理等）不能作为证明材料。采购人、采购代理机构不负责搜集必要的证明材料等工作。</w:t>
      </w:r>
    </w:p>
    <w:p w14:paraId="009715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p>
    <w:p w14:paraId="250DFA7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7.2.3 对不符合质疑要求的，采购人、采购代理机构有权要求其补充必要的证明材料，质疑供应商未在法定的时间内提供补充必要的证明材料的，视同放弃质疑。</w:t>
      </w:r>
    </w:p>
    <w:p w14:paraId="122BD4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346BB0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质疑处理</w:t>
      </w:r>
    </w:p>
    <w:p w14:paraId="06EF51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质疑供应商未按照法定程序进行质疑投诉的，视为一般失信行为。</w:t>
      </w:r>
    </w:p>
    <w:p w14:paraId="01B7F6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 质疑供应商不配合或者采用不正当手段干扰政府采购质疑、投诉处理工作的，视为一般失信行为。</w:t>
      </w:r>
    </w:p>
    <w:p w14:paraId="6318742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7.3.3 质疑供应商投诉受理期间，就同一事项多头举报，干扰财政部门投诉处理的，视为一般失信行为。</w:t>
      </w:r>
    </w:p>
    <w:p w14:paraId="5D1CDFB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7.3.4 质疑供应商在全国范围12个月内三次以上质疑查无实据的，视为一般失信行为。</w:t>
      </w:r>
    </w:p>
    <w:p w14:paraId="68B491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CCAF9D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7.3.6 质疑供应商在全国范围12个月内三次以上投诉查无实据的，视为严重失信行为。</w:t>
      </w:r>
    </w:p>
    <w:p w14:paraId="65098F2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未尽事宜，依照有关法律、法规执行。</w:t>
      </w:r>
    </w:p>
    <w:p w14:paraId="6C2077C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投诉</w:t>
      </w:r>
    </w:p>
    <w:p w14:paraId="06DBB17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8.1 投诉事项依照有关法律、法规执行。</w:t>
      </w:r>
    </w:p>
    <w:p w14:paraId="5D37DC42">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二、招标文件</w:t>
      </w:r>
    </w:p>
    <w:p w14:paraId="6AECC50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招标文件构成</w:t>
      </w:r>
    </w:p>
    <w:p w14:paraId="4EE46FC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要求提供的货物、招标过程及合同条款在招标文件中均有说明，招标文件分为七章，各章的内容如下：</w:t>
      </w:r>
    </w:p>
    <w:p w14:paraId="4C0950B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14:paraId="0E7103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4D5592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政府采购合同格式</w:t>
      </w:r>
    </w:p>
    <w:p w14:paraId="6740E1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投标文件格式</w:t>
      </w:r>
    </w:p>
    <w:p w14:paraId="0E64DDD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合同专用条款表</w:t>
      </w:r>
    </w:p>
    <w:p w14:paraId="5C6CFE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项目需求</w:t>
      </w:r>
    </w:p>
    <w:p w14:paraId="19A131E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第七章  评标办法</w:t>
      </w:r>
    </w:p>
    <w:p w14:paraId="1C0D389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招标文件的澄清或修改</w:t>
      </w:r>
    </w:p>
    <w:p w14:paraId="2833E4C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465444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0B8AEA1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082A359E">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三、投标文件的编制</w:t>
      </w:r>
    </w:p>
    <w:p w14:paraId="4004CBB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投标文件编写注意事项</w:t>
      </w:r>
    </w:p>
    <w:p w14:paraId="69CFE3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auto"/>
          <w:sz w:val="24"/>
          <w:szCs w:val="24"/>
          <w:highlight w:val="none"/>
        </w:rPr>
        <w:t>无效响应处理</w:t>
      </w:r>
      <w:r>
        <w:rPr>
          <w:rFonts w:hint="eastAsia" w:ascii="宋体" w:hAnsi="宋体" w:eastAsia="宋体" w:cs="宋体"/>
          <w:color w:val="auto"/>
          <w:sz w:val="24"/>
          <w:szCs w:val="24"/>
          <w:highlight w:val="none"/>
        </w:rPr>
        <w:t>。</w:t>
      </w:r>
    </w:p>
    <w:p w14:paraId="354852F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auto"/>
          <w:sz w:val="24"/>
          <w:szCs w:val="24"/>
          <w:highlight w:val="none"/>
        </w:rPr>
        <w:t>作出满足原要求和条件的响应</w:t>
      </w:r>
      <w:r>
        <w:rPr>
          <w:rFonts w:hint="eastAsia" w:ascii="宋体" w:hAnsi="宋体" w:eastAsia="宋体" w:cs="宋体"/>
          <w:color w:val="auto"/>
          <w:sz w:val="24"/>
          <w:szCs w:val="24"/>
          <w:highlight w:val="none"/>
        </w:rPr>
        <w:t>。</w:t>
      </w:r>
    </w:p>
    <w:p w14:paraId="5E0DB6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b/>
          <w:bCs/>
          <w:color w:val="auto"/>
          <w:sz w:val="24"/>
          <w:szCs w:val="24"/>
          <w:highlight w:val="none"/>
        </w:rPr>
        <w:t>招标文件中标注★号的部分为实质性要求和条件</w:t>
      </w:r>
      <w:r>
        <w:rPr>
          <w:rFonts w:hint="eastAsia" w:ascii="宋体" w:hAnsi="宋体" w:eastAsia="宋体" w:cs="宋体"/>
          <w:color w:val="auto"/>
          <w:sz w:val="24"/>
          <w:szCs w:val="24"/>
          <w:highlight w:val="none"/>
        </w:rPr>
        <w:t>。</w:t>
      </w:r>
    </w:p>
    <w:p w14:paraId="3448C0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投标的语言及计量单位</w:t>
      </w:r>
    </w:p>
    <w:p w14:paraId="34E4010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投标人的投标文件以及投标人与采购代理机构就有关投标的所有来往函电统一使用中文（特别规定除外），既有中文也有外文的，以中文意义为准。</w:t>
      </w:r>
    </w:p>
    <w:p w14:paraId="1ACACA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投标文件中使用的计量单位除招标文件中有特殊规定外，一律使用中国法定计量单位。</w:t>
      </w:r>
    </w:p>
    <w:p w14:paraId="20A7AFE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投标报价</w:t>
      </w:r>
    </w:p>
    <w:p w14:paraId="768425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772114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（1）投标的货物总价；</w:t>
      </w:r>
    </w:p>
    <w:p w14:paraId="5F86805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（2）货物的标准附件、备品备件、专用工具、运输、装卸等各种费用；</w:t>
      </w:r>
    </w:p>
    <w:p w14:paraId="698FEE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（3）必要的保险费用和各项税金；</w:t>
      </w:r>
    </w:p>
    <w:p w14:paraId="42CFAD0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（4）投标总价要求包含安装维保费用。</w:t>
      </w:r>
    </w:p>
    <w:p w14:paraId="1FE9AD2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投标人可就第六章“项目需求”中的某个分标货物内容作完整唯一报价，也可就所有分标或某几个分标货物内容分别作完整唯一报价。</w:t>
      </w:r>
    </w:p>
    <w:p w14:paraId="640A6B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投标货币</w:t>
      </w:r>
    </w:p>
    <w:p w14:paraId="71E5D6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投标应以人民币报价。</w:t>
      </w:r>
    </w:p>
    <w:p w14:paraId="2712F0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投标文件有效期</w:t>
      </w:r>
    </w:p>
    <w:p w14:paraId="586CC15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本项目投标文件有效期为：投标文件接收截止时间结束后60天内，投标文件有效期不符合招标文件要求的，该投标人投标无效。</w:t>
      </w:r>
    </w:p>
    <w:p w14:paraId="01831FE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在特殊情况下，采购代理机构可与投标人协商延长投标文件的有效期，这种要求与答复均应以书面形式提交。</w:t>
      </w:r>
    </w:p>
    <w:p w14:paraId="476A0E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投标保证金</w:t>
      </w:r>
    </w:p>
    <w:p w14:paraId="60CDDD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本项目不收取投标保证金。</w:t>
      </w:r>
    </w:p>
    <w:p w14:paraId="08FFB2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投标文件制作工具</w:t>
      </w:r>
    </w:p>
    <w:p w14:paraId="3BB16F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105C83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 投标文件构成</w:t>
      </w:r>
    </w:p>
    <w:p w14:paraId="66194A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投标人编制的投标文件应包括</w:t>
      </w:r>
      <w:r>
        <w:rPr>
          <w:rFonts w:hint="eastAsia" w:ascii="宋体" w:hAnsi="宋体" w:eastAsia="宋体" w:cs="宋体"/>
          <w:b/>
          <w:color w:val="auto"/>
          <w:sz w:val="24"/>
          <w:szCs w:val="24"/>
          <w:highlight w:val="none"/>
        </w:rPr>
        <w:t>商务文件、技术文件、评审因素所需材料和其他材料</w:t>
      </w:r>
      <w:r>
        <w:rPr>
          <w:rFonts w:hint="eastAsia" w:ascii="宋体" w:hAnsi="宋体" w:eastAsia="宋体" w:cs="宋体"/>
          <w:color w:val="auto"/>
          <w:sz w:val="24"/>
          <w:szCs w:val="24"/>
          <w:highlight w:val="none"/>
        </w:rPr>
        <w:t>等内容，相关文件的提交如未特别注明可提供扫描件。</w:t>
      </w:r>
    </w:p>
    <w:p w14:paraId="286CCF3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w:t>
      </w:r>
      <w:r>
        <w:rPr>
          <w:rFonts w:hint="eastAsia" w:ascii="宋体" w:hAnsi="宋体" w:eastAsia="宋体" w:cs="宋体"/>
          <w:b/>
          <w:color w:val="auto"/>
          <w:sz w:val="24"/>
          <w:szCs w:val="24"/>
          <w:highlight w:val="none"/>
        </w:rPr>
        <w:t>投标文件格式：</w:t>
      </w:r>
    </w:p>
    <w:p w14:paraId="02C9AE97">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填写投标人名称、投标人地址、法定代表人、委托代理人、日期等内容。</w:t>
      </w:r>
    </w:p>
    <w:p w14:paraId="741C5F5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b/>
          <w:color w:val="auto"/>
          <w:sz w:val="24"/>
          <w:szCs w:val="24"/>
          <w:highlight w:val="none"/>
        </w:rPr>
        <w:t>商务文件：（政府采购政策有关材料可选提交；委托代理时必须提交法定代表人授权委托书，否则投标无效；其他文件必须提交，否则投标无效）</w:t>
      </w:r>
    </w:p>
    <w:p w14:paraId="236FB7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（1）响应函：请按给定格式及要求填写。</w:t>
      </w:r>
    </w:p>
    <w:p w14:paraId="3C38852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（2）开标一览表：请按给定格式及要求填写。</w:t>
      </w:r>
    </w:p>
    <w:p w14:paraId="51A1B7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（3）投标产品配置及分项报价表：请按第四章“投标文件格式”提供的“投标产品配置及分项报价表”格式及要求填写。</w:t>
      </w:r>
    </w:p>
    <w:p w14:paraId="29AAFEC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1F1CF4C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（5）资格审查材料：</w:t>
      </w:r>
    </w:p>
    <w:p w14:paraId="4C9DF7E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5B1B758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（6）法定代表人授权委托书：请按给定格式及要求填写。</w:t>
      </w:r>
    </w:p>
    <w:p w14:paraId="348A6A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（7）商务条款偏离表：请按给定格式及要求，并根据投标人投标承诺的商务条件与“合同条款”“合同专用条款表”“项目需求”等的差异填写。</w:t>
      </w:r>
    </w:p>
    <w:p w14:paraId="3C12F6E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w:t>
      </w:r>
      <w:r>
        <w:rPr>
          <w:rFonts w:hint="eastAsia" w:ascii="宋体" w:hAnsi="宋体" w:eastAsia="宋体" w:cs="宋体"/>
          <w:b/>
          <w:color w:val="auto"/>
          <w:sz w:val="24"/>
          <w:szCs w:val="24"/>
          <w:highlight w:val="none"/>
        </w:rPr>
        <w:t>技术文件：</w:t>
      </w:r>
    </w:p>
    <w:p w14:paraId="1B381CA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（1）技术标：可以但不限于技术方案、产品技术资料、招标文件规定的其他文件等，格式自定。</w:t>
      </w:r>
    </w:p>
    <w:p w14:paraId="14A0BA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（2）技术规格偏离表：按第四章“投标文件格式”提供的“技术规格偏离表”的格式及要求，根据投标人投标的货物与“项目需求”相关技术规格要求的差异填写。</w:t>
      </w:r>
    </w:p>
    <w:p w14:paraId="3743AD98">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18.4</w:t>
      </w:r>
      <w:r>
        <w:rPr>
          <w:rFonts w:hint="eastAsia" w:ascii="宋体" w:hAnsi="宋体" w:eastAsia="宋体" w:cs="宋体"/>
          <w:b/>
          <w:color w:val="auto"/>
          <w:sz w:val="24"/>
          <w:szCs w:val="24"/>
          <w:highlight w:val="none"/>
        </w:rPr>
        <w:t>评审因素所需材料：</w:t>
      </w:r>
    </w:p>
    <w:p w14:paraId="617206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如有，请按招标文件要求提供。</w:t>
      </w:r>
    </w:p>
    <w:p w14:paraId="254FE828">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18.5 </w:t>
      </w:r>
      <w:r>
        <w:rPr>
          <w:rFonts w:hint="eastAsia" w:ascii="宋体" w:hAnsi="宋体" w:eastAsia="宋体" w:cs="宋体"/>
          <w:b/>
          <w:color w:val="auto"/>
          <w:sz w:val="24"/>
          <w:szCs w:val="24"/>
          <w:highlight w:val="none"/>
        </w:rPr>
        <w:t>其他材料：</w:t>
      </w:r>
    </w:p>
    <w:p w14:paraId="1520275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如有，请按招标文件要求提供。</w:t>
      </w:r>
    </w:p>
    <w:p w14:paraId="1B7DD0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 生成投标文件</w:t>
      </w:r>
    </w:p>
    <w:p w14:paraId="0DB1C252">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19.1 投标文件应由</w:t>
      </w:r>
      <w:r>
        <w:rPr>
          <w:rFonts w:hint="eastAsia" w:ascii="宋体" w:hAnsi="宋体" w:eastAsia="宋体" w:cs="宋体"/>
          <w:b/>
          <w:color w:val="auto"/>
          <w:sz w:val="24"/>
          <w:szCs w:val="24"/>
          <w:highlight w:val="none"/>
        </w:rPr>
        <w:t>法定代表人或其委托代理人</w:t>
      </w:r>
      <w:r>
        <w:rPr>
          <w:rFonts w:hint="eastAsia" w:ascii="宋体" w:hAnsi="宋体" w:eastAsia="宋体" w:cs="宋体"/>
          <w:b/>
          <w:bCs/>
          <w:color w:val="auto"/>
          <w:sz w:val="24"/>
          <w:szCs w:val="24"/>
          <w:highlight w:val="none"/>
        </w:rPr>
        <w:t>在凡规定签章处逐一签字或盖章并加盖投标人公章（相关内容可以打印、签字、盖章后扫描电子件）或</w:t>
      </w:r>
      <w:r>
        <w:rPr>
          <w:rFonts w:hint="eastAsia" w:ascii="宋体" w:hAnsi="宋体" w:eastAsia="宋体" w:cs="宋体"/>
          <w:b/>
          <w:color w:val="auto"/>
          <w:sz w:val="24"/>
          <w:szCs w:val="24"/>
          <w:highlight w:val="none"/>
        </w:rPr>
        <w:t>使用电子签章</w:t>
      </w:r>
      <w:r>
        <w:rPr>
          <w:rFonts w:hint="eastAsia" w:ascii="宋体" w:hAnsi="宋体" w:eastAsia="宋体" w:cs="宋体"/>
          <w:color w:val="auto"/>
          <w:sz w:val="24"/>
          <w:szCs w:val="24"/>
          <w:highlight w:val="none"/>
        </w:rPr>
        <w:t>，本招标文件所表述的公章是指刻有投标人法定名称的印章，不包括合同、财务、税务、发票等形式的业务专用章。</w:t>
      </w:r>
    </w:p>
    <w:p w14:paraId="6EACD07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电子投标文件不得涂改、行间插字或删除，如出现上述情况应重新编制。</w:t>
      </w:r>
    </w:p>
    <w:p w14:paraId="2CA5C8A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投标文件制作工具生成内容相同、加密与未加密两个版本电子投标文件，加密版本用于提交上传，未加密版本用于特殊情况处理。</w:t>
      </w:r>
    </w:p>
    <w:p w14:paraId="145C48A0">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四、投标文件及样品的提交</w:t>
      </w:r>
    </w:p>
    <w:p w14:paraId="039B45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 投标文件的上传、修改和撤回</w:t>
      </w:r>
    </w:p>
    <w:p w14:paraId="7EE7F1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投标人应当使用投标文件制作工具，生成加密电子投标文件一份，在规定的截止时间前上传，迟于截止时间的</w:t>
      </w:r>
      <w:r>
        <w:rPr>
          <w:rFonts w:hint="eastAsia" w:ascii="宋体" w:hAnsi="宋体" w:eastAsia="宋体" w:cs="宋体"/>
          <w:b/>
          <w:color w:val="auto"/>
          <w:sz w:val="24"/>
          <w:szCs w:val="24"/>
          <w:highlight w:val="none"/>
        </w:rPr>
        <w:t>不予接收</w:t>
      </w:r>
      <w:r>
        <w:rPr>
          <w:rFonts w:hint="eastAsia" w:ascii="宋体" w:hAnsi="宋体" w:eastAsia="宋体" w:cs="宋体"/>
          <w:color w:val="auto"/>
          <w:sz w:val="24"/>
          <w:szCs w:val="24"/>
          <w:highlight w:val="none"/>
        </w:rPr>
        <w:t>。</w:t>
      </w:r>
    </w:p>
    <w:p w14:paraId="38C402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投标人在上传投标文件后可以对其修改或撤回，但这种修改或撤回，必须在规定的投标截止时间前。</w:t>
      </w:r>
    </w:p>
    <w:p w14:paraId="28D55B4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对电子投标文件的修改，投标人可以在投标截止时间前登录电子交易平台撤回文件，并上传新的投标文件，投标文件以最终完成上传的为准。</w:t>
      </w:r>
    </w:p>
    <w:p w14:paraId="52DB1D65">
      <w:pPr>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20.4 投标人不得在投标截止时间后修改投标文件，也不得在投标截止时间起至投标有效期满前撤回投标文件。</w:t>
      </w:r>
    </w:p>
    <w:p w14:paraId="0DDB6C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提交投标样品截止时间和地点</w:t>
      </w:r>
    </w:p>
    <w:p w14:paraId="3A5F6D5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采购项目需要提交样品的，投标人应当于招标文件规定的样品接收截止</w:t>
      </w:r>
      <w:r>
        <w:rPr>
          <w:rFonts w:hint="eastAsia" w:ascii="宋体" w:hAnsi="宋体" w:eastAsia="宋体" w:cs="宋体"/>
          <w:bCs/>
          <w:color w:val="auto"/>
          <w:sz w:val="24"/>
          <w:szCs w:val="24"/>
          <w:highlight w:val="none"/>
        </w:rPr>
        <w:t>时间前将样品送达指定地点并登记完毕，</w:t>
      </w:r>
      <w:r>
        <w:rPr>
          <w:rFonts w:hint="eastAsia" w:ascii="宋体" w:hAnsi="宋体" w:eastAsia="宋体" w:cs="宋体"/>
          <w:b/>
          <w:bCs/>
          <w:color w:val="auto"/>
          <w:sz w:val="24"/>
          <w:szCs w:val="24"/>
          <w:highlight w:val="none"/>
        </w:rPr>
        <w:t>否则不予接收</w:t>
      </w:r>
      <w:r>
        <w:rPr>
          <w:rFonts w:hint="eastAsia" w:ascii="宋体" w:hAnsi="宋体" w:eastAsia="宋体" w:cs="宋体"/>
          <w:color w:val="auto"/>
          <w:sz w:val="24"/>
          <w:szCs w:val="24"/>
          <w:highlight w:val="none"/>
        </w:rPr>
        <w:t>。</w:t>
      </w:r>
    </w:p>
    <w:p w14:paraId="24D5FB1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中标人提供的样品由采购人封存、保管，作为履约验收的参考。未中标人提供的样品，投标人应在中标结果公布后两个工作日内领回，否则按无主物品处理。</w:t>
      </w:r>
    </w:p>
    <w:p w14:paraId="2D475944">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五、开标与评标</w:t>
      </w:r>
    </w:p>
    <w:p w14:paraId="369725E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开标</w:t>
      </w:r>
    </w:p>
    <w:p w14:paraId="291BC84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采购代理机构将在第一章“投标邀请”规定的时间和地点进行开标，投标人的法定代表人或其委托代理人应</w:t>
      </w:r>
      <w:r>
        <w:rPr>
          <w:rFonts w:hint="eastAsia" w:ascii="宋体" w:hAnsi="宋体" w:eastAsia="宋体" w:cs="宋体"/>
          <w:b/>
          <w:color w:val="auto"/>
          <w:sz w:val="24"/>
          <w:szCs w:val="24"/>
          <w:highlight w:val="none"/>
        </w:rPr>
        <w:t>准备身份证件和用于生成、加密和上传电子投标文件的CA数字证书参加开标会</w:t>
      </w:r>
      <w:r>
        <w:rPr>
          <w:rFonts w:hint="eastAsia" w:ascii="宋体" w:hAnsi="宋体" w:eastAsia="宋体" w:cs="宋体"/>
          <w:color w:val="auto"/>
          <w:sz w:val="24"/>
          <w:szCs w:val="24"/>
          <w:highlight w:val="none"/>
        </w:rPr>
        <w:t>。</w:t>
      </w:r>
    </w:p>
    <w:p w14:paraId="2250E1B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线下开标的，供应商必须按规定时间递交CA数字证书，</w:t>
      </w:r>
      <w:r>
        <w:rPr>
          <w:rFonts w:hint="eastAsia" w:ascii="宋体" w:hAnsi="宋体" w:eastAsia="宋体" w:cs="宋体"/>
          <w:b/>
          <w:color w:val="auto"/>
          <w:sz w:val="24"/>
          <w:szCs w:val="24"/>
          <w:highlight w:val="none"/>
        </w:rPr>
        <w:t>超过截止时间的采购代理机构有权拒收，视为放弃投标（响应）和放弃对开标（开启）全过程提出疑义的权利，并承担由此导致的一切后果。</w:t>
      </w:r>
    </w:p>
    <w:p w14:paraId="49632F4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不见面交易的，供应商必须提前登录不见面开标大厅并在投标文件递交截止时间之前完成签到，</w:t>
      </w:r>
      <w:r>
        <w:rPr>
          <w:rFonts w:hint="eastAsia" w:ascii="宋体" w:hAnsi="宋体" w:eastAsia="宋体" w:cs="宋体"/>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64A7CAC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供应商未参加开标会的，视同认可开标结果。</w:t>
      </w:r>
    </w:p>
    <w:p w14:paraId="14A5AC0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开标程序：</w:t>
      </w:r>
    </w:p>
    <w:p w14:paraId="42F0E06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（1）开标会由采购代理机构主持，主持人宣布开标会议开始；</w:t>
      </w:r>
    </w:p>
    <w:p w14:paraId="463DC0B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（2）投标人解密投标文件；</w:t>
      </w:r>
    </w:p>
    <w:p w14:paraId="24C4A94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（3）唱标及勘误：唱标时将当众宣读每份电子投标文件中“开标一览表”的各项内容以及采购代理机构认为有必要宣读的其他内容，唱标顺序按开标系统投标人先后顺序进行；</w:t>
      </w:r>
    </w:p>
    <w:p w14:paraId="368591A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（4）宣布评标期间的有关事项；</w:t>
      </w:r>
    </w:p>
    <w:p w14:paraId="06ED2F7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（5）开标会议结束。</w:t>
      </w:r>
    </w:p>
    <w:p w14:paraId="22DFA07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采购代理机构将做开标记录（包括投标人名称、投标总报价、分标报价、交货期等）。</w:t>
      </w:r>
    </w:p>
    <w:p w14:paraId="15061E8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开标结束后，采购人依法对投标人的资格进行审查。</w:t>
      </w:r>
    </w:p>
    <w:p w14:paraId="5662269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评标</w:t>
      </w:r>
    </w:p>
    <w:p w14:paraId="0E86CF5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成立评标委员会。评标委员会由采购人代表和评审专家组成。</w:t>
      </w:r>
    </w:p>
    <w:p w14:paraId="0D5A086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评标的方式。本采购项目采用不公开方式评标，评标的依据为招标文件和投标文件。</w:t>
      </w:r>
    </w:p>
    <w:p w14:paraId="30E16A2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bCs/>
          <w:color w:val="auto"/>
          <w:sz w:val="24"/>
          <w:szCs w:val="24"/>
          <w:highlight w:val="none"/>
        </w:rPr>
        <w:t>评标工作程序</w:t>
      </w:r>
    </w:p>
    <w:p w14:paraId="042D9E2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（1）评标委员会负责具体评标事务，并独立履行下列职责：</w:t>
      </w:r>
    </w:p>
    <w:p w14:paraId="6FE5A7E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①审查、评价投标文件是否符合招标文件的商务、技术等实质性要求；</w:t>
      </w:r>
    </w:p>
    <w:p w14:paraId="02D53CE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②要求投标人对投标文件有关事项作出澄清或者说明；</w:t>
      </w:r>
    </w:p>
    <w:p w14:paraId="794546D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③对投标文件进行比较和评价（对商务、技术及其他内容的比较和评价结束前，评标委员会不得比较和评价投标报价）；</w:t>
      </w:r>
    </w:p>
    <w:p w14:paraId="054F12D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④确定中标候选人名单，以及根据采购人授权直接确定中标人；</w:t>
      </w:r>
    </w:p>
    <w:p w14:paraId="320C558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⑤向采购人、采购代理机构或者有关部门报告评标中发现的违法行为；</w:t>
      </w:r>
    </w:p>
    <w:p w14:paraId="44C6C93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⑥编写评标报告。</w:t>
      </w:r>
    </w:p>
    <w:p w14:paraId="5C9383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（2）评标委员会对符合资格的投标人的投标文件进行符合性审查，以确定其是否满足招标文件的实质性要求。</w:t>
      </w:r>
    </w:p>
    <w:p w14:paraId="2AE42D8A">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符合性检查</w:t>
      </w:r>
      <w:r>
        <w:rPr>
          <w:rFonts w:hint="eastAsia" w:ascii="宋体" w:hAnsi="宋体" w:eastAsia="宋体" w:cs="宋体"/>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702F990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评标委员会首先审查每份投标文件是否实质性响应了招标文件的要求。实质性响应的投标文件是与招标文件要求的全部实质性条款、条件和规格相符且其余非实质性技术及商务条款没有重大偏离或保留。</w:t>
      </w:r>
    </w:p>
    <w:p w14:paraId="0122AAC1">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所谓重大偏离或保留</w:t>
      </w:r>
      <w:r>
        <w:rPr>
          <w:rFonts w:hint="eastAsia" w:ascii="宋体" w:hAnsi="宋体" w:eastAsia="宋体" w:cs="宋体"/>
          <w:color w:val="auto"/>
          <w:sz w:val="24"/>
          <w:szCs w:val="24"/>
          <w:highlight w:val="none"/>
        </w:rPr>
        <w:t>，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p>
    <w:p w14:paraId="25E6190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评标委员会决定投标文件的响应性仅基于投标文件本身的内容，而不寻求外部证据。</w:t>
      </w:r>
    </w:p>
    <w:p w14:paraId="1DAB6C3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评标委员会将拒绝被确定为非实质性响应的投标人，投标人不能通过修正或撤销不符之处而使其投标成为实质性响应的投标。</w:t>
      </w:r>
    </w:p>
    <w:p w14:paraId="1C753F4D">
      <w:pPr>
        <w:numPr>
          <w:ilvl w:val="0"/>
          <w:numId w:val="2"/>
        </w:num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1BA5E41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23.4启动异常低价投标（响应）审查的情形和具体要求，包括：</w:t>
      </w:r>
    </w:p>
    <w:p w14:paraId="369499D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（1）政府采购评审中出现下列情形之一的，评审委员会应当启动异常低价投标审查程序：</w:t>
      </w:r>
    </w:p>
    <w:p w14:paraId="5A24AE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①投标报价低于全部通过符合性审查供应商投标报价平均值50%的，即投标报价&lt;全部通过符合性审查供应商投标报价平均值×50%；</w:t>
      </w:r>
    </w:p>
    <w:p w14:paraId="484410A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②投标报价低于通过符合性审查的次低报价供应商投标报价50%的，即投标报价&lt;通过符合性审查的次低报价供应商投标报价×50%；</w:t>
      </w:r>
    </w:p>
    <w:p w14:paraId="6F73325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③投标报价低于采购项目最高限价</w:t>
      </w:r>
      <w:r>
        <w:rPr>
          <w:rFonts w:hint="eastAsia" w:ascii="宋体" w:hAnsi="宋体" w:cs="宋体"/>
          <w:color w:val="auto"/>
          <w:sz w:val="24"/>
          <w:szCs w:val="24"/>
          <w:highlight w:val="none"/>
          <w:lang w:val="en-US" w:eastAsia="zh-CN"/>
        </w:rPr>
        <w:t>45</w:t>
      </w:r>
      <w:r>
        <w:rPr>
          <w:rFonts w:hint="eastAsia" w:ascii="宋体" w:hAnsi="宋体" w:eastAsia="宋体" w:cs="宋体"/>
          <w:color w:val="auto"/>
          <w:sz w:val="24"/>
          <w:szCs w:val="24"/>
          <w:highlight w:val="none"/>
        </w:rPr>
        <w:t>%的，即投标报价&lt;采购项目最高限价×</w:t>
      </w:r>
      <w:r>
        <w:rPr>
          <w:rFonts w:hint="eastAsia" w:ascii="宋体" w:hAnsi="宋体" w:cs="宋体"/>
          <w:color w:val="auto"/>
          <w:sz w:val="24"/>
          <w:szCs w:val="24"/>
          <w:highlight w:val="none"/>
          <w:lang w:val="en-US" w:eastAsia="zh-CN"/>
        </w:rPr>
        <w:t>45</w:t>
      </w:r>
      <w:r>
        <w:rPr>
          <w:rFonts w:hint="eastAsia" w:ascii="宋体" w:hAnsi="宋体" w:eastAsia="宋体" w:cs="宋体"/>
          <w:color w:val="auto"/>
          <w:sz w:val="24"/>
          <w:szCs w:val="24"/>
          <w:highlight w:val="none"/>
        </w:rPr>
        <w:t>%；</w:t>
      </w:r>
    </w:p>
    <w:p w14:paraId="6EF3F16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④评审委员会基于专业判断，认为供应商报价过低，有可能影响产品质量或者不能诚信履约的其他情形。</w:t>
      </w:r>
    </w:p>
    <w:p w14:paraId="752F624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审委员会启动异常低价投标审查后，属于前述（1）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3项情形，供应商已随投标文件一并提交相关书面说明及必要的证明材料的，在评审现场可不再重复提交。未设定最高限价的采购项目，以采购项目预算金额作为最高限价。</w:t>
      </w:r>
    </w:p>
    <w:p w14:paraId="4C8714E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26E3B86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9262BC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异常低价投标审查的启动原因、审查意见和审查结果应当在评审报告中记录，并随供应商提供的相关书面说明及证明材料，以及评审委员会有关互联网浏览、查询历史一并归档。</w:t>
      </w:r>
    </w:p>
    <w:p w14:paraId="4B3AF09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评委会将通过“苏采云”系统要求供应商在合理的时间内提供书面说明、证明材料。</w:t>
      </w:r>
    </w:p>
    <w:p w14:paraId="2B17D0B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23.5评标过程的保密</w:t>
      </w:r>
    </w:p>
    <w:p w14:paraId="3DF45BB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02D15E1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投标文件报价出现前后不一致的，按照下列规定修正：</w:t>
      </w:r>
    </w:p>
    <w:p w14:paraId="67509F0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75100CC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69C40E6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0C52167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7F5D8AE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同时出现两种以上不一致的，按照前款规定的顺序修正。修正后的报价按照政府采购有关规定经投标人确认后产生约束力，投标人不确认的，其投标无效。</w:t>
      </w:r>
    </w:p>
    <w:p w14:paraId="0BFC655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w:t>
      </w:r>
      <w:r>
        <w:rPr>
          <w:rFonts w:hint="eastAsia" w:ascii="宋体" w:hAnsi="宋体" w:eastAsia="宋体" w:cs="宋体"/>
          <w:b/>
          <w:color w:val="auto"/>
          <w:sz w:val="24"/>
          <w:szCs w:val="24"/>
          <w:highlight w:val="none"/>
        </w:rPr>
        <w:t>投标人有下列情况之一的，投标无效：</w:t>
      </w:r>
    </w:p>
    <w:p w14:paraId="314F7CF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（1）未按照招标文件的规定提交投标保证金的；</w:t>
      </w:r>
    </w:p>
    <w:p w14:paraId="2801A70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（2）投标文件未按招标文件要求编制、签署、盖章的；</w:t>
      </w:r>
    </w:p>
    <w:p w14:paraId="506C9E7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（3）不具备招标文件中规定的资格要求的；</w:t>
      </w:r>
    </w:p>
    <w:p w14:paraId="24E94A7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（4）报价超过招标文件中规定的预算金额或者最高限价的；</w:t>
      </w:r>
    </w:p>
    <w:p w14:paraId="3EB068A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（5）投标文件含有采购人不能接受的附加条件的；</w:t>
      </w:r>
    </w:p>
    <w:p w14:paraId="5ED916F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（6）未按招标文件要求提供电子投标文件或者电子投标文件未能解密（指投标人自身原因）且按照招标文件明确的投标文件解密失败后补救方案（仅现场开标适用）补救不成功的；</w:t>
      </w:r>
    </w:p>
    <w:p w14:paraId="13E22A5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（7）投标人提交的电子投标文件、投标文件备份U盘（仅现场开标适用）均因其自身原因出现问题导致无法电子评标的；</w:t>
      </w:r>
    </w:p>
    <w:p w14:paraId="3BAB8F0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（8）法律、法规和招标文件规定的其他无效情形。</w:t>
      </w:r>
    </w:p>
    <w:p w14:paraId="708896E8">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26. </w:t>
      </w:r>
      <w:r>
        <w:rPr>
          <w:rFonts w:hint="eastAsia" w:ascii="宋体" w:hAnsi="宋体" w:eastAsia="宋体" w:cs="宋体"/>
          <w:b/>
          <w:color w:val="auto"/>
          <w:sz w:val="24"/>
          <w:szCs w:val="24"/>
          <w:highlight w:val="none"/>
        </w:rPr>
        <w:t>有下列情形之一的，视为投标人串通投标，其投标无效：</w:t>
      </w:r>
    </w:p>
    <w:p w14:paraId="3FFE5B0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5758283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60B3769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（3）不同投标人的投标文件载明的项目管理成员或者联系人员为同一人；</w:t>
      </w:r>
    </w:p>
    <w:p w14:paraId="5B11120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66B85C8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2858EDC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（6）不同投标人的投标保证金从同一单位或者个人的账户转出。</w:t>
      </w:r>
    </w:p>
    <w:p w14:paraId="7E4067E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 </w:t>
      </w:r>
      <w:r>
        <w:rPr>
          <w:rFonts w:hint="eastAsia" w:ascii="宋体" w:hAnsi="宋体" w:eastAsia="宋体" w:cs="宋体"/>
          <w:b/>
          <w:color w:val="auto"/>
          <w:sz w:val="24"/>
          <w:szCs w:val="24"/>
          <w:highlight w:val="none"/>
        </w:rPr>
        <w:t>在招标采购中，出现下列情形之一的，应予废标：</w:t>
      </w:r>
    </w:p>
    <w:p w14:paraId="726262B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（1）符合专业条件的供应商或者对招标文件作实质响应的供应商不足3家的；</w:t>
      </w:r>
    </w:p>
    <w:p w14:paraId="69B8472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71501A1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（3）投标人的报价均超过了采购预算（最高限价），采购人不能支付的；</w:t>
      </w:r>
    </w:p>
    <w:p w14:paraId="4762403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5B8E8CE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 评标原则、评标办法和特殊情况处理</w:t>
      </w:r>
    </w:p>
    <w:p w14:paraId="3435F99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 评标原则</w:t>
      </w:r>
    </w:p>
    <w:p w14:paraId="5AA4F1B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评标委员会应当公平、公正、客观，不带任何倾向性和启发性；不得向外界透露任何与评标有关的内容；任何单位和个人不得干扰、影响评标的正常进行；评标委员会及有关工作人员不得私下与供应商接触。</w:t>
      </w:r>
    </w:p>
    <w:p w14:paraId="3FA3849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 评标办法</w:t>
      </w:r>
    </w:p>
    <w:p w14:paraId="62894FF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详见第七章“评标办法”。</w:t>
      </w:r>
    </w:p>
    <w:p w14:paraId="60B67B5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 现场开标特殊情况处理（采用不见面交易方式招标的本条款不适用）</w:t>
      </w:r>
    </w:p>
    <w:p w14:paraId="400AFDB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因“开评标系统”自身故障，开标活动无法正常进行时，将使用投标文件备份U盘继续进行开标活动。</w:t>
      </w:r>
    </w:p>
    <w:p w14:paraId="4DC5BDC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“开评标系统”自身故障是指非投标人原因造成所有投标人电子投标文件均无法解密的情形，部分投标文件无法解密的，不适用本条款。</w:t>
      </w:r>
    </w:p>
    <w:p w14:paraId="6AA2041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对于不同载体的投标文件，开标、评标及认定顺序为电子投标文件、投标备份U盘，前项不能读取的可按后项评审。</w:t>
      </w:r>
    </w:p>
    <w:p w14:paraId="03656D24">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t>六、中标结果</w:t>
      </w:r>
    </w:p>
    <w:p w14:paraId="3B9D9B1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 中标人的确定</w:t>
      </w:r>
    </w:p>
    <w:p w14:paraId="4CC5C60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评标委员会按照评审得分由高到低顺序推荐3名中标候选人。</w:t>
      </w:r>
    </w:p>
    <w:p w14:paraId="5C98EF4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根据采购人的授权，由评标委员会直接确定排名第一的中标候选人为中标人。</w:t>
      </w:r>
    </w:p>
    <w:p w14:paraId="2375B07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 中标通知书</w:t>
      </w:r>
    </w:p>
    <w:p w14:paraId="7D20870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 中标人确定后，中标结果由采购代理机构公告，中标公告期限为1个工作日。</w:t>
      </w:r>
    </w:p>
    <w:p w14:paraId="139D242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在公告中标结果的同时，由采购代理机构向中标人发出中标通知书，</w:t>
      </w:r>
      <w:r>
        <w:rPr>
          <w:rFonts w:hint="eastAsia" w:ascii="宋体" w:hAnsi="宋体" w:eastAsia="宋体" w:cs="宋体"/>
          <w:b/>
          <w:color w:val="auto"/>
          <w:sz w:val="24"/>
          <w:szCs w:val="24"/>
          <w:highlight w:val="none"/>
        </w:rPr>
        <w:t>中标供应商在领取中标通知书时，需提供伍份与电子投标文件一致的纸质打印投标文件</w:t>
      </w:r>
      <w:r>
        <w:rPr>
          <w:rFonts w:hint="eastAsia" w:ascii="宋体" w:hAnsi="宋体" w:eastAsia="宋体" w:cs="宋体"/>
          <w:color w:val="auto"/>
          <w:sz w:val="24"/>
          <w:szCs w:val="24"/>
          <w:highlight w:val="none"/>
        </w:rPr>
        <w:t>；对未通过资格审查的投标人，应当告知其未通过的原因；采用综合评分法评审的，还应当告知未中标人本人的评审得分与排序。</w:t>
      </w:r>
    </w:p>
    <w:p w14:paraId="5B84D6F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采购代理机构无义务向未中标投标人解释落标原因和退回投标文件。</w:t>
      </w:r>
    </w:p>
    <w:p w14:paraId="1A1B38F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签订合同</w:t>
      </w:r>
    </w:p>
    <w:p w14:paraId="2D8BA3C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0DED2B8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中标人因不可抗力或者自身原因不能履行政府采购合同的，按政府采购有关法律法规执行。</w:t>
      </w:r>
    </w:p>
    <w:p w14:paraId="070B422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履约保证金及质保金</w:t>
      </w:r>
    </w:p>
    <w:p w14:paraId="428F652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履约保证金的数额不得超过政府采购合同金额的10%。中标人应当以支票、汇票、本票或者金融机构、担保机构出具的保函等非现金形式在合同签订前提交。</w:t>
      </w:r>
    </w:p>
    <w:p w14:paraId="2B0F97D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中标人违约的，采购人将按照合同约定扣除其全部或部分履约保证金。如中标人违约给采购人造成的损失超过履约保证金的，应当依法赔偿超过部分的损失。</w:t>
      </w:r>
    </w:p>
    <w:p w14:paraId="0349B63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履约保证金自合同生效之日起至合同约定的中标人主要义务履行完毕止，采购人应当按合同约定及时退还履约保证金。</w:t>
      </w:r>
    </w:p>
    <w:p w14:paraId="2758FCB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 本项目履约保证金要求详见招标文件第五章“合同专用条款表”。</w:t>
      </w:r>
    </w:p>
    <w:p w14:paraId="00264B3C">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32.5 采购人与中标人应按第五章“合同专用条款表”约定质保金，质保期内中标人提供的标的性能、质量和服务符合合同约定，经验收合格，质保期满后该款如数退还（不计利息）。</w:t>
      </w:r>
    </w:p>
    <w:p w14:paraId="52075D6B">
      <w:pPr>
        <w:keepNext/>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b/>
          <w:color w:val="auto"/>
          <w:sz w:val="28"/>
          <w:szCs w:val="20"/>
          <w:highlight w:val="none"/>
        </w:rPr>
        <w:t>七、其他事项</w:t>
      </w:r>
    </w:p>
    <w:p w14:paraId="264B1A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解释权</w:t>
      </w:r>
    </w:p>
    <w:p w14:paraId="465F963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本招标文件根据《中华人民共和国政府采购法》《中华人民共和国政府采购法实施条例》《政府采购货物和服务招标投标管理办法》及相关法律法规编制，解释权归采购代理机构。</w:t>
      </w:r>
    </w:p>
    <w:p w14:paraId="219CE52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有关事宜</w:t>
      </w:r>
    </w:p>
    <w:p w14:paraId="7C0A1C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所有与本招标文件有关的函电和通讯地址见第一章“投标邀请”。</w:t>
      </w:r>
    </w:p>
    <w:p w14:paraId="61AE12F5">
      <w:pPr>
        <w:keepNext/>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b/>
          <w:color w:val="auto"/>
          <w:sz w:val="28"/>
          <w:szCs w:val="20"/>
          <w:highlight w:val="none"/>
        </w:rPr>
        <w:t>八、政策功能</w:t>
      </w:r>
    </w:p>
    <w:p w14:paraId="6A85FEFC">
      <w:pPr>
        <w:spacing w:line="360" w:lineRule="auto"/>
        <w:ind w:firstLine="48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rPr>
        <w:t>35.促进中小企业发展</w:t>
      </w:r>
    </w:p>
    <w:p w14:paraId="31FC11C2">
      <w:pPr>
        <w:pageBreakBefore w:val="0"/>
        <w:widowControl w:val="0"/>
        <w:spacing w:line="46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35.1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486CAEE2">
      <w:pPr>
        <w:pageBreakBefore w:val="0"/>
        <w:widowControl w:val="0"/>
        <w:spacing w:line="46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 参加本项目政府采购活动的供应商应当提供的材料： </w:t>
      </w:r>
    </w:p>
    <w:p w14:paraId="70B3A38C">
      <w:pPr>
        <w:pageBreakBefore w:val="0"/>
        <w:widowControl w:val="0"/>
        <w:spacing w:line="46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（1）投标人提供的货物全部由中型企业、小型企业、微型企业制造的，提供《中小企业声明函》（第四章 投标文件格式）。</w:t>
      </w:r>
    </w:p>
    <w:p w14:paraId="1BECE3F0">
      <w:pPr>
        <w:pageBreakBefore w:val="0"/>
        <w:widowControl w:val="0"/>
        <w:spacing w:line="46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（2）符合《关于促进残疾人就业政府采购政策的通知》（财库〔2017〕141号）规定的条件并提供《残疾人福利性单位声明函》（第四章 响应文件格式）的残疾人福利性单位视同小型、微型企业。</w:t>
      </w:r>
    </w:p>
    <w:p w14:paraId="5B8FF2B4">
      <w:pPr>
        <w:pageBreakBefore w:val="0"/>
        <w:widowControl w:val="0"/>
        <w:spacing w:line="46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符合《关于政府采购支持监狱企业发展有关问题的通知》（财库〔2014〕68号）规定的监狱企业并提供省级以上监狱管理局、戒毒管理局（含新疆生产建设兵团）出具的属于监狱企业证明文件的，视同小型、微型企业。</w:t>
      </w:r>
    </w:p>
    <w:p w14:paraId="18279F95">
      <w:pPr>
        <w:pageBreakBefore w:val="0"/>
        <w:widowControl w:val="0"/>
        <w:spacing w:line="480" w:lineRule="exac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35.3 享受扶持政策获得政府采购合同的，小微型企业不得将合同分包给大中型企业，中型企业不得将合同分包给大型企业</w:t>
      </w:r>
      <w:r>
        <w:rPr>
          <w:rFonts w:hint="eastAsia" w:ascii="宋体" w:hAnsi="宋体" w:eastAsia="宋体" w:cs="宋体"/>
          <w:color w:val="auto"/>
          <w:sz w:val="24"/>
          <w:szCs w:val="24"/>
          <w:highlight w:val="none"/>
        </w:rPr>
        <w:t>。</w:t>
      </w:r>
    </w:p>
    <w:p w14:paraId="6E1E2AC8">
      <w:pPr>
        <w:spacing w:line="360" w:lineRule="auto"/>
        <w:ind w:firstLine="480"/>
        <w:rPr>
          <w:rFonts w:hint="eastAsia" w:ascii="宋体" w:hAnsi="宋体" w:eastAsia="宋体" w:cs="宋体"/>
          <w:color w:val="auto"/>
          <w:sz w:val="24"/>
          <w:szCs w:val="24"/>
          <w:highlight w:val="none"/>
        </w:rPr>
      </w:pPr>
      <w:r>
        <w:rPr>
          <w:rFonts w:hint="eastAsia"/>
          <w:b/>
          <w:bCs/>
          <w:color w:val="auto"/>
          <w:sz w:val="24"/>
          <w:szCs w:val="24"/>
          <w:highlight w:val="none"/>
        </w:rPr>
        <w:t>注:中小企业声明函需</w:t>
      </w:r>
      <w:r>
        <w:rPr>
          <w:rFonts w:hint="eastAsia" w:ascii="Times New Roman" w:eastAsia="宋体"/>
          <w:b/>
          <w:bCs/>
          <w:color w:val="auto"/>
          <w:sz w:val="24"/>
          <w:szCs w:val="24"/>
          <w:highlight w:val="none"/>
        </w:rPr>
        <w:t>对</w:t>
      </w:r>
      <w:r>
        <w:rPr>
          <w:rFonts w:hint="eastAsia"/>
          <w:b/>
          <w:bCs/>
          <w:color w:val="auto"/>
          <w:sz w:val="24"/>
          <w:szCs w:val="24"/>
          <w:highlight w:val="none"/>
        </w:rPr>
        <w:t>货物（标的）采购清单</w:t>
      </w:r>
      <w:r>
        <w:rPr>
          <w:rFonts w:hint="eastAsia" w:ascii="Times New Roman" w:eastAsia="宋体"/>
          <w:b/>
          <w:bCs/>
          <w:color w:val="auto"/>
          <w:sz w:val="24"/>
          <w:szCs w:val="24"/>
          <w:highlight w:val="none"/>
        </w:rPr>
        <w:t>中所列序号及</w:t>
      </w:r>
      <w:r>
        <w:rPr>
          <w:rFonts w:hint="eastAsia" w:ascii="宋体" w:hAnsi="宋体" w:eastAsia="宋体" w:cs="Helvetica"/>
          <w:b/>
          <w:bCs/>
          <w:color w:val="auto"/>
          <w:sz w:val="24"/>
          <w:szCs w:val="24"/>
          <w:highlight w:val="none"/>
        </w:rPr>
        <w:t>名称</w:t>
      </w:r>
      <w:r>
        <w:rPr>
          <w:rFonts w:hint="eastAsia"/>
          <w:b/>
          <w:bCs/>
          <w:color w:val="auto"/>
          <w:sz w:val="24"/>
          <w:szCs w:val="24"/>
          <w:highlight w:val="none"/>
        </w:rPr>
        <w:t>逐条响应。</w:t>
      </w:r>
    </w:p>
    <w:p w14:paraId="317DE6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 支持绿色发展</w:t>
      </w:r>
    </w:p>
    <w:p w14:paraId="4964A6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 </w:t>
      </w:r>
      <w:r>
        <w:rPr>
          <w:rFonts w:hint="eastAsia" w:ascii="Times New Roman" w:hAnsi="Times New Roman" w:eastAsia="宋体" w:cs="宋体"/>
          <w:color w:val="auto"/>
          <w:sz w:val="24"/>
          <w:szCs w:val="24"/>
          <w:highlight w:val="none"/>
        </w:rPr>
        <w:t>本项目执行《关于印发环境标志产品政府采购品目清单的通知》（财库〔</w:t>
      </w:r>
      <w:r>
        <w:rPr>
          <w:rFonts w:ascii="Times New Roman" w:hAnsi="Times New Roman" w:eastAsia="宋体" w:cs="Times New Roman"/>
          <w:color w:val="auto"/>
          <w:sz w:val="24"/>
          <w:szCs w:val="24"/>
          <w:highlight w:val="none"/>
        </w:rPr>
        <w:t>2019</w:t>
      </w:r>
      <w:r>
        <w:rPr>
          <w:rFonts w:hint="eastAsia" w:ascii="Times New Roman" w:hAnsi="Times New Roman" w:eastAsia="宋体" w:cs="宋体"/>
          <w:color w:val="auto"/>
          <w:sz w:val="24"/>
          <w:szCs w:val="24"/>
          <w:highlight w:val="none"/>
        </w:rPr>
        <w:t>〕</w:t>
      </w:r>
      <w:r>
        <w:rPr>
          <w:rFonts w:ascii="Times New Roman" w:hAnsi="Times New Roman" w:eastAsia="宋体" w:cs="Times New Roman"/>
          <w:color w:val="auto"/>
          <w:sz w:val="24"/>
          <w:szCs w:val="24"/>
          <w:highlight w:val="none"/>
        </w:rPr>
        <w:t>18</w:t>
      </w:r>
      <w:r>
        <w:rPr>
          <w:rFonts w:hint="eastAsia" w:ascii="Times New Roman" w:hAnsi="Times New Roman" w:eastAsia="宋体" w:cs="宋体"/>
          <w:color w:val="auto"/>
          <w:sz w:val="24"/>
          <w:szCs w:val="24"/>
          <w:highlight w:val="none"/>
        </w:rPr>
        <w:t>号）、《关于印发节能产品政府采购品目清单的通知》（财库〔</w:t>
      </w:r>
      <w:r>
        <w:rPr>
          <w:rFonts w:ascii="Times New Roman" w:hAnsi="Times New Roman" w:eastAsia="宋体" w:cs="Times New Roman"/>
          <w:color w:val="auto"/>
          <w:sz w:val="24"/>
          <w:szCs w:val="24"/>
          <w:highlight w:val="none"/>
        </w:rPr>
        <w:t>2019</w:t>
      </w:r>
      <w:r>
        <w:rPr>
          <w:rFonts w:hint="eastAsia" w:ascii="Times New Roman" w:hAnsi="Times New Roman" w:eastAsia="宋体" w:cs="宋体"/>
          <w:color w:val="auto"/>
          <w:sz w:val="24"/>
          <w:szCs w:val="24"/>
          <w:highlight w:val="none"/>
        </w:rPr>
        <w:t>〕</w:t>
      </w:r>
      <w:r>
        <w:rPr>
          <w:rFonts w:ascii="Times New Roman" w:hAnsi="Times New Roman" w:eastAsia="宋体" w:cs="Times New Roman"/>
          <w:color w:val="auto"/>
          <w:sz w:val="24"/>
          <w:szCs w:val="24"/>
          <w:highlight w:val="none"/>
        </w:rPr>
        <w:t>19</w:t>
      </w:r>
      <w:r>
        <w:rPr>
          <w:rFonts w:hint="eastAsia" w:ascii="Times New Roman" w:hAnsi="Times New Roman" w:eastAsia="宋体" w:cs="宋体"/>
          <w:color w:val="auto"/>
          <w:sz w:val="24"/>
          <w:szCs w:val="24"/>
          <w:highlight w:val="none"/>
        </w:rPr>
        <w:t>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3984CF9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w:t>
      </w:r>
      <w:r>
        <w:rPr>
          <w:rFonts w:hint="eastAsia" w:ascii="Times New Roman" w:hAnsi="Times New Roman" w:eastAsia="宋体" w:cs="宋体"/>
          <w:color w:val="auto"/>
          <w:sz w:val="24"/>
          <w:szCs w:val="24"/>
          <w:highlight w:val="none"/>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051BA2E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 政府采购项目执行《财政部 生态环境部 工业和信息化部关于印发&lt;绿色数据中心政府采购需求标准（试行）&gt;的通知》（财库〔2023〕7号）相关要求。</w:t>
      </w:r>
    </w:p>
    <w:p w14:paraId="13C2B509">
      <w:pPr>
        <w:spacing w:line="360" w:lineRule="auto"/>
        <w:ind w:firstLine="480"/>
        <w:rPr>
          <w:rFonts w:hint="eastAsia" w:ascii="Times New Roman" w:hAnsi="Times New Roman" w:eastAsia="宋体" w:cs="宋体"/>
          <w:color w:val="auto"/>
          <w:sz w:val="24"/>
          <w:szCs w:val="24"/>
          <w:highlight w:val="none"/>
        </w:rPr>
      </w:pPr>
      <w:r>
        <w:rPr>
          <w:rFonts w:hint="eastAsia" w:ascii="宋体" w:hAnsi="宋体" w:eastAsia="宋体" w:cs="宋体"/>
          <w:color w:val="auto"/>
          <w:sz w:val="24"/>
          <w:szCs w:val="24"/>
          <w:highlight w:val="none"/>
        </w:rPr>
        <w:t xml:space="preserve">40. </w:t>
      </w:r>
      <w:r>
        <w:rPr>
          <w:rFonts w:hint="eastAsia" w:ascii="Times New Roman" w:hAnsi="Times New Roman" w:eastAsia="宋体" w:cs="宋体"/>
          <w:color w:val="auto"/>
          <w:sz w:val="24"/>
          <w:szCs w:val="24"/>
          <w:highlight w:val="none"/>
        </w:rPr>
        <w:t>落实挥发性有机化合物（</w:t>
      </w:r>
      <w:r>
        <w:rPr>
          <w:rFonts w:ascii="Times New Roman" w:hAnsi="Times New Roman" w:eastAsia="宋体" w:cs="Times New Roman"/>
          <w:color w:val="auto"/>
          <w:sz w:val="24"/>
          <w:szCs w:val="24"/>
          <w:highlight w:val="none"/>
        </w:rPr>
        <w:t>VOCs</w:t>
      </w:r>
      <w:r>
        <w:rPr>
          <w:rFonts w:hint="eastAsia" w:ascii="Times New Roman" w:hAnsi="Times New Roman" w:eastAsia="宋体" w:cs="宋体"/>
          <w:color w:val="auto"/>
          <w:sz w:val="24"/>
          <w:szCs w:val="24"/>
          <w:highlight w:val="none"/>
        </w:rPr>
        <w:t>）治理要求，政府采购项目中涉及涂料、胶黏剂、油墨、清洗剂等挥发性有机物产品的，属于强制性标准的，投标人须执行国家和我省</w:t>
      </w:r>
      <w:r>
        <w:rPr>
          <w:rFonts w:ascii="Times New Roman" w:hAnsi="Times New Roman" w:eastAsia="宋体" w:cs="Times New Roman"/>
          <w:color w:val="auto"/>
          <w:sz w:val="24"/>
          <w:szCs w:val="24"/>
          <w:highlight w:val="none"/>
        </w:rPr>
        <w:t xml:space="preserve"> VOCs</w:t>
      </w:r>
      <w:r>
        <w:rPr>
          <w:rFonts w:hint="eastAsia" w:ascii="Times New Roman" w:hAnsi="Times New Roman" w:eastAsia="宋体" w:cs="宋体"/>
          <w:color w:val="auto"/>
          <w:sz w:val="24"/>
          <w:szCs w:val="24"/>
          <w:highlight w:val="none"/>
        </w:rPr>
        <w:t>含量限制标准；投标人优先使用低挥发性原辅材料，将使用低</w:t>
      </w:r>
      <w:r>
        <w:rPr>
          <w:rFonts w:ascii="Times New Roman" w:hAnsi="Times New Roman" w:eastAsia="宋体" w:cs="Times New Roman"/>
          <w:color w:val="auto"/>
          <w:sz w:val="24"/>
          <w:szCs w:val="24"/>
          <w:highlight w:val="none"/>
        </w:rPr>
        <w:t xml:space="preserve"> VOCs </w:t>
      </w:r>
      <w:r>
        <w:rPr>
          <w:rFonts w:hint="eastAsia" w:ascii="Times New Roman" w:hAnsi="Times New Roman" w:eastAsia="宋体" w:cs="宋体"/>
          <w:color w:val="auto"/>
          <w:sz w:val="24"/>
          <w:szCs w:val="24"/>
          <w:highlight w:val="none"/>
        </w:rPr>
        <w:t>含量的涂料、胶黏剂等纳入政府采购合同条款。</w:t>
      </w:r>
    </w:p>
    <w:p w14:paraId="458AEE7E">
      <w:pPr>
        <w:spacing w:line="360" w:lineRule="auto"/>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41</w:t>
      </w:r>
      <w:r>
        <w:rPr>
          <w:rFonts w:hint="eastAsia" w:ascii="Times New Roman" w:hAnsi="Times New Roman" w:eastAsia="宋体" w:cs="宋体"/>
          <w:color w:val="auto"/>
          <w:sz w:val="24"/>
          <w:szCs w:val="24"/>
          <w:highlight w:val="none"/>
        </w:rPr>
        <w:t>.采购本国产品的支持政策</w:t>
      </w:r>
    </w:p>
    <w:p w14:paraId="1AFD7431">
      <w:pPr>
        <w:spacing w:line="360" w:lineRule="auto"/>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41</w:t>
      </w:r>
      <w:r>
        <w:rPr>
          <w:rFonts w:hint="eastAsia" w:ascii="Times New Roman" w:hAnsi="Times New Roman" w:eastAsia="宋体" w:cs="宋体"/>
          <w:color w:val="auto"/>
          <w:sz w:val="24"/>
          <w:szCs w:val="24"/>
          <w:highlight w:val="none"/>
        </w:rPr>
        <w:t>.1本项目政府采购活动中既有本国产品又有非本国产品参与竞争的，依法对本国产品给予价格评审优惠，对本国产品的报价给予20%的价格扣除，用扣除后的价格参与评审。</w:t>
      </w:r>
    </w:p>
    <w:p w14:paraId="5BF57ACD">
      <w:pPr>
        <w:spacing w:line="360" w:lineRule="auto"/>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41</w:t>
      </w:r>
      <w:r>
        <w:rPr>
          <w:rFonts w:hint="eastAsia" w:ascii="Times New Roman" w:hAnsi="Times New Roman" w:eastAsia="宋体" w:cs="宋体"/>
          <w:color w:val="auto"/>
          <w:sz w:val="24"/>
          <w:szCs w:val="24"/>
          <w:highlight w:val="none"/>
        </w:rPr>
        <w:t>.2当采购项目或者采购包中含有多种产品，供应商为该采购项目或者采购包提供的符合本国产品标准的产品成本之和占该供应商提供的全部产品成本之和的比例达到80%以上时（供应商需在“第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Times New Roman" w:hAnsi="Times New Roman" w:eastAsia="宋体" w:cs="宋体"/>
          <w:color w:val="auto"/>
          <w:sz w:val="24"/>
          <w:szCs w:val="24"/>
          <w:highlight w:val="none"/>
          <w:lang w:val="en-US" w:eastAsia="zh-CN"/>
        </w:rPr>
        <w:t>四</w:t>
      </w:r>
      <w:r>
        <w:rPr>
          <w:rFonts w:hint="eastAsia" w:ascii="Times New Roman" w:hAnsi="Times New Roman" w:eastAsia="宋体" w:cs="宋体"/>
          <w:color w:val="auto"/>
          <w:sz w:val="24"/>
          <w:szCs w:val="24"/>
          <w:highlight w:val="none"/>
        </w:rPr>
        <w:t>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6E72840">
      <w:pPr>
        <w:spacing w:line="360" w:lineRule="auto"/>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41</w:t>
      </w:r>
      <w:r>
        <w:rPr>
          <w:rFonts w:hint="eastAsia" w:ascii="Times New Roman" w:hAnsi="Times New Roman" w:eastAsia="宋体" w:cs="宋体"/>
          <w:color w:val="auto"/>
          <w:sz w:val="24"/>
          <w:szCs w:val="24"/>
          <w:highlight w:val="none"/>
        </w:rPr>
        <w:t>.3供应商需按照招标文件的要求提供《关于符合本国产品标准的声明函》（以下简称《声明函》），如不提供将不享受本国产品价格评审优惠。</w:t>
      </w:r>
    </w:p>
    <w:p w14:paraId="373D92DF">
      <w:pPr>
        <w:spacing w:line="360" w:lineRule="auto"/>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41</w:t>
      </w:r>
      <w:r>
        <w:rPr>
          <w:rFonts w:hint="eastAsia" w:ascii="Times New Roman" w:hAnsi="Times New Roman" w:eastAsia="宋体" w:cs="宋体"/>
          <w:color w:val="auto"/>
          <w:sz w:val="24"/>
          <w:szCs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778B688">
      <w:pPr>
        <w:spacing w:line="360" w:lineRule="auto"/>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41</w:t>
      </w:r>
      <w:r>
        <w:rPr>
          <w:rFonts w:hint="eastAsia" w:ascii="Times New Roman" w:hAnsi="Times New Roman" w:eastAsia="宋体" w:cs="宋体"/>
          <w:color w:val="auto"/>
          <w:sz w:val="24"/>
          <w:szCs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B11306B">
      <w:pPr>
        <w:spacing w:line="360" w:lineRule="auto"/>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41</w:t>
      </w:r>
      <w:r>
        <w:rPr>
          <w:rFonts w:hint="eastAsia" w:ascii="Times New Roman" w:hAnsi="Times New Roman" w:eastAsia="宋体" w:cs="宋体"/>
          <w:color w:val="auto"/>
          <w:sz w:val="24"/>
          <w:szCs w:val="24"/>
          <w:highlight w:val="none"/>
        </w:rPr>
        <w:t>.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23D4358">
      <w:pPr>
        <w:spacing w:line="360" w:lineRule="auto"/>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41</w:t>
      </w:r>
      <w:r>
        <w:rPr>
          <w:rFonts w:hint="eastAsia" w:ascii="Times New Roman" w:hAnsi="Times New Roman" w:eastAsia="宋体" w:cs="宋体"/>
          <w:color w:val="auto"/>
          <w:sz w:val="24"/>
          <w:szCs w:val="24"/>
          <w:highlight w:val="none"/>
        </w:rPr>
        <w:t>.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A4C723C">
      <w:pPr>
        <w:pStyle w:val="2"/>
        <w:numPr>
          <w:ilvl w:val="0"/>
          <w:numId w:val="0"/>
        </w:numPr>
        <w:rPr>
          <w:rFonts w:hint="eastAsia" w:ascii="宋体" w:hAnsi="宋体" w:eastAsia="宋体" w:cs="宋体"/>
          <w:color w:val="auto"/>
          <w:sz w:val="44"/>
          <w:szCs w:val="24"/>
          <w:highlight w:val="none"/>
        </w:rPr>
      </w:pPr>
      <w:r>
        <w:rPr>
          <w:rFonts w:hint="eastAsia" w:ascii="宋体" w:hAnsi="宋体" w:eastAsia="宋体" w:cs="宋体"/>
          <w:color w:val="auto"/>
          <w:highlight w:val="none"/>
        </w:rPr>
        <w:br w:type="page" w:clear="all"/>
      </w:r>
      <w:bookmarkStart w:id="7" w:name="_Toc513622228"/>
      <w:bookmarkStart w:id="8" w:name="_Toc150765436"/>
      <w:bookmarkStart w:id="9" w:name="_Toc139966427"/>
      <w:bookmarkStart w:id="10" w:name="_Toc139967211"/>
      <w:r>
        <w:rPr>
          <w:rFonts w:hint="eastAsia" w:ascii="宋体" w:hAnsi="宋体" w:eastAsia="宋体" w:cs="宋体"/>
          <w:color w:val="auto"/>
          <w:highlight w:val="none"/>
        </w:rPr>
        <w:t>第三章政府采购合同格式</w:t>
      </w:r>
      <w:bookmarkEnd w:id="7"/>
      <w:bookmarkEnd w:id="8"/>
      <w:bookmarkEnd w:id="9"/>
      <w:bookmarkEnd w:id="10"/>
    </w:p>
    <w:p w14:paraId="68F524B7">
      <w:pPr>
        <w:spacing w:line="360" w:lineRule="auto"/>
        <w:ind w:firstLine="880"/>
        <w:rPr>
          <w:rFonts w:hint="eastAsia" w:ascii="宋体" w:hAnsi="宋体" w:eastAsia="宋体" w:cs="宋体"/>
          <w:color w:val="auto"/>
          <w:sz w:val="44"/>
          <w:szCs w:val="24"/>
          <w:highlight w:val="none"/>
        </w:rPr>
      </w:pPr>
    </w:p>
    <w:p w14:paraId="3B479015">
      <w:pPr>
        <w:spacing w:line="360" w:lineRule="auto"/>
        <w:ind w:firstLine="2078"/>
        <w:rPr>
          <w:rFonts w:hint="eastAsia" w:ascii="宋体" w:hAnsi="宋体" w:eastAsia="宋体" w:cs="宋体"/>
          <w:b/>
          <w:bCs/>
          <w:color w:val="auto"/>
          <w:sz w:val="52"/>
          <w:szCs w:val="24"/>
          <w:highlight w:val="none"/>
        </w:rPr>
      </w:pPr>
      <w:r>
        <w:rPr>
          <w:rFonts w:hint="eastAsia" w:ascii="宋体" w:hAnsi="宋体" w:eastAsia="宋体" w:cs="宋体"/>
          <w:b/>
          <w:bCs/>
          <w:color w:val="auto"/>
          <w:sz w:val="52"/>
          <w:szCs w:val="24"/>
          <w:highlight w:val="none"/>
        </w:rPr>
        <w:t>连 云 港 市 政 府 采 购</w:t>
      </w:r>
    </w:p>
    <w:p w14:paraId="75E261B7">
      <w:pPr>
        <w:spacing w:line="360" w:lineRule="auto"/>
        <w:ind w:firstLine="420"/>
        <w:rPr>
          <w:rFonts w:hint="eastAsia" w:ascii="宋体" w:hAnsi="宋体" w:eastAsia="宋体" w:cs="宋体"/>
          <w:color w:val="auto"/>
          <w:szCs w:val="24"/>
          <w:highlight w:val="none"/>
        </w:rPr>
      </w:pPr>
    </w:p>
    <w:p w14:paraId="2A41B3BA">
      <w:pPr>
        <w:spacing w:line="360" w:lineRule="auto"/>
        <w:ind w:firstLine="883"/>
        <w:jc w:val="center"/>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合同</w:t>
      </w:r>
    </w:p>
    <w:p w14:paraId="2014CE55">
      <w:pPr>
        <w:spacing w:line="360" w:lineRule="auto"/>
        <w:ind w:firstLine="420"/>
        <w:rPr>
          <w:rFonts w:hint="eastAsia" w:ascii="宋体" w:hAnsi="宋体" w:eastAsia="宋体" w:cs="宋体"/>
          <w:color w:val="auto"/>
          <w:szCs w:val="24"/>
          <w:highlight w:val="none"/>
        </w:rPr>
      </w:pPr>
    </w:p>
    <w:p w14:paraId="4D752F91">
      <w:pPr>
        <w:spacing w:line="360" w:lineRule="auto"/>
        <w:ind w:firstLine="3507"/>
        <w:rPr>
          <w:rFonts w:hint="eastAsia" w:ascii="宋体" w:hAnsi="宋体" w:eastAsia="宋体" w:cs="宋体"/>
          <w:b/>
          <w:bCs/>
          <w:color w:val="auto"/>
          <w:sz w:val="44"/>
          <w:szCs w:val="24"/>
          <w:highlight w:val="none"/>
        </w:rPr>
      </w:pPr>
    </w:p>
    <w:p w14:paraId="5BAA752D">
      <w:pPr>
        <w:spacing w:line="360" w:lineRule="auto"/>
        <w:ind w:firstLine="3507"/>
        <w:rPr>
          <w:rFonts w:hint="eastAsia" w:ascii="宋体" w:hAnsi="宋体" w:eastAsia="宋体" w:cs="宋体"/>
          <w:b/>
          <w:bCs/>
          <w:color w:val="auto"/>
          <w:sz w:val="44"/>
          <w:szCs w:val="24"/>
          <w:highlight w:val="none"/>
        </w:rPr>
      </w:pPr>
    </w:p>
    <w:p w14:paraId="39994090">
      <w:pPr>
        <w:spacing w:line="360" w:lineRule="auto"/>
        <w:ind w:firstLine="3507"/>
        <w:rPr>
          <w:rFonts w:hint="eastAsia" w:ascii="宋体" w:hAnsi="宋体" w:eastAsia="宋体" w:cs="宋体"/>
          <w:b/>
          <w:bCs/>
          <w:color w:val="auto"/>
          <w:sz w:val="44"/>
          <w:szCs w:val="24"/>
          <w:highlight w:val="none"/>
        </w:rPr>
      </w:pPr>
    </w:p>
    <w:p w14:paraId="107CCD4E">
      <w:pPr>
        <w:spacing w:line="360" w:lineRule="auto"/>
        <w:ind w:firstLine="1802"/>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合同编号：</w:t>
      </w:r>
    </w:p>
    <w:p w14:paraId="3FA80A52">
      <w:pPr>
        <w:spacing w:line="360" w:lineRule="auto"/>
        <w:ind w:firstLine="880"/>
        <w:rPr>
          <w:rFonts w:hint="eastAsia" w:ascii="宋体" w:hAnsi="宋体" w:eastAsia="宋体" w:cs="宋体"/>
          <w:color w:val="auto"/>
          <w:sz w:val="44"/>
          <w:szCs w:val="24"/>
          <w:highlight w:val="none"/>
        </w:rPr>
      </w:pPr>
    </w:p>
    <w:p w14:paraId="011D0C3C">
      <w:pPr>
        <w:spacing w:line="360" w:lineRule="auto"/>
        <w:ind w:firstLine="880"/>
        <w:rPr>
          <w:rFonts w:hint="eastAsia" w:ascii="宋体" w:hAnsi="宋体" w:eastAsia="宋体" w:cs="宋体"/>
          <w:color w:val="auto"/>
          <w:sz w:val="44"/>
          <w:szCs w:val="24"/>
          <w:highlight w:val="none"/>
        </w:rPr>
      </w:pPr>
    </w:p>
    <w:p w14:paraId="449322AF">
      <w:pPr>
        <w:spacing w:line="360" w:lineRule="auto"/>
        <w:ind w:firstLine="880"/>
        <w:rPr>
          <w:rFonts w:hint="eastAsia" w:ascii="宋体" w:hAnsi="宋体" w:eastAsia="宋体" w:cs="宋体"/>
          <w:color w:val="auto"/>
          <w:sz w:val="44"/>
          <w:szCs w:val="24"/>
          <w:highlight w:val="none"/>
        </w:rPr>
      </w:pPr>
    </w:p>
    <w:p w14:paraId="6B4A4DA8">
      <w:pPr>
        <w:spacing w:line="360" w:lineRule="auto"/>
        <w:ind w:firstLine="1758"/>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采购人：</w:t>
      </w:r>
    </w:p>
    <w:p w14:paraId="720558EE">
      <w:pPr>
        <w:spacing w:line="360" w:lineRule="auto"/>
        <w:ind w:firstLine="1758"/>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中标人：</w:t>
      </w:r>
    </w:p>
    <w:p w14:paraId="769E4A9C">
      <w:pPr>
        <w:pStyle w:val="267"/>
        <w:spacing w:line="360" w:lineRule="auto"/>
        <w:rPr>
          <w:rFonts w:hint="eastAsia" w:eastAsia="宋体" w:cs="宋体"/>
          <w:b/>
          <w:bCs/>
          <w:color w:val="auto"/>
          <w:sz w:val="44"/>
          <w:szCs w:val="24"/>
          <w:highlight w:val="none"/>
        </w:rPr>
      </w:pPr>
    </w:p>
    <w:p w14:paraId="29841B88">
      <w:pPr>
        <w:spacing w:line="360" w:lineRule="auto"/>
        <w:ind w:firstLine="560"/>
        <w:rPr>
          <w:rFonts w:hint="eastAsia" w:ascii="宋体" w:hAnsi="宋体" w:eastAsia="宋体" w:cs="宋体"/>
          <w:color w:val="auto"/>
          <w:sz w:val="28"/>
          <w:szCs w:val="24"/>
          <w:highlight w:val="none"/>
        </w:rPr>
      </w:pPr>
      <w:r>
        <w:rPr>
          <w:rFonts w:hint="eastAsia" w:ascii="宋体" w:hAnsi="宋体" w:eastAsia="宋体" w:cs="宋体"/>
          <w:b/>
          <w:bCs/>
          <w:color w:val="auto"/>
          <w:sz w:val="24"/>
          <w:highlight w:val="none"/>
        </w:rPr>
        <w:t>以下为中标后签订本项目合同的通用条款，中标供应商不得提出实质性的修改，关于专用条款将由采购人与中标供应商结合本项目具体情况协商后签订。</w:t>
      </w:r>
    </w:p>
    <w:p w14:paraId="383B9D63">
      <w:pPr>
        <w:spacing w:line="360" w:lineRule="auto"/>
        <w:ind w:firstLine="643"/>
        <w:jc w:val="center"/>
        <w:rPr>
          <w:rFonts w:hint="eastAsia" w:ascii="宋体" w:hAnsi="宋体" w:eastAsia="宋体" w:cs="宋体"/>
          <w:b/>
          <w:color w:val="auto"/>
          <w:sz w:val="32"/>
          <w:szCs w:val="32"/>
          <w:highlight w:val="none"/>
        </w:rPr>
      </w:pPr>
    </w:p>
    <w:p w14:paraId="1A5E63CC">
      <w:pPr>
        <w:spacing w:line="360" w:lineRule="auto"/>
        <w:ind w:firstLine="643"/>
        <w:jc w:val="center"/>
        <w:rPr>
          <w:rFonts w:hint="eastAsia" w:ascii="宋体" w:hAnsi="宋体" w:eastAsia="宋体" w:cs="宋体"/>
          <w:bCs/>
          <w:color w:val="auto"/>
          <w:szCs w:val="24"/>
          <w:highlight w:val="none"/>
        </w:rPr>
      </w:pPr>
      <w:r>
        <w:rPr>
          <w:rFonts w:hint="eastAsia" w:ascii="宋体" w:hAnsi="宋体" w:eastAsia="宋体" w:cs="宋体"/>
          <w:b/>
          <w:color w:val="auto"/>
          <w:sz w:val="32"/>
          <w:szCs w:val="32"/>
          <w:highlight w:val="none"/>
        </w:rPr>
        <w:t>连云港市政府采购合同</w:t>
      </w:r>
    </w:p>
    <w:p w14:paraId="6AA5AE27">
      <w:pPr>
        <w:spacing w:line="360" w:lineRule="auto"/>
        <w:ind w:firstLine="643"/>
        <w:jc w:val="center"/>
        <w:rPr>
          <w:rFonts w:hint="eastAsia" w:ascii="宋体" w:hAnsi="宋体" w:eastAsia="宋体" w:cs="宋体"/>
          <w:b/>
          <w:color w:val="auto"/>
          <w:sz w:val="32"/>
          <w:szCs w:val="20"/>
          <w:highlight w:val="none"/>
        </w:rPr>
      </w:pPr>
    </w:p>
    <w:p w14:paraId="4B90C7B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b/>
          <w:color w:val="auto"/>
          <w:sz w:val="24"/>
          <w:szCs w:val="24"/>
          <w:highlight w:val="none"/>
        </w:rPr>
        <w:t>连云港职业技术学院</w:t>
      </w:r>
    </w:p>
    <w:p w14:paraId="6B0E086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乙方：（卖方）_________</w:t>
      </w:r>
    </w:p>
    <w:p w14:paraId="7F0FF6D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见证方：中和德汇工程技术有限公司</w:t>
      </w:r>
    </w:p>
    <w:p w14:paraId="759E7832">
      <w:pPr>
        <w:spacing w:line="360" w:lineRule="auto"/>
        <w:ind w:firstLine="48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项目（标段编号：        </w:t>
      </w:r>
      <w:r>
        <w:rPr>
          <w:rFonts w:hint="eastAsia" w:ascii="宋体" w:hAnsi="宋体" w:eastAsia="宋体" w:cs="宋体"/>
          <w:color w:val="auto"/>
          <w:sz w:val="24"/>
          <w:szCs w:val="20"/>
          <w:highlight w:val="none"/>
          <w:u w:val="single"/>
        </w:rPr>
        <w:t>）</w:t>
      </w:r>
      <w:r>
        <w:rPr>
          <w:rFonts w:hint="eastAsia" w:ascii="宋体" w:hAnsi="宋体" w:eastAsia="宋体" w:cs="宋体"/>
          <w:color w:val="auto"/>
          <w:sz w:val="24"/>
          <w:szCs w:val="20"/>
          <w:highlight w:val="none"/>
        </w:rPr>
        <w:t>招标的结果，签订本合同。</w:t>
      </w:r>
    </w:p>
    <w:p w14:paraId="5DA621DC">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w:t>
      </w:r>
    </w:p>
    <w:p w14:paraId="17F57B03">
      <w:pPr>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 产品/服务内容：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65C8A8">
      <w:pPr>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 质保期限：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CEB60A">
      <w:pPr>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1.3 补充条款：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903FDC1">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254C3DC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本合同金额为（大写）：_________________元整（¥__________）人民币。</w:t>
      </w:r>
    </w:p>
    <w:p w14:paraId="3B4D656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本合同价款包含所有乙方提供合同约定产品和服务的报酬及乙方提供合同中产品和服务所支出的必要费用，甲方在上述合同价款之外不再向乙方支付其他任何费用。</w:t>
      </w:r>
    </w:p>
    <w:p w14:paraId="266FADB3">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59F335F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乙方应按招标文件规定的时间向甲方提供有关技术资料。</w:t>
      </w:r>
    </w:p>
    <w:p w14:paraId="1D76B58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431C35F">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6313F01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乙方应保证甲方在使用、接受本合同中产品和服务或其任何一部分时不受第三方提出侵犯其专利权、版权、商标权和工业设计权等知识产权的起诉。一旦出现侵权，由乙方负全部责任。</w:t>
      </w:r>
    </w:p>
    <w:p w14:paraId="407BD004">
      <w:pPr>
        <w:spacing w:line="360" w:lineRule="auto"/>
        <w:ind w:firstLine="482"/>
        <w:jc w:val="left"/>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4F6A7DDE">
      <w:pPr>
        <w:spacing w:line="360" w:lineRule="auto"/>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5.1 乙方保证所交付标的的所有权完全属于乙方且无任何抵押、查封等产权瑕疵。</w:t>
      </w:r>
    </w:p>
    <w:p w14:paraId="12269ECD">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1C61756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本合同不收取履约保证金。</w:t>
      </w:r>
    </w:p>
    <w:p w14:paraId="512FA8AB">
      <w:pPr>
        <w:spacing w:line="360" w:lineRule="auto"/>
        <w:ind w:firstLine="482"/>
        <w:jc w:val="left"/>
        <w:rPr>
          <w:rFonts w:hint="eastAsia" w:ascii="宋体" w:hAnsi="宋体" w:eastAsia="宋体" w:cs="宋体"/>
          <w:b/>
          <w:color w:val="auto"/>
          <w:sz w:val="24"/>
          <w:szCs w:val="24"/>
          <w:highlight w:val="none"/>
        </w:rPr>
      </w:pPr>
      <w:bookmarkStart w:id="11" w:name="OLE_LINK4"/>
      <w:r>
        <w:rPr>
          <w:rFonts w:hint="eastAsia" w:ascii="宋体" w:hAnsi="宋体" w:eastAsia="宋体" w:cs="宋体"/>
          <w:b/>
          <w:color w:val="auto"/>
          <w:sz w:val="24"/>
          <w:szCs w:val="24"/>
          <w:highlight w:val="none"/>
        </w:rPr>
        <w:t>七、转包或分包</w:t>
      </w:r>
    </w:p>
    <w:p w14:paraId="6A921CFE">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本合同范围内产品或服务，应由乙方直接供应，不得转让他人供应；</w:t>
      </w:r>
    </w:p>
    <w:p w14:paraId="0D17CE5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除非得到甲方的书面同意，乙方不得部分分包给他人供应。</w:t>
      </w:r>
    </w:p>
    <w:p w14:paraId="544804C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如有转让和未经甲方同意的分包行为，甲方有权给予终止合同。 </w:t>
      </w:r>
    </w:p>
    <w:bookmarkEnd w:id="11"/>
    <w:p w14:paraId="2D99DC93">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八、质保期</w:t>
      </w:r>
    </w:p>
    <w:p w14:paraId="2077A37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70833F5">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九、交付期、交付方式及交付地点</w:t>
      </w:r>
    </w:p>
    <w:p w14:paraId="259621D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 交 付 期：</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i/>
          <w:iCs/>
          <w:color w:val="auto"/>
          <w:sz w:val="24"/>
          <w:szCs w:val="24"/>
          <w:highlight w:val="none"/>
        </w:rPr>
        <w:t>_</w:t>
      </w:r>
      <w:r>
        <w:rPr>
          <w:rFonts w:hint="eastAsia" w:ascii="宋体" w:hAnsi="宋体" w:eastAsia="宋体" w:cs="宋体"/>
          <w:i/>
          <w:iCs/>
          <w:color w:val="auto"/>
          <w:sz w:val="24"/>
          <w:szCs w:val="24"/>
          <w:highlight w:val="none"/>
        </w:rPr>
        <w:t>_</w:t>
      </w:r>
      <w:r>
        <w:rPr>
          <w:rFonts w:hint="eastAsia" w:ascii="宋体" w:hAnsi="宋体" w:eastAsia="宋体" w:cs="宋体"/>
          <w:color w:val="auto"/>
          <w:sz w:val="24"/>
          <w:szCs w:val="24"/>
          <w:highlight w:val="none"/>
        </w:rPr>
        <w:t xml:space="preserve">。   </w:t>
      </w:r>
    </w:p>
    <w:p w14:paraId="465613DE">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9.2 交付方式：</w:t>
      </w:r>
      <w:r>
        <w:rPr>
          <w:rFonts w:hint="eastAsia" w:ascii="宋体" w:hAnsi="宋体" w:eastAsia="宋体" w:cs="宋体"/>
          <w:color w:val="auto"/>
          <w:sz w:val="24"/>
          <w:szCs w:val="24"/>
          <w:highlight w:val="none"/>
        </w:rPr>
        <w:t>_</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_。</w:t>
      </w:r>
    </w:p>
    <w:p w14:paraId="3589DD9E">
      <w:pPr>
        <w:spacing w:line="360" w:lineRule="auto"/>
        <w:ind w:firstLine="480"/>
        <w:jc w:val="lef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9.3 交付地点：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5B7612E">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十、合同款支付</w:t>
      </w:r>
    </w:p>
    <w:p w14:paraId="733F7E2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 付款</w:t>
      </w:r>
      <w:r>
        <w:rPr>
          <w:rFonts w:hint="eastAsia" w:ascii="宋体" w:hAnsi="宋体" w:eastAsia="宋体" w:cs="宋体"/>
          <w:color w:val="auto"/>
          <w:sz w:val="24"/>
          <w:szCs w:val="24"/>
          <w:highlight w:val="none"/>
        </w:rPr>
        <w:t>方式：</w:t>
      </w:r>
      <w:r>
        <w:rPr>
          <w:rFonts w:hint="eastAsia" w:ascii="Times New Roman" w:hAnsi="Times New Roman" w:eastAsia="宋体" w:cs="Times New Roman"/>
          <w:color w:val="auto"/>
          <w:sz w:val="24"/>
          <w:szCs w:val="24"/>
          <w:highlight w:val="none"/>
        </w:rPr>
        <w:t>货物安装调试结束、甲方验收合格完成，经审计后，乙方持全额发票、中标通知书、合同到连云港职业技术学院申请付款。甲方收到中标人提供发票后，付审定价款的100%。</w:t>
      </w:r>
    </w:p>
    <w:p w14:paraId="6D3443FC">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 </w:t>
      </w:r>
      <w:r>
        <w:rPr>
          <w:rFonts w:hint="eastAsia" w:ascii="宋体" w:hAnsi="宋体" w:eastAsia="宋体" w:cs="宋体"/>
          <w:color w:val="auto"/>
          <w:sz w:val="24"/>
          <w:szCs w:val="24"/>
          <w:highlight w:val="none"/>
        </w:rPr>
        <w:t>当采购数量与实际使用数量不一致时，乙方根据实际使用量提供产品和服务，合同的最终结算金额按实际使用量乘以中标单价进行计算。</w:t>
      </w:r>
    </w:p>
    <w:p w14:paraId="0095AA44">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十一、税费</w:t>
      </w:r>
    </w:p>
    <w:p w14:paraId="5EE6C21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本合同执行中相关的一切税费均由乙方负担。</w:t>
      </w:r>
    </w:p>
    <w:p w14:paraId="741D772A">
      <w:pPr>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十二、质量保证及售后服务</w:t>
      </w:r>
    </w:p>
    <w:p w14:paraId="184BD8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乙方应按招标文件规定和响应文件承诺的性能、技术要求、质量标准向甲方提供产品或服务。</w:t>
      </w:r>
    </w:p>
    <w:p w14:paraId="7E3FAE8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乙方提供的产品或服务在质保期内因其本身出现质量问题，根据实际情况，经双方协商，可按以下办法处理：</w:t>
      </w:r>
    </w:p>
    <w:p w14:paraId="32370041">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（1）更换：由乙方承担所发生的全部费用。</w:t>
      </w:r>
    </w:p>
    <w:p w14:paraId="0843803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（2）合同终止处理：合同终止，并退还甲方支付的合同款，同时应承担由此产生的所有费用，甲方不承担发生任何费用。</w:t>
      </w:r>
    </w:p>
    <w:p w14:paraId="656E875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如在使用过程中发生质量问题，乙方在接到甲方通知后在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0245592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在质保期内，乙方应对产品或服务出现的质量及安全问题负责处理解决并承担一切费用。</w:t>
      </w:r>
    </w:p>
    <w:p w14:paraId="7F225F56">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十三、验收</w:t>
      </w:r>
    </w:p>
    <w:p w14:paraId="56DB8CE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甲方对乙方提交的产品或服务依据招标文件上的项目需求要求、乙方响应文件及国家有关质量标准进行验收。</w:t>
      </w:r>
    </w:p>
    <w:p w14:paraId="1634E78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乙方交货前应对产品或服务作出全面检查和对验收文件进行整理，并列出清单，作为甲方验收和使用的技术条件依据，检验的结果应随服务一起提交甲方。</w:t>
      </w:r>
    </w:p>
    <w:p w14:paraId="12C1D85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甲方对乙方提供的产品或服务在使用前，乙方需负责培训甲方的使用操作人员，并协助甲方一起试用，直到符合技术要求，甲方才做最终验收。</w:t>
      </w:r>
    </w:p>
    <w:p w14:paraId="151A574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对技术复杂的产品或服务，甲方可请国家认可的专业检测机构参与初步验收及最终验收，并由其出具质量检测报告。</w:t>
      </w:r>
    </w:p>
    <w:p w14:paraId="7ACB4F2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 验收时乙方必须在现场，验收完毕后作出验收结果报告；招标文件规定以外的验收费用由甲乙双方协商解决。</w:t>
      </w:r>
    </w:p>
    <w:p w14:paraId="55F952E9">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十四、合同内容的交付</w:t>
      </w:r>
    </w:p>
    <w:p w14:paraId="577E1B2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乙方应保证合同标的安全运达甲方指定地点。</w:t>
      </w:r>
    </w:p>
    <w:p w14:paraId="0D5DCC3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使用说明书、质量检验证明书一并提交甲方。</w:t>
      </w:r>
    </w:p>
    <w:p w14:paraId="56546DE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乙方在合同标的交付甲方48小时前通知甲方准备接收。</w:t>
      </w:r>
    </w:p>
    <w:p w14:paraId="2E19777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合同标的在交付甲方前发生的风险均由乙方负责。</w:t>
      </w:r>
    </w:p>
    <w:p w14:paraId="1589B37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 合同标的在规定的交付期限内由乙方送达甲方指定的地点视为交付，乙方同时需通知甲方已送达。</w:t>
      </w:r>
    </w:p>
    <w:p w14:paraId="441754E4">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十五、违约责任</w:t>
      </w:r>
    </w:p>
    <w:p w14:paraId="7D92DDD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甲方无正当理由拒收的，甲方向乙方偿付拒收货款总值的百分之五违约金。</w:t>
      </w:r>
    </w:p>
    <w:p w14:paraId="012EF872">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甲方无故逾期验收和办理合同款支付手续的,甲方应按逾期付款总额每日万分之五向乙方支付违约金。</w:t>
      </w:r>
    </w:p>
    <w:p w14:paraId="671F9D73">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合同标的的，乙方应按逾期交货总额每日万分之五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695715D0">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14:paraId="7CFDBD6D">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十六、不可抗力事件处理</w:t>
      </w:r>
    </w:p>
    <w:p w14:paraId="39021C15">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在合同有效期内，任何一方因不可抗力事件导致不能履行合同，则合同履行期延长，其延长期与不可抗力影响期相同。</w:t>
      </w:r>
    </w:p>
    <w:p w14:paraId="67424276">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不可抗力事件发生后，应立即通知对方，并寄送有关权威机构出具的证明。</w:t>
      </w:r>
    </w:p>
    <w:p w14:paraId="5869AD0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不可抗力事件延续120天以上，双方应通过友好协商，确定是否继续履行合同。</w:t>
      </w:r>
    </w:p>
    <w:p w14:paraId="4696F82E">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十七、争议解决</w:t>
      </w:r>
    </w:p>
    <w:p w14:paraId="43DDDB6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双方在执行合同中所发生的一切争议，应通过协商解决。如协商不成，按下列第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种方式解决：</w:t>
      </w:r>
    </w:p>
    <w:p w14:paraId="2F14D4C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（1）向连云港仲裁委员会申请仲裁。</w:t>
      </w:r>
    </w:p>
    <w:p w14:paraId="31BACED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（2）向合同签订地法院起诉，合同签订地在此约定为连云港市。</w:t>
      </w:r>
    </w:p>
    <w:p w14:paraId="011B5A8D">
      <w:pPr>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十八、合同生效及其它</w:t>
      </w:r>
    </w:p>
    <w:p w14:paraId="1B526E19">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合同经双方法定代表人或委托代理人签字并加盖单位公章后生效。</w:t>
      </w:r>
    </w:p>
    <w:p w14:paraId="67F5660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 本合同未尽事宜，遵照《中华人民共和国民法典》有关条文执行。</w:t>
      </w:r>
    </w:p>
    <w:p w14:paraId="0715598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本合同正本一式四份，具有同等法律效力，甲方、乙方、见证方及财政监管部门各执一份。</w:t>
      </w:r>
    </w:p>
    <w:p w14:paraId="4CA1D460">
      <w:pPr>
        <w:spacing w:line="360" w:lineRule="auto"/>
        <w:ind w:firstLine="360"/>
        <w:jc w:val="left"/>
        <w:rPr>
          <w:rFonts w:hint="eastAsia" w:ascii="宋体" w:hAnsi="宋体" w:eastAsia="宋体" w:cs="宋体"/>
          <w:color w:val="auto"/>
          <w:sz w:val="24"/>
          <w:szCs w:val="24"/>
          <w:highlight w:val="none"/>
        </w:rPr>
      </w:pPr>
    </w:p>
    <w:p w14:paraId="19C34A74">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p>
    <w:p w14:paraId="0F16738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p>
    <w:p w14:paraId="05E09EAA">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01D9D53B">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p>
    <w:p w14:paraId="3EBB58D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p>
    <w:p w14:paraId="7112972D">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p>
    <w:p w14:paraId="3E1FF56C">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签订日期：      年  月  日</w:t>
      </w:r>
    </w:p>
    <w:p w14:paraId="48CE4327">
      <w:pPr>
        <w:spacing w:line="360" w:lineRule="auto"/>
        <w:ind w:firstLine="360"/>
        <w:jc w:val="left"/>
        <w:rPr>
          <w:rFonts w:hint="eastAsia" w:ascii="宋体" w:hAnsi="宋体" w:eastAsia="宋体" w:cs="宋体"/>
          <w:color w:val="auto"/>
          <w:sz w:val="24"/>
          <w:szCs w:val="24"/>
          <w:highlight w:val="none"/>
        </w:rPr>
      </w:pPr>
    </w:p>
    <w:p w14:paraId="4FB65DD7">
      <w:pPr>
        <w:spacing w:line="360" w:lineRule="auto"/>
        <w:ind w:firstLine="360"/>
        <w:jc w:val="left"/>
        <w:rPr>
          <w:rFonts w:hint="eastAsia" w:ascii="宋体" w:hAnsi="宋体" w:eastAsia="宋体" w:cs="宋体"/>
          <w:color w:val="auto"/>
          <w:sz w:val="24"/>
          <w:szCs w:val="24"/>
          <w:highlight w:val="none"/>
        </w:rPr>
      </w:pPr>
    </w:p>
    <w:p w14:paraId="2A5DB537">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 证 方：中和德汇工程技术有限公司          </w:t>
      </w:r>
    </w:p>
    <w:p w14:paraId="034A4A09">
      <w:p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见证日期：      年  月  日</w:t>
      </w:r>
    </w:p>
    <w:p w14:paraId="2D77B51B">
      <w:pPr>
        <w:pStyle w:val="2"/>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br w:type="page" w:clear="all"/>
      </w:r>
      <w:bookmarkStart w:id="12" w:name="_Toc139967212"/>
      <w:bookmarkStart w:id="13" w:name="_Toc513622229"/>
      <w:bookmarkStart w:id="14" w:name="_Toc139966428"/>
      <w:bookmarkStart w:id="15" w:name="_Toc150765437"/>
      <w:r>
        <w:rPr>
          <w:rFonts w:hint="eastAsia" w:ascii="宋体" w:hAnsi="宋体" w:eastAsia="宋体" w:cs="宋体"/>
          <w:color w:val="auto"/>
          <w:highlight w:val="none"/>
        </w:rPr>
        <w:t>第四章投标文件格式</w:t>
      </w:r>
      <w:bookmarkEnd w:id="12"/>
      <w:bookmarkEnd w:id="13"/>
      <w:bookmarkEnd w:id="14"/>
      <w:bookmarkEnd w:id="15"/>
    </w:p>
    <w:p w14:paraId="7761D286">
      <w:pPr>
        <w:spacing w:line="360" w:lineRule="auto"/>
        <w:ind w:firstLine="1044"/>
        <w:jc w:val="center"/>
        <w:rPr>
          <w:rFonts w:hint="eastAsia" w:ascii="宋体" w:hAnsi="宋体" w:eastAsia="宋体" w:cs="宋体"/>
          <w:b/>
          <w:color w:val="auto"/>
          <w:sz w:val="52"/>
          <w:szCs w:val="52"/>
          <w:highlight w:val="none"/>
        </w:rPr>
      </w:pPr>
    </w:p>
    <w:p w14:paraId="69EA34C1">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连 云 港 市 政 府 采 购</w:t>
      </w:r>
    </w:p>
    <w:p w14:paraId="4071B5F4">
      <w:pPr>
        <w:spacing w:line="360" w:lineRule="auto"/>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投标文件</w:t>
      </w:r>
    </w:p>
    <w:p w14:paraId="207A6638">
      <w:pPr>
        <w:spacing w:line="360" w:lineRule="auto"/>
        <w:ind w:firstLine="643"/>
        <w:jc w:val="center"/>
        <w:rPr>
          <w:rFonts w:hint="eastAsia" w:ascii="宋体" w:hAnsi="宋体" w:eastAsia="宋体" w:cs="宋体"/>
          <w:b/>
          <w:color w:val="auto"/>
          <w:sz w:val="32"/>
          <w:szCs w:val="32"/>
          <w:highlight w:val="none"/>
        </w:rPr>
      </w:pPr>
    </w:p>
    <w:p w14:paraId="32B884CF">
      <w:pPr>
        <w:spacing w:line="360" w:lineRule="auto"/>
        <w:ind w:firstLine="1084"/>
        <w:rPr>
          <w:rFonts w:hint="eastAsia" w:ascii="宋体" w:hAnsi="宋体" w:eastAsia="宋体" w:cs="宋体"/>
          <w:b/>
          <w:color w:val="auto"/>
          <w:sz w:val="36"/>
          <w:szCs w:val="21"/>
          <w:highlight w:val="none"/>
        </w:rPr>
      </w:pPr>
    </w:p>
    <w:p w14:paraId="53D18EAF">
      <w:pPr>
        <w:spacing w:line="360" w:lineRule="auto"/>
        <w:jc w:val="left"/>
        <w:rPr>
          <w:rFonts w:hint="eastAsia" w:ascii="宋体" w:hAnsi="宋体" w:eastAsia="宋体" w:cs="宋体"/>
          <w:color w:val="auto"/>
          <w:szCs w:val="24"/>
          <w:highlight w:val="none"/>
        </w:rPr>
      </w:pPr>
    </w:p>
    <w:p w14:paraId="5B9E25E5">
      <w:pPr>
        <w:spacing w:line="360" w:lineRule="auto"/>
        <w:jc w:val="left"/>
        <w:rPr>
          <w:rFonts w:hint="eastAsia" w:ascii="宋体" w:hAnsi="宋体" w:eastAsia="宋体" w:cs="宋体"/>
          <w:color w:val="auto"/>
          <w:szCs w:val="24"/>
          <w:highlight w:val="none"/>
        </w:rPr>
      </w:pPr>
    </w:p>
    <w:p w14:paraId="3C2C1BA6">
      <w:pPr>
        <w:spacing w:line="360" w:lineRule="auto"/>
        <w:jc w:val="left"/>
        <w:rPr>
          <w:rFonts w:hint="eastAsia" w:ascii="宋体" w:hAnsi="宋体" w:eastAsia="宋体" w:cs="宋体"/>
          <w:color w:val="auto"/>
          <w:szCs w:val="24"/>
          <w:highlight w:val="none"/>
        </w:rPr>
      </w:pPr>
    </w:p>
    <w:p w14:paraId="5D884333">
      <w:pPr>
        <w:spacing w:line="360" w:lineRule="auto"/>
        <w:jc w:val="left"/>
        <w:rPr>
          <w:rFonts w:hint="eastAsia" w:ascii="宋体" w:hAnsi="宋体" w:eastAsia="宋体" w:cs="宋体"/>
          <w:color w:val="auto"/>
          <w:szCs w:val="24"/>
          <w:highlight w:val="none"/>
        </w:rPr>
      </w:pPr>
    </w:p>
    <w:p w14:paraId="5CC1FC95">
      <w:pPr>
        <w:spacing w:line="360" w:lineRule="auto"/>
        <w:ind w:firstLine="1084"/>
        <w:rPr>
          <w:rFonts w:hint="eastAsia" w:ascii="宋体" w:hAnsi="宋体" w:eastAsia="宋体" w:cs="宋体"/>
          <w:b/>
          <w:color w:val="auto"/>
          <w:sz w:val="36"/>
          <w:szCs w:val="21"/>
          <w:highlight w:val="none"/>
        </w:rPr>
      </w:pPr>
    </w:p>
    <w:p w14:paraId="67883B07">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标 段 名 称：</w:t>
      </w:r>
    </w:p>
    <w:p w14:paraId="183107BA">
      <w:pPr>
        <w:spacing w:line="360" w:lineRule="auto"/>
        <w:rPr>
          <w:rFonts w:hint="eastAsia" w:ascii="宋体" w:hAnsi="宋体" w:eastAsia="宋体" w:cs="宋体"/>
          <w:b/>
          <w:color w:val="auto"/>
          <w:sz w:val="36"/>
          <w:szCs w:val="24"/>
          <w:highlight w:val="none"/>
        </w:rPr>
      </w:pPr>
    </w:p>
    <w:p w14:paraId="688B1159">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标 段 编 号：</w:t>
      </w:r>
    </w:p>
    <w:p w14:paraId="2D059759">
      <w:pPr>
        <w:spacing w:line="360" w:lineRule="auto"/>
        <w:ind w:firstLine="1084"/>
        <w:rPr>
          <w:rFonts w:hint="eastAsia" w:ascii="宋体" w:hAnsi="宋体" w:eastAsia="宋体" w:cs="宋体"/>
          <w:b/>
          <w:color w:val="auto"/>
          <w:sz w:val="36"/>
          <w:szCs w:val="24"/>
          <w:highlight w:val="none"/>
        </w:rPr>
      </w:pPr>
    </w:p>
    <w:p w14:paraId="20CF5272">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投标人名称：</w:t>
      </w:r>
    </w:p>
    <w:p w14:paraId="00CD9973">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 xml:space="preserve">投标人地址： </w:t>
      </w:r>
    </w:p>
    <w:p w14:paraId="5C47312D">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法定代表人：</w:t>
      </w:r>
    </w:p>
    <w:p w14:paraId="5AF34385">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委托代理人（委托代理时填写）：</w:t>
      </w:r>
    </w:p>
    <w:p w14:paraId="33490C7C">
      <w:pPr>
        <w:spacing w:line="360" w:lineRule="auto"/>
        <w:ind w:firstLine="1084"/>
        <w:rPr>
          <w:rFonts w:hint="eastAsia" w:ascii="宋体" w:hAnsi="宋体" w:eastAsia="宋体" w:cs="宋体"/>
          <w:b/>
          <w:color w:val="auto"/>
          <w:sz w:val="36"/>
          <w:szCs w:val="24"/>
          <w:highlight w:val="none"/>
        </w:rPr>
      </w:pPr>
      <w:r>
        <w:rPr>
          <w:rFonts w:hint="eastAsia" w:ascii="宋体" w:hAnsi="宋体" w:eastAsia="宋体" w:cs="宋体"/>
          <w:b/>
          <w:color w:val="auto"/>
          <w:sz w:val="36"/>
          <w:szCs w:val="24"/>
          <w:highlight w:val="none"/>
        </w:rPr>
        <w:t>日      期：</w:t>
      </w:r>
    </w:p>
    <w:p w14:paraId="57904203">
      <w:pPr>
        <w:keepNext/>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b/>
          <w:color w:val="auto"/>
          <w:sz w:val="36"/>
          <w:szCs w:val="20"/>
          <w:highlight w:val="none"/>
        </w:rPr>
        <w:br w:type="page" w:clear="all"/>
      </w:r>
      <w:bookmarkStart w:id="16" w:name="_Toc139967215"/>
      <w:bookmarkStart w:id="17" w:name="_Toc139966431"/>
      <w:r>
        <w:rPr>
          <w:rFonts w:hint="eastAsia" w:ascii="宋体" w:hAnsi="宋体" w:eastAsia="宋体" w:cs="宋体"/>
          <w:color w:val="auto"/>
          <w:sz w:val="24"/>
          <w:szCs w:val="24"/>
          <w:highlight w:val="none"/>
        </w:rPr>
        <w:t>格式1、响应函</w:t>
      </w:r>
    </w:p>
    <w:p w14:paraId="433F022C">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响应函</w:t>
      </w:r>
    </w:p>
    <w:p w14:paraId="6D121A4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致：连云港职业技术学院</w:t>
      </w:r>
    </w:p>
    <w:p w14:paraId="362FFAC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根据贵方标段（标段编号：）招标文件，正式授权下述签字人全权代表参加贵方组织的采购活动，按照招标文件要求提交响应文件。</w:t>
      </w:r>
    </w:p>
    <w:p w14:paraId="4B406C3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据此函，签字人兹宣布同意如下：</w:t>
      </w:r>
    </w:p>
    <w:p w14:paraId="79932E9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1.按招标文件项目需求提交响应报价，报价、交货期等详见开标一览表。</w:t>
      </w:r>
    </w:p>
    <w:p w14:paraId="0C53D60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2.我方同意在本标段招标文件中规定的响应文件递交截止之日起60天内遵守本响应文件中的承诺且在此期限期满之前均具有约束力。</w:t>
      </w:r>
    </w:p>
    <w:p w14:paraId="4260EC5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3.我方承诺已经具备《中华人民共和国政府采购法》中规定的参加政府采购活动的供应商应当具备的条件：</w:t>
      </w:r>
    </w:p>
    <w:p w14:paraId="1547447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w:t>
      </w:r>
    </w:p>
    <w:p w14:paraId="4A42649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7690CC6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w:t>
      </w:r>
    </w:p>
    <w:p w14:paraId="4B98431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w:t>
      </w:r>
    </w:p>
    <w:p w14:paraId="47219614">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(5)参加此项采购活动前三年内，在经营活动中没有重大违法记录。</w:t>
      </w:r>
    </w:p>
    <w:p w14:paraId="5877148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4.我方根据招标文件的规定，承担完成合同的责任和义务。</w:t>
      </w:r>
    </w:p>
    <w:p w14:paraId="6C8684C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5.我方已详细审核招标文件，我方知道必须放弃提出含糊不清或误解问题的权利。</w:t>
      </w:r>
    </w:p>
    <w:p w14:paraId="3F86BC9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6.如果在响应文件有效期内撤回或者有其他违约行为，我方的保证金可被贵方全部或部分没收。</w:t>
      </w:r>
    </w:p>
    <w:p w14:paraId="095B2363">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7.同意应贵方要求提供与本次采购活动有关的任何数据或资料。</w:t>
      </w:r>
    </w:p>
    <w:p w14:paraId="56735CC7">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8.我方完全理解，最低报价不是中标（成交）的唯一条件。</w:t>
      </w:r>
    </w:p>
    <w:p w14:paraId="176A340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9.若贵方需要，我方愿意提供我方作出的一切承诺的证明材料。</w:t>
      </w:r>
    </w:p>
    <w:p w14:paraId="2E2AE77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8800A8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(1)提供虚假材料谋取中标、成交的；</w:t>
      </w:r>
    </w:p>
    <w:p w14:paraId="026ACE0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(2)采取不正当手段诋毁、排挤其他供应商的；</w:t>
      </w:r>
    </w:p>
    <w:p w14:paraId="4732B1A6">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(3)与采购人、其他供应商或者采购代理机构恶意串通的；</w:t>
      </w:r>
    </w:p>
    <w:p w14:paraId="66C583B9">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(4)向采购人、采购代理机构行贿或者提供其他不正当利益的；</w:t>
      </w:r>
    </w:p>
    <w:p w14:paraId="65CDBB1B">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(5)在招标采购过程中与采购人进行协商谈判的；</w:t>
      </w:r>
    </w:p>
    <w:p w14:paraId="38D8B3EF">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(6)拒绝有关部门监督检查或提供虚假情况的。</w:t>
      </w:r>
    </w:p>
    <w:p w14:paraId="228A5908">
      <w:pPr>
        <w:spacing w:line="360" w:lineRule="auto"/>
        <w:ind w:firstLine="420"/>
        <w:rPr>
          <w:rFonts w:hint="eastAsia" w:ascii="宋体" w:hAnsi="宋体" w:eastAsia="宋体" w:cs="宋体"/>
          <w:color w:val="auto"/>
          <w:sz w:val="24"/>
          <w:szCs w:val="24"/>
          <w:highlight w:val="none"/>
        </w:rPr>
      </w:pPr>
    </w:p>
    <w:p w14:paraId="3D39BF5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法定代表人或其委托代理人签字（或盖章）： 　　</w:t>
      </w:r>
    </w:p>
    <w:p w14:paraId="7DC3729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 </w:t>
      </w:r>
    </w:p>
    <w:p w14:paraId="715ACCC8">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14:paraId="26BEB91B">
      <w:pPr>
        <w:spacing w:line="360" w:lineRule="auto"/>
        <w:ind w:firstLine="420"/>
        <w:rPr>
          <w:rFonts w:hint="eastAsia" w:ascii="宋体" w:hAnsi="宋体" w:eastAsia="宋体" w:cs="宋体"/>
          <w:color w:val="auto"/>
          <w:sz w:val="24"/>
          <w:szCs w:val="24"/>
          <w:highlight w:val="none"/>
        </w:rPr>
      </w:pPr>
    </w:p>
    <w:p w14:paraId="68AAA0C6">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注：未按照本响应函的格式要求填写的，将造成非实质响应，从而导致该供应商响应无效。</w:t>
      </w:r>
    </w:p>
    <w:p w14:paraId="32F6384E">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格式2、开标一览表</w:t>
      </w:r>
    </w:p>
    <w:p w14:paraId="5A6D40C5">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开标一览表</w:t>
      </w:r>
    </w:p>
    <w:p w14:paraId="0F9B7E80">
      <w:pPr>
        <w:spacing w:line="360" w:lineRule="auto"/>
        <w:ind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标段编号： </w:t>
      </w:r>
    </w:p>
    <w:p w14:paraId="53259BB8">
      <w:pPr>
        <w:spacing w:line="360" w:lineRule="auto"/>
        <w:ind w:firstLine="72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标段名称：x</w:t>
      </w:r>
    </w:p>
    <w:p w14:paraId="1E818FC0">
      <w:pPr>
        <w:spacing w:line="360" w:lineRule="auto"/>
        <w:ind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报价单位：元</w:t>
      </w:r>
    </w:p>
    <w:tbl>
      <w:tblPr>
        <w:tblStyle w:val="45"/>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75B3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339BAA1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标题</w:t>
            </w:r>
          </w:p>
        </w:tc>
        <w:tc>
          <w:tcPr>
            <w:tcW w:w="3651" w:type="dxa"/>
            <w:vAlign w:val="center"/>
          </w:tcPr>
          <w:p w14:paraId="43D4C50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0056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2EB0514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3651" w:type="dxa"/>
            <w:vAlign w:val="center"/>
          </w:tcPr>
          <w:p w14:paraId="2239A969">
            <w:pPr>
              <w:spacing w:line="360" w:lineRule="auto"/>
              <w:jc w:val="center"/>
              <w:rPr>
                <w:rFonts w:hint="eastAsia" w:ascii="宋体" w:hAnsi="宋体" w:eastAsia="宋体" w:cs="宋体"/>
                <w:color w:val="auto"/>
                <w:sz w:val="24"/>
                <w:szCs w:val="24"/>
                <w:highlight w:val="none"/>
              </w:rPr>
            </w:pPr>
          </w:p>
        </w:tc>
      </w:tr>
      <w:tr w14:paraId="1CF95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70643584">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核心产品</w:t>
            </w:r>
          </w:p>
        </w:tc>
        <w:tc>
          <w:tcPr>
            <w:tcW w:w="3651" w:type="dxa"/>
            <w:vAlign w:val="center"/>
          </w:tcPr>
          <w:p w14:paraId="1C197E16">
            <w:pPr>
              <w:spacing w:line="360" w:lineRule="auto"/>
              <w:jc w:val="center"/>
              <w:rPr>
                <w:rFonts w:hint="eastAsia" w:ascii="宋体" w:hAnsi="宋体" w:eastAsia="宋体" w:cs="宋体"/>
                <w:color w:val="auto"/>
                <w:sz w:val="24"/>
                <w:szCs w:val="24"/>
                <w:highlight w:val="none"/>
              </w:rPr>
            </w:pPr>
          </w:p>
        </w:tc>
      </w:tr>
    </w:tbl>
    <w:p w14:paraId="1BE5DF35">
      <w:pPr>
        <w:spacing w:line="360" w:lineRule="auto"/>
        <w:ind w:firstLine="420"/>
        <w:jc w:val="left"/>
        <w:rPr>
          <w:rFonts w:hint="eastAsia" w:ascii="宋体" w:hAnsi="宋体" w:eastAsia="宋体" w:cs="宋体"/>
          <w:bCs/>
          <w:color w:val="auto"/>
          <w:sz w:val="24"/>
          <w:szCs w:val="24"/>
          <w:highlight w:val="none"/>
        </w:rPr>
      </w:pPr>
    </w:p>
    <w:p w14:paraId="1FCD4BA5">
      <w:pPr>
        <w:spacing w:line="360" w:lineRule="auto"/>
        <w:ind w:firstLine="420"/>
        <w:jc w:val="left"/>
        <w:rPr>
          <w:rFonts w:hint="eastAsia" w:ascii="宋体" w:hAnsi="宋体" w:eastAsia="宋体" w:cs="宋体"/>
          <w:bCs/>
          <w:color w:val="auto"/>
          <w:sz w:val="24"/>
          <w:szCs w:val="24"/>
          <w:highlight w:val="none"/>
        </w:rPr>
      </w:pPr>
    </w:p>
    <w:p w14:paraId="5132A8E7">
      <w:pPr>
        <w:spacing w:line="360" w:lineRule="auto"/>
        <w:ind w:firstLine="420"/>
        <w:jc w:val="left"/>
        <w:rPr>
          <w:rFonts w:hint="eastAsia" w:ascii="宋体" w:hAnsi="宋体" w:eastAsia="宋体" w:cs="宋体"/>
          <w:bCs/>
          <w:color w:val="auto"/>
          <w:sz w:val="24"/>
          <w:szCs w:val="24"/>
          <w:highlight w:val="none"/>
        </w:rPr>
      </w:pPr>
    </w:p>
    <w:p w14:paraId="7FB12D99">
      <w:pPr>
        <w:spacing w:line="360" w:lineRule="auto"/>
        <w:ind w:firstLine="420"/>
        <w:rPr>
          <w:rFonts w:hint="eastAsia" w:ascii="宋体" w:hAnsi="宋体" w:eastAsia="宋体" w:cs="宋体"/>
          <w:color w:val="auto"/>
          <w:sz w:val="24"/>
          <w:szCs w:val="24"/>
          <w:highlight w:val="none"/>
        </w:rPr>
      </w:pPr>
    </w:p>
    <w:p w14:paraId="247BD5B5">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5D2A588E">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68360CA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775FF1E8">
      <w:pPr>
        <w:spacing w:line="360" w:lineRule="auto"/>
        <w:ind w:firstLine="420"/>
        <w:rPr>
          <w:rFonts w:hint="eastAsia" w:ascii="宋体" w:hAnsi="宋体" w:eastAsia="宋体" w:cs="宋体"/>
          <w:color w:val="auto"/>
          <w:szCs w:val="24"/>
          <w:highlight w:val="none"/>
        </w:rPr>
      </w:pPr>
    </w:p>
    <w:p w14:paraId="65CD2B37">
      <w:pPr>
        <w:keepNext/>
        <w:spacing w:line="360" w:lineRule="auto"/>
        <w:outlineLvl w:val="1"/>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br w:type="page" w:clear="all"/>
      </w:r>
      <w:r>
        <w:rPr>
          <w:rFonts w:hint="eastAsia" w:ascii="宋体" w:hAnsi="宋体" w:eastAsia="宋体" w:cs="宋体"/>
          <w:color w:val="auto"/>
          <w:sz w:val="24"/>
          <w:szCs w:val="24"/>
          <w:highlight w:val="none"/>
        </w:rPr>
        <w:t>格式3、投标产品配置及分项报价表</w:t>
      </w:r>
    </w:p>
    <w:p w14:paraId="6152B805">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投标产品配置及分项报价表</w:t>
      </w:r>
    </w:p>
    <w:p w14:paraId="7820925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标段名称：x</w:t>
      </w:r>
    </w:p>
    <w:p w14:paraId="2DA49EAE">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标段编号：***</w:t>
      </w:r>
    </w:p>
    <w:p w14:paraId="5BC59297">
      <w:pPr>
        <w:spacing w:line="360" w:lineRule="auto"/>
        <w:jc w:val="right"/>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单位：元</w:t>
      </w:r>
    </w:p>
    <w:tbl>
      <w:tblPr>
        <w:tblStyle w:val="45"/>
        <w:tblW w:w="975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6"/>
        <w:gridCol w:w="956"/>
        <w:gridCol w:w="956"/>
        <w:gridCol w:w="956"/>
        <w:gridCol w:w="956"/>
        <w:gridCol w:w="956"/>
        <w:gridCol w:w="957"/>
        <w:gridCol w:w="1053"/>
        <w:gridCol w:w="1053"/>
        <w:gridCol w:w="957"/>
      </w:tblGrid>
      <w:tr w14:paraId="42053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7BE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序号</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4E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名称</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7F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品牌</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59C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规格型号</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C3B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制造商</w:t>
            </w:r>
          </w:p>
        </w:tc>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BF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制造商企业类型</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6D3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单价</w:t>
            </w:r>
          </w:p>
        </w:tc>
        <w:tc>
          <w:tcPr>
            <w:tcW w:w="1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8C2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采购数量</w:t>
            </w:r>
          </w:p>
        </w:tc>
        <w:tc>
          <w:tcPr>
            <w:tcW w:w="10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5BC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计量单位</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03C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总价</w:t>
            </w:r>
          </w:p>
        </w:tc>
      </w:tr>
      <w:tr w14:paraId="5C789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3BEC6">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C3B4A">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835D6">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7AAF">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770A8">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78BD2">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F754F">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76B65">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DA92E">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E5B7">
            <w:pPr>
              <w:jc w:val="both"/>
              <w:rPr>
                <w:rFonts w:hint="eastAsia" w:ascii="宋体" w:hAnsi="宋体" w:eastAsia="宋体" w:cs="宋体"/>
                <w:i w:val="0"/>
                <w:iCs w:val="0"/>
                <w:color w:val="auto"/>
                <w:sz w:val="21"/>
                <w:szCs w:val="21"/>
                <w:highlight w:val="none"/>
                <w:u w:val="none"/>
              </w:rPr>
            </w:pPr>
          </w:p>
        </w:tc>
      </w:tr>
      <w:tr w14:paraId="33742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B05E7">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AFD4E">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5CB02">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E0CE8">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F5AEB">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8CF94">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68E9F">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29CAB">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D411">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AC82">
            <w:pPr>
              <w:jc w:val="both"/>
              <w:rPr>
                <w:rFonts w:hint="eastAsia" w:ascii="宋体" w:hAnsi="宋体" w:eastAsia="宋体" w:cs="宋体"/>
                <w:i w:val="0"/>
                <w:iCs w:val="0"/>
                <w:color w:val="auto"/>
                <w:sz w:val="21"/>
                <w:szCs w:val="21"/>
                <w:highlight w:val="none"/>
                <w:u w:val="none"/>
              </w:rPr>
            </w:pPr>
          </w:p>
        </w:tc>
      </w:tr>
      <w:tr w14:paraId="1032E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7516">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A016A">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6E4D">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1AC7">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44D9E">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91B97">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BD0CD">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83D9">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D10CF">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32395">
            <w:pPr>
              <w:jc w:val="both"/>
              <w:rPr>
                <w:rFonts w:hint="eastAsia" w:ascii="宋体" w:hAnsi="宋体" w:eastAsia="宋体" w:cs="宋体"/>
                <w:i w:val="0"/>
                <w:iCs w:val="0"/>
                <w:color w:val="auto"/>
                <w:sz w:val="21"/>
                <w:szCs w:val="21"/>
                <w:highlight w:val="none"/>
                <w:u w:val="none"/>
              </w:rPr>
            </w:pPr>
          </w:p>
        </w:tc>
      </w:tr>
      <w:tr w14:paraId="631A1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9EFBF">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03558">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19D6B">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FA760">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BF3B1">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0801">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DA456">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23547">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4C874">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A60BA">
            <w:pPr>
              <w:jc w:val="both"/>
              <w:rPr>
                <w:rFonts w:hint="eastAsia" w:ascii="宋体" w:hAnsi="宋体" w:eastAsia="宋体" w:cs="宋体"/>
                <w:i w:val="0"/>
                <w:iCs w:val="0"/>
                <w:color w:val="auto"/>
                <w:sz w:val="21"/>
                <w:szCs w:val="21"/>
                <w:highlight w:val="none"/>
                <w:u w:val="none"/>
              </w:rPr>
            </w:pPr>
          </w:p>
        </w:tc>
      </w:tr>
      <w:tr w14:paraId="32BE4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87BDB">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5C568">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0196">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09717">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BCC27">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9C320">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98626">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8C806">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A7074">
            <w:pPr>
              <w:jc w:val="both"/>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33A1B">
            <w:pPr>
              <w:jc w:val="both"/>
              <w:rPr>
                <w:rFonts w:hint="eastAsia" w:ascii="宋体" w:hAnsi="宋体" w:eastAsia="宋体" w:cs="宋体"/>
                <w:i w:val="0"/>
                <w:iCs w:val="0"/>
                <w:color w:val="auto"/>
                <w:sz w:val="21"/>
                <w:szCs w:val="21"/>
                <w:highlight w:val="none"/>
                <w:u w:val="none"/>
              </w:rPr>
            </w:pPr>
          </w:p>
        </w:tc>
      </w:tr>
      <w:tr w14:paraId="43821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0" w:type="auto"/>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EF0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rPr>
              <w:t>总计（元）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EC65C">
            <w:pPr>
              <w:rPr>
                <w:rFonts w:hint="eastAsia" w:ascii="宋体" w:hAnsi="宋体" w:eastAsia="宋体" w:cs="宋体"/>
                <w:i w:val="0"/>
                <w:iCs w:val="0"/>
                <w:color w:val="auto"/>
                <w:sz w:val="22"/>
                <w:szCs w:val="22"/>
                <w:highlight w:val="none"/>
                <w:u w:val="none"/>
              </w:rPr>
            </w:pPr>
          </w:p>
        </w:tc>
      </w:tr>
    </w:tbl>
    <w:p w14:paraId="3B3A9C7A">
      <w:pPr>
        <w:spacing w:line="360" w:lineRule="auto"/>
        <w:jc w:val="right"/>
        <w:rPr>
          <w:rFonts w:hint="eastAsia" w:ascii="宋体" w:hAnsi="宋体" w:eastAsia="宋体" w:cs="宋体"/>
          <w:color w:val="auto"/>
          <w:szCs w:val="24"/>
          <w:highlight w:val="none"/>
        </w:rPr>
      </w:pPr>
    </w:p>
    <w:p w14:paraId="1D0FD7CE">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填报说明：</w:t>
      </w:r>
    </w:p>
    <w:p w14:paraId="423A5121">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1DB5587E">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2、以上总价包含货物费用、运杂费、安装施工费、集成费、税金和其他费用。</w:t>
      </w:r>
    </w:p>
    <w:p w14:paraId="59251D93">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3、请供应商正确填写本表，所填内容将作为评审的依据，其内容应与对应的证明资料相符。</w:t>
      </w:r>
    </w:p>
    <w:p w14:paraId="4FE032C4">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4、本表中事项填写不得有缺失，请如实填写，行数或事项不够，可自行增加。</w:t>
      </w:r>
    </w:p>
    <w:p w14:paraId="694BA4A2">
      <w:pPr>
        <w:pStyle w:val="17"/>
        <w:spacing w:line="360" w:lineRule="auto"/>
        <w:rPr>
          <w:rFonts w:hint="eastAsia" w:ascii="宋体" w:hAnsi="宋体" w:eastAsia="宋体" w:cs="宋体"/>
          <w:color w:val="auto"/>
          <w:highlight w:val="none"/>
        </w:rPr>
      </w:pPr>
    </w:p>
    <w:p w14:paraId="76C499C7">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投标人（盖章）：</w:t>
      </w:r>
    </w:p>
    <w:p w14:paraId="12A75742">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法定代表人或委托代理人（签字或盖章）：</w:t>
      </w:r>
    </w:p>
    <w:p w14:paraId="3B97E5C8">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日期：年月日</w:t>
      </w:r>
    </w:p>
    <w:p w14:paraId="133B56E0">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格式4、中小企业声明函</w:t>
      </w:r>
    </w:p>
    <w:p w14:paraId="6EA8CB4C">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中小企业声明函</w:t>
      </w:r>
    </w:p>
    <w:p w14:paraId="1BD86D14">
      <w:pPr>
        <w:spacing w:line="360" w:lineRule="auto"/>
        <w:jc w:val="left"/>
        <w:rPr>
          <w:rFonts w:hint="eastAsia" w:ascii="宋体" w:hAnsi="宋体" w:eastAsia="宋体" w:cs="宋体"/>
          <w:color w:val="auto"/>
          <w:szCs w:val="24"/>
          <w:highlight w:val="none"/>
        </w:rPr>
      </w:pPr>
    </w:p>
    <w:p w14:paraId="465F6D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采购活动，提供的货物全部由符合政策要求的中小企业制造。相关企业的具体情况如下：</w:t>
      </w:r>
    </w:p>
    <w:p w14:paraId="41A5F64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w:t>
      </w:r>
      <w:r>
        <w:rPr>
          <w:rFonts w:hint="eastAsia" w:ascii="宋体" w:hAnsi="宋体" w:eastAsia="宋体" w:cs="宋体"/>
          <w:color w:val="auto"/>
          <w:sz w:val="24"/>
          <w:szCs w:val="24"/>
          <w:highlight w:val="none"/>
          <w:u w:val="single"/>
        </w:rPr>
        <w:t xml:space="preserve">（货物名称）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7EC60E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（货物名称）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0F70CD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w:t>
      </w:r>
    </w:p>
    <w:p w14:paraId="4D251D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1B57C8A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 </w:t>
      </w:r>
    </w:p>
    <w:p w14:paraId="397A951C">
      <w:pPr>
        <w:spacing w:line="360" w:lineRule="auto"/>
        <w:ind w:firstLine="480"/>
        <w:rPr>
          <w:rFonts w:hint="eastAsia" w:ascii="宋体" w:hAnsi="宋体" w:eastAsia="宋体" w:cs="宋体"/>
          <w:color w:val="auto"/>
          <w:sz w:val="24"/>
          <w:szCs w:val="24"/>
          <w:highlight w:val="none"/>
        </w:rPr>
      </w:pPr>
    </w:p>
    <w:p w14:paraId="68C85AB6">
      <w:pPr>
        <w:spacing w:line="360" w:lineRule="auto"/>
        <w:ind w:right="480" w:firstLine="4920"/>
        <w:rPr>
          <w:rFonts w:hint="eastAsia" w:ascii="宋体" w:hAnsi="宋体" w:eastAsia="宋体" w:cs="宋体"/>
          <w:color w:val="auto"/>
          <w:sz w:val="24"/>
          <w:szCs w:val="24"/>
          <w:highlight w:val="none"/>
        </w:rPr>
      </w:pPr>
    </w:p>
    <w:p w14:paraId="55D8E4DB">
      <w:pPr>
        <w:spacing w:line="360" w:lineRule="auto"/>
        <w:ind w:right="480" w:firstLine="4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790A4DAA">
      <w:pPr>
        <w:spacing w:line="360" w:lineRule="auto"/>
        <w:ind w:right="480" w:firstLine="49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p w14:paraId="55EDB096">
      <w:pPr>
        <w:spacing w:line="360" w:lineRule="auto"/>
        <w:ind w:right="480" w:firstLine="482"/>
        <w:rPr>
          <w:rFonts w:hint="eastAsia" w:ascii="宋体" w:hAnsi="宋体" w:eastAsia="宋体" w:cs="宋体"/>
          <w:b/>
          <w:color w:val="auto"/>
          <w:sz w:val="24"/>
          <w:szCs w:val="24"/>
          <w:highlight w:val="none"/>
        </w:rPr>
      </w:pPr>
    </w:p>
    <w:p w14:paraId="6CE8C595">
      <w:pPr>
        <w:spacing w:line="360" w:lineRule="auto"/>
        <w:ind w:right="480" w:firstLine="482"/>
        <w:rPr>
          <w:rFonts w:hint="eastAsia" w:ascii="宋体" w:hAnsi="宋体" w:eastAsia="宋体" w:cs="宋体"/>
          <w:b/>
          <w:color w:val="auto"/>
          <w:sz w:val="24"/>
          <w:szCs w:val="24"/>
          <w:highlight w:val="none"/>
        </w:rPr>
      </w:pPr>
    </w:p>
    <w:p w14:paraId="197E09DD">
      <w:pPr>
        <w:spacing w:line="360" w:lineRule="auto"/>
        <w:ind w:right="480" w:firstLine="482"/>
        <w:rPr>
          <w:rFonts w:hint="eastAsia" w:ascii="宋体" w:hAnsi="宋体" w:eastAsia="宋体" w:cs="宋体"/>
          <w:b/>
          <w:color w:val="auto"/>
          <w:sz w:val="24"/>
          <w:szCs w:val="24"/>
          <w:highlight w:val="none"/>
        </w:rPr>
      </w:pPr>
    </w:p>
    <w:p w14:paraId="034308DC">
      <w:pPr>
        <w:spacing w:line="360" w:lineRule="auto"/>
        <w:ind w:right="480" w:firstLine="482"/>
        <w:rPr>
          <w:rFonts w:hint="eastAsia" w:ascii="宋体" w:hAnsi="宋体" w:eastAsia="宋体" w:cs="宋体"/>
          <w:b/>
          <w:color w:val="auto"/>
          <w:sz w:val="24"/>
          <w:szCs w:val="24"/>
          <w:highlight w:val="none"/>
        </w:rPr>
      </w:pPr>
    </w:p>
    <w:p w14:paraId="117A77D8">
      <w:pPr>
        <w:spacing w:line="360" w:lineRule="auto"/>
        <w:ind w:right="4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填报说明：</w:t>
      </w:r>
    </w:p>
    <w:p w14:paraId="7850FD4E">
      <w:pPr>
        <w:spacing w:line="360" w:lineRule="auto"/>
        <w:ind w:right="4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1、从业人员、营业收入、资产总额填报上一年度数据，无上一年度数据的新成立企业可不填报。</w:t>
      </w:r>
    </w:p>
    <w:p w14:paraId="21092B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2、请供应商如实填写，所填内容将作为评审的依据。其内容填写须与分项报价表一致，如填写不完整或不一致，将不享受扶持政策。</w:t>
      </w:r>
    </w:p>
    <w:p w14:paraId="77FE1C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3、中标供应商的《中小企业声明函》随中标结果公开。</w:t>
      </w:r>
    </w:p>
    <w:p w14:paraId="7A1FBF40">
      <w:pPr>
        <w:spacing w:line="360" w:lineRule="auto"/>
        <w:ind w:firstLine="482"/>
        <w:rPr>
          <w:rFonts w:hint="eastAsia" w:ascii="宋体" w:hAnsi="宋体" w:eastAsia="宋体" w:cs="宋体"/>
          <w:b/>
          <w:color w:val="auto"/>
          <w:sz w:val="24"/>
          <w:szCs w:val="24"/>
          <w:highlight w:val="none"/>
        </w:rPr>
      </w:pPr>
    </w:p>
    <w:p w14:paraId="3CA1BF29">
      <w:pPr>
        <w:widowControl/>
        <w:spacing w:line="360" w:lineRule="auto"/>
        <w:jc w:val="left"/>
        <w:rPr>
          <w:rFonts w:hint="eastAsia" w:ascii="宋体" w:hAnsi="宋体" w:eastAsia="宋体" w:cs="宋体"/>
          <w:b/>
          <w:color w:val="auto"/>
          <w:sz w:val="28"/>
          <w:szCs w:val="20"/>
          <w:highlight w:val="none"/>
        </w:rPr>
      </w:pPr>
      <w:r>
        <w:rPr>
          <w:rFonts w:hint="eastAsia" w:ascii="宋体" w:hAnsi="宋体" w:eastAsia="宋体" w:cs="宋体"/>
          <w:color w:val="auto"/>
          <w:sz w:val="24"/>
          <w:szCs w:val="24"/>
          <w:highlight w:val="none"/>
        </w:rPr>
        <w:t>格式5、残疾人福利性企业声明函</w:t>
      </w:r>
    </w:p>
    <w:p w14:paraId="631A5CA7">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残疾人福利性单位声明函</w:t>
      </w:r>
    </w:p>
    <w:p w14:paraId="1F979B41">
      <w:pPr>
        <w:spacing w:line="360" w:lineRule="auto"/>
        <w:jc w:val="left"/>
        <w:rPr>
          <w:rFonts w:hint="eastAsia" w:ascii="宋体" w:hAnsi="宋体" w:eastAsia="宋体" w:cs="宋体"/>
          <w:color w:val="auto"/>
          <w:szCs w:val="24"/>
          <w:highlight w:val="none"/>
        </w:rPr>
      </w:pPr>
    </w:p>
    <w:p w14:paraId="42C0475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08EA3B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（货物名称）</w:t>
      </w:r>
      <w:r>
        <w:rPr>
          <w:rFonts w:hint="eastAsia" w:ascii="宋体" w:hAnsi="宋体" w:eastAsia="宋体" w:cs="宋体"/>
          <w:color w:val="auto"/>
          <w:sz w:val="24"/>
          <w:szCs w:val="24"/>
          <w:highlight w:val="none"/>
        </w:rPr>
        <w:t xml:space="preserve"> ，制造商为</w:t>
      </w:r>
      <w:r>
        <w:rPr>
          <w:rFonts w:hint="eastAsia" w:ascii="宋体" w:hAnsi="宋体" w:eastAsia="宋体" w:cs="宋体"/>
          <w:color w:val="auto"/>
          <w:sz w:val="24"/>
          <w:szCs w:val="24"/>
          <w:highlight w:val="none"/>
          <w:u w:val="single"/>
        </w:rPr>
        <w:t>　（企业名称）　</w:t>
      </w:r>
      <w:r>
        <w:rPr>
          <w:rFonts w:hint="eastAsia" w:ascii="宋体" w:hAnsi="宋体" w:eastAsia="宋体" w:cs="宋体"/>
          <w:color w:val="auto"/>
          <w:sz w:val="24"/>
          <w:szCs w:val="24"/>
          <w:highlight w:val="none"/>
        </w:rPr>
        <w:t xml:space="preserve">，属于残疾人福利性单位； </w:t>
      </w:r>
    </w:p>
    <w:p w14:paraId="19ABB2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（货物名称）</w:t>
      </w:r>
      <w:r>
        <w:rPr>
          <w:rFonts w:hint="eastAsia" w:ascii="宋体" w:hAnsi="宋体" w:eastAsia="宋体" w:cs="宋体"/>
          <w:color w:val="auto"/>
          <w:sz w:val="24"/>
          <w:szCs w:val="24"/>
          <w:highlight w:val="none"/>
        </w:rPr>
        <w:t xml:space="preserve"> ，制造商为</w:t>
      </w:r>
      <w:r>
        <w:rPr>
          <w:rFonts w:hint="eastAsia" w:ascii="宋体" w:hAnsi="宋体" w:eastAsia="宋体" w:cs="宋体"/>
          <w:color w:val="auto"/>
          <w:sz w:val="24"/>
          <w:szCs w:val="24"/>
          <w:highlight w:val="none"/>
          <w:u w:val="single"/>
        </w:rPr>
        <w:t>　（企业名称）　</w:t>
      </w:r>
      <w:r>
        <w:rPr>
          <w:rFonts w:hint="eastAsia" w:ascii="宋体" w:hAnsi="宋体" w:eastAsia="宋体" w:cs="宋体"/>
          <w:color w:val="auto"/>
          <w:sz w:val="24"/>
          <w:szCs w:val="24"/>
          <w:highlight w:val="none"/>
        </w:rPr>
        <w:t>，属于残疾人福利性单位；</w:t>
      </w:r>
    </w:p>
    <w:p w14:paraId="5B68A08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 </w:t>
      </w:r>
    </w:p>
    <w:p w14:paraId="35BFE77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94B6A49">
      <w:pPr>
        <w:spacing w:line="360" w:lineRule="auto"/>
        <w:ind w:firstLine="480"/>
        <w:rPr>
          <w:rFonts w:hint="eastAsia" w:ascii="宋体" w:hAnsi="宋体" w:eastAsia="宋体" w:cs="宋体"/>
          <w:color w:val="auto"/>
          <w:sz w:val="24"/>
          <w:szCs w:val="24"/>
          <w:highlight w:val="none"/>
        </w:rPr>
      </w:pPr>
    </w:p>
    <w:p w14:paraId="6BF567E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企业名称(盖章)：</w:t>
      </w:r>
    </w:p>
    <w:p w14:paraId="547013F2">
      <w:pPr>
        <w:spacing w:line="360" w:lineRule="auto"/>
        <w:ind w:firstLine="480"/>
        <w:rPr>
          <w:rFonts w:hint="eastAsia" w:ascii="宋体" w:hAnsi="宋体" w:eastAsia="宋体" w:cs="宋体"/>
          <w:b/>
          <w:color w:val="auto"/>
          <w:sz w:val="22"/>
          <w:szCs w:val="21"/>
          <w:highlight w:val="none"/>
        </w:rPr>
      </w:pPr>
      <w:r>
        <w:rPr>
          <w:rFonts w:hint="eastAsia" w:ascii="宋体" w:hAnsi="宋体" w:eastAsia="宋体" w:cs="宋体"/>
          <w:color w:val="auto"/>
          <w:sz w:val="24"/>
          <w:szCs w:val="24"/>
          <w:highlight w:val="none"/>
        </w:rPr>
        <w:t>　　　　　　　　　　　　　　　　　　日期：   年   月   日</w:t>
      </w:r>
    </w:p>
    <w:p w14:paraId="4631A94E">
      <w:pPr>
        <w:spacing w:line="360" w:lineRule="auto"/>
        <w:ind w:firstLine="442"/>
        <w:rPr>
          <w:rFonts w:hint="eastAsia" w:ascii="宋体" w:hAnsi="宋体" w:eastAsia="宋体" w:cs="宋体"/>
          <w:b/>
          <w:color w:val="auto"/>
          <w:sz w:val="22"/>
          <w:szCs w:val="21"/>
          <w:highlight w:val="none"/>
        </w:rPr>
      </w:pPr>
    </w:p>
    <w:p w14:paraId="1D35D175">
      <w:pPr>
        <w:spacing w:line="360" w:lineRule="auto"/>
        <w:ind w:firstLine="442"/>
        <w:rPr>
          <w:rFonts w:hint="eastAsia" w:ascii="宋体" w:hAnsi="宋体" w:eastAsia="宋体" w:cs="宋体"/>
          <w:b/>
          <w:color w:val="auto"/>
          <w:sz w:val="22"/>
          <w:szCs w:val="21"/>
          <w:highlight w:val="none"/>
        </w:rPr>
      </w:pPr>
    </w:p>
    <w:p w14:paraId="66424F32">
      <w:pPr>
        <w:spacing w:line="360" w:lineRule="auto"/>
        <w:ind w:firstLine="442"/>
        <w:rPr>
          <w:rFonts w:hint="eastAsia" w:ascii="宋体" w:hAnsi="宋体" w:eastAsia="宋体" w:cs="宋体"/>
          <w:b/>
          <w:color w:val="auto"/>
          <w:sz w:val="22"/>
          <w:szCs w:val="21"/>
          <w:highlight w:val="none"/>
        </w:rPr>
      </w:pPr>
    </w:p>
    <w:p w14:paraId="7456700F">
      <w:pPr>
        <w:spacing w:line="360" w:lineRule="auto"/>
        <w:ind w:firstLine="442"/>
        <w:rPr>
          <w:rFonts w:hint="eastAsia" w:ascii="宋体" w:hAnsi="宋体" w:eastAsia="宋体" w:cs="宋体"/>
          <w:b/>
          <w:color w:val="auto"/>
          <w:sz w:val="22"/>
          <w:szCs w:val="21"/>
          <w:highlight w:val="none"/>
        </w:rPr>
      </w:pPr>
    </w:p>
    <w:p w14:paraId="746E39DB">
      <w:pPr>
        <w:spacing w:line="360" w:lineRule="auto"/>
        <w:ind w:firstLine="442"/>
        <w:rPr>
          <w:rFonts w:hint="eastAsia" w:ascii="宋体" w:hAnsi="宋体" w:eastAsia="宋体" w:cs="宋体"/>
          <w:b/>
          <w:color w:val="auto"/>
          <w:sz w:val="22"/>
          <w:szCs w:val="21"/>
          <w:highlight w:val="none"/>
        </w:rPr>
      </w:pPr>
    </w:p>
    <w:p w14:paraId="230E41AC">
      <w:pPr>
        <w:spacing w:line="360" w:lineRule="auto"/>
        <w:ind w:firstLine="442"/>
        <w:rPr>
          <w:rFonts w:hint="eastAsia" w:ascii="宋体" w:hAnsi="宋体" w:eastAsia="宋体" w:cs="宋体"/>
          <w:b/>
          <w:color w:val="auto"/>
          <w:sz w:val="22"/>
          <w:szCs w:val="21"/>
          <w:highlight w:val="none"/>
        </w:rPr>
      </w:pPr>
    </w:p>
    <w:p w14:paraId="35A9094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填报说明：</w:t>
      </w:r>
    </w:p>
    <w:p w14:paraId="28D1A616">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1、请供应商如实填写，所填内容将作为评审的依据。</w:t>
      </w:r>
      <w:r>
        <w:rPr>
          <w:rFonts w:hint="eastAsia" w:ascii="宋体" w:hAnsi="宋体" w:eastAsia="宋体" w:cs="宋体"/>
          <w:color w:val="auto"/>
          <w:sz w:val="24"/>
          <w:szCs w:val="24"/>
          <w:highlight w:val="none"/>
        </w:rPr>
        <w:t>其内容填写须与分项报价表一致，如填写不完整或不一致，将不享受扶</w:t>
      </w:r>
      <w:r>
        <w:rPr>
          <w:rFonts w:hint="eastAsia" w:ascii="宋体" w:hAnsi="宋体" w:eastAsia="宋体" w:cs="宋体"/>
          <w:bCs/>
          <w:color w:val="auto"/>
          <w:sz w:val="24"/>
          <w:szCs w:val="24"/>
          <w:highlight w:val="none"/>
        </w:rPr>
        <w:t>持政策。</w:t>
      </w:r>
    </w:p>
    <w:p w14:paraId="478DD0EF">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2、中标供应商的《残疾人福利性单位声明函》随中标结果公开。</w:t>
      </w:r>
    </w:p>
    <w:p w14:paraId="3657D1C6">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格式6、具备履行合同所必需的设备和专业技术能力的声明及证明材料</w:t>
      </w:r>
    </w:p>
    <w:p w14:paraId="3116A9A2">
      <w:pPr>
        <w:spacing w:line="360" w:lineRule="auto"/>
        <w:jc w:val="left"/>
        <w:rPr>
          <w:rFonts w:hint="eastAsia" w:ascii="宋体" w:hAnsi="宋体" w:eastAsia="宋体" w:cs="宋体"/>
          <w:color w:val="auto"/>
          <w:szCs w:val="24"/>
          <w:highlight w:val="none"/>
        </w:rPr>
      </w:pPr>
    </w:p>
    <w:p w14:paraId="113A1798">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具备履行合同所必需的设备和专业技术能力的声明及证明材料</w:t>
      </w:r>
    </w:p>
    <w:p w14:paraId="04ED99C5">
      <w:pPr>
        <w:spacing w:line="360" w:lineRule="auto"/>
        <w:rPr>
          <w:rFonts w:hint="eastAsia" w:ascii="宋体" w:hAnsi="宋体" w:eastAsia="宋体" w:cs="宋体"/>
          <w:color w:val="auto"/>
          <w:sz w:val="24"/>
          <w:szCs w:val="24"/>
          <w:highlight w:val="none"/>
        </w:rPr>
      </w:pPr>
    </w:p>
    <w:p w14:paraId="4DBCCD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rPr>
        <w:t>郑重声明：我单位具备履行本项采购合同所必需的设备和专业技术能力，为履行本项采购合同我单位具备如下主要设备和主要专业技术能力：</w:t>
      </w:r>
    </w:p>
    <w:p w14:paraId="7F0E408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p>
    <w:p w14:paraId="1930D8C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p>
    <w:p w14:paraId="0FC5E3B5">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注：须附证明材料。</w:t>
      </w:r>
    </w:p>
    <w:p w14:paraId="63B53E4F">
      <w:pPr>
        <w:spacing w:line="360" w:lineRule="auto"/>
        <w:ind w:firstLine="480"/>
        <w:rPr>
          <w:rFonts w:hint="eastAsia" w:ascii="宋体" w:hAnsi="宋体" w:eastAsia="宋体" w:cs="宋体"/>
          <w:color w:val="auto"/>
          <w:sz w:val="24"/>
          <w:szCs w:val="24"/>
          <w:highlight w:val="none"/>
        </w:rPr>
      </w:pPr>
    </w:p>
    <w:p w14:paraId="3C7013E6">
      <w:pPr>
        <w:spacing w:line="360" w:lineRule="auto"/>
        <w:ind w:firstLine="480"/>
        <w:rPr>
          <w:rFonts w:hint="eastAsia" w:ascii="宋体" w:hAnsi="宋体" w:eastAsia="宋体" w:cs="宋体"/>
          <w:color w:val="auto"/>
          <w:sz w:val="24"/>
          <w:szCs w:val="24"/>
          <w:highlight w:val="none"/>
        </w:rPr>
      </w:pPr>
    </w:p>
    <w:p w14:paraId="4621DBC3">
      <w:pPr>
        <w:spacing w:line="360" w:lineRule="auto"/>
        <w:ind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声明人（盖章）：</w:t>
      </w:r>
    </w:p>
    <w:p w14:paraId="014616C3">
      <w:pPr>
        <w:spacing w:line="360" w:lineRule="auto"/>
        <w:ind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1C10FABA">
      <w:pPr>
        <w:spacing w:line="360" w:lineRule="auto"/>
        <w:ind w:firstLine="422"/>
        <w:rPr>
          <w:rFonts w:hint="eastAsia" w:ascii="宋体" w:hAnsi="宋体" w:eastAsia="宋体" w:cs="宋体"/>
          <w:b/>
          <w:color w:val="auto"/>
          <w:szCs w:val="24"/>
          <w:highlight w:val="none"/>
        </w:rPr>
      </w:pPr>
    </w:p>
    <w:p w14:paraId="22416C36">
      <w:pPr>
        <w:spacing w:line="360" w:lineRule="auto"/>
        <w:ind w:firstLine="422"/>
        <w:rPr>
          <w:rFonts w:hint="eastAsia" w:ascii="宋体" w:hAnsi="宋体" w:eastAsia="宋体" w:cs="宋体"/>
          <w:b/>
          <w:color w:val="auto"/>
          <w:szCs w:val="24"/>
          <w:highlight w:val="none"/>
        </w:rPr>
      </w:pPr>
    </w:p>
    <w:p w14:paraId="43FB9F8B">
      <w:pPr>
        <w:spacing w:line="360" w:lineRule="auto"/>
        <w:ind w:firstLine="422"/>
        <w:rPr>
          <w:rFonts w:hint="eastAsia" w:ascii="宋体" w:hAnsi="宋体" w:eastAsia="宋体" w:cs="宋体"/>
          <w:b/>
          <w:color w:val="auto"/>
          <w:szCs w:val="24"/>
          <w:highlight w:val="none"/>
        </w:rPr>
      </w:pPr>
    </w:p>
    <w:p w14:paraId="06FD0480">
      <w:pPr>
        <w:spacing w:line="360" w:lineRule="auto"/>
        <w:ind w:firstLine="422"/>
        <w:rPr>
          <w:rFonts w:hint="eastAsia" w:ascii="宋体" w:hAnsi="宋体" w:eastAsia="宋体" w:cs="宋体"/>
          <w:b/>
          <w:color w:val="auto"/>
          <w:szCs w:val="24"/>
          <w:highlight w:val="none"/>
        </w:rPr>
      </w:pPr>
    </w:p>
    <w:p w14:paraId="7DD0ED14">
      <w:pPr>
        <w:keepNext/>
        <w:spacing w:line="360" w:lineRule="auto"/>
        <w:outlineLvl w:val="1"/>
        <w:rPr>
          <w:rFonts w:hint="eastAsia" w:ascii="宋体" w:hAnsi="宋体" w:eastAsia="宋体" w:cs="宋体"/>
          <w:b/>
          <w:color w:val="auto"/>
          <w:sz w:val="28"/>
          <w:szCs w:val="20"/>
          <w:highlight w:val="none"/>
        </w:rPr>
      </w:pPr>
      <w:r>
        <w:rPr>
          <w:rFonts w:hint="eastAsia" w:ascii="宋体" w:hAnsi="宋体" w:eastAsia="宋体" w:cs="宋体"/>
          <w:color w:val="auto"/>
          <w:sz w:val="28"/>
          <w:szCs w:val="20"/>
          <w:highlight w:val="none"/>
        </w:rPr>
        <w:br w:type="page" w:clear="all"/>
      </w:r>
      <w:r>
        <w:rPr>
          <w:rFonts w:hint="eastAsia" w:ascii="宋体" w:hAnsi="宋体" w:eastAsia="宋体" w:cs="宋体"/>
          <w:color w:val="auto"/>
          <w:sz w:val="24"/>
          <w:szCs w:val="24"/>
          <w:highlight w:val="none"/>
        </w:rPr>
        <w:t>格式7、参加政府采购活动前 3 年内在经营活动中没有重大违法记录的书面声明</w:t>
      </w:r>
    </w:p>
    <w:p w14:paraId="2292515A">
      <w:pPr>
        <w:spacing w:line="360" w:lineRule="auto"/>
        <w:ind w:firstLine="420"/>
        <w:rPr>
          <w:rFonts w:hint="eastAsia" w:ascii="宋体" w:hAnsi="宋体" w:eastAsia="宋体" w:cs="宋体"/>
          <w:color w:val="auto"/>
          <w:szCs w:val="24"/>
          <w:highlight w:val="none"/>
        </w:rPr>
      </w:pPr>
    </w:p>
    <w:p w14:paraId="30F96C64">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声  明</w:t>
      </w:r>
    </w:p>
    <w:p w14:paraId="231FC1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77CD74D6">
      <w:pPr>
        <w:spacing w:line="360" w:lineRule="auto"/>
        <w:ind w:firstLine="480"/>
        <w:rPr>
          <w:rFonts w:hint="eastAsia" w:ascii="宋体" w:hAnsi="宋体" w:eastAsia="宋体" w:cs="宋体"/>
          <w:bCs/>
          <w:color w:val="auto"/>
          <w:sz w:val="24"/>
          <w:szCs w:val="24"/>
          <w:highlight w:val="none"/>
        </w:rPr>
      </w:pPr>
    </w:p>
    <w:p w14:paraId="612604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36D44B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516A25B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日期：年月日</w:t>
      </w:r>
    </w:p>
    <w:p w14:paraId="044E1D79">
      <w:pPr>
        <w:keepNext/>
        <w:spacing w:line="360" w:lineRule="auto"/>
        <w:outlineLvl w:val="1"/>
        <w:rPr>
          <w:rFonts w:hint="eastAsia" w:ascii="宋体" w:hAnsi="宋体" w:eastAsia="宋体" w:cs="宋体"/>
          <w:bCs/>
          <w:color w:val="auto"/>
          <w:sz w:val="36"/>
          <w:szCs w:val="28"/>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格式8、法定代表人授权委托书</w:t>
      </w:r>
    </w:p>
    <w:p w14:paraId="00464FE6">
      <w:pPr>
        <w:spacing w:line="360" w:lineRule="auto"/>
        <w:ind w:firstLine="720"/>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法定代表人授权委托书</w:t>
      </w:r>
    </w:p>
    <w:p w14:paraId="63D238FF">
      <w:pPr>
        <w:spacing w:line="360" w:lineRule="auto"/>
        <w:ind w:firstLine="420"/>
        <w:rPr>
          <w:rFonts w:hint="eastAsia" w:ascii="宋体" w:hAnsi="宋体" w:eastAsia="宋体" w:cs="宋体"/>
          <w:color w:val="auto"/>
          <w:szCs w:val="20"/>
          <w:highlight w:val="none"/>
        </w:rPr>
      </w:pPr>
    </w:p>
    <w:p w14:paraId="7B8B05C3">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致：</w:t>
      </w:r>
      <w:r>
        <w:rPr>
          <w:rFonts w:hint="eastAsia" w:ascii="宋体" w:hAnsi="宋体" w:eastAsia="宋体" w:cs="宋体"/>
          <w:i/>
          <w:color w:val="auto"/>
          <w:sz w:val="24"/>
          <w:szCs w:val="24"/>
          <w:highlight w:val="none"/>
          <w:u w:val="single"/>
        </w:rPr>
        <w:t>采购单位</w:t>
      </w:r>
    </w:p>
    <w:p w14:paraId="5B60FA42">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本人</w:t>
      </w:r>
      <w:r>
        <w:rPr>
          <w:rFonts w:hint="eastAsia" w:ascii="宋体" w:hAnsi="宋体" w:eastAsia="宋体" w:cs="宋体"/>
          <w:color w:val="auto"/>
          <w:sz w:val="24"/>
          <w:szCs w:val="24"/>
          <w:highlight w:val="none"/>
          <w:lang w:val="zh-CN"/>
        </w:rPr>
        <w:t>_______</w:t>
      </w:r>
      <w:r>
        <w:rPr>
          <w:rFonts w:hint="eastAsia" w:ascii="宋体" w:hAnsi="宋体" w:eastAsia="宋体" w:cs="宋体"/>
          <w:color w:val="auto"/>
          <w:sz w:val="24"/>
          <w:szCs w:val="20"/>
          <w:highlight w:val="none"/>
        </w:rPr>
        <w:t>（姓名）系</w:t>
      </w:r>
      <w:r>
        <w:rPr>
          <w:rFonts w:hint="eastAsia" w:ascii="宋体" w:hAnsi="宋体" w:eastAsia="宋体" w:cs="宋体"/>
          <w:color w:val="auto"/>
          <w:sz w:val="24"/>
          <w:szCs w:val="24"/>
          <w:highlight w:val="none"/>
          <w:lang w:val="zh-CN"/>
        </w:rPr>
        <w:t>________________</w:t>
      </w:r>
      <w:r>
        <w:rPr>
          <w:rFonts w:hint="eastAsia" w:ascii="宋体" w:hAnsi="宋体" w:eastAsia="宋体" w:cs="宋体"/>
          <w:color w:val="auto"/>
          <w:sz w:val="24"/>
          <w:szCs w:val="20"/>
          <w:highlight w:val="none"/>
        </w:rPr>
        <w:t>（投标人名称）的法定代表人（单位负责人），现委托</w:t>
      </w:r>
      <w:r>
        <w:rPr>
          <w:rFonts w:hint="eastAsia" w:ascii="宋体" w:hAnsi="宋体" w:eastAsia="宋体" w:cs="宋体"/>
          <w:color w:val="auto"/>
          <w:sz w:val="24"/>
          <w:szCs w:val="24"/>
          <w:highlight w:val="none"/>
          <w:lang w:val="zh-CN"/>
        </w:rPr>
        <w:t>_______</w:t>
      </w:r>
      <w:r>
        <w:rPr>
          <w:rFonts w:hint="eastAsia" w:ascii="宋体" w:hAnsi="宋体" w:eastAsia="宋体" w:cs="宋体"/>
          <w:color w:val="auto"/>
          <w:sz w:val="24"/>
          <w:szCs w:val="20"/>
          <w:highlight w:val="none"/>
        </w:rPr>
        <w:t>（姓名）为我方代理人。代理人根据授权，以我方名义签署、澄清确认、递交、撤回、修改</w:t>
      </w:r>
      <w:r>
        <w:rPr>
          <w:rFonts w:hint="eastAsia" w:ascii="宋体" w:hAnsi="宋体" w:eastAsia="宋体" w:cs="宋体"/>
          <w:i/>
          <w:color w:val="auto"/>
          <w:sz w:val="24"/>
          <w:szCs w:val="24"/>
          <w:highlight w:val="none"/>
          <w:u w:val="single"/>
        </w:rPr>
        <w:t>标段名称</w:t>
      </w:r>
      <w:r>
        <w:rPr>
          <w:rFonts w:hint="eastAsia" w:ascii="宋体" w:hAnsi="宋体" w:eastAsia="宋体" w:cs="宋体"/>
          <w:color w:val="auto"/>
          <w:sz w:val="24"/>
          <w:szCs w:val="24"/>
          <w:highlight w:val="none"/>
        </w:rPr>
        <w:t>项目（标段编号：</w:t>
      </w:r>
      <w:r>
        <w:rPr>
          <w:rFonts w:hint="eastAsia" w:ascii="宋体" w:hAnsi="宋体" w:eastAsia="宋体" w:cs="宋体"/>
          <w:i/>
          <w:color w:val="auto"/>
          <w:sz w:val="24"/>
          <w:szCs w:val="24"/>
          <w:highlight w:val="none"/>
          <w:u w:val="single"/>
        </w:rPr>
        <w:t>标段编号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0"/>
          <w:highlight w:val="none"/>
        </w:rPr>
        <w:t>投标文件和处理有关事宜，其法律后果由我方承担。</w:t>
      </w:r>
    </w:p>
    <w:p w14:paraId="0DA9245A">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委托期限：自本授权委托书签署之日起至响应有效期届满之日止。</w:t>
      </w:r>
    </w:p>
    <w:p w14:paraId="10501BB8">
      <w:pPr>
        <w:spacing w:line="360" w:lineRule="auto"/>
        <w:ind w:firstLine="42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代理人无转委托权。</w:t>
      </w:r>
    </w:p>
    <w:p w14:paraId="219A52E9">
      <w:pPr>
        <w:spacing w:line="360" w:lineRule="auto"/>
        <w:ind w:firstLine="420"/>
        <w:rPr>
          <w:rFonts w:hint="eastAsia" w:ascii="宋体" w:hAnsi="宋体" w:eastAsia="宋体" w:cs="宋体"/>
          <w:color w:val="auto"/>
          <w:sz w:val="24"/>
          <w:szCs w:val="20"/>
          <w:highlight w:val="none"/>
        </w:rPr>
      </w:pPr>
    </w:p>
    <w:p w14:paraId="036EC88B">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投标人名称（加盖公章）</w:t>
      </w:r>
      <w:r>
        <w:rPr>
          <w:rFonts w:hint="eastAsia" w:ascii="宋体" w:hAnsi="宋体" w:eastAsia="宋体" w:cs="宋体"/>
          <w:color w:val="auto"/>
          <w:sz w:val="24"/>
          <w:szCs w:val="24"/>
          <w:highlight w:val="none"/>
          <w:lang w:val="zh-CN"/>
        </w:rPr>
        <w:t>：________________</w:t>
      </w:r>
    </w:p>
    <w:p w14:paraId="7E3B1271">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法定代表人（单位负责人）（签字、签章或印鉴）：</w:t>
      </w:r>
      <w:r>
        <w:rPr>
          <w:rFonts w:hint="eastAsia" w:ascii="宋体" w:hAnsi="宋体" w:eastAsia="宋体" w:cs="宋体"/>
          <w:color w:val="auto"/>
          <w:sz w:val="24"/>
          <w:szCs w:val="24"/>
          <w:highlight w:val="none"/>
          <w:lang w:val="zh-CN"/>
        </w:rPr>
        <w:t>________________</w:t>
      </w:r>
    </w:p>
    <w:p w14:paraId="06825361">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委托代理人（签字/签章）：</w:t>
      </w:r>
      <w:r>
        <w:rPr>
          <w:rFonts w:hint="eastAsia" w:ascii="宋体" w:hAnsi="宋体" w:eastAsia="宋体" w:cs="宋体"/>
          <w:color w:val="auto"/>
          <w:sz w:val="24"/>
          <w:szCs w:val="24"/>
          <w:highlight w:val="none"/>
          <w:lang w:val="zh-CN"/>
        </w:rPr>
        <w:t>________________</w:t>
      </w:r>
    </w:p>
    <w:p w14:paraId="7170328C">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日期：_____年______月______日</w:t>
      </w:r>
    </w:p>
    <w:p w14:paraId="2DEC2825">
      <w:pPr>
        <w:tabs>
          <w:tab w:val="left" w:pos="5580"/>
        </w:tabs>
        <w:spacing w:line="360" w:lineRule="auto"/>
        <w:ind w:firstLine="480"/>
        <w:rPr>
          <w:rFonts w:hint="eastAsia" w:ascii="宋体" w:hAnsi="宋体" w:eastAsia="宋体" w:cs="宋体"/>
          <w:color w:val="auto"/>
          <w:sz w:val="24"/>
          <w:szCs w:val="20"/>
          <w:highlight w:val="none"/>
        </w:rPr>
      </w:pPr>
    </w:p>
    <w:p w14:paraId="10EC1950">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法定代表人（单位负责人）有效期内的身份证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2B5F9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191AB76D">
            <w:pPr>
              <w:tabs>
                <w:tab w:val="left" w:pos="5580"/>
              </w:tabs>
              <w:spacing w:line="360" w:lineRule="auto"/>
              <w:jc w:val="left"/>
              <w:rPr>
                <w:rFonts w:hint="eastAsia" w:ascii="宋体" w:hAnsi="宋体" w:eastAsia="宋体" w:cs="宋体"/>
                <w:color w:val="auto"/>
                <w:sz w:val="24"/>
                <w:szCs w:val="20"/>
                <w:highlight w:val="none"/>
              </w:rPr>
            </w:pPr>
          </w:p>
          <w:p w14:paraId="7E48D604">
            <w:pPr>
              <w:tabs>
                <w:tab w:val="left" w:pos="5580"/>
              </w:tabs>
              <w:spacing w:line="360" w:lineRule="auto"/>
              <w:jc w:val="left"/>
              <w:rPr>
                <w:rFonts w:hint="eastAsia" w:ascii="宋体" w:hAnsi="宋体" w:eastAsia="宋体" w:cs="宋体"/>
                <w:color w:val="auto"/>
                <w:sz w:val="24"/>
                <w:szCs w:val="20"/>
                <w:highlight w:val="none"/>
              </w:rPr>
            </w:pPr>
          </w:p>
          <w:p w14:paraId="0E798B10">
            <w:pPr>
              <w:tabs>
                <w:tab w:val="left" w:pos="5580"/>
              </w:tabs>
              <w:spacing w:line="360" w:lineRule="auto"/>
              <w:jc w:val="left"/>
              <w:rPr>
                <w:rFonts w:hint="eastAsia" w:ascii="宋体" w:hAnsi="宋体" w:eastAsia="宋体" w:cs="宋体"/>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tcPr>
          <w:p w14:paraId="30A3FA86">
            <w:pPr>
              <w:tabs>
                <w:tab w:val="left" w:pos="5580"/>
              </w:tabs>
              <w:spacing w:line="360" w:lineRule="auto"/>
              <w:jc w:val="left"/>
              <w:rPr>
                <w:rFonts w:hint="eastAsia" w:ascii="宋体" w:hAnsi="宋体" w:eastAsia="宋体" w:cs="宋体"/>
                <w:color w:val="auto"/>
                <w:sz w:val="24"/>
                <w:szCs w:val="20"/>
                <w:highlight w:val="none"/>
              </w:rPr>
            </w:pPr>
          </w:p>
          <w:p w14:paraId="5A958D79">
            <w:pPr>
              <w:tabs>
                <w:tab w:val="left" w:pos="5580"/>
              </w:tabs>
              <w:spacing w:line="360" w:lineRule="auto"/>
              <w:jc w:val="left"/>
              <w:rPr>
                <w:rFonts w:hint="eastAsia" w:ascii="宋体" w:hAnsi="宋体" w:eastAsia="宋体" w:cs="宋体"/>
                <w:color w:val="auto"/>
                <w:sz w:val="24"/>
                <w:szCs w:val="20"/>
                <w:highlight w:val="none"/>
              </w:rPr>
            </w:pPr>
          </w:p>
          <w:p w14:paraId="35E9E72D">
            <w:pPr>
              <w:tabs>
                <w:tab w:val="left" w:pos="5580"/>
              </w:tabs>
              <w:spacing w:line="360" w:lineRule="auto"/>
              <w:jc w:val="left"/>
              <w:rPr>
                <w:rFonts w:hint="eastAsia" w:ascii="宋体" w:hAnsi="宋体" w:eastAsia="宋体" w:cs="宋体"/>
                <w:color w:val="auto"/>
                <w:sz w:val="24"/>
                <w:szCs w:val="20"/>
                <w:highlight w:val="none"/>
              </w:rPr>
            </w:pPr>
          </w:p>
        </w:tc>
      </w:tr>
    </w:tbl>
    <w:p w14:paraId="7640641B">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委托代理人有效期内的身份证</w:t>
      </w:r>
      <w:r>
        <w:rPr>
          <w:rFonts w:hint="eastAsia" w:ascii="宋体" w:hAnsi="宋体" w:eastAsia="宋体" w:cs="宋体"/>
          <w:b/>
          <w:color w:val="auto"/>
          <w:sz w:val="24"/>
          <w:szCs w:val="20"/>
          <w:highlight w:val="none"/>
        </w:rPr>
        <w:t>正反面</w:t>
      </w:r>
      <w:r>
        <w:rPr>
          <w:rFonts w:hint="eastAsia" w:ascii="宋体" w:hAnsi="宋体" w:eastAsia="宋体" w:cs="宋体"/>
          <w:color w:val="auto"/>
          <w:sz w:val="24"/>
          <w:szCs w:val="20"/>
          <w:highlight w:val="none"/>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0BAF0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tcPr>
          <w:p w14:paraId="56DC77FA">
            <w:pPr>
              <w:tabs>
                <w:tab w:val="left" w:pos="5580"/>
              </w:tabs>
              <w:spacing w:line="360" w:lineRule="auto"/>
              <w:jc w:val="left"/>
              <w:rPr>
                <w:rFonts w:hint="eastAsia" w:ascii="宋体" w:hAnsi="宋体" w:eastAsia="宋体" w:cs="宋体"/>
                <w:color w:val="auto"/>
                <w:sz w:val="24"/>
                <w:szCs w:val="20"/>
                <w:highlight w:val="none"/>
              </w:rPr>
            </w:pPr>
          </w:p>
          <w:p w14:paraId="5B377B59">
            <w:pPr>
              <w:tabs>
                <w:tab w:val="left" w:pos="5580"/>
              </w:tabs>
              <w:spacing w:line="360" w:lineRule="auto"/>
              <w:jc w:val="left"/>
              <w:rPr>
                <w:rFonts w:hint="eastAsia" w:ascii="宋体" w:hAnsi="宋体" w:eastAsia="宋体" w:cs="宋体"/>
                <w:color w:val="auto"/>
                <w:sz w:val="24"/>
                <w:szCs w:val="20"/>
                <w:highlight w:val="none"/>
              </w:rPr>
            </w:pPr>
          </w:p>
          <w:p w14:paraId="058B6FB2">
            <w:pPr>
              <w:tabs>
                <w:tab w:val="left" w:pos="5580"/>
              </w:tabs>
              <w:spacing w:line="360" w:lineRule="auto"/>
              <w:jc w:val="left"/>
              <w:rPr>
                <w:rFonts w:hint="eastAsia" w:ascii="宋体" w:hAnsi="宋体" w:eastAsia="宋体" w:cs="宋体"/>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tcPr>
          <w:p w14:paraId="0FDC8B5A">
            <w:pPr>
              <w:tabs>
                <w:tab w:val="left" w:pos="5580"/>
              </w:tabs>
              <w:spacing w:line="360" w:lineRule="auto"/>
              <w:jc w:val="left"/>
              <w:rPr>
                <w:rFonts w:hint="eastAsia" w:ascii="宋体" w:hAnsi="宋体" w:eastAsia="宋体" w:cs="宋体"/>
                <w:color w:val="auto"/>
                <w:sz w:val="24"/>
                <w:szCs w:val="20"/>
                <w:highlight w:val="none"/>
              </w:rPr>
            </w:pPr>
          </w:p>
          <w:p w14:paraId="2ADA0BDD">
            <w:pPr>
              <w:tabs>
                <w:tab w:val="left" w:pos="5580"/>
              </w:tabs>
              <w:spacing w:line="360" w:lineRule="auto"/>
              <w:jc w:val="left"/>
              <w:rPr>
                <w:rFonts w:hint="eastAsia" w:ascii="宋体" w:hAnsi="宋体" w:eastAsia="宋体" w:cs="宋体"/>
                <w:color w:val="auto"/>
                <w:sz w:val="24"/>
                <w:szCs w:val="20"/>
                <w:highlight w:val="none"/>
              </w:rPr>
            </w:pPr>
          </w:p>
          <w:p w14:paraId="43ED6AC7">
            <w:pPr>
              <w:tabs>
                <w:tab w:val="left" w:pos="5580"/>
              </w:tabs>
              <w:spacing w:line="360" w:lineRule="auto"/>
              <w:jc w:val="left"/>
              <w:rPr>
                <w:rFonts w:hint="eastAsia" w:ascii="宋体" w:hAnsi="宋体" w:eastAsia="宋体" w:cs="宋体"/>
                <w:color w:val="auto"/>
                <w:sz w:val="24"/>
                <w:szCs w:val="20"/>
                <w:highlight w:val="none"/>
              </w:rPr>
            </w:pPr>
          </w:p>
        </w:tc>
      </w:tr>
    </w:tbl>
    <w:p w14:paraId="7F08F89B">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说明：</w:t>
      </w:r>
    </w:p>
    <w:p w14:paraId="3C316440">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1.若供应商为事业单位或其他组织或分支机构（仅当招标文件注明允许分支机构投标的），则法定代表人（单位负责人）处的签署人可为单位负责人。</w:t>
      </w:r>
    </w:p>
    <w:p w14:paraId="53844ED4">
      <w:pPr>
        <w:tabs>
          <w:tab w:val="left" w:pos="5580"/>
        </w:tabs>
        <w:spacing w:line="360" w:lineRule="auto"/>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2.若投标文件中签字之处均为法定代表人（单位负责人）本人签署，则可不提供本《授权委托书》，但须提供《法定代表人（单位负责人）身份证明》。</w:t>
      </w:r>
    </w:p>
    <w:p w14:paraId="7872553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rPr>
        <w:t>3.供应商为自然人的情形，可不提供本《授权委托书》。</w:t>
      </w:r>
    </w:p>
    <w:p w14:paraId="628688E5">
      <w:pPr>
        <w:keepNext/>
        <w:spacing w:line="360" w:lineRule="auto"/>
        <w:outlineLvl w:val="1"/>
        <w:rPr>
          <w:rFonts w:hint="eastAsia" w:ascii="宋体" w:hAnsi="宋体" w:eastAsia="宋体" w:cs="宋体"/>
          <w:bCs/>
          <w:color w:val="auto"/>
          <w:sz w:val="32"/>
          <w:szCs w:val="21"/>
          <w:highlight w:val="none"/>
        </w:rPr>
      </w:pP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格式9、商务条款偏离表</w:t>
      </w:r>
    </w:p>
    <w:p w14:paraId="5BA8F0B2">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商务条款偏离表</w:t>
      </w:r>
    </w:p>
    <w:p w14:paraId="1C2C48EA">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请逐条对应招标文件“项目需求”等内容要求的商务条件，填写该表。</w:t>
      </w:r>
    </w:p>
    <w:tbl>
      <w:tblPr>
        <w:tblStyle w:val="4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
        <w:gridCol w:w="1091"/>
        <w:gridCol w:w="1559"/>
        <w:gridCol w:w="1938"/>
        <w:gridCol w:w="2031"/>
        <w:gridCol w:w="1655"/>
      </w:tblGrid>
      <w:tr w14:paraId="1D8AC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vAlign w:val="center"/>
          </w:tcPr>
          <w:p w14:paraId="404F55C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91" w:type="dxa"/>
            <w:vAlign w:val="center"/>
          </w:tcPr>
          <w:p w14:paraId="41A0249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w:t>
            </w:r>
          </w:p>
        </w:tc>
        <w:tc>
          <w:tcPr>
            <w:tcW w:w="1559" w:type="dxa"/>
            <w:vAlign w:val="center"/>
          </w:tcPr>
          <w:p w14:paraId="2BF30C2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采购请求</w:t>
            </w:r>
          </w:p>
        </w:tc>
        <w:tc>
          <w:tcPr>
            <w:tcW w:w="1938" w:type="dxa"/>
            <w:vAlign w:val="center"/>
          </w:tcPr>
          <w:p w14:paraId="4B4D3CA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投标响应请求</w:t>
            </w:r>
          </w:p>
        </w:tc>
        <w:tc>
          <w:tcPr>
            <w:tcW w:w="2031" w:type="dxa"/>
            <w:vAlign w:val="center"/>
          </w:tcPr>
          <w:p w14:paraId="5B7A249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655" w:type="dxa"/>
            <w:vAlign w:val="center"/>
          </w:tcPr>
          <w:p w14:paraId="0ADAEE5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33315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2DDC47E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91" w:type="dxa"/>
          </w:tcPr>
          <w:p w14:paraId="2409A829">
            <w:pPr>
              <w:spacing w:line="360" w:lineRule="auto"/>
              <w:jc w:val="center"/>
              <w:rPr>
                <w:rFonts w:hint="eastAsia" w:ascii="宋体" w:hAnsi="宋体" w:eastAsia="宋体" w:cs="宋体"/>
                <w:bCs/>
                <w:color w:val="auto"/>
                <w:sz w:val="24"/>
                <w:szCs w:val="24"/>
                <w:highlight w:val="none"/>
                <w:lang w:val="zh-CN"/>
              </w:rPr>
            </w:pPr>
          </w:p>
        </w:tc>
        <w:tc>
          <w:tcPr>
            <w:tcW w:w="1559" w:type="dxa"/>
          </w:tcPr>
          <w:p w14:paraId="0A8E0D8E">
            <w:pPr>
              <w:spacing w:line="360" w:lineRule="auto"/>
              <w:jc w:val="center"/>
              <w:rPr>
                <w:rFonts w:hint="eastAsia" w:ascii="宋体" w:hAnsi="宋体" w:eastAsia="宋体" w:cs="宋体"/>
                <w:bCs/>
                <w:color w:val="auto"/>
                <w:sz w:val="24"/>
                <w:szCs w:val="24"/>
                <w:highlight w:val="none"/>
                <w:lang w:val="zh-CN"/>
              </w:rPr>
            </w:pPr>
          </w:p>
        </w:tc>
        <w:tc>
          <w:tcPr>
            <w:tcW w:w="1938" w:type="dxa"/>
          </w:tcPr>
          <w:p w14:paraId="5E0675AE">
            <w:pPr>
              <w:spacing w:line="360" w:lineRule="auto"/>
              <w:jc w:val="center"/>
              <w:rPr>
                <w:rFonts w:hint="eastAsia" w:ascii="宋体" w:hAnsi="宋体" w:eastAsia="宋体" w:cs="宋体"/>
                <w:bCs/>
                <w:color w:val="auto"/>
                <w:sz w:val="24"/>
                <w:szCs w:val="24"/>
                <w:highlight w:val="none"/>
                <w:lang w:val="zh-CN"/>
              </w:rPr>
            </w:pPr>
          </w:p>
        </w:tc>
        <w:tc>
          <w:tcPr>
            <w:tcW w:w="2031" w:type="dxa"/>
          </w:tcPr>
          <w:p w14:paraId="3E234502">
            <w:pPr>
              <w:spacing w:line="360" w:lineRule="auto"/>
              <w:jc w:val="center"/>
              <w:rPr>
                <w:rFonts w:hint="eastAsia" w:ascii="宋体" w:hAnsi="宋体" w:eastAsia="宋体" w:cs="宋体"/>
                <w:bCs/>
                <w:color w:val="auto"/>
                <w:sz w:val="24"/>
                <w:szCs w:val="24"/>
                <w:highlight w:val="none"/>
                <w:lang w:val="zh-CN"/>
              </w:rPr>
            </w:pPr>
          </w:p>
        </w:tc>
        <w:tc>
          <w:tcPr>
            <w:tcW w:w="1655" w:type="dxa"/>
          </w:tcPr>
          <w:p w14:paraId="56FD6F26">
            <w:pPr>
              <w:spacing w:line="360" w:lineRule="auto"/>
              <w:jc w:val="center"/>
              <w:rPr>
                <w:rFonts w:hint="eastAsia" w:ascii="宋体" w:hAnsi="宋体" w:eastAsia="宋体" w:cs="宋体"/>
                <w:bCs/>
                <w:color w:val="auto"/>
                <w:sz w:val="24"/>
                <w:szCs w:val="24"/>
                <w:highlight w:val="none"/>
                <w:lang w:val="zh-CN"/>
              </w:rPr>
            </w:pPr>
          </w:p>
        </w:tc>
      </w:tr>
      <w:tr w14:paraId="16E5F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52F9269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91" w:type="dxa"/>
          </w:tcPr>
          <w:p w14:paraId="2EC17C43">
            <w:pPr>
              <w:spacing w:line="360" w:lineRule="auto"/>
              <w:jc w:val="center"/>
              <w:rPr>
                <w:rFonts w:hint="eastAsia" w:ascii="宋体" w:hAnsi="宋体" w:eastAsia="宋体" w:cs="宋体"/>
                <w:bCs/>
                <w:color w:val="auto"/>
                <w:sz w:val="24"/>
                <w:szCs w:val="24"/>
                <w:highlight w:val="none"/>
                <w:lang w:val="zh-CN"/>
              </w:rPr>
            </w:pPr>
          </w:p>
        </w:tc>
        <w:tc>
          <w:tcPr>
            <w:tcW w:w="1559" w:type="dxa"/>
          </w:tcPr>
          <w:p w14:paraId="17145043">
            <w:pPr>
              <w:spacing w:line="360" w:lineRule="auto"/>
              <w:jc w:val="center"/>
              <w:rPr>
                <w:rFonts w:hint="eastAsia" w:ascii="宋体" w:hAnsi="宋体" w:eastAsia="宋体" w:cs="宋体"/>
                <w:bCs/>
                <w:color w:val="auto"/>
                <w:sz w:val="24"/>
                <w:szCs w:val="24"/>
                <w:highlight w:val="none"/>
                <w:lang w:val="zh-CN"/>
              </w:rPr>
            </w:pPr>
          </w:p>
        </w:tc>
        <w:tc>
          <w:tcPr>
            <w:tcW w:w="1938" w:type="dxa"/>
          </w:tcPr>
          <w:p w14:paraId="4C9F55E1">
            <w:pPr>
              <w:spacing w:line="360" w:lineRule="auto"/>
              <w:jc w:val="center"/>
              <w:rPr>
                <w:rFonts w:hint="eastAsia" w:ascii="宋体" w:hAnsi="宋体" w:eastAsia="宋体" w:cs="宋体"/>
                <w:bCs/>
                <w:color w:val="auto"/>
                <w:sz w:val="24"/>
                <w:szCs w:val="24"/>
                <w:highlight w:val="none"/>
                <w:lang w:val="zh-CN"/>
              </w:rPr>
            </w:pPr>
          </w:p>
        </w:tc>
        <w:tc>
          <w:tcPr>
            <w:tcW w:w="2031" w:type="dxa"/>
          </w:tcPr>
          <w:p w14:paraId="76AE9AF4">
            <w:pPr>
              <w:spacing w:line="360" w:lineRule="auto"/>
              <w:jc w:val="center"/>
              <w:rPr>
                <w:rFonts w:hint="eastAsia" w:ascii="宋体" w:hAnsi="宋体" w:eastAsia="宋体" w:cs="宋体"/>
                <w:bCs/>
                <w:color w:val="auto"/>
                <w:sz w:val="24"/>
                <w:szCs w:val="24"/>
                <w:highlight w:val="none"/>
                <w:lang w:val="zh-CN"/>
              </w:rPr>
            </w:pPr>
          </w:p>
        </w:tc>
        <w:tc>
          <w:tcPr>
            <w:tcW w:w="1655" w:type="dxa"/>
          </w:tcPr>
          <w:p w14:paraId="1B1A865F">
            <w:pPr>
              <w:spacing w:line="360" w:lineRule="auto"/>
              <w:jc w:val="center"/>
              <w:rPr>
                <w:rFonts w:hint="eastAsia" w:ascii="宋体" w:hAnsi="宋体" w:eastAsia="宋体" w:cs="宋体"/>
                <w:bCs/>
                <w:color w:val="auto"/>
                <w:sz w:val="24"/>
                <w:szCs w:val="24"/>
                <w:highlight w:val="none"/>
                <w:lang w:val="zh-CN"/>
              </w:rPr>
            </w:pPr>
          </w:p>
        </w:tc>
      </w:tr>
      <w:tr w14:paraId="639A4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6979031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91" w:type="dxa"/>
          </w:tcPr>
          <w:p w14:paraId="61EBCB66">
            <w:pPr>
              <w:spacing w:line="360" w:lineRule="auto"/>
              <w:jc w:val="center"/>
              <w:rPr>
                <w:rFonts w:hint="eastAsia" w:ascii="宋体" w:hAnsi="宋体" w:eastAsia="宋体" w:cs="宋体"/>
                <w:bCs/>
                <w:color w:val="auto"/>
                <w:sz w:val="24"/>
                <w:szCs w:val="24"/>
                <w:highlight w:val="none"/>
                <w:lang w:val="zh-CN"/>
              </w:rPr>
            </w:pPr>
          </w:p>
        </w:tc>
        <w:tc>
          <w:tcPr>
            <w:tcW w:w="1559" w:type="dxa"/>
          </w:tcPr>
          <w:p w14:paraId="305BD702">
            <w:pPr>
              <w:spacing w:line="360" w:lineRule="auto"/>
              <w:jc w:val="center"/>
              <w:rPr>
                <w:rFonts w:hint="eastAsia" w:ascii="宋体" w:hAnsi="宋体" w:eastAsia="宋体" w:cs="宋体"/>
                <w:bCs/>
                <w:color w:val="auto"/>
                <w:sz w:val="24"/>
                <w:szCs w:val="24"/>
                <w:highlight w:val="none"/>
                <w:lang w:val="zh-CN"/>
              </w:rPr>
            </w:pPr>
          </w:p>
        </w:tc>
        <w:tc>
          <w:tcPr>
            <w:tcW w:w="1938" w:type="dxa"/>
          </w:tcPr>
          <w:p w14:paraId="2A01CD1B">
            <w:pPr>
              <w:spacing w:line="360" w:lineRule="auto"/>
              <w:jc w:val="center"/>
              <w:rPr>
                <w:rFonts w:hint="eastAsia" w:ascii="宋体" w:hAnsi="宋体" w:eastAsia="宋体" w:cs="宋体"/>
                <w:bCs/>
                <w:color w:val="auto"/>
                <w:sz w:val="24"/>
                <w:szCs w:val="24"/>
                <w:highlight w:val="none"/>
                <w:lang w:val="zh-CN"/>
              </w:rPr>
            </w:pPr>
          </w:p>
        </w:tc>
        <w:tc>
          <w:tcPr>
            <w:tcW w:w="2031" w:type="dxa"/>
          </w:tcPr>
          <w:p w14:paraId="53AB7EAD">
            <w:pPr>
              <w:spacing w:line="360" w:lineRule="auto"/>
              <w:jc w:val="center"/>
              <w:rPr>
                <w:rFonts w:hint="eastAsia" w:ascii="宋体" w:hAnsi="宋体" w:eastAsia="宋体" w:cs="宋体"/>
                <w:bCs/>
                <w:color w:val="auto"/>
                <w:sz w:val="24"/>
                <w:szCs w:val="24"/>
                <w:highlight w:val="none"/>
                <w:lang w:val="zh-CN"/>
              </w:rPr>
            </w:pPr>
          </w:p>
        </w:tc>
        <w:tc>
          <w:tcPr>
            <w:tcW w:w="1655" w:type="dxa"/>
          </w:tcPr>
          <w:p w14:paraId="0E96F85A">
            <w:pPr>
              <w:spacing w:line="360" w:lineRule="auto"/>
              <w:jc w:val="center"/>
              <w:rPr>
                <w:rFonts w:hint="eastAsia" w:ascii="宋体" w:hAnsi="宋体" w:eastAsia="宋体" w:cs="宋体"/>
                <w:bCs/>
                <w:color w:val="auto"/>
                <w:sz w:val="24"/>
                <w:szCs w:val="24"/>
                <w:highlight w:val="none"/>
                <w:lang w:val="zh-CN"/>
              </w:rPr>
            </w:pPr>
          </w:p>
        </w:tc>
      </w:tr>
      <w:tr w14:paraId="356CA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1565822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091" w:type="dxa"/>
          </w:tcPr>
          <w:p w14:paraId="6731B280">
            <w:pPr>
              <w:spacing w:line="360" w:lineRule="auto"/>
              <w:jc w:val="center"/>
              <w:rPr>
                <w:rFonts w:hint="eastAsia" w:ascii="宋体" w:hAnsi="宋体" w:eastAsia="宋体" w:cs="宋体"/>
                <w:bCs/>
                <w:color w:val="auto"/>
                <w:sz w:val="24"/>
                <w:szCs w:val="24"/>
                <w:highlight w:val="none"/>
                <w:lang w:val="zh-CN"/>
              </w:rPr>
            </w:pPr>
          </w:p>
        </w:tc>
        <w:tc>
          <w:tcPr>
            <w:tcW w:w="1559" w:type="dxa"/>
          </w:tcPr>
          <w:p w14:paraId="5E34BB49">
            <w:pPr>
              <w:spacing w:line="360" w:lineRule="auto"/>
              <w:jc w:val="center"/>
              <w:rPr>
                <w:rFonts w:hint="eastAsia" w:ascii="宋体" w:hAnsi="宋体" w:eastAsia="宋体" w:cs="宋体"/>
                <w:bCs/>
                <w:color w:val="auto"/>
                <w:sz w:val="24"/>
                <w:szCs w:val="24"/>
                <w:highlight w:val="none"/>
                <w:lang w:val="zh-CN"/>
              </w:rPr>
            </w:pPr>
          </w:p>
        </w:tc>
        <w:tc>
          <w:tcPr>
            <w:tcW w:w="1938" w:type="dxa"/>
          </w:tcPr>
          <w:p w14:paraId="316175ED">
            <w:pPr>
              <w:spacing w:line="360" w:lineRule="auto"/>
              <w:jc w:val="center"/>
              <w:rPr>
                <w:rFonts w:hint="eastAsia" w:ascii="宋体" w:hAnsi="宋体" w:eastAsia="宋体" w:cs="宋体"/>
                <w:bCs/>
                <w:color w:val="auto"/>
                <w:sz w:val="24"/>
                <w:szCs w:val="24"/>
                <w:highlight w:val="none"/>
                <w:lang w:val="zh-CN"/>
              </w:rPr>
            </w:pPr>
          </w:p>
        </w:tc>
        <w:tc>
          <w:tcPr>
            <w:tcW w:w="2031" w:type="dxa"/>
          </w:tcPr>
          <w:p w14:paraId="580BFFF3">
            <w:pPr>
              <w:spacing w:line="360" w:lineRule="auto"/>
              <w:jc w:val="center"/>
              <w:rPr>
                <w:rFonts w:hint="eastAsia" w:ascii="宋体" w:hAnsi="宋体" w:eastAsia="宋体" w:cs="宋体"/>
                <w:bCs/>
                <w:color w:val="auto"/>
                <w:sz w:val="24"/>
                <w:szCs w:val="24"/>
                <w:highlight w:val="none"/>
                <w:lang w:val="zh-CN"/>
              </w:rPr>
            </w:pPr>
          </w:p>
        </w:tc>
        <w:tc>
          <w:tcPr>
            <w:tcW w:w="1655" w:type="dxa"/>
          </w:tcPr>
          <w:p w14:paraId="06472B04">
            <w:pPr>
              <w:spacing w:line="360" w:lineRule="auto"/>
              <w:jc w:val="center"/>
              <w:rPr>
                <w:rFonts w:hint="eastAsia" w:ascii="宋体" w:hAnsi="宋体" w:eastAsia="宋体" w:cs="宋体"/>
                <w:bCs/>
                <w:color w:val="auto"/>
                <w:sz w:val="24"/>
                <w:szCs w:val="24"/>
                <w:highlight w:val="none"/>
                <w:lang w:val="zh-CN"/>
              </w:rPr>
            </w:pPr>
          </w:p>
        </w:tc>
      </w:tr>
      <w:tr w14:paraId="05A20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tcPr>
          <w:p w14:paraId="4F8395D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091" w:type="dxa"/>
          </w:tcPr>
          <w:p w14:paraId="7BDC4E9C">
            <w:pPr>
              <w:spacing w:line="360" w:lineRule="auto"/>
              <w:jc w:val="center"/>
              <w:rPr>
                <w:rFonts w:hint="eastAsia" w:ascii="宋体" w:hAnsi="宋体" w:eastAsia="宋体" w:cs="宋体"/>
                <w:bCs/>
                <w:color w:val="auto"/>
                <w:sz w:val="24"/>
                <w:szCs w:val="24"/>
                <w:highlight w:val="none"/>
                <w:lang w:val="zh-CN"/>
              </w:rPr>
            </w:pPr>
          </w:p>
        </w:tc>
        <w:tc>
          <w:tcPr>
            <w:tcW w:w="1559" w:type="dxa"/>
          </w:tcPr>
          <w:p w14:paraId="173DDD2A">
            <w:pPr>
              <w:spacing w:line="360" w:lineRule="auto"/>
              <w:jc w:val="center"/>
              <w:rPr>
                <w:rFonts w:hint="eastAsia" w:ascii="宋体" w:hAnsi="宋体" w:eastAsia="宋体" w:cs="宋体"/>
                <w:bCs/>
                <w:color w:val="auto"/>
                <w:sz w:val="24"/>
                <w:szCs w:val="24"/>
                <w:highlight w:val="none"/>
                <w:lang w:val="zh-CN"/>
              </w:rPr>
            </w:pPr>
          </w:p>
        </w:tc>
        <w:tc>
          <w:tcPr>
            <w:tcW w:w="1938" w:type="dxa"/>
          </w:tcPr>
          <w:p w14:paraId="5BD53631">
            <w:pPr>
              <w:spacing w:line="360" w:lineRule="auto"/>
              <w:jc w:val="center"/>
              <w:rPr>
                <w:rFonts w:hint="eastAsia" w:ascii="宋体" w:hAnsi="宋体" w:eastAsia="宋体" w:cs="宋体"/>
                <w:bCs/>
                <w:color w:val="auto"/>
                <w:sz w:val="24"/>
                <w:szCs w:val="24"/>
                <w:highlight w:val="none"/>
                <w:lang w:val="zh-CN"/>
              </w:rPr>
            </w:pPr>
          </w:p>
        </w:tc>
        <w:tc>
          <w:tcPr>
            <w:tcW w:w="2031" w:type="dxa"/>
          </w:tcPr>
          <w:p w14:paraId="3FF50F51">
            <w:pPr>
              <w:spacing w:line="360" w:lineRule="auto"/>
              <w:jc w:val="center"/>
              <w:rPr>
                <w:rFonts w:hint="eastAsia" w:ascii="宋体" w:hAnsi="宋体" w:eastAsia="宋体" w:cs="宋体"/>
                <w:bCs/>
                <w:color w:val="auto"/>
                <w:sz w:val="24"/>
                <w:szCs w:val="24"/>
                <w:highlight w:val="none"/>
                <w:lang w:val="zh-CN"/>
              </w:rPr>
            </w:pPr>
          </w:p>
        </w:tc>
        <w:tc>
          <w:tcPr>
            <w:tcW w:w="1655" w:type="dxa"/>
          </w:tcPr>
          <w:p w14:paraId="1E51F04B">
            <w:pPr>
              <w:spacing w:line="360" w:lineRule="auto"/>
              <w:jc w:val="center"/>
              <w:rPr>
                <w:rFonts w:hint="eastAsia" w:ascii="宋体" w:hAnsi="宋体" w:eastAsia="宋体" w:cs="宋体"/>
                <w:bCs/>
                <w:color w:val="auto"/>
                <w:sz w:val="24"/>
                <w:szCs w:val="24"/>
                <w:highlight w:val="none"/>
                <w:lang w:val="zh-CN"/>
              </w:rPr>
            </w:pPr>
          </w:p>
        </w:tc>
      </w:tr>
    </w:tbl>
    <w:p w14:paraId="3D4D2C94">
      <w:pPr>
        <w:spacing w:line="360" w:lineRule="auto"/>
        <w:ind w:firstLine="480"/>
        <w:rPr>
          <w:rFonts w:hint="eastAsia" w:ascii="宋体" w:hAnsi="宋体" w:eastAsia="宋体" w:cs="宋体"/>
          <w:color w:val="auto"/>
          <w:sz w:val="24"/>
          <w:szCs w:val="24"/>
          <w:highlight w:val="none"/>
        </w:rPr>
      </w:pPr>
    </w:p>
    <w:p w14:paraId="28BD83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2B8F8C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2A5C875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348869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001B9503">
      <w:pPr>
        <w:spacing w:line="360" w:lineRule="auto"/>
        <w:ind w:firstLine="420"/>
        <w:rPr>
          <w:rFonts w:hint="eastAsia" w:ascii="宋体" w:hAnsi="宋体" w:eastAsia="宋体" w:cs="宋体"/>
          <w:color w:val="auto"/>
          <w:szCs w:val="20"/>
          <w:highlight w:val="none"/>
        </w:rPr>
      </w:pPr>
    </w:p>
    <w:p w14:paraId="3ECC41F0">
      <w:pPr>
        <w:widowControl/>
        <w:spacing w:line="360" w:lineRule="auto"/>
        <w:jc w:val="left"/>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p>
    <w:p w14:paraId="1C401F3D">
      <w:pPr>
        <w:keepNext/>
        <w:spacing w:line="360" w:lineRule="auto"/>
        <w:jc w:val="left"/>
        <w:outlineLvl w:val="1"/>
        <w:rPr>
          <w:rFonts w:hint="eastAsia" w:ascii="宋体" w:hAnsi="宋体" w:eastAsia="宋体" w:cs="宋体"/>
          <w:bCs/>
          <w:color w:val="auto"/>
          <w:sz w:val="36"/>
          <w:szCs w:val="28"/>
          <w:highlight w:val="none"/>
        </w:rPr>
      </w:pPr>
      <w:r>
        <w:rPr>
          <w:rFonts w:hint="eastAsia" w:ascii="宋体" w:hAnsi="宋体" w:eastAsia="宋体" w:cs="宋体"/>
          <w:color w:val="auto"/>
          <w:sz w:val="24"/>
          <w:szCs w:val="24"/>
          <w:highlight w:val="none"/>
        </w:rPr>
        <w:t>格式10、技术参数偏离表</w:t>
      </w:r>
    </w:p>
    <w:p w14:paraId="1B981E65">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技术参数偏离表</w:t>
      </w:r>
    </w:p>
    <w:tbl>
      <w:tblPr>
        <w:tblStyle w:val="45"/>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7"/>
        <w:gridCol w:w="2091"/>
        <w:gridCol w:w="2349"/>
        <w:gridCol w:w="1845"/>
        <w:gridCol w:w="2312"/>
      </w:tblGrid>
      <w:tr w14:paraId="1C91F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vAlign w:val="center"/>
          </w:tcPr>
          <w:p w14:paraId="0082F97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091" w:type="dxa"/>
            <w:vAlign w:val="center"/>
          </w:tcPr>
          <w:p w14:paraId="4EA36B6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技术参数要求（逐条填写）</w:t>
            </w:r>
          </w:p>
        </w:tc>
        <w:tc>
          <w:tcPr>
            <w:tcW w:w="2349" w:type="dxa"/>
            <w:vAlign w:val="center"/>
          </w:tcPr>
          <w:p w14:paraId="45F25D2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投标实际参数</w:t>
            </w:r>
            <w:r>
              <w:rPr>
                <w:rFonts w:hint="eastAsia" w:ascii="宋体" w:hAnsi="宋体" w:eastAsia="宋体" w:cs="宋体"/>
                <w:bCs/>
                <w:color w:val="auto"/>
                <w:sz w:val="24"/>
                <w:szCs w:val="24"/>
                <w:highlight w:val="none"/>
              </w:rPr>
              <w:t>(投标人应按投标实际数据填写，不能照抄招标要求)</w:t>
            </w:r>
          </w:p>
        </w:tc>
        <w:tc>
          <w:tcPr>
            <w:tcW w:w="1845" w:type="dxa"/>
            <w:vAlign w:val="center"/>
          </w:tcPr>
          <w:p w14:paraId="19658E2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是否偏离</w:t>
            </w:r>
          </w:p>
          <w:p w14:paraId="295D325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（无偏离/正偏离/负偏离）</w:t>
            </w:r>
          </w:p>
        </w:tc>
        <w:tc>
          <w:tcPr>
            <w:tcW w:w="2312" w:type="dxa"/>
            <w:vAlign w:val="center"/>
          </w:tcPr>
          <w:p w14:paraId="28F2E39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偏离说明</w:t>
            </w:r>
          </w:p>
        </w:tc>
      </w:tr>
      <w:tr w14:paraId="2400D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5792D48F">
            <w:pPr>
              <w:spacing w:line="360" w:lineRule="auto"/>
              <w:jc w:val="left"/>
              <w:rPr>
                <w:rFonts w:hint="eastAsia" w:ascii="宋体" w:hAnsi="宋体" w:eastAsia="宋体" w:cs="宋体"/>
                <w:b/>
                <w:bCs/>
                <w:color w:val="auto"/>
                <w:sz w:val="24"/>
                <w:szCs w:val="24"/>
                <w:highlight w:val="none"/>
                <w:lang w:val="zh-CN"/>
              </w:rPr>
            </w:pPr>
          </w:p>
        </w:tc>
        <w:tc>
          <w:tcPr>
            <w:tcW w:w="2091" w:type="dxa"/>
          </w:tcPr>
          <w:p w14:paraId="135E7723">
            <w:pPr>
              <w:spacing w:line="360" w:lineRule="auto"/>
              <w:jc w:val="left"/>
              <w:rPr>
                <w:rFonts w:hint="eastAsia" w:ascii="宋体" w:hAnsi="宋体" w:eastAsia="宋体" w:cs="宋体"/>
                <w:b/>
                <w:bCs/>
                <w:color w:val="auto"/>
                <w:sz w:val="24"/>
                <w:szCs w:val="24"/>
                <w:highlight w:val="none"/>
                <w:lang w:val="zh-CN"/>
              </w:rPr>
            </w:pPr>
          </w:p>
        </w:tc>
        <w:tc>
          <w:tcPr>
            <w:tcW w:w="2349" w:type="dxa"/>
          </w:tcPr>
          <w:p w14:paraId="3980AA2A">
            <w:pPr>
              <w:spacing w:line="360" w:lineRule="auto"/>
              <w:jc w:val="left"/>
              <w:rPr>
                <w:rFonts w:hint="eastAsia" w:ascii="宋体" w:hAnsi="宋体" w:eastAsia="宋体" w:cs="宋体"/>
                <w:b/>
                <w:bCs/>
                <w:color w:val="auto"/>
                <w:sz w:val="24"/>
                <w:szCs w:val="24"/>
                <w:highlight w:val="none"/>
                <w:lang w:val="zh-CN"/>
              </w:rPr>
            </w:pPr>
          </w:p>
        </w:tc>
        <w:tc>
          <w:tcPr>
            <w:tcW w:w="1845" w:type="dxa"/>
          </w:tcPr>
          <w:p w14:paraId="7D6E6A4D">
            <w:pPr>
              <w:spacing w:line="360" w:lineRule="auto"/>
              <w:jc w:val="left"/>
              <w:rPr>
                <w:rFonts w:hint="eastAsia" w:ascii="宋体" w:hAnsi="宋体" w:eastAsia="宋体" w:cs="宋体"/>
                <w:b/>
                <w:bCs/>
                <w:color w:val="auto"/>
                <w:sz w:val="24"/>
                <w:szCs w:val="24"/>
                <w:highlight w:val="none"/>
                <w:lang w:val="zh-CN"/>
              </w:rPr>
            </w:pPr>
          </w:p>
        </w:tc>
        <w:tc>
          <w:tcPr>
            <w:tcW w:w="2312" w:type="dxa"/>
          </w:tcPr>
          <w:p w14:paraId="64DE6A34">
            <w:pPr>
              <w:spacing w:line="360" w:lineRule="auto"/>
              <w:jc w:val="left"/>
              <w:rPr>
                <w:rFonts w:hint="eastAsia" w:ascii="宋体" w:hAnsi="宋体" w:eastAsia="宋体" w:cs="宋体"/>
                <w:b/>
                <w:bCs/>
                <w:color w:val="auto"/>
                <w:sz w:val="24"/>
                <w:szCs w:val="24"/>
                <w:highlight w:val="none"/>
                <w:lang w:val="zh-CN"/>
              </w:rPr>
            </w:pPr>
          </w:p>
        </w:tc>
      </w:tr>
      <w:tr w14:paraId="696BC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3548E7D5">
            <w:pPr>
              <w:spacing w:line="360" w:lineRule="auto"/>
              <w:jc w:val="left"/>
              <w:rPr>
                <w:rFonts w:hint="eastAsia" w:ascii="宋体" w:hAnsi="宋体" w:eastAsia="宋体" w:cs="宋体"/>
                <w:b/>
                <w:bCs/>
                <w:color w:val="auto"/>
                <w:sz w:val="24"/>
                <w:szCs w:val="24"/>
                <w:highlight w:val="none"/>
                <w:lang w:val="zh-CN"/>
              </w:rPr>
            </w:pPr>
          </w:p>
        </w:tc>
        <w:tc>
          <w:tcPr>
            <w:tcW w:w="2091" w:type="dxa"/>
          </w:tcPr>
          <w:p w14:paraId="1B788A95">
            <w:pPr>
              <w:spacing w:line="360" w:lineRule="auto"/>
              <w:jc w:val="left"/>
              <w:rPr>
                <w:rFonts w:hint="eastAsia" w:ascii="宋体" w:hAnsi="宋体" w:eastAsia="宋体" w:cs="宋体"/>
                <w:b/>
                <w:bCs/>
                <w:color w:val="auto"/>
                <w:sz w:val="24"/>
                <w:szCs w:val="24"/>
                <w:highlight w:val="none"/>
                <w:lang w:val="zh-CN"/>
              </w:rPr>
            </w:pPr>
          </w:p>
        </w:tc>
        <w:tc>
          <w:tcPr>
            <w:tcW w:w="2349" w:type="dxa"/>
          </w:tcPr>
          <w:p w14:paraId="30A23A1F">
            <w:pPr>
              <w:spacing w:line="360" w:lineRule="auto"/>
              <w:jc w:val="left"/>
              <w:rPr>
                <w:rFonts w:hint="eastAsia" w:ascii="宋体" w:hAnsi="宋体" w:eastAsia="宋体" w:cs="宋体"/>
                <w:b/>
                <w:bCs/>
                <w:color w:val="auto"/>
                <w:sz w:val="24"/>
                <w:szCs w:val="24"/>
                <w:highlight w:val="none"/>
                <w:lang w:val="zh-CN"/>
              </w:rPr>
            </w:pPr>
          </w:p>
        </w:tc>
        <w:tc>
          <w:tcPr>
            <w:tcW w:w="1845" w:type="dxa"/>
          </w:tcPr>
          <w:p w14:paraId="34E9917A">
            <w:pPr>
              <w:spacing w:line="360" w:lineRule="auto"/>
              <w:jc w:val="left"/>
              <w:rPr>
                <w:rFonts w:hint="eastAsia" w:ascii="宋体" w:hAnsi="宋体" w:eastAsia="宋体" w:cs="宋体"/>
                <w:b/>
                <w:bCs/>
                <w:color w:val="auto"/>
                <w:sz w:val="24"/>
                <w:szCs w:val="24"/>
                <w:highlight w:val="none"/>
                <w:lang w:val="zh-CN"/>
              </w:rPr>
            </w:pPr>
          </w:p>
        </w:tc>
        <w:tc>
          <w:tcPr>
            <w:tcW w:w="2312" w:type="dxa"/>
          </w:tcPr>
          <w:p w14:paraId="657B525B">
            <w:pPr>
              <w:spacing w:line="360" w:lineRule="auto"/>
              <w:jc w:val="left"/>
              <w:rPr>
                <w:rFonts w:hint="eastAsia" w:ascii="宋体" w:hAnsi="宋体" w:eastAsia="宋体" w:cs="宋体"/>
                <w:b/>
                <w:bCs/>
                <w:color w:val="auto"/>
                <w:sz w:val="24"/>
                <w:szCs w:val="24"/>
                <w:highlight w:val="none"/>
                <w:lang w:val="zh-CN"/>
              </w:rPr>
            </w:pPr>
          </w:p>
        </w:tc>
      </w:tr>
      <w:tr w14:paraId="46595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48A249FF">
            <w:pPr>
              <w:spacing w:line="360" w:lineRule="auto"/>
              <w:jc w:val="left"/>
              <w:rPr>
                <w:rFonts w:hint="eastAsia" w:ascii="宋体" w:hAnsi="宋体" w:eastAsia="宋体" w:cs="宋体"/>
                <w:b/>
                <w:bCs/>
                <w:color w:val="auto"/>
                <w:sz w:val="24"/>
                <w:szCs w:val="24"/>
                <w:highlight w:val="none"/>
                <w:lang w:val="zh-CN"/>
              </w:rPr>
            </w:pPr>
          </w:p>
        </w:tc>
        <w:tc>
          <w:tcPr>
            <w:tcW w:w="2091" w:type="dxa"/>
          </w:tcPr>
          <w:p w14:paraId="313B41A1">
            <w:pPr>
              <w:spacing w:line="360" w:lineRule="auto"/>
              <w:jc w:val="left"/>
              <w:rPr>
                <w:rFonts w:hint="eastAsia" w:ascii="宋体" w:hAnsi="宋体" w:eastAsia="宋体" w:cs="宋体"/>
                <w:b/>
                <w:bCs/>
                <w:color w:val="auto"/>
                <w:sz w:val="24"/>
                <w:szCs w:val="24"/>
                <w:highlight w:val="none"/>
                <w:lang w:val="zh-CN"/>
              </w:rPr>
            </w:pPr>
          </w:p>
        </w:tc>
        <w:tc>
          <w:tcPr>
            <w:tcW w:w="2349" w:type="dxa"/>
          </w:tcPr>
          <w:p w14:paraId="244A4E56">
            <w:pPr>
              <w:spacing w:line="360" w:lineRule="auto"/>
              <w:jc w:val="left"/>
              <w:rPr>
                <w:rFonts w:hint="eastAsia" w:ascii="宋体" w:hAnsi="宋体" w:eastAsia="宋体" w:cs="宋体"/>
                <w:b/>
                <w:bCs/>
                <w:color w:val="auto"/>
                <w:sz w:val="24"/>
                <w:szCs w:val="24"/>
                <w:highlight w:val="none"/>
                <w:lang w:val="zh-CN"/>
              </w:rPr>
            </w:pPr>
          </w:p>
        </w:tc>
        <w:tc>
          <w:tcPr>
            <w:tcW w:w="1845" w:type="dxa"/>
          </w:tcPr>
          <w:p w14:paraId="79CED357">
            <w:pPr>
              <w:spacing w:line="360" w:lineRule="auto"/>
              <w:jc w:val="left"/>
              <w:rPr>
                <w:rFonts w:hint="eastAsia" w:ascii="宋体" w:hAnsi="宋体" w:eastAsia="宋体" w:cs="宋体"/>
                <w:b/>
                <w:bCs/>
                <w:color w:val="auto"/>
                <w:sz w:val="24"/>
                <w:szCs w:val="24"/>
                <w:highlight w:val="none"/>
                <w:lang w:val="zh-CN"/>
              </w:rPr>
            </w:pPr>
          </w:p>
        </w:tc>
        <w:tc>
          <w:tcPr>
            <w:tcW w:w="2312" w:type="dxa"/>
          </w:tcPr>
          <w:p w14:paraId="0C6BEA55">
            <w:pPr>
              <w:spacing w:line="360" w:lineRule="auto"/>
              <w:jc w:val="left"/>
              <w:rPr>
                <w:rFonts w:hint="eastAsia" w:ascii="宋体" w:hAnsi="宋体" w:eastAsia="宋体" w:cs="宋体"/>
                <w:b/>
                <w:bCs/>
                <w:color w:val="auto"/>
                <w:sz w:val="24"/>
                <w:szCs w:val="24"/>
                <w:highlight w:val="none"/>
                <w:lang w:val="zh-CN"/>
              </w:rPr>
            </w:pPr>
          </w:p>
        </w:tc>
      </w:tr>
      <w:tr w14:paraId="2E815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0FF94FF3">
            <w:pPr>
              <w:spacing w:line="360" w:lineRule="auto"/>
              <w:jc w:val="left"/>
              <w:rPr>
                <w:rFonts w:hint="eastAsia" w:ascii="宋体" w:hAnsi="宋体" w:eastAsia="宋体" w:cs="宋体"/>
                <w:b/>
                <w:bCs/>
                <w:color w:val="auto"/>
                <w:sz w:val="24"/>
                <w:szCs w:val="24"/>
                <w:highlight w:val="none"/>
                <w:lang w:val="zh-CN"/>
              </w:rPr>
            </w:pPr>
          </w:p>
        </w:tc>
        <w:tc>
          <w:tcPr>
            <w:tcW w:w="2091" w:type="dxa"/>
          </w:tcPr>
          <w:p w14:paraId="7F660532">
            <w:pPr>
              <w:spacing w:line="360" w:lineRule="auto"/>
              <w:jc w:val="left"/>
              <w:rPr>
                <w:rFonts w:hint="eastAsia" w:ascii="宋体" w:hAnsi="宋体" w:eastAsia="宋体" w:cs="宋体"/>
                <w:b/>
                <w:bCs/>
                <w:color w:val="auto"/>
                <w:sz w:val="24"/>
                <w:szCs w:val="24"/>
                <w:highlight w:val="none"/>
                <w:lang w:val="zh-CN"/>
              </w:rPr>
            </w:pPr>
          </w:p>
        </w:tc>
        <w:tc>
          <w:tcPr>
            <w:tcW w:w="2349" w:type="dxa"/>
          </w:tcPr>
          <w:p w14:paraId="0859E5F2">
            <w:pPr>
              <w:spacing w:line="360" w:lineRule="auto"/>
              <w:jc w:val="left"/>
              <w:rPr>
                <w:rFonts w:hint="eastAsia" w:ascii="宋体" w:hAnsi="宋体" w:eastAsia="宋体" w:cs="宋体"/>
                <w:b/>
                <w:bCs/>
                <w:color w:val="auto"/>
                <w:sz w:val="24"/>
                <w:szCs w:val="24"/>
                <w:highlight w:val="none"/>
                <w:lang w:val="zh-CN"/>
              </w:rPr>
            </w:pPr>
          </w:p>
        </w:tc>
        <w:tc>
          <w:tcPr>
            <w:tcW w:w="1845" w:type="dxa"/>
          </w:tcPr>
          <w:p w14:paraId="5B048CD8">
            <w:pPr>
              <w:spacing w:line="360" w:lineRule="auto"/>
              <w:jc w:val="left"/>
              <w:rPr>
                <w:rFonts w:hint="eastAsia" w:ascii="宋体" w:hAnsi="宋体" w:eastAsia="宋体" w:cs="宋体"/>
                <w:b/>
                <w:bCs/>
                <w:color w:val="auto"/>
                <w:sz w:val="24"/>
                <w:szCs w:val="24"/>
                <w:highlight w:val="none"/>
                <w:lang w:val="zh-CN"/>
              </w:rPr>
            </w:pPr>
          </w:p>
        </w:tc>
        <w:tc>
          <w:tcPr>
            <w:tcW w:w="2312" w:type="dxa"/>
          </w:tcPr>
          <w:p w14:paraId="3C34A131">
            <w:pPr>
              <w:spacing w:line="360" w:lineRule="auto"/>
              <w:jc w:val="left"/>
              <w:rPr>
                <w:rFonts w:hint="eastAsia" w:ascii="宋体" w:hAnsi="宋体" w:eastAsia="宋体" w:cs="宋体"/>
                <w:b/>
                <w:bCs/>
                <w:color w:val="auto"/>
                <w:sz w:val="24"/>
                <w:szCs w:val="24"/>
                <w:highlight w:val="none"/>
                <w:lang w:val="zh-CN"/>
              </w:rPr>
            </w:pPr>
          </w:p>
        </w:tc>
      </w:tr>
      <w:tr w14:paraId="396B8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tcPr>
          <w:p w14:paraId="2C2EC59B">
            <w:pPr>
              <w:spacing w:line="360" w:lineRule="auto"/>
              <w:jc w:val="left"/>
              <w:rPr>
                <w:rFonts w:hint="eastAsia" w:ascii="宋体" w:hAnsi="宋体" w:eastAsia="宋体" w:cs="宋体"/>
                <w:b/>
                <w:bCs/>
                <w:color w:val="auto"/>
                <w:sz w:val="24"/>
                <w:szCs w:val="24"/>
                <w:highlight w:val="none"/>
                <w:lang w:val="zh-CN"/>
              </w:rPr>
            </w:pPr>
          </w:p>
        </w:tc>
        <w:tc>
          <w:tcPr>
            <w:tcW w:w="2091" w:type="dxa"/>
          </w:tcPr>
          <w:p w14:paraId="47CDEA35">
            <w:pPr>
              <w:spacing w:line="360" w:lineRule="auto"/>
              <w:jc w:val="left"/>
              <w:rPr>
                <w:rFonts w:hint="eastAsia" w:ascii="宋体" w:hAnsi="宋体" w:eastAsia="宋体" w:cs="宋体"/>
                <w:b/>
                <w:bCs/>
                <w:color w:val="auto"/>
                <w:sz w:val="24"/>
                <w:szCs w:val="24"/>
                <w:highlight w:val="none"/>
                <w:lang w:val="zh-CN"/>
              </w:rPr>
            </w:pPr>
          </w:p>
        </w:tc>
        <w:tc>
          <w:tcPr>
            <w:tcW w:w="2349" w:type="dxa"/>
          </w:tcPr>
          <w:p w14:paraId="3CE6F628">
            <w:pPr>
              <w:spacing w:line="360" w:lineRule="auto"/>
              <w:jc w:val="left"/>
              <w:rPr>
                <w:rFonts w:hint="eastAsia" w:ascii="宋体" w:hAnsi="宋体" w:eastAsia="宋体" w:cs="宋体"/>
                <w:b/>
                <w:bCs/>
                <w:color w:val="auto"/>
                <w:sz w:val="24"/>
                <w:szCs w:val="24"/>
                <w:highlight w:val="none"/>
                <w:lang w:val="zh-CN"/>
              </w:rPr>
            </w:pPr>
          </w:p>
        </w:tc>
        <w:tc>
          <w:tcPr>
            <w:tcW w:w="1845" w:type="dxa"/>
          </w:tcPr>
          <w:p w14:paraId="3CB9DEE7">
            <w:pPr>
              <w:spacing w:line="360" w:lineRule="auto"/>
              <w:jc w:val="left"/>
              <w:rPr>
                <w:rFonts w:hint="eastAsia" w:ascii="宋体" w:hAnsi="宋体" w:eastAsia="宋体" w:cs="宋体"/>
                <w:b/>
                <w:bCs/>
                <w:color w:val="auto"/>
                <w:sz w:val="24"/>
                <w:szCs w:val="24"/>
                <w:highlight w:val="none"/>
                <w:lang w:val="zh-CN"/>
              </w:rPr>
            </w:pPr>
          </w:p>
        </w:tc>
        <w:tc>
          <w:tcPr>
            <w:tcW w:w="2312" w:type="dxa"/>
          </w:tcPr>
          <w:p w14:paraId="15E0A8CC">
            <w:pPr>
              <w:spacing w:line="360" w:lineRule="auto"/>
              <w:jc w:val="left"/>
              <w:rPr>
                <w:rFonts w:hint="eastAsia" w:ascii="宋体" w:hAnsi="宋体" w:eastAsia="宋体" w:cs="宋体"/>
                <w:b/>
                <w:bCs/>
                <w:color w:val="auto"/>
                <w:sz w:val="24"/>
                <w:szCs w:val="24"/>
                <w:highlight w:val="none"/>
                <w:lang w:val="zh-CN"/>
              </w:rPr>
            </w:pPr>
          </w:p>
        </w:tc>
      </w:tr>
    </w:tbl>
    <w:p w14:paraId="298F669C">
      <w:pPr>
        <w:spacing w:line="360" w:lineRule="auto"/>
        <w:ind w:firstLine="480"/>
        <w:rPr>
          <w:rFonts w:hint="eastAsia" w:ascii="宋体" w:hAnsi="宋体" w:eastAsia="宋体" w:cs="宋体"/>
          <w:color w:val="auto"/>
          <w:sz w:val="24"/>
          <w:szCs w:val="24"/>
          <w:highlight w:val="none"/>
        </w:rPr>
      </w:pPr>
    </w:p>
    <w:p w14:paraId="44737E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6CE72E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0C4A9A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r>
        <w:rPr>
          <w:rFonts w:hint="eastAsia" w:ascii="宋体" w:hAnsi="宋体" w:eastAsia="宋体" w:cs="宋体"/>
          <w:b/>
          <w:color w:val="auto"/>
          <w:sz w:val="28"/>
          <w:szCs w:val="20"/>
          <w:highlight w:val="none"/>
        </w:rPr>
        <w:br w:type="page" w:clear="all"/>
      </w:r>
      <w:r>
        <w:rPr>
          <w:rFonts w:hint="eastAsia" w:ascii="宋体" w:hAnsi="宋体" w:eastAsia="宋体" w:cs="宋体"/>
          <w:color w:val="auto"/>
          <w:sz w:val="24"/>
          <w:szCs w:val="24"/>
          <w:highlight w:val="none"/>
        </w:rPr>
        <w:t>格式11、售后服务承诺书</w:t>
      </w:r>
    </w:p>
    <w:p w14:paraId="2FB73B50">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售后服务承诺书</w:t>
      </w:r>
    </w:p>
    <w:p w14:paraId="38BE23A0">
      <w:pPr>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（请按“项目需求”要求内容自行填写）</w:t>
      </w:r>
    </w:p>
    <w:p w14:paraId="1807200F">
      <w:pPr>
        <w:widowControl/>
        <w:spacing w:line="360" w:lineRule="auto"/>
        <w:jc w:val="left"/>
        <w:rPr>
          <w:rFonts w:hint="eastAsia" w:ascii="宋体" w:hAnsi="宋体" w:eastAsia="宋体" w:cs="宋体"/>
          <w:color w:val="auto"/>
          <w:sz w:val="24"/>
          <w:szCs w:val="24"/>
          <w:highlight w:val="none"/>
        </w:rPr>
      </w:pPr>
    </w:p>
    <w:p w14:paraId="6E376845">
      <w:pPr>
        <w:spacing w:line="360" w:lineRule="auto"/>
        <w:ind w:firstLine="480"/>
        <w:rPr>
          <w:rFonts w:hint="eastAsia" w:ascii="宋体" w:hAnsi="宋体" w:eastAsia="宋体" w:cs="宋体"/>
          <w:color w:val="auto"/>
          <w:sz w:val="24"/>
          <w:szCs w:val="24"/>
          <w:highlight w:val="none"/>
        </w:rPr>
      </w:pPr>
    </w:p>
    <w:p w14:paraId="785DEFD3">
      <w:pPr>
        <w:spacing w:line="360" w:lineRule="auto"/>
        <w:ind w:firstLine="480"/>
        <w:rPr>
          <w:rFonts w:hint="eastAsia" w:ascii="宋体" w:hAnsi="宋体" w:eastAsia="宋体" w:cs="宋体"/>
          <w:color w:val="auto"/>
          <w:sz w:val="24"/>
          <w:szCs w:val="24"/>
          <w:highlight w:val="none"/>
        </w:rPr>
      </w:pPr>
    </w:p>
    <w:p w14:paraId="3AF28701">
      <w:pPr>
        <w:spacing w:line="360" w:lineRule="auto"/>
        <w:ind w:firstLine="480"/>
        <w:rPr>
          <w:rFonts w:hint="eastAsia" w:ascii="宋体" w:hAnsi="宋体" w:eastAsia="宋体" w:cs="宋体"/>
          <w:color w:val="auto"/>
          <w:sz w:val="24"/>
          <w:szCs w:val="24"/>
          <w:highlight w:val="none"/>
        </w:rPr>
      </w:pPr>
    </w:p>
    <w:p w14:paraId="4BD21EE4">
      <w:pPr>
        <w:spacing w:line="360" w:lineRule="auto"/>
        <w:ind w:firstLine="480"/>
        <w:rPr>
          <w:rFonts w:hint="eastAsia" w:ascii="宋体" w:hAnsi="宋体" w:eastAsia="宋体" w:cs="宋体"/>
          <w:color w:val="auto"/>
          <w:sz w:val="24"/>
          <w:szCs w:val="24"/>
          <w:highlight w:val="none"/>
        </w:rPr>
      </w:pPr>
    </w:p>
    <w:p w14:paraId="7A58D4DF">
      <w:pPr>
        <w:spacing w:line="360" w:lineRule="auto"/>
        <w:ind w:firstLine="480"/>
        <w:rPr>
          <w:rFonts w:hint="eastAsia" w:ascii="宋体" w:hAnsi="宋体" w:eastAsia="宋体" w:cs="宋体"/>
          <w:color w:val="auto"/>
          <w:sz w:val="24"/>
          <w:szCs w:val="24"/>
          <w:highlight w:val="none"/>
        </w:rPr>
      </w:pPr>
    </w:p>
    <w:p w14:paraId="669CA971">
      <w:pPr>
        <w:spacing w:line="360" w:lineRule="auto"/>
        <w:ind w:firstLine="480"/>
        <w:rPr>
          <w:rFonts w:hint="eastAsia" w:ascii="宋体" w:hAnsi="宋体" w:eastAsia="宋体" w:cs="宋体"/>
          <w:color w:val="auto"/>
          <w:sz w:val="24"/>
          <w:szCs w:val="24"/>
          <w:highlight w:val="none"/>
        </w:rPr>
      </w:pPr>
    </w:p>
    <w:p w14:paraId="00D36062">
      <w:pPr>
        <w:spacing w:line="360" w:lineRule="auto"/>
        <w:ind w:firstLine="480"/>
        <w:rPr>
          <w:rFonts w:hint="eastAsia" w:ascii="宋体" w:hAnsi="宋体" w:eastAsia="宋体" w:cs="宋体"/>
          <w:color w:val="auto"/>
          <w:sz w:val="24"/>
          <w:szCs w:val="24"/>
          <w:highlight w:val="none"/>
        </w:rPr>
      </w:pPr>
    </w:p>
    <w:p w14:paraId="617C92E7">
      <w:pPr>
        <w:spacing w:line="360" w:lineRule="auto"/>
        <w:ind w:firstLine="480"/>
        <w:rPr>
          <w:rFonts w:hint="eastAsia" w:ascii="宋体" w:hAnsi="宋体" w:eastAsia="宋体" w:cs="宋体"/>
          <w:color w:val="auto"/>
          <w:sz w:val="24"/>
          <w:szCs w:val="24"/>
          <w:highlight w:val="none"/>
        </w:rPr>
      </w:pPr>
    </w:p>
    <w:p w14:paraId="3AA2F2A1">
      <w:pPr>
        <w:spacing w:line="360" w:lineRule="auto"/>
        <w:ind w:firstLine="480"/>
        <w:rPr>
          <w:rFonts w:hint="eastAsia" w:ascii="宋体" w:hAnsi="宋体" w:eastAsia="宋体" w:cs="宋体"/>
          <w:color w:val="auto"/>
          <w:sz w:val="24"/>
          <w:szCs w:val="24"/>
          <w:highlight w:val="none"/>
        </w:rPr>
      </w:pPr>
    </w:p>
    <w:p w14:paraId="5B520F43">
      <w:pPr>
        <w:spacing w:line="360" w:lineRule="auto"/>
        <w:ind w:firstLine="480"/>
        <w:rPr>
          <w:rFonts w:hint="eastAsia" w:ascii="宋体" w:hAnsi="宋体" w:eastAsia="宋体" w:cs="宋体"/>
          <w:color w:val="auto"/>
          <w:sz w:val="24"/>
          <w:szCs w:val="24"/>
          <w:highlight w:val="none"/>
        </w:rPr>
      </w:pPr>
    </w:p>
    <w:p w14:paraId="64A1A238">
      <w:pPr>
        <w:spacing w:line="360" w:lineRule="auto"/>
        <w:ind w:firstLine="480"/>
        <w:rPr>
          <w:rFonts w:hint="eastAsia" w:ascii="宋体" w:hAnsi="宋体" w:eastAsia="宋体" w:cs="宋体"/>
          <w:color w:val="auto"/>
          <w:sz w:val="24"/>
          <w:szCs w:val="24"/>
          <w:highlight w:val="none"/>
        </w:rPr>
      </w:pPr>
    </w:p>
    <w:p w14:paraId="49987BDD">
      <w:pPr>
        <w:spacing w:line="360" w:lineRule="auto"/>
        <w:ind w:firstLine="480"/>
        <w:rPr>
          <w:rFonts w:hint="eastAsia" w:ascii="宋体" w:hAnsi="宋体" w:eastAsia="宋体" w:cs="宋体"/>
          <w:color w:val="auto"/>
          <w:sz w:val="24"/>
          <w:szCs w:val="24"/>
          <w:highlight w:val="none"/>
        </w:rPr>
      </w:pPr>
    </w:p>
    <w:p w14:paraId="3E3061C6">
      <w:pPr>
        <w:spacing w:line="360" w:lineRule="auto"/>
        <w:ind w:firstLine="480"/>
        <w:rPr>
          <w:rFonts w:hint="eastAsia" w:ascii="宋体" w:hAnsi="宋体" w:eastAsia="宋体" w:cs="宋体"/>
          <w:color w:val="auto"/>
          <w:sz w:val="24"/>
          <w:szCs w:val="24"/>
          <w:highlight w:val="none"/>
        </w:rPr>
      </w:pPr>
    </w:p>
    <w:p w14:paraId="34337A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5EF6BD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615DAE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26D99686">
      <w:pPr>
        <w:widowControl/>
        <w:spacing w:line="360" w:lineRule="auto"/>
        <w:jc w:val="left"/>
        <w:rPr>
          <w:rFonts w:hint="eastAsia" w:ascii="宋体" w:hAnsi="宋体" w:eastAsia="宋体" w:cs="宋体"/>
          <w:color w:val="auto"/>
          <w:sz w:val="24"/>
          <w:szCs w:val="24"/>
          <w:highlight w:val="none"/>
        </w:rPr>
      </w:pPr>
    </w:p>
    <w:p w14:paraId="7341D9B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14533524">
      <w:pPr>
        <w:keepNext/>
        <w:spacing w:line="360" w:lineRule="auto"/>
        <w:jc w:val="left"/>
        <w:outlineLvl w:val="1"/>
        <w:rPr>
          <w:rFonts w:hint="eastAsia" w:ascii="宋体" w:hAnsi="宋体" w:eastAsia="宋体" w:cs="宋体"/>
          <w:b/>
          <w:color w:val="auto"/>
          <w:sz w:val="28"/>
          <w:szCs w:val="21"/>
          <w:highlight w:val="none"/>
        </w:rPr>
      </w:pPr>
      <w:r>
        <w:rPr>
          <w:rFonts w:hint="eastAsia" w:ascii="宋体" w:hAnsi="宋体" w:eastAsia="宋体" w:cs="宋体"/>
          <w:color w:val="auto"/>
          <w:sz w:val="24"/>
          <w:szCs w:val="24"/>
          <w:highlight w:val="none"/>
        </w:rPr>
        <w:t>格式12、实施方案</w:t>
      </w:r>
    </w:p>
    <w:p w14:paraId="234766B5">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实施方案</w:t>
      </w:r>
    </w:p>
    <w:p w14:paraId="6215A9D7">
      <w:pPr>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（请按“项目需求”要求内容自行填写）</w:t>
      </w:r>
    </w:p>
    <w:p w14:paraId="36334080">
      <w:pPr>
        <w:spacing w:line="360" w:lineRule="auto"/>
        <w:ind w:firstLine="480"/>
        <w:rPr>
          <w:rFonts w:hint="eastAsia" w:ascii="宋体" w:hAnsi="宋体" w:eastAsia="宋体" w:cs="宋体"/>
          <w:color w:val="auto"/>
          <w:sz w:val="24"/>
          <w:szCs w:val="24"/>
          <w:highlight w:val="none"/>
        </w:rPr>
      </w:pPr>
    </w:p>
    <w:p w14:paraId="1CBE0529">
      <w:pPr>
        <w:spacing w:line="360" w:lineRule="auto"/>
        <w:ind w:firstLine="480"/>
        <w:rPr>
          <w:rFonts w:hint="eastAsia" w:ascii="宋体" w:hAnsi="宋体" w:eastAsia="宋体" w:cs="宋体"/>
          <w:color w:val="auto"/>
          <w:sz w:val="24"/>
          <w:szCs w:val="24"/>
          <w:highlight w:val="none"/>
        </w:rPr>
      </w:pPr>
    </w:p>
    <w:p w14:paraId="147BD778">
      <w:pPr>
        <w:spacing w:line="360" w:lineRule="auto"/>
        <w:ind w:firstLine="480"/>
        <w:rPr>
          <w:rFonts w:hint="eastAsia" w:ascii="宋体" w:hAnsi="宋体" w:eastAsia="宋体" w:cs="宋体"/>
          <w:color w:val="auto"/>
          <w:sz w:val="24"/>
          <w:szCs w:val="24"/>
          <w:highlight w:val="none"/>
        </w:rPr>
      </w:pPr>
    </w:p>
    <w:p w14:paraId="308AA169">
      <w:pPr>
        <w:spacing w:line="360" w:lineRule="auto"/>
        <w:ind w:firstLine="480"/>
        <w:rPr>
          <w:rFonts w:hint="eastAsia" w:ascii="宋体" w:hAnsi="宋体" w:eastAsia="宋体" w:cs="宋体"/>
          <w:color w:val="auto"/>
          <w:sz w:val="24"/>
          <w:szCs w:val="24"/>
          <w:highlight w:val="none"/>
        </w:rPr>
      </w:pPr>
    </w:p>
    <w:p w14:paraId="47E32070">
      <w:pPr>
        <w:spacing w:line="360" w:lineRule="auto"/>
        <w:ind w:firstLine="480"/>
        <w:rPr>
          <w:rFonts w:hint="eastAsia" w:ascii="宋体" w:hAnsi="宋体" w:eastAsia="宋体" w:cs="宋体"/>
          <w:color w:val="auto"/>
          <w:sz w:val="24"/>
          <w:szCs w:val="24"/>
          <w:highlight w:val="none"/>
        </w:rPr>
      </w:pPr>
    </w:p>
    <w:p w14:paraId="7A123BE3">
      <w:pPr>
        <w:spacing w:line="360" w:lineRule="auto"/>
        <w:ind w:firstLine="480"/>
        <w:rPr>
          <w:rFonts w:hint="eastAsia" w:ascii="宋体" w:hAnsi="宋体" w:eastAsia="宋体" w:cs="宋体"/>
          <w:color w:val="auto"/>
          <w:sz w:val="24"/>
          <w:szCs w:val="24"/>
          <w:highlight w:val="none"/>
        </w:rPr>
      </w:pPr>
    </w:p>
    <w:p w14:paraId="5DADA11A">
      <w:pPr>
        <w:spacing w:line="360" w:lineRule="auto"/>
        <w:ind w:firstLine="480"/>
        <w:rPr>
          <w:rFonts w:hint="eastAsia" w:ascii="宋体" w:hAnsi="宋体" w:eastAsia="宋体" w:cs="宋体"/>
          <w:color w:val="auto"/>
          <w:sz w:val="24"/>
          <w:szCs w:val="24"/>
          <w:highlight w:val="none"/>
        </w:rPr>
      </w:pPr>
    </w:p>
    <w:p w14:paraId="2EBD5D42">
      <w:pPr>
        <w:spacing w:line="360" w:lineRule="auto"/>
        <w:ind w:firstLine="480"/>
        <w:rPr>
          <w:rFonts w:hint="eastAsia" w:ascii="宋体" w:hAnsi="宋体" w:eastAsia="宋体" w:cs="宋体"/>
          <w:color w:val="auto"/>
          <w:sz w:val="24"/>
          <w:szCs w:val="24"/>
          <w:highlight w:val="none"/>
        </w:rPr>
      </w:pPr>
    </w:p>
    <w:p w14:paraId="7D5E3712">
      <w:pPr>
        <w:spacing w:line="360" w:lineRule="auto"/>
        <w:ind w:firstLine="480"/>
        <w:rPr>
          <w:rFonts w:hint="eastAsia" w:ascii="宋体" w:hAnsi="宋体" w:eastAsia="宋体" w:cs="宋体"/>
          <w:color w:val="auto"/>
          <w:sz w:val="24"/>
          <w:szCs w:val="24"/>
          <w:highlight w:val="none"/>
        </w:rPr>
      </w:pPr>
    </w:p>
    <w:p w14:paraId="5DC0D164">
      <w:pPr>
        <w:spacing w:line="360" w:lineRule="auto"/>
        <w:ind w:firstLine="480"/>
        <w:rPr>
          <w:rFonts w:hint="eastAsia" w:ascii="宋体" w:hAnsi="宋体" w:eastAsia="宋体" w:cs="宋体"/>
          <w:color w:val="auto"/>
          <w:sz w:val="24"/>
          <w:szCs w:val="24"/>
          <w:highlight w:val="none"/>
        </w:rPr>
      </w:pPr>
    </w:p>
    <w:p w14:paraId="6EA73E41">
      <w:pPr>
        <w:spacing w:line="360" w:lineRule="auto"/>
        <w:ind w:firstLine="480"/>
        <w:rPr>
          <w:rFonts w:hint="eastAsia" w:ascii="宋体" w:hAnsi="宋体" w:eastAsia="宋体" w:cs="宋体"/>
          <w:color w:val="auto"/>
          <w:sz w:val="24"/>
          <w:szCs w:val="24"/>
          <w:highlight w:val="none"/>
        </w:rPr>
      </w:pPr>
    </w:p>
    <w:p w14:paraId="1B59BF73">
      <w:pPr>
        <w:spacing w:line="360" w:lineRule="auto"/>
        <w:ind w:firstLine="480"/>
        <w:rPr>
          <w:rFonts w:hint="eastAsia" w:ascii="宋体" w:hAnsi="宋体" w:eastAsia="宋体" w:cs="宋体"/>
          <w:color w:val="auto"/>
          <w:sz w:val="24"/>
          <w:szCs w:val="24"/>
          <w:highlight w:val="none"/>
        </w:rPr>
      </w:pPr>
    </w:p>
    <w:p w14:paraId="299FDA15">
      <w:pPr>
        <w:spacing w:line="360" w:lineRule="auto"/>
        <w:ind w:firstLine="480"/>
        <w:rPr>
          <w:rFonts w:hint="eastAsia" w:ascii="宋体" w:hAnsi="宋体" w:eastAsia="宋体" w:cs="宋体"/>
          <w:color w:val="auto"/>
          <w:sz w:val="24"/>
          <w:szCs w:val="24"/>
          <w:highlight w:val="none"/>
        </w:rPr>
      </w:pPr>
    </w:p>
    <w:p w14:paraId="6FFCF4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2974F4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20E90A3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5F220DB">
      <w:pPr>
        <w:widowControl/>
        <w:spacing w:line="360" w:lineRule="auto"/>
        <w:jc w:val="left"/>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p>
    <w:p w14:paraId="382C2A05">
      <w:pPr>
        <w:keepNext/>
        <w:spacing w:line="360" w:lineRule="auto"/>
        <w:jc w:val="left"/>
        <w:outlineLvl w:val="1"/>
        <w:rPr>
          <w:rFonts w:hint="eastAsia" w:ascii="宋体" w:hAnsi="宋体" w:eastAsia="宋体" w:cs="宋体"/>
          <w:b/>
          <w:color w:val="auto"/>
          <w:sz w:val="28"/>
          <w:szCs w:val="21"/>
          <w:highlight w:val="none"/>
        </w:rPr>
      </w:pPr>
      <w:r>
        <w:rPr>
          <w:rFonts w:hint="eastAsia" w:ascii="宋体" w:hAnsi="宋体" w:eastAsia="宋体" w:cs="宋体"/>
          <w:color w:val="auto"/>
          <w:sz w:val="24"/>
          <w:szCs w:val="24"/>
          <w:highlight w:val="none"/>
        </w:rPr>
        <w:t>格式13、培训方案</w:t>
      </w:r>
    </w:p>
    <w:p w14:paraId="27005D6C">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培训方案</w:t>
      </w:r>
    </w:p>
    <w:p w14:paraId="6D34FEF4">
      <w:pPr>
        <w:spacing w:line="360" w:lineRule="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（请按“项目需求”要求内容自行填写）</w:t>
      </w:r>
    </w:p>
    <w:p w14:paraId="286C55A3">
      <w:pPr>
        <w:spacing w:line="360" w:lineRule="auto"/>
        <w:ind w:firstLine="480"/>
        <w:rPr>
          <w:rFonts w:hint="eastAsia" w:ascii="宋体" w:hAnsi="宋体" w:eastAsia="宋体" w:cs="宋体"/>
          <w:color w:val="auto"/>
          <w:sz w:val="24"/>
          <w:szCs w:val="24"/>
          <w:highlight w:val="none"/>
        </w:rPr>
      </w:pPr>
    </w:p>
    <w:p w14:paraId="57FC483C">
      <w:pPr>
        <w:spacing w:line="360" w:lineRule="auto"/>
        <w:ind w:firstLine="480"/>
        <w:rPr>
          <w:rFonts w:hint="eastAsia" w:ascii="宋体" w:hAnsi="宋体" w:eastAsia="宋体" w:cs="宋体"/>
          <w:color w:val="auto"/>
          <w:sz w:val="24"/>
          <w:szCs w:val="24"/>
          <w:highlight w:val="none"/>
        </w:rPr>
      </w:pPr>
    </w:p>
    <w:p w14:paraId="1D7CBE5D">
      <w:pPr>
        <w:spacing w:line="360" w:lineRule="auto"/>
        <w:ind w:firstLine="480"/>
        <w:rPr>
          <w:rFonts w:hint="eastAsia" w:ascii="宋体" w:hAnsi="宋体" w:eastAsia="宋体" w:cs="宋体"/>
          <w:color w:val="auto"/>
          <w:sz w:val="24"/>
          <w:szCs w:val="24"/>
          <w:highlight w:val="none"/>
        </w:rPr>
      </w:pPr>
    </w:p>
    <w:p w14:paraId="6E0EEBEA">
      <w:pPr>
        <w:spacing w:line="360" w:lineRule="auto"/>
        <w:ind w:firstLine="480"/>
        <w:rPr>
          <w:rFonts w:hint="eastAsia" w:ascii="宋体" w:hAnsi="宋体" w:eastAsia="宋体" w:cs="宋体"/>
          <w:color w:val="auto"/>
          <w:sz w:val="24"/>
          <w:szCs w:val="24"/>
          <w:highlight w:val="none"/>
        </w:rPr>
      </w:pPr>
    </w:p>
    <w:p w14:paraId="5E1ED4EF">
      <w:pPr>
        <w:spacing w:line="360" w:lineRule="auto"/>
        <w:ind w:firstLine="480"/>
        <w:rPr>
          <w:rFonts w:hint="eastAsia" w:ascii="宋体" w:hAnsi="宋体" w:eastAsia="宋体" w:cs="宋体"/>
          <w:color w:val="auto"/>
          <w:sz w:val="24"/>
          <w:szCs w:val="24"/>
          <w:highlight w:val="none"/>
        </w:rPr>
      </w:pPr>
    </w:p>
    <w:p w14:paraId="6AB31AF2">
      <w:pPr>
        <w:spacing w:line="360" w:lineRule="auto"/>
        <w:ind w:firstLine="480"/>
        <w:rPr>
          <w:rFonts w:hint="eastAsia" w:ascii="宋体" w:hAnsi="宋体" w:eastAsia="宋体" w:cs="宋体"/>
          <w:color w:val="auto"/>
          <w:sz w:val="24"/>
          <w:szCs w:val="24"/>
          <w:highlight w:val="none"/>
        </w:rPr>
      </w:pPr>
    </w:p>
    <w:p w14:paraId="17CD60D0">
      <w:pPr>
        <w:spacing w:line="360" w:lineRule="auto"/>
        <w:ind w:firstLine="480"/>
        <w:rPr>
          <w:rFonts w:hint="eastAsia" w:ascii="宋体" w:hAnsi="宋体" w:eastAsia="宋体" w:cs="宋体"/>
          <w:color w:val="auto"/>
          <w:sz w:val="24"/>
          <w:szCs w:val="24"/>
          <w:highlight w:val="none"/>
        </w:rPr>
      </w:pPr>
    </w:p>
    <w:p w14:paraId="7CA85245">
      <w:pPr>
        <w:spacing w:line="360" w:lineRule="auto"/>
        <w:ind w:firstLine="480"/>
        <w:rPr>
          <w:rFonts w:hint="eastAsia" w:ascii="宋体" w:hAnsi="宋体" w:eastAsia="宋体" w:cs="宋体"/>
          <w:color w:val="auto"/>
          <w:sz w:val="24"/>
          <w:szCs w:val="24"/>
          <w:highlight w:val="none"/>
        </w:rPr>
      </w:pPr>
    </w:p>
    <w:p w14:paraId="126C254C">
      <w:pPr>
        <w:spacing w:line="360" w:lineRule="auto"/>
        <w:ind w:firstLine="480"/>
        <w:rPr>
          <w:rFonts w:hint="eastAsia" w:ascii="宋体" w:hAnsi="宋体" w:eastAsia="宋体" w:cs="宋体"/>
          <w:color w:val="auto"/>
          <w:sz w:val="24"/>
          <w:szCs w:val="24"/>
          <w:highlight w:val="none"/>
        </w:rPr>
      </w:pPr>
    </w:p>
    <w:p w14:paraId="487A002B">
      <w:pPr>
        <w:spacing w:line="360" w:lineRule="auto"/>
        <w:ind w:firstLine="480"/>
        <w:rPr>
          <w:rFonts w:hint="eastAsia" w:ascii="宋体" w:hAnsi="宋体" w:eastAsia="宋体" w:cs="宋体"/>
          <w:color w:val="auto"/>
          <w:sz w:val="24"/>
          <w:szCs w:val="24"/>
          <w:highlight w:val="none"/>
        </w:rPr>
      </w:pPr>
    </w:p>
    <w:p w14:paraId="2E319A6F">
      <w:pPr>
        <w:spacing w:line="360" w:lineRule="auto"/>
        <w:ind w:firstLine="480"/>
        <w:rPr>
          <w:rFonts w:hint="eastAsia" w:ascii="宋体" w:hAnsi="宋体" w:eastAsia="宋体" w:cs="宋体"/>
          <w:color w:val="auto"/>
          <w:sz w:val="24"/>
          <w:szCs w:val="24"/>
          <w:highlight w:val="none"/>
        </w:rPr>
      </w:pPr>
    </w:p>
    <w:p w14:paraId="35699A8A">
      <w:pPr>
        <w:spacing w:line="360" w:lineRule="auto"/>
        <w:ind w:firstLine="480"/>
        <w:rPr>
          <w:rFonts w:hint="eastAsia" w:ascii="宋体" w:hAnsi="宋体" w:eastAsia="宋体" w:cs="宋体"/>
          <w:color w:val="auto"/>
          <w:sz w:val="24"/>
          <w:szCs w:val="24"/>
          <w:highlight w:val="none"/>
        </w:rPr>
      </w:pPr>
    </w:p>
    <w:p w14:paraId="33D9C68E">
      <w:pPr>
        <w:spacing w:line="360" w:lineRule="auto"/>
        <w:ind w:firstLine="480"/>
        <w:rPr>
          <w:rFonts w:hint="eastAsia" w:ascii="宋体" w:hAnsi="宋体" w:eastAsia="宋体" w:cs="宋体"/>
          <w:color w:val="auto"/>
          <w:sz w:val="24"/>
          <w:szCs w:val="24"/>
          <w:highlight w:val="none"/>
        </w:rPr>
      </w:pPr>
    </w:p>
    <w:p w14:paraId="186758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702131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657E64F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37EF024A">
      <w:pPr>
        <w:widowControl/>
        <w:spacing w:line="360" w:lineRule="auto"/>
        <w:jc w:val="left"/>
        <w:rPr>
          <w:rFonts w:hint="eastAsia" w:ascii="宋体" w:hAnsi="宋体" w:eastAsia="宋体" w:cs="宋体"/>
          <w:b/>
          <w:color w:val="auto"/>
          <w:sz w:val="28"/>
          <w:szCs w:val="20"/>
          <w:highlight w:val="none"/>
        </w:rPr>
      </w:pPr>
      <w:r>
        <w:rPr>
          <w:rFonts w:hint="eastAsia" w:ascii="宋体" w:hAnsi="宋体" w:eastAsia="宋体" w:cs="宋体"/>
          <w:b/>
          <w:color w:val="auto"/>
          <w:sz w:val="28"/>
          <w:szCs w:val="20"/>
          <w:highlight w:val="none"/>
        </w:rPr>
        <w:br w:type="page" w:clear="all"/>
      </w:r>
    </w:p>
    <w:p w14:paraId="282B73E0">
      <w:pPr>
        <w:keepNext/>
        <w:spacing w:line="360" w:lineRule="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格式14、财务状况报告及税收、社会保障资金缴纳情况承诺函</w:t>
      </w:r>
    </w:p>
    <w:p w14:paraId="767FC0F8">
      <w:pPr>
        <w:spacing w:line="360" w:lineRule="auto"/>
        <w:jc w:val="center"/>
        <w:rPr>
          <w:rFonts w:hint="eastAsia" w:ascii="宋体" w:hAnsi="宋体" w:eastAsia="宋体" w:cs="宋体"/>
          <w:bCs/>
          <w:color w:val="auto"/>
          <w:sz w:val="36"/>
          <w:szCs w:val="28"/>
          <w:highlight w:val="none"/>
        </w:rPr>
      </w:pPr>
    </w:p>
    <w:p w14:paraId="07610F58">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财务状况报告及税收、社会保障资金缴纳情况承诺函</w:t>
      </w:r>
    </w:p>
    <w:p w14:paraId="40F6C1D7">
      <w:pPr>
        <w:pStyle w:val="57"/>
        <w:spacing w:line="360" w:lineRule="auto"/>
        <w:rPr>
          <w:rFonts w:hint="eastAsia" w:ascii="宋体" w:hAnsi="宋体" w:cs="宋体"/>
          <w:color w:val="auto"/>
          <w:highlight w:val="none"/>
        </w:rPr>
      </w:pPr>
    </w:p>
    <w:p w14:paraId="67569D0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i/>
          <w:color w:val="auto"/>
          <w:sz w:val="24"/>
          <w:highlight w:val="none"/>
          <w:u w:val="single"/>
        </w:rPr>
        <w:t>【采购单位】</w:t>
      </w:r>
    </w:p>
    <w:p w14:paraId="50E708D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w:t>
      </w:r>
      <w:r>
        <w:rPr>
          <w:rFonts w:hint="eastAsia" w:ascii="宋体" w:hAnsi="宋体" w:eastAsia="宋体" w:cs="宋体"/>
          <w:i/>
          <w:color w:val="auto"/>
          <w:sz w:val="24"/>
          <w:highlight w:val="none"/>
          <w:u w:val="single"/>
        </w:rPr>
        <w:t>供应商名称</w:t>
      </w:r>
      <w:r>
        <w:rPr>
          <w:rFonts w:hint="eastAsia" w:ascii="宋体" w:hAnsi="宋体" w:eastAsia="宋体" w:cs="宋体"/>
          <w:color w:val="auto"/>
          <w:sz w:val="24"/>
          <w:highlight w:val="none"/>
        </w:rPr>
        <w:t>参加</w:t>
      </w:r>
      <w:r>
        <w:rPr>
          <w:rFonts w:hint="eastAsia" w:ascii="宋体" w:hAnsi="宋体" w:eastAsia="宋体" w:cs="宋体"/>
          <w:i/>
          <w:color w:val="auto"/>
          <w:sz w:val="24"/>
          <w:highlight w:val="none"/>
          <w:u w:val="single"/>
        </w:rPr>
        <w:t>【标段名称】</w:t>
      </w:r>
      <w:r>
        <w:rPr>
          <w:rFonts w:hint="eastAsia" w:ascii="宋体" w:hAnsi="宋体" w:eastAsia="宋体" w:cs="宋体"/>
          <w:color w:val="auto"/>
          <w:sz w:val="24"/>
          <w:highlight w:val="none"/>
        </w:rPr>
        <w:t>（项目编号：</w:t>
      </w:r>
      <w:r>
        <w:rPr>
          <w:rFonts w:hint="eastAsia" w:ascii="宋体" w:hAnsi="宋体" w:eastAsia="宋体" w:cs="宋体"/>
          <w:i/>
          <w:color w:val="auto"/>
          <w:sz w:val="24"/>
          <w:highlight w:val="none"/>
          <w:u w:val="single"/>
        </w:rPr>
        <w:t>【标段编号】</w:t>
      </w:r>
      <w:r>
        <w:rPr>
          <w:rFonts w:hint="eastAsia" w:ascii="宋体" w:hAnsi="宋体" w:eastAsia="宋体" w:cs="宋体"/>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0C3A2F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（1）具有良好的商业信誉和健全的财务会计制度（财务状况报告）；</w:t>
      </w:r>
    </w:p>
    <w:p w14:paraId="4C54F51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（2）有依法缴纳税收和社会保障资金的良好记录。</w:t>
      </w:r>
    </w:p>
    <w:p w14:paraId="140872C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0C84BC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00031E4A">
      <w:pPr>
        <w:spacing w:line="360" w:lineRule="auto"/>
        <w:ind w:firstLine="480"/>
        <w:rPr>
          <w:rFonts w:hint="eastAsia" w:ascii="宋体" w:hAnsi="宋体" w:eastAsia="宋体" w:cs="宋体"/>
          <w:color w:val="auto"/>
          <w:sz w:val="24"/>
          <w:highlight w:val="none"/>
        </w:rPr>
      </w:pPr>
    </w:p>
    <w:p w14:paraId="1881C46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投标人（盖章）：</w:t>
      </w:r>
    </w:p>
    <w:p w14:paraId="4EB844B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法定代表人或委托代理人（签字或盖章）：</w:t>
      </w:r>
    </w:p>
    <w:p w14:paraId="50436831">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highlight w:val="none"/>
        </w:rPr>
        <w:t>日期：    年     月     日</w:t>
      </w:r>
    </w:p>
    <w:p w14:paraId="7961336F">
      <w:pPr>
        <w:spacing w:line="360" w:lineRule="auto"/>
        <w:ind w:firstLine="482"/>
        <w:rPr>
          <w:rFonts w:hint="eastAsia" w:ascii="宋体" w:hAnsi="宋体" w:eastAsia="宋体" w:cs="宋体"/>
          <w:b/>
          <w:color w:val="auto"/>
          <w:sz w:val="24"/>
          <w:szCs w:val="24"/>
          <w:highlight w:val="none"/>
        </w:rPr>
      </w:pPr>
    </w:p>
    <w:p w14:paraId="03B6A736">
      <w:pPr>
        <w:spacing w:line="360" w:lineRule="auto"/>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rPr>
        <w:br w:type="page" w:clear="all"/>
      </w:r>
    </w:p>
    <w:p w14:paraId="26B6E6A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格式1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关于符合本国产品标准的声明函</w:t>
      </w:r>
    </w:p>
    <w:p w14:paraId="7CA6D780">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rFonts w:hint="eastAsia" w:ascii="宋体" w:hAnsi="宋体" w:eastAsia="宋体" w:cs="宋体"/>
          <w:b/>
          <w:bCs/>
          <w:color w:val="auto"/>
          <w:sz w:val="30"/>
          <w:szCs w:val="30"/>
          <w:highlight w:val="none"/>
          <w:shd w:val="clear" w:color="auto" w:fill="FFFFFF"/>
        </w:rPr>
      </w:pPr>
    </w:p>
    <w:p w14:paraId="51AD57F6">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rFonts w:hint="eastAsia" w:ascii="宋体" w:hAnsi="宋体" w:eastAsia="宋体" w:cs="宋体"/>
          <w:b/>
          <w:bCs/>
          <w:color w:val="auto"/>
          <w:sz w:val="30"/>
          <w:szCs w:val="30"/>
          <w:highlight w:val="none"/>
          <w:shd w:val="clear" w:color="auto" w:fill="FFFFFF"/>
        </w:rPr>
      </w:pPr>
    </w:p>
    <w:p w14:paraId="1297E5F3">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sz w:val="30"/>
          <w:szCs w:val="30"/>
          <w:highlight w:val="none"/>
          <w:shd w:val="clear" w:color="auto" w:fill="FFFFFF"/>
        </w:rPr>
        <w:t>关于符合本国产品标准的声明函</w:t>
      </w:r>
    </w:p>
    <w:p w14:paraId="210C8AA6">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firstLine="420"/>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447573F8">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1305CB4">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1.</w:t>
      </w:r>
      <w:r>
        <w:rPr>
          <w:rFonts w:hint="eastAsia" w:ascii="宋体" w:hAnsi="宋体" w:eastAsia="宋体" w:cs="宋体"/>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32E21FDA">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在中国境内完成。</w:t>
      </w:r>
    </w:p>
    <w:p w14:paraId="098962AB">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w:t>
      </w:r>
    </w:p>
    <w:p w14:paraId="4B37B931">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6BCE1272">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3078B3BD">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公司（单位）名称（加盖CA电子公章）：</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p>
    <w:p w14:paraId="62571C7F">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日期：</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年</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月</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p>
    <w:p w14:paraId="5EEB088B">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21EF97E4">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eastAsia="zh-CN"/>
        </w:rPr>
        <w:t xml:space="preserve"> </w:t>
      </w:r>
    </w:p>
    <w:p w14:paraId="06934C8D">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_________________</w:t>
      </w:r>
    </w:p>
    <w:p w14:paraId="597C1DEB">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03CFE7A8">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0F975E7E">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2F8E474B">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5720EF26">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09D26A57">
      <w:pPr>
        <w:pStyle w:val="290"/>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6.《声明函》中标注“</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”的地方无需填写。</w:t>
      </w:r>
    </w:p>
    <w:p w14:paraId="6C5546F1">
      <w:pPr>
        <w:spacing w:line="360" w:lineRule="auto"/>
        <w:rPr>
          <w:rFonts w:hint="eastAsia" w:ascii="宋体" w:hAnsi="宋体" w:eastAsia="宋体" w:cs="宋体"/>
          <w:color w:val="auto"/>
          <w:sz w:val="24"/>
          <w:highlight w:val="none"/>
        </w:rPr>
      </w:pPr>
    </w:p>
    <w:p w14:paraId="5CA526B5">
      <w:pPr>
        <w:spacing w:line="360" w:lineRule="auto"/>
        <w:rPr>
          <w:rFonts w:hint="eastAsia" w:ascii="宋体" w:hAnsi="宋体" w:eastAsia="宋体" w:cs="宋体"/>
          <w:color w:val="auto"/>
          <w:sz w:val="24"/>
          <w:szCs w:val="24"/>
          <w:highlight w:val="none"/>
        </w:rPr>
      </w:pPr>
    </w:p>
    <w:p w14:paraId="1F7FCCC8">
      <w:pPr>
        <w:spacing w:line="360" w:lineRule="auto"/>
        <w:rPr>
          <w:rFonts w:hint="eastAsia" w:ascii="宋体" w:hAnsi="宋体" w:eastAsia="宋体" w:cs="宋体"/>
          <w:color w:val="auto"/>
          <w:sz w:val="24"/>
          <w:szCs w:val="24"/>
          <w:highlight w:val="none"/>
        </w:rPr>
      </w:pPr>
    </w:p>
    <w:p w14:paraId="683B274C">
      <w:pPr>
        <w:spacing w:line="360" w:lineRule="auto"/>
        <w:rPr>
          <w:rFonts w:hint="eastAsia" w:ascii="宋体" w:hAnsi="宋体" w:eastAsia="宋体" w:cs="宋体"/>
          <w:color w:val="auto"/>
          <w:sz w:val="24"/>
          <w:szCs w:val="24"/>
          <w:highlight w:val="none"/>
        </w:rPr>
      </w:pPr>
    </w:p>
    <w:p w14:paraId="3F89BD63">
      <w:pPr>
        <w:spacing w:line="360" w:lineRule="auto"/>
        <w:rPr>
          <w:rFonts w:hint="eastAsia" w:ascii="宋体" w:hAnsi="宋体" w:eastAsia="宋体" w:cs="宋体"/>
          <w:color w:val="auto"/>
          <w:sz w:val="24"/>
          <w:szCs w:val="24"/>
          <w:highlight w:val="none"/>
        </w:rPr>
      </w:pPr>
    </w:p>
    <w:p w14:paraId="7EFA9DB2">
      <w:pPr>
        <w:spacing w:line="360" w:lineRule="auto"/>
        <w:rPr>
          <w:rFonts w:hint="eastAsia" w:ascii="宋体" w:hAnsi="宋体" w:eastAsia="宋体" w:cs="宋体"/>
          <w:color w:val="auto"/>
          <w:sz w:val="24"/>
          <w:szCs w:val="24"/>
          <w:highlight w:val="none"/>
        </w:rPr>
      </w:pPr>
    </w:p>
    <w:p w14:paraId="3A23420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格式1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其他材料</w:t>
      </w:r>
    </w:p>
    <w:p w14:paraId="7EA20A31">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其它材料</w:t>
      </w:r>
    </w:p>
    <w:p w14:paraId="6CCD3DC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（投标人对招标文件响应有必要提供的材料或评标办法中要求提供的材料）</w:t>
      </w:r>
    </w:p>
    <w:p w14:paraId="5835E02B">
      <w:pPr>
        <w:spacing w:line="360" w:lineRule="auto"/>
        <w:rPr>
          <w:rFonts w:hint="eastAsia" w:ascii="宋体" w:hAnsi="宋体" w:eastAsia="宋体" w:cs="宋体"/>
          <w:color w:val="auto"/>
          <w:sz w:val="24"/>
          <w:szCs w:val="24"/>
          <w:highlight w:val="none"/>
        </w:rPr>
      </w:pPr>
    </w:p>
    <w:p w14:paraId="2D11D709">
      <w:pPr>
        <w:spacing w:line="360" w:lineRule="auto"/>
        <w:rPr>
          <w:rFonts w:hint="eastAsia" w:ascii="宋体" w:hAnsi="宋体" w:eastAsia="宋体" w:cs="宋体"/>
          <w:color w:val="auto"/>
          <w:sz w:val="24"/>
          <w:szCs w:val="24"/>
          <w:highlight w:val="none"/>
        </w:rPr>
      </w:pPr>
    </w:p>
    <w:p w14:paraId="6099CB73">
      <w:pPr>
        <w:spacing w:line="360" w:lineRule="auto"/>
        <w:rPr>
          <w:rFonts w:hint="eastAsia" w:ascii="宋体" w:hAnsi="宋体" w:eastAsia="宋体" w:cs="宋体"/>
          <w:color w:val="auto"/>
          <w:sz w:val="24"/>
          <w:szCs w:val="24"/>
          <w:highlight w:val="none"/>
        </w:rPr>
      </w:pPr>
    </w:p>
    <w:p w14:paraId="0C4D4B52">
      <w:pPr>
        <w:spacing w:line="360" w:lineRule="auto"/>
        <w:rPr>
          <w:rFonts w:hint="eastAsia" w:ascii="宋体" w:hAnsi="宋体" w:eastAsia="宋体" w:cs="宋体"/>
          <w:color w:val="auto"/>
          <w:sz w:val="24"/>
          <w:szCs w:val="24"/>
          <w:highlight w:val="none"/>
        </w:rPr>
      </w:pPr>
    </w:p>
    <w:p w14:paraId="61A8AC37">
      <w:pPr>
        <w:spacing w:line="360" w:lineRule="auto"/>
        <w:rPr>
          <w:rFonts w:hint="eastAsia" w:ascii="宋体" w:hAnsi="宋体" w:eastAsia="宋体" w:cs="宋体"/>
          <w:color w:val="auto"/>
          <w:sz w:val="24"/>
          <w:szCs w:val="24"/>
          <w:highlight w:val="none"/>
        </w:rPr>
      </w:pPr>
    </w:p>
    <w:p w14:paraId="3166F67F">
      <w:pPr>
        <w:spacing w:line="360" w:lineRule="auto"/>
        <w:rPr>
          <w:rFonts w:hint="eastAsia" w:ascii="宋体" w:hAnsi="宋体" w:eastAsia="宋体" w:cs="宋体"/>
          <w:color w:val="auto"/>
          <w:sz w:val="24"/>
          <w:szCs w:val="24"/>
          <w:highlight w:val="none"/>
        </w:rPr>
      </w:pPr>
    </w:p>
    <w:p w14:paraId="1180E8E4">
      <w:pPr>
        <w:spacing w:line="360" w:lineRule="auto"/>
        <w:rPr>
          <w:rFonts w:hint="eastAsia" w:ascii="宋体" w:hAnsi="宋体" w:eastAsia="宋体" w:cs="宋体"/>
          <w:color w:val="auto"/>
          <w:sz w:val="24"/>
          <w:szCs w:val="24"/>
          <w:highlight w:val="none"/>
        </w:rPr>
      </w:pPr>
    </w:p>
    <w:p w14:paraId="006AE78C">
      <w:pPr>
        <w:spacing w:line="360" w:lineRule="auto"/>
        <w:rPr>
          <w:rFonts w:hint="eastAsia" w:ascii="宋体" w:hAnsi="宋体" w:eastAsia="宋体" w:cs="宋体"/>
          <w:color w:val="auto"/>
          <w:sz w:val="24"/>
          <w:szCs w:val="24"/>
          <w:highlight w:val="none"/>
        </w:rPr>
      </w:pPr>
    </w:p>
    <w:p w14:paraId="71344C30">
      <w:pPr>
        <w:spacing w:line="360" w:lineRule="auto"/>
        <w:rPr>
          <w:rFonts w:hint="eastAsia" w:ascii="宋体" w:hAnsi="宋体" w:eastAsia="宋体" w:cs="宋体"/>
          <w:color w:val="auto"/>
          <w:sz w:val="24"/>
          <w:szCs w:val="24"/>
          <w:highlight w:val="none"/>
        </w:rPr>
      </w:pPr>
    </w:p>
    <w:p w14:paraId="1C6EFAF5">
      <w:pPr>
        <w:spacing w:line="360" w:lineRule="auto"/>
        <w:rPr>
          <w:rFonts w:hint="eastAsia" w:ascii="宋体" w:hAnsi="宋体" w:eastAsia="宋体" w:cs="宋体"/>
          <w:color w:val="auto"/>
          <w:sz w:val="24"/>
          <w:szCs w:val="24"/>
          <w:highlight w:val="none"/>
        </w:rPr>
      </w:pPr>
    </w:p>
    <w:p w14:paraId="65B6C403">
      <w:pPr>
        <w:spacing w:line="360" w:lineRule="auto"/>
        <w:rPr>
          <w:rFonts w:hint="eastAsia" w:ascii="宋体" w:hAnsi="宋体" w:eastAsia="宋体" w:cs="宋体"/>
          <w:color w:val="auto"/>
          <w:sz w:val="24"/>
          <w:szCs w:val="24"/>
          <w:highlight w:val="none"/>
        </w:rPr>
      </w:pPr>
    </w:p>
    <w:p w14:paraId="1DBF7872">
      <w:pPr>
        <w:spacing w:line="360" w:lineRule="auto"/>
        <w:rPr>
          <w:rFonts w:hint="eastAsia" w:ascii="宋体" w:hAnsi="宋体" w:eastAsia="宋体" w:cs="宋体"/>
          <w:color w:val="auto"/>
          <w:sz w:val="24"/>
          <w:szCs w:val="24"/>
          <w:highlight w:val="none"/>
        </w:rPr>
      </w:pPr>
    </w:p>
    <w:p w14:paraId="5EB44378">
      <w:pPr>
        <w:spacing w:line="360" w:lineRule="auto"/>
        <w:rPr>
          <w:rFonts w:hint="eastAsia" w:ascii="宋体" w:hAnsi="宋体" w:eastAsia="宋体" w:cs="宋体"/>
          <w:color w:val="auto"/>
          <w:sz w:val="24"/>
          <w:szCs w:val="24"/>
          <w:highlight w:val="none"/>
        </w:rPr>
      </w:pPr>
    </w:p>
    <w:p w14:paraId="01BE364D">
      <w:pPr>
        <w:spacing w:line="360" w:lineRule="auto"/>
        <w:rPr>
          <w:rFonts w:hint="eastAsia" w:ascii="宋体" w:hAnsi="宋体" w:eastAsia="宋体" w:cs="宋体"/>
          <w:color w:val="auto"/>
          <w:sz w:val="24"/>
          <w:szCs w:val="24"/>
          <w:highlight w:val="none"/>
        </w:rPr>
      </w:pPr>
    </w:p>
    <w:p w14:paraId="0056A76A">
      <w:pPr>
        <w:spacing w:line="360" w:lineRule="auto"/>
        <w:rPr>
          <w:rFonts w:hint="eastAsia" w:ascii="宋体" w:hAnsi="宋体" w:eastAsia="宋体" w:cs="宋体"/>
          <w:color w:val="auto"/>
          <w:sz w:val="24"/>
          <w:szCs w:val="24"/>
          <w:highlight w:val="none"/>
        </w:rPr>
      </w:pPr>
    </w:p>
    <w:p w14:paraId="021E9C76">
      <w:pPr>
        <w:spacing w:line="360" w:lineRule="auto"/>
        <w:rPr>
          <w:rFonts w:hint="eastAsia" w:ascii="宋体" w:hAnsi="宋体" w:eastAsia="宋体" w:cs="宋体"/>
          <w:color w:val="auto"/>
          <w:sz w:val="24"/>
          <w:szCs w:val="24"/>
          <w:highlight w:val="none"/>
        </w:rPr>
      </w:pPr>
    </w:p>
    <w:p w14:paraId="062EC5C7">
      <w:pPr>
        <w:spacing w:line="360" w:lineRule="auto"/>
        <w:rPr>
          <w:rFonts w:hint="eastAsia" w:ascii="宋体" w:hAnsi="宋体" w:eastAsia="宋体" w:cs="宋体"/>
          <w:color w:val="auto"/>
          <w:sz w:val="24"/>
          <w:szCs w:val="24"/>
          <w:highlight w:val="none"/>
        </w:rPr>
      </w:pPr>
    </w:p>
    <w:p w14:paraId="33BA0D27">
      <w:pPr>
        <w:spacing w:line="360" w:lineRule="auto"/>
        <w:rPr>
          <w:rFonts w:hint="eastAsia" w:ascii="宋体" w:hAnsi="宋体" w:eastAsia="宋体" w:cs="宋体"/>
          <w:b/>
          <w:color w:val="auto"/>
          <w:sz w:val="28"/>
          <w:szCs w:val="30"/>
          <w:highlight w:val="none"/>
        </w:rPr>
      </w:pPr>
    </w:p>
    <w:p w14:paraId="55B353E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p>
    <w:p w14:paraId="32FEAD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法定代表人或委托代理人（签字或盖章）：</w:t>
      </w:r>
    </w:p>
    <w:p w14:paraId="51F86E8F">
      <w:pPr>
        <w:spacing w:line="360" w:lineRule="auto"/>
        <w:ind w:firstLine="480"/>
        <w:rPr>
          <w:rFonts w:hint="eastAsia" w:ascii="宋体" w:hAnsi="宋体" w:eastAsia="宋体" w:cs="宋体"/>
          <w:color w:val="auto"/>
          <w:spacing w:val="6"/>
          <w:sz w:val="30"/>
          <w:szCs w:val="30"/>
          <w:highlight w:val="none"/>
        </w:rPr>
      </w:pPr>
      <w:r>
        <w:rPr>
          <w:rFonts w:hint="eastAsia" w:ascii="宋体" w:hAnsi="宋体" w:eastAsia="宋体" w:cs="宋体"/>
          <w:color w:val="auto"/>
          <w:sz w:val="24"/>
          <w:szCs w:val="24"/>
          <w:highlight w:val="none"/>
        </w:rPr>
        <w:t>日期：    年     月     日</w:t>
      </w:r>
    </w:p>
    <w:p w14:paraId="03424B35">
      <w:pPr>
        <w:widowControl/>
        <w:spacing w:line="360" w:lineRule="auto"/>
        <w:jc w:val="left"/>
        <w:rPr>
          <w:rFonts w:hint="eastAsia" w:ascii="宋体" w:hAnsi="宋体" w:eastAsia="宋体" w:cs="宋体"/>
          <w:b/>
          <w:color w:val="auto"/>
          <w:sz w:val="36"/>
          <w:szCs w:val="20"/>
          <w:highlight w:val="none"/>
        </w:rPr>
      </w:pPr>
    </w:p>
    <w:p w14:paraId="29E0A8AA">
      <w:pPr>
        <w:widowControl/>
        <w:spacing w:line="360" w:lineRule="auto"/>
        <w:jc w:val="left"/>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rPr>
        <w:br w:type="page" w:clear="all"/>
      </w:r>
    </w:p>
    <w:p w14:paraId="46FCFC44">
      <w:pPr>
        <w:keepNext/>
        <w:spacing w:line="360" w:lineRule="auto"/>
        <w:outlineLvl w:val="1"/>
        <w:rPr>
          <w:rFonts w:hint="eastAsia" w:ascii="宋体" w:hAnsi="宋体" w:cs="宋体"/>
          <w:color w:val="auto"/>
          <w:sz w:val="24"/>
          <w:szCs w:val="24"/>
          <w:highlight w:val="none"/>
          <w:lang w:val="en-US" w:eastAsia="zh-CN" w:bidi="ar-SA"/>
        </w:rPr>
      </w:pPr>
      <w:bookmarkStart w:id="18" w:name="_Toc150765438"/>
      <w:r>
        <w:rPr>
          <w:rFonts w:hint="eastAsia" w:ascii="宋体" w:hAnsi="宋体" w:cs="宋体"/>
          <w:color w:val="auto"/>
          <w:sz w:val="24"/>
          <w:szCs w:val="24"/>
          <w:highlight w:val="none"/>
          <w:lang w:val="en-US" w:eastAsia="zh-CN" w:bidi="ar-SA"/>
        </w:rPr>
        <w:t>格式15、关于符合本国产品标准的声明函（分包号：**）</w:t>
      </w:r>
    </w:p>
    <w:p w14:paraId="6E4D8B47">
      <w:pPr>
        <w:pStyle w:val="41"/>
        <w:spacing w:before="0" w:beforeAutospacing="0" w:after="0" w:afterAutospacing="0" w:line="360" w:lineRule="auto"/>
        <w:ind w:firstLine="420"/>
        <w:rPr>
          <w:rFonts w:hint="eastAsia" w:ascii="宋体" w:hAnsi="宋体" w:cs="宋体"/>
          <w:color w:val="auto"/>
          <w:szCs w:val="24"/>
          <w:highlight w:val="none"/>
        </w:rPr>
      </w:pPr>
    </w:p>
    <w:p w14:paraId="0E7FCDC2">
      <w:pPr>
        <w:pStyle w:val="41"/>
        <w:spacing w:before="0" w:beforeAutospacing="0" w:after="0" w:afterAutospacing="0" w:line="360" w:lineRule="auto"/>
        <w:ind w:firstLine="420"/>
        <w:rPr>
          <w:rFonts w:ascii="宋体" w:hAnsi="宋体" w:cs="宋体"/>
          <w:color w:val="auto"/>
          <w:szCs w:val="24"/>
          <w:highlight w:val="none"/>
        </w:rPr>
      </w:pPr>
      <w:r>
        <w:rPr>
          <w:rFonts w:hint="eastAsia" w:ascii="宋体" w:hAnsi="宋体" w:cs="宋体"/>
          <w:color w:val="auto"/>
          <w:szCs w:val="24"/>
          <w:highlight w:val="none"/>
        </w:rPr>
        <w:t>公司（单位）郑重声明，根据《国务院办公厅关于在政府采购中实施本国产品标准及相关政策的通知》（国办发〔2025〕34号）的规定，本公司（单位）提供的以下产品属于本国产品。具体情况如下：</w:t>
      </w:r>
    </w:p>
    <w:p w14:paraId="6DC67D2C">
      <w:pPr>
        <w:pStyle w:val="41"/>
        <w:spacing w:before="30" w:beforeAutospacing="0" w:after="30" w:afterAutospacing="0" w:line="36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1.</w:t>
      </w:r>
      <w:r>
        <w:rPr>
          <w:rStyle w:val="52"/>
          <w:rFonts w:hint="eastAsia" w:ascii="宋体" w:hAnsi="宋体" w:cs="宋体"/>
          <w:i w:val="0"/>
          <w:color w:val="auto"/>
          <w:szCs w:val="24"/>
          <w:highlight w:val="none"/>
          <w:u w:val="single"/>
          <w:shd w:val="clear" w:color="auto" w:fill="FFFFFF"/>
        </w:rPr>
        <w:t>（产品名称1）</w:t>
      </w:r>
      <w:r>
        <w:rPr>
          <w:rStyle w:val="52"/>
          <w:rFonts w:hint="eastAsia" w:ascii="宋体" w:hAnsi="宋体" w:cs="宋体"/>
          <w:i w:val="0"/>
          <w:color w:val="auto"/>
          <w:szCs w:val="24"/>
          <w:highlight w:val="none"/>
          <w:shd w:val="clear" w:color="auto" w:fill="FFFFFF"/>
          <w:vertAlign w:val="superscript"/>
        </w:rPr>
        <w:t>1</w:t>
      </w:r>
      <w:r>
        <w:rPr>
          <w:rFonts w:hint="eastAsia" w:ascii="宋体" w:hAnsi="宋体" w:cs="宋体"/>
          <w:color w:val="auto"/>
          <w:szCs w:val="24"/>
          <w:highlight w:val="none"/>
          <w:shd w:val="clear" w:color="auto" w:fill="FFFFFF"/>
        </w:rPr>
        <w:t>，生产厂为</w:t>
      </w:r>
      <w:r>
        <w:rPr>
          <w:rStyle w:val="52"/>
          <w:rFonts w:hint="eastAsia" w:ascii="宋体" w:hAnsi="宋体" w:cs="宋体"/>
          <w:i w:val="0"/>
          <w:color w:val="auto"/>
          <w:szCs w:val="24"/>
          <w:highlight w:val="none"/>
          <w:u w:val="single"/>
          <w:shd w:val="clear" w:color="auto" w:fill="FFFFFF"/>
        </w:rPr>
        <w:t>（厂名）</w:t>
      </w:r>
      <w:r>
        <w:rPr>
          <w:rStyle w:val="52"/>
          <w:rFonts w:hint="eastAsia" w:ascii="宋体" w:hAnsi="宋体" w:cs="宋体"/>
          <w:i w:val="0"/>
          <w:color w:val="auto"/>
          <w:szCs w:val="24"/>
          <w:highlight w:val="none"/>
          <w:shd w:val="clear" w:color="auto" w:fill="FFFFFF"/>
          <w:vertAlign w:val="superscript"/>
        </w:rPr>
        <w:t>2</w:t>
      </w:r>
      <w:r>
        <w:rPr>
          <w:rFonts w:hint="eastAsia" w:ascii="宋体" w:hAnsi="宋体" w:cs="宋体"/>
          <w:color w:val="auto"/>
          <w:szCs w:val="24"/>
          <w:highlight w:val="none"/>
          <w:shd w:val="clear" w:color="auto" w:fill="FFFFFF"/>
        </w:rPr>
        <w:t>，厂址为</w:t>
      </w:r>
      <w:r>
        <w:rPr>
          <w:rStyle w:val="52"/>
          <w:rFonts w:hint="eastAsia" w:ascii="宋体" w:hAnsi="宋体" w:cs="宋体"/>
          <w:i w:val="0"/>
          <w:color w:val="auto"/>
          <w:szCs w:val="24"/>
          <w:highlight w:val="none"/>
          <w:u w:val="single"/>
          <w:shd w:val="clear" w:color="auto" w:fill="FFFFFF"/>
        </w:rPr>
        <w:t>（生产厂址）</w:t>
      </w:r>
      <w:r>
        <w:rPr>
          <w:rFonts w:hint="eastAsia" w:ascii="宋体" w:hAnsi="宋体" w:cs="宋体"/>
          <w:color w:val="auto"/>
          <w:szCs w:val="24"/>
          <w:highlight w:val="none"/>
          <w:shd w:val="clear" w:color="auto" w:fill="FFFFFF"/>
        </w:rPr>
        <w:t>。</w:t>
      </w:r>
      <w:r>
        <w:rPr>
          <w:rStyle w:val="52"/>
          <w:rFonts w:hint="eastAsia" w:ascii="宋体" w:hAnsi="宋体" w:cs="宋体"/>
          <w:i w:val="0"/>
          <w:strike/>
          <w:dstrike w:val="0"/>
          <w:color w:val="auto"/>
          <w:szCs w:val="24"/>
          <w:highlight w:val="none"/>
          <w:u w:val="single"/>
          <w:shd w:val="clear" w:color="auto" w:fill="FFFFFF"/>
        </w:rPr>
        <w:t>（产品名称1）</w:t>
      </w:r>
      <w:r>
        <w:rPr>
          <w:rStyle w:val="52"/>
          <w:rFonts w:hint="eastAsia" w:ascii="宋体" w:hAnsi="宋体" w:cs="宋体"/>
          <w:i w:val="0"/>
          <w:color w:val="auto"/>
          <w:szCs w:val="24"/>
          <w:highlight w:val="none"/>
          <w:u w:val="single"/>
          <w:shd w:val="clear" w:color="auto" w:fill="FFFFFF"/>
        </w:rPr>
        <w:t xml:space="preserve"> </w:t>
      </w:r>
      <w:r>
        <w:rPr>
          <w:rFonts w:hint="eastAsia" w:ascii="宋体" w:hAnsi="宋体" w:cs="宋体"/>
          <w:color w:val="auto"/>
          <w:szCs w:val="24"/>
          <w:highlight w:val="none"/>
          <w:shd w:val="clear" w:color="auto" w:fill="FFFFFF"/>
        </w:rPr>
        <w:t>的中国境内生产的组件成本占比≥</w:t>
      </w:r>
      <w:r>
        <w:rPr>
          <w:rStyle w:val="52"/>
          <w:rFonts w:hint="eastAsia" w:ascii="宋体" w:hAnsi="宋体" w:cs="宋体"/>
          <w:i w:val="0"/>
          <w:strike/>
          <w:dstrike w:val="0"/>
          <w:color w:val="auto"/>
          <w:szCs w:val="24"/>
          <w:highlight w:val="none"/>
          <w:u w:val="single"/>
          <w:shd w:val="clear" w:color="auto" w:fill="FFFFFF"/>
        </w:rPr>
        <w:t>（规定比例）</w:t>
      </w:r>
      <w:r>
        <w:rPr>
          <w:rStyle w:val="52"/>
          <w:rFonts w:hint="eastAsia" w:ascii="宋体" w:hAnsi="宋体" w:cs="宋体"/>
          <w:i w:val="0"/>
          <w:color w:val="auto"/>
          <w:szCs w:val="24"/>
          <w:highlight w:val="none"/>
          <w:shd w:val="clear" w:color="auto" w:fill="FFFFFF"/>
          <w:vertAlign w:val="superscript"/>
        </w:rPr>
        <w:t>3</w:t>
      </w:r>
      <w:r>
        <w:rPr>
          <w:rFonts w:hint="eastAsia" w:ascii="宋体" w:hAnsi="宋体" w:cs="宋体"/>
          <w:color w:val="auto"/>
          <w:szCs w:val="24"/>
          <w:highlight w:val="none"/>
          <w:shd w:val="clear" w:color="auto" w:fill="FFFFFF"/>
        </w:rPr>
        <w:t>。</w:t>
      </w:r>
      <w:r>
        <w:rPr>
          <w:rStyle w:val="52"/>
          <w:rFonts w:hint="eastAsia" w:ascii="宋体" w:hAnsi="宋体" w:cs="宋体"/>
          <w:i w:val="0"/>
          <w:strike/>
          <w:dstrike w:val="0"/>
          <w:color w:val="auto"/>
          <w:szCs w:val="24"/>
          <w:highlight w:val="none"/>
          <w:u w:val="single"/>
          <w:shd w:val="clear" w:color="auto" w:fill="FFFFFF"/>
        </w:rPr>
        <w:t>（产品名称1）</w:t>
      </w:r>
      <w:r>
        <w:rPr>
          <w:rFonts w:hint="eastAsia" w:ascii="宋体" w:hAnsi="宋体" w:cs="宋体"/>
          <w:color w:val="auto"/>
          <w:szCs w:val="24"/>
          <w:highlight w:val="none"/>
          <w:shd w:val="clear" w:color="auto" w:fill="FFFFFF"/>
        </w:rPr>
        <w:t>的</w:t>
      </w:r>
      <w:r>
        <w:rPr>
          <w:rStyle w:val="52"/>
          <w:rFonts w:hint="eastAsia" w:ascii="宋体" w:hAnsi="宋体" w:cs="宋体"/>
          <w:i w:val="0"/>
          <w:strike/>
          <w:dstrike w:val="0"/>
          <w:color w:val="auto"/>
          <w:szCs w:val="24"/>
          <w:highlight w:val="none"/>
          <w:u w:val="single"/>
          <w:shd w:val="clear" w:color="auto" w:fill="FFFFFF"/>
        </w:rPr>
        <w:t>（关键组件）</w:t>
      </w:r>
      <w:r>
        <w:rPr>
          <w:rStyle w:val="52"/>
          <w:rFonts w:hint="eastAsia" w:ascii="宋体" w:hAnsi="宋体" w:cs="宋体"/>
          <w:i w:val="0"/>
          <w:color w:val="auto"/>
          <w:szCs w:val="24"/>
          <w:highlight w:val="none"/>
          <w:shd w:val="clear" w:color="auto" w:fill="FFFFFF"/>
          <w:vertAlign w:val="superscript"/>
        </w:rPr>
        <w:t>4</w:t>
      </w:r>
      <w:r>
        <w:rPr>
          <w:rFonts w:hint="eastAsia" w:ascii="宋体" w:hAnsi="宋体" w:cs="宋体"/>
          <w:color w:val="auto"/>
          <w:szCs w:val="24"/>
          <w:highlight w:val="none"/>
          <w:shd w:val="clear" w:color="auto" w:fill="FFFFFF"/>
        </w:rPr>
        <w:t>在中国境内生产。</w:t>
      </w:r>
      <w:r>
        <w:rPr>
          <w:rStyle w:val="52"/>
          <w:rFonts w:hint="eastAsia" w:ascii="宋体" w:hAnsi="宋体" w:cs="宋体"/>
          <w:i w:val="0"/>
          <w:strike/>
          <w:dstrike w:val="0"/>
          <w:color w:val="auto"/>
          <w:szCs w:val="24"/>
          <w:highlight w:val="none"/>
          <w:u w:val="single"/>
          <w:shd w:val="clear" w:color="auto" w:fill="FFFFFF"/>
        </w:rPr>
        <w:t>（产品名称1）</w:t>
      </w:r>
      <w:r>
        <w:rPr>
          <w:rFonts w:hint="eastAsia" w:ascii="宋体" w:hAnsi="宋体" w:cs="宋体"/>
          <w:color w:val="auto"/>
          <w:szCs w:val="24"/>
          <w:highlight w:val="none"/>
          <w:shd w:val="clear" w:color="auto" w:fill="FFFFFF"/>
        </w:rPr>
        <w:t>的</w:t>
      </w:r>
      <w:r>
        <w:rPr>
          <w:rStyle w:val="52"/>
          <w:rFonts w:hint="eastAsia" w:ascii="宋体" w:hAnsi="宋体" w:cs="宋体"/>
          <w:i w:val="0"/>
          <w:strike/>
          <w:dstrike w:val="0"/>
          <w:color w:val="auto"/>
          <w:szCs w:val="24"/>
          <w:highlight w:val="none"/>
          <w:u w:val="single"/>
          <w:shd w:val="clear" w:color="auto" w:fill="FFFFFF"/>
        </w:rPr>
        <w:t>（关键工序）</w:t>
      </w:r>
      <w:r>
        <w:rPr>
          <w:rStyle w:val="52"/>
          <w:rFonts w:hint="eastAsia" w:ascii="宋体" w:hAnsi="宋体" w:cs="宋体"/>
          <w:i w:val="0"/>
          <w:color w:val="auto"/>
          <w:szCs w:val="24"/>
          <w:highlight w:val="none"/>
          <w:shd w:val="clear" w:color="auto" w:fill="FFFFFF"/>
          <w:vertAlign w:val="superscript"/>
        </w:rPr>
        <w:t>5</w:t>
      </w:r>
      <w:r>
        <w:rPr>
          <w:rFonts w:hint="eastAsia" w:ascii="宋体" w:hAnsi="宋体" w:cs="宋体"/>
          <w:color w:val="auto"/>
          <w:szCs w:val="24"/>
          <w:highlight w:val="none"/>
          <w:shd w:val="clear" w:color="auto" w:fill="FFFFFF"/>
        </w:rPr>
        <w:t>在中国境内完成。</w:t>
      </w:r>
    </w:p>
    <w:p w14:paraId="2DE377E5">
      <w:pPr>
        <w:pStyle w:val="41"/>
        <w:spacing w:before="30" w:beforeAutospacing="0" w:after="30" w:afterAutospacing="0" w:line="36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2.</w:t>
      </w:r>
      <w:r>
        <w:rPr>
          <w:rStyle w:val="52"/>
          <w:rFonts w:hint="eastAsia" w:ascii="宋体" w:hAnsi="宋体" w:cs="宋体"/>
          <w:i w:val="0"/>
          <w:color w:val="auto"/>
          <w:szCs w:val="24"/>
          <w:highlight w:val="none"/>
          <w:u w:val="single"/>
          <w:shd w:val="clear" w:color="auto" w:fill="FFFFFF"/>
        </w:rPr>
        <w:t>（产品名称2）</w:t>
      </w:r>
      <w:r>
        <w:rPr>
          <w:rFonts w:hint="eastAsia" w:ascii="宋体" w:hAnsi="宋体" w:cs="宋体"/>
          <w:color w:val="auto"/>
          <w:szCs w:val="24"/>
          <w:highlight w:val="none"/>
          <w:shd w:val="clear" w:color="auto" w:fill="FFFFFF"/>
        </w:rPr>
        <w:t>，生产厂为</w:t>
      </w:r>
      <w:r>
        <w:rPr>
          <w:rStyle w:val="52"/>
          <w:rFonts w:hint="eastAsia" w:ascii="宋体" w:hAnsi="宋体" w:cs="宋体"/>
          <w:i w:val="0"/>
          <w:color w:val="auto"/>
          <w:szCs w:val="24"/>
          <w:highlight w:val="none"/>
          <w:u w:val="single"/>
          <w:shd w:val="clear" w:color="auto" w:fill="FFFFFF"/>
        </w:rPr>
        <w:t>（厂名）</w:t>
      </w:r>
      <w:r>
        <w:rPr>
          <w:rFonts w:hint="eastAsia" w:ascii="宋体" w:hAnsi="宋体" w:cs="宋体"/>
          <w:color w:val="auto"/>
          <w:szCs w:val="24"/>
          <w:highlight w:val="none"/>
          <w:shd w:val="clear" w:color="auto" w:fill="FFFFFF"/>
        </w:rPr>
        <w:t>，厂址为</w:t>
      </w:r>
      <w:r>
        <w:rPr>
          <w:rStyle w:val="52"/>
          <w:rFonts w:hint="eastAsia" w:ascii="宋体" w:hAnsi="宋体" w:cs="宋体"/>
          <w:i w:val="0"/>
          <w:color w:val="auto"/>
          <w:szCs w:val="24"/>
          <w:highlight w:val="none"/>
          <w:u w:val="single"/>
          <w:shd w:val="clear" w:color="auto" w:fill="FFFFFF"/>
        </w:rPr>
        <w:t>（生产厂址）</w:t>
      </w:r>
      <w:r>
        <w:rPr>
          <w:rFonts w:hint="eastAsia" w:ascii="宋体" w:hAnsi="宋体" w:cs="宋体"/>
          <w:color w:val="auto"/>
          <w:szCs w:val="24"/>
          <w:highlight w:val="none"/>
          <w:shd w:val="clear" w:color="auto" w:fill="FFFFFF"/>
        </w:rPr>
        <w:t>。</w:t>
      </w:r>
      <w:r>
        <w:rPr>
          <w:rStyle w:val="52"/>
          <w:rFonts w:hint="eastAsia" w:ascii="宋体" w:hAnsi="宋体" w:cs="宋体"/>
          <w:i w:val="0"/>
          <w:strike/>
          <w:dstrike w:val="0"/>
          <w:color w:val="auto"/>
          <w:szCs w:val="24"/>
          <w:highlight w:val="none"/>
          <w:u w:val="single"/>
          <w:shd w:val="clear" w:color="auto" w:fill="FFFFFF"/>
        </w:rPr>
        <w:t>（产品名称2）</w:t>
      </w:r>
      <w:r>
        <w:rPr>
          <w:rFonts w:hint="eastAsia" w:ascii="宋体" w:hAnsi="宋体" w:cs="宋体"/>
          <w:color w:val="auto"/>
          <w:szCs w:val="24"/>
          <w:highlight w:val="none"/>
          <w:shd w:val="clear" w:color="auto" w:fill="FFFFFF"/>
        </w:rPr>
        <w:t>的中国境内生产的组件成本占比≥</w:t>
      </w:r>
      <w:r>
        <w:rPr>
          <w:rStyle w:val="52"/>
          <w:rFonts w:hint="eastAsia" w:ascii="宋体" w:hAnsi="宋体" w:cs="宋体"/>
          <w:i w:val="0"/>
          <w:strike/>
          <w:dstrike w:val="0"/>
          <w:color w:val="auto"/>
          <w:szCs w:val="24"/>
          <w:highlight w:val="none"/>
          <w:u w:val="single"/>
          <w:shd w:val="clear" w:color="auto" w:fill="FFFFFF"/>
        </w:rPr>
        <w:t>（规定比例）</w:t>
      </w:r>
      <w:r>
        <w:rPr>
          <w:rFonts w:hint="eastAsia" w:ascii="宋体" w:hAnsi="宋体" w:cs="宋体"/>
          <w:color w:val="auto"/>
          <w:szCs w:val="24"/>
          <w:highlight w:val="none"/>
          <w:shd w:val="clear" w:color="auto" w:fill="FFFFFF"/>
        </w:rPr>
        <w:t>。</w:t>
      </w:r>
      <w:r>
        <w:rPr>
          <w:rStyle w:val="52"/>
          <w:rFonts w:hint="eastAsia" w:ascii="宋体" w:hAnsi="宋体" w:cs="宋体"/>
          <w:i w:val="0"/>
          <w:strike/>
          <w:dstrike w:val="0"/>
          <w:color w:val="auto"/>
          <w:szCs w:val="24"/>
          <w:highlight w:val="none"/>
          <w:u w:val="single"/>
          <w:shd w:val="clear" w:color="auto" w:fill="FFFFFF"/>
        </w:rPr>
        <w:t>（产品名称2）</w:t>
      </w:r>
      <w:r>
        <w:rPr>
          <w:rFonts w:hint="eastAsia" w:ascii="宋体" w:hAnsi="宋体" w:cs="宋体"/>
          <w:color w:val="auto"/>
          <w:szCs w:val="24"/>
          <w:highlight w:val="none"/>
          <w:shd w:val="clear" w:color="auto" w:fill="FFFFFF"/>
        </w:rPr>
        <w:t>的</w:t>
      </w:r>
      <w:r>
        <w:rPr>
          <w:rStyle w:val="52"/>
          <w:rFonts w:hint="eastAsia" w:ascii="宋体" w:hAnsi="宋体" w:cs="宋体"/>
          <w:i w:val="0"/>
          <w:strike/>
          <w:dstrike w:val="0"/>
          <w:color w:val="auto"/>
          <w:szCs w:val="24"/>
          <w:highlight w:val="none"/>
          <w:u w:val="single"/>
          <w:shd w:val="clear" w:color="auto" w:fill="FFFFFF"/>
        </w:rPr>
        <w:t>（关键组件）</w:t>
      </w:r>
      <w:r>
        <w:rPr>
          <w:rFonts w:hint="eastAsia" w:ascii="宋体" w:hAnsi="宋体" w:cs="宋体"/>
          <w:color w:val="auto"/>
          <w:szCs w:val="24"/>
          <w:highlight w:val="none"/>
          <w:shd w:val="clear" w:color="auto" w:fill="FFFFFF"/>
        </w:rPr>
        <w:t>在中国境内生产。</w:t>
      </w:r>
      <w:r>
        <w:rPr>
          <w:rStyle w:val="52"/>
          <w:rFonts w:hint="eastAsia" w:ascii="宋体" w:hAnsi="宋体" w:cs="宋体"/>
          <w:i w:val="0"/>
          <w:strike/>
          <w:dstrike w:val="0"/>
          <w:color w:val="auto"/>
          <w:szCs w:val="24"/>
          <w:highlight w:val="none"/>
          <w:u w:val="single"/>
          <w:shd w:val="clear" w:color="auto" w:fill="FFFFFF"/>
        </w:rPr>
        <w:t>（产品名称1）</w:t>
      </w:r>
      <w:r>
        <w:rPr>
          <w:rFonts w:hint="eastAsia" w:ascii="宋体" w:hAnsi="宋体" w:cs="宋体"/>
          <w:color w:val="auto"/>
          <w:szCs w:val="24"/>
          <w:highlight w:val="none"/>
          <w:shd w:val="clear" w:color="auto" w:fill="FFFFFF"/>
        </w:rPr>
        <w:t>的</w:t>
      </w:r>
      <w:r>
        <w:rPr>
          <w:rStyle w:val="52"/>
          <w:rFonts w:hint="eastAsia" w:ascii="宋体" w:hAnsi="宋体" w:cs="宋体"/>
          <w:i w:val="0"/>
          <w:strike/>
          <w:dstrike w:val="0"/>
          <w:color w:val="auto"/>
          <w:szCs w:val="24"/>
          <w:highlight w:val="none"/>
          <w:u w:val="single"/>
          <w:shd w:val="clear" w:color="auto" w:fill="FFFFFF"/>
        </w:rPr>
        <w:t>（关键工序）</w:t>
      </w:r>
      <w:r>
        <w:rPr>
          <w:rFonts w:hint="eastAsia" w:ascii="宋体" w:hAnsi="宋体" w:cs="宋体"/>
          <w:color w:val="auto"/>
          <w:szCs w:val="24"/>
          <w:highlight w:val="none"/>
          <w:shd w:val="clear" w:color="auto" w:fill="FFFFFF"/>
        </w:rPr>
        <w:t>在中国境内完成。</w:t>
      </w:r>
    </w:p>
    <w:p w14:paraId="428DBDFF">
      <w:pPr>
        <w:pStyle w:val="41"/>
        <w:spacing w:before="30" w:beforeAutospacing="0" w:after="30" w:afterAutospacing="0" w:line="36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w:t>
      </w:r>
    </w:p>
    <w:p w14:paraId="364B0D02">
      <w:pPr>
        <w:pStyle w:val="41"/>
        <w:spacing w:before="30" w:beforeAutospacing="0" w:after="30" w:afterAutospacing="0" w:line="360" w:lineRule="auto"/>
        <w:ind w:firstLine="420"/>
        <w:rPr>
          <w:rFonts w:ascii="宋体" w:hAnsi="宋体" w:cs="宋体"/>
          <w:color w:val="auto"/>
          <w:szCs w:val="24"/>
          <w:highlight w:val="none"/>
        </w:rPr>
      </w:pPr>
      <w:r>
        <w:rPr>
          <w:rFonts w:hint="eastAsia" w:ascii="宋体" w:hAnsi="宋体" w:cs="宋体"/>
          <w:color w:val="auto"/>
          <w:szCs w:val="24"/>
          <w:highlight w:val="none"/>
          <w:shd w:val="clear" w:color="auto" w:fill="FFFFFF"/>
        </w:rPr>
        <w:t>本公司（单位）对上述声明内容的真实性负责。如有虚假，愿承担相应法律责任。</w:t>
      </w:r>
    </w:p>
    <w:p w14:paraId="3EA40A20">
      <w:pPr>
        <w:pStyle w:val="41"/>
        <w:spacing w:before="30" w:beforeAutospacing="0" w:after="30" w:afterAutospacing="0" w:line="360" w:lineRule="auto"/>
        <w:rPr>
          <w:rFonts w:ascii="宋体" w:hAnsi="宋体" w:cs="宋体"/>
          <w:color w:val="auto"/>
          <w:szCs w:val="24"/>
          <w:highlight w:val="none"/>
        </w:rPr>
      </w:pPr>
    </w:p>
    <w:p w14:paraId="42C4A056">
      <w:pPr>
        <w:pStyle w:val="41"/>
        <w:spacing w:before="30" w:beforeAutospacing="0" w:after="30" w:afterAutospacing="0" w:line="360" w:lineRule="auto"/>
        <w:ind w:right="480" w:firstLine="3720"/>
        <w:rPr>
          <w:rFonts w:ascii="宋体" w:hAnsi="宋体" w:cs="宋体"/>
          <w:color w:val="auto"/>
          <w:szCs w:val="24"/>
          <w:highlight w:val="none"/>
        </w:rPr>
      </w:pPr>
      <w:r>
        <w:rPr>
          <w:rFonts w:hint="eastAsia" w:ascii="宋体" w:hAnsi="宋体" w:cs="宋体"/>
          <w:color w:val="auto"/>
          <w:szCs w:val="24"/>
          <w:highlight w:val="none"/>
          <w:shd w:val="clear" w:color="auto" w:fill="FFFFFF"/>
        </w:rPr>
        <w:t>公司（单位）名称（盖章）：　        </w:t>
      </w:r>
    </w:p>
    <w:p w14:paraId="1388F155">
      <w:pPr>
        <w:pStyle w:val="41"/>
        <w:spacing w:before="30" w:beforeAutospacing="0" w:after="30" w:afterAutospacing="0" w:line="360" w:lineRule="auto"/>
        <w:jc w:val="center"/>
        <w:rPr>
          <w:rFonts w:ascii="宋体" w:hAnsi="宋体" w:cs="宋体"/>
          <w:color w:val="auto"/>
          <w:szCs w:val="24"/>
          <w:highlight w:val="none"/>
        </w:rPr>
      </w:pPr>
      <w:r>
        <w:rPr>
          <w:rFonts w:hint="eastAsia" w:ascii="宋体" w:hAnsi="宋体" w:cs="宋体"/>
          <w:color w:val="auto"/>
          <w:szCs w:val="24"/>
          <w:highlight w:val="none"/>
          <w:shd w:val="clear" w:color="auto" w:fill="FFFFFF"/>
        </w:rPr>
        <w:t xml:space="preserve">                                日期：　   年　  月　  日         </w:t>
      </w:r>
    </w:p>
    <w:p w14:paraId="4B28CE03">
      <w:pPr>
        <w:pStyle w:val="41"/>
        <w:spacing w:before="30" w:beforeAutospacing="0" w:after="30" w:afterAutospacing="0" w:line="360" w:lineRule="auto"/>
        <w:rPr>
          <w:rFonts w:ascii="宋体" w:hAnsi="宋体" w:cs="宋体"/>
          <w:color w:val="auto"/>
          <w:szCs w:val="24"/>
          <w:highlight w:val="none"/>
        </w:rPr>
      </w:pPr>
      <w:r>
        <w:rPr>
          <w:rFonts w:hint="eastAsia" w:ascii="宋体" w:hAnsi="宋体" w:cs="宋体"/>
          <w:color w:val="auto"/>
          <w:szCs w:val="24"/>
          <w:highlight w:val="none"/>
          <w:shd w:val="clear" w:color="auto" w:fill="FFFFFF"/>
        </w:rPr>
        <w:t>__________________</w:t>
      </w:r>
    </w:p>
    <w:p w14:paraId="5E8F945F">
      <w:pPr>
        <w:pStyle w:val="41"/>
        <w:spacing w:before="30" w:beforeAutospacing="0" w:after="30" w:afterAutospacing="0" w:line="360" w:lineRule="auto"/>
        <w:rPr>
          <w:rFonts w:ascii="宋体" w:hAnsi="宋体" w:cs="宋体"/>
          <w:color w:val="auto"/>
          <w:szCs w:val="24"/>
          <w:highlight w:val="none"/>
        </w:rPr>
      </w:pPr>
      <w:r>
        <w:rPr>
          <w:rFonts w:hint="eastAsia" w:ascii="宋体" w:hAnsi="宋体" w:cs="宋体"/>
          <w:color w:val="auto"/>
          <w:szCs w:val="24"/>
          <w:highlight w:val="none"/>
          <w:shd w:val="clear" w:color="auto" w:fill="FFFFFF"/>
        </w:rPr>
        <w:t>1.产品如有型号，请在“产品名称”栏一并填写。</w:t>
      </w:r>
    </w:p>
    <w:p w14:paraId="4D732131">
      <w:pPr>
        <w:pStyle w:val="41"/>
        <w:spacing w:before="30" w:beforeAutospacing="0" w:after="30" w:afterAutospacing="0" w:line="360" w:lineRule="auto"/>
        <w:rPr>
          <w:rFonts w:ascii="宋体" w:hAnsi="宋体" w:cs="宋体"/>
          <w:color w:val="auto"/>
          <w:szCs w:val="24"/>
          <w:highlight w:val="none"/>
        </w:rPr>
      </w:pPr>
      <w:r>
        <w:rPr>
          <w:rFonts w:hint="eastAsia" w:ascii="宋体" w:hAnsi="宋体" w:cs="宋体"/>
          <w:color w:val="auto"/>
          <w:szCs w:val="24"/>
          <w:highlight w:val="none"/>
          <w:shd w:val="clear" w:color="auto" w:fill="FFFFFF"/>
        </w:rPr>
        <w:t>2.生产厂名与厂址应与生产厂营业执照载明的相关信息保持一致。</w:t>
      </w:r>
    </w:p>
    <w:p w14:paraId="50B55358">
      <w:pPr>
        <w:pStyle w:val="41"/>
        <w:spacing w:before="30" w:beforeAutospacing="0" w:after="30" w:afterAutospacing="0" w:line="360" w:lineRule="auto"/>
        <w:rPr>
          <w:rFonts w:ascii="宋体" w:hAnsi="宋体" w:cs="宋体"/>
          <w:color w:val="auto"/>
          <w:szCs w:val="24"/>
          <w:highlight w:val="none"/>
        </w:rPr>
      </w:pPr>
      <w:r>
        <w:rPr>
          <w:rFonts w:hint="eastAsia" w:ascii="宋体" w:hAnsi="宋体" w:cs="宋体"/>
          <w:color w:val="auto"/>
          <w:szCs w:val="24"/>
          <w:highlight w:val="none"/>
          <w:shd w:val="clear" w:color="auto" w:fill="FFFFFF"/>
        </w:rPr>
        <w:t>3.该产品的中国境内生产的组件成本占比相关要求实施前，“规定比例”栏可不填，下同。</w:t>
      </w:r>
    </w:p>
    <w:p w14:paraId="220E8DEA">
      <w:pPr>
        <w:pStyle w:val="41"/>
        <w:spacing w:before="30" w:beforeAutospacing="0" w:after="30" w:afterAutospacing="0" w:line="360" w:lineRule="auto"/>
        <w:rPr>
          <w:rFonts w:ascii="宋体" w:hAnsi="宋体" w:cs="宋体"/>
          <w:color w:val="auto"/>
          <w:szCs w:val="24"/>
          <w:highlight w:val="none"/>
        </w:rPr>
      </w:pPr>
      <w:r>
        <w:rPr>
          <w:rFonts w:hint="eastAsia" w:ascii="宋体" w:hAnsi="宋体" w:cs="宋体"/>
          <w:color w:val="auto"/>
          <w:szCs w:val="24"/>
          <w:highlight w:val="none"/>
          <w:shd w:val="clear" w:color="auto" w:fill="FFFFFF"/>
        </w:rPr>
        <w:t>4.该产品的关键组件要求实施前，“关键组件”栏可不填，下同。</w:t>
      </w:r>
    </w:p>
    <w:p w14:paraId="0D24C34A">
      <w:pPr>
        <w:pStyle w:val="41"/>
        <w:spacing w:before="30" w:beforeAutospacing="0" w:after="30" w:afterAutospacing="0" w:line="360" w:lineRule="auto"/>
        <w:rPr>
          <w:rFonts w:ascii="宋体" w:hAnsi="宋体" w:cs="宋体"/>
          <w:color w:val="auto"/>
          <w:szCs w:val="24"/>
          <w:highlight w:val="none"/>
          <w:shd w:val="clear" w:color="auto" w:fill="FFFFFF"/>
        </w:rPr>
      </w:pPr>
      <w:r>
        <w:rPr>
          <w:rFonts w:hint="eastAsia" w:ascii="宋体" w:hAnsi="宋体" w:cs="宋体"/>
          <w:color w:val="auto"/>
          <w:szCs w:val="24"/>
          <w:highlight w:val="none"/>
          <w:shd w:val="clear" w:color="auto" w:fill="FFFFFF"/>
        </w:rPr>
        <w:t>5.该产品的关键工序要求实施前，“关键工序”栏可不填，下同。</w:t>
      </w:r>
    </w:p>
    <w:p w14:paraId="67D0888F">
      <w:pPr>
        <w:spacing w:line="360" w:lineRule="auto"/>
        <w:ind w:firstLine="480" w:firstLineChars="200"/>
        <w:jc w:val="lef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6.划除的地方无需填写。</w:t>
      </w:r>
    </w:p>
    <w:p w14:paraId="779E3B7A">
      <w:pPr>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7.请供应商如实填写，如填写有误，将承担一切不利后果。</w:t>
      </w:r>
    </w:p>
    <w:p w14:paraId="29CCE899">
      <w:pPr>
        <w:pStyle w:val="41"/>
        <w:spacing w:before="30" w:beforeAutospacing="0" w:after="3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8.供应商提供虚假《声明函》、虚假证明文件谋取中标的，依照《中华人民共和国政府采购法》等法律法规规定追究相应责任。</w:t>
      </w:r>
    </w:p>
    <w:p w14:paraId="54BC0044">
      <w:pPr>
        <w:pStyle w:val="41"/>
        <w:spacing w:before="30" w:beforeAutospacing="0" w:after="30" w:afterAutospacing="0" w:line="360" w:lineRule="auto"/>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9.中标人的《声明函》或有关证明文件随中标结果公开，接受社会监督。</w:t>
      </w:r>
    </w:p>
    <w:p w14:paraId="0CBE0027">
      <w:pPr>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br w:type="page"/>
      </w:r>
    </w:p>
    <w:p w14:paraId="682D2564">
      <w:pPr>
        <w:keepNext/>
        <w:keepLines/>
        <w:spacing w:line="360" w:lineRule="auto"/>
        <w:jc w:val="center"/>
        <w:outlineLvl w:val="0"/>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rPr>
        <w:t>第五章合同专用条款表</w:t>
      </w:r>
      <w:bookmarkEnd w:id="18"/>
    </w:p>
    <w:p w14:paraId="3F323F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本表是对第三章“政府采购合同格式”的补充和修改。如果两者之间有抵触，以本专用条款表为准。</w:t>
      </w:r>
    </w:p>
    <w:tbl>
      <w:tblPr>
        <w:tblStyle w:val="45"/>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8529"/>
      </w:tblGrid>
      <w:tr w14:paraId="41BB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vAlign w:val="center"/>
          </w:tcPr>
          <w:p w14:paraId="71AE226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8529" w:type="dxa"/>
            <w:shd w:val="clear" w:color="auto" w:fill="FEFEFE"/>
            <w:vAlign w:val="center"/>
          </w:tcPr>
          <w:p w14:paraId="6FDADFA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10747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vAlign w:val="center"/>
          </w:tcPr>
          <w:p w14:paraId="3D985F6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529" w:type="dxa"/>
            <w:shd w:val="clear" w:color="auto" w:fill="FEFEFE"/>
            <w:vAlign w:val="center"/>
          </w:tcPr>
          <w:p w14:paraId="0A22247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履约保证金：本项目不收取履约保证金。</w:t>
            </w:r>
          </w:p>
        </w:tc>
      </w:tr>
      <w:tr w14:paraId="3CB91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vAlign w:val="center"/>
          </w:tcPr>
          <w:p w14:paraId="62D4ACC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529" w:type="dxa"/>
            <w:shd w:val="clear" w:color="auto" w:fill="FEFEFE"/>
            <w:vAlign w:val="center"/>
          </w:tcPr>
          <w:p w14:paraId="626B68A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b/>
                <w:color w:val="auto"/>
                <w:sz w:val="24"/>
                <w:szCs w:val="24"/>
                <w:highlight w:val="none"/>
              </w:rPr>
              <w:t>交货期：</w:t>
            </w:r>
            <w:r>
              <w:rPr>
                <w:rFonts w:hint="eastAsia" w:ascii="宋体" w:hAnsi="宋体" w:eastAsia="宋体" w:cs="宋体"/>
                <w:color w:val="auto"/>
                <w:sz w:val="24"/>
                <w:szCs w:val="24"/>
                <w:highlight w:val="none"/>
              </w:rPr>
              <w:t>签订合同后</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天。</w:t>
            </w:r>
          </w:p>
        </w:tc>
      </w:tr>
      <w:tr w14:paraId="090F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1070" w:type="dxa"/>
            <w:shd w:val="clear" w:color="auto" w:fill="FEFEFE"/>
            <w:vAlign w:val="center"/>
          </w:tcPr>
          <w:p w14:paraId="2D0E769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529" w:type="dxa"/>
            <w:shd w:val="clear" w:color="auto" w:fill="FEFEFE"/>
            <w:vAlign w:val="center"/>
          </w:tcPr>
          <w:p w14:paraId="2DFD1C7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质保期：</w:t>
            </w:r>
            <w:r>
              <w:rPr>
                <w:rFonts w:hint="eastAsia" w:ascii="Times New Roman" w:hAnsi="Times New Roman" w:eastAsia="宋体" w:cs="Times New Roman"/>
                <w:color w:val="auto"/>
                <w:sz w:val="24"/>
                <w:szCs w:val="24"/>
                <w:highlight w:val="none"/>
              </w:rPr>
              <w:t>整体项目提供两年免费质保。</w:t>
            </w:r>
          </w:p>
          <w:p w14:paraId="0924101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质保期间，中标人承担维修、保养、安检、调换等，相关费用包含在合同价内，采购方不再支付任何费用；对于采购方人为原因造成的故障，中标人只收取维保成本费用。</w:t>
            </w:r>
          </w:p>
        </w:tc>
      </w:tr>
      <w:tr w14:paraId="0A72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1070" w:type="dxa"/>
            <w:shd w:val="clear" w:color="auto" w:fill="FEFEFE"/>
            <w:vAlign w:val="center"/>
          </w:tcPr>
          <w:p w14:paraId="4ADB73D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529" w:type="dxa"/>
            <w:shd w:val="clear" w:color="auto" w:fill="FEFEFE"/>
            <w:vAlign w:val="center"/>
          </w:tcPr>
          <w:p w14:paraId="77D8007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bCs/>
                <w:color w:val="auto"/>
                <w:sz w:val="24"/>
                <w:highlight w:val="none"/>
              </w:rPr>
              <w:t>付款方式</w:t>
            </w:r>
            <w:r>
              <w:rPr>
                <w:rFonts w:hint="eastAsia" w:ascii="宋体" w:hAnsi="宋体" w:eastAsia="宋体" w:cs="宋体"/>
                <w:b/>
                <w:color w:val="auto"/>
                <w:sz w:val="24"/>
                <w:highlight w:val="none"/>
              </w:rPr>
              <w:t>：</w:t>
            </w:r>
            <w:r>
              <w:rPr>
                <w:rFonts w:hint="eastAsia" w:ascii="Times New Roman" w:hAnsi="Times New Roman" w:eastAsia="宋体" w:cs="Times New Roman"/>
                <w:color w:val="auto"/>
                <w:sz w:val="24"/>
                <w:szCs w:val="24"/>
                <w:highlight w:val="none"/>
              </w:rPr>
              <w:t>货物安装调试结束、甲方验收合格完成，经审计后，乙方持全额发票、中标通知书、合同到连云港职业技术学院申请付款。甲方收到中标人提供发票后，付审定价款的100%。</w:t>
            </w:r>
          </w:p>
        </w:tc>
      </w:tr>
      <w:tr w14:paraId="11BF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070" w:type="dxa"/>
            <w:shd w:val="clear" w:color="auto" w:fill="FEFEFE"/>
            <w:vAlign w:val="center"/>
          </w:tcPr>
          <w:p w14:paraId="1BDAA98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529" w:type="dxa"/>
            <w:shd w:val="clear" w:color="auto" w:fill="FEFEFE"/>
            <w:vAlign w:val="center"/>
          </w:tcPr>
          <w:p w14:paraId="3F4FADA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违约责任：</w:t>
            </w:r>
          </w:p>
          <w:p w14:paraId="6735A7E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具体违约条款及其它未尽事宜，将在双方签订合同时议定。</w:t>
            </w:r>
          </w:p>
        </w:tc>
      </w:tr>
    </w:tbl>
    <w:p w14:paraId="624BD763">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注：招标文件中标注★号的部分为实质性要求和条件（由采购人根据实际情况设置），投标人必须作出满足或者优于原要求和条件的响应，否则投标无效。</w:t>
      </w:r>
    </w:p>
    <w:p w14:paraId="2F8625E6">
      <w:pPr>
        <w:keepNext/>
        <w:keepLines/>
        <w:spacing w:line="360" w:lineRule="auto"/>
        <w:jc w:val="center"/>
        <w:outlineLvl w:val="0"/>
        <w:rPr>
          <w:rFonts w:hint="eastAsia" w:ascii="宋体" w:hAnsi="宋体" w:eastAsia="宋体" w:cs="宋体"/>
          <w:color w:val="auto"/>
          <w:sz w:val="36"/>
          <w:szCs w:val="20"/>
          <w:highlight w:val="none"/>
        </w:rPr>
      </w:pPr>
      <w:r>
        <w:rPr>
          <w:rFonts w:hint="eastAsia" w:ascii="宋体" w:hAnsi="宋体" w:eastAsia="宋体" w:cs="宋体"/>
          <w:bCs/>
          <w:color w:val="auto"/>
          <w:sz w:val="36"/>
          <w:szCs w:val="20"/>
          <w:highlight w:val="none"/>
        </w:rPr>
        <w:br w:type="page" w:clear="all"/>
      </w:r>
      <w:bookmarkEnd w:id="16"/>
      <w:bookmarkEnd w:id="17"/>
      <w:bookmarkStart w:id="19" w:name="_Toc150765439"/>
      <w:bookmarkStart w:id="20" w:name="_Toc513622230"/>
      <w:r>
        <w:rPr>
          <w:rFonts w:hint="eastAsia" w:ascii="宋体" w:hAnsi="宋体" w:eastAsia="宋体" w:cs="宋体"/>
          <w:color w:val="auto"/>
          <w:sz w:val="36"/>
          <w:szCs w:val="20"/>
          <w:highlight w:val="none"/>
        </w:rPr>
        <w:t>第六章项目需求</w:t>
      </w:r>
      <w:bookmarkEnd w:id="19"/>
      <w:bookmarkEnd w:id="20"/>
    </w:p>
    <w:p w14:paraId="23B05F70">
      <w:pPr>
        <w:spacing w:line="360" w:lineRule="auto"/>
        <w:ind w:firstLine="480" w:firstLineChars="200"/>
        <w:jc w:val="left"/>
        <w:rPr>
          <w:color w:val="auto"/>
          <w:sz w:val="24"/>
          <w:szCs w:val="24"/>
          <w:highlight w:val="none"/>
        </w:rPr>
      </w:pPr>
      <w:bookmarkStart w:id="21" w:name="_Toc513622231"/>
      <w:bookmarkStart w:id="22" w:name="_Toc139967217"/>
      <w:bookmarkStart w:id="23" w:name="_Toc139966433"/>
      <w:r>
        <w:rPr>
          <w:rFonts w:hint="eastAsia"/>
          <w:color w:val="auto"/>
          <w:sz w:val="24"/>
          <w:szCs w:val="24"/>
          <w:highlight w:val="none"/>
        </w:rPr>
        <w:t>说明：本项目属性为</w:t>
      </w:r>
      <w:r>
        <w:rPr>
          <w:rFonts w:hint="eastAsia"/>
          <w:b/>
          <w:color w:val="auto"/>
          <w:sz w:val="24"/>
          <w:szCs w:val="24"/>
          <w:highlight w:val="none"/>
        </w:rPr>
        <w:t>货物</w:t>
      </w:r>
      <w:r>
        <w:rPr>
          <w:rFonts w:hint="eastAsia"/>
          <w:color w:val="auto"/>
          <w:sz w:val="24"/>
          <w:szCs w:val="24"/>
          <w:highlight w:val="none"/>
        </w:rPr>
        <w:t>，采购标的对应的中小企业划分标准所属行业详见货物（标的）采购清单。</w:t>
      </w:r>
    </w:p>
    <w:p w14:paraId="4F314FD8">
      <w:pPr>
        <w:spacing w:line="360" w:lineRule="auto"/>
        <w:ind w:firstLine="480" w:firstLineChars="200"/>
        <w:jc w:val="left"/>
        <w:rPr>
          <w:color w:val="auto"/>
          <w:sz w:val="24"/>
          <w:szCs w:val="24"/>
          <w:highlight w:val="none"/>
        </w:rPr>
      </w:pPr>
      <w:r>
        <w:rPr>
          <w:rFonts w:hint="eastAsia"/>
          <w:color w:val="auto"/>
          <w:sz w:val="24"/>
          <w:szCs w:val="24"/>
          <w:highlight w:val="none"/>
        </w:rPr>
        <w:t>1、根据《政府采购需求管理办法》等有关规定，采购人确定采购需求。</w:t>
      </w:r>
    </w:p>
    <w:p w14:paraId="1071C4A4">
      <w:pPr>
        <w:spacing w:line="360" w:lineRule="auto"/>
        <w:ind w:firstLine="480" w:firstLineChars="200"/>
        <w:jc w:val="left"/>
        <w:rPr>
          <w:color w:val="auto"/>
          <w:sz w:val="24"/>
          <w:szCs w:val="24"/>
          <w:highlight w:val="none"/>
        </w:rPr>
      </w:pPr>
      <w:r>
        <w:rPr>
          <w:rFonts w:hint="eastAsia"/>
          <w:color w:val="auto"/>
          <w:sz w:val="24"/>
          <w:szCs w:val="24"/>
          <w:highlight w:val="none"/>
        </w:rPr>
        <w:t>2、</w:t>
      </w:r>
      <w:r>
        <w:rPr>
          <w:rFonts w:hint="eastAsia" w:ascii="宋体" w:hAnsi="宋体" w:eastAsia="宋体"/>
          <w:b/>
          <w:color w:val="auto"/>
          <w:sz w:val="24"/>
          <w:szCs w:val="24"/>
          <w:highlight w:val="none"/>
        </w:rPr>
        <w:t>本招标文件中标注★的款项为实质性要求和条件，投标人须逐条做出满足实质性要求和条件的响应，否则将按无效响应处理。</w:t>
      </w:r>
    </w:p>
    <w:tbl>
      <w:tblPr>
        <w:tblStyle w:val="4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5B385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0CD6A2E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采购需求中须满足的实质性要求和条件</w:t>
            </w:r>
          </w:p>
        </w:tc>
      </w:tr>
      <w:tr w14:paraId="769B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31E9C24B">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689" w:type="dxa"/>
            <w:tcBorders>
              <w:top w:val="single" w:color="auto" w:sz="4" w:space="0"/>
            </w:tcBorders>
          </w:tcPr>
          <w:p w14:paraId="22E383D1">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实质性要求和条件</w:t>
            </w:r>
          </w:p>
        </w:tc>
      </w:tr>
      <w:tr w14:paraId="41BCA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4756FEF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689" w:type="dxa"/>
          </w:tcPr>
          <w:p w14:paraId="0E690B0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交货期：签订合同</w:t>
            </w:r>
            <w:r>
              <w:rPr>
                <w:rFonts w:hint="eastAsia" w:ascii="宋体" w:hAnsi="宋体" w:eastAsia="宋体" w:cs="宋体"/>
                <w:color w:val="auto"/>
                <w:sz w:val="24"/>
                <w:szCs w:val="24"/>
                <w:highlight w:val="none"/>
                <w:lang w:val="en-US" w:eastAsia="zh-CN"/>
              </w:rPr>
              <w:t>后60</w:t>
            </w:r>
            <w:r>
              <w:rPr>
                <w:rFonts w:hint="eastAsia" w:ascii="宋体" w:hAnsi="宋体" w:eastAsia="宋体" w:cs="宋体"/>
                <w:color w:val="auto"/>
                <w:sz w:val="24"/>
                <w:szCs w:val="24"/>
                <w:highlight w:val="none"/>
              </w:rPr>
              <w:t>天。</w:t>
            </w:r>
          </w:p>
        </w:tc>
      </w:tr>
      <w:tr w14:paraId="40EE9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754E14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689" w:type="dxa"/>
          </w:tcPr>
          <w:p w14:paraId="3D47911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质保期：</w:t>
            </w:r>
            <w:r>
              <w:rPr>
                <w:rFonts w:hint="eastAsia" w:ascii="Times New Roman" w:hAnsi="Times New Roman" w:eastAsia="宋体" w:cs="Times New Roman"/>
                <w:color w:val="auto"/>
                <w:sz w:val="24"/>
                <w:szCs w:val="24"/>
                <w:highlight w:val="none"/>
              </w:rPr>
              <w:t>整体项目提供两年免费质保。</w:t>
            </w:r>
          </w:p>
        </w:tc>
      </w:tr>
      <w:tr w14:paraId="3F8D4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4C36B95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689" w:type="dxa"/>
          </w:tcPr>
          <w:p w14:paraId="4A001948">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付款方式</w:t>
            </w:r>
            <w:r>
              <w:rPr>
                <w:rFonts w:hint="eastAsia" w:ascii="宋体" w:hAnsi="宋体" w:eastAsia="宋体" w:cs="宋体"/>
                <w:b/>
                <w:color w:val="auto"/>
                <w:sz w:val="24"/>
                <w:highlight w:val="none"/>
              </w:rPr>
              <w:t>：</w:t>
            </w:r>
            <w:r>
              <w:rPr>
                <w:rFonts w:hint="eastAsia" w:ascii="Times New Roman" w:hAnsi="Times New Roman" w:eastAsia="宋体" w:cs="Times New Roman"/>
                <w:color w:val="auto"/>
                <w:sz w:val="24"/>
                <w:szCs w:val="24"/>
                <w:highlight w:val="none"/>
              </w:rPr>
              <w:t>货物安装调试结束、甲方验收合格完成，经审计后，乙方持全额发票、中标通知书、合同到连云港职业技术学院申请付款。甲方收到中标人提供发票后，付审定价款的100%。</w:t>
            </w:r>
          </w:p>
        </w:tc>
      </w:tr>
    </w:tbl>
    <w:p w14:paraId="568A75A1">
      <w:pPr>
        <w:spacing w:line="500" w:lineRule="exact"/>
        <w:ind w:firstLine="480" w:firstLineChars="200"/>
        <w:jc w:val="left"/>
        <w:rPr>
          <w:rFonts w:ascii="Times New Roman" w:hAnsi="Times New Roman" w:eastAsia="宋体" w:cs="Times New Roman"/>
          <w:b/>
          <w:color w:val="auto"/>
          <w:sz w:val="24"/>
          <w:szCs w:val="24"/>
          <w:highlight w:val="none"/>
        </w:rPr>
      </w:pPr>
      <w:r>
        <w:rPr>
          <w:rFonts w:hint="eastAsia"/>
          <w:color w:val="auto"/>
          <w:sz w:val="24"/>
          <w:szCs w:val="24"/>
          <w:highlight w:val="none"/>
        </w:rPr>
        <w:t>3、本项目核心产品为：</w:t>
      </w:r>
      <w:r>
        <w:rPr>
          <w:rFonts w:hint="eastAsia"/>
          <w:color w:val="auto"/>
          <w:sz w:val="24"/>
          <w:szCs w:val="24"/>
          <w:highlight w:val="none"/>
          <w:u w:val="single"/>
        </w:rPr>
        <w:t>化工生产技术大赛及实训装置</w:t>
      </w:r>
      <w:r>
        <w:rPr>
          <w:rFonts w:hint="eastAsia"/>
          <w:color w:val="auto"/>
          <w:sz w:val="24"/>
          <w:szCs w:val="24"/>
          <w:highlight w:val="none"/>
        </w:rPr>
        <w:t>。</w:t>
      </w:r>
    </w:p>
    <w:p w14:paraId="338A0EE2">
      <w:pPr>
        <w:spacing w:line="360" w:lineRule="auto"/>
        <w:ind w:firstLine="482" w:firstLineChars="200"/>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一、项目概况</w:t>
      </w:r>
    </w:p>
    <w:p w14:paraId="141809FD">
      <w:pPr>
        <w:autoSpaceDE w:val="0"/>
        <w:autoSpaceDN w:val="0"/>
        <w:adjustRightInd w:val="0"/>
        <w:spacing w:line="360" w:lineRule="auto"/>
        <w:ind w:firstLine="480" w:firstLineChars="200"/>
        <w:jc w:val="left"/>
        <w:rPr>
          <w:color w:val="auto"/>
          <w:sz w:val="24"/>
          <w:szCs w:val="24"/>
          <w:highlight w:val="none"/>
        </w:rPr>
      </w:pPr>
      <w:r>
        <w:rPr>
          <w:rFonts w:hint="eastAsia" w:ascii="宋体" w:hAnsi="宋体" w:eastAsia="宋体" w:cs="Times New Roman"/>
          <w:color w:val="auto"/>
          <w:sz w:val="24"/>
          <w:szCs w:val="24"/>
          <w:highlight w:val="none"/>
        </w:rPr>
        <w:t>本项目计划购置化工生产技术大赛及实训装置1套、材料工程技术实训和科研相关装置，开发高密度聚乙烯虚拟仿真系统教学资源1套</w:t>
      </w:r>
      <w:r>
        <w:rPr>
          <w:rFonts w:hint="eastAsia"/>
          <w:color w:val="auto"/>
          <w:sz w:val="24"/>
          <w:szCs w:val="24"/>
          <w:highlight w:val="none"/>
        </w:rPr>
        <w:t>，</w:t>
      </w:r>
      <w:r>
        <w:rPr>
          <w:rFonts w:hint="eastAsia" w:ascii="宋体" w:hAnsi="宋体" w:eastAsia="宋体" w:cs="宋体"/>
          <w:color w:val="auto"/>
          <w:sz w:val="24"/>
          <w:szCs w:val="24"/>
          <w:highlight w:val="none"/>
          <w:shd w:val="clear" w:color="auto" w:fill="FFFFFF"/>
        </w:rPr>
        <w:t>校企合作共建《化工单元操作》专业核心在线课程</w:t>
      </w:r>
      <w:r>
        <w:rPr>
          <w:rFonts w:hint="eastAsia" w:ascii="宋体" w:hAnsi="宋体" w:eastAsia="宋体" w:cs="宋体"/>
          <w:color w:val="auto"/>
          <w:sz w:val="24"/>
          <w:szCs w:val="24"/>
          <w:highlight w:val="none"/>
          <w:shd w:val="clear" w:color="auto" w:fill="FFFFFF"/>
          <w:lang w:val="en-US" w:eastAsia="zh-CN"/>
        </w:rPr>
        <w:t>开发</w:t>
      </w:r>
      <w:r>
        <w:rPr>
          <w:rFonts w:hint="eastAsia" w:ascii="宋体" w:hAnsi="宋体" w:eastAsia="宋体" w:cs="宋体"/>
          <w:color w:val="auto"/>
          <w:sz w:val="24"/>
          <w:szCs w:val="24"/>
          <w:highlight w:val="none"/>
          <w:shd w:val="clear" w:color="auto" w:fill="FFFFFF"/>
        </w:rPr>
        <w:t>，</w:t>
      </w:r>
      <w:r>
        <w:rPr>
          <w:rFonts w:hint="eastAsia"/>
          <w:color w:val="auto"/>
          <w:sz w:val="24"/>
          <w:szCs w:val="24"/>
          <w:highlight w:val="none"/>
        </w:rPr>
        <w:t>总预算为</w:t>
      </w:r>
      <w:r>
        <w:rPr>
          <w:rFonts w:hint="eastAsia"/>
          <w:color w:val="auto"/>
          <w:sz w:val="24"/>
          <w:szCs w:val="24"/>
          <w:highlight w:val="none"/>
          <w:lang w:val="en-US" w:eastAsia="zh-CN"/>
        </w:rPr>
        <w:t>180</w:t>
      </w:r>
      <w:r>
        <w:rPr>
          <w:rFonts w:hint="eastAsia"/>
          <w:color w:val="auto"/>
          <w:sz w:val="24"/>
          <w:szCs w:val="24"/>
          <w:highlight w:val="none"/>
        </w:rPr>
        <w:t>万元。</w:t>
      </w:r>
    </w:p>
    <w:p w14:paraId="0B7F5EB8">
      <w:pPr>
        <w:numPr>
          <w:ilvl w:val="0"/>
          <w:numId w:val="3"/>
        </w:numPr>
        <w:autoSpaceDE w:val="0"/>
        <w:autoSpaceDN w:val="0"/>
        <w:adjustRightInd w:val="0"/>
        <w:spacing w:line="360" w:lineRule="auto"/>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标的采购清单</w:t>
      </w:r>
    </w:p>
    <w:p w14:paraId="403A6BE7">
      <w:pPr>
        <w:numPr>
          <w:ilvl w:val="0"/>
          <w:numId w:val="4"/>
        </w:numPr>
        <w:autoSpaceDE w:val="0"/>
        <w:autoSpaceDN w:val="0"/>
        <w:adjustRightInd w:val="0"/>
        <w:spacing w:line="360" w:lineRule="auto"/>
        <w:ind w:left="600" w:leftChars="0" w:firstLine="0" w:firstLineChars="0"/>
        <w:jc w:val="left"/>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货物采购清单</w:t>
      </w:r>
    </w:p>
    <w:tbl>
      <w:tblPr>
        <w:tblStyle w:val="45"/>
        <w:tblW w:w="98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31"/>
        <w:gridCol w:w="3812"/>
        <w:gridCol w:w="832"/>
        <w:gridCol w:w="832"/>
        <w:gridCol w:w="3541"/>
      </w:tblGrid>
      <w:tr w14:paraId="46C45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653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623C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rPr>
              <w:t>货物（标的）名称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FD4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60D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rPr>
              <w:t>单位</w:t>
            </w:r>
          </w:p>
        </w:tc>
        <w:tc>
          <w:tcPr>
            <w:tcW w:w="3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D5157">
            <w:pPr>
              <w:keepNext w:val="0"/>
              <w:keepLines w:val="0"/>
              <w:widowControl/>
              <w:suppressLineNumbers w:val="0"/>
              <w:snapToGrid w:val="0"/>
              <w:ind w:left="0" w:leftChars="0" w:right="0" w:rightChars="0" w:firstLine="0" w:firstLineChars="0"/>
              <w:jc w:val="center"/>
              <w:textAlignment w:val="top"/>
              <w:rPr>
                <w:rFonts w:hint="eastAsia" w:ascii="宋体" w:hAnsi="宋体" w:eastAsia="宋体" w:cs="宋体"/>
                <w:b/>
                <w:i w:val="0"/>
                <w:iCs w:val="0"/>
                <w:color w:val="auto"/>
                <w:sz w:val="22"/>
                <w:szCs w:val="22"/>
                <w:highlight w:val="none"/>
                <w:u w:val="none"/>
              </w:rPr>
            </w:pPr>
            <w:r>
              <w:rPr>
                <w:rFonts w:hint="eastAsia" w:ascii="宋体" w:hAnsi="宋体" w:eastAsia="宋体" w:cs="宋体"/>
                <w:b/>
                <w:i w:val="0"/>
                <w:iCs w:val="0"/>
                <w:color w:val="auto"/>
                <w:kern w:val="0"/>
                <w:sz w:val="22"/>
                <w:szCs w:val="22"/>
                <w:highlight w:val="none"/>
                <w:u w:val="none"/>
                <w:lang w:val="en-US" w:eastAsia="zh-CN"/>
              </w:rPr>
              <w:t>中小企业划分标准所属行业</w:t>
            </w:r>
          </w:p>
        </w:tc>
      </w:tr>
      <w:tr w14:paraId="341DF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0C2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9580B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化工生产技术大赛及实训装置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AF1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3D7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套</w:t>
            </w:r>
          </w:p>
        </w:tc>
        <w:tc>
          <w:tcPr>
            <w:tcW w:w="3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F77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工业</w:t>
            </w:r>
          </w:p>
        </w:tc>
      </w:tr>
      <w:tr w14:paraId="1FA06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F80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376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手套箱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0D9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72A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个</w:t>
            </w:r>
          </w:p>
        </w:tc>
        <w:tc>
          <w:tcPr>
            <w:tcW w:w="3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EC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工业</w:t>
            </w:r>
          </w:p>
        </w:tc>
      </w:tr>
      <w:tr w14:paraId="002CD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C01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E135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小型液压扭扣电封口机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6D1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759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3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784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工业</w:t>
            </w:r>
          </w:p>
        </w:tc>
      </w:tr>
      <w:tr w14:paraId="2B918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3C5A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EB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电化学工作站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FA5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7FE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3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169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工业</w:t>
            </w:r>
          </w:p>
        </w:tc>
      </w:tr>
      <w:tr w14:paraId="17A9E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D12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w:t>
            </w:r>
          </w:p>
        </w:tc>
        <w:tc>
          <w:tcPr>
            <w:tcW w:w="38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68B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2"/>
                <w:szCs w:val="22"/>
                <w:highlight w:val="none"/>
                <w:u w:val="none"/>
              </w:rPr>
            </w:pPr>
            <w:r>
              <w:rPr>
                <w:rFonts w:hint="eastAsia" w:ascii="宋体" w:hAnsi="宋体" w:cs="宋体"/>
                <w:i w:val="0"/>
                <w:iCs w:val="0"/>
                <w:color w:val="auto"/>
                <w:kern w:val="0"/>
                <w:sz w:val="22"/>
                <w:szCs w:val="22"/>
                <w:highlight w:val="none"/>
                <w:u w:val="none"/>
                <w:lang w:val="en-US" w:eastAsia="zh-CN"/>
              </w:rPr>
              <w:t>电池</w:t>
            </w:r>
            <w:r>
              <w:rPr>
                <w:rFonts w:hint="eastAsia" w:ascii="宋体" w:hAnsi="宋体" w:eastAsia="宋体" w:cs="宋体"/>
                <w:i w:val="0"/>
                <w:iCs w:val="0"/>
                <w:color w:val="auto"/>
                <w:kern w:val="0"/>
                <w:sz w:val="22"/>
                <w:szCs w:val="22"/>
                <w:highlight w:val="none"/>
                <w:u w:val="none"/>
                <w:lang w:val="en-US" w:eastAsia="zh-CN"/>
              </w:rPr>
              <w:t>测试仪</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575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46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台</w:t>
            </w:r>
          </w:p>
        </w:tc>
        <w:tc>
          <w:tcPr>
            <w:tcW w:w="3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220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rPr>
              <w:t>工业</w:t>
            </w:r>
          </w:p>
        </w:tc>
      </w:tr>
    </w:tbl>
    <w:p w14:paraId="7FF4D4D5">
      <w:pPr>
        <w:spacing w:line="360" w:lineRule="auto"/>
        <w:ind w:firstLine="482" w:firstLineChars="200"/>
        <w:jc w:val="left"/>
        <w:rPr>
          <w:rFonts w:hint="eastAsia"/>
          <w:b/>
          <w:bCs/>
          <w:color w:val="auto"/>
          <w:sz w:val="24"/>
          <w:szCs w:val="24"/>
          <w:highlight w:val="none"/>
        </w:rPr>
      </w:pPr>
      <w:bookmarkStart w:id="24" w:name="_Toc139967216"/>
      <w:bookmarkStart w:id="25" w:name="_Toc139966432"/>
      <w:r>
        <w:rPr>
          <w:rFonts w:hint="eastAsia"/>
          <w:b/>
          <w:bCs/>
          <w:color w:val="auto"/>
          <w:sz w:val="24"/>
          <w:szCs w:val="24"/>
          <w:highlight w:val="none"/>
        </w:rPr>
        <w:t>注:中小企业声明函需</w:t>
      </w:r>
      <w:r>
        <w:rPr>
          <w:rFonts w:hint="eastAsia" w:ascii="Times New Roman" w:eastAsia="宋体"/>
          <w:b/>
          <w:bCs/>
          <w:color w:val="auto"/>
          <w:sz w:val="24"/>
          <w:szCs w:val="24"/>
          <w:highlight w:val="none"/>
        </w:rPr>
        <w:t>对</w:t>
      </w:r>
      <w:r>
        <w:rPr>
          <w:rFonts w:hint="eastAsia"/>
          <w:b/>
          <w:bCs/>
          <w:color w:val="auto"/>
          <w:sz w:val="24"/>
          <w:szCs w:val="24"/>
          <w:highlight w:val="none"/>
        </w:rPr>
        <w:t>货物（标的）采购清单</w:t>
      </w:r>
      <w:r>
        <w:rPr>
          <w:rFonts w:hint="eastAsia" w:ascii="Times New Roman" w:eastAsia="宋体"/>
          <w:b/>
          <w:bCs/>
          <w:color w:val="auto"/>
          <w:sz w:val="24"/>
          <w:szCs w:val="24"/>
          <w:highlight w:val="none"/>
        </w:rPr>
        <w:t>中所列序号及</w:t>
      </w:r>
      <w:r>
        <w:rPr>
          <w:rFonts w:hint="eastAsia" w:ascii="宋体" w:hAnsi="宋体" w:eastAsia="宋体" w:cs="Helvetica"/>
          <w:b/>
          <w:bCs/>
          <w:color w:val="auto"/>
          <w:sz w:val="24"/>
          <w:szCs w:val="24"/>
          <w:highlight w:val="none"/>
        </w:rPr>
        <w:t>名称</w:t>
      </w:r>
      <w:r>
        <w:rPr>
          <w:rFonts w:hint="eastAsia"/>
          <w:b/>
          <w:bCs/>
          <w:color w:val="auto"/>
          <w:sz w:val="24"/>
          <w:szCs w:val="24"/>
          <w:highlight w:val="none"/>
        </w:rPr>
        <w:t>逐条响应。</w:t>
      </w:r>
    </w:p>
    <w:p w14:paraId="14EA2F18">
      <w:pPr>
        <w:numPr>
          <w:ilvl w:val="0"/>
          <w:numId w:val="5"/>
        </w:numPr>
        <w:spacing w:line="360" w:lineRule="auto"/>
        <w:ind w:firstLine="482" w:firstLineChars="200"/>
        <w:jc w:val="left"/>
        <w:rPr>
          <w:rFonts w:hint="eastAsia"/>
          <w:b/>
          <w:bCs/>
          <w:color w:val="auto"/>
          <w:sz w:val="24"/>
          <w:szCs w:val="24"/>
          <w:highlight w:val="none"/>
          <w:lang w:val="en-US" w:eastAsia="zh-CN"/>
        </w:rPr>
      </w:pPr>
      <w:r>
        <w:rPr>
          <w:rFonts w:hint="eastAsia"/>
          <w:b/>
          <w:bCs/>
          <w:color w:val="auto"/>
          <w:sz w:val="24"/>
          <w:szCs w:val="24"/>
          <w:highlight w:val="none"/>
          <w:lang w:val="en-US" w:eastAsia="zh-CN"/>
        </w:rPr>
        <w:t>服务范围</w:t>
      </w:r>
    </w:p>
    <w:tbl>
      <w:tblPr>
        <w:tblStyle w:val="45"/>
        <w:tblW w:w="9848" w:type="dxa"/>
        <w:jc w:val="center"/>
        <w:tblLayout w:type="autofit"/>
        <w:tblCellMar>
          <w:top w:w="0" w:type="dxa"/>
          <w:left w:w="108" w:type="dxa"/>
          <w:bottom w:w="0" w:type="dxa"/>
          <w:right w:w="108" w:type="dxa"/>
        </w:tblCellMar>
      </w:tblPr>
      <w:tblGrid>
        <w:gridCol w:w="635"/>
        <w:gridCol w:w="5198"/>
        <w:gridCol w:w="637"/>
        <w:gridCol w:w="658"/>
        <w:gridCol w:w="2720"/>
      </w:tblGrid>
      <w:tr w14:paraId="3F2340FD">
        <w:tblPrEx>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64DD696F">
            <w:pPr>
              <w:numPr>
                <w:ilvl w:val="0"/>
                <w:numId w:val="0"/>
              </w:numPr>
              <w:snapToGrid w:val="0"/>
              <w:spacing w:line="240" w:lineRule="auto"/>
              <w:ind w:left="0" w:leftChars="0" w:right="0" w:rightChars="0" w:firstLine="0" w:firstLineChars="0"/>
              <w:jc w:val="center"/>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4B41863F">
            <w:pPr>
              <w:widowControl/>
              <w:snapToGrid w:val="0"/>
              <w:ind w:left="0" w:leftChars="0" w:right="0" w:rightChars="0" w:firstLine="0" w:firstLineChars="0"/>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服务</w:t>
            </w:r>
            <w:r>
              <w:rPr>
                <w:rFonts w:hint="eastAsia" w:ascii="宋体" w:hAnsi="宋体" w:eastAsia="宋体" w:cs="宋体"/>
                <w:b/>
                <w:color w:val="auto"/>
                <w:sz w:val="22"/>
                <w:szCs w:val="22"/>
                <w:highlight w:val="none"/>
              </w:rPr>
              <w:t>（标的）名称</w:t>
            </w:r>
          </w:p>
        </w:tc>
        <w:tc>
          <w:tcPr>
            <w:tcW w:w="0" w:type="auto"/>
            <w:tcBorders>
              <w:top w:val="single" w:color="000000" w:sz="4" w:space="0"/>
              <w:left w:val="single" w:color="000000" w:sz="4" w:space="0"/>
              <w:bottom w:val="single" w:color="000000" w:sz="4" w:space="0"/>
              <w:right w:val="single" w:color="000000" w:sz="4" w:space="0"/>
            </w:tcBorders>
            <w:vAlign w:val="center"/>
          </w:tcPr>
          <w:p w14:paraId="0B6C9AD9">
            <w:pPr>
              <w:widowControl/>
              <w:snapToGrid w:val="0"/>
              <w:ind w:left="0" w:leftChars="0" w:right="0" w:rightChars="0" w:firstLine="0" w:firstLineChars="0"/>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数量</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1AC277">
            <w:pPr>
              <w:widowControl/>
              <w:snapToGrid w:val="0"/>
              <w:ind w:left="0" w:leftChars="0" w:right="0" w:rightChars="0" w:firstLine="0" w:firstLineChars="0"/>
              <w:jc w:val="center"/>
              <w:textAlignment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单位</w:t>
            </w: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7D34B9A6">
            <w:pPr>
              <w:widowControl/>
              <w:snapToGrid w:val="0"/>
              <w:ind w:left="0" w:leftChars="0" w:right="0" w:rightChars="0" w:firstLine="0" w:firstLineChars="0"/>
              <w:jc w:val="center"/>
              <w:textAlignment w:val="top"/>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中小企业划分标准所属行业</w:t>
            </w:r>
          </w:p>
        </w:tc>
      </w:tr>
      <w:tr w14:paraId="1DC27089">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vAlign w:val="center"/>
          </w:tcPr>
          <w:p w14:paraId="09AD9D8D">
            <w:pPr>
              <w:widowControl/>
              <w:snapToGrid w:val="0"/>
              <w:ind w:left="0" w:leftChars="0" w:right="0" w:rightChars="0" w:firstLine="0" w:firstLineChars="0"/>
              <w:jc w:val="center"/>
              <w:textAlignment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0A2D1097">
            <w:pPr>
              <w:widowControl/>
              <w:snapToGrid w:val="0"/>
              <w:ind w:left="0" w:leftChars="0" w:right="0" w:rightChars="0" w:firstLine="0" w:firstLineChars="0"/>
              <w:jc w:val="left"/>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开发高密度聚乙烯虚拟仿真系统教学资源</w:t>
            </w:r>
          </w:p>
        </w:tc>
        <w:tc>
          <w:tcPr>
            <w:tcW w:w="0" w:type="auto"/>
            <w:tcBorders>
              <w:top w:val="single" w:color="000000" w:sz="4" w:space="0"/>
              <w:left w:val="single" w:color="000000" w:sz="4" w:space="0"/>
              <w:bottom w:val="single" w:color="000000" w:sz="4" w:space="0"/>
              <w:right w:val="single" w:color="000000" w:sz="4" w:space="0"/>
            </w:tcBorders>
            <w:vAlign w:val="center"/>
          </w:tcPr>
          <w:p w14:paraId="7AA8C715">
            <w:pPr>
              <w:widowControl/>
              <w:snapToGrid w:val="0"/>
              <w:ind w:left="0" w:leftChars="0" w:right="0" w:rightChars="0" w:firstLine="0" w:firstLineChars="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33A99D">
            <w:pPr>
              <w:widowControl/>
              <w:snapToGrid w:val="0"/>
              <w:ind w:left="0" w:leftChars="0" w:right="0" w:rightChars="0" w:firstLine="0" w:firstLineChars="0"/>
              <w:jc w:val="center"/>
              <w:textAlignment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项</w:t>
            </w: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62E3ADEA">
            <w:pPr>
              <w:widowControl/>
              <w:snapToGrid w:val="0"/>
              <w:ind w:left="0" w:leftChars="0" w:right="0" w:rightChars="0" w:firstLine="0" w:firstLineChars="0"/>
              <w:jc w:val="center"/>
              <w:textAlignment w:val="center"/>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ar-SA"/>
              </w:rPr>
              <w:t>软件和信息技术服务业</w:t>
            </w:r>
          </w:p>
        </w:tc>
      </w:tr>
      <w:tr w14:paraId="60E05FBC">
        <w:tblPrEx>
          <w:tblCellMar>
            <w:top w:w="0" w:type="dxa"/>
            <w:left w:w="108" w:type="dxa"/>
            <w:bottom w:w="0" w:type="dxa"/>
            <w:right w:w="108" w:type="dxa"/>
          </w:tblCellMar>
        </w:tblPrEx>
        <w:trPr>
          <w:trHeight w:val="0" w:hRule="atLeast"/>
          <w:jc w:val="center"/>
        </w:trPr>
        <w:tc>
          <w:tcPr>
            <w:tcW w:w="636" w:type="dxa"/>
            <w:tcBorders>
              <w:top w:val="single" w:color="000000" w:sz="4" w:space="0"/>
              <w:left w:val="single" w:color="000000" w:sz="4" w:space="0"/>
              <w:bottom w:val="single" w:color="000000" w:sz="4" w:space="0"/>
              <w:right w:val="single" w:color="000000" w:sz="4" w:space="0"/>
            </w:tcBorders>
            <w:vAlign w:val="center"/>
          </w:tcPr>
          <w:p w14:paraId="4AC0CFA6">
            <w:pPr>
              <w:widowControl/>
              <w:snapToGrid w:val="0"/>
              <w:ind w:left="0" w:leftChars="0" w:right="0" w:rightChars="0" w:firstLine="0" w:firstLineChars="0"/>
              <w:jc w:val="center"/>
              <w:textAlignment w:val="center"/>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2</w:t>
            </w:r>
          </w:p>
        </w:tc>
        <w:tc>
          <w:tcPr>
            <w:tcW w:w="5216" w:type="dxa"/>
            <w:tcBorders>
              <w:top w:val="single" w:color="000000" w:sz="4" w:space="0"/>
              <w:left w:val="single" w:color="000000" w:sz="4" w:space="0"/>
              <w:bottom w:val="single" w:color="000000" w:sz="4" w:space="0"/>
              <w:right w:val="single" w:color="000000" w:sz="4" w:space="0"/>
            </w:tcBorders>
            <w:vAlign w:val="center"/>
          </w:tcPr>
          <w:p w14:paraId="6E827F2F">
            <w:pPr>
              <w:widowControl/>
              <w:snapToGrid w:val="0"/>
              <w:ind w:left="0" w:leftChars="0" w:right="0" w:rightChars="0" w:firstLine="0" w:firstLineChars="0"/>
              <w:jc w:val="left"/>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校企合作建设《化工单元操作》专业核心在线课程</w:t>
            </w:r>
            <w:r>
              <w:rPr>
                <w:rFonts w:hint="eastAsia" w:ascii="宋体" w:hAnsi="宋体" w:eastAsia="宋体" w:cs="宋体"/>
                <w:color w:val="auto"/>
                <w:sz w:val="22"/>
                <w:szCs w:val="22"/>
                <w:highlight w:val="none"/>
                <w:lang w:val="en-US" w:eastAsia="zh-CN"/>
              </w:rPr>
              <w:t>开发</w:t>
            </w:r>
          </w:p>
        </w:tc>
        <w:tc>
          <w:tcPr>
            <w:tcW w:w="638" w:type="dxa"/>
            <w:tcBorders>
              <w:top w:val="single" w:color="000000" w:sz="4" w:space="0"/>
              <w:left w:val="single" w:color="000000" w:sz="4" w:space="0"/>
              <w:bottom w:val="single" w:color="000000" w:sz="4" w:space="0"/>
              <w:right w:val="single" w:color="000000" w:sz="4" w:space="0"/>
            </w:tcBorders>
            <w:vAlign w:val="center"/>
          </w:tcPr>
          <w:p w14:paraId="1470C54B">
            <w:pPr>
              <w:widowControl/>
              <w:snapToGrid w:val="0"/>
              <w:ind w:left="0" w:leftChars="0" w:right="0" w:rightChars="0" w:firstLine="0" w:firstLineChars="0"/>
              <w:jc w:val="center"/>
              <w:textAlignment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1130F083">
            <w:pPr>
              <w:widowControl/>
              <w:snapToGrid w:val="0"/>
              <w:ind w:left="0" w:leftChars="0" w:right="0" w:rightChars="0" w:firstLine="0" w:firstLineChars="0"/>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项</w:t>
            </w:r>
          </w:p>
        </w:tc>
        <w:tc>
          <w:tcPr>
            <w:tcW w:w="2720" w:type="dxa"/>
            <w:tcBorders>
              <w:top w:val="single" w:color="000000" w:sz="4" w:space="0"/>
              <w:left w:val="single" w:color="000000" w:sz="4" w:space="0"/>
              <w:bottom w:val="single" w:color="000000" w:sz="4" w:space="0"/>
              <w:right w:val="single" w:color="000000" w:sz="4" w:space="0"/>
            </w:tcBorders>
            <w:noWrap/>
            <w:vAlign w:val="center"/>
          </w:tcPr>
          <w:p w14:paraId="22D3A814">
            <w:pPr>
              <w:widowControl/>
              <w:snapToGrid w:val="0"/>
              <w:ind w:left="0" w:leftChars="0" w:right="0" w:rightChars="0" w:firstLine="0" w:firstLineChars="0"/>
              <w:jc w:val="center"/>
              <w:textAlignment w:val="center"/>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bidi="ar-SA"/>
              </w:rPr>
              <w:t>软件和信息技术服务业</w:t>
            </w:r>
          </w:p>
        </w:tc>
      </w:tr>
    </w:tbl>
    <w:p w14:paraId="7B531D23">
      <w:pPr>
        <w:numPr>
          <w:ilvl w:val="0"/>
          <w:numId w:val="0"/>
        </w:numPr>
        <w:spacing w:line="360" w:lineRule="auto"/>
        <w:jc w:val="left"/>
        <w:rPr>
          <w:rFonts w:hint="default"/>
          <w:b/>
          <w:bCs/>
          <w:color w:val="auto"/>
          <w:sz w:val="24"/>
          <w:szCs w:val="24"/>
          <w:highlight w:val="none"/>
          <w:lang w:val="en-US" w:eastAsia="zh-CN"/>
        </w:rPr>
      </w:pPr>
    </w:p>
    <w:p w14:paraId="73124D97">
      <w:pPr>
        <w:autoSpaceDE w:val="0"/>
        <w:autoSpaceDN w:val="0"/>
        <w:adjustRightInd w:val="0"/>
        <w:spacing w:line="360" w:lineRule="auto"/>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三、货物（标的）技术参数及功能指标</w:t>
      </w:r>
    </w:p>
    <w:tbl>
      <w:tblPr>
        <w:tblStyle w:val="45"/>
        <w:tblW w:w="9854" w:type="dxa"/>
        <w:jc w:val="center"/>
        <w:tblLayout w:type="autofit"/>
        <w:tblCellMar>
          <w:top w:w="0" w:type="dxa"/>
          <w:left w:w="108" w:type="dxa"/>
          <w:bottom w:w="0" w:type="dxa"/>
          <w:right w:w="108" w:type="dxa"/>
        </w:tblCellMar>
      </w:tblPr>
      <w:tblGrid>
        <w:gridCol w:w="818"/>
        <w:gridCol w:w="1800"/>
        <w:gridCol w:w="1852"/>
        <w:gridCol w:w="5384"/>
      </w:tblGrid>
      <w:tr w14:paraId="4C6C9F00">
        <w:tblPrEx>
          <w:tblCellMar>
            <w:top w:w="0" w:type="dxa"/>
            <w:left w:w="108" w:type="dxa"/>
            <w:bottom w:w="0" w:type="dxa"/>
            <w:right w:w="108" w:type="dxa"/>
          </w:tblCellMar>
        </w:tblPrEx>
        <w:trPr>
          <w:trHeight w:val="0" w:hRule="atLeast"/>
          <w:tblHeader/>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768D7FD3">
            <w:pPr>
              <w:widowControl/>
              <w:snapToGrid w:val="0"/>
              <w:ind w:left="0" w:leftChars="0" w:right="0" w:rightChars="0" w:firstLine="0" w:firstLineChars="0"/>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0" w:type="auto"/>
            <w:gridSpan w:val="2"/>
            <w:tcBorders>
              <w:top w:val="single" w:color="000000" w:sz="4" w:space="0"/>
              <w:left w:val="single" w:color="000000" w:sz="4" w:space="0"/>
              <w:bottom w:val="single" w:color="000000" w:sz="4" w:space="0"/>
              <w:right w:val="single" w:color="000000" w:sz="4" w:space="0"/>
            </w:tcBorders>
            <w:vAlign w:val="center"/>
          </w:tcPr>
          <w:p w14:paraId="55204D78">
            <w:pPr>
              <w:widowControl/>
              <w:snapToGrid w:val="0"/>
              <w:ind w:left="0" w:leftChars="0" w:right="0" w:rightChars="0" w:firstLine="0" w:firstLineChars="0"/>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货物（标的）名称</w:t>
            </w:r>
          </w:p>
        </w:tc>
        <w:tc>
          <w:tcPr>
            <w:tcW w:w="5384" w:type="dxa"/>
            <w:tcBorders>
              <w:top w:val="single" w:color="000000" w:sz="4" w:space="0"/>
              <w:left w:val="single" w:color="000000" w:sz="4" w:space="0"/>
              <w:bottom w:val="single" w:color="000000" w:sz="4" w:space="0"/>
              <w:right w:val="single" w:color="000000" w:sz="4" w:space="0"/>
            </w:tcBorders>
            <w:noWrap/>
            <w:vAlign w:val="center"/>
          </w:tcPr>
          <w:p w14:paraId="3B1EE61E">
            <w:pPr>
              <w:widowControl/>
              <w:snapToGrid w:val="0"/>
              <w:ind w:left="0" w:leftChars="0" w:right="0" w:rightChars="0" w:firstLine="0" w:firstLineChars="0"/>
              <w:jc w:val="center"/>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技术参数及功能指标</w:t>
            </w:r>
          </w:p>
        </w:tc>
      </w:tr>
      <w:tr w14:paraId="123F3194">
        <w:tblPrEx>
          <w:tblCellMar>
            <w:top w:w="0" w:type="dxa"/>
            <w:left w:w="108" w:type="dxa"/>
            <w:bottom w:w="0" w:type="dxa"/>
            <w:right w:w="108" w:type="dxa"/>
          </w:tblCellMar>
        </w:tblPrEx>
        <w:trPr>
          <w:trHeight w:val="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59CC50AC">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45978E6">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化工生产技术大赛及实训装置</w:t>
            </w:r>
          </w:p>
        </w:tc>
        <w:tc>
          <w:tcPr>
            <w:tcW w:w="0" w:type="auto"/>
            <w:tcBorders>
              <w:top w:val="single" w:color="000000" w:sz="4" w:space="0"/>
              <w:left w:val="single" w:color="000000" w:sz="4" w:space="0"/>
              <w:bottom w:val="single" w:color="000000" w:sz="4" w:space="0"/>
              <w:right w:val="single" w:color="000000" w:sz="4" w:space="0"/>
            </w:tcBorders>
            <w:vAlign w:val="center"/>
          </w:tcPr>
          <w:p w14:paraId="391211DB">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化工生产技术大赛及实训装置</w:t>
            </w:r>
          </w:p>
        </w:tc>
        <w:tc>
          <w:tcPr>
            <w:tcW w:w="5384" w:type="dxa"/>
            <w:tcBorders>
              <w:top w:val="single" w:color="000000" w:sz="4" w:space="0"/>
              <w:left w:val="single" w:color="000000" w:sz="4" w:space="0"/>
              <w:bottom w:val="single" w:color="000000" w:sz="4" w:space="0"/>
              <w:right w:val="single" w:color="000000" w:sz="4" w:space="0"/>
            </w:tcBorders>
            <w:vAlign w:val="center"/>
          </w:tcPr>
          <w:p w14:paraId="7A429977">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1、装置</w:t>
            </w:r>
            <w:r>
              <w:rPr>
                <w:rFonts w:hint="eastAsia" w:ascii="宋体" w:hAnsi="宋体" w:eastAsia="宋体" w:cs="宋体"/>
                <w:color w:val="auto"/>
                <w:sz w:val="24"/>
                <w:szCs w:val="24"/>
                <w:highlight w:val="none"/>
                <w:lang w:val="en-US" w:eastAsia="zh-CN"/>
              </w:rPr>
              <w:t>要求</w:t>
            </w:r>
          </w:p>
          <w:p w14:paraId="2549E18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（1）装置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具有实训、考核、实验、研究功能，具有工厂情景化、操作实际化、控制自动化、故障模拟真实化特点。</w:t>
            </w:r>
          </w:p>
          <w:p w14:paraId="0B09F34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（2）装置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设备采用不锈钢材料制作，装置框架为碳钢喷塑，坚固耐用，设备主体结构恢弘大气。</w:t>
            </w:r>
          </w:p>
          <w:p w14:paraId="75F8A1C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能进行开车准备、开车、正常操作、停车等方面的技能操作训练和工艺指标控制操作技能训练。</w:t>
            </w:r>
          </w:p>
          <w:p w14:paraId="2B78403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（4）装置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涵盖乙醇-水精馏的典型设备及乙醇-水精馏工艺流程，塔顶乙醇组分</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411267B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pacing w:val="0"/>
                <w:w w:val="100"/>
                <w:sz w:val="24"/>
                <w:szCs w:val="24"/>
                <w:highlight w:val="none"/>
              </w:rPr>
              <w:t>▲</w:t>
            </w:r>
            <w:r>
              <w:rPr>
                <w:rFonts w:hint="eastAsia" w:ascii="宋体" w:hAnsi="宋体" w:eastAsia="宋体" w:cs="宋体"/>
                <w:color w:val="auto"/>
                <w:sz w:val="24"/>
                <w:szCs w:val="24"/>
                <w:highlight w:val="none"/>
              </w:rPr>
              <w:t>装置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能进行单板效率测定，可对学员进行实训操作考核。</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投标文件中需提供真实</w:t>
            </w:r>
            <w:r>
              <w:rPr>
                <w:rFonts w:hint="eastAsia" w:ascii="宋体" w:hAnsi="宋体" w:eastAsia="宋体" w:cs="宋体"/>
                <w:b/>
                <w:bCs/>
                <w:color w:val="auto"/>
                <w:sz w:val="24"/>
                <w:szCs w:val="24"/>
                <w:highlight w:val="none"/>
                <w:lang w:val="en-US" w:eastAsia="zh-CN"/>
              </w:rPr>
              <w:t>操作功能截图</w:t>
            </w:r>
            <w:r>
              <w:rPr>
                <w:rFonts w:hint="eastAsia" w:ascii="宋体" w:hAnsi="宋体" w:eastAsia="宋体" w:cs="宋体"/>
                <w:b/>
                <w:bCs/>
                <w:color w:val="auto"/>
                <w:sz w:val="24"/>
                <w:szCs w:val="24"/>
                <w:highlight w:val="none"/>
              </w:rPr>
              <w:t>≥</w:t>
            </w:r>
            <w:r>
              <w:rPr>
                <w:rFonts w:hint="eastAsia" w:ascii="宋体" w:hAnsi="宋体" w:eastAsia="宋体" w:cs="宋体"/>
                <w:b/>
                <w:bCs/>
                <w:color w:val="auto"/>
                <w:kern w:val="0"/>
                <w:sz w:val="24"/>
                <w:szCs w:val="24"/>
                <w:highlight w:val="none"/>
              </w:rPr>
              <w:t>2张</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加盖投标人公章</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p>
          <w:p w14:paraId="4255D5C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）要求能在全回流稳定状态时测定全塔效率性能和连续进料时部分回流操作。要求能完成回流量调节，冷凝系统水量及塔温调节，进料预热系统调节。</w:t>
            </w:r>
          </w:p>
          <w:p w14:paraId="593275C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）要求能分别进行连续常压精馏和连续真空精馏操作，可对学员进行实训操作考核。</w:t>
            </w:r>
          </w:p>
          <w:p w14:paraId="66E663BE">
            <w:pPr>
              <w:keepNext w:val="0"/>
              <w:keepLines w:val="0"/>
              <w:widowControl/>
              <w:suppressLineNumbers w:val="0"/>
              <w:jc w:val="lef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）▲装置</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具有</w:t>
            </w:r>
            <w:r>
              <w:rPr>
                <w:rFonts w:ascii="微软雅黑" w:hAnsi="微软雅黑" w:eastAsia="微软雅黑" w:cs="微软雅黑"/>
                <w:color w:val="auto"/>
                <w:kern w:val="0"/>
                <w:sz w:val="21"/>
                <w:szCs w:val="21"/>
                <w:highlight w:val="none"/>
                <w:lang w:val="en-US" w:eastAsia="zh-CN" w:bidi="ar"/>
              </w:rPr>
              <w:t>参数设置、评分标准配置、结果查询及扣分明细显示等功能，并提供相应</w:t>
            </w:r>
            <w:r>
              <w:rPr>
                <w:rFonts w:hint="eastAsia" w:ascii="微软雅黑" w:hAnsi="微软雅黑" w:eastAsia="微软雅黑" w:cs="微软雅黑"/>
                <w:color w:val="auto"/>
                <w:kern w:val="0"/>
                <w:sz w:val="21"/>
                <w:szCs w:val="21"/>
                <w:highlight w:val="none"/>
                <w:lang w:val="en-US" w:eastAsia="zh-CN" w:bidi="ar"/>
              </w:rPr>
              <w:t>功能界面截图，</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功能截图</w:t>
            </w:r>
            <w:r>
              <w:rPr>
                <w:rFonts w:hint="eastAsia" w:ascii="宋体" w:hAnsi="宋体" w:eastAsia="宋体" w:cs="宋体"/>
                <w:b/>
                <w:bCs/>
                <w:color w:val="auto"/>
                <w:kern w:val="0"/>
                <w:sz w:val="24"/>
                <w:szCs w:val="24"/>
                <w:highlight w:val="none"/>
                <w:lang w:val="en-US" w:eastAsia="zh-CN"/>
              </w:rPr>
              <w:t>加盖投标人公章</w:t>
            </w:r>
            <w:r>
              <w:rPr>
                <w:rFonts w:hint="eastAsia" w:ascii="宋体" w:hAnsi="宋体" w:eastAsia="宋体" w:cs="宋体"/>
                <w:b/>
                <w:bCs/>
                <w:color w:val="auto"/>
                <w:sz w:val="24"/>
                <w:szCs w:val="24"/>
                <w:highlight w:val="none"/>
                <w:lang w:eastAsia="zh-CN"/>
              </w:rPr>
              <w:t>。）</w:t>
            </w:r>
          </w:p>
          <w:p w14:paraId="43C4E22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）要求有不合格产品的排放设计。要求装置连续运行</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h。</w:t>
            </w:r>
          </w:p>
          <w:p w14:paraId="116E570D">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装置要求能同时满足个人独立操作、多人配合操作，能满足多种培训模式的需要。</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投标</w:t>
            </w:r>
            <w:r>
              <w:rPr>
                <w:rFonts w:hint="eastAsia" w:ascii="宋体" w:hAnsi="宋体" w:eastAsia="宋体" w:cs="宋体"/>
                <w:b/>
                <w:bCs/>
                <w:color w:val="auto"/>
                <w:sz w:val="24"/>
                <w:szCs w:val="24"/>
                <w:highlight w:val="none"/>
                <w:lang w:val="en-US" w:eastAsia="zh-CN"/>
              </w:rPr>
              <w:t>文件需提供包括新考核模式、旧考核模式、自由模式等不少于3种运行模式的操作界面截图，</w:t>
            </w:r>
            <w:r>
              <w:rPr>
                <w:rFonts w:hint="eastAsia" w:ascii="宋体" w:hAnsi="宋体" w:eastAsia="宋体" w:cs="宋体"/>
                <w:b/>
                <w:bCs/>
                <w:color w:val="auto"/>
                <w:kern w:val="0"/>
                <w:sz w:val="24"/>
                <w:szCs w:val="24"/>
                <w:highlight w:val="none"/>
                <w:lang w:val="en-US" w:eastAsia="zh-CN"/>
              </w:rPr>
              <w:t>加盖投标人公章</w:t>
            </w:r>
            <w:r>
              <w:rPr>
                <w:rFonts w:hint="eastAsia" w:ascii="宋体" w:hAnsi="宋体" w:eastAsia="宋体" w:cs="宋体"/>
                <w:b/>
                <w:bCs/>
                <w:color w:val="auto"/>
                <w:sz w:val="24"/>
                <w:szCs w:val="24"/>
                <w:highlight w:val="none"/>
                <w:lang w:val="en-US" w:eastAsia="zh-CN"/>
              </w:rPr>
              <w:t>。）</w:t>
            </w:r>
          </w:p>
          <w:p w14:paraId="4FCBA8B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系统</w:t>
            </w:r>
            <w:r>
              <w:rPr>
                <w:rFonts w:hint="eastAsia" w:ascii="宋体" w:hAnsi="宋体" w:eastAsia="宋体" w:cs="宋体"/>
                <w:b/>
                <w:bCs/>
                <w:color w:val="auto"/>
                <w:sz w:val="24"/>
                <w:szCs w:val="24"/>
                <w:highlight w:val="none"/>
                <w:lang w:val="en-US" w:eastAsia="zh-CN"/>
              </w:rPr>
              <w:t>包含考核开始、部分回流开始、进料位置选择、稳态生产开始、考核结束</w:t>
            </w:r>
            <w:r>
              <w:rPr>
                <w:rFonts w:hint="eastAsia" w:ascii="宋体" w:hAnsi="宋体" w:cs="宋体"/>
                <w:b/>
                <w:bCs/>
                <w:color w:val="auto"/>
                <w:sz w:val="24"/>
                <w:szCs w:val="24"/>
                <w:highlight w:val="none"/>
                <w:lang w:val="en-US" w:eastAsia="zh-CN"/>
              </w:rPr>
              <w:t>等功能，提供功能截图</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kern w:val="0"/>
                <w:sz w:val="24"/>
                <w:szCs w:val="24"/>
                <w:highlight w:val="none"/>
                <w:lang w:val="en-US" w:eastAsia="zh-CN"/>
              </w:rPr>
              <w:t>加盖投标人公章</w:t>
            </w:r>
            <w:r>
              <w:rPr>
                <w:rFonts w:hint="eastAsia" w:ascii="宋体" w:hAnsi="宋体" w:eastAsia="宋体" w:cs="宋体"/>
                <w:b/>
                <w:bCs/>
                <w:color w:val="auto"/>
                <w:sz w:val="24"/>
                <w:szCs w:val="24"/>
                <w:highlight w:val="none"/>
                <w:lang w:val="en-US" w:eastAsia="zh-CN"/>
              </w:rPr>
              <w:t>。</w:t>
            </w:r>
          </w:p>
          <w:p w14:paraId="1EA5BFF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（12）为满足学校进行乙醇-水精馏研究、实训教学及参加化工类赛项的需求，装置配套的评分系统需满足如下要求：</w:t>
            </w:r>
          </w:p>
          <w:p w14:paraId="28B3670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进料温度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进入连续生产后，系统自动确定进料板实时温度为后续进料板温度控制基准，学员控制进料板温度稳定。且波动温差范围控制在±3℃度以内，如果温差连续超标达3min，系统将自动扣除2分，（可多次扣分，最大扣分不超过5分）。</w:t>
            </w:r>
          </w:p>
          <w:p w14:paraId="1990F71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再沸器液位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点击考核开始后，再沸器液位需要维持在60mm-80mm之间，如液位连续20S高于80mm或低于60mm，系统将自动扣除0.2分（可多次扣分，最大扣分不超过2分）。</w:t>
            </w:r>
          </w:p>
          <w:p w14:paraId="6A0F1A1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塔顶压力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考核开始后，塔顶压力需控制在0.5Kpa以下，如连续20S超过0.5Kpa，系统将自动扣除0.2分（可多次扣分，最大扣分不超过2分）。</w:t>
            </w:r>
          </w:p>
          <w:p w14:paraId="7144C84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塔压差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考核开始后，塔压差需控制在5Kpa以下，如连续20S超过5Kpa，系统将自动扣除0.2分（可多次扣分，最大扣分不超过2分）。</w:t>
            </w:r>
          </w:p>
          <w:p w14:paraId="00495DE4">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塔顶产品温度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经塔顶产品罐冷却器的馏出液（塔顶产品）需冷却至50℃以下后收集，如连续20S超出50℃系统将自动扣除0.2分（可多次扣分，最大扣分不超过2分）。</w:t>
            </w:r>
          </w:p>
          <w:p w14:paraId="2BD2E3C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原料消耗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启动装置即开始考核，进料流量为给定值。读取原料贮槽液位，计算原料消耗量，并输入到</w:t>
            </w:r>
            <w:r>
              <w:rPr>
                <w:rFonts w:hint="eastAsia" w:ascii="宋体" w:hAnsi="宋体" w:eastAsia="宋体" w:cs="宋体"/>
                <w:color w:val="auto"/>
                <w:sz w:val="24"/>
                <w:szCs w:val="24"/>
                <w:highlight w:val="none"/>
                <w:lang w:val="en-US" w:eastAsia="zh-CN"/>
              </w:rPr>
              <w:t>系统</w:t>
            </w:r>
            <w:r>
              <w:rPr>
                <w:rFonts w:hint="eastAsia" w:ascii="宋体" w:hAnsi="宋体" w:eastAsia="宋体" w:cs="宋体"/>
                <w:color w:val="auto"/>
                <w:sz w:val="24"/>
                <w:szCs w:val="24"/>
                <w:highlight w:val="none"/>
              </w:rPr>
              <w:t>中，按系统设定的扣分标准进行自动记分。</w:t>
            </w:r>
          </w:p>
          <w:p w14:paraId="0F38039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电耗：启动装置即开始考核消耗。读取装置用电总量，并输入到系统中，按系统设定的扣分标准进行自动记分。</w:t>
            </w:r>
          </w:p>
          <w:p w14:paraId="2E6F8896">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水耗：启动装置即开始考核消耗。读取装置用水总量，并输入到系统中，系统自动计算出单位纯产品水消耗量，每公斤纯乙醇消耗多少吨水。按系统设定的扣分标准进行自动记分。</w:t>
            </w:r>
          </w:p>
          <w:p w14:paraId="3E58829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3、装置配置及主要技术参数</w:t>
            </w:r>
          </w:p>
          <w:p w14:paraId="6C60406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3.1设备主体：不小于长×宽×高4</w:t>
            </w:r>
            <w:r>
              <w:rPr>
                <w:rFonts w:hint="eastAsia" w:ascii="宋体" w:hAnsi="宋体" w:eastAsia="宋体" w:cs="宋体"/>
                <w:color w:val="auto"/>
                <w:sz w:val="24"/>
                <w:szCs w:val="24"/>
                <w:highlight w:val="none"/>
                <w:lang w:val="en-US" w:eastAsia="zh-CN"/>
              </w:rPr>
              <w:t>75</w:t>
            </w:r>
            <w:r>
              <w:rPr>
                <w:rFonts w:hint="eastAsia" w:ascii="宋体" w:hAnsi="宋体" w:eastAsia="宋体" w:cs="宋体"/>
                <w:color w:val="auto"/>
                <w:sz w:val="24"/>
                <w:szCs w:val="24"/>
                <w:highlight w:val="none"/>
              </w:rPr>
              <w:t>0×2</w:t>
            </w:r>
            <w:r>
              <w:rPr>
                <w:rFonts w:hint="eastAsia" w:ascii="宋体" w:hAnsi="宋体" w:eastAsia="宋体" w:cs="宋体"/>
                <w:color w:val="auto"/>
                <w:sz w:val="24"/>
                <w:szCs w:val="24"/>
                <w:highlight w:val="none"/>
                <w:lang w:val="en-US" w:eastAsia="zh-CN"/>
              </w:rPr>
              <w:t>45</w:t>
            </w:r>
            <w:r>
              <w:rPr>
                <w:rFonts w:hint="eastAsia" w:ascii="宋体" w:hAnsi="宋体" w:eastAsia="宋体" w:cs="宋体"/>
                <w:color w:val="auto"/>
                <w:sz w:val="24"/>
                <w:szCs w:val="24"/>
                <w:highlight w:val="none"/>
              </w:rPr>
              <w:t>0×4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00mm，要求整机整体采用喷塑框架结构，带两层操作平台，一层平面方便操作、检修、巡查，二层有安全斜梯通上并有护栏、防滑板。</w:t>
            </w:r>
          </w:p>
          <w:p w14:paraId="0FEBCE7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3.2工艺设备系统</w:t>
            </w:r>
          </w:p>
          <w:p w14:paraId="16AF4DB1">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（1）塔底产品槽：不锈钢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，容积不小于</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0L，数量1只。</w:t>
            </w:r>
          </w:p>
          <w:p w14:paraId="757D9705">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（2）塔顶产品槽：不锈钢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，容积不小于</w:t>
            </w:r>
            <w:r>
              <w:rPr>
                <w:rFonts w:hint="eastAsia" w:ascii="宋体" w:hAnsi="宋体" w:eastAsia="宋体" w:cs="宋体"/>
                <w:color w:val="auto"/>
                <w:sz w:val="24"/>
                <w:szCs w:val="24"/>
                <w:highlight w:val="none"/>
                <w:lang w:val="en-US" w:eastAsia="zh-CN"/>
              </w:rPr>
              <w:t>85</w:t>
            </w:r>
            <w:r>
              <w:rPr>
                <w:rFonts w:hint="eastAsia" w:ascii="宋体" w:hAnsi="宋体" w:eastAsia="宋体" w:cs="宋体"/>
                <w:color w:val="auto"/>
                <w:sz w:val="24"/>
                <w:szCs w:val="24"/>
                <w:highlight w:val="none"/>
              </w:rPr>
              <w:t>L，数量1只。</w:t>
            </w:r>
          </w:p>
          <w:p w14:paraId="3BE1D49B">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（3）原料槽：不锈钢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，容积不小于3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0L，数量1只。</w:t>
            </w:r>
          </w:p>
          <w:p w14:paraId="0B4ACFE3">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（4）真空缓冲罐：不锈钢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，容积不小于</w:t>
            </w:r>
            <w:r>
              <w:rPr>
                <w:rFonts w:hint="eastAsia" w:ascii="宋体" w:hAnsi="宋体" w:eastAsia="宋体" w:cs="宋体"/>
                <w:color w:val="auto"/>
                <w:sz w:val="24"/>
                <w:szCs w:val="24"/>
                <w:highlight w:val="none"/>
                <w:lang w:val="en-US" w:eastAsia="zh-CN"/>
              </w:rPr>
              <w:t>85</w:t>
            </w:r>
            <w:r>
              <w:rPr>
                <w:rFonts w:hint="eastAsia" w:ascii="宋体" w:hAnsi="宋体" w:eastAsia="宋体" w:cs="宋体"/>
                <w:color w:val="auto"/>
                <w:sz w:val="24"/>
                <w:szCs w:val="24"/>
                <w:highlight w:val="none"/>
              </w:rPr>
              <w:t>L，数量1只。</w:t>
            </w:r>
          </w:p>
          <w:p w14:paraId="14F0438A">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（5）冷凝液槽：不锈钢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，容积不小于1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L，数量1只。</w:t>
            </w:r>
          </w:p>
          <w:p w14:paraId="56BB4E43">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（6）原料液加热器：不锈钢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，容积不小于4</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L，加热功率不小于</w:t>
            </w:r>
            <w:r>
              <w:rPr>
                <w:rFonts w:hint="eastAsia" w:ascii="宋体" w:hAnsi="宋体" w:eastAsia="宋体" w:cs="宋体"/>
                <w:color w:val="auto"/>
                <w:sz w:val="24"/>
                <w:szCs w:val="24"/>
                <w:highlight w:val="none"/>
                <w:lang w:val="en-US" w:eastAsia="zh-CN"/>
              </w:rPr>
              <w:t>8.5</w:t>
            </w:r>
            <w:r>
              <w:rPr>
                <w:rFonts w:hint="eastAsia" w:ascii="宋体" w:hAnsi="宋体" w:eastAsia="宋体" w:cs="宋体"/>
                <w:color w:val="auto"/>
                <w:sz w:val="24"/>
                <w:szCs w:val="24"/>
                <w:highlight w:val="none"/>
              </w:rPr>
              <w:t>kW，数量1台。</w:t>
            </w:r>
          </w:p>
          <w:p w14:paraId="3A3951E4">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（7）塔顶冷凝器：不锈钢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，换热面积不小于</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，数量1只。</w:t>
            </w:r>
          </w:p>
          <w:p w14:paraId="3183A981">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（8）再沸器：不锈钢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，加热功率不小于2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kW，数量：1只。</w:t>
            </w:r>
          </w:p>
          <w:p w14:paraId="1E3A04A9">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（9）塔底换热器：不锈钢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，换热面积不小于</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，数量1只。</w:t>
            </w:r>
          </w:p>
          <w:p w14:paraId="24912A2A">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（10）精馏塔：主体不锈钢材质，塔径不小于DN</w:t>
            </w:r>
            <w:r>
              <w:rPr>
                <w:rFonts w:hint="eastAsia" w:ascii="宋体" w:hAnsi="宋体" w:eastAsia="宋体" w:cs="宋体"/>
                <w:color w:val="auto"/>
                <w:sz w:val="24"/>
                <w:szCs w:val="24"/>
                <w:highlight w:val="none"/>
                <w:lang w:val="en-US" w:eastAsia="zh-CN"/>
              </w:rPr>
              <w:t>195</w:t>
            </w:r>
            <w:r>
              <w:rPr>
                <w:rFonts w:hint="eastAsia" w:ascii="宋体" w:hAnsi="宋体" w:eastAsia="宋体" w:cs="宋体"/>
                <w:color w:val="auto"/>
                <w:sz w:val="24"/>
                <w:szCs w:val="24"/>
                <w:highlight w:val="none"/>
              </w:rPr>
              <w:t>mm；至少含有1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块塔板，且是筛板精馏塔，数量：1只。</w:t>
            </w:r>
          </w:p>
          <w:p w14:paraId="0FDEE6FD">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（11）产品换热器：不锈钢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，换热面积不小于0.</w:t>
            </w:r>
            <w:r>
              <w:rPr>
                <w:rFonts w:hint="eastAsia" w:ascii="宋体" w:hAnsi="宋体" w:eastAsia="宋体" w:cs="宋体"/>
                <w:color w:val="auto"/>
                <w:sz w:val="24"/>
                <w:szCs w:val="24"/>
                <w:highlight w:val="none"/>
                <w:lang w:val="en-US" w:eastAsia="zh-CN"/>
              </w:rPr>
              <w:t>09</w:t>
            </w:r>
            <w:r>
              <w:rPr>
                <w:rFonts w:hint="eastAsia" w:ascii="宋体" w:hAnsi="宋体" w:eastAsia="宋体" w:cs="宋体"/>
                <w:color w:val="auto"/>
                <w:sz w:val="24"/>
                <w:szCs w:val="24"/>
                <w:highlight w:val="none"/>
              </w:rPr>
              <w:t>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，数量1只。</w:t>
            </w:r>
          </w:p>
          <w:p w14:paraId="5F4A41CB">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（12）取样冷却器：不锈钢</w:t>
            </w:r>
            <w:r>
              <w:rPr>
                <w:rFonts w:hint="eastAsia" w:ascii="宋体" w:hAnsi="宋体" w:eastAsia="宋体" w:cs="宋体"/>
                <w:color w:val="auto"/>
                <w:sz w:val="24"/>
                <w:szCs w:val="24"/>
                <w:highlight w:val="none"/>
                <w:lang w:val="en-US" w:eastAsia="zh-CN"/>
              </w:rPr>
              <w:t>材质</w:t>
            </w:r>
            <w:r>
              <w:rPr>
                <w:rFonts w:hint="eastAsia" w:ascii="宋体" w:hAnsi="宋体" w:eastAsia="宋体" w:cs="宋体"/>
                <w:color w:val="auto"/>
                <w:sz w:val="24"/>
                <w:szCs w:val="24"/>
                <w:highlight w:val="none"/>
              </w:rPr>
              <w:t>，要求盘管式，数量1只。</w:t>
            </w:r>
          </w:p>
          <w:p w14:paraId="58F765F0">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（13）回流泵：磁力齿轮泵，最大流量不小于1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0L/h，数量1只。</w:t>
            </w:r>
          </w:p>
          <w:p w14:paraId="77F941D4">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（14）快速进料泵：不锈钢离心泵，额定流量不小于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0L/min，数量1只。</w:t>
            </w:r>
          </w:p>
          <w:p w14:paraId="6A625A57">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（15）原料液泵：磁力齿轮泵，最大流量不小于1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0L/h，数量1台。</w:t>
            </w:r>
          </w:p>
          <w:p w14:paraId="7A0DD7BC">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（16）残液泵：泵220V AC，最大流量不小于2m³/h，数量1台。</w:t>
            </w:r>
          </w:p>
          <w:p w14:paraId="6B277DDD">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（17）产品泵：磁力齿轮泵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最大流量不小于1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0L/h，数量1台。</w:t>
            </w:r>
          </w:p>
          <w:p w14:paraId="7EF3F062">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（18）真空泵：不锈钢旋片真空泵，数量1台。</w:t>
            </w:r>
          </w:p>
          <w:p w14:paraId="29D13B5A">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3.3仪控检测系统</w:t>
            </w:r>
          </w:p>
          <w:p w14:paraId="59843E40">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（1）温度：检测机构为双金属温度计（精度：2.5%FS），显示机构为就地显示，数量9只。</w:t>
            </w:r>
          </w:p>
          <w:p w14:paraId="2C206840">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（2）温度：检测机构铂电阻（精度：A级），显示机构为可编程多回路控制器，数量8只。</w:t>
            </w:r>
          </w:p>
          <w:p w14:paraId="72CD3CB9">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（3）温度：检测机构为铂电阻（精度：A级），数量3只，执行机构为调压模块*1、变频器*1。</w:t>
            </w:r>
          </w:p>
          <w:p w14:paraId="22258955">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（4）压力：检测机构为压力表（精度2.5%FS），显示机构为就地显示，数量：1只。</w:t>
            </w:r>
          </w:p>
          <w:p w14:paraId="50EC12AF">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（5）压力：检测检测机构为压力变送器（精度0.5%FS），显示机构为可编程多回路控制器，数量1只。</w:t>
            </w:r>
          </w:p>
          <w:p w14:paraId="683E99DC">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（6）压力：检测检测机构为压力变送器（精度0.5%FS），显示机构为可编程多回路控制器，数量1只，执行机构为电动开关阀*1。</w:t>
            </w:r>
          </w:p>
          <w:p w14:paraId="46343160">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（7）压力：检测机构为电接点压力表，显示机构为就地显示，数量1只。</w:t>
            </w:r>
          </w:p>
          <w:p w14:paraId="201315F8">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（8）流量：检测机构为玻璃转子流量计，显示机构为就地显示，数量6只。</w:t>
            </w:r>
          </w:p>
          <w:p w14:paraId="0385479E">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（9）流量：检测机构为电磁流量计；显示机构为可编程多回路控制器，数量1只，执行机构为变频器*1。</w:t>
            </w:r>
          </w:p>
          <w:p w14:paraId="20186D81">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（10）流量：检测机构为电磁流量计；显示机构为可编程多回路控制器，数量1只，执行机构为电动调节阀*1。</w:t>
            </w:r>
          </w:p>
          <w:p w14:paraId="23B20FC1">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（11）流量：检测机构为水表，显示机构为就地显示，数量1只。</w:t>
            </w:r>
          </w:p>
          <w:p w14:paraId="1C850DF8">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（12）液位：检测机构为液位计，显示机构为就地显示，数量5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只。</w:t>
            </w:r>
          </w:p>
          <w:p w14:paraId="33A70AD4">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（13）液位：检测机构为差压变送器（精度0.5%FS），显示机构为可编程多回路控制器，数量：2只。</w:t>
            </w:r>
          </w:p>
          <w:p w14:paraId="116ADC50">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（14）故障点：显示机构为DCS控制，数量：2个，执行机构为电磁阀。</w:t>
            </w:r>
          </w:p>
          <w:p w14:paraId="219FA39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可编程多回路控制器：2台；工业可编程的多回路过程控制器，包含不少于4个单回路PID控制模块、不少于3个程序控制模块、不少于6个ON/OFF控制模块、RLZ温度专用算法，可实现单回路控制、多回路控制，每个回路除可以作为普通的PID回路外还可以结合运算功能，设置成三冲量、串级、比率、分程、自动选择、非线性控制、位式控制及用户定制等多种复杂的控制方案，其控制输出信号可以通过继电器触点、直流电流模拟信号输出给执行器。采用不小于</w:t>
            </w:r>
            <w:r>
              <w:rPr>
                <w:rFonts w:hint="eastAsia" w:ascii="宋体" w:hAnsi="宋体" w:eastAsia="宋体" w:cs="宋体"/>
                <w:color w:val="auto"/>
                <w:sz w:val="24"/>
                <w:szCs w:val="24"/>
                <w:highlight w:val="none"/>
              </w:rPr>
              <w:t>7英寸触摸式液晶屏作为显示和操作界面。（投标时需提供可编程多回路控制器的选型手册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带有相应参数的可编程多回路控制器实景照片。</w:t>
            </w:r>
          </w:p>
          <w:p w14:paraId="4069FC9A">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3.4智能仪表系统</w:t>
            </w:r>
            <w:r>
              <w:rPr>
                <w:rFonts w:hint="eastAsia" w:ascii="宋体" w:hAnsi="宋体" w:eastAsia="宋体" w:cs="宋体"/>
                <w:color w:val="auto"/>
                <w:sz w:val="24"/>
                <w:szCs w:val="24"/>
                <w:highlight w:val="none"/>
                <w:lang w:val="en-US" w:eastAsia="zh-CN"/>
              </w:rPr>
              <w:t>1套</w:t>
            </w:r>
            <w:r>
              <w:rPr>
                <w:rFonts w:hint="eastAsia" w:ascii="宋体" w:hAnsi="宋体" w:eastAsia="宋体" w:cs="宋体"/>
                <w:color w:val="auto"/>
                <w:sz w:val="24"/>
                <w:szCs w:val="24"/>
                <w:highlight w:val="none"/>
              </w:rPr>
              <w:t>：标准电器控制柜：</w:t>
            </w:r>
            <w:r>
              <w:rPr>
                <w:rFonts w:hint="eastAsia" w:ascii="宋体" w:hAnsi="宋体" w:eastAsia="宋体" w:cs="宋体"/>
                <w:color w:val="auto"/>
                <w:sz w:val="24"/>
                <w:szCs w:val="24"/>
                <w:highlight w:val="none"/>
                <w:lang w:eastAsia="zh-CN"/>
              </w:rPr>
              <w:t>长宽高</w:t>
            </w:r>
            <w:r>
              <w:rPr>
                <w:rFonts w:hint="eastAsia" w:ascii="宋体" w:hAnsi="宋体" w:eastAsia="宋体" w:cs="宋体"/>
                <w:color w:val="auto"/>
                <w:sz w:val="24"/>
                <w:szCs w:val="24"/>
                <w:highlight w:val="none"/>
                <w:lang w:val="en-US" w:eastAsia="zh-CN"/>
              </w:rPr>
              <w:t>不小于</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00×600×1400mm，</w:t>
            </w:r>
            <w:r>
              <w:rPr>
                <w:rFonts w:hint="eastAsia" w:ascii="宋体" w:hAnsi="宋体" w:eastAsia="宋体" w:cs="宋体"/>
                <w:color w:val="auto"/>
                <w:sz w:val="24"/>
                <w:szCs w:val="24"/>
                <w:highlight w:val="none"/>
              </w:rPr>
              <w:t>内安装漏电保护空气开关、电流型漏电保护器充分考虑人身安全保护；同时每一组强电输出都有旋钮开关控制，保证设备安全，操作控制便捷；装有分相指示灯，开关电源等。</w:t>
            </w:r>
            <w:r>
              <w:rPr>
                <w:rFonts w:hint="eastAsia" w:ascii="宋体" w:hAnsi="宋体" w:eastAsia="宋体" w:cs="宋体"/>
                <w:color w:val="auto"/>
                <w:sz w:val="24"/>
                <w:szCs w:val="24"/>
                <w:highlight w:val="none"/>
                <w:lang w:val="en-US" w:eastAsia="zh-CN"/>
              </w:rPr>
              <w:t>集成</w:t>
            </w:r>
            <w:r>
              <w:rPr>
                <w:rFonts w:hint="eastAsia" w:ascii="宋体" w:hAnsi="宋体" w:eastAsia="宋体" w:cs="宋体"/>
                <w:color w:val="auto"/>
                <w:sz w:val="24"/>
                <w:szCs w:val="24"/>
                <w:highlight w:val="none"/>
              </w:rPr>
              <w:t>可编程多回路控制器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操作站、声光报警系统、</w:t>
            </w:r>
            <w:r>
              <w:rPr>
                <w:rFonts w:hint="eastAsia" w:ascii="宋体" w:hAnsi="宋体" w:eastAsia="宋体" w:cs="宋体"/>
                <w:color w:val="auto"/>
                <w:sz w:val="24"/>
                <w:szCs w:val="24"/>
                <w:highlight w:val="none"/>
              </w:rPr>
              <w:t>旋钮开关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指示灯、空气开关、抽屉等。</w:t>
            </w:r>
          </w:p>
          <w:p w14:paraId="439ED6A3">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3.5自动评分系统：要求包含自动评分系统，可对学员操作过程进行全程监控，操作结束，系统自动评分，便于教师考察培训效果。</w:t>
            </w:r>
          </w:p>
          <w:p w14:paraId="60E021F8">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DCS控制系统</w:t>
            </w:r>
          </w:p>
          <w:p w14:paraId="70F7471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DCS控制系统要求覆盖大型集散系统的安全性、冗余功能、网络扩展功能、集成的用户界面及信息存取功能，要求具有模拟量信号输入输出、数字量信号输入输出、回路控制等常规DCS的功能，要求具有高速数字量处理、高速顺序事件记录（SOE）、可编程逻辑控制等特殊功能；要求提供功能块图（SCFBD）、梯形图（SCLD）等直观的图形组态工具，要求为用户提供开发复杂高级控</w:t>
            </w:r>
            <w:r>
              <w:rPr>
                <w:rFonts w:hint="eastAsia" w:ascii="宋体" w:hAnsi="宋体" w:eastAsia="宋体" w:cs="宋体"/>
                <w:color w:val="auto"/>
                <w:sz w:val="24"/>
                <w:szCs w:val="24"/>
                <w:highlight w:val="none"/>
                <w:lang w:val="en-US" w:eastAsia="zh-CN"/>
              </w:rPr>
              <w:t>制算法（如模糊控制）的类C语言编程环境。</w:t>
            </w:r>
          </w:p>
          <w:p w14:paraId="3108277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DCS控制系统站点容量要求最高可达31个冗余的控制站和32个操作站节点，可根据I/O规模大小决定控制站数量，操作站节点可根据用户操作的不同决定配置的数量与规格。每个控制站要求最多可带8个I/O机笼，每个机笼要求最多可配置20块卡件，即除了最多配置一对互为冗余的数据转发卡及两块电源指示卡之外，要求最多可配置16块各类I/O卡件。系统容量要求达到20000点。</w:t>
            </w:r>
          </w:p>
          <w:p w14:paraId="1E8232DC">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控制系统</w:t>
            </w:r>
            <w:r>
              <w:rPr>
                <w:rFonts w:hint="eastAsia" w:ascii="宋体" w:hAnsi="宋体" w:eastAsia="宋体" w:cs="宋体"/>
                <w:color w:val="auto"/>
                <w:sz w:val="24"/>
                <w:szCs w:val="24"/>
                <w:highlight w:val="none"/>
                <w:lang w:val="en-US" w:eastAsia="zh-CN"/>
              </w:rPr>
              <w:t>配置需至少包含以下内容：</w:t>
            </w:r>
          </w:p>
          <w:p w14:paraId="143DC934">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机柜</w:t>
            </w:r>
            <w:r>
              <w:rPr>
                <w:rFonts w:hint="eastAsia" w:ascii="宋体" w:hAnsi="宋体" w:eastAsia="宋体" w:cs="宋体"/>
                <w:color w:val="auto"/>
                <w:sz w:val="24"/>
                <w:szCs w:val="24"/>
                <w:highlight w:val="none"/>
              </w:rPr>
              <w:t>：长×宽×高：800×600×2100mm（允许左右10mm的偏差值）。数量：1套。</w:t>
            </w:r>
          </w:p>
          <w:p w14:paraId="0459E26B">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（2）数据转发卡：数量1块。</w:t>
            </w:r>
          </w:p>
          <w:p w14:paraId="5013472B">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（3）主控制卡标准套件：数量1套。</w:t>
            </w:r>
          </w:p>
          <w:p w14:paraId="0343C62D">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（4）24V电源模块：数量1块。</w:t>
            </w:r>
          </w:p>
          <w:p w14:paraId="617DCDB2">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（5）5V电源卡(窄)：数量2块。</w:t>
            </w:r>
          </w:p>
          <w:p w14:paraId="56B6ED15">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（6）6路电流输入卡：数量3块。</w:t>
            </w:r>
          </w:p>
          <w:p w14:paraId="2E06D183">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（7）4路模拟量输出卡：数量2块。</w:t>
            </w:r>
          </w:p>
          <w:p w14:paraId="471C1557">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（8）8路开关量输出卡：数量2块。</w:t>
            </w:r>
          </w:p>
          <w:p w14:paraId="0BAADD5A">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（9）8路开关量输入卡：数量2块。</w:t>
            </w:r>
          </w:p>
          <w:p w14:paraId="05583005">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（10）电源指示卡：数量1块。</w:t>
            </w:r>
          </w:p>
          <w:p w14:paraId="5A722831">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（11）槽位保护卡：数量6块。</w:t>
            </w:r>
          </w:p>
          <w:p w14:paraId="0ABAC91B">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（12）端子</w:t>
            </w:r>
            <w:r>
              <w:rPr>
                <w:rFonts w:hint="eastAsia" w:ascii="宋体" w:hAnsi="宋体" w:eastAsia="宋体" w:cs="宋体"/>
                <w:color w:val="auto"/>
                <w:sz w:val="24"/>
                <w:szCs w:val="24"/>
                <w:highlight w:val="none"/>
                <w:lang w:val="en-US" w:eastAsia="zh-CN"/>
              </w:rPr>
              <w:t>板</w:t>
            </w:r>
            <w:r>
              <w:rPr>
                <w:rFonts w:hint="eastAsia" w:ascii="宋体" w:hAnsi="宋体" w:eastAsia="宋体" w:cs="宋体"/>
                <w:color w:val="auto"/>
                <w:sz w:val="24"/>
                <w:szCs w:val="24"/>
                <w:highlight w:val="none"/>
              </w:rPr>
              <w:t>：数量4块。</w:t>
            </w:r>
          </w:p>
          <w:p w14:paraId="41652210">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（13）实时监控软件：数量1套，功能：操作站功能软件。</w:t>
            </w:r>
          </w:p>
          <w:p w14:paraId="7BFE6DE7">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（14）系统组态软件：数量1套，功能：包含系统组态、流程图制作、报表制作、编程软件（工程师站功能）。</w:t>
            </w:r>
          </w:p>
          <w:p w14:paraId="7F4FF997">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（15）故障分析软件：数量1套。</w:t>
            </w:r>
          </w:p>
          <w:p w14:paraId="40A347C3">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（16）工程师站软件狗：数量1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个，功能：软件授权。</w:t>
            </w:r>
          </w:p>
          <w:p w14:paraId="61054EF4">
            <w:pPr>
              <w:adjustRightInd w:val="0"/>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（17）HUB（系统公用部件）：数量1块，功能专用集线器。</w:t>
            </w:r>
          </w:p>
          <w:p w14:paraId="77E77FC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投标时要求提供所用的</w:t>
            </w:r>
            <w:r>
              <w:rPr>
                <w:rFonts w:hint="eastAsia" w:ascii="宋体" w:hAnsi="宋体" w:eastAsia="宋体" w:cs="宋体"/>
                <w:b/>
                <w:bCs/>
                <w:color w:val="auto"/>
                <w:sz w:val="24"/>
                <w:szCs w:val="24"/>
                <w:highlight w:val="none"/>
                <w:lang w:val="en-US" w:eastAsia="zh-CN"/>
              </w:rPr>
              <w:t>集散</w:t>
            </w:r>
            <w:r>
              <w:rPr>
                <w:rFonts w:hint="eastAsia" w:ascii="宋体" w:hAnsi="宋体" w:eastAsia="宋体" w:cs="宋体"/>
                <w:b/>
                <w:bCs/>
                <w:color w:val="auto"/>
                <w:sz w:val="24"/>
                <w:szCs w:val="24"/>
                <w:highlight w:val="none"/>
              </w:rPr>
              <w:t>控制系统的具有CMA标识的合格检测报告复印件</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kern w:val="0"/>
                <w:sz w:val="24"/>
                <w:szCs w:val="24"/>
                <w:highlight w:val="none"/>
                <w:lang w:val="en-US" w:eastAsia="zh-CN"/>
              </w:rPr>
              <w:t>加盖投标人公章</w:t>
            </w:r>
            <w:r>
              <w:rPr>
                <w:rFonts w:hint="eastAsia" w:ascii="宋体" w:hAnsi="宋体" w:eastAsia="宋体" w:cs="宋体"/>
                <w:b/>
                <w:bCs/>
                <w:color w:val="auto"/>
                <w:sz w:val="24"/>
                <w:szCs w:val="24"/>
                <w:highlight w:val="none"/>
              </w:rPr>
              <w:t>。</w:t>
            </w:r>
          </w:p>
          <w:p w14:paraId="2FE6427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投标时要求提供“化工总控工培训与竞赛装置”的具有CMA标识的合格检测报告复印件</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检验项目需至少包含常温性能、基本安全，</w:t>
            </w:r>
            <w:r>
              <w:rPr>
                <w:rFonts w:hint="eastAsia" w:ascii="宋体" w:hAnsi="宋体" w:eastAsia="宋体" w:cs="宋体"/>
                <w:b/>
                <w:bCs/>
                <w:color w:val="auto"/>
                <w:kern w:val="0"/>
                <w:sz w:val="24"/>
                <w:szCs w:val="24"/>
                <w:highlight w:val="none"/>
                <w:lang w:val="en-US" w:eastAsia="zh-CN"/>
              </w:rPr>
              <w:t>加盖投标人公章</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 xml:space="preserve"> </w:t>
            </w:r>
          </w:p>
          <w:p w14:paraId="4149F7DD">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▲投标时要求提供装置的产品彩页、工艺流程图、布局配管图、主设备的结构图、装置照片</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装置操作规程</w:t>
            </w:r>
            <w:r>
              <w:rPr>
                <w:rFonts w:hint="eastAsia" w:ascii="宋体" w:hAnsi="宋体" w:cs="宋体"/>
                <w:b/>
                <w:bCs/>
                <w:color w:val="auto"/>
                <w:sz w:val="24"/>
                <w:szCs w:val="24"/>
                <w:highlight w:val="none"/>
                <w:lang w:val="en-US" w:eastAsia="zh-CN"/>
              </w:rPr>
              <w:t>相关</w:t>
            </w:r>
            <w:r>
              <w:rPr>
                <w:rFonts w:hint="eastAsia" w:ascii="宋体" w:hAnsi="宋体" w:eastAsia="宋体" w:cs="宋体"/>
                <w:b/>
                <w:bCs/>
                <w:color w:val="auto"/>
                <w:sz w:val="24"/>
                <w:szCs w:val="24"/>
                <w:highlight w:val="none"/>
              </w:rPr>
              <w:t>资料</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kern w:val="0"/>
                <w:sz w:val="24"/>
                <w:szCs w:val="24"/>
                <w:highlight w:val="none"/>
                <w:lang w:val="en-US" w:eastAsia="zh-CN"/>
              </w:rPr>
              <w:t>加盖投标人公章</w:t>
            </w:r>
            <w:r>
              <w:rPr>
                <w:rFonts w:hint="eastAsia" w:ascii="宋体" w:hAnsi="宋体" w:eastAsia="宋体" w:cs="宋体"/>
                <w:b/>
                <w:bCs/>
                <w:color w:val="auto"/>
                <w:sz w:val="24"/>
                <w:szCs w:val="24"/>
                <w:highlight w:val="none"/>
              </w:rPr>
              <w:t>。</w:t>
            </w:r>
          </w:p>
        </w:tc>
      </w:tr>
      <w:tr w14:paraId="7B1337ED">
        <w:tblPrEx>
          <w:tblCellMar>
            <w:top w:w="0" w:type="dxa"/>
            <w:left w:w="108" w:type="dxa"/>
            <w:bottom w:w="0" w:type="dxa"/>
            <w:right w:w="108" w:type="dxa"/>
          </w:tblCellMar>
        </w:tblPrEx>
        <w:trPr>
          <w:trHeight w:val="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202F9B58">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0" w:type="auto"/>
            <w:vMerge w:val="restart"/>
            <w:tcBorders>
              <w:top w:val="single" w:color="000000" w:sz="4" w:space="0"/>
              <w:left w:val="single" w:color="000000" w:sz="4" w:space="0"/>
              <w:right w:val="single" w:color="000000" w:sz="4" w:space="0"/>
            </w:tcBorders>
            <w:vAlign w:val="center"/>
          </w:tcPr>
          <w:p w14:paraId="45A6C0BA">
            <w:pPr>
              <w:snapToGrid w:val="0"/>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材料工程技术科研装置</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909444">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手套箱</w:t>
            </w:r>
          </w:p>
        </w:tc>
        <w:tc>
          <w:tcPr>
            <w:tcW w:w="5384" w:type="dxa"/>
            <w:tcBorders>
              <w:top w:val="single" w:color="000000" w:sz="4" w:space="0"/>
              <w:left w:val="single" w:color="000000" w:sz="4" w:space="0"/>
              <w:bottom w:val="single" w:color="000000" w:sz="4" w:space="0"/>
              <w:right w:val="single" w:color="000000" w:sz="4" w:space="0"/>
            </w:tcBorders>
            <w:vAlign w:val="center"/>
          </w:tcPr>
          <w:p w14:paraId="368B8BFD">
            <w:pPr>
              <w:snapToGrid w:val="0"/>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箱体：长×宽×高≥1220×750×900mm，304不锈钢材质，厚度3mm，单工位操作。箱体底部配有支架，旋转脚轮，可微调水平，配有用于压力调节的脚踏板。</w:t>
            </w:r>
          </w:p>
          <w:p w14:paraId="66D9DD68">
            <w:pPr>
              <w:keepNext w:val="0"/>
              <w:keepLines w:val="0"/>
              <w:widowControl/>
              <w:suppressLineNumbers w:val="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b/>
                <w:bCs/>
                <w:color w:val="auto"/>
                <w:sz w:val="24"/>
                <w:szCs w:val="24"/>
                <w:highlight w:val="none"/>
              </w:rPr>
              <w:t>▲</w:t>
            </w:r>
            <w:r>
              <w:rPr>
                <w:rFonts w:hint="eastAsia" w:ascii="宋体" w:hAnsi="宋体" w:eastAsia="宋体" w:cs="宋体"/>
                <w:color w:val="auto"/>
                <w:kern w:val="0"/>
                <w:sz w:val="24"/>
                <w:szCs w:val="24"/>
                <w:highlight w:val="none"/>
              </w:rPr>
              <w:t>玻璃视窗采用实芯O型密封圈（真空密封方式）法兰视窗结构，法兰采用整体厚板切割成整体矩形环状，密封槽为方形凹槽，实芯密封圈安装方式为嵌入密封槽内安装，实芯O型圈直径不低于7mm，密封支撑面及密封槽底面平面度＜0.1毫米/米，达到无泄漏。</w:t>
            </w:r>
            <w:r>
              <w:rPr>
                <w:rFonts w:hint="eastAsia" w:ascii="宋体" w:hAnsi="宋体" w:eastAsia="宋体" w:cs="宋体"/>
                <w:color w:val="auto"/>
                <w:kern w:val="0"/>
                <w:sz w:val="24"/>
                <w:szCs w:val="24"/>
                <w:highlight w:val="none"/>
                <w:lang w:val="en-US" w:eastAsia="zh-CN"/>
              </w:rPr>
              <w:t>密封方式不能为</w:t>
            </w:r>
            <w:r>
              <w:rPr>
                <w:rFonts w:hint="eastAsia" w:ascii="宋体" w:hAnsi="宋体" w:eastAsia="宋体" w:cs="宋体"/>
                <w:color w:val="auto"/>
                <w:kern w:val="0"/>
                <w:sz w:val="24"/>
                <w:szCs w:val="24"/>
                <w:highlight w:val="none"/>
              </w:rPr>
              <w:t>空芯密封圈粘贴在箱体折弯支撑面的密封方式。实芯O型密封圈为单层密封圈，</w:t>
            </w:r>
            <w:r>
              <w:rPr>
                <w:rFonts w:hint="eastAsia" w:ascii="宋体" w:hAnsi="宋体" w:eastAsia="宋体" w:cs="宋体"/>
                <w:color w:val="auto"/>
                <w:kern w:val="0"/>
                <w:sz w:val="24"/>
                <w:szCs w:val="24"/>
                <w:highlight w:val="none"/>
                <w:lang w:val="en-US" w:eastAsia="zh-CN"/>
              </w:rPr>
              <w:t>确保无泄漏，</w:t>
            </w:r>
            <w:r>
              <w:rPr>
                <w:rFonts w:hint="eastAsia" w:ascii="宋体" w:hAnsi="宋体" w:eastAsia="宋体" w:cs="宋体"/>
                <w:color w:val="auto"/>
                <w:kern w:val="0"/>
                <w:sz w:val="24"/>
                <w:szCs w:val="24"/>
                <w:highlight w:val="none"/>
              </w:rPr>
              <w:t>无需加装装饰板。</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提供承诺函，加盖投标人公章</w:t>
            </w:r>
            <w:r>
              <w:rPr>
                <w:rFonts w:hint="eastAsia" w:ascii="宋体" w:hAnsi="宋体" w:cs="宋体"/>
                <w:b/>
                <w:bCs/>
                <w:color w:val="auto"/>
                <w:kern w:val="0"/>
                <w:sz w:val="24"/>
                <w:szCs w:val="24"/>
                <w:highlight w:val="none"/>
                <w:lang w:eastAsia="zh-CN"/>
              </w:rPr>
              <w:t>）</w:t>
            </w:r>
          </w:p>
          <w:p w14:paraId="0FAE02CC">
            <w:pPr>
              <w:keepNext w:val="0"/>
              <w:keepLines w:val="0"/>
              <w:widowControl/>
              <w:suppressLineNumbers w:val="0"/>
              <w:jc w:val="left"/>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color w:val="auto"/>
                <w:kern w:val="0"/>
                <w:sz w:val="24"/>
                <w:szCs w:val="24"/>
                <w:highlight w:val="none"/>
              </w:rPr>
              <w:t>过渡舱：箱体配有大、小过渡舱，为方便设备运输，过渡舱于箱体的连接方式均为可拆卸式法兰连接，不能焊接于箱体侧板。大过渡舱直径≤360mm，小过渡舱直径≤150mm。小过渡舱舱门开关采用水平卡扣式结构，</w:t>
            </w:r>
            <w:r>
              <w:rPr>
                <w:rFonts w:hint="eastAsia" w:ascii="宋体" w:hAnsi="宋体" w:eastAsia="宋体" w:cs="宋体"/>
                <w:color w:val="auto"/>
                <w:kern w:val="0"/>
                <w:sz w:val="24"/>
                <w:szCs w:val="24"/>
                <w:highlight w:val="none"/>
                <w:lang w:val="en-US" w:eastAsia="zh-CN"/>
              </w:rPr>
              <w:t>舱门开关结构应操作便捷、密封可靠</w:t>
            </w:r>
            <w:r>
              <w:rPr>
                <w:rFonts w:hint="eastAsia" w:ascii="宋体" w:hAnsi="宋体" w:eastAsia="宋体" w:cs="宋体"/>
                <w:color w:val="auto"/>
                <w:kern w:val="0"/>
                <w:sz w:val="24"/>
                <w:szCs w:val="24"/>
                <w:highlight w:val="none"/>
              </w:rPr>
              <w:t>。</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提供承诺函，加盖投标人公章</w:t>
            </w:r>
            <w:r>
              <w:rPr>
                <w:rFonts w:hint="eastAsia" w:ascii="宋体" w:hAnsi="宋体" w:cs="宋体"/>
                <w:b/>
                <w:bCs/>
                <w:color w:val="auto"/>
                <w:kern w:val="0"/>
                <w:sz w:val="24"/>
                <w:szCs w:val="24"/>
                <w:highlight w:val="none"/>
                <w:lang w:eastAsia="zh-CN"/>
              </w:rPr>
              <w:t>）</w:t>
            </w:r>
          </w:p>
          <w:p w14:paraId="04B77E96">
            <w:pPr>
              <w:snapToGrid w:val="0"/>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气体净化系统：净化材料可再生，且再生过程通过PLC自动控制，自动除水除氧功能，可得气体纯度：水&lt;1ppm，氧&lt;1ppm。</w:t>
            </w:r>
          </w:p>
          <w:p w14:paraId="28047125">
            <w:pPr>
              <w:snapToGrid w:val="0"/>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eastAsia="宋体" w:cs="宋体"/>
                <w:b/>
                <w:bCs/>
                <w:color w:val="auto"/>
                <w:sz w:val="24"/>
                <w:szCs w:val="24"/>
                <w:highlight w:val="none"/>
              </w:rPr>
              <w:t>▲</w:t>
            </w:r>
            <w:r>
              <w:rPr>
                <w:rFonts w:hint="eastAsia" w:ascii="宋体" w:hAnsi="宋体" w:eastAsia="宋体" w:cs="宋体"/>
                <w:color w:val="auto"/>
                <w:kern w:val="0"/>
                <w:sz w:val="24"/>
                <w:szCs w:val="24"/>
                <w:highlight w:val="none"/>
              </w:rPr>
              <w:t>循环系统：风机流量≥90m</w:t>
            </w:r>
            <w:r>
              <w:rPr>
                <w:rFonts w:hint="eastAsia" w:ascii="宋体" w:hAnsi="宋体" w:eastAsia="宋体" w:cs="宋体"/>
                <w:color w:val="auto"/>
                <w:kern w:val="0"/>
                <w:sz w:val="24"/>
                <w:szCs w:val="24"/>
                <w:highlight w:val="none"/>
                <w:vertAlign w:val="superscript"/>
              </w:rPr>
              <w:t>3</w:t>
            </w:r>
            <w:r>
              <w:rPr>
                <w:rFonts w:hint="eastAsia" w:ascii="宋体" w:hAnsi="宋体" w:eastAsia="宋体" w:cs="宋体"/>
                <w:color w:val="auto"/>
                <w:kern w:val="0"/>
                <w:sz w:val="24"/>
                <w:szCs w:val="24"/>
                <w:highlight w:val="none"/>
              </w:rPr>
              <w:t>/h，加装变频控制</w:t>
            </w:r>
            <w:r>
              <w:rPr>
                <w:rFonts w:hint="eastAsia" w:ascii="宋体" w:hAnsi="宋体" w:cs="宋体"/>
                <w:color w:val="auto"/>
                <w:kern w:val="0"/>
                <w:sz w:val="24"/>
                <w:szCs w:val="24"/>
                <w:highlight w:val="none"/>
                <w:lang w:eastAsia="zh-CN"/>
              </w:rPr>
              <w:t>。</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提供承诺函，加盖投标人公章</w:t>
            </w:r>
            <w:r>
              <w:rPr>
                <w:rFonts w:hint="eastAsia" w:ascii="宋体" w:hAnsi="宋体" w:cs="宋体"/>
                <w:b/>
                <w:bCs/>
                <w:color w:val="auto"/>
                <w:kern w:val="0"/>
                <w:sz w:val="24"/>
                <w:szCs w:val="24"/>
                <w:highlight w:val="none"/>
                <w:lang w:eastAsia="zh-CN"/>
              </w:rPr>
              <w:t>）</w:t>
            </w:r>
          </w:p>
          <w:p w14:paraId="1A7ADFFC">
            <w:pPr>
              <w:snapToGrid w:val="0"/>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真空系统：真空泵抽速≥12m</w:t>
            </w:r>
            <w:r>
              <w:rPr>
                <w:rFonts w:hint="eastAsia" w:ascii="宋体" w:hAnsi="宋体" w:eastAsia="宋体" w:cs="宋体"/>
                <w:color w:val="auto"/>
                <w:kern w:val="0"/>
                <w:sz w:val="24"/>
                <w:szCs w:val="24"/>
                <w:highlight w:val="none"/>
                <w:vertAlign w:val="superscript"/>
              </w:rPr>
              <w:t>3</w:t>
            </w:r>
            <w:r>
              <w:rPr>
                <w:rFonts w:hint="eastAsia" w:ascii="宋体" w:hAnsi="宋体" w:eastAsia="宋体" w:cs="宋体"/>
                <w:color w:val="auto"/>
                <w:kern w:val="0"/>
                <w:sz w:val="24"/>
                <w:szCs w:val="24"/>
                <w:highlight w:val="none"/>
              </w:rPr>
              <w:t>/h，真空度可达2×10</w:t>
            </w:r>
            <w:r>
              <w:rPr>
                <w:rFonts w:hint="eastAsia" w:ascii="宋体" w:hAnsi="宋体" w:eastAsia="宋体" w:cs="宋体"/>
                <w:color w:val="auto"/>
                <w:kern w:val="0"/>
                <w:sz w:val="24"/>
                <w:szCs w:val="24"/>
                <w:highlight w:val="none"/>
                <w:vertAlign w:val="superscript"/>
              </w:rPr>
              <w:t>-3</w:t>
            </w:r>
            <w:r>
              <w:rPr>
                <w:rFonts w:hint="eastAsia" w:ascii="宋体" w:hAnsi="宋体" w:eastAsia="宋体" w:cs="宋体"/>
                <w:color w:val="auto"/>
                <w:kern w:val="0"/>
                <w:sz w:val="24"/>
                <w:szCs w:val="24"/>
                <w:highlight w:val="none"/>
              </w:rPr>
              <w:t>mbar，配装油雾过滤器。</w:t>
            </w:r>
          </w:p>
          <w:p w14:paraId="2BD9E79F">
            <w:pPr>
              <w:snapToGrid w:val="0"/>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控制系统：通过PLC自动控制，触摸屏显示，实现自诊断、断电自启动、循环等功能。</w:t>
            </w:r>
          </w:p>
          <w:p w14:paraId="1D3C26CC">
            <w:pPr>
              <w:keepNext w:val="0"/>
              <w:keepLines w:val="0"/>
              <w:widowControl/>
              <w:suppressLineNumbers w:val="0"/>
              <w:jc w:val="left"/>
              <w:rPr>
                <w:rFonts w:hint="eastAsia" w:ascii="宋体" w:hAnsi="宋体" w:eastAsia="宋体" w:cs="宋体"/>
                <w:b/>
                <w:bCs/>
                <w:color w:val="auto"/>
                <w:kern w:val="0"/>
                <w:sz w:val="24"/>
                <w:szCs w:val="24"/>
                <w:highlight w:val="none"/>
              </w:rPr>
            </w:pPr>
            <w:r>
              <w:rPr>
                <w:rFonts w:hint="eastAsia" w:ascii="宋体" w:hAnsi="宋体" w:cs="宋体"/>
                <w:color w:val="auto"/>
                <w:kern w:val="0"/>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color w:val="auto"/>
                <w:kern w:val="0"/>
                <w:sz w:val="24"/>
                <w:szCs w:val="24"/>
                <w:highlight w:val="none"/>
              </w:rPr>
              <w:t>水分析仪：测量范围是0～500ppm，采用五氧化二磷</w:t>
            </w:r>
            <w:r>
              <w:rPr>
                <w:rFonts w:hint="eastAsia" w:ascii="宋体" w:hAnsi="宋体" w:eastAsia="宋体" w:cs="宋体"/>
                <w:color w:val="auto"/>
                <w:kern w:val="0"/>
                <w:sz w:val="24"/>
                <w:szCs w:val="24"/>
                <w:highlight w:val="none"/>
                <w:lang w:val="en-US" w:eastAsia="zh-CN"/>
              </w:rPr>
              <w:t>等成熟可靠的</w:t>
            </w:r>
            <w:r>
              <w:rPr>
                <w:rFonts w:hint="eastAsia" w:ascii="宋体" w:hAnsi="宋体" w:eastAsia="宋体" w:cs="宋体"/>
                <w:color w:val="auto"/>
                <w:kern w:val="0"/>
                <w:sz w:val="24"/>
                <w:szCs w:val="24"/>
                <w:highlight w:val="none"/>
              </w:rPr>
              <w:t>传感器，水探头可以通过清洗再生程序恢复初始状态，可重复使用。</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提供承诺函，加盖投标人公章</w:t>
            </w:r>
            <w:r>
              <w:rPr>
                <w:rFonts w:hint="eastAsia" w:ascii="宋体" w:hAnsi="宋体" w:cs="宋体"/>
                <w:b/>
                <w:bCs/>
                <w:color w:val="auto"/>
                <w:kern w:val="0"/>
                <w:sz w:val="24"/>
                <w:szCs w:val="24"/>
                <w:highlight w:val="none"/>
                <w:lang w:eastAsia="zh-CN"/>
              </w:rPr>
              <w:t>）</w:t>
            </w:r>
          </w:p>
          <w:p w14:paraId="5FFE79CE">
            <w:pPr>
              <w:snapToGrid w:val="0"/>
              <w:ind w:left="0" w:leftChars="0" w:right="0" w:rightChars="0" w:firstLine="0" w:firstLineChars="0"/>
              <w:jc w:val="left"/>
              <w:rPr>
                <w:rFonts w:hint="eastAsia" w:ascii="宋体" w:hAnsi="宋体" w:eastAsia="宋体" w:cs="宋体"/>
                <w:b/>
                <w:bCs/>
                <w:color w:val="auto"/>
                <w:kern w:val="0"/>
                <w:sz w:val="24"/>
                <w:szCs w:val="24"/>
                <w:highlight w:val="none"/>
              </w:rPr>
            </w:pPr>
            <w:r>
              <w:rPr>
                <w:rFonts w:hint="eastAsia" w:ascii="宋体" w:hAnsi="宋体" w:cs="宋体"/>
                <w:color w:val="auto"/>
                <w:kern w:val="0"/>
                <w:sz w:val="24"/>
                <w:szCs w:val="24"/>
                <w:highlight w:val="none"/>
                <w:lang w:val="en-US" w:eastAsia="zh-CN"/>
              </w:rPr>
              <w:t>9、</w:t>
            </w:r>
            <w:r>
              <w:rPr>
                <w:rFonts w:hint="eastAsia" w:ascii="宋体" w:hAnsi="宋体" w:eastAsia="宋体" w:cs="宋体"/>
                <w:b/>
                <w:bCs/>
                <w:color w:val="auto"/>
                <w:sz w:val="24"/>
                <w:szCs w:val="24"/>
                <w:highlight w:val="none"/>
              </w:rPr>
              <w:t>▲</w:t>
            </w:r>
            <w:r>
              <w:rPr>
                <w:rFonts w:hint="eastAsia" w:ascii="宋体" w:hAnsi="宋体" w:eastAsia="宋体" w:cs="宋体"/>
                <w:color w:val="auto"/>
                <w:kern w:val="0"/>
                <w:sz w:val="24"/>
                <w:szCs w:val="24"/>
                <w:highlight w:val="none"/>
              </w:rPr>
              <w:t>氧分析仪：测量范围是0～1000ppm，采用二氧化锆</w:t>
            </w:r>
            <w:r>
              <w:rPr>
                <w:rFonts w:hint="eastAsia" w:ascii="宋体" w:hAnsi="宋体" w:cs="宋体"/>
                <w:color w:val="auto"/>
                <w:kern w:val="0"/>
                <w:sz w:val="24"/>
                <w:szCs w:val="24"/>
                <w:highlight w:val="none"/>
                <w:lang w:val="en-US" w:eastAsia="zh-CN"/>
              </w:rPr>
              <w:t>等成熟可靠的</w:t>
            </w:r>
            <w:r>
              <w:rPr>
                <w:rFonts w:hint="eastAsia" w:ascii="宋体" w:hAnsi="宋体" w:eastAsia="宋体" w:cs="宋体"/>
                <w:color w:val="auto"/>
                <w:kern w:val="0"/>
                <w:sz w:val="24"/>
                <w:szCs w:val="24"/>
                <w:highlight w:val="none"/>
              </w:rPr>
              <w:t>传感器。</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提供承诺函，加盖投标人公章</w:t>
            </w:r>
            <w:r>
              <w:rPr>
                <w:rFonts w:hint="eastAsia" w:ascii="宋体" w:hAnsi="宋体" w:cs="宋体"/>
                <w:b/>
                <w:bCs/>
                <w:color w:val="auto"/>
                <w:kern w:val="0"/>
                <w:sz w:val="24"/>
                <w:szCs w:val="24"/>
                <w:highlight w:val="none"/>
                <w:lang w:eastAsia="zh-CN"/>
              </w:rPr>
              <w:t>）</w:t>
            </w:r>
          </w:p>
          <w:p w14:paraId="43D18C18">
            <w:pPr>
              <w:snapToGrid w:val="0"/>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箱内有机溶剂吸附器：放置在箱体内部，与主循环管道相联，循环气体可首先通过吸附器，吸附有机溶剂。可快速更换吸附材料并且箱内不破坏高纯气氛。</w:t>
            </w:r>
          </w:p>
          <w:p w14:paraId="1CFE2D60">
            <w:pPr>
              <w:snapToGrid w:val="0"/>
              <w:ind w:left="0" w:leftChars="0" w:right="0" w:rightChars="0" w:firstLine="0" w:firstLineChars="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rPr>
              <w:t>气体控制阀：不锈钢电磁集成阀座。</w:t>
            </w:r>
          </w:p>
          <w:p w14:paraId="00279EF9">
            <w:pPr>
              <w:snapToGrid w:val="0"/>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rPr>
              <w:t>12、</w:t>
            </w:r>
            <w:r>
              <w:rPr>
                <w:rFonts w:hint="eastAsia" w:ascii="宋体" w:hAnsi="宋体" w:eastAsia="宋体" w:cs="宋体"/>
                <w:b/>
                <w:bCs/>
                <w:color w:val="auto"/>
                <w:sz w:val="24"/>
                <w:szCs w:val="24"/>
                <w:highlight w:val="none"/>
              </w:rPr>
              <w:t>▲</w:t>
            </w:r>
            <w:r>
              <w:rPr>
                <w:rFonts w:hint="eastAsia" w:ascii="宋体" w:hAnsi="宋体" w:eastAsia="宋体" w:cs="宋体"/>
                <w:color w:val="auto"/>
                <w:kern w:val="0"/>
                <w:sz w:val="24"/>
                <w:szCs w:val="24"/>
                <w:highlight w:val="none"/>
              </w:rPr>
              <w:t>耐压测试：在动力电路导线和保护联结电路之前施加50Hz、1000V试验电压，试验保持时间大于1S，不应出现击穿放电现象</w:t>
            </w:r>
            <w:r>
              <w:rPr>
                <w:rFonts w:hint="eastAsia" w:ascii="宋体" w:hAnsi="宋体" w:cs="宋体"/>
                <w:color w:val="auto"/>
                <w:kern w:val="0"/>
                <w:sz w:val="24"/>
                <w:szCs w:val="24"/>
                <w:highlight w:val="none"/>
                <w:lang w:eastAsia="zh-CN"/>
              </w:rPr>
              <w:t>。</w:t>
            </w:r>
            <w:r>
              <w:rPr>
                <w:rFonts w:hint="eastAsia" w:ascii="宋体" w:hAnsi="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需提供具有认证资质的检测机构出具的检测报告</w:t>
            </w:r>
            <w:r>
              <w:rPr>
                <w:rFonts w:hint="eastAsia" w:ascii="宋体" w:hAnsi="宋体" w:cs="宋体"/>
                <w:b/>
                <w:bCs/>
                <w:color w:val="auto"/>
                <w:kern w:val="0"/>
                <w:sz w:val="24"/>
                <w:szCs w:val="24"/>
                <w:highlight w:val="none"/>
                <w:lang w:val="en-US" w:eastAsia="zh-CN"/>
              </w:rPr>
              <w:t>扫描件，加盖投标人公章</w:t>
            </w: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eastAsia="zh-CN"/>
              </w:rPr>
              <w:t>）</w:t>
            </w:r>
          </w:p>
        </w:tc>
      </w:tr>
      <w:tr w14:paraId="2B0C117B">
        <w:tblPrEx>
          <w:tblCellMar>
            <w:top w:w="0" w:type="dxa"/>
            <w:left w:w="108" w:type="dxa"/>
            <w:bottom w:w="0" w:type="dxa"/>
            <w:right w:w="108" w:type="dxa"/>
          </w:tblCellMar>
        </w:tblPrEx>
        <w:trPr>
          <w:trHeight w:val="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7E72498D">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3F2F35A1">
            <w:pPr>
              <w:snapToGrid w:val="0"/>
              <w:ind w:left="0" w:leftChars="0" w:right="0" w:rightChars="0" w:firstLine="0" w:firstLineChars="0"/>
              <w:jc w:val="left"/>
              <w:rPr>
                <w:rFonts w:hint="eastAsia" w:ascii="宋体" w:hAnsi="宋体" w:eastAsia="宋体" w:cs="宋体"/>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FE2FA7">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扣电封口机</w:t>
            </w:r>
          </w:p>
        </w:tc>
        <w:tc>
          <w:tcPr>
            <w:tcW w:w="5384" w:type="dxa"/>
            <w:tcBorders>
              <w:top w:val="single" w:color="000000" w:sz="4" w:space="0"/>
              <w:left w:val="single" w:color="000000" w:sz="4" w:space="0"/>
              <w:bottom w:val="single" w:color="000000" w:sz="4" w:space="0"/>
              <w:right w:val="single" w:color="000000" w:sz="4" w:space="0"/>
            </w:tcBorders>
            <w:vAlign w:val="center"/>
          </w:tcPr>
          <w:p w14:paraId="270456C5">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采用液压千斤顶驱动，实现对纽扣电池的封装和拆壳工艺。标准配置封口模具可用于CR2016、CR2025、CR2032 等直径为20mm 的系列扣式电池的封口，如对其他直径的纽扣电池（如CR2450、CR1620 等）进行封口，只需选购相应的模具即可。同时也可选购拆卸模具，用于纽扣电池封口后，完整拆卸正负极电池壳，方便对电池内部材料的样本摄取进行研究分析。</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1、功能特点</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1)液压缸驱动模具进行纽扣电池封口，增力手柄操作省力；</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小巧轻便，可方便地通过手套箱过渡仓，在水氧控制的手套箱内使用；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2)精密的模具设计保证封口成型的精确可靠，封口品质优异，使用寿命长；</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3)配置不同模具可封装和拆卸不同规格的钮扣电池，实现一机多用；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4)纯手动运作，无需用电用气，方便易用；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2、技术参数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1)使用环境：干燥房或手套箱</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2)适用范围：直径φ5.0-φ35mm/高度Max：10mm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3)封口压力：不同直径的电池压力可调，本机出厂时未有特殊要求将设定为CR20系列纽扣电池封装的最佳压力：50kg/cm2~60kg/cm2</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4)封口行程：20mm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5)操作手柄：纽扣电池封口操作手柄压力小于6Kg</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6)封口模具：标配CR20系列封装模具，可选配或增配其它规格</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7)拆壳模具：可选配CR16、CR20、CR24、CR30 或直径φ13mm~φ35mm/高度Max：10mm 的非标定制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8)设备尺寸：L230mm*W180mm*H330mm</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重量：约27Kg</w:t>
            </w:r>
          </w:p>
        </w:tc>
      </w:tr>
      <w:tr w14:paraId="72ABDAB3">
        <w:tblPrEx>
          <w:tblCellMar>
            <w:top w:w="0" w:type="dxa"/>
            <w:left w:w="108" w:type="dxa"/>
            <w:bottom w:w="0" w:type="dxa"/>
            <w:right w:w="108" w:type="dxa"/>
          </w:tblCellMar>
        </w:tblPrEx>
        <w:trPr>
          <w:trHeight w:val="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173F632C">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D0BA5D9">
            <w:pPr>
              <w:snapToGrid w:val="0"/>
              <w:ind w:left="0" w:leftChars="0" w:right="0" w:rightChars="0" w:firstLine="0" w:firstLineChars="0"/>
              <w:jc w:val="left"/>
              <w:rPr>
                <w:rFonts w:hint="eastAsia" w:ascii="宋体" w:hAnsi="宋体" w:eastAsia="宋体" w:cs="宋体"/>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84DCF9">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电化学工作站</w:t>
            </w:r>
          </w:p>
        </w:tc>
        <w:tc>
          <w:tcPr>
            <w:tcW w:w="5384" w:type="dxa"/>
            <w:tcBorders>
              <w:top w:val="single" w:color="000000" w:sz="4" w:space="0"/>
              <w:left w:val="single" w:color="000000" w:sz="4" w:space="0"/>
              <w:bottom w:val="single" w:color="000000" w:sz="4" w:space="0"/>
              <w:right w:val="single" w:color="000000" w:sz="4" w:space="0"/>
            </w:tcBorders>
            <w:vAlign w:val="center"/>
          </w:tcPr>
          <w:p w14:paraId="2A0B3B8A">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一、实验参数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1.CV和LSV扫描速度：0.000001V/s至10,000V/s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2.扫描时的电位增量：0.1mV（当扫速为1,000V/s时）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3.CA和CC的脉冲宽度：0.0001至1000sec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4.CA和CC的最小采样间隔：0.4ms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5.CC模拟积分器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6.DPV和NPV的脉冲宽度：0.001至10sec</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7.SWV频率：1Hz至100kHz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8.i-t的最小采样间隔：0.4ms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9.ACV频率范围：0.1Hz至10kHz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10.SHACV频率范围：0.1Hz至5kHz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11.FTACV频率范围：0.1Hz至50Hz，可同时获取基波，二次谐波，三次谐波，四次谐波，五次谐波，六次谐波的ACV数据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12.交流阻抗：0.00001Hz至3MHz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13.交流阻抗波形幅度：0.00001V至0.7V均方根值</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二、其他特点</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1.自动或手动iR降补偿（正反馈和电流中断法）</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2.电流测量偏置：满量程，16位分辨，0.003%准确度</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3.电位测量偏置：±10V，16位分辨，0.003%准确度</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4.外部电位输入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5.电位和电流的模拟输出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6.可控电位滤波器的截止频率：1.5MHz，150KHz，15KHz，1.5KHz，150Hz，15Hz，1.5Hz， 0.15Hz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7.可控信号滤波器的截止频率：1.5MHz，150KHz，15KHz，1.5KHz，150Hz，15Hz，1.5Hz， 0.15Hz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8.旋转电极控制电压输出：</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9.0-10V对用于0-10000rpm的转速，16位分辨，0.003%准确度，需要某些旋转电极装置才能工作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10.通过宏命令可以控制数字输入输出线</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11.内闪存储器可迅速更新程序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12.USB口数据通讯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13.电解池控制：通氮，搅拌，敲击（需要特殊电解池系统）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14.CV数字模拟器和拟合器。用户定义反应机理</w:t>
            </w:r>
            <w:r>
              <w:rPr>
                <w:rFonts w:hint="eastAsia" w:ascii="宋体" w:hAnsi="宋体" w:eastAsia="宋体" w:cs="宋体"/>
                <w:color w:val="auto"/>
                <w:sz w:val="24"/>
                <w:szCs w:val="24"/>
                <w:highlight w:val="none"/>
              </w:rPr>
              <w:t>或预定义反应机理（其他型号）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15.交流阻抗模拟器和拟合器（具有交流阻抗测量功能的型号）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16.最大数据长度：256K-16384K可选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17.仪器尺寸： 37 cm (宽) ´ 23   cm (深) ´ 12   cm (高)</w:t>
            </w:r>
          </w:p>
        </w:tc>
      </w:tr>
      <w:tr w14:paraId="1AF14F33">
        <w:tblPrEx>
          <w:tblCellMar>
            <w:top w:w="0" w:type="dxa"/>
            <w:left w:w="108" w:type="dxa"/>
            <w:bottom w:w="0" w:type="dxa"/>
            <w:right w:w="108" w:type="dxa"/>
          </w:tblCellMar>
        </w:tblPrEx>
        <w:trPr>
          <w:trHeight w:val="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03D178AD">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40E4085">
            <w:pPr>
              <w:snapToGrid w:val="0"/>
              <w:ind w:left="0" w:leftChars="0" w:right="0" w:rightChars="0" w:firstLine="0" w:firstLineChars="0"/>
              <w:jc w:val="left"/>
              <w:rPr>
                <w:rFonts w:hint="eastAsia" w:ascii="宋体" w:hAnsi="宋体" w:eastAsia="宋体" w:cs="宋体"/>
                <w:color w:val="auto"/>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E515E2">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电池</w:t>
            </w:r>
            <w:r>
              <w:rPr>
                <w:rFonts w:hint="eastAsia" w:ascii="宋体" w:hAnsi="宋体" w:eastAsia="宋体" w:cs="宋体"/>
                <w:color w:val="auto"/>
                <w:sz w:val="24"/>
                <w:szCs w:val="24"/>
                <w:highlight w:val="none"/>
              </w:rPr>
              <w:t>测试仪</w:t>
            </w:r>
          </w:p>
        </w:tc>
        <w:tc>
          <w:tcPr>
            <w:tcW w:w="5384" w:type="dxa"/>
            <w:tcBorders>
              <w:top w:val="single" w:color="000000" w:sz="4" w:space="0"/>
              <w:left w:val="single" w:color="000000" w:sz="4" w:space="0"/>
              <w:bottom w:val="single" w:color="000000" w:sz="4" w:space="0"/>
              <w:right w:val="single" w:color="000000" w:sz="4" w:space="0"/>
            </w:tcBorders>
            <w:vAlign w:val="center"/>
          </w:tcPr>
          <w:p w14:paraId="6A29ECC9">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1、输入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功率：30W</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电源：AC220V50HZ/110V60HZ</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阻抗：≥1GΩ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2、电压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量程：5V</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输出范围：充电：-5V～5V，放电：-5V～5V</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精度：±0.05%FS（满量程）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分辨率：5位有效数字（自动）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3、电流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量程：分类一5V1&amp;5&amp;10&amp;20mA8C1U；</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分类二5V5&amp;20&amp;50&amp;100mA8C1U；</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分类三5V20&amp;100&amp;200&amp;500mA8C1U（可选）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输出范围：充电：1‰～100%满量程，放电：1‰～100%满量程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精度：±0.05%FS（满量程）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精度：5位有效数字（自动）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4、输出方式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四电极（支持参比电极测试）</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5、恒功率</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精度：±0.1%FS（控制），±0.1%FS（测量）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6、恒阻</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精度：±0.1%FS（控制），±0.1%FS（测量）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7、计算机系统时间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±1秒（无累计误差）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8、数据记录</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时间变化△t：20ms～7200s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电压变化△U：2mV～5V</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电流变化△I：2uA～2000A</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9、时间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电流响应时间：&lt;5ms（10%～90%）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设备采样时间：100ms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10、充电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充电模式：恒流充电、恒压充电、恒流恒压充电、恒功率充电、恒阻充电、倍率充电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截止条件：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——主通道：步骤时间、电压、电流、容量、能量、-DV、充放循环、tx、Cx、N1、N2、电流倍率、库伦效率、容量保持率</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——辅助通道：温度、电压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11、放电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放电模式：恒流放电、恒压放电、恒功率放电、恒阻放电、倍率放电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截止条件：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——主通道：步骤时间、电压、电流、容量、能量、-DV、充放循环、tx、Cx、N1、N2、电流倍率、库伦效率、容量保持率</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——辅助通道：温度、电压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12、充放电切换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延迟时间：&lt;10ms</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DCIR测试：支持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13、保护条件：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电压保护：过压保护、欠压保护</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电流保护：充电电流保护、放电电流保护</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容量保护：充电容量保护、放电容量保护</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变化趋势保护：</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——恒流充电时，监控电压保护（不能下降）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——恒流放电时，监控电压保护（不能上升）</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——恒压充电时，监控电流保护（不能上升）</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关联通道保护：电压辅助通道最大电压、最小电压保护；温度辅助通道最大温度、最小温度保护</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14、循环：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——循环次数：1～65000次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工步总数：1100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循环嵌套：最大支持3层嵌套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15、通道数：8</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16、应用范围：可用于锂电池材料及超级电容等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17、通道控制模式：每个通道可检测不同型号的电池，并完全独立工作于不同的模式，互不影响。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18、通道特点：有独立的硬件恒流源和恒压源、支持掉电保护、支持在线修正电流、电压精度，实现用户“边测试，边校准”。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19、噪声：&lt;50dB</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20、上位机通讯方式：串口通讯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21、通讯接口：串口</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22、每通道可带辅助通道数：32</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23、数据导出格式：EXCEL、TXT、CSV</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24、环境要求：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——温度范围：-10~50℃（23±2℃最佳精度）</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——湿度范围：≤95% 无凝露</w:t>
            </w:r>
          </w:p>
        </w:tc>
      </w:tr>
      <w:tr w14:paraId="0D4907FB">
        <w:tblPrEx>
          <w:tblCellMar>
            <w:top w:w="0" w:type="dxa"/>
            <w:left w:w="108" w:type="dxa"/>
            <w:bottom w:w="0" w:type="dxa"/>
            <w:right w:w="108" w:type="dxa"/>
          </w:tblCellMar>
        </w:tblPrEx>
        <w:trPr>
          <w:trHeight w:val="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4915FB72">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150D98F2">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高密度聚乙烯虚拟仿真系统教学资源</w:t>
            </w:r>
          </w:p>
        </w:tc>
        <w:tc>
          <w:tcPr>
            <w:tcW w:w="0" w:type="auto"/>
            <w:tcBorders>
              <w:top w:val="single" w:color="000000" w:sz="4" w:space="0"/>
              <w:left w:val="single" w:color="000000" w:sz="4" w:space="0"/>
              <w:bottom w:val="single" w:color="000000" w:sz="4" w:space="0"/>
              <w:right w:val="single" w:color="000000" w:sz="4" w:space="0"/>
            </w:tcBorders>
            <w:vAlign w:val="center"/>
          </w:tcPr>
          <w:p w14:paraId="2CEC571E">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高密度聚乙烯虚拟仿真系统教学资源</w:t>
            </w:r>
          </w:p>
        </w:tc>
        <w:tc>
          <w:tcPr>
            <w:tcW w:w="5384" w:type="dxa"/>
            <w:tcBorders>
              <w:top w:val="single" w:color="000000" w:sz="4" w:space="0"/>
              <w:left w:val="single" w:color="000000" w:sz="4" w:space="0"/>
              <w:bottom w:val="single" w:color="000000" w:sz="4" w:space="0"/>
              <w:right w:val="single" w:color="000000" w:sz="4" w:space="0"/>
            </w:tcBorders>
            <w:vAlign w:val="center"/>
          </w:tcPr>
          <w:p w14:paraId="1EC4DCEC">
            <w:pPr>
              <w:snapToGrid w:val="0"/>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1.内容</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此生产装置操作员仿真培训系统，具体技术及质量要求如下：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2.仿真模拟范围和开发模式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2.1.仿真模拟范围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本项目聚乙烯装置仿真培训系统要求采用定制模式建设，以生产装置的处理量、P&amp;ID图（管道及仪表流程图）、质量和能量平衡数据、控制系统（DCS、CCS、SIS和ESD等）、复杂设备操作、装置操作规程等为基础，按照实际装置的工艺、设备、控制系统（DCS、SIS、CCS等）、化工过程原理、质量及能量平衡、机械设备工作原理等进行全流程的1:1定制仿真模拟开发。</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仿真模拟范围应包括但不限于如下内容：</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①　工艺动态仿真模型；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②　控制系统仿真模型（DCS、SIS、ITCC等）；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③　现场操作仿真模型（二维仿真界面）；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④　操作指导及评价模型；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⑤　仿真模拟工况。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所有开停车、事故处理所涉及的管线及设备都在仿真范围之内，部分对于涉及事故处理和更改流程的手阀应做入仿真范围之内。特殊设备需要进行特殊仿真处理，如机组系统需要进行包含油、水、汽系统以及独立控制系统的详细模拟。部分细节导淋等不必要的管线及设备将不进行仿真。装置外的公用工程以界区条件形式提供，并提供相应的故障仿真。具体详细内容由技术人员在详细功能设计审查会上确定。</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2.2.工艺仿真范围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本项目聚乙烯生产装置工艺仿真范围具体内容如下：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范围包括聚合、离心、粉料干燥，乙烯精制、己烷精制、丁烯回收，蜡回收、公用工程、凝液及蒸汽、尾气系统、TEAL存储与卸料、废水废气。</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2.3.仿真开发模式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本项目聚乙烯装置仿真培训系统应采用“分工段+全流程”的开发模式，根据装置的工艺流程特点及招标人应用需求将装置先按工段进行分段开发，再将所有工段合并为全流程，所开发完成的装置仿真培训系统将包含多个工段级仿真和一个装置级全流程仿真。在应用时既可进行单人单工段的独立仿真培训，又可进行多人班组的全流程仿真培训；既可多台学员站运行同一工段或全流程仿真软件，也可以每台学员站运行不同工段仿真，以达到最高的培训效率和最好的培训效果。具体分工段设置在项目实施阶段由招标人技术人员确认。</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3.仿真培训系统模型性能要求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OTS仿真培训系统应至少包含工艺动态数学模型、控制系统仿真模型、现场操作模型和操作指导评价模型等四个模块内容，各部分内容基本性能要求如下：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3.1.动态工艺仿真模型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动态工艺仿真模型应以聚乙烯装置的处理量、P&amp;ID图（管道及仪表流程图）、DCS控制系统、SIS、CCS、装置操作法等技术资料为基准，按照装置实际的工艺流程、正常生产物料和能量数据、操作法、设备操作规程、化工过程原理、设备工作原理、质量平衡、能量平衡等进行定制开发，应具有高模拟精度、全流程范围的严格机理模型，能系统性的高精度模拟实际装置在开车、停车、正常生产、异常处理等过程中的动态工艺过程和参数计算。</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动态工艺仿真模型的技术性能要求：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（1）实时性：模型实时反映装置变化，并保证模型运行速度有 1:1 以上的实时性。</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（2）稳定性：保证在每套系统最大运行负荷时，CPU负荷应低于50%；</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准确性：在稳态运行状态下，模型工艺参数的精度误差不超过读数的±2%，关键参数不超过±1%，在外界干扰或人为干扰条件下，参数动态响应的变化趋势与实际相符，少于或等于一分钟时，模型的瞬时误差保持在读数的±10%以内。超过一分钟时，模型的瞬时误差保持在读数的±5%以内；</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（4）连续性：在动态响应时，工艺参数的变化是连续化，没有突变和跳跃；</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（5）鲁棒性：在负荷接近乃至超出极限值的条件下，系统不发生溢出或停机等故障；模型在正常运行以及加速运行时，不出现模型运行异常现象。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（6）统一性：开车、停车、异常状况和设计态的模型都是一个统一的模型，可从冷态经过各种中间状态到达运行状态。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3.2.仿控制系统模型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控制系统仿真模型应以生产装置的DCS、SIS、CCS（机组专用）的系统型号、流程图画面、操作员功能界面为基准，逼真的模拟各种实际控制系统的人机界面和控制方案、实时数据库以及控制算法。所有重要的工艺测量，基于DCS、SIS、CCS的控制、计算、逻辑、顺序都在模拟范围内，所有基于PLC的跳闸、安全自保逻辑全部模拟，以保证学员操作环境的逼真度。</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控制系统仿真模型应能够逼真地模拟生产装置实际控制系统操作员站的全部界面显示和操作功能（具体以实际控制系统为准），包括但不限于以下：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 菜单画面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 流程图画面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（3）组画面（控制组、趋势组等）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（4）报警画面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 细目画面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 其他画面</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控制系统仿真模型的技术性能要求：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 逼真度：仿真操作界面与实际控制系统操作员站软件界面1:1仿真；</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 实时性：仿真操作站画面的更新时间不大于2秒，系统内数据传输通畅；</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3.3.现场操作仿真模型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现场操作仿真模型应以生产装置的P&amp;ID图（管道及仪表流程图）为基准，示意性地模拟生产装置中的启停机泵、开关阀门、现场仪表盘等各种就地操作和显示内容，并与控制系统仿真模型的流程图界面进行一一对应和双向切换，以保证学员操作环境的完整性，学员使用键盘鼠标即可实现全部操作内容和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3.4.操作指导评价模型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本项目提供的仿真培训系统应具备成熟、先进的操作指导评价模型，并应以招标人聚乙烯装置实际操作规程为基准，按操作步骤和过程进行操作指导和综合评价，并按照招标人的要求指定每个步骤和过程的评价权重和评价条件，实现针对单个学员和整个班组的每个仿真训练项目的操作过程进行科学、合理的操作过程指导和自动量化评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培训系统应针对每一个仿真训练项目具备对应的评分系统，操作评分系统应以招标人提供的装置操作规程为主要依据开发。评分系统须具备完善的学员仿真操作考核与鉴定功能，能够实现针对过程操作中的各项操作步骤、质量指标进行操作指导和科学客观的量化评价，包含对于违章操作、指标超限的评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评分系统应具备统计分析功能，能够对评分文件的步骤分、质量分、扣分项进行统计分析，并能够形成统计图表和重要指标曲线。对评分中的每个质量控制分均能够生成统计图表和指标曲线。</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为满足招标人不同层次水平员工的训练以及后期仿真培训系统应用于企业员工技能鉴定的需要，评分系统应能够在线进行质量分和步骤分比例设定，质量偏差控制调整，实现评分分级功能，使每个评分文件应具备初级、中级、高级（技能鉴定）三个等级。</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操作指导评价模型应具备以下功能：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辅助操作指导</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指导各装置仿真软件的操作人员按当前装置状态独立进行操作和训练。根据培训要求管理站可隐藏或显示辅助操作画面。操作指导分为两方面：对操作步骤的具体实现方法给出一个指导性的顺序说明；对操作指标质量给出关于这条质量指标的目标值、上下允许范围和评定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统计分析功能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操作指导评价模型应具备统计分析功能，能够对评分文件的步骤分、质量分、扣分项进行统计分析，并能够形成统计图表和重要指标曲线。对评分中的每个质量控制分均能够生成统计图表和指标曲线。</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操作过程及结果评定</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对操作人员的操作过程进行全程跟踪记录，评定操作过程和操作质量的合理性、准确度，从而得出操作成绩。每一个训练项目的评分都包括：操作步骤评分和操作质量评分（步骤分和质量分的权重系统可自由调整），重要指标控制以及超限扣分、重大失误评分等，所有评分项目都给出详细评定结果和依据。评分扣分项需显示扣分深层次的原因，尤其是有操作逻辑的，如联锁启动扣分，需显示本次触动联锁的原因（例如：加热炉熄火扣分，显示本次加热炉熄火的原因及扣分标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3.5.系统安全性和可靠性</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（1）▲仿真培训系统具有完全独立和专用的数据库结构设计和完善的数据保存机制，即使突发电力中断、计算机死机等故障，仿真培训系统依然能在不丢失数据的前提下正常退出。</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提供承诺函，加盖投标人公章</w:t>
            </w:r>
            <w:r>
              <w:rPr>
                <w:rFonts w:hint="eastAsia" w:ascii="宋体" w:hAnsi="宋体" w:cs="宋体"/>
                <w:b/>
                <w:bCs/>
                <w:color w:val="auto"/>
                <w:kern w:val="0"/>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（2）仿真培训系统具有充分的可靠性，系统各组成部分和整体的可用率</w:t>
            </w:r>
            <w:r>
              <w:rPr>
                <w:rFonts w:hint="eastAsia" w:ascii="宋体" w:hAnsi="宋体" w:cs="宋体"/>
                <w:color w:val="auto"/>
                <w:sz w:val="24"/>
                <w:szCs w:val="24"/>
                <w:highlight w:val="none"/>
                <w:lang w:val="en-US" w:eastAsia="zh-CN"/>
              </w:rPr>
              <w:t>不低于99.99</w:t>
            </w:r>
            <w:r>
              <w:rPr>
                <w:rFonts w:hint="eastAsia" w:ascii="宋体" w:hAnsi="宋体" w:eastAsia="宋体" w:cs="宋体"/>
                <w:color w:val="auto"/>
                <w:sz w:val="24"/>
                <w:szCs w:val="24"/>
                <w:highlight w:val="none"/>
              </w:rPr>
              <w:t>%，在任何操作条件下均能够至少连续运行72小时以上不出现跳出、死机等故障。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4.仿真训练项目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4.1 ▲仿真培训系统应按照每套装置的操作规程、异常处理方案和培训应用需求提供多种类型的仿真模拟工况（仿真培训项目）。本项目中聚乙烯装置仿真培训系统的仿真训练项目数量应不少于100个。</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提供承诺函，加盖投标人公章</w:t>
            </w:r>
            <w:r>
              <w:rPr>
                <w:rFonts w:hint="eastAsia" w:ascii="宋体" w:hAnsi="宋体" w:cs="宋体"/>
                <w:b/>
                <w:bCs/>
                <w:color w:val="auto"/>
                <w:kern w:val="0"/>
                <w:sz w:val="24"/>
                <w:szCs w:val="24"/>
                <w:highlight w:val="none"/>
                <w:lang w:eastAsia="zh-CN"/>
              </w:rPr>
              <w:t>）</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4.2 仿真训练项目应包含以下基本类型：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（1）车类工况（冷态开车、热态开车），可组合事故或干扰；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（2）停车类工况（正常停车、紧急停车），可组合事故或干扰；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（3）正常生产类工况（稳态生产类调节），可组合其他事故或干扰；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（4）事故类工况（特定事故、设备事故、仪表事故、自然灾害事故等）。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特定事故：指那些本装置所可能或曾经发生的典型事故，具有明确的事故处理程序，如停电、停水、停蒸汽等事故。</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设备事故：指工艺设备发生的故障，包括各种原因导致的泵坏、阀门卡、换热器结垢等。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仪表事故：指测量或控制仪表的显示失灵，如仪表显示不准、调节阀执行机构故障、联锁动作等。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装置来料物流异常事故：指在实际生产过程中，上游生产装置或公用工程的生产波动或异常，造成进入本装置物流工艺条件（流量、温度、压力等）异常变化的事故。仿真培训系统应能实现来料物流工艺条件（流量、温度、压力等）的变化（具备阶跃变化、斜坡变化、正弦曲线变化等），实现装置物流异常的事故模拟，并配套应急处置方案。物流异常应具备如下变化形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阶跃变化：物流工艺条件（流量、温度、压力等）瞬间变化至某一特定值，并可自由设定变化条件和目标值等。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斜坡变化：物流工艺条件（流量、温度、压力等）逐渐变化至某一特定值，并可自由设定变化条件、变化速率和目标值等。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震荡正弦变化：物流工艺条件（流量、温度、压力等）发生震荡正弦变化，并可自由设定变化条件、变化速率和振幅目标值等。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复合训练项目：应具备以正常开车、停车、正常运行和特定事故等基本工况为基础，与各种事故素材相结合的复合训练项目，即通过基本工况与事故素材的组合，实现包含各种数量和类型的事故、干扰的复合训练项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5.仿真培训系统运行支撑平台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5.1.仿真学员站培训功能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仿真学员站能够实现对OTS仿真培训系统软件全部内容的仿真操作、现场操作、仿真评分和系统基本功能的操作。为满足买方聚乙烯装置员工的日常培训和考核需要，学员站授权数量应不少于装置人数。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其包括如下主要功能：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（1）模型控制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模型冻结：模型暂停运行，其他软件组成部分也同时暂停；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模型解冻：恢复模型运行，其他软件组成部分也同时恢复；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（2）快门设置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快门设置：保存即刻运行的数据，快门名称以时间标识并可插入自定义；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快门重演：将已经存在的快门数据作为初始数据即刻运行；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（3）培训项目选择</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列表形式显示当前所有可用项目，并选择其中任一培训项目即刻运行。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（4）时标设置：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改变时标，即模型运行速度，0.25倍至4倍速运行（时标刻度为0.25）；</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（5）状态重放：</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仿真培训系统每2分钟自动记录一次快门（总计10个，循环记录），并保存于特定独立的路径下，可当作快门使用；</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（6）仿真操作：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装置开车、停车、调整、事故处理等训练项目的仿真操作，包括中控室内的DCS、SIS、CCS/ITCC等操作以及室外现场就地操作；</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5.2.仿真培训教员培训功能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培训教员端（IS）能够实现学员仿真培训的控制和监视功能，包括管理学员、设定仿真范围、设定仿真工况、设定事故、控制仿真培训系统运行、组织仿真培训及考核、管理学员成绩等功能。仿真培训教师可通过教员端进行有组织的仿真培训和考核工作，学员在培训教师的监管和指导下进行单人独立操作或班组联合操作，满足进行计划性的集中式仿真培训与考核任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查看和管理学员状态和数据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学员总览：以列表形式显示当前运行的学员站信息；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终止培训：终止部分或全部学员站软件运行并执行退出程序；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暂停运行：暂停和恢复学员站仿真软件运行；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学员站的冻结及解冻功能</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下发学员端仿真事故、下发事故历史管理</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复合培训：通过教师站管理软件，针对不同工种学员，可以同时启动3套及以上的仿真软件，供不同工种学员训练，并实时监控每个学员的考试成绩；</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仿真组卷：通过教师站管理软件，可以在装置仿真培训系统中选择3个及以上的训练项目组合成仿真试卷，并可设置每个训练项目的训练时间；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培训/考试策略：每个策略包含多个策略项，每个策略项包括装置、项目、</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DCS、评分等级、时间、加权、配置信息等。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成绩统计：统计当前运行学员站的学员标识，站号及成绩情况；</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保存评分：将学员站操作过程细目成绩保存到相应教室的指定路径下；</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评分全部终止：终止所有运行的学员站软件的评分运行，成绩锁定；</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师生交流：教师与学员间的文字聊天工具；</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6.系统运行和应用模式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6.1.系统的运行模式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OTS仿真培训系统应能够实现单机独立运行、机房局域网运行。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6.2.系统的操作模式</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OTS仿真培训系统应具备多种灵活的运行培训模式，满足复杂装置操作员单机训练和班组协同操作训练的需求：</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单人单机独立操作模式：每台学员站均可独立运行OTS仿真培训系统软件，独立选择仿真训练项目进行训练，彼此间模型运行的数据互不影响；</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班组联机协同操作模式：针对项目中工艺流程长、岗位较多装置，应能够实现OTS仿真培训系统多岗位联机协同操作模式，即多岗位学员通过连接一台模型服务器，各岗位学员站操作引起的工艺参数变化是相互影响的，从而实现整个班组的协同操作培训。协同操作模式应能够在招标人已有的网络培训平台上实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7.技术培训</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7.1.概述</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为了能有效地将知识转移给用户，投标方应为用户提供OTS仿真系统相应培训。培训课程应包括OTS应用培训、OTS教员培训，OTS维护培训三类，培训完成后应对培训效果进行评估并提供评估报告。</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仿真的内容和仿真软件的使用方法要求附带详细说明，含电子版和录屏课件，全程操作过程高分录屏课件等。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7.2.OTS应用培训</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用于训练出各装置合格的操作人员。应结合操作员现状分层次开展OTS应用培训，培训内容应包括OTS系统基本功能及OTS实践操作培训，且需结合各装置特点制定详细的培训计划及实施方案。</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7.3.OTS教员培训</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用于培养OTS培训教员，使其可以顺利开展相应装置的操作员培训，培训应包括教员站功能应用培训及相应装置软件应用包的操作培训。</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8.工作范围及供货清单</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供货商应向招标方提供生产装置仿真培训系统的工作和供货范围包括：整体设计、建模工程、软件培训、系统测试、系统集成、工厂验收（FAT）和现场验收（SAT），软件安装包、仿真运行支撑平台、安装、调试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8.1.工作范围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仿真培训系统开发项目的工作范围包括：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项目管理、组织、执行及报告；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为仿真培训软件开发项目准备一份书面的详细功能设计（FDS）文件；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开发、建立、验证、调整仿真培训系统模型，包括与招标方沟通获取相应的技术资料；</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在仿真培训软件中实现控制、安全保护的功能；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操作员站组态显示画面；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准备验收方案，执行DFS，FAT，SAT；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对招标人的系统维护人员做技术支持，包括教师培训、仿真培训系统使用与维护培训等；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提供相关文档资料，包括用户手册等。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按照ISO国际质量标准提供项目质量保证计划。</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对于此仿真系统项目，投标方应承诺负责以成套包建方式提供产品及相关服务。</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8.2.供货范围</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仿真培训软件的供货范围主要包括：</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仿真软件运行支撑平台及运行许可；</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生产装置仿真培训系统应用软件包及用户手册等；</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招标方对工作和供货范围的设计及制造的检查、评审、确认及验收等工作，目的是确保项目满足技术、质量和规定的要求，并不意味着将减少合同中所确定的技术规定及要求和减轻供货方的责任。投标方应承诺负责保证仿真培训系统的完整性。</w:t>
            </w:r>
          </w:p>
        </w:tc>
      </w:tr>
      <w:tr w14:paraId="767A939A">
        <w:tblPrEx>
          <w:tblCellMar>
            <w:top w:w="0" w:type="dxa"/>
            <w:left w:w="108" w:type="dxa"/>
            <w:bottom w:w="0" w:type="dxa"/>
            <w:right w:w="108" w:type="dxa"/>
          </w:tblCellMar>
        </w:tblPrEx>
        <w:trPr>
          <w:trHeight w:val="0" w:hRule="atLeast"/>
          <w:jc w:val="center"/>
        </w:trPr>
        <w:tc>
          <w:tcPr>
            <w:tcW w:w="818" w:type="dxa"/>
            <w:tcBorders>
              <w:top w:val="single" w:color="000000" w:sz="4" w:space="0"/>
              <w:left w:val="single" w:color="000000" w:sz="4" w:space="0"/>
              <w:bottom w:val="single" w:color="000000" w:sz="4" w:space="0"/>
              <w:right w:val="single" w:color="000000" w:sz="4" w:space="0"/>
            </w:tcBorders>
            <w:vAlign w:val="center"/>
          </w:tcPr>
          <w:p w14:paraId="6473B9D4">
            <w:pPr>
              <w:widowControl/>
              <w:snapToGrid w:val="0"/>
              <w:ind w:left="0" w:leftChars="0" w:right="0" w:rightChars="0" w:firstLine="0" w:firstLineChars="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1800" w:type="dxa"/>
            <w:tcBorders>
              <w:top w:val="single" w:color="000000" w:sz="4" w:space="0"/>
              <w:left w:val="single" w:color="000000" w:sz="4" w:space="0"/>
              <w:bottom w:val="single" w:color="000000" w:sz="4" w:space="0"/>
              <w:right w:val="single" w:color="000000" w:sz="4" w:space="0"/>
            </w:tcBorders>
            <w:vAlign w:val="center"/>
          </w:tcPr>
          <w:p w14:paraId="118875A1">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校企合作建设《化工单元操作》专业核心在线课程</w:t>
            </w:r>
          </w:p>
        </w:tc>
        <w:tc>
          <w:tcPr>
            <w:tcW w:w="1852" w:type="dxa"/>
            <w:tcBorders>
              <w:top w:val="single" w:color="000000" w:sz="4" w:space="0"/>
              <w:left w:val="single" w:color="000000" w:sz="4" w:space="0"/>
              <w:bottom w:val="single" w:color="000000" w:sz="4" w:space="0"/>
              <w:right w:val="single" w:color="000000" w:sz="4" w:space="0"/>
            </w:tcBorders>
            <w:vAlign w:val="center"/>
          </w:tcPr>
          <w:p w14:paraId="0150E038">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校企合作建设《化工单元操作》专业核心在线课程</w:t>
            </w:r>
          </w:p>
        </w:tc>
        <w:tc>
          <w:tcPr>
            <w:tcW w:w="5384" w:type="dxa"/>
            <w:tcBorders>
              <w:top w:val="single" w:color="000000" w:sz="4" w:space="0"/>
              <w:left w:val="single" w:color="000000" w:sz="4" w:space="0"/>
              <w:bottom w:val="single" w:color="000000" w:sz="4" w:space="0"/>
              <w:right w:val="single" w:color="000000" w:sz="4" w:space="0"/>
            </w:tcBorders>
            <w:vAlign w:val="center"/>
          </w:tcPr>
          <w:p w14:paraId="15D1707C">
            <w:pPr>
              <w:widowControl/>
              <w:numPr>
                <w:ilvl w:val="0"/>
                <w:numId w:val="6"/>
              </w:numPr>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开发内容</w:t>
            </w:r>
          </w:p>
          <w:p w14:paraId="37F75D23">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开发化工单元操作技术1门课程资源包，约1000分钟，约500秒动画；</w:t>
            </w:r>
          </w:p>
          <w:p w14:paraId="50C0250D">
            <w:pPr>
              <w:widowControl/>
              <w:numPr>
                <w:ilvl w:val="0"/>
                <w:numId w:val="6"/>
              </w:numPr>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开发要求</w:t>
            </w:r>
          </w:p>
          <w:p w14:paraId="5821A2E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课程概述</w:t>
            </w:r>
          </w:p>
          <w:p w14:paraId="470B7561">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职业教育在线精品课程课程概述要求准备。内容含基本信息、课程设计、课程建设、课程实施、教学环境、教学效果和特色创新之处等。5-10分钟视频，教师出镜不少于3分钟。课程负责人出镜，加动画效果和配乐包装</w:t>
            </w:r>
          </w:p>
          <w:p w14:paraId="4ECE83E6">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2.2微课视频</w:t>
            </w:r>
          </w:p>
          <w:p w14:paraId="2BEC32C5">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微课程要求以视频为主要载体，为围绕某个知识点/技能点内容展开、基于教学设计的学习资源。含片头、片尾、教师出镜拍摄、PPT、后期剪辑合成。</w:t>
            </w:r>
          </w:p>
          <w:p w14:paraId="0A97A25C">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（2）微课程内容应符合我国法律法规，尊重各民族的风俗习惯，版权不存在争议。</w:t>
            </w:r>
          </w:p>
          <w:p w14:paraId="016E0B16">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（3）每个微课程时长5-8分钟。教师出镜讲解及PPT画面文字应进行适当包装。</w:t>
            </w:r>
          </w:p>
          <w:p w14:paraId="20B7FED8">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（3）字幕应清晰美观，能正确有效地传达信息，使用符合国家标准的规范文字。</w:t>
            </w:r>
          </w:p>
          <w:p w14:paraId="3A101A79">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（4）视频要求图像清晰，声音和画面同步，播放时没有明显的噪点，播放流畅。</w:t>
            </w:r>
          </w:p>
          <w:p w14:paraId="74230FA7">
            <w:pPr>
              <w:widowControl/>
              <w:snapToGrid w:val="0"/>
              <w:ind w:left="0" w:leftChars="0" w:right="0" w:rightChars="0" w:firstLine="0" w:firstLineChars="0"/>
              <w:jc w:val="left"/>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（5）根据课程内容提供片头、片尾策划案例，时长5-10秒。</w:t>
            </w:r>
          </w:p>
          <w:p w14:paraId="22B09E9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（6）单个视频文件大小不超过1GB，分辨率不低于1280*720像素</w:t>
            </w:r>
          </w:p>
          <w:p w14:paraId="3B55043D">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案例视频</w:t>
            </w:r>
          </w:p>
          <w:p w14:paraId="4CB603A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与上述微课程视频、课件及音频、脚本文本开发要求一致</w:t>
            </w:r>
          </w:p>
          <w:p w14:paraId="29553A90">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2.4实操视频</w:t>
            </w:r>
          </w:p>
          <w:p w14:paraId="78E3D1C3">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（1）围绕上述拟开发的1门课程，设计1项重点技能训练项目，既可以作为这1门课程的组课资源，也可以作为内容系统、完整的一个个技能训练模块。</w:t>
            </w:r>
          </w:p>
          <w:p w14:paraId="242C8A81">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（2）要求视频图像清晰，声音和画面同步，播放时没有明显的噪点，播放流畅</w:t>
            </w:r>
          </w:p>
          <w:p w14:paraId="3C44813B">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（3）脚本、样片等资源内容应符合我国法律法规，尊重各民族的风俗习惯，版权不存在争议，文字内容的使用应符合规范，符合国家标准</w:t>
            </w:r>
          </w:p>
          <w:p w14:paraId="0A36D357">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（4）每个训练项目视频时长2-5分钟</w:t>
            </w:r>
          </w:p>
          <w:p w14:paraId="41E47D59">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2.5动画</w:t>
            </w:r>
          </w:p>
          <w:p w14:paraId="08806221">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rPr>
              <w:t>动画内容应符合我国法律法规，尊重各民族的风俗习惯，版权不存在争议。</w:t>
            </w:r>
          </w:p>
          <w:p w14:paraId="4AABFD96">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（2）动画有完整教学设计，既可以作为微课程插入素材，又可以作为独立素材呈现。</w:t>
            </w:r>
          </w:p>
          <w:p w14:paraId="612F8368">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（3）动画要求画面简洁清晰，界面友好，交互设计合理，操作简单，动画演播过程流畅，节奏合适。</w:t>
            </w:r>
          </w:p>
          <w:p w14:paraId="0DAC9CDF">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（4）投标人根据仿真录屏素材，新开发有片头、片尾、解说配音、字幕。</w:t>
            </w:r>
          </w:p>
          <w:p w14:paraId="2281EF21">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（5）仿真视频要求画面逼真，色彩、形状、声音、位置等符合实物的特征。配音应规范，无噪音，声音悦耳，音量适当，快慢适度。内容符合职业规范、技术规范、业务规程和行业属性，无科学性错误。</w:t>
            </w:r>
          </w:p>
          <w:p w14:paraId="2AFFA38B">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（6）成品格式采用MP4格式文件输出。</w:t>
            </w:r>
          </w:p>
          <w:p w14:paraId="461B88BE">
            <w:pPr>
              <w:widowControl/>
              <w:numPr>
                <w:ilvl w:val="0"/>
                <w:numId w:val="6"/>
              </w:numPr>
              <w:snapToGrid w:val="0"/>
              <w:ind w:left="0" w:leftChars="0" w:right="0" w:righ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交付要求</w:t>
            </w:r>
          </w:p>
          <w:p w14:paraId="7D6DC4F7">
            <w:pPr>
              <w:widowControl/>
              <w:snapToGrid w:val="0"/>
              <w:ind w:left="0" w:leftChars="0" w:right="0" w:rightChars="0" w:firstLine="0" w:firstLineChars="0"/>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提供化工单元操作技术1门课程资源包，约1000分钟，约500秒动画</w:t>
            </w:r>
            <w:r>
              <w:rPr>
                <w:rFonts w:hint="eastAsia" w:ascii="宋体" w:hAnsi="宋体" w:eastAsia="宋体" w:cs="宋体"/>
                <w:color w:val="auto"/>
                <w:sz w:val="24"/>
                <w:szCs w:val="24"/>
                <w:highlight w:val="none"/>
                <w:lang w:eastAsia="zh-CN"/>
              </w:rPr>
              <w:t>。</w:t>
            </w:r>
          </w:p>
          <w:p w14:paraId="513F2C44">
            <w:pPr>
              <w:pStyle w:val="215"/>
              <w:widowControl/>
              <w:numPr>
                <w:ilvl w:val="0"/>
                <w:numId w:val="0"/>
              </w:numPr>
              <w:snapToGrid w:val="0"/>
              <w:spacing w:line="240" w:lineRule="auto"/>
              <w:ind w:left="0" w:leftChars="0" w:right="0" w:rightChars="0" w:firstLine="0" w:firstLineChars="0"/>
              <w:jc w:val="left"/>
              <w:textAlignment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交付时间</w:t>
            </w:r>
          </w:p>
          <w:p w14:paraId="3E3635BC">
            <w:pPr>
              <w:widowControl/>
              <w:snapToGrid w:val="0"/>
              <w:jc w:val="left"/>
              <w:textAlignment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自</w:t>
            </w:r>
            <w:r>
              <w:rPr>
                <w:rFonts w:hint="eastAsia" w:ascii="宋体" w:hAnsi="宋体" w:cs="宋体"/>
                <w:color w:val="auto"/>
                <w:sz w:val="24"/>
                <w:szCs w:val="24"/>
                <w:highlight w:val="none"/>
                <w:lang w:val="en-US" w:eastAsia="zh-CN"/>
              </w:rPr>
              <w:t>合同签订</w:t>
            </w:r>
            <w:r>
              <w:rPr>
                <w:rFonts w:hint="eastAsia" w:ascii="宋体" w:hAnsi="宋体" w:cs="宋体"/>
                <w:color w:val="auto"/>
                <w:sz w:val="24"/>
                <w:szCs w:val="24"/>
                <w:highlight w:val="none"/>
              </w:rPr>
              <w:t>之日起，乙方于60</w:t>
            </w:r>
            <w:r>
              <w:rPr>
                <w:rFonts w:hint="eastAsia" w:ascii="宋体" w:hAnsi="宋体" w:cs="宋体"/>
                <w:color w:val="auto"/>
                <w:sz w:val="24"/>
                <w:szCs w:val="24"/>
                <w:highlight w:val="none"/>
                <w:lang w:val="en-US" w:eastAsia="zh-CN"/>
              </w:rPr>
              <w:t>天</w:t>
            </w:r>
            <w:r>
              <w:rPr>
                <w:rFonts w:hint="eastAsia" w:ascii="宋体" w:hAnsi="宋体" w:cs="宋体"/>
                <w:color w:val="auto"/>
                <w:sz w:val="24"/>
                <w:szCs w:val="24"/>
                <w:highlight w:val="none"/>
              </w:rPr>
              <w:t>内向甲方交付剪辑完成的课程视频。</w:t>
            </w:r>
          </w:p>
        </w:tc>
      </w:tr>
    </w:tbl>
    <w:p w14:paraId="2AEE03BF">
      <w:pPr>
        <w:autoSpaceDE w:val="0"/>
        <w:autoSpaceDN w:val="0"/>
        <w:adjustRightInd w:val="0"/>
        <w:spacing w:line="360" w:lineRule="auto"/>
        <w:jc w:val="left"/>
        <w:rPr>
          <w:rFonts w:ascii="Times New Roman" w:hAnsi="Times New Roman" w:eastAsia="宋体" w:cs="Times New Roman"/>
          <w:b/>
          <w:color w:val="auto"/>
          <w:sz w:val="24"/>
          <w:szCs w:val="24"/>
          <w:highlight w:val="none"/>
        </w:rPr>
      </w:pPr>
    </w:p>
    <w:p w14:paraId="443CB65B">
      <w:pPr>
        <w:autoSpaceDE w:val="0"/>
        <w:autoSpaceDN w:val="0"/>
        <w:adjustRightInd w:val="0"/>
        <w:spacing w:line="360" w:lineRule="auto"/>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四</w:t>
      </w:r>
      <w:r>
        <w:rPr>
          <w:rFonts w:ascii="Times New Roman" w:hAnsi="Times New Roman" w:eastAsia="宋体" w:cs="Times New Roman"/>
          <w:b/>
          <w:color w:val="auto"/>
          <w:sz w:val="24"/>
          <w:szCs w:val="24"/>
          <w:highlight w:val="none"/>
        </w:rPr>
        <w:t>、供货要求</w:t>
      </w:r>
    </w:p>
    <w:p w14:paraId="270FA468">
      <w:pPr>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1.交货期：</w:t>
      </w:r>
      <w:r>
        <w:rPr>
          <w:rFonts w:hint="eastAsia" w:ascii="宋体" w:hAnsi="宋体" w:eastAsia="宋体" w:cs="宋体"/>
          <w:color w:val="auto"/>
          <w:sz w:val="24"/>
          <w:szCs w:val="24"/>
          <w:highlight w:val="none"/>
        </w:rPr>
        <w:t>签订合同后</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天</w:t>
      </w:r>
    </w:p>
    <w:p w14:paraId="4256B6AA">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2.交货方式：送货上门。</w:t>
      </w:r>
    </w:p>
    <w:p w14:paraId="536B3BC4">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3.交货地点：采购人指定地点。</w:t>
      </w:r>
    </w:p>
    <w:p w14:paraId="732E8ED1">
      <w:pPr>
        <w:adjustRightInd w:val="0"/>
        <w:snapToGrid w:val="0"/>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p>
    <w:p w14:paraId="574193DE">
      <w:pPr>
        <w:adjustRightInd w:val="0"/>
        <w:snapToGrid w:val="0"/>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5、货物经过按时、正确安装、合理操作和维护保养，在设备寿命期内运转良好。在规定的质保期内，应对由于设计、工艺或材料的缺陷或故障负责。货物运抵现场后应完好无损，如有缺漏、损坏，由中标人负责调换、补齐或赔偿。</w:t>
      </w:r>
    </w:p>
    <w:p w14:paraId="5B2B6BC3">
      <w:pPr>
        <w:autoSpaceDE w:val="0"/>
        <w:autoSpaceDN w:val="0"/>
        <w:adjustRightInd w:val="0"/>
        <w:spacing w:line="360" w:lineRule="auto"/>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五</w:t>
      </w:r>
      <w:r>
        <w:rPr>
          <w:rFonts w:ascii="Times New Roman" w:hAnsi="Times New Roman" w:eastAsia="宋体" w:cs="Times New Roman"/>
          <w:b/>
          <w:color w:val="auto"/>
          <w:sz w:val="24"/>
          <w:szCs w:val="24"/>
          <w:highlight w:val="none"/>
        </w:rPr>
        <w:t>、安装调试要求</w:t>
      </w:r>
    </w:p>
    <w:p w14:paraId="0790A750">
      <w:pPr>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1、能够保证设备按时正确地安装、调试和验收，并能满足正常运行和维修保养的需要。在未验收前，货物保管、安全均由供应商负责，货物送到采购人指定地点，并负责办理运输和装卸，费用由供应商负责。</w:t>
      </w:r>
    </w:p>
    <w:p w14:paraId="090631AA">
      <w:pPr>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2、提供完整的设备的同时，还必须为所有设备提供规范、达标的安装工作。安装所需的必要仪器和专用工具由供应商自备。</w:t>
      </w:r>
    </w:p>
    <w:p w14:paraId="62BF9B65">
      <w:pPr>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3、项目进度计划</w:t>
      </w:r>
    </w:p>
    <w:p w14:paraId="5E121899">
      <w:pPr>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（1）合同签</w:t>
      </w:r>
      <w:r>
        <w:rPr>
          <w:rFonts w:hint="eastAsia" w:ascii="宋体" w:hAnsi="宋体"/>
          <w:color w:val="auto"/>
          <w:sz w:val="24"/>
          <w:szCs w:val="24"/>
          <w:highlight w:val="none"/>
        </w:rPr>
        <w:t>订后</w:t>
      </w:r>
      <w:r>
        <w:rPr>
          <w:rFonts w:hint="eastAsia" w:ascii="宋体" w:hAnsi="宋体"/>
          <w:color w:val="auto"/>
          <w:sz w:val="24"/>
          <w:szCs w:val="24"/>
          <w:highlight w:val="none"/>
          <w:lang w:val="en-US" w:eastAsia="zh-CN"/>
        </w:rPr>
        <w:t>60</w:t>
      </w:r>
      <w:r>
        <w:rPr>
          <w:rFonts w:hint="eastAsia" w:ascii="宋体" w:hAnsi="宋体"/>
          <w:color w:val="auto"/>
          <w:sz w:val="24"/>
          <w:szCs w:val="24"/>
          <w:highlight w:val="none"/>
        </w:rPr>
        <w:t>天内完成安装调试</w:t>
      </w:r>
      <w:r>
        <w:rPr>
          <w:rFonts w:hint="eastAsia" w:ascii="宋体" w:hAnsi="宋体"/>
          <w:color w:val="auto"/>
          <w:sz w:val="24"/>
          <w:szCs w:val="24"/>
          <w:highlight w:val="none"/>
          <w:lang w:val="en-US" w:eastAsia="zh-CN"/>
        </w:rPr>
        <w:t>及内容开发</w:t>
      </w:r>
      <w:r>
        <w:rPr>
          <w:rFonts w:hint="eastAsia" w:ascii="宋体" w:hAnsi="宋体"/>
          <w:color w:val="auto"/>
          <w:sz w:val="24"/>
          <w:szCs w:val="24"/>
          <w:highlight w:val="none"/>
        </w:rPr>
        <w:t>，达到预期效果；</w:t>
      </w:r>
    </w:p>
    <w:p w14:paraId="015AE556">
      <w:pPr>
        <w:spacing w:line="360" w:lineRule="auto"/>
        <w:ind w:firstLine="480"/>
        <w:jc w:val="left"/>
        <w:rPr>
          <w:color w:val="auto"/>
          <w:highlight w:val="none"/>
        </w:rPr>
      </w:pPr>
      <w:r>
        <w:rPr>
          <w:rFonts w:hint="eastAsia" w:ascii="宋体" w:hAnsi="宋体"/>
          <w:color w:val="auto"/>
          <w:sz w:val="24"/>
          <w:szCs w:val="24"/>
          <w:highlight w:val="none"/>
        </w:rPr>
        <w:t>（2）试运行</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个月后，</w:t>
      </w:r>
      <w:r>
        <w:rPr>
          <w:rFonts w:hint="eastAsia" w:ascii="宋体" w:hAnsi="宋体"/>
          <w:color w:val="auto"/>
          <w:sz w:val="24"/>
          <w:szCs w:val="24"/>
          <w:highlight w:val="none"/>
        </w:rPr>
        <w:t>设备运行稳定、无质量问题进行验收。</w:t>
      </w:r>
    </w:p>
    <w:p w14:paraId="0F2CBAD0">
      <w:pPr>
        <w:spacing w:line="360" w:lineRule="auto"/>
        <w:ind w:firstLine="562"/>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六、国家或行业相关规范标准</w:t>
      </w:r>
    </w:p>
    <w:p w14:paraId="38D59CDD">
      <w:pPr>
        <w:spacing w:line="360" w:lineRule="auto"/>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1、《信息技术 中文编码字符集》（GB 18030-2022）；</w:t>
      </w:r>
    </w:p>
    <w:p w14:paraId="68C3257E">
      <w:pPr>
        <w:spacing w:line="360" w:lineRule="auto"/>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2、《系统与软件工程 系统与软件质量要求和评价（SQuaRE）第 10 部分：系统与软件质量模型》（GB/T 25000.10-2016）；</w:t>
      </w:r>
    </w:p>
    <w:p w14:paraId="1C58F073">
      <w:pPr>
        <w:spacing w:line="360" w:lineRule="auto"/>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3、《系统与软件功能性 第1部分：指标体系》（GB/T 29831.1-2013）；</w:t>
      </w:r>
    </w:p>
    <w:p w14:paraId="3C4FA412">
      <w:pPr>
        <w:spacing w:line="360" w:lineRule="auto"/>
        <w:ind w:firstLine="480"/>
        <w:jc w:val="left"/>
        <w:rPr>
          <w:rFonts w:hint="eastAsia" w:ascii="Times New Roman" w:hAnsi="Times New Roman"/>
          <w:color w:val="auto"/>
          <w:sz w:val="24"/>
          <w:szCs w:val="24"/>
          <w:highlight w:val="none"/>
        </w:rPr>
      </w:pPr>
      <w:bookmarkStart w:id="26" w:name="OLE_LINK1"/>
      <w:r>
        <w:rPr>
          <w:rFonts w:hint="eastAsia" w:ascii="Times New Roman" w:hAnsi="Times New Roman"/>
          <w:color w:val="auto"/>
          <w:sz w:val="24"/>
          <w:szCs w:val="24"/>
          <w:highlight w:val="none"/>
        </w:rPr>
        <w:t>4、《系统与软件工程 系统与软件质量要求和评价 (SQuaRE)》GB/T 25000</w:t>
      </w:r>
      <w:r>
        <w:rPr>
          <w:rFonts w:hint="eastAsia" w:ascii="Times New Roman" w:hAnsi="Times New Roman"/>
          <w:color w:val="auto"/>
          <w:sz w:val="24"/>
          <w:szCs w:val="24"/>
          <w:highlight w:val="none"/>
          <w:lang w:val="en-US" w:eastAsia="zh-CN"/>
        </w:rPr>
        <w:t>系列。</w:t>
      </w:r>
    </w:p>
    <w:bookmarkEnd w:id="26"/>
    <w:p w14:paraId="0603BE68">
      <w:pPr>
        <w:autoSpaceDE w:val="0"/>
        <w:autoSpaceDN w:val="0"/>
        <w:adjustRightInd w:val="0"/>
        <w:spacing w:line="360" w:lineRule="auto"/>
        <w:ind w:firstLine="480" w:firstLineChars="200"/>
        <w:jc w:val="left"/>
        <w:rPr>
          <w:rFonts w:ascii="Times New Roman" w:hAnsi="Times New Roman" w:eastAsia="宋体" w:cs="Times New Roman"/>
          <w:b/>
          <w:color w:val="auto"/>
          <w:sz w:val="28"/>
          <w:szCs w:val="28"/>
          <w:highlight w:val="none"/>
        </w:rPr>
      </w:pPr>
      <w:r>
        <w:rPr>
          <w:rFonts w:hint="eastAsia"/>
          <w:color w:val="auto"/>
          <w:sz w:val="24"/>
          <w:highlight w:val="none"/>
        </w:rPr>
        <w:t>上述标准为一般性要求，如有最新要求，按最新标准执行。</w:t>
      </w:r>
    </w:p>
    <w:p w14:paraId="1CC3C1F0">
      <w:pPr>
        <w:autoSpaceDE w:val="0"/>
        <w:autoSpaceDN w:val="0"/>
        <w:adjustRightInd w:val="0"/>
        <w:spacing w:line="360" w:lineRule="auto"/>
        <w:ind w:firstLine="562" w:firstLineChars="200"/>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七、人员配备要求（如有）</w:t>
      </w:r>
    </w:p>
    <w:p w14:paraId="6CF23732">
      <w:pPr>
        <w:spacing w:line="360" w:lineRule="auto"/>
        <w:ind w:firstLine="480"/>
        <w:jc w:val="left"/>
        <w:rPr>
          <w:rFonts w:hint="eastAsia" w:ascii="宋体" w:hAnsi="宋体" w:eastAsia="宋体"/>
          <w:color w:val="auto"/>
          <w:sz w:val="24"/>
          <w:szCs w:val="24"/>
          <w:highlight w:val="none"/>
        </w:rPr>
      </w:pPr>
      <w:r>
        <w:rPr>
          <w:rFonts w:hint="eastAsia" w:ascii="宋体" w:hAnsi="宋体"/>
          <w:color w:val="auto"/>
          <w:sz w:val="24"/>
          <w:szCs w:val="24"/>
          <w:highlight w:val="none"/>
        </w:rPr>
        <w:t>本项目拟派项目组成员应至少具有项目负责人与培训师，其他项目组成员不少于3人，满足本项目需求。</w:t>
      </w:r>
    </w:p>
    <w:p w14:paraId="4BD5198A">
      <w:pPr>
        <w:spacing w:line="360" w:lineRule="auto"/>
        <w:ind w:firstLine="480"/>
        <w:jc w:val="left"/>
        <w:rPr>
          <w:color w:val="auto"/>
          <w:highlight w:val="none"/>
        </w:rPr>
      </w:pPr>
      <w:r>
        <w:rPr>
          <w:rFonts w:hint="eastAsia" w:ascii="宋体" w:hAnsi="宋体"/>
          <w:color w:val="auto"/>
          <w:sz w:val="24"/>
          <w:szCs w:val="24"/>
          <w:highlight w:val="none"/>
        </w:rPr>
        <w:t>货物到达现场后，应派有经验的安装人员到现场进行货物的安装以及处理货物质量和数量短缺等问题，并对质量全面负责。</w:t>
      </w:r>
    </w:p>
    <w:p w14:paraId="394C881D">
      <w:pPr>
        <w:autoSpaceDE w:val="0"/>
        <w:autoSpaceDN w:val="0"/>
        <w:adjustRightInd w:val="0"/>
        <w:spacing w:line="360" w:lineRule="auto"/>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八、履约验收要求</w:t>
      </w:r>
    </w:p>
    <w:p w14:paraId="19131115">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根据采购单位（甲方）验收结果，或者在质量保证期内，如果标的物的数量、质量或规格与合同不符或证实标的物是具有缺陷的，包括潜在缺陷或使用不符合要求的材料等问题时，采购单位（甲方）应尽快以书面形式通知中标人并提出索赔。 </w:t>
      </w:r>
    </w:p>
    <w:p w14:paraId="1D72879C">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在交货时，需依招标文件及投标文件的要求由中标单位和采购单位（甲方）双方共同对全部货物、产品进行原包装现场拆封验收，对所有货物、产品的质量、型号、规格、性能、数量、外型、外观、包装及资料、文件（如装箱单、保修单、随箱介质等）等进行详细而全面的检验，出现损坏、数量不全或产品不对等问题时，由中标单位负责解决。</w:t>
      </w:r>
    </w:p>
    <w:p w14:paraId="4F57C766">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3、投标人中标后须按投标材料展示所展示产品向招标人提供，如中标人所供产品与投标材料展示不符，招标人有权要求中标人更换，如更换后产品仍不一致，招标人将不予办理验收程序。</w:t>
      </w:r>
    </w:p>
    <w:p w14:paraId="2687382D">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4、验收规范应双方在验收前两周提交给采购单位，采购单位（甲方）可根据合同及技术规范书和有关规定进行修改和补充。验收规范需要由双方确认，确认后形成验收文件作为验收依据。 </w:t>
      </w:r>
    </w:p>
    <w:p w14:paraId="0690C36C">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5、招标人对中标人提供的货物在使用前进行调试时，中标人需负责安装并培训招标人的使用操作人员，并协助招标人一起调试，直到符合技术要求，招标人才做最终验收。</w:t>
      </w:r>
    </w:p>
    <w:p w14:paraId="52D225C7">
      <w:pPr>
        <w:autoSpaceDE w:val="0"/>
        <w:autoSpaceDN w:val="0"/>
        <w:adjustRightInd w:val="0"/>
        <w:spacing w:line="360" w:lineRule="auto"/>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九、培训要求</w:t>
      </w:r>
    </w:p>
    <w:p w14:paraId="0EB1641F">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1、中标人承诺完成设备调试后，提供现场培训教学，培训天数不少于2天，培训人员最少8名，包括管理员2名，骨干教师6名，培训次数不少于4次。</w:t>
      </w:r>
    </w:p>
    <w:p w14:paraId="0B9EFF20">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2、培训内容为设备操作和软件平台使用。</w:t>
      </w:r>
    </w:p>
    <w:p w14:paraId="20E093CD">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3、培训地点为采购人指定地点。</w:t>
      </w:r>
    </w:p>
    <w:p w14:paraId="6764696E">
      <w:pPr>
        <w:autoSpaceDE w:val="0"/>
        <w:autoSpaceDN w:val="0"/>
        <w:adjustRightInd w:val="0"/>
        <w:spacing w:line="360" w:lineRule="auto"/>
        <w:ind w:firstLine="482" w:firstLineChars="200"/>
        <w:jc w:val="lef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十、售后服务要求</w:t>
      </w:r>
    </w:p>
    <w:p w14:paraId="2B3140F2">
      <w:pPr>
        <w:spacing w:line="360" w:lineRule="auto"/>
        <w:ind w:firstLine="562"/>
        <w:jc w:val="left"/>
        <w:rPr>
          <w:color w:val="auto"/>
          <w:sz w:val="24"/>
          <w:szCs w:val="32"/>
          <w:highlight w:val="none"/>
        </w:rPr>
      </w:pPr>
      <w:r>
        <w:rPr>
          <w:rFonts w:hint="eastAsia"/>
          <w:color w:val="auto"/>
          <w:sz w:val="24"/>
          <w:szCs w:val="32"/>
          <w:highlight w:val="none"/>
        </w:rPr>
        <w:t>项目自验收完成之日开始计时，中标人应为所供货的所有系统软硬件提供</w:t>
      </w:r>
      <w:r>
        <w:rPr>
          <w:rFonts w:hint="eastAsia"/>
          <w:color w:val="auto"/>
          <w:sz w:val="24"/>
          <w:szCs w:val="32"/>
          <w:highlight w:val="none"/>
        </w:rPr>
        <w:t>2年质</w:t>
      </w:r>
      <w:r>
        <w:rPr>
          <w:rFonts w:hint="eastAsia"/>
          <w:color w:val="auto"/>
          <w:sz w:val="24"/>
          <w:szCs w:val="32"/>
          <w:highlight w:val="none"/>
        </w:rPr>
        <w:t>保期，用以完善系统及消除新发现的错误。质保期内，中标人应在接到招标人保修要求后的24小时内做出应答响应。如有必要，中标人的客服人员应在随后的48小时内达到招标人现场进行问题解决，直至系统恢复正常运行。</w:t>
      </w:r>
    </w:p>
    <w:p w14:paraId="574CDE25">
      <w:pPr>
        <w:spacing w:line="360" w:lineRule="auto"/>
        <w:ind w:firstLine="562"/>
        <w:jc w:val="left"/>
        <w:rPr>
          <w:color w:val="auto"/>
          <w:sz w:val="24"/>
          <w:szCs w:val="32"/>
          <w:highlight w:val="none"/>
        </w:rPr>
      </w:pPr>
      <w:r>
        <w:rPr>
          <w:rFonts w:hint="eastAsia"/>
          <w:color w:val="auto"/>
          <w:sz w:val="24"/>
          <w:szCs w:val="32"/>
          <w:highlight w:val="none"/>
        </w:rPr>
        <w:t>在质保期内，</w:t>
      </w:r>
      <w:r>
        <w:rPr>
          <w:rFonts w:hint="eastAsia" w:ascii="Times New Roman" w:hAnsi="Times New Roman" w:eastAsia="宋体" w:cs="Times New Roman"/>
          <w:color w:val="auto"/>
          <w:sz w:val="24"/>
          <w:szCs w:val="24"/>
          <w:highlight w:val="none"/>
        </w:rPr>
        <w:t>中标人承担维修、保养、安检、调换等，相关费用包含在预算内，采购方不再支付任何费用；对于采购方人为原因造成的故障，中标人只收取维保成本费用。</w:t>
      </w:r>
      <w:r>
        <w:rPr>
          <w:rFonts w:hint="eastAsia"/>
          <w:color w:val="auto"/>
          <w:sz w:val="24"/>
          <w:szCs w:val="32"/>
          <w:highlight w:val="none"/>
        </w:rPr>
        <w:t>中标人应向招标人提供免费的技术维护，免费提供最新版本的系统软件、应用软件及升级服务。对于因操作系统版本所引起的技术故障，中标人应提供终身的免费技术维护服务，并及时处理和提供故障处理报告；在保修期之后，中标人仍应提供合同内仿真软件的长期服务，并协助买方分析和解决出现的故障。</w:t>
      </w:r>
    </w:p>
    <w:p w14:paraId="4E16FC1F">
      <w:pPr>
        <w:spacing w:line="360" w:lineRule="auto"/>
        <w:ind w:firstLine="562"/>
        <w:jc w:val="left"/>
        <w:rPr>
          <w:color w:val="auto"/>
          <w:sz w:val="24"/>
          <w:szCs w:val="32"/>
          <w:highlight w:val="none"/>
        </w:rPr>
      </w:pPr>
      <w:r>
        <w:rPr>
          <w:rFonts w:hint="eastAsia"/>
          <w:color w:val="auto"/>
          <w:sz w:val="24"/>
          <w:szCs w:val="32"/>
          <w:highlight w:val="none"/>
        </w:rPr>
        <w:t>设备、系统采用的专利（软硬件版权）涉及到的全部费用均被认为已包含在报价中，中标人应保证买方不承担有关设备专利的一切责任。</w:t>
      </w:r>
    </w:p>
    <w:bookmarkEnd w:id="24"/>
    <w:bookmarkEnd w:id="25"/>
    <w:p w14:paraId="00354B62">
      <w:pPr>
        <w:autoSpaceDE w:val="0"/>
        <w:autoSpaceDN w:val="0"/>
        <w:adjustRightInd w:val="0"/>
        <w:spacing w:line="360" w:lineRule="auto"/>
        <w:ind w:firstLine="562" w:firstLineChars="200"/>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十一、商品包装及快递包装要求</w:t>
      </w:r>
    </w:p>
    <w:p w14:paraId="248A4B40">
      <w:pPr>
        <w:spacing w:line="360" w:lineRule="auto"/>
        <w:ind w:firstLine="480"/>
        <w:jc w:val="left"/>
        <w:rPr>
          <w:rFonts w:ascii="Times New Roman" w:hAnsi="Times New Roman"/>
          <w:bCs/>
          <w:color w:val="auto"/>
          <w:sz w:val="24"/>
          <w:szCs w:val="24"/>
          <w:highlight w:val="none"/>
        </w:rPr>
      </w:pPr>
      <w:r>
        <w:rPr>
          <w:rFonts w:ascii="Times New Roman" w:hAnsi="Times New Roman"/>
          <w:bCs/>
          <w:color w:val="auto"/>
          <w:sz w:val="24"/>
          <w:szCs w:val="24"/>
          <w:highlight w:val="none"/>
        </w:rPr>
        <w:t>1.</w:t>
      </w:r>
      <w:r>
        <w:rPr>
          <w:rFonts w:hint="eastAsia" w:ascii="Times New Roman" w:hAnsi="Times New Roman"/>
          <w:bCs/>
          <w:color w:val="auto"/>
          <w:sz w:val="24"/>
          <w:szCs w:val="24"/>
          <w:highlight w:val="none"/>
        </w:rPr>
        <w:t>商品包装环保要求：应当按《关于印发〈商品包装政府采购需求标准（试行）〉、〈快递包装政府采购需求标准（试行）〉的通知》（财办库〔</w:t>
      </w:r>
      <w:r>
        <w:rPr>
          <w:rFonts w:ascii="Times New Roman" w:hAnsi="Times New Roman"/>
          <w:bCs/>
          <w:color w:val="auto"/>
          <w:sz w:val="24"/>
          <w:szCs w:val="24"/>
          <w:highlight w:val="none"/>
        </w:rPr>
        <w:t>2020</w:t>
      </w: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123</w:t>
      </w:r>
      <w:r>
        <w:rPr>
          <w:rFonts w:hint="eastAsia" w:ascii="Times New Roman" w:hAnsi="Times New Roman"/>
          <w:bCs/>
          <w:color w:val="auto"/>
          <w:sz w:val="24"/>
          <w:szCs w:val="24"/>
          <w:highlight w:val="none"/>
        </w:rPr>
        <w:t>号）文件执行。</w:t>
      </w:r>
    </w:p>
    <w:p w14:paraId="12B5620C">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1</w:t>
      </w:r>
      <w:r>
        <w:rPr>
          <w:rFonts w:hint="eastAsia" w:ascii="Times New Roman" w:hAnsi="Times New Roman"/>
          <w:bCs/>
          <w:color w:val="auto"/>
          <w:sz w:val="24"/>
          <w:szCs w:val="24"/>
          <w:highlight w:val="none"/>
        </w:rPr>
        <w:t>）商品包装层数不得超过</w:t>
      </w:r>
      <w:r>
        <w:rPr>
          <w:rFonts w:ascii="Times New Roman" w:hAnsi="Times New Roman"/>
          <w:bCs/>
          <w:color w:val="auto"/>
          <w:sz w:val="24"/>
          <w:szCs w:val="24"/>
          <w:highlight w:val="none"/>
        </w:rPr>
        <w:t xml:space="preserve"> 3 </w:t>
      </w:r>
      <w:r>
        <w:rPr>
          <w:rFonts w:hint="eastAsia" w:ascii="Times New Roman" w:hAnsi="Times New Roman"/>
          <w:bCs/>
          <w:color w:val="auto"/>
          <w:sz w:val="24"/>
          <w:szCs w:val="24"/>
          <w:highlight w:val="none"/>
        </w:rPr>
        <w:t>层，空隙率不大于</w:t>
      </w:r>
      <w:r>
        <w:rPr>
          <w:rFonts w:ascii="Times New Roman" w:hAnsi="Times New Roman"/>
          <w:bCs/>
          <w:color w:val="auto"/>
          <w:sz w:val="24"/>
          <w:szCs w:val="24"/>
          <w:highlight w:val="none"/>
        </w:rPr>
        <w:t xml:space="preserve"> 40%</w:t>
      </w:r>
      <w:r>
        <w:rPr>
          <w:rFonts w:hint="eastAsia" w:ascii="Times New Roman" w:hAnsi="Times New Roman"/>
          <w:bCs/>
          <w:color w:val="auto"/>
          <w:sz w:val="24"/>
          <w:szCs w:val="24"/>
          <w:highlight w:val="none"/>
        </w:rPr>
        <w:t>；</w:t>
      </w:r>
    </w:p>
    <w:p w14:paraId="4A5031BA">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2</w:t>
      </w:r>
      <w:r>
        <w:rPr>
          <w:rFonts w:hint="eastAsia" w:ascii="Times New Roman" w:hAnsi="Times New Roman"/>
          <w:bCs/>
          <w:color w:val="auto"/>
          <w:sz w:val="24"/>
          <w:szCs w:val="24"/>
          <w:highlight w:val="none"/>
        </w:rPr>
        <w:t>）商品包装尽可能使用单一材质的包装材料，如因功能需求必需使用不同材质，不同材质间应便于分离；</w:t>
      </w:r>
    </w:p>
    <w:p w14:paraId="5AFED7CD">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3</w:t>
      </w:r>
      <w:r>
        <w:rPr>
          <w:rFonts w:hint="eastAsia" w:ascii="Times New Roman" w:hAnsi="Times New Roman"/>
          <w:bCs/>
          <w:color w:val="auto"/>
          <w:sz w:val="24"/>
          <w:szCs w:val="24"/>
          <w:highlight w:val="none"/>
        </w:rPr>
        <w:t>）商品包装中铅、汞、镉、六价铬的总含量应不大于</w:t>
      </w:r>
      <w:r>
        <w:rPr>
          <w:rFonts w:ascii="Times New Roman" w:hAnsi="Times New Roman"/>
          <w:bCs/>
          <w:color w:val="auto"/>
          <w:sz w:val="24"/>
          <w:szCs w:val="24"/>
          <w:highlight w:val="none"/>
        </w:rPr>
        <w:t>100mg/kg</w:t>
      </w:r>
      <w:r>
        <w:rPr>
          <w:rFonts w:hint="eastAsia" w:ascii="Times New Roman" w:hAnsi="Times New Roman"/>
          <w:bCs/>
          <w:color w:val="auto"/>
          <w:sz w:val="24"/>
          <w:szCs w:val="24"/>
          <w:highlight w:val="none"/>
        </w:rPr>
        <w:t>；</w:t>
      </w:r>
    </w:p>
    <w:p w14:paraId="2473D9C1">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4</w:t>
      </w:r>
      <w:r>
        <w:rPr>
          <w:rFonts w:hint="eastAsia" w:ascii="Times New Roman" w:hAnsi="Times New Roman"/>
          <w:bCs/>
          <w:color w:val="auto"/>
          <w:sz w:val="24"/>
          <w:szCs w:val="24"/>
          <w:highlight w:val="none"/>
        </w:rPr>
        <w:t>）商品包装印刷使用的油墨中挥发性有机化合物</w:t>
      </w:r>
      <w:r>
        <w:rPr>
          <w:rFonts w:ascii="Times New Roman" w:hAnsi="Times New Roman"/>
          <w:bCs/>
          <w:color w:val="auto"/>
          <w:sz w:val="24"/>
          <w:szCs w:val="24"/>
          <w:highlight w:val="none"/>
        </w:rPr>
        <w:t>(VOCs)</w:t>
      </w:r>
      <w:r>
        <w:rPr>
          <w:rFonts w:hint="eastAsia" w:ascii="Times New Roman" w:hAnsi="Times New Roman"/>
          <w:bCs/>
          <w:color w:val="auto"/>
          <w:sz w:val="24"/>
          <w:szCs w:val="24"/>
          <w:highlight w:val="none"/>
        </w:rPr>
        <w:t>含量应不大于</w:t>
      </w:r>
      <w:r>
        <w:rPr>
          <w:rFonts w:ascii="Times New Roman" w:hAnsi="Times New Roman"/>
          <w:bCs/>
          <w:color w:val="auto"/>
          <w:sz w:val="24"/>
          <w:szCs w:val="24"/>
          <w:highlight w:val="none"/>
        </w:rPr>
        <w:t xml:space="preserve"> 5%</w:t>
      </w:r>
      <w:r>
        <w:rPr>
          <w:rFonts w:hint="eastAsia" w:ascii="Times New Roman" w:hAnsi="Times New Roman"/>
          <w:bCs/>
          <w:color w:val="auto"/>
          <w:sz w:val="24"/>
          <w:szCs w:val="24"/>
          <w:highlight w:val="none"/>
        </w:rPr>
        <w:t>（以重量计）；</w:t>
      </w:r>
    </w:p>
    <w:p w14:paraId="3DAA43EB">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5</w:t>
      </w:r>
      <w:r>
        <w:rPr>
          <w:rFonts w:hint="eastAsia" w:ascii="Times New Roman" w:hAnsi="Times New Roman"/>
          <w:bCs/>
          <w:color w:val="auto"/>
          <w:sz w:val="24"/>
          <w:szCs w:val="24"/>
          <w:highlight w:val="none"/>
        </w:rPr>
        <w:t>）塑料材质商品包装上呈现的印刷颜色不得超过</w:t>
      </w:r>
      <w:r>
        <w:rPr>
          <w:rFonts w:ascii="Times New Roman" w:hAnsi="Times New Roman"/>
          <w:bCs/>
          <w:color w:val="auto"/>
          <w:sz w:val="24"/>
          <w:szCs w:val="24"/>
          <w:highlight w:val="none"/>
        </w:rPr>
        <w:t xml:space="preserve"> 6 </w:t>
      </w:r>
      <w:r>
        <w:rPr>
          <w:rFonts w:hint="eastAsia" w:ascii="Times New Roman" w:hAnsi="Times New Roman"/>
          <w:bCs/>
          <w:color w:val="auto"/>
          <w:sz w:val="24"/>
          <w:szCs w:val="24"/>
          <w:highlight w:val="none"/>
        </w:rPr>
        <w:t>色；</w:t>
      </w:r>
    </w:p>
    <w:p w14:paraId="518C9817">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6</w:t>
      </w:r>
      <w:r>
        <w:rPr>
          <w:rFonts w:hint="eastAsia" w:ascii="Times New Roman" w:hAnsi="Times New Roman"/>
          <w:bCs/>
          <w:color w:val="auto"/>
          <w:sz w:val="24"/>
          <w:szCs w:val="24"/>
          <w:highlight w:val="none"/>
        </w:rPr>
        <w:t>）纸质商品包装应使用</w:t>
      </w:r>
      <w:r>
        <w:rPr>
          <w:rFonts w:ascii="Times New Roman" w:hAnsi="Times New Roman"/>
          <w:bCs/>
          <w:color w:val="auto"/>
          <w:sz w:val="24"/>
          <w:szCs w:val="24"/>
          <w:highlight w:val="none"/>
        </w:rPr>
        <w:t xml:space="preserve"> 75%</w:t>
      </w:r>
      <w:r>
        <w:rPr>
          <w:rFonts w:hint="eastAsia" w:ascii="Times New Roman" w:hAnsi="Times New Roman"/>
          <w:bCs/>
          <w:color w:val="auto"/>
          <w:sz w:val="24"/>
          <w:szCs w:val="24"/>
          <w:highlight w:val="none"/>
        </w:rPr>
        <w:t>以上的可再生纤维原料生产；</w:t>
      </w:r>
    </w:p>
    <w:p w14:paraId="590C6915">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7</w:t>
      </w:r>
      <w:r>
        <w:rPr>
          <w:rFonts w:hint="eastAsia" w:ascii="Times New Roman" w:hAnsi="Times New Roman"/>
          <w:bCs/>
          <w:color w:val="auto"/>
          <w:sz w:val="24"/>
          <w:szCs w:val="24"/>
          <w:highlight w:val="none"/>
        </w:rPr>
        <w:t>）木质商品包装的原料应来源于可持续性森林。</w:t>
      </w:r>
    </w:p>
    <w:p w14:paraId="759F7966">
      <w:pPr>
        <w:spacing w:line="360" w:lineRule="auto"/>
        <w:ind w:firstLine="480"/>
        <w:jc w:val="left"/>
        <w:rPr>
          <w:rFonts w:ascii="Times New Roman" w:hAnsi="Times New Roman"/>
          <w:bCs/>
          <w:color w:val="auto"/>
          <w:sz w:val="24"/>
          <w:szCs w:val="24"/>
          <w:highlight w:val="none"/>
        </w:rPr>
      </w:pPr>
      <w:r>
        <w:rPr>
          <w:rFonts w:ascii="Times New Roman" w:hAnsi="Times New Roman"/>
          <w:bCs/>
          <w:color w:val="auto"/>
          <w:sz w:val="24"/>
          <w:szCs w:val="24"/>
          <w:highlight w:val="none"/>
        </w:rPr>
        <w:t>2.</w:t>
      </w:r>
      <w:r>
        <w:rPr>
          <w:rFonts w:hint="eastAsia" w:ascii="Times New Roman" w:hAnsi="Times New Roman"/>
          <w:bCs/>
          <w:color w:val="auto"/>
          <w:sz w:val="24"/>
          <w:szCs w:val="24"/>
          <w:highlight w:val="none"/>
        </w:rPr>
        <w:t>快递包装环保要求：</w:t>
      </w:r>
    </w:p>
    <w:p w14:paraId="68228AB6">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1</w:t>
      </w:r>
      <w:r>
        <w:rPr>
          <w:rFonts w:hint="eastAsia" w:ascii="Times New Roman" w:hAnsi="Times New Roman"/>
          <w:bCs/>
          <w:color w:val="auto"/>
          <w:sz w:val="24"/>
          <w:szCs w:val="24"/>
          <w:highlight w:val="none"/>
        </w:rPr>
        <w:t>）快递包装中重金属（铅、汞、镉、六价铬）总量应不大于</w:t>
      </w:r>
      <w:r>
        <w:rPr>
          <w:rFonts w:ascii="Times New Roman" w:hAnsi="Times New Roman"/>
          <w:bCs/>
          <w:color w:val="auto"/>
          <w:sz w:val="24"/>
          <w:szCs w:val="24"/>
          <w:highlight w:val="none"/>
        </w:rPr>
        <w:t xml:space="preserve"> 100mg/kg</w:t>
      </w:r>
      <w:r>
        <w:rPr>
          <w:rFonts w:hint="eastAsia" w:ascii="Times New Roman" w:hAnsi="Times New Roman"/>
          <w:bCs/>
          <w:color w:val="auto"/>
          <w:sz w:val="24"/>
          <w:szCs w:val="24"/>
          <w:highlight w:val="none"/>
        </w:rPr>
        <w:t>；</w:t>
      </w:r>
    </w:p>
    <w:p w14:paraId="70EEED69">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2</w:t>
      </w:r>
      <w:r>
        <w:rPr>
          <w:rFonts w:hint="eastAsia" w:ascii="Times New Roman" w:hAnsi="Times New Roman"/>
          <w:bCs/>
          <w:color w:val="auto"/>
          <w:sz w:val="24"/>
          <w:szCs w:val="24"/>
          <w:highlight w:val="none"/>
        </w:rPr>
        <w:t>）快递包装印刷使用的油墨中不应添加邻苯二甲酸酯，其挥发性有机化合物</w:t>
      </w:r>
      <w:r>
        <w:rPr>
          <w:rFonts w:ascii="Times New Roman" w:hAnsi="Times New Roman"/>
          <w:bCs/>
          <w:color w:val="auto"/>
          <w:sz w:val="24"/>
          <w:szCs w:val="24"/>
          <w:highlight w:val="none"/>
        </w:rPr>
        <w:t>(VOCs)</w:t>
      </w:r>
      <w:r>
        <w:rPr>
          <w:rFonts w:hint="eastAsia" w:ascii="Times New Roman" w:hAnsi="Times New Roman"/>
          <w:bCs/>
          <w:color w:val="auto"/>
          <w:sz w:val="24"/>
          <w:szCs w:val="24"/>
          <w:highlight w:val="none"/>
        </w:rPr>
        <w:t>含量应不大于</w:t>
      </w:r>
      <w:r>
        <w:rPr>
          <w:rFonts w:ascii="Times New Roman" w:hAnsi="Times New Roman"/>
          <w:bCs/>
          <w:color w:val="auto"/>
          <w:sz w:val="24"/>
          <w:szCs w:val="24"/>
          <w:highlight w:val="none"/>
        </w:rPr>
        <w:t>5%</w:t>
      </w:r>
      <w:r>
        <w:rPr>
          <w:rFonts w:hint="eastAsia" w:ascii="Times New Roman" w:hAnsi="Times New Roman"/>
          <w:bCs/>
          <w:color w:val="auto"/>
          <w:sz w:val="24"/>
          <w:szCs w:val="24"/>
          <w:highlight w:val="none"/>
        </w:rPr>
        <w:t>（以重量计）；</w:t>
      </w:r>
    </w:p>
    <w:p w14:paraId="0835BA9C">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3</w:t>
      </w:r>
      <w:r>
        <w:rPr>
          <w:rFonts w:hint="eastAsia" w:ascii="Times New Roman" w:hAnsi="Times New Roman"/>
          <w:bCs/>
          <w:color w:val="auto"/>
          <w:sz w:val="24"/>
          <w:szCs w:val="24"/>
          <w:highlight w:val="none"/>
        </w:rPr>
        <w:t>）快递包装中使用纸基材的包装材料，纸基材中的有机氯的含量应不大于</w:t>
      </w:r>
      <w:r>
        <w:rPr>
          <w:rFonts w:ascii="Times New Roman" w:hAnsi="Times New Roman"/>
          <w:bCs/>
          <w:color w:val="auto"/>
          <w:sz w:val="24"/>
          <w:szCs w:val="24"/>
          <w:highlight w:val="none"/>
        </w:rPr>
        <w:t xml:space="preserve"> 150 mg/kg</w:t>
      </w:r>
      <w:r>
        <w:rPr>
          <w:rFonts w:hint="eastAsia" w:ascii="Times New Roman" w:hAnsi="Times New Roman"/>
          <w:bCs/>
          <w:color w:val="auto"/>
          <w:sz w:val="24"/>
          <w:szCs w:val="24"/>
          <w:highlight w:val="none"/>
        </w:rPr>
        <w:t>；</w:t>
      </w:r>
    </w:p>
    <w:p w14:paraId="03DACC82">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4</w:t>
      </w:r>
      <w:r>
        <w:rPr>
          <w:rFonts w:hint="eastAsia" w:ascii="Times New Roman" w:hAnsi="Times New Roman"/>
          <w:bCs/>
          <w:color w:val="auto"/>
          <w:sz w:val="24"/>
          <w:szCs w:val="24"/>
          <w:highlight w:val="none"/>
        </w:rPr>
        <w:t>）快递包装中使用塑料基材的包装材料不得使用邻苯二甲酸二异壬酯、邻苯二甲酸二正辛酯、邻苯二甲酸二</w:t>
      </w:r>
      <w:r>
        <w:rPr>
          <w:rFonts w:ascii="Times New Roman" w:hAnsi="Times New Roman"/>
          <w:bCs/>
          <w:color w:val="auto"/>
          <w:sz w:val="24"/>
          <w:szCs w:val="24"/>
          <w:highlight w:val="none"/>
        </w:rPr>
        <w:t>(2-</w:t>
      </w:r>
      <w:r>
        <w:rPr>
          <w:rFonts w:hint="eastAsia" w:ascii="Times New Roman" w:hAnsi="Times New Roman"/>
          <w:bCs/>
          <w:color w:val="auto"/>
          <w:sz w:val="24"/>
          <w:szCs w:val="24"/>
          <w:highlight w:val="none"/>
        </w:rPr>
        <w:t>乙基</w:t>
      </w:r>
      <w:r>
        <w:rPr>
          <w:rFonts w:ascii="Times New Roman" w:hAnsi="Times New Roman"/>
          <w:bCs/>
          <w:color w:val="auto"/>
          <w:sz w:val="24"/>
          <w:szCs w:val="24"/>
          <w:highlight w:val="none"/>
        </w:rPr>
        <w:t>)</w:t>
      </w:r>
      <w:r>
        <w:rPr>
          <w:rFonts w:hint="eastAsia" w:ascii="Times New Roman" w:hAnsi="Times New Roman"/>
          <w:bCs/>
          <w:color w:val="auto"/>
          <w:sz w:val="24"/>
          <w:szCs w:val="24"/>
          <w:highlight w:val="none"/>
        </w:rPr>
        <w:t>己酯、邻苯二甲酸二异癸酯、邻苯二甲酸丁基苄基酯、邻苯二甲酸二丁酯等作为增塑剂；</w:t>
      </w:r>
    </w:p>
    <w:p w14:paraId="63A15697">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5</w:t>
      </w:r>
      <w:r>
        <w:rPr>
          <w:rFonts w:hint="eastAsia" w:ascii="Times New Roman" w:hAnsi="Times New Roman"/>
          <w:bCs/>
          <w:color w:val="auto"/>
          <w:sz w:val="24"/>
          <w:szCs w:val="24"/>
          <w:highlight w:val="none"/>
        </w:rPr>
        <w:t>）快递中使用的塑料包装袋不得使用聚氯乙烯作为原料，且原料应为单一材质制成，生物分解率大于</w:t>
      </w:r>
      <w:r>
        <w:rPr>
          <w:rFonts w:ascii="Times New Roman" w:hAnsi="Times New Roman"/>
          <w:bCs/>
          <w:color w:val="auto"/>
          <w:sz w:val="24"/>
          <w:szCs w:val="24"/>
          <w:highlight w:val="none"/>
        </w:rPr>
        <w:t>60%</w:t>
      </w:r>
      <w:r>
        <w:rPr>
          <w:rFonts w:hint="eastAsia" w:ascii="Times New Roman" w:hAnsi="Times New Roman"/>
          <w:bCs/>
          <w:color w:val="auto"/>
          <w:sz w:val="24"/>
          <w:szCs w:val="24"/>
          <w:highlight w:val="none"/>
        </w:rPr>
        <w:t>；</w:t>
      </w:r>
    </w:p>
    <w:p w14:paraId="5BB22600">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6</w:t>
      </w:r>
      <w:r>
        <w:rPr>
          <w:rFonts w:hint="eastAsia" w:ascii="Times New Roman" w:hAnsi="Times New Roman"/>
          <w:bCs/>
          <w:color w:val="auto"/>
          <w:sz w:val="24"/>
          <w:szCs w:val="24"/>
          <w:highlight w:val="none"/>
        </w:rPr>
        <w:t>）快递中使用的充气类填充物不得使用聚氯乙烯作为原料，且原料为单一材质制成，生物分解率大于</w:t>
      </w:r>
      <w:r>
        <w:rPr>
          <w:rFonts w:ascii="Times New Roman" w:hAnsi="Times New Roman"/>
          <w:bCs/>
          <w:color w:val="auto"/>
          <w:sz w:val="24"/>
          <w:szCs w:val="24"/>
          <w:highlight w:val="none"/>
        </w:rPr>
        <w:t>60%</w:t>
      </w:r>
      <w:r>
        <w:rPr>
          <w:rFonts w:hint="eastAsia" w:ascii="Times New Roman" w:hAnsi="Times New Roman"/>
          <w:bCs/>
          <w:color w:val="auto"/>
          <w:sz w:val="24"/>
          <w:szCs w:val="24"/>
          <w:highlight w:val="none"/>
        </w:rPr>
        <w:t>；</w:t>
      </w:r>
    </w:p>
    <w:p w14:paraId="54C41470">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7</w:t>
      </w:r>
      <w:r>
        <w:rPr>
          <w:rFonts w:hint="eastAsia" w:ascii="Times New Roman" w:hAnsi="Times New Roman"/>
          <w:bCs/>
          <w:color w:val="auto"/>
          <w:sz w:val="24"/>
          <w:szCs w:val="24"/>
          <w:highlight w:val="none"/>
        </w:rPr>
        <w:t>）快递中使用的集装袋应为单一材质制成，其重复使用次数应不小于</w:t>
      </w:r>
      <w:r>
        <w:rPr>
          <w:rFonts w:ascii="Times New Roman" w:hAnsi="Times New Roman"/>
          <w:bCs/>
          <w:color w:val="auto"/>
          <w:sz w:val="24"/>
          <w:szCs w:val="24"/>
          <w:highlight w:val="none"/>
        </w:rPr>
        <w:t xml:space="preserve"> 80 </w:t>
      </w:r>
      <w:r>
        <w:rPr>
          <w:rFonts w:hint="eastAsia" w:ascii="Times New Roman" w:hAnsi="Times New Roman"/>
          <w:bCs/>
          <w:color w:val="auto"/>
          <w:sz w:val="24"/>
          <w:szCs w:val="24"/>
          <w:highlight w:val="none"/>
        </w:rPr>
        <w:t>次；</w:t>
      </w:r>
    </w:p>
    <w:p w14:paraId="184FC9DF">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8</w:t>
      </w:r>
      <w:r>
        <w:rPr>
          <w:rFonts w:hint="eastAsia" w:ascii="Times New Roman" w:hAnsi="Times New Roman"/>
          <w:bCs/>
          <w:color w:val="auto"/>
          <w:sz w:val="24"/>
          <w:szCs w:val="24"/>
          <w:highlight w:val="none"/>
        </w:rPr>
        <w:t>）快递中应使用幅宽不大于</w:t>
      </w:r>
      <w:r>
        <w:rPr>
          <w:rFonts w:ascii="Times New Roman" w:hAnsi="Times New Roman"/>
          <w:bCs/>
          <w:color w:val="auto"/>
          <w:sz w:val="24"/>
          <w:szCs w:val="24"/>
          <w:highlight w:val="none"/>
        </w:rPr>
        <w:t xml:space="preserve">45mm </w:t>
      </w:r>
      <w:r>
        <w:rPr>
          <w:rFonts w:hint="eastAsia" w:ascii="Times New Roman" w:hAnsi="Times New Roman"/>
          <w:bCs/>
          <w:color w:val="auto"/>
          <w:sz w:val="24"/>
          <w:szCs w:val="24"/>
          <w:highlight w:val="none"/>
        </w:rPr>
        <w:t>的生物降解胶带；</w:t>
      </w:r>
    </w:p>
    <w:p w14:paraId="5E9C496C">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9</w:t>
      </w:r>
      <w:r>
        <w:rPr>
          <w:rFonts w:hint="eastAsia" w:ascii="Times New Roman" w:hAnsi="Times New Roman"/>
          <w:bCs/>
          <w:color w:val="auto"/>
          <w:sz w:val="24"/>
          <w:szCs w:val="24"/>
          <w:highlight w:val="none"/>
        </w:rPr>
        <w:t>）快递包装中不得使用溶剂型胶粘剂；</w:t>
      </w:r>
    </w:p>
    <w:p w14:paraId="2FF93E9A">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10</w:t>
      </w:r>
      <w:r>
        <w:rPr>
          <w:rFonts w:hint="eastAsia" w:ascii="Times New Roman" w:hAnsi="Times New Roman"/>
          <w:bCs/>
          <w:color w:val="auto"/>
          <w:sz w:val="24"/>
          <w:szCs w:val="24"/>
          <w:highlight w:val="none"/>
        </w:rPr>
        <w:t>）快递应使用电子面单；</w:t>
      </w:r>
    </w:p>
    <w:p w14:paraId="0AAB507D">
      <w:pPr>
        <w:spacing w:line="360" w:lineRule="auto"/>
        <w:ind w:firstLine="480"/>
        <w:jc w:val="lef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11</w:t>
      </w:r>
      <w:r>
        <w:rPr>
          <w:rFonts w:hint="eastAsia" w:ascii="Times New Roman" w:hAnsi="Times New Roman"/>
          <w:bCs/>
          <w:color w:val="auto"/>
          <w:sz w:val="24"/>
          <w:szCs w:val="24"/>
          <w:highlight w:val="none"/>
        </w:rPr>
        <w:t>）直接使用商品包装作为快递包装的商品，其商品包装满足《商品包装政府采购需求标准（试行）》即可；</w:t>
      </w:r>
    </w:p>
    <w:p w14:paraId="1A64A844">
      <w:pPr>
        <w:spacing w:line="360" w:lineRule="auto"/>
        <w:ind w:firstLine="480"/>
        <w:jc w:val="left"/>
        <w:rPr>
          <w:rFonts w:ascii="Times New Roman" w:hAnsi="Times New Roman" w:eastAsia="宋体" w:cs="Times New Roman"/>
          <w:color w:val="auto"/>
          <w:sz w:val="24"/>
          <w:szCs w:val="24"/>
          <w:highlight w:val="none"/>
        </w:rPr>
      </w:pPr>
      <w:r>
        <w:rPr>
          <w:rFonts w:hint="eastAsia" w:ascii="Times New Roman" w:hAnsi="Times New Roman"/>
          <w:bCs/>
          <w:color w:val="auto"/>
          <w:sz w:val="24"/>
          <w:szCs w:val="24"/>
          <w:highlight w:val="none"/>
        </w:rPr>
        <w:t>（</w:t>
      </w:r>
      <w:r>
        <w:rPr>
          <w:rFonts w:ascii="Times New Roman" w:hAnsi="Times New Roman"/>
          <w:bCs/>
          <w:color w:val="auto"/>
          <w:sz w:val="24"/>
          <w:szCs w:val="24"/>
          <w:highlight w:val="none"/>
        </w:rPr>
        <w:t>12</w:t>
      </w:r>
      <w:r>
        <w:rPr>
          <w:rFonts w:hint="eastAsia" w:ascii="Times New Roman" w:hAnsi="Times New Roman"/>
          <w:bCs/>
          <w:color w:val="auto"/>
          <w:sz w:val="24"/>
          <w:szCs w:val="24"/>
          <w:highlight w:val="none"/>
        </w:rPr>
        <w:t>）快递包装产品质量和封装方式应符合相关国家或行业标准技术指标要求。</w:t>
      </w:r>
    </w:p>
    <w:p w14:paraId="724BAB8B">
      <w:pPr>
        <w:autoSpaceDE w:val="0"/>
        <w:autoSpaceDN w:val="0"/>
        <w:adjustRightInd w:val="0"/>
        <w:spacing w:line="360" w:lineRule="auto"/>
        <w:ind w:firstLine="562" w:firstLineChars="200"/>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十二、投标报价要求</w:t>
      </w:r>
    </w:p>
    <w:p w14:paraId="270DF2AE">
      <w:pPr>
        <w:spacing w:line="360" w:lineRule="auto"/>
        <w:ind w:firstLine="480"/>
        <w:jc w:val="left"/>
        <w:rPr>
          <w:rFonts w:hint="eastAsia" w:ascii="宋体" w:hAnsi="宋体"/>
          <w:color w:val="auto"/>
          <w:sz w:val="24"/>
          <w:highlight w:val="none"/>
        </w:rPr>
      </w:pPr>
      <w:r>
        <w:rPr>
          <w:rFonts w:hint="eastAsia" w:ascii="宋体" w:hAnsi="宋体"/>
          <w:color w:val="auto"/>
          <w:sz w:val="24"/>
          <w:szCs w:val="24"/>
          <w:highlight w:val="none"/>
        </w:rPr>
        <w:t>应根据国家收费标准并结合市场实际进行报价，总价包干。</w:t>
      </w:r>
      <w:r>
        <w:rPr>
          <w:rFonts w:hint="eastAsia" w:ascii="宋体" w:hAnsi="宋体"/>
          <w:color w:val="auto"/>
          <w:sz w:val="24"/>
          <w:highlight w:val="none"/>
        </w:rPr>
        <w:t>报价应包含与本次采购项目有关的所有费用。包含但不限于人员、设备、安装调试、验收、售后服务等所有含税费用。同时，还应包含支付给员工的工资和国家强制缴纳的各种社会保障资金，以及投标人认为需要的其他费用等。</w:t>
      </w:r>
    </w:p>
    <w:p w14:paraId="56FF2774">
      <w:pPr>
        <w:autoSpaceDE w:val="0"/>
        <w:autoSpaceDN w:val="0"/>
        <w:adjustRightInd w:val="0"/>
        <w:spacing w:line="360" w:lineRule="auto"/>
        <w:ind w:firstLine="562" w:firstLineChars="200"/>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十三、付款方式与履约保证金</w:t>
      </w:r>
    </w:p>
    <w:p w14:paraId="2DB9097D">
      <w:pPr>
        <w:spacing w:line="360" w:lineRule="auto"/>
        <w:ind w:firstLine="480" w:firstLineChars="200"/>
        <w:jc w:val="lef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1、付款方式</w:t>
      </w:r>
    </w:p>
    <w:p w14:paraId="2ADD0E0B">
      <w:pPr>
        <w:spacing w:line="360" w:lineRule="auto"/>
        <w:ind w:firstLine="480" w:firstLineChars="200"/>
        <w:jc w:val="lef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货物安装调试结束、甲方验收合格完成，经审计后，乙方持全额发票、中标通知书、合同到连云港职业技术学院申请付款。甲方收到中标人提供发票后，付审定价款的100%。</w:t>
      </w:r>
    </w:p>
    <w:p w14:paraId="615B90CE">
      <w:pPr>
        <w:spacing w:line="360" w:lineRule="auto"/>
        <w:ind w:firstLine="480" w:firstLineChars="200"/>
        <w:jc w:val="lef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2、履约保证金</w:t>
      </w:r>
    </w:p>
    <w:p w14:paraId="714A360A">
      <w:pPr>
        <w:spacing w:line="360" w:lineRule="auto"/>
        <w:ind w:firstLine="480" w:firstLineChars="200"/>
        <w:jc w:val="lef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本项目不收取履约保证金。</w:t>
      </w:r>
    </w:p>
    <w:p w14:paraId="4C4AB8A9">
      <w:pPr>
        <w:autoSpaceDE w:val="0"/>
        <w:autoSpaceDN w:val="0"/>
        <w:adjustRightInd w:val="0"/>
        <w:spacing w:line="360" w:lineRule="auto"/>
        <w:ind w:firstLine="562" w:firstLineChars="200"/>
        <w:jc w:val="left"/>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十四、其他</w:t>
      </w:r>
    </w:p>
    <w:p w14:paraId="14A28EB9">
      <w:p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本项目报价不得超过预算价（最高限价）。</w:t>
      </w:r>
    </w:p>
    <w:p w14:paraId="5BDBF63A">
      <w:pPr>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特别提醒投标人：应根据国家收费标准并结合市场实际进行报价，总价包干。</w:t>
      </w:r>
    </w:p>
    <w:p w14:paraId="38F11BBD">
      <w:pPr>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工作中涉及的敏感资料、电子数据等相关信息，中标人应严格执行保密的相关规定，不得以任何方式向任何第三人披露、泄露或许可第三人使用，否则追究其相应法律责任。</w:t>
      </w:r>
    </w:p>
    <w:p w14:paraId="2785F48D">
      <w:pPr>
        <w:pStyle w:val="2"/>
        <w:numPr>
          <w:ilvl w:val="0"/>
          <w:numId w:val="0"/>
        </w:numPr>
        <w:rPr>
          <w:rFonts w:hint="eastAsia" w:ascii="宋体" w:hAnsi="宋体" w:eastAsia="宋体" w:cs="宋体"/>
          <w:color w:val="auto"/>
          <w:sz w:val="24"/>
          <w:highlight w:val="none"/>
        </w:rPr>
      </w:pPr>
      <w:bookmarkStart w:id="27" w:name="_Toc150765440"/>
      <w:r>
        <w:rPr>
          <w:rFonts w:hint="eastAsia" w:ascii="宋体" w:hAnsi="宋体" w:eastAsia="宋体" w:cs="宋体"/>
          <w:color w:val="auto"/>
          <w:highlight w:val="none"/>
        </w:rPr>
        <w:t>第七章评标办法</w:t>
      </w:r>
      <w:bookmarkEnd w:id="21"/>
      <w:bookmarkEnd w:id="27"/>
    </w:p>
    <w:p w14:paraId="69D43949">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bCs/>
          <w:color w:val="auto"/>
          <w:sz w:val="24"/>
          <w:szCs w:val="24"/>
          <w:highlight w:val="none"/>
        </w:rPr>
        <w:t>评标委员会构成</w:t>
      </w:r>
      <w:r>
        <w:rPr>
          <w:rFonts w:hint="eastAsia" w:ascii="宋体" w:hAnsi="宋体" w:eastAsia="宋体" w:cs="宋体"/>
          <w:b/>
          <w:color w:val="auto"/>
          <w:sz w:val="24"/>
          <w:szCs w:val="24"/>
          <w:highlight w:val="none"/>
        </w:rPr>
        <w:t>：</w:t>
      </w:r>
    </w:p>
    <w:p w14:paraId="284023E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本采购项目评标委员会的评委由采购人代表、相关专家组成。</w:t>
      </w:r>
    </w:p>
    <w:p w14:paraId="5A712DAE">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bCs/>
          <w:color w:val="auto"/>
          <w:sz w:val="24"/>
          <w:szCs w:val="24"/>
          <w:highlight w:val="none"/>
        </w:rPr>
        <w:t>评标方法</w:t>
      </w:r>
      <w:r>
        <w:rPr>
          <w:rFonts w:hint="eastAsia" w:ascii="宋体" w:hAnsi="宋体" w:eastAsia="宋体" w:cs="宋体"/>
          <w:b/>
          <w:color w:val="auto"/>
          <w:sz w:val="24"/>
          <w:szCs w:val="24"/>
          <w:highlight w:val="none"/>
        </w:rPr>
        <w:t>：</w:t>
      </w:r>
    </w:p>
    <w:p w14:paraId="27BC3B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14:paraId="231444AA">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eastAsia="宋体" w:cs="宋体"/>
          <w:b/>
          <w:bCs/>
          <w:color w:val="auto"/>
          <w:sz w:val="24"/>
          <w:szCs w:val="24"/>
          <w:highlight w:val="none"/>
        </w:rPr>
        <w:t>评标原则</w:t>
      </w:r>
      <w:r>
        <w:rPr>
          <w:rFonts w:hint="eastAsia" w:ascii="宋体" w:hAnsi="宋体" w:eastAsia="宋体" w:cs="宋体"/>
          <w:b/>
          <w:color w:val="auto"/>
          <w:sz w:val="24"/>
          <w:szCs w:val="24"/>
          <w:highlight w:val="none"/>
        </w:rPr>
        <w:t>：</w:t>
      </w:r>
    </w:p>
    <w:p w14:paraId="50D722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1ABDCADF">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w:t>
      </w:r>
      <w:r>
        <w:rPr>
          <w:rFonts w:hint="eastAsia" w:ascii="宋体" w:hAnsi="宋体" w:eastAsia="宋体" w:cs="宋体"/>
          <w:b/>
          <w:bCs/>
          <w:color w:val="auto"/>
          <w:sz w:val="24"/>
          <w:szCs w:val="24"/>
          <w:highlight w:val="none"/>
        </w:rPr>
        <w:t>评标标准</w:t>
      </w:r>
      <w:r>
        <w:rPr>
          <w:rFonts w:hint="eastAsia" w:ascii="宋体" w:hAnsi="宋体" w:eastAsia="宋体" w:cs="宋体"/>
          <w:b/>
          <w:color w:val="auto"/>
          <w:sz w:val="24"/>
          <w:szCs w:val="24"/>
          <w:highlight w:val="none"/>
        </w:rPr>
        <w:t>：</w:t>
      </w:r>
    </w:p>
    <w:p w14:paraId="0F66842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（一）评标时，评标委员会以招标文件为评标依据，评标委员会各成员独立对每个投标人的投标文件进行评价，并汇总每个投标人的得分。</w:t>
      </w:r>
    </w:p>
    <w:p w14:paraId="36F80C0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（二）本项目评分总分为100分，按四舍五入取至小数点后两位。</w:t>
      </w:r>
    </w:p>
    <w:p w14:paraId="3D02ED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 =价格分 + 商务技术分 </w:t>
      </w:r>
    </w:p>
    <w:p w14:paraId="32C437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DEAB561">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综合评分法</w:t>
      </w:r>
      <w:bookmarkEnd w:id="22"/>
      <w:bookmarkEnd w:id="23"/>
    </w:p>
    <w:p w14:paraId="64FBC8E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（1）价格（30分）</w:t>
      </w:r>
    </w:p>
    <w:p w14:paraId="2FCD804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采用低价优先法计算，即满足招标文件要求且投标价格最低的投标报价为评标基准价，其价格分为满分。其他投标人的价格分统一按照下列公式计算：</w:t>
      </w:r>
    </w:p>
    <w:p w14:paraId="1334D19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投标报价得分=（评标基准价/投标报价）×30分</w:t>
      </w:r>
    </w:p>
    <w:p w14:paraId="2D12A36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因落实政府采购政策进行价格调整的，以调整后的价格计算评标基准价和投标报价，小数点后保留两位。</w:t>
      </w:r>
    </w:p>
    <w:p w14:paraId="2261002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（2）商务分（4</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bl>
      <w:tblPr>
        <w:tblStyle w:val="45"/>
        <w:tblW w:w="9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41"/>
        <w:gridCol w:w="7935"/>
      </w:tblGrid>
      <w:tr w14:paraId="72F3E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41" w:type="dxa"/>
            <w:vAlign w:val="center"/>
          </w:tcPr>
          <w:p w14:paraId="7B32CB9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935" w:type="dxa"/>
            <w:vAlign w:val="center"/>
          </w:tcPr>
          <w:p w14:paraId="33B063D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45AB1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8" w:hRule="atLeast"/>
          <w:jc w:val="center"/>
        </w:trPr>
        <w:tc>
          <w:tcPr>
            <w:tcW w:w="1441" w:type="dxa"/>
            <w:vAlign w:val="center"/>
          </w:tcPr>
          <w:p w14:paraId="5B47CC94">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7935" w:type="dxa"/>
            <w:vAlign w:val="center"/>
          </w:tcPr>
          <w:p w14:paraId="20785014">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投标人自2020年1月1日以来（以合同签订日期为准），具有与本项目需求</w:t>
            </w:r>
            <w:r>
              <w:rPr>
                <w:rFonts w:hint="eastAsia"/>
                <w:b/>
                <w:bCs/>
                <w:color w:val="auto"/>
                <w:sz w:val="24"/>
                <w:szCs w:val="24"/>
                <w:highlight w:val="none"/>
                <w:u w:val="none"/>
              </w:rPr>
              <w:t>化工生产技术大赛及实训装置</w:t>
            </w:r>
            <w:r>
              <w:rPr>
                <w:rFonts w:hint="eastAsia"/>
                <w:b/>
                <w:bCs/>
                <w:color w:val="auto"/>
                <w:sz w:val="24"/>
                <w:szCs w:val="24"/>
                <w:highlight w:val="none"/>
                <w:u w:val="none"/>
                <w:lang w:val="en-US" w:eastAsia="zh-CN"/>
              </w:rPr>
              <w:t>等</w:t>
            </w:r>
            <w:r>
              <w:rPr>
                <w:rFonts w:hint="eastAsia" w:ascii="宋体" w:hAnsi="宋体" w:eastAsia="宋体" w:cs="宋体"/>
                <w:color w:val="auto"/>
                <w:sz w:val="24"/>
                <w:szCs w:val="24"/>
                <w:highlight w:val="none"/>
              </w:rPr>
              <w:t>类似项目业绩</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每提供一个得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283F0858">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注：投标文件中提供合同扫描件并加盖投标人公章，未提供不得分。 </w:t>
            </w:r>
          </w:p>
        </w:tc>
      </w:tr>
      <w:tr w14:paraId="1A4EF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0" w:hRule="atLeast"/>
          <w:jc w:val="center"/>
        </w:trPr>
        <w:tc>
          <w:tcPr>
            <w:tcW w:w="1441" w:type="dxa"/>
            <w:vAlign w:val="center"/>
          </w:tcPr>
          <w:p w14:paraId="0AFA626B">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项目保障</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7935" w:type="dxa"/>
            <w:vAlign w:val="center"/>
          </w:tcPr>
          <w:p w14:paraId="4B30298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投标人具有有效的</w:t>
            </w:r>
            <w:r>
              <w:rPr>
                <w:rFonts w:hint="eastAsia"/>
                <w:color w:val="auto"/>
                <w:sz w:val="24"/>
                <w:szCs w:val="24"/>
                <w:highlight w:val="none"/>
                <w:lang w:eastAsia="zh-CN"/>
              </w:rPr>
              <w:t>售后服务相关认证证书</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43F1A797">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投标人具有有效的信息系统安全运维服务证书的得2分。</w:t>
            </w:r>
          </w:p>
          <w:p w14:paraId="70D9AD5B">
            <w:pPr>
              <w:widowControl/>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注：提供有效证书的扫描件并加盖投标人公章，未提供不得分。</w:t>
            </w:r>
          </w:p>
        </w:tc>
      </w:tr>
      <w:tr w14:paraId="3016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41" w:type="dxa"/>
            <w:vAlign w:val="center"/>
          </w:tcPr>
          <w:p w14:paraId="4BEF137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项目实施方案（</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7935" w:type="dxa"/>
            <w:vAlign w:val="center"/>
          </w:tcPr>
          <w:p w14:paraId="0120D6C7">
            <w:pPr>
              <w:keepNext w:val="0"/>
              <w:keepLines w:val="0"/>
              <w:pageBreakBefore w:val="0"/>
              <w:widowControl w:val="0"/>
              <w:spacing w:line="360" w:lineRule="auto"/>
              <w:rPr>
                <w:rFonts w:hint="eastAsia" w:ascii="宋体" w:hAnsi="宋体"/>
                <w:color w:val="auto"/>
                <w:sz w:val="24"/>
                <w:szCs w:val="24"/>
                <w:highlight w:val="none"/>
              </w:rPr>
            </w:pPr>
            <w:r>
              <w:rPr>
                <w:rFonts w:hint="eastAsia" w:ascii="宋体" w:hAnsi="宋体"/>
                <w:bCs/>
                <w:color w:val="auto"/>
                <w:sz w:val="24"/>
                <w:szCs w:val="24"/>
                <w:highlight w:val="none"/>
                <w:lang w:val="en-US" w:eastAsia="zh-CN"/>
              </w:rPr>
              <w:t>投标文件中提供</w:t>
            </w:r>
            <w:r>
              <w:rPr>
                <w:rFonts w:hint="eastAsia" w:ascii="宋体" w:hAnsi="宋体"/>
                <w:bCs/>
                <w:color w:val="auto"/>
                <w:sz w:val="24"/>
                <w:szCs w:val="24"/>
                <w:highlight w:val="none"/>
                <w:lang w:val="zh-CN"/>
              </w:rPr>
              <w:t>项目实施方案，</w:t>
            </w:r>
            <w:r>
              <w:rPr>
                <w:rFonts w:hint="eastAsia" w:ascii="宋体" w:hAnsi="宋体"/>
                <w:color w:val="auto"/>
                <w:sz w:val="24"/>
                <w:szCs w:val="24"/>
                <w:highlight w:val="none"/>
                <w:lang w:val="en-US" w:eastAsia="zh-CN"/>
              </w:rPr>
              <w:t>方案</w:t>
            </w:r>
            <w:r>
              <w:rPr>
                <w:rFonts w:hint="eastAsia" w:ascii="宋体" w:hAnsi="宋体"/>
                <w:color w:val="auto"/>
                <w:sz w:val="24"/>
                <w:szCs w:val="24"/>
                <w:highlight w:val="none"/>
              </w:rPr>
              <w:t>包括但不限于组织和实施流程、设备安装方案、进度计划、质量保证措施、紧急预案等</w:t>
            </w:r>
            <w:r>
              <w:rPr>
                <w:rFonts w:hint="eastAsia" w:ascii="宋体" w:hAnsi="宋体"/>
                <w:color w:val="auto"/>
                <w:sz w:val="24"/>
                <w:szCs w:val="24"/>
                <w:highlight w:val="none"/>
                <w:lang w:val="en-US" w:eastAsia="zh-CN"/>
              </w:rPr>
              <w:t>内容：</w:t>
            </w:r>
          </w:p>
          <w:p w14:paraId="4A9D40AE">
            <w:pPr>
              <w:keepNext w:val="0"/>
              <w:keepLines w:val="0"/>
              <w:pageBreakBefore w:val="0"/>
              <w:widowControl w:val="0"/>
              <w:spacing w:line="360" w:lineRule="auto"/>
              <w:rPr>
                <w:color w:val="auto"/>
                <w:sz w:val="24"/>
                <w:szCs w:val="24"/>
                <w:highlight w:val="none"/>
              </w:rPr>
            </w:pPr>
            <w:r>
              <w:rPr>
                <w:rFonts w:hint="eastAsia"/>
                <w:color w:val="auto"/>
                <w:sz w:val="24"/>
                <w:szCs w:val="24"/>
                <w:highlight w:val="none"/>
              </w:rPr>
              <w:t>方案包含上述全部内容，实施流程清晰</w:t>
            </w:r>
            <w:r>
              <w:rPr>
                <w:rFonts w:hint="eastAsia"/>
                <w:color w:val="auto"/>
                <w:sz w:val="24"/>
                <w:szCs w:val="24"/>
                <w:highlight w:val="none"/>
                <w:lang w:eastAsia="zh-CN"/>
              </w:rPr>
              <w:t>、</w:t>
            </w:r>
            <w:r>
              <w:rPr>
                <w:rFonts w:hint="eastAsia"/>
                <w:color w:val="auto"/>
                <w:sz w:val="24"/>
                <w:szCs w:val="24"/>
                <w:highlight w:val="none"/>
              </w:rPr>
              <w:t>安装及进度计划内容详细</w:t>
            </w:r>
            <w:r>
              <w:rPr>
                <w:rFonts w:hint="eastAsia"/>
                <w:color w:val="auto"/>
                <w:sz w:val="24"/>
                <w:szCs w:val="24"/>
                <w:highlight w:val="none"/>
                <w:lang w:eastAsia="zh-CN"/>
              </w:rPr>
              <w:t>、</w:t>
            </w:r>
            <w:r>
              <w:rPr>
                <w:rFonts w:hint="eastAsia"/>
                <w:color w:val="auto"/>
                <w:sz w:val="24"/>
                <w:szCs w:val="24"/>
                <w:highlight w:val="none"/>
              </w:rPr>
              <w:t>措施完善</w:t>
            </w:r>
            <w:r>
              <w:rPr>
                <w:rFonts w:hint="eastAsia"/>
                <w:color w:val="auto"/>
                <w:sz w:val="24"/>
                <w:szCs w:val="24"/>
                <w:highlight w:val="none"/>
                <w:lang w:eastAsia="zh-CN"/>
              </w:rPr>
              <w:t>、</w:t>
            </w:r>
            <w:r>
              <w:rPr>
                <w:rFonts w:hint="eastAsia"/>
                <w:color w:val="auto"/>
                <w:sz w:val="24"/>
                <w:szCs w:val="24"/>
                <w:highlight w:val="none"/>
              </w:rPr>
              <w:t>预案可操作性强的</w:t>
            </w:r>
            <w:r>
              <w:rPr>
                <w:rFonts w:hint="eastAsia"/>
                <w:b/>
                <w:bCs/>
                <w:color w:val="auto"/>
                <w:sz w:val="24"/>
                <w:szCs w:val="24"/>
                <w:highlight w:val="none"/>
              </w:rPr>
              <w:t>得</w:t>
            </w:r>
            <w:r>
              <w:rPr>
                <w:rFonts w:hint="eastAsia"/>
                <w:b/>
                <w:bCs/>
                <w:color w:val="auto"/>
                <w:sz w:val="24"/>
                <w:szCs w:val="24"/>
                <w:highlight w:val="none"/>
                <w:lang w:val="en-US" w:eastAsia="zh-CN"/>
              </w:rPr>
              <w:t>8</w:t>
            </w:r>
            <w:r>
              <w:rPr>
                <w:rFonts w:hint="eastAsia"/>
                <w:b/>
                <w:bCs/>
                <w:color w:val="auto"/>
                <w:sz w:val="24"/>
                <w:szCs w:val="24"/>
                <w:highlight w:val="none"/>
              </w:rPr>
              <w:t>分</w:t>
            </w:r>
            <w:r>
              <w:rPr>
                <w:rFonts w:hint="eastAsia"/>
                <w:color w:val="auto"/>
                <w:sz w:val="24"/>
                <w:szCs w:val="24"/>
                <w:highlight w:val="none"/>
              </w:rPr>
              <w:t>；</w:t>
            </w:r>
          </w:p>
          <w:p w14:paraId="015619C5">
            <w:pPr>
              <w:keepNext w:val="0"/>
              <w:keepLines w:val="0"/>
              <w:pageBreakBefore w:val="0"/>
              <w:widowControl w:val="0"/>
              <w:spacing w:line="360" w:lineRule="auto"/>
              <w:rPr>
                <w:color w:val="auto"/>
                <w:sz w:val="24"/>
                <w:szCs w:val="24"/>
                <w:highlight w:val="none"/>
              </w:rPr>
            </w:pPr>
            <w:r>
              <w:rPr>
                <w:rFonts w:hint="eastAsia"/>
                <w:color w:val="auto"/>
                <w:sz w:val="24"/>
                <w:szCs w:val="24"/>
                <w:highlight w:val="none"/>
              </w:rPr>
              <w:t>方案包含上述全部内容，流程较清晰</w:t>
            </w:r>
            <w:r>
              <w:rPr>
                <w:rFonts w:hint="eastAsia"/>
                <w:color w:val="auto"/>
                <w:sz w:val="24"/>
                <w:szCs w:val="24"/>
                <w:highlight w:val="none"/>
                <w:lang w:eastAsia="zh-CN"/>
              </w:rPr>
              <w:t>、</w:t>
            </w:r>
            <w:r>
              <w:rPr>
                <w:rFonts w:hint="eastAsia"/>
                <w:color w:val="auto"/>
                <w:sz w:val="24"/>
                <w:szCs w:val="24"/>
                <w:highlight w:val="none"/>
              </w:rPr>
              <w:t>安装及进度计划内容较详细</w:t>
            </w:r>
            <w:r>
              <w:rPr>
                <w:rFonts w:hint="eastAsia"/>
                <w:color w:val="auto"/>
                <w:sz w:val="24"/>
                <w:szCs w:val="24"/>
                <w:highlight w:val="none"/>
                <w:lang w:eastAsia="zh-CN"/>
              </w:rPr>
              <w:t>、</w:t>
            </w:r>
            <w:r>
              <w:rPr>
                <w:rFonts w:hint="eastAsia"/>
                <w:color w:val="auto"/>
                <w:sz w:val="24"/>
                <w:szCs w:val="24"/>
                <w:highlight w:val="none"/>
              </w:rPr>
              <w:t>有对应措施</w:t>
            </w:r>
            <w:r>
              <w:rPr>
                <w:rFonts w:hint="eastAsia"/>
                <w:color w:val="auto"/>
                <w:sz w:val="24"/>
                <w:szCs w:val="24"/>
                <w:highlight w:val="none"/>
                <w:lang w:eastAsia="zh-CN"/>
              </w:rPr>
              <w:t>、</w:t>
            </w:r>
            <w:r>
              <w:rPr>
                <w:rFonts w:hint="eastAsia"/>
                <w:color w:val="auto"/>
                <w:sz w:val="24"/>
                <w:szCs w:val="24"/>
                <w:highlight w:val="none"/>
              </w:rPr>
              <w:t>预案可操作性较强的</w:t>
            </w:r>
            <w:r>
              <w:rPr>
                <w:rFonts w:hint="eastAsia"/>
                <w:b/>
                <w:bCs/>
                <w:color w:val="auto"/>
                <w:sz w:val="24"/>
                <w:szCs w:val="24"/>
                <w:highlight w:val="none"/>
              </w:rPr>
              <w:t>得</w:t>
            </w:r>
            <w:r>
              <w:rPr>
                <w:rFonts w:hint="eastAsia"/>
                <w:b/>
                <w:bCs/>
                <w:color w:val="auto"/>
                <w:sz w:val="24"/>
                <w:szCs w:val="24"/>
                <w:highlight w:val="none"/>
                <w:lang w:val="en-US" w:eastAsia="zh-CN"/>
              </w:rPr>
              <w:t>5</w:t>
            </w:r>
            <w:r>
              <w:rPr>
                <w:rFonts w:hint="eastAsia"/>
                <w:b/>
                <w:bCs/>
                <w:color w:val="auto"/>
                <w:sz w:val="24"/>
                <w:szCs w:val="24"/>
                <w:highlight w:val="none"/>
              </w:rPr>
              <w:t>分</w:t>
            </w:r>
            <w:r>
              <w:rPr>
                <w:rFonts w:hint="eastAsia"/>
                <w:color w:val="auto"/>
                <w:sz w:val="24"/>
                <w:szCs w:val="24"/>
                <w:highlight w:val="none"/>
              </w:rPr>
              <w:t>；</w:t>
            </w:r>
          </w:p>
          <w:p w14:paraId="05613109">
            <w:pPr>
              <w:keepNext w:val="0"/>
              <w:keepLines w:val="0"/>
              <w:pageBreakBefore w:val="0"/>
              <w:widowControl w:val="0"/>
              <w:spacing w:line="360" w:lineRule="auto"/>
              <w:rPr>
                <w:color w:val="auto"/>
                <w:sz w:val="24"/>
                <w:szCs w:val="24"/>
                <w:highlight w:val="none"/>
              </w:rPr>
            </w:pPr>
            <w:r>
              <w:rPr>
                <w:rFonts w:hint="eastAsia"/>
                <w:color w:val="auto"/>
                <w:sz w:val="24"/>
                <w:szCs w:val="24"/>
                <w:highlight w:val="none"/>
              </w:rPr>
              <w:t>上述内容有缺项，内容合理性一般</w:t>
            </w:r>
            <w:r>
              <w:rPr>
                <w:rFonts w:hint="eastAsia"/>
                <w:color w:val="auto"/>
                <w:sz w:val="24"/>
                <w:szCs w:val="24"/>
                <w:highlight w:val="none"/>
                <w:lang w:eastAsia="zh-CN"/>
              </w:rPr>
              <w:t>、</w:t>
            </w:r>
            <w:r>
              <w:rPr>
                <w:rFonts w:hint="eastAsia"/>
                <w:color w:val="auto"/>
                <w:sz w:val="24"/>
                <w:szCs w:val="24"/>
                <w:highlight w:val="none"/>
              </w:rPr>
              <w:t>措施简单粗糙</w:t>
            </w:r>
            <w:r>
              <w:rPr>
                <w:rFonts w:hint="eastAsia"/>
                <w:color w:val="auto"/>
                <w:sz w:val="24"/>
                <w:szCs w:val="24"/>
                <w:highlight w:val="none"/>
                <w:lang w:eastAsia="zh-CN"/>
              </w:rPr>
              <w:t>、</w:t>
            </w:r>
            <w:r>
              <w:rPr>
                <w:rFonts w:hint="eastAsia"/>
                <w:color w:val="auto"/>
                <w:sz w:val="24"/>
                <w:szCs w:val="24"/>
                <w:highlight w:val="none"/>
              </w:rPr>
              <w:t>可操作性</w:t>
            </w:r>
            <w:r>
              <w:rPr>
                <w:rFonts w:hint="eastAsia"/>
                <w:color w:val="auto"/>
                <w:sz w:val="24"/>
                <w:szCs w:val="24"/>
                <w:highlight w:val="none"/>
                <w:lang w:val="en-US" w:eastAsia="zh-CN"/>
              </w:rPr>
              <w:t>一般</w:t>
            </w:r>
            <w:r>
              <w:rPr>
                <w:rFonts w:hint="eastAsia"/>
                <w:color w:val="auto"/>
                <w:sz w:val="24"/>
                <w:szCs w:val="24"/>
                <w:highlight w:val="none"/>
              </w:rPr>
              <w:t>的</w:t>
            </w:r>
            <w:r>
              <w:rPr>
                <w:rFonts w:hint="eastAsia"/>
                <w:b/>
                <w:bCs/>
                <w:color w:val="auto"/>
                <w:sz w:val="24"/>
                <w:szCs w:val="24"/>
                <w:highlight w:val="none"/>
              </w:rPr>
              <w:t>得</w:t>
            </w:r>
            <w:r>
              <w:rPr>
                <w:rFonts w:hint="eastAsia"/>
                <w:b/>
                <w:bCs/>
                <w:color w:val="auto"/>
                <w:sz w:val="24"/>
                <w:szCs w:val="24"/>
                <w:highlight w:val="none"/>
                <w:lang w:val="en-US" w:eastAsia="zh-CN"/>
              </w:rPr>
              <w:t>2</w:t>
            </w:r>
            <w:r>
              <w:rPr>
                <w:rFonts w:hint="eastAsia"/>
                <w:b/>
                <w:bCs/>
                <w:color w:val="auto"/>
                <w:sz w:val="24"/>
                <w:szCs w:val="24"/>
                <w:highlight w:val="none"/>
              </w:rPr>
              <w:t>分</w:t>
            </w:r>
            <w:r>
              <w:rPr>
                <w:rFonts w:hint="eastAsia"/>
                <w:color w:val="auto"/>
                <w:sz w:val="24"/>
                <w:szCs w:val="24"/>
                <w:highlight w:val="none"/>
              </w:rPr>
              <w:t>。</w:t>
            </w:r>
          </w:p>
          <w:p w14:paraId="0211AB91">
            <w:pPr>
              <w:widowControl/>
              <w:shd w:val="clear" w:color="auto" w:fill="FFFFFF"/>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38E93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41" w:type="dxa"/>
            <w:vAlign w:val="center"/>
          </w:tcPr>
          <w:p w14:paraId="2736F7F6">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7935" w:type="dxa"/>
            <w:vAlign w:val="center"/>
          </w:tcPr>
          <w:p w14:paraId="3A898F1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投标文件中提供培训方案。根据方案是否完善合理,是否符合采购人实际需求，包括但不限于培训方式、培训内容及学时安排等内容进行评分。</w:t>
            </w:r>
          </w:p>
          <w:p w14:paraId="5191484B">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培训方案内容丰富，培训形式多样，符合采购人需求的得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18B98A05">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培训方案内容较丰富，培训形式较多样，基本满足采购人需求</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1B49DCD9">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培训方案内容简单，培训形式单一，与采购人需求存在偏差的得2分。</w:t>
            </w:r>
          </w:p>
          <w:p w14:paraId="2A0221B9">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0CDAA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41" w:type="dxa"/>
            <w:vAlign w:val="center"/>
          </w:tcPr>
          <w:p w14:paraId="0530ED5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售后方案（</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7935" w:type="dxa"/>
            <w:vAlign w:val="center"/>
          </w:tcPr>
          <w:p w14:paraId="7B8CBF80">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投标文件中提供售后服务方案，内容包括但不限于服务内容、响应时间、故障处理等：</w:t>
            </w:r>
          </w:p>
          <w:p w14:paraId="78B68375">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方案阐述详细，响应时间及故障处理及时，人员配备合理，支撑保障措施完善，具备完善的服务保障体系的得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38B9604B">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方案阐述较详细，响应时间及故障处理较及时，人员配备较合理，支撑保障措施较完善，具有一定的服务保障体系的得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23F5149B">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方案内容简单粗糙，上述内容有缺项，可实施性一般的得2分；</w:t>
            </w:r>
          </w:p>
          <w:p w14:paraId="7B13BC29">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5B7AB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41" w:type="dxa"/>
            <w:vAlign w:val="center"/>
          </w:tcPr>
          <w:p w14:paraId="699A4D3E">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rPr>
              <w:t>应急预案</w:t>
            </w:r>
          </w:p>
          <w:p w14:paraId="2FD1CC8F">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7935" w:type="dxa"/>
            <w:vAlign w:val="center"/>
          </w:tcPr>
          <w:p w14:paraId="21E09F8A">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应急预案：针对应急预案的流程设计、响应时间等方面的详细描述进行评定。 </w:t>
            </w:r>
          </w:p>
          <w:p w14:paraId="19A83551">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预案内容详细、全面，要素齐全，逻辑清晰，完整规范，得8分； </w:t>
            </w:r>
          </w:p>
          <w:p w14:paraId="603E85F3">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预案内容较为完整，核心内容齐全，细节略有欠缺，整体达标，得5分； </w:t>
            </w:r>
          </w:p>
          <w:p w14:paraId="674568CD">
            <w:pPr>
              <w:widowControl/>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预案内容一般，内容简略，关键环节不完善，完整性不足，得2分； </w:t>
            </w:r>
          </w:p>
          <w:p w14:paraId="45CBA3D1">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未见阐述不得分。</w:t>
            </w:r>
          </w:p>
        </w:tc>
      </w:tr>
    </w:tbl>
    <w:p w14:paraId="53BB11D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（3）技术分（3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bl>
      <w:tblPr>
        <w:tblStyle w:val="45"/>
        <w:tblW w:w="9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97"/>
        <w:gridCol w:w="7961"/>
      </w:tblGrid>
      <w:tr w14:paraId="50002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005F163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961" w:type="dxa"/>
            <w:vAlign w:val="center"/>
          </w:tcPr>
          <w:p w14:paraId="4E1289F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5C464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497" w:type="dxa"/>
            <w:vAlign w:val="center"/>
          </w:tcPr>
          <w:p w14:paraId="77CEFE2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技术参数响应</w:t>
            </w:r>
          </w:p>
          <w:p w14:paraId="7458F70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分）</w:t>
            </w:r>
          </w:p>
        </w:tc>
        <w:tc>
          <w:tcPr>
            <w:tcW w:w="7961" w:type="dxa"/>
            <w:vAlign w:val="center"/>
          </w:tcPr>
          <w:p w14:paraId="5DC7E074">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产品技术参数基准分3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分，带“▲”标识的技术参数为重要参数，标有▲的参数每有一项不满足扣2分，扣完为止。</w:t>
            </w:r>
          </w:p>
          <w:p w14:paraId="24F9475B">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投标人针对本项评审内容在响应文件《技术规格偏离表》中逐条列出响应及偏离情况，采购需求中要求提供证明材料的，以加盖投标人公章的证明材料为准，未提供相关证明材料或者提供材料与要求不符的视为不满足，技术参数功能名称不完全一致的，由评标委员会统一认定。</w:t>
            </w:r>
          </w:p>
        </w:tc>
      </w:tr>
    </w:tbl>
    <w:p w14:paraId="15C982BC">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rPr>
          <w:rFonts w:hint="eastAsia" w:ascii="宋体" w:hAnsi="宋体" w:eastAsia="宋体" w:cs="宋体"/>
          <w:b/>
          <w:color w:val="auto"/>
          <w:sz w:val="24"/>
          <w:szCs w:val="24"/>
          <w:highlight w:val="none"/>
        </w:rPr>
      </w:pPr>
    </w:p>
    <w:bookmarkEnd w:id="28"/>
    <w:sectPr>
      <w:headerReference r:id="rId5"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黑体">
    <w:altName w:val="黑体"/>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002020204"/>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4A13D">
    <w:pPr>
      <w:ind w:firstLine="420"/>
      <w:jc w:val="center"/>
    </w:pPr>
    <w:r>
      <w:t>第</w:t>
    </w:r>
    <w:r>
      <w:fldChar w:fldCharType="begin"/>
    </w:r>
    <w:r>
      <w:instrText xml:space="preserve"> PAGE  \* Arabic  \* MERGEFORMAT </w:instrText>
    </w:r>
    <w:r>
      <w:fldChar w:fldCharType="separate"/>
    </w:r>
    <w:r>
      <w:t>46</w:t>
    </w:r>
    <w:r>
      <w:fldChar w:fldCharType="end"/>
    </w:r>
    <w:r>
      <w:t>页</w:t>
    </w:r>
    <w:r>
      <w:rPr>
        <w:rFonts w:hint="eastAsia"/>
      </w:rPr>
      <w:t>共</w:t>
    </w:r>
    <w:r>
      <w:fldChar w:fldCharType="begin"/>
    </w:r>
    <w:r>
      <w:instrText xml:space="preserve"> NUMPAGES  \* Arabic  \* MERGEFORMAT </w:instrText>
    </w:r>
    <w:r>
      <w:fldChar w:fldCharType="separate"/>
    </w:r>
    <w:r>
      <w:t>52</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3FAD3">
    <w:pPr>
      <w:framePr w:wrap="around" w:vAnchor="text" w:hAnchor="margin" w:xAlign="center" w:y="1"/>
      <w:ind w:firstLine="420"/>
    </w:pPr>
    <w:r>
      <w:fldChar w:fldCharType="begin"/>
    </w:r>
    <w:r>
      <w:instrText xml:space="preserve">PAGE  </w:instrText>
    </w:r>
    <w:r>
      <w:fldChar w:fldCharType="separate"/>
    </w:r>
    <w:r>
      <w:t>34</w:t>
    </w:r>
    <w:r>
      <w:fldChar w:fldCharType="end"/>
    </w:r>
  </w:p>
  <w:p w14:paraId="3142BCED">
    <w:pPr>
      <w:ind w:firstLine="4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53B9E">
    <w:pPr>
      <w:pBdr>
        <w:bottom w:val="single" w:color="auto" w:sz="6" w:space="1"/>
      </w:pBdr>
    </w:pPr>
    <w:r>
      <w:rPr>
        <w:rFonts w:hint="eastAsia"/>
      </w:rPr>
      <w:t>中和德汇工程技术有限公司                                               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EBB0A">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7028E">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00000001"/>
    <w:multiLevelType w:val="singleLevel"/>
    <w:tmpl w:val="00000001"/>
    <w:lvl w:ilvl="0" w:tentative="0">
      <w:start w:val="3"/>
      <w:numFmt w:val="decimal"/>
      <w:suff w:val="nothing"/>
      <w:lvlText w:val="（%1）"/>
      <w:lvlJc w:val="left"/>
    </w:lvl>
  </w:abstractNum>
  <w:abstractNum w:abstractNumId="2">
    <w:nsid w:val="00000002"/>
    <w:multiLevelType w:val="singleLevel"/>
    <w:tmpl w:val="00000002"/>
    <w:lvl w:ilvl="0" w:tentative="0">
      <w:start w:val="2"/>
      <w:numFmt w:val="decimal"/>
      <w:suff w:val="nothing"/>
      <w:lvlText w:val="%1、"/>
      <w:lvlJc w:val="left"/>
    </w:lvl>
  </w:abstractNum>
  <w:abstractNum w:abstractNumId="3">
    <w:nsid w:val="00000003"/>
    <w:multiLevelType w:val="singleLevel"/>
    <w:tmpl w:val="00000003"/>
    <w:lvl w:ilvl="0" w:tentative="0">
      <w:start w:val="1"/>
      <w:numFmt w:val="decimal"/>
      <w:suff w:val="nothing"/>
      <w:lvlText w:val="%1、"/>
      <w:lvlJc w:val="left"/>
      <w:pPr>
        <w:ind w:left="600" w:leftChars="0" w:firstLine="0" w:firstLineChars="0"/>
      </w:pPr>
    </w:lvl>
  </w:abstractNum>
  <w:abstractNum w:abstractNumId="4">
    <w:nsid w:val="00000004"/>
    <w:multiLevelType w:val="singleLevel"/>
    <w:tmpl w:val="00000004"/>
    <w:lvl w:ilvl="0" w:tentative="0">
      <w:start w:val="2"/>
      <w:numFmt w:val="chineseCounting"/>
      <w:suff w:val="nothing"/>
      <w:lvlText w:val="%1、"/>
      <w:lvlJc w:val="left"/>
      <w:rPr>
        <w:rFonts w:hint="eastAsia"/>
      </w:rPr>
    </w:lvl>
  </w:abstractNum>
  <w:abstractNum w:abstractNumId="5">
    <w:nsid w:val="00000005"/>
    <w:multiLevelType w:val="singleLevel"/>
    <w:tmpl w:val="00000005"/>
    <w:lvl w:ilvl="0" w:tentative="0">
      <w:start w:val="1"/>
      <w:numFmt w:val="decimal"/>
      <w:suff w:val="nothing"/>
      <w:lvlText w:val="%1、"/>
      <w:lvlJc w:val="left"/>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DC7C1D"/>
    <w:rsid w:val="00ED2095"/>
    <w:rsid w:val="05652305"/>
    <w:rsid w:val="0676737F"/>
    <w:rsid w:val="0E230C39"/>
    <w:rsid w:val="15113EE2"/>
    <w:rsid w:val="16A845E8"/>
    <w:rsid w:val="16B16523"/>
    <w:rsid w:val="185B315E"/>
    <w:rsid w:val="193706C6"/>
    <w:rsid w:val="1A4D25B8"/>
    <w:rsid w:val="1CBD1058"/>
    <w:rsid w:val="1D357BBF"/>
    <w:rsid w:val="1E341DDD"/>
    <w:rsid w:val="1E8705EE"/>
    <w:rsid w:val="21630D5A"/>
    <w:rsid w:val="27EA3CFB"/>
    <w:rsid w:val="28A207DD"/>
    <w:rsid w:val="2A113542"/>
    <w:rsid w:val="2C8E18BC"/>
    <w:rsid w:val="32D53208"/>
    <w:rsid w:val="34B35455"/>
    <w:rsid w:val="36B76978"/>
    <w:rsid w:val="36EE3C2B"/>
    <w:rsid w:val="3AAF5EAA"/>
    <w:rsid w:val="3AEE25D5"/>
    <w:rsid w:val="3ED65F20"/>
    <w:rsid w:val="3F6908A4"/>
    <w:rsid w:val="42666D6B"/>
    <w:rsid w:val="42EC1E65"/>
    <w:rsid w:val="431D2FBB"/>
    <w:rsid w:val="46CF5810"/>
    <w:rsid w:val="4DEB3104"/>
    <w:rsid w:val="50284D61"/>
    <w:rsid w:val="5238328E"/>
    <w:rsid w:val="54F46459"/>
    <w:rsid w:val="556B203E"/>
    <w:rsid w:val="58DF4007"/>
    <w:rsid w:val="5C9E6630"/>
    <w:rsid w:val="62FD297C"/>
    <w:rsid w:val="685F0B4B"/>
    <w:rsid w:val="6B05474A"/>
    <w:rsid w:val="6C4852FB"/>
    <w:rsid w:val="6D5F3548"/>
    <w:rsid w:val="70CB3B86"/>
    <w:rsid w:val="74A66DE1"/>
    <w:rsid w:val="76B71BFB"/>
    <w:rsid w:val="7BE115E9"/>
    <w:rsid w:val="7FD121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99"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sz w:val="21"/>
      <w:szCs w:val="22"/>
      <w:lang w:val="en-US" w:eastAsia="zh-CN" w:bidi="ar-SA"/>
    </w:rPr>
  </w:style>
  <w:style w:type="paragraph" w:styleId="2">
    <w:name w:val="heading 1"/>
    <w:basedOn w:val="1"/>
    <w:next w:val="1"/>
    <w:link w:val="209"/>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3">
    <w:name w:val="heading 2"/>
    <w:basedOn w:val="1"/>
    <w:next w:val="1"/>
    <w:link w:val="210"/>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11"/>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12"/>
    <w:qFormat/>
    <w:uiPriority w:val="0"/>
    <w:pPr>
      <w:numPr>
        <w:ilvl w:val="3"/>
        <w:numId w:val="1"/>
      </w:numPr>
      <w:tabs>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217"/>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8"/>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9"/>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20"/>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21"/>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7">
    <w:name w:val="Default Paragraph Font"/>
    <w:qFormat/>
    <w:uiPriority w:val="1"/>
  </w:style>
  <w:style w:type="table" w:default="1" w:styleId="45">
    <w:name w:val="Normal Table"/>
    <w:qFormat/>
    <w:uiPriority w:val="99"/>
    <w:tblPr>
      <w:tblCellMar>
        <w:top w:w="0" w:type="dxa"/>
        <w:left w:w="108" w:type="dxa"/>
        <w:bottom w:w="0" w:type="dxa"/>
        <w:right w:w="108" w:type="dxa"/>
      </w:tblCellMar>
    </w:tblPr>
  </w:style>
  <w:style w:type="paragraph" w:styleId="11">
    <w:name w:val="toc 7"/>
    <w:basedOn w:val="1"/>
    <w:next w:val="1"/>
    <w:qFormat/>
    <w:uiPriority w:val="39"/>
    <w:pPr>
      <w:spacing w:after="57"/>
      <w:ind w:left="1701"/>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qFormat/>
    <w:uiPriority w:val="35"/>
    <w:pPr>
      <w:spacing w:line="276" w:lineRule="auto"/>
    </w:pPr>
    <w:rPr>
      <w:b/>
      <w:bCs/>
      <w:color w:val="4F81BD"/>
      <w:sz w:val="18"/>
      <w:szCs w:val="18"/>
    </w:rPr>
  </w:style>
  <w:style w:type="paragraph" w:styleId="14">
    <w:name w:val="Document Map"/>
    <w:basedOn w:val="1"/>
    <w:link w:val="231"/>
    <w:qFormat/>
    <w:uiPriority w:val="99"/>
    <w:rPr>
      <w:rFonts w:ascii="宋体" w:eastAsia="宋体"/>
      <w:sz w:val="18"/>
      <w:szCs w:val="18"/>
    </w:rPr>
  </w:style>
  <w:style w:type="paragraph" w:styleId="15">
    <w:name w:val="annotation text"/>
    <w:basedOn w:val="1"/>
    <w:link w:val="223"/>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4"/>
    <w:qFormat/>
    <w:uiPriority w:val="0"/>
    <w:pPr>
      <w:spacing w:after="120"/>
    </w:pPr>
    <w:rPr>
      <w:rFonts w:ascii="Times New Roman" w:hAnsi="Times New Roman" w:eastAsia="宋体" w:cs="Times New Roman"/>
      <w:sz w:val="16"/>
      <w:szCs w:val="16"/>
    </w:rPr>
  </w:style>
  <w:style w:type="paragraph" w:styleId="17">
    <w:name w:val="Body Text"/>
    <w:basedOn w:val="1"/>
    <w:next w:val="18"/>
    <w:link w:val="284"/>
    <w:qFormat/>
    <w:uiPriority w:val="0"/>
    <w:rPr>
      <w:rFonts w:ascii="金山简黑体" w:hAnsi="Courier New" w:eastAsia="金山简黑体"/>
      <w:b/>
      <w:spacing w:val="-8"/>
      <w:sz w:val="44"/>
      <w:szCs w:val="20"/>
    </w:rPr>
  </w:style>
  <w:style w:type="paragraph" w:styleId="18">
    <w:name w:val="toc 2"/>
    <w:basedOn w:val="1"/>
    <w:next w:val="1"/>
    <w:qFormat/>
    <w:uiPriority w:val="39"/>
    <w:pPr>
      <w:spacing w:before="120" w:line="360" w:lineRule="auto"/>
      <w:ind w:left="210" w:firstLine="922"/>
      <w:jc w:val="left"/>
    </w:pPr>
    <w:rPr>
      <w:rFonts w:ascii="Calibri" w:hAnsi="Calibri" w:eastAsia="宋体" w:cs="Times New Roman"/>
      <w:b/>
      <w:bCs/>
      <w:sz w:val="22"/>
    </w:rPr>
  </w:style>
  <w:style w:type="paragraph" w:styleId="19">
    <w:name w:val="Body Text Indent"/>
    <w:basedOn w:val="1"/>
    <w:link w:val="235"/>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20">
    <w:name w:val="List 2"/>
    <w:basedOn w:val="1"/>
    <w:qFormat/>
    <w:uiPriority w:val="0"/>
    <w:pPr>
      <w:ind w:left="840" w:hanging="420"/>
    </w:pPr>
    <w:rPr>
      <w:rFonts w:ascii="隶书" w:hAnsi="Times New Roman" w:eastAsia="仿宋_GB2312" w:cs="Times New Roman"/>
      <w:color w:val="000000"/>
      <w:sz w:val="32"/>
      <w:szCs w:val="20"/>
    </w:rPr>
  </w:style>
  <w:style w:type="paragraph" w:styleId="21">
    <w:name w:val="toc 5"/>
    <w:basedOn w:val="1"/>
    <w:next w:val="1"/>
    <w:qFormat/>
    <w:uiPriority w:val="39"/>
    <w:pPr>
      <w:spacing w:after="57"/>
      <w:ind w:left="1134"/>
    </w:pPr>
  </w:style>
  <w:style w:type="paragraph" w:styleId="22">
    <w:name w:val="toc 3"/>
    <w:basedOn w:val="1"/>
    <w:next w:val="1"/>
    <w:qFormat/>
    <w:uiPriority w:val="39"/>
    <w:pPr>
      <w:spacing w:line="360" w:lineRule="auto"/>
      <w:ind w:left="420" w:firstLine="922"/>
      <w:jc w:val="left"/>
    </w:pPr>
    <w:rPr>
      <w:rFonts w:ascii="Calibri" w:hAnsi="Calibri" w:eastAsia="宋体" w:cs="Times New Roman"/>
      <w:sz w:val="20"/>
      <w:szCs w:val="20"/>
    </w:rPr>
  </w:style>
  <w:style w:type="paragraph" w:styleId="23">
    <w:name w:val="Plain Text"/>
    <w:basedOn w:val="1"/>
    <w:link w:val="214"/>
    <w:qFormat/>
    <w:uiPriority w:val="0"/>
    <w:pPr>
      <w:spacing w:line="360" w:lineRule="auto"/>
      <w:ind w:firstLine="922"/>
    </w:pPr>
    <w:rPr>
      <w:rFonts w:ascii="宋体" w:hAnsi="Courier New"/>
    </w:rPr>
  </w:style>
  <w:style w:type="paragraph" w:styleId="24">
    <w:name w:val="toc 8"/>
    <w:basedOn w:val="1"/>
    <w:next w:val="1"/>
    <w:qFormat/>
    <w:uiPriority w:val="39"/>
    <w:pPr>
      <w:spacing w:after="57"/>
      <w:ind w:left="1984"/>
    </w:pPr>
  </w:style>
  <w:style w:type="paragraph" w:styleId="25">
    <w:name w:val="Date"/>
    <w:basedOn w:val="1"/>
    <w:next w:val="1"/>
    <w:link w:val="236"/>
    <w:qFormat/>
    <w:uiPriority w:val="0"/>
    <w:pPr>
      <w:ind w:left="100"/>
    </w:pPr>
    <w:rPr>
      <w:rFonts w:ascii="仿宋_GB2312" w:hAnsi="Times New Roman" w:eastAsia="仿宋_GB2312" w:cs="Times New Roman"/>
      <w:sz w:val="32"/>
      <w:szCs w:val="24"/>
    </w:rPr>
  </w:style>
  <w:style w:type="paragraph" w:styleId="26">
    <w:name w:val="Body Text Indent 2"/>
    <w:basedOn w:val="1"/>
    <w:link w:val="237"/>
    <w:qFormat/>
    <w:uiPriority w:val="0"/>
    <w:pPr>
      <w:spacing w:line="440" w:lineRule="exact"/>
      <w:ind w:firstLine="645"/>
    </w:pPr>
    <w:rPr>
      <w:rFonts w:ascii="Times New Roman" w:hAnsi="Times New Roman" w:eastAsia="仿宋_GB2312" w:cs="Times New Roman"/>
      <w:sz w:val="32"/>
      <w:szCs w:val="24"/>
    </w:rPr>
  </w:style>
  <w:style w:type="paragraph" w:styleId="27">
    <w:name w:val="endnote text"/>
    <w:basedOn w:val="1"/>
    <w:link w:val="203"/>
    <w:qFormat/>
    <w:uiPriority w:val="99"/>
    <w:rPr>
      <w:sz w:val="20"/>
    </w:rPr>
  </w:style>
  <w:style w:type="paragraph" w:styleId="28">
    <w:name w:val="Balloon Text"/>
    <w:basedOn w:val="1"/>
    <w:link w:val="224"/>
    <w:qFormat/>
    <w:uiPriority w:val="0"/>
    <w:pPr>
      <w:ind w:firstLine="922"/>
    </w:pPr>
    <w:rPr>
      <w:rFonts w:ascii="Times New Roman" w:hAnsi="Times New Roman" w:eastAsia="宋体" w:cs="Times New Roman"/>
      <w:sz w:val="18"/>
      <w:szCs w:val="18"/>
    </w:rPr>
  </w:style>
  <w:style w:type="paragraph" w:styleId="29">
    <w:name w:val="footer"/>
    <w:basedOn w:val="1"/>
    <w:link w:val="239"/>
    <w:qFormat/>
    <w:uiPriority w:val="99"/>
    <w:pPr>
      <w:tabs>
        <w:tab w:val="center" w:pos="4153"/>
        <w:tab w:val="right" w:pos="8306"/>
      </w:tabs>
      <w:jc w:val="left"/>
    </w:pPr>
    <w:rPr>
      <w:rFonts w:ascii="Times New Roman" w:hAnsi="Times New Roman" w:eastAsia="宋体" w:cs="Times New Roman"/>
      <w:sz w:val="18"/>
      <w:szCs w:val="18"/>
    </w:rPr>
  </w:style>
  <w:style w:type="paragraph" w:styleId="30">
    <w:name w:val="header"/>
    <w:basedOn w:val="1"/>
    <w:link w:val="240"/>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1">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2">
    <w:name w:val="toc 4"/>
    <w:basedOn w:val="1"/>
    <w:next w:val="1"/>
    <w:qFormat/>
    <w:uiPriority w:val="39"/>
    <w:pPr>
      <w:spacing w:after="57"/>
      <w:ind w:left="850"/>
    </w:pPr>
  </w:style>
  <w:style w:type="paragraph" w:styleId="33">
    <w:name w:val="Subtitle"/>
    <w:basedOn w:val="1"/>
    <w:next w:val="1"/>
    <w:link w:val="213"/>
    <w:qFormat/>
    <w:uiPriority w:val="0"/>
    <w:pPr>
      <w:spacing w:before="240" w:after="60" w:line="312" w:lineRule="auto"/>
      <w:ind w:firstLine="922"/>
      <w:jc w:val="center"/>
      <w:outlineLvl w:val="1"/>
    </w:pPr>
    <w:rPr>
      <w:rFonts w:ascii="Cambria" w:hAnsi="Cambria"/>
      <w:b/>
      <w:bCs/>
      <w:sz w:val="32"/>
      <w:szCs w:val="32"/>
    </w:rPr>
  </w:style>
  <w:style w:type="paragraph" w:styleId="34">
    <w:name w:val="footnote text"/>
    <w:basedOn w:val="1"/>
    <w:link w:val="202"/>
    <w:qFormat/>
    <w:uiPriority w:val="99"/>
    <w:pPr>
      <w:spacing w:after="40"/>
    </w:pPr>
    <w:rPr>
      <w:sz w:val="18"/>
    </w:rPr>
  </w:style>
  <w:style w:type="paragraph" w:styleId="35">
    <w:name w:val="toc 6"/>
    <w:basedOn w:val="1"/>
    <w:next w:val="1"/>
    <w:qFormat/>
    <w:uiPriority w:val="39"/>
    <w:pPr>
      <w:spacing w:after="57"/>
      <w:ind w:left="1417"/>
    </w:pPr>
  </w:style>
  <w:style w:type="paragraph" w:styleId="36">
    <w:name w:val="Body Text Indent 3"/>
    <w:basedOn w:val="1"/>
    <w:link w:val="241"/>
    <w:qFormat/>
    <w:uiPriority w:val="0"/>
    <w:pPr>
      <w:spacing w:line="360" w:lineRule="auto"/>
      <w:ind w:firstLine="800"/>
    </w:pPr>
    <w:rPr>
      <w:rFonts w:ascii="仿宋_GB2312" w:hAnsi="华文中宋" w:eastAsia="仿宋_GB2312" w:cs="Times New Roman"/>
      <w:sz w:val="32"/>
      <w:szCs w:val="32"/>
    </w:rPr>
  </w:style>
  <w:style w:type="paragraph" w:styleId="37">
    <w:name w:val="table of figures"/>
    <w:basedOn w:val="1"/>
    <w:next w:val="1"/>
    <w:qFormat/>
    <w:uiPriority w:val="99"/>
  </w:style>
  <w:style w:type="paragraph" w:styleId="38">
    <w:name w:val="toc 9"/>
    <w:basedOn w:val="1"/>
    <w:next w:val="1"/>
    <w:qFormat/>
    <w:uiPriority w:val="39"/>
    <w:pPr>
      <w:spacing w:after="57"/>
      <w:ind w:left="2268"/>
    </w:pPr>
  </w:style>
  <w:style w:type="paragraph" w:styleId="39">
    <w:name w:val="Body Text 2"/>
    <w:basedOn w:val="1"/>
    <w:link w:val="242"/>
    <w:qFormat/>
    <w:uiPriority w:val="0"/>
    <w:pPr>
      <w:jc w:val="center"/>
    </w:pPr>
    <w:rPr>
      <w:rFonts w:ascii="Times New Roman" w:hAnsi="Times New Roman" w:eastAsia="宋体" w:cs="Times New Roman"/>
      <w:szCs w:val="24"/>
    </w:rPr>
  </w:style>
  <w:style w:type="paragraph" w:styleId="40">
    <w:name w:val="HTML Preformatted"/>
    <w:basedOn w:val="1"/>
    <w:link w:val="22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link w:val="70"/>
    <w:qFormat/>
    <w:uiPriority w:val="10"/>
    <w:pPr>
      <w:spacing w:before="300" w:after="200"/>
      <w:contextualSpacing/>
    </w:pPr>
    <w:rPr>
      <w:sz w:val="48"/>
      <w:szCs w:val="48"/>
    </w:rPr>
  </w:style>
  <w:style w:type="paragraph" w:styleId="44">
    <w:name w:val="annotation subject"/>
    <w:basedOn w:val="15"/>
    <w:next w:val="15"/>
    <w:link w:val="230"/>
    <w:qFormat/>
    <w:uiPriority w:val="0"/>
    <w:pPr>
      <w:spacing w:line="240" w:lineRule="auto"/>
      <w:ind w:firstLine="0"/>
    </w:pPr>
    <w:rPr>
      <w:rFonts w:ascii="Calibri" w:hAnsi="Calibri" w:eastAsia="宋体" w:cs="Arial"/>
      <w:b/>
      <w:bCs/>
      <w:szCs w:val="22"/>
    </w:rPr>
  </w:style>
  <w:style w:type="table" w:styleId="46">
    <w:name w:val="Table Grid"/>
    <w:basedOn w:val="45"/>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0"/>
    <w:rPr>
      <w:b/>
      <w:bCs/>
    </w:rPr>
  </w:style>
  <w:style w:type="character" w:styleId="49">
    <w:name w:val="endnote reference"/>
    <w:basedOn w:val="47"/>
    <w:qFormat/>
    <w:uiPriority w:val="99"/>
    <w:rPr>
      <w:vertAlign w:val="superscript"/>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basedOn w:val="47"/>
    <w:qFormat/>
    <w:uiPriority w:val="20"/>
    <w:rPr>
      <w:i/>
      <w:iCs/>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styleId="55">
    <w:name w:val="HTML Cite"/>
    <w:basedOn w:val="47"/>
    <w:qFormat/>
    <w:uiPriority w:val="99"/>
    <w:rPr>
      <w:i/>
      <w:iCs/>
    </w:rPr>
  </w:style>
  <w:style w:type="character" w:styleId="56">
    <w:name w:val="footnote reference"/>
    <w:basedOn w:val="47"/>
    <w:qFormat/>
    <w:uiPriority w:val="99"/>
    <w:rPr>
      <w:vertAlign w:val="superscript"/>
    </w:rPr>
  </w:style>
  <w:style w:type="paragraph" w:customStyle="1" w:styleId="57">
    <w:name w:val="Default"/>
    <w:link w:val="222"/>
    <w:qFormat/>
    <w:uiPriority w:val="99"/>
    <w:pPr>
      <w:widowControl w:val="0"/>
    </w:pPr>
    <w:rPr>
      <w:rFonts w:ascii="MS Mincho" w:hAnsi="Calibri" w:eastAsia="宋体" w:cs="Times New Roman"/>
      <w:color w:val="000000"/>
      <w:sz w:val="21"/>
      <w:szCs w:val="24"/>
      <w:lang w:val="en-US" w:eastAsia="zh-CN" w:bidi="ar-SA"/>
    </w:rPr>
  </w:style>
  <w:style w:type="paragraph" w:customStyle="1" w:styleId="58">
    <w:name w:val="正文首行缩进11"/>
    <w:basedOn w:val="59"/>
    <w:qFormat/>
    <w:uiPriority w:val="0"/>
    <w:pPr>
      <w:spacing w:line="360" w:lineRule="auto"/>
      <w:ind w:firstLine="200"/>
    </w:pPr>
    <w:rPr>
      <w:rFonts w:ascii="仿宋_GB2312" w:hAnsi="Times New Roman" w:eastAsia="仿宋_GB2312"/>
      <w:sz w:val="30"/>
      <w:szCs w:val="30"/>
    </w:rPr>
  </w:style>
  <w:style w:type="paragraph" w:customStyle="1" w:styleId="59">
    <w:name w:val="正文文本11"/>
    <w:basedOn w:val="1"/>
    <w:next w:val="1"/>
    <w:qFormat/>
    <w:uiPriority w:val="0"/>
    <w:rPr>
      <w:rFonts w:ascii="楷体_GB2312" w:hAnsi="Arial" w:eastAsia="楷体_GB2312"/>
      <w:sz w:val="28"/>
      <w:szCs w:val="28"/>
      <w:lang w:eastAsia="en-US"/>
    </w:rPr>
  </w:style>
  <w:style w:type="character" w:customStyle="1" w:styleId="60">
    <w:name w:val="Heading 1 Char_a6db18af-5efe-40d8-a5d7-7ccfed946d2c"/>
    <w:basedOn w:val="47"/>
    <w:qFormat/>
    <w:uiPriority w:val="9"/>
    <w:rPr>
      <w:rFonts w:ascii="Arial" w:hAnsi="Arial" w:eastAsia="Arial" w:cs="Arial"/>
      <w:sz w:val="40"/>
      <w:szCs w:val="40"/>
    </w:rPr>
  </w:style>
  <w:style w:type="character" w:customStyle="1" w:styleId="61">
    <w:name w:val="Heading 2 Char_26b7ed34-8dc6-4ffb-96ad-fd568e4c7129"/>
    <w:basedOn w:val="47"/>
    <w:qFormat/>
    <w:uiPriority w:val="9"/>
    <w:rPr>
      <w:rFonts w:ascii="Arial" w:hAnsi="Arial" w:eastAsia="Arial" w:cs="Arial"/>
      <w:sz w:val="34"/>
    </w:rPr>
  </w:style>
  <w:style w:type="character" w:customStyle="1" w:styleId="62">
    <w:name w:val="Heading 3 Char_61973980-d534-4f39-b60d-aec6280e4bf3"/>
    <w:basedOn w:val="47"/>
    <w:qFormat/>
    <w:uiPriority w:val="9"/>
    <w:rPr>
      <w:rFonts w:ascii="Arial" w:hAnsi="Arial" w:eastAsia="Arial" w:cs="Arial"/>
      <w:sz w:val="30"/>
      <w:szCs w:val="30"/>
    </w:rPr>
  </w:style>
  <w:style w:type="character" w:customStyle="1" w:styleId="63">
    <w:name w:val="Heading 4 Char_47326337-980c-4d51-a598-b5dcb5e45863"/>
    <w:basedOn w:val="47"/>
    <w:qFormat/>
    <w:uiPriority w:val="9"/>
    <w:rPr>
      <w:rFonts w:ascii="Arial" w:hAnsi="Arial" w:eastAsia="Arial" w:cs="Arial"/>
      <w:b/>
      <w:bCs/>
      <w:sz w:val="26"/>
      <w:szCs w:val="26"/>
    </w:rPr>
  </w:style>
  <w:style w:type="character" w:customStyle="1" w:styleId="64">
    <w:name w:val="Heading 5 Char_bf425587-ab8e-44c7-9c5b-3631aa3b92f0"/>
    <w:basedOn w:val="47"/>
    <w:qFormat/>
    <w:uiPriority w:val="9"/>
    <w:rPr>
      <w:rFonts w:ascii="Arial" w:hAnsi="Arial" w:eastAsia="Arial" w:cs="Arial"/>
      <w:b/>
      <w:bCs/>
      <w:sz w:val="24"/>
      <w:szCs w:val="24"/>
    </w:rPr>
  </w:style>
  <w:style w:type="character" w:customStyle="1" w:styleId="65">
    <w:name w:val="Heading 6 Char_fc3241e6-8198-4b90-a257-8c3fcb2988d3"/>
    <w:basedOn w:val="47"/>
    <w:qFormat/>
    <w:uiPriority w:val="9"/>
    <w:rPr>
      <w:rFonts w:ascii="Arial" w:hAnsi="Arial" w:eastAsia="Arial" w:cs="Arial"/>
      <w:b/>
      <w:bCs/>
      <w:sz w:val="22"/>
      <w:szCs w:val="22"/>
    </w:rPr>
  </w:style>
  <w:style w:type="character" w:customStyle="1" w:styleId="66">
    <w:name w:val="Heading 7 Char_7bd9e27f-70f9-43ae-9a67-502fbf6c3ad4"/>
    <w:basedOn w:val="47"/>
    <w:qFormat/>
    <w:uiPriority w:val="9"/>
    <w:rPr>
      <w:rFonts w:ascii="Arial" w:hAnsi="Arial" w:eastAsia="Arial" w:cs="Arial"/>
      <w:b/>
      <w:bCs/>
      <w:i/>
      <w:iCs/>
      <w:sz w:val="22"/>
      <w:szCs w:val="22"/>
    </w:rPr>
  </w:style>
  <w:style w:type="character" w:customStyle="1" w:styleId="67">
    <w:name w:val="Heading 8 Char_77215866-3e37-44fc-8982-2ee0d4d15b54"/>
    <w:basedOn w:val="47"/>
    <w:qFormat/>
    <w:uiPriority w:val="9"/>
    <w:rPr>
      <w:rFonts w:ascii="Arial" w:hAnsi="Arial" w:eastAsia="Arial" w:cs="Arial"/>
      <w:i/>
      <w:iCs/>
      <w:sz w:val="22"/>
      <w:szCs w:val="22"/>
    </w:rPr>
  </w:style>
  <w:style w:type="character" w:customStyle="1" w:styleId="68">
    <w:name w:val="Heading 9 Char_355c2071-585b-448f-9de1-2456da3d2244"/>
    <w:basedOn w:val="47"/>
    <w:qFormat/>
    <w:uiPriority w:val="9"/>
    <w:rPr>
      <w:rFonts w:ascii="Arial" w:hAnsi="Arial" w:eastAsia="Arial" w:cs="Arial"/>
      <w:i/>
      <w:iCs/>
      <w:sz w:val="21"/>
      <w:szCs w:val="21"/>
    </w:rPr>
  </w:style>
  <w:style w:type="paragraph" w:styleId="69">
    <w:name w:val="No Spacing"/>
    <w:link w:val="280"/>
    <w:qFormat/>
    <w:uiPriority w:val="1"/>
    <w:rPr>
      <w:rFonts w:ascii="Times New Roman" w:hAnsi="Times New Roman" w:eastAsia="宋体" w:cs="Times New Roman"/>
      <w:lang w:val="en-US" w:eastAsia="zh-CN" w:bidi="ar-SA"/>
    </w:rPr>
  </w:style>
  <w:style w:type="character" w:customStyle="1" w:styleId="70">
    <w:name w:val="标题 字符"/>
    <w:basedOn w:val="47"/>
    <w:link w:val="43"/>
    <w:qFormat/>
    <w:uiPriority w:val="10"/>
    <w:rPr>
      <w:sz w:val="48"/>
      <w:szCs w:val="48"/>
    </w:rPr>
  </w:style>
  <w:style w:type="character" w:customStyle="1" w:styleId="71">
    <w:name w:val="Subtitle Char"/>
    <w:basedOn w:val="47"/>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Footer Char_a8a25f6f-28c6-4161-836d-99656f490a9d"/>
    <w:basedOn w:val="47"/>
    <w:qFormat/>
    <w:uiPriority w:val="99"/>
  </w:style>
  <w:style w:type="character" w:customStyle="1" w:styleId="77">
    <w:name w:val="Caption Char"/>
    <w:qFormat/>
    <w:uiPriority w:val="99"/>
  </w:style>
  <w:style w:type="table" w:customStyle="1" w:styleId="78">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79">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0">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81">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2">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3">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4">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85">
    <w:name w:val="Grid Table 1 Light - Accent 1"/>
    <w:basedOn w:val="45"/>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86">
    <w:name w:val="Grid Table 1 Light - Accent 2"/>
    <w:basedOn w:val="45"/>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87">
    <w:name w:val="Grid Table 1 Light - Accent 3"/>
    <w:basedOn w:val="45"/>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8">
    <w:name w:val="Grid Table 1 Light - Accent 4"/>
    <w:basedOn w:val="45"/>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9">
    <w:name w:val="Grid Table 1 Light - Accent 5"/>
    <w:basedOn w:val="4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90">
    <w:name w:val="Grid Table 1 Light - Accent 6"/>
    <w:basedOn w:val="45"/>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91">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2">
    <w:name w:val="Grid Table 2 - Accent 2"/>
    <w:basedOn w:val="45"/>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3">
    <w:name w:val="Grid Table 2 - Accent 3"/>
    <w:basedOn w:val="45"/>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94">
    <w:name w:val="Grid Table 2 - Accent 4"/>
    <w:basedOn w:val="45"/>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5">
    <w:name w:val="Grid Table 2 - Accent 5"/>
    <w:basedOn w:val="45"/>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6">
    <w:name w:val="Grid Table 2 - Accent 6"/>
    <w:basedOn w:val="45"/>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9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8">
    <w:name w:val="Grid Table 3 - Accent 1"/>
    <w:basedOn w:val="45"/>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99">
    <w:name w:val="Grid Table 3 - Accent 2"/>
    <w:basedOn w:val="45"/>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0">
    <w:name w:val="Grid Table 3 - Accent 3"/>
    <w:basedOn w:val="45"/>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1">
    <w:name w:val="Grid Table 3 - Accent 4"/>
    <w:basedOn w:val="45"/>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2">
    <w:name w:val="Grid Table 3 - Accent 5"/>
    <w:basedOn w:val="45"/>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3">
    <w:name w:val="Grid Table 3 - Accent 6"/>
    <w:basedOn w:val="45"/>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0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5">
    <w:name w:val="Grid Table 4 - Accent 1"/>
    <w:basedOn w:val="45"/>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06">
    <w:name w:val="Grid Table 4 - Accent 2"/>
    <w:basedOn w:val="45"/>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7">
    <w:name w:val="Grid Table 4 - Accent 3"/>
    <w:basedOn w:val="45"/>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08">
    <w:name w:val="Grid Table 4 - Accent 4"/>
    <w:basedOn w:val="45"/>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9">
    <w:name w:val="Grid Table 4 - Accent 5"/>
    <w:basedOn w:val="4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0">
    <w:name w:val="Grid Table 4 - Accent 6"/>
    <w:basedOn w:val="45"/>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1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1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1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1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1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1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1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19">
    <w:name w:val="Grid Table 6 Colorful - Accent 1"/>
    <w:basedOn w:val="45"/>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20">
    <w:name w:val="Grid Table 6 Colorful - Accent 2"/>
    <w:basedOn w:val="45"/>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21">
    <w:name w:val="Grid Table 6 Colorful - Accent 3"/>
    <w:basedOn w:val="45"/>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22">
    <w:name w:val="Grid Table 6 Colorful - Accent 4"/>
    <w:basedOn w:val="45"/>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3">
    <w:name w:val="Grid Table 6 Colorful - Accent 5"/>
    <w:basedOn w:val="4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24">
    <w:name w:val="Grid Table 6 Colorful - Accent 6"/>
    <w:basedOn w:val="45"/>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2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26">
    <w:name w:val="Grid Table 7 Colorful - Accent 1"/>
    <w:basedOn w:val="45"/>
    <w:qFormat/>
    <w:uiPriority w:val="99"/>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27">
    <w:name w:val="Grid Table 7 Colorful - Accent 2"/>
    <w:basedOn w:val="45"/>
    <w:qFormat/>
    <w:uiPriority w:val="99"/>
    <w:tblPr>
      <w:tblBorders>
        <w:bottom w:val="single" w:color="D99795" w:sz="4" w:space="0"/>
        <w:right w:val="single" w:color="D99795" w:sz="4" w:space="0"/>
        <w:insideH w:val="single" w:color="D99795" w:sz="4" w:space="0"/>
        <w:insideV w:val="single" w:color="D99795" w:sz="4" w:space="0"/>
      </w:tblBorders>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28">
    <w:name w:val="Grid Table 7 Colorful - Accent 3"/>
    <w:basedOn w:val="45"/>
    <w:qFormat/>
    <w:uiPriority w:val="99"/>
    <w:tblPr>
      <w:tblBorders>
        <w:bottom w:val="single" w:color="9BBB59" w:sz="4" w:space="0"/>
        <w:right w:val="single" w:color="9BBB59" w:sz="4" w:space="0"/>
        <w:insideH w:val="single" w:color="9BBB59" w:sz="4" w:space="0"/>
        <w:insideV w:val="single" w:color="9BBB59" w:sz="4" w:space="0"/>
      </w:tblBorders>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29">
    <w:name w:val="Grid Table 7 Colorful - Accent 4"/>
    <w:basedOn w:val="45"/>
    <w:qFormat/>
    <w:uiPriority w:val="99"/>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0">
    <w:name w:val="Grid Table 7 Colorful - Accent 5"/>
    <w:basedOn w:val="45"/>
    <w:qFormat/>
    <w:uiPriority w:val="99"/>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31">
    <w:name w:val="Grid Table 7 Colorful - Accent 6"/>
    <w:basedOn w:val="45"/>
    <w:qFormat/>
    <w:uiPriority w:val="99"/>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32">
    <w:name w:val="清单表 1 浅色1"/>
    <w:basedOn w:val="45"/>
    <w:qFormat/>
    <w:uiPriority w:val="99"/>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3">
    <w:name w:val="List Table 1 Light - Accent 1"/>
    <w:basedOn w:val="45"/>
    <w:qFormat/>
    <w:uiPriority w:val="99"/>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34">
    <w:name w:val="List Table 1 Light - Accent 2"/>
    <w:basedOn w:val="45"/>
    <w:qFormat/>
    <w:uiPriority w:val="99"/>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35">
    <w:name w:val="List Table 1 Light - Accent 3"/>
    <w:basedOn w:val="45"/>
    <w:qFormat/>
    <w:uiPriority w:val="99"/>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36">
    <w:name w:val="List Table 1 Light - Accent 4"/>
    <w:basedOn w:val="45"/>
    <w:qFormat/>
    <w:uiPriority w:val="99"/>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7">
    <w:name w:val="List Table 1 Light - Accent 5"/>
    <w:basedOn w:val="45"/>
    <w:qFormat/>
    <w:uiPriority w:val="99"/>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38">
    <w:name w:val="List Table 1 Light - Accent 6"/>
    <w:basedOn w:val="45"/>
    <w:qFormat/>
    <w:uiPriority w:val="99"/>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3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0">
    <w:name w:val="List Table 2 - Accent 1"/>
    <w:basedOn w:val="45"/>
    <w:qFormat/>
    <w:uiPriority w:val="99"/>
    <w:tblPr>
      <w:tblBorders>
        <w:top w:val="single" w:color="9BB7D9" w:sz="4" w:space="0"/>
        <w:bottom w:val="single" w:color="9BB7D9" w:sz="4" w:space="0"/>
        <w:insideH w:val="single" w:color="9BB7D9" w:sz="4" w:space="0"/>
      </w:tblBorders>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1">
    <w:name w:val="List Table 2 - Accent 2"/>
    <w:basedOn w:val="45"/>
    <w:qFormat/>
    <w:uiPriority w:val="99"/>
    <w:tblPr>
      <w:tblBorders>
        <w:top w:val="single" w:color="DB9C9A" w:sz="4" w:space="0"/>
        <w:bottom w:val="single" w:color="DB9C9A" w:sz="4" w:space="0"/>
        <w:insideH w:val="single" w:color="DB9C9A" w:sz="4" w:space="0"/>
      </w:tblBorders>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42">
    <w:name w:val="List Table 2 - Accent 3"/>
    <w:basedOn w:val="45"/>
    <w:qFormat/>
    <w:uiPriority w:val="99"/>
    <w:tblPr>
      <w:tblBorders>
        <w:top w:val="single" w:color="C6D8A1" w:sz="4" w:space="0"/>
        <w:bottom w:val="single" w:color="C6D8A1" w:sz="4" w:space="0"/>
        <w:insideH w:val="single" w:color="C6D8A1" w:sz="4" w:space="0"/>
      </w:tblBorders>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43">
    <w:name w:val="List Table 2 - Accent 4"/>
    <w:basedOn w:val="45"/>
    <w:qFormat/>
    <w:uiPriority w:val="99"/>
    <w:tblPr>
      <w:tblBorders>
        <w:top w:val="single" w:color="B7A7CA" w:sz="4" w:space="0"/>
        <w:bottom w:val="single" w:color="B7A7CA" w:sz="4" w:space="0"/>
        <w:insideH w:val="single" w:color="B7A7CA" w:sz="4" w:space="0"/>
      </w:tblBorders>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4">
    <w:name w:val="List Table 2 - Accent 5"/>
    <w:basedOn w:val="45"/>
    <w:qFormat/>
    <w:uiPriority w:val="99"/>
    <w:tblPr>
      <w:tblBorders>
        <w:top w:val="single" w:color="99D0DE" w:sz="4" w:space="0"/>
        <w:bottom w:val="single" w:color="99D0DE" w:sz="4" w:space="0"/>
        <w:insideH w:val="single" w:color="99D0DE" w:sz="4" w:space="0"/>
      </w:tblBorders>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5">
    <w:name w:val="List Table 2 - Accent 6"/>
    <w:basedOn w:val="45"/>
    <w:qFormat/>
    <w:uiPriority w:val="99"/>
    <w:tblPr>
      <w:tblBorders>
        <w:top w:val="single" w:color="FAC396" w:sz="4" w:space="0"/>
        <w:bottom w:val="single" w:color="FAC396" w:sz="4" w:space="0"/>
        <w:insideH w:val="single" w:color="FAC396" w:sz="4" w:space="0"/>
      </w:tblBorders>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4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47">
    <w:name w:val="List Table 3 - Accent 1"/>
    <w:basedOn w:val="45"/>
    <w:qFormat/>
    <w:uiPriority w:val="99"/>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48">
    <w:name w:val="List Table 3 - Accent 2"/>
    <w:basedOn w:val="45"/>
    <w:qFormat/>
    <w:uiPriority w:val="99"/>
    <w:tblPr>
      <w:tblBorders>
        <w:top w:val="single" w:color="D99795" w:sz="4" w:space="0"/>
        <w:left w:val="single" w:color="D99795" w:sz="4" w:space="0"/>
        <w:bottom w:val="single" w:color="D99795" w:sz="4" w:space="0"/>
        <w:right w:val="single" w:color="D99795" w:sz="4" w:space="0"/>
      </w:tblBorders>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49">
    <w:name w:val="List Table 3 - Accent 3"/>
    <w:basedOn w:val="45"/>
    <w:qFormat/>
    <w:uiPriority w:val="99"/>
    <w:tblPr>
      <w:tblBorders>
        <w:top w:val="single" w:color="C3D69C" w:sz="4" w:space="0"/>
        <w:left w:val="single" w:color="C3D69C" w:sz="4" w:space="0"/>
        <w:bottom w:val="single" w:color="C3D69C" w:sz="4" w:space="0"/>
        <w:right w:val="single" w:color="C3D69C" w:sz="4" w:space="0"/>
      </w:tblBorders>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50">
    <w:name w:val="List Table 3 - Accent 4"/>
    <w:basedOn w:val="45"/>
    <w:qFormat/>
    <w:uiPriority w:val="99"/>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1">
    <w:name w:val="List Table 3 - Accent 5"/>
    <w:basedOn w:val="45"/>
    <w:qFormat/>
    <w:uiPriority w:val="99"/>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52">
    <w:name w:val="List Table 3 - Accent 6"/>
    <w:basedOn w:val="45"/>
    <w:qFormat/>
    <w:uiPriority w:val="99"/>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5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54">
    <w:name w:val="List Table 4 - Accent 1"/>
    <w:basedOn w:val="45"/>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5">
    <w:name w:val="List Table 4 - Accent 2"/>
    <w:basedOn w:val="45"/>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56">
    <w:name w:val="List Table 4 - Accent 3"/>
    <w:basedOn w:val="45"/>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57">
    <w:name w:val="List Table 4 - Accent 4"/>
    <w:basedOn w:val="45"/>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8">
    <w:name w:val="List Table 4 - Accent 5"/>
    <w:basedOn w:val="4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9">
    <w:name w:val="List Table 4 - Accent 6"/>
    <w:basedOn w:val="45"/>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6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61">
    <w:name w:val="List Table 5 Dark - Accent 1"/>
    <w:basedOn w:val="45"/>
    <w:qFormat/>
    <w:uiPriority w:val="99"/>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2">
    <w:name w:val="List Table 5 Dark - Accent 2"/>
    <w:basedOn w:val="45"/>
    <w:qFormat/>
    <w:uiPriority w:val="99"/>
    <w:tblPr>
      <w:tblBorders>
        <w:top w:val="single" w:color="D99795" w:sz="32" w:space="0"/>
        <w:left w:val="single" w:color="D99795" w:sz="32" w:space="0"/>
        <w:bottom w:val="single" w:color="D99795" w:sz="32" w:space="0"/>
        <w:right w:val="single" w:color="D99795" w:sz="32" w:space="0"/>
      </w:tblBorders>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63">
    <w:name w:val="List Table 5 Dark - Accent 3"/>
    <w:basedOn w:val="45"/>
    <w:qFormat/>
    <w:uiPriority w:val="99"/>
    <w:tblPr>
      <w:tblBorders>
        <w:top w:val="single" w:color="C3D69C" w:sz="32" w:space="0"/>
        <w:left w:val="single" w:color="C3D69C" w:sz="32" w:space="0"/>
        <w:bottom w:val="single" w:color="C3D69C" w:sz="32" w:space="0"/>
        <w:right w:val="single" w:color="C3D69C" w:sz="32" w:space="0"/>
      </w:tblBorders>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64">
    <w:name w:val="List Table 5 Dark - Accent 4"/>
    <w:basedOn w:val="45"/>
    <w:qFormat/>
    <w:uiPriority w:val="99"/>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65">
    <w:name w:val="List Table 5 Dark - Accent 5"/>
    <w:basedOn w:val="45"/>
    <w:qFormat/>
    <w:uiPriority w:val="99"/>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66">
    <w:name w:val="List Table 5 Dark - Accent 6"/>
    <w:basedOn w:val="45"/>
    <w:qFormat/>
    <w:uiPriority w:val="99"/>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7">
    <w:name w:val="清单表 6 彩色1"/>
    <w:basedOn w:val="45"/>
    <w:qFormat/>
    <w:uiPriority w:val="99"/>
    <w:tblPr>
      <w:tblBorders>
        <w:top w:val="single" w:color="7E7E7E" w:sz="4" w:space="0"/>
        <w:bottom w:val="single" w:color="7E7E7E" w:sz="4" w:space="0"/>
      </w:tblBorders>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68">
    <w:name w:val="List Table 6 Colorful - Accent 1"/>
    <w:basedOn w:val="45"/>
    <w:qFormat/>
    <w:uiPriority w:val="99"/>
    <w:tblPr>
      <w:tblBorders>
        <w:top w:val="single" w:color="4F81BD" w:sz="4" w:space="0"/>
        <w:bottom w:val="single" w:color="4F81BD" w:sz="4" w:space="0"/>
      </w:tblBorders>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69">
    <w:name w:val="List Table 6 Colorful - Accent 2"/>
    <w:basedOn w:val="45"/>
    <w:qFormat/>
    <w:uiPriority w:val="99"/>
    <w:tblPr>
      <w:tblBorders>
        <w:top w:val="single" w:color="D99795" w:sz="4" w:space="0"/>
        <w:bottom w:val="single" w:color="D99795" w:sz="4" w:space="0"/>
      </w:tblBorders>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70">
    <w:name w:val="List Table 6 Colorful - Accent 3"/>
    <w:basedOn w:val="45"/>
    <w:qFormat/>
    <w:uiPriority w:val="99"/>
    <w:tblPr>
      <w:tblBorders>
        <w:top w:val="single" w:color="C3D69C" w:sz="4" w:space="0"/>
        <w:bottom w:val="single" w:color="C3D69C" w:sz="4" w:space="0"/>
      </w:tblBorders>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71">
    <w:name w:val="List Table 6 Colorful - Accent 4"/>
    <w:basedOn w:val="45"/>
    <w:qFormat/>
    <w:uiPriority w:val="99"/>
    <w:tblPr>
      <w:tblBorders>
        <w:top w:val="single" w:color="B2A1C6" w:sz="4" w:space="0"/>
        <w:bottom w:val="single" w:color="B2A1C6" w:sz="4" w:space="0"/>
      </w:tblBorders>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2">
    <w:name w:val="List Table 6 Colorful - Accent 5"/>
    <w:basedOn w:val="45"/>
    <w:qFormat/>
    <w:uiPriority w:val="99"/>
    <w:tblPr>
      <w:tblBorders>
        <w:top w:val="single" w:color="92CCDC" w:sz="4" w:space="0"/>
        <w:bottom w:val="single" w:color="92CCDC" w:sz="4" w:space="0"/>
      </w:tblBorders>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73">
    <w:name w:val="List Table 6 Colorful - Accent 6"/>
    <w:basedOn w:val="45"/>
    <w:qFormat/>
    <w:uiPriority w:val="99"/>
    <w:tblPr>
      <w:tblBorders>
        <w:top w:val="single" w:color="FAC090" w:sz="4" w:space="0"/>
        <w:bottom w:val="single" w:color="FAC090" w:sz="4" w:space="0"/>
      </w:tblBorders>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74">
    <w:name w:val="清单表 7 彩色1"/>
    <w:basedOn w:val="45"/>
    <w:qFormat/>
    <w:uiPriority w:val="99"/>
    <w:tblPr>
      <w:tblBorders>
        <w:right w:val="single" w:color="7E7E7E" w:sz="4" w:space="0"/>
      </w:tblBorders>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175">
    <w:name w:val="List Table 7 Colorful - Accent 1"/>
    <w:basedOn w:val="45"/>
    <w:qFormat/>
    <w:uiPriority w:val="99"/>
    <w:tblPr>
      <w:tblBorders>
        <w:right w:val="single" w:color="4F81BD" w:sz="4" w:space="0"/>
      </w:tblBorders>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76">
    <w:name w:val="List Table 7 Colorful - Accent 2"/>
    <w:basedOn w:val="45"/>
    <w:qFormat/>
    <w:uiPriority w:val="99"/>
    <w:tblPr>
      <w:tblBorders>
        <w:right w:val="single" w:color="D99795" w:sz="4" w:space="0"/>
      </w:tblBorders>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77">
    <w:name w:val="List Table 7 Colorful - Accent 3"/>
    <w:basedOn w:val="45"/>
    <w:qFormat/>
    <w:uiPriority w:val="99"/>
    <w:tblPr>
      <w:tblBorders>
        <w:right w:val="single" w:color="C3D69C" w:sz="4" w:space="0"/>
      </w:tblBorders>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178">
    <w:name w:val="List Table 7 Colorful - Accent 4"/>
    <w:basedOn w:val="45"/>
    <w:qFormat/>
    <w:uiPriority w:val="99"/>
    <w:tblPr>
      <w:tblBorders>
        <w:right w:val="single" w:color="B2A1C6" w:sz="4" w:space="0"/>
      </w:tblBorders>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9">
    <w:name w:val="List Table 7 Colorful - Accent 5"/>
    <w:basedOn w:val="45"/>
    <w:qFormat/>
    <w:uiPriority w:val="99"/>
    <w:tblPr>
      <w:tblBorders>
        <w:right w:val="single" w:color="92CCDC" w:sz="4" w:space="0"/>
      </w:tblBorders>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180">
    <w:name w:val="List Table 7 Colorful - Accent 6"/>
    <w:basedOn w:val="45"/>
    <w:qFormat/>
    <w:uiPriority w:val="99"/>
    <w:tblPr>
      <w:tblBorders>
        <w:right w:val="single" w:color="FAC090" w:sz="4" w:space="0"/>
      </w:tblBorders>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181">
    <w:name w:val="Lined - Accent"/>
    <w:basedOn w:val="45"/>
    <w:qFormat/>
    <w:uiPriority w:val="99"/>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2">
    <w:name w:val="Lined - Accent 1"/>
    <w:basedOn w:val="45"/>
    <w:qFormat/>
    <w:uiPriority w:val="99"/>
    <w:rPr>
      <w:color w:val="404040"/>
    </w:r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3">
    <w:name w:val="Lined - Accent 2"/>
    <w:basedOn w:val="45"/>
    <w:qFormat/>
    <w:uiPriority w:val="99"/>
    <w:rPr>
      <w:color w:val="404040"/>
    </w:r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4">
    <w:name w:val="Lined - Accent 3"/>
    <w:basedOn w:val="45"/>
    <w:qFormat/>
    <w:uiPriority w:val="99"/>
    <w:rPr>
      <w:color w:val="404040"/>
    </w:r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85">
    <w:name w:val="Lined - Accent 4"/>
    <w:basedOn w:val="45"/>
    <w:qFormat/>
    <w:uiPriority w:val="99"/>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6">
    <w:name w:val="Lined - Accent 5"/>
    <w:basedOn w:val="45"/>
    <w:qFormat/>
    <w:uiPriority w:val="99"/>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7">
    <w:name w:val="Lined - Accent 6"/>
    <w:basedOn w:val="45"/>
    <w:qFormat/>
    <w:uiPriority w:val="99"/>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8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9">
    <w:name w:val="Bordered &amp; Lined - Accent 1"/>
    <w:basedOn w:val="45"/>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90">
    <w:name w:val="Bordered &amp; Lined - Accent 2"/>
    <w:basedOn w:val="45"/>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1">
    <w:name w:val="Bordered &amp; Lined - Accent 3"/>
    <w:basedOn w:val="45"/>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192">
    <w:name w:val="Bordered &amp; Lined - Accent 4"/>
    <w:basedOn w:val="45"/>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3">
    <w:name w:val="Bordered &amp; Lined - Accent 5"/>
    <w:basedOn w:val="4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4">
    <w:name w:val="Bordered &amp; Lined - Accent 6"/>
    <w:basedOn w:val="45"/>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19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196">
    <w:name w:val="Bordered - Accent 1"/>
    <w:basedOn w:val="45"/>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97">
    <w:name w:val="Bordered - Accent 2"/>
    <w:basedOn w:val="45"/>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98">
    <w:name w:val="Bordered - Accent 3"/>
    <w:basedOn w:val="45"/>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9">
    <w:name w:val="Bordered - Accent 4"/>
    <w:basedOn w:val="45"/>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00">
    <w:name w:val="Bordered - Accent 5"/>
    <w:basedOn w:val="4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01">
    <w:name w:val="Bordered - Accent 6"/>
    <w:basedOn w:val="45"/>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2">
    <w:name w:val="脚注文本 字符"/>
    <w:link w:val="34"/>
    <w:qFormat/>
    <w:uiPriority w:val="99"/>
    <w:rPr>
      <w:sz w:val="18"/>
    </w:rPr>
  </w:style>
  <w:style w:type="character" w:customStyle="1" w:styleId="203">
    <w:name w:val="尾注文本 字符"/>
    <w:link w:val="27"/>
    <w:qFormat/>
    <w:uiPriority w:val="99"/>
    <w:rPr>
      <w:sz w:val="20"/>
    </w:rPr>
  </w:style>
  <w:style w:type="paragraph" w:customStyle="1" w:styleId="204">
    <w:name w:val="TOC 标题1"/>
    <w:qFormat/>
    <w:uiPriority w:val="39"/>
    <w:rPr>
      <w:rFonts w:ascii="Times New Roman" w:hAnsi="Times New Roman" w:eastAsia="宋体" w:cs="Times New Roman"/>
      <w:lang w:val="en-US" w:eastAsia="zh-CN" w:bidi="ar-SA"/>
    </w:rPr>
  </w:style>
  <w:style w:type="paragraph" w:customStyle="1" w:styleId="205">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6">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7">
    <w:name w:val="1"/>
    <w:basedOn w:val="1"/>
    <w:link w:val="208"/>
    <w:qFormat/>
    <w:uiPriority w:val="0"/>
    <w:pPr>
      <w:spacing w:line="360" w:lineRule="auto"/>
      <w:jc w:val="left"/>
    </w:pPr>
    <w:rPr>
      <w:szCs w:val="24"/>
    </w:rPr>
  </w:style>
  <w:style w:type="character" w:customStyle="1" w:styleId="208">
    <w:name w:val="1 Char"/>
    <w:link w:val="207"/>
    <w:qFormat/>
    <w:uiPriority w:val="0"/>
    <w:rPr>
      <w:szCs w:val="24"/>
    </w:rPr>
  </w:style>
  <w:style w:type="character" w:customStyle="1" w:styleId="209">
    <w:name w:val="标题 1 字符"/>
    <w:basedOn w:val="47"/>
    <w:link w:val="2"/>
    <w:qFormat/>
    <w:uiPriority w:val="0"/>
    <w:rPr>
      <w:rFonts w:ascii="Times New Roman" w:hAnsi="Times New Roman" w:eastAsia="黑体" w:cs="Times New Roman"/>
      <w:b/>
      <w:sz w:val="36"/>
      <w:szCs w:val="20"/>
    </w:rPr>
  </w:style>
  <w:style w:type="character" w:customStyle="1" w:styleId="210">
    <w:name w:val="标题 2 字符"/>
    <w:basedOn w:val="47"/>
    <w:link w:val="3"/>
    <w:qFormat/>
    <w:uiPriority w:val="0"/>
    <w:rPr>
      <w:rFonts w:ascii="Times New Roman" w:hAnsi="Times New Roman" w:eastAsia="黑体" w:cs="Times New Roman"/>
      <w:b/>
      <w:sz w:val="28"/>
      <w:szCs w:val="20"/>
    </w:rPr>
  </w:style>
  <w:style w:type="character" w:customStyle="1" w:styleId="211">
    <w:name w:val="标题 3 字符"/>
    <w:basedOn w:val="47"/>
    <w:link w:val="4"/>
    <w:qFormat/>
    <w:uiPriority w:val="0"/>
    <w:rPr>
      <w:rFonts w:ascii="Times New Roman" w:hAnsi="Times New Roman" w:eastAsia="黑体" w:cs="Times New Roman"/>
      <w:b/>
      <w:sz w:val="28"/>
      <w:szCs w:val="20"/>
    </w:rPr>
  </w:style>
  <w:style w:type="character" w:customStyle="1" w:styleId="212">
    <w:name w:val="标题 4 字符"/>
    <w:basedOn w:val="47"/>
    <w:link w:val="5"/>
    <w:qFormat/>
    <w:uiPriority w:val="0"/>
    <w:rPr>
      <w:rFonts w:ascii="Arial" w:hAnsi="Times New Roman" w:eastAsia="黑体" w:cs="Times New Roman"/>
      <w:sz w:val="28"/>
      <w:szCs w:val="20"/>
    </w:rPr>
  </w:style>
  <w:style w:type="character" w:customStyle="1" w:styleId="213">
    <w:name w:val="副标题 字符"/>
    <w:link w:val="33"/>
    <w:qFormat/>
    <w:uiPriority w:val="0"/>
    <w:rPr>
      <w:rFonts w:ascii="Cambria" w:hAnsi="Cambria"/>
      <w:b/>
      <w:bCs/>
      <w:sz w:val="32"/>
      <w:szCs w:val="32"/>
    </w:rPr>
  </w:style>
  <w:style w:type="character" w:customStyle="1" w:styleId="214">
    <w:name w:val="纯文本 字符"/>
    <w:link w:val="23"/>
    <w:qFormat/>
    <w:uiPriority w:val="0"/>
    <w:rPr>
      <w:rFonts w:ascii="宋体" w:hAnsi="Courier New"/>
    </w:rPr>
  </w:style>
  <w:style w:type="paragraph" w:styleId="215">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6">
    <w:name w:val="TOC 标题11"/>
    <w:basedOn w:val="2"/>
    <w:next w:val="1"/>
    <w:qFormat/>
    <w:uiPriority w:val="39"/>
    <w:pPr>
      <w:widowControl/>
      <w:numPr>
        <w:ilvl w:val="0"/>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7">
    <w:name w:val="标题 5 字符"/>
    <w:basedOn w:val="47"/>
    <w:link w:val="6"/>
    <w:qFormat/>
    <w:uiPriority w:val="0"/>
    <w:rPr>
      <w:rFonts w:ascii="Times New Roman" w:hAnsi="Times New Roman" w:eastAsia="宋体" w:cs="Times New Roman"/>
      <w:b/>
      <w:bCs/>
      <w:sz w:val="28"/>
      <w:szCs w:val="28"/>
    </w:rPr>
  </w:style>
  <w:style w:type="character" w:customStyle="1" w:styleId="218">
    <w:name w:val="标题 6 字符"/>
    <w:basedOn w:val="47"/>
    <w:link w:val="7"/>
    <w:qFormat/>
    <w:uiPriority w:val="0"/>
    <w:rPr>
      <w:rFonts w:ascii="Cambria" w:hAnsi="Cambria" w:eastAsia="宋体" w:cs="Times New Roman"/>
      <w:b/>
      <w:bCs/>
      <w:sz w:val="24"/>
      <w:szCs w:val="24"/>
    </w:rPr>
  </w:style>
  <w:style w:type="character" w:customStyle="1" w:styleId="219">
    <w:name w:val="标题 7 字符"/>
    <w:basedOn w:val="47"/>
    <w:link w:val="8"/>
    <w:qFormat/>
    <w:uiPriority w:val="0"/>
    <w:rPr>
      <w:rFonts w:ascii="Times New Roman" w:hAnsi="Times New Roman" w:eastAsia="宋体" w:cs="Times New Roman"/>
      <w:b/>
      <w:bCs/>
      <w:sz w:val="24"/>
      <w:szCs w:val="24"/>
    </w:rPr>
  </w:style>
  <w:style w:type="character" w:customStyle="1" w:styleId="220">
    <w:name w:val="标题 8 字符"/>
    <w:basedOn w:val="47"/>
    <w:link w:val="9"/>
    <w:qFormat/>
    <w:uiPriority w:val="0"/>
    <w:rPr>
      <w:rFonts w:ascii="Cambria" w:hAnsi="Cambria" w:eastAsia="宋体" w:cs="Times New Roman"/>
      <w:sz w:val="24"/>
      <w:szCs w:val="24"/>
    </w:rPr>
  </w:style>
  <w:style w:type="character" w:customStyle="1" w:styleId="221">
    <w:name w:val="标题 9 字符"/>
    <w:basedOn w:val="47"/>
    <w:link w:val="10"/>
    <w:qFormat/>
    <w:uiPriority w:val="0"/>
    <w:rPr>
      <w:rFonts w:ascii="Cambria" w:hAnsi="Cambria" w:eastAsia="宋体" w:cs="Times New Roman"/>
      <w:szCs w:val="21"/>
    </w:rPr>
  </w:style>
  <w:style w:type="character" w:customStyle="1" w:styleId="222">
    <w:name w:val="Default Char"/>
    <w:link w:val="57"/>
    <w:qFormat/>
    <w:uiPriority w:val="99"/>
    <w:rPr>
      <w:rFonts w:ascii="MS Mincho" w:hAnsi="Calibri" w:eastAsia="宋体" w:cs="Times New Roman"/>
      <w:color w:val="000000"/>
      <w:szCs w:val="24"/>
    </w:rPr>
  </w:style>
  <w:style w:type="character" w:customStyle="1" w:styleId="223">
    <w:name w:val="批注文字 字符"/>
    <w:basedOn w:val="47"/>
    <w:link w:val="15"/>
    <w:qFormat/>
    <w:uiPriority w:val="0"/>
    <w:rPr>
      <w:rFonts w:ascii="Times New Roman" w:hAnsi="Times New Roman" w:eastAsia="宋体" w:cs="Times New Roman"/>
      <w:szCs w:val="24"/>
    </w:rPr>
  </w:style>
  <w:style w:type="character" w:customStyle="1" w:styleId="224">
    <w:name w:val="批注框文本 字符"/>
    <w:basedOn w:val="47"/>
    <w:link w:val="28"/>
    <w:qFormat/>
    <w:uiPriority w:val="0"/>
    <w:rPr>
      <w:rFonts w:ascii="Times New Roman" w:hAnsi="Times New Roman" w:eastAsia="宋体" w:cs="Times New Roman"/>
      <w:sz w:val="18"/>
      <w:szCs w:val="18"/>
    </w:rPr>
  </w:style>
  <w:style w:type="character" w:customStyle="1" w:styleId="225">
    <w:name w:val="HTML 预设格式 字符"/>
    <w:link w:val="40"/>
    <w:qFormat/>
    <w:uiPriority w:val="0"/>
    <w:rPr>
      <w:rFonts w:ascii="宋体" w:hAnsi="宋体" w:cs="宋体"/>
      <w:sz w:val="24"/>
      <w:szCs w:val="24"/>
    </w:rPr>
  </w:style>
  <w:style w:type="character" w:customStyle="1" w:styleId="226">
    <w:name w:val="HTML 预设格式 Char1"/>
    <w:basedOn w:val="47"/>
    <w:qFormat/>
    <w:uiPriority w:val="99"/>
    <w:rPr>
      <w:rFonts w:ascii="Courier New" w:hAnsi="Courier New" w:cs="Courier New"/>
      <w:sz w:val="20"/>
      <w:szCs w:val="20"/>
    </w:rPr>
  </w:style>
  <w:style w:type="character" w:customStyle="1" w:styleId="227">
    <w:name w:val="普通正文 Char"/>
    <w:link w:val="228"/>
    <w:qFormat/>
    <w:uiPriority w:val="0"/>
    <w:rPr>
      <w:rFonts w:ascii="Arial" w:hAnsi="Arial"/>
      <w:sz w:val="24"/>
      <w:szCs w:val="24"/>
    </w:rPr>
  </w:style>
  <w:style w:type="paragraph" w:customStyle="1" w:styleId="228">
    <w:name w:val="普通正文"/>
    <w:basedOn w:val="1"/>
    <w:link w:val="227"/>
    <w:qFormat/>
    <w:uiPriority w:val="0"/>
    <w:pPr>
      <w:spacing w:before="120" w:after="120" w:line="360" w:lineRule="auto"/>
      <w:ind w:firstLine="480"/>
      <w:jc w:val="left"/>
    </w:pPr>
    <w:rPr>
      <w:rFonts w:ascii="Arial" w:hAnsi="Arial"/>
      <w:sz w:val="24"/>
      <w:szCs w:val="24"/>
    </w:rPr>
  </w:style>
  <w:style w:type="paragraph" w:customStyle="1" w:styleId="229">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30">
    <w:name w:val="批注主题 字符"/>
    <w:basedOn w:val="223"/>
    <w:link w:val="44"/>
    <w:qFormat/>
    <w:uiPriority w:val="0"/>
    <w:rPr>
      <w:rFonts w:ascii="Times New Roman" w:hAnsi="Times New Roman" w:eastAsia="宋体" w:cs="Times New Roman"/>
      <w:b/>
      <w:bCs/>
      <w:szCs w:val="24"/>
    </w:rPr>
  </w:style>
  <w:style w:type="character" w:customStyle="1" w:styleId="231">
    <w:name w:val="文档结构图 字符"/>
    <w:basedOn w:val="47"/>
    <w:link w:val="14"/>
    <w:qFormat/>
    <w:uiPriority w:val="99"/>
    <w:rPr>
      <w:rFonts w:ascii="宋体" w:eastAsia="宋体"/>
      <w:sz w:val="18"/>
      <w:szCs w:val="18"/>
    </w:rPr>
  </w:style>
  <w:style w:type="paragraph" w:customStyle="1" w:styleId="232">
    <w:name w:val="修订1"/>
    <w:qFormat/>
    <w:uiPriority w:val="99"/>
    <w:rPr>
      <w:rFonts w:ascii="Calibri" w:hAnsi="Calibri" w:eastAsia="宋体" w:cs="Arial"/>
      <w:sz w:val="21"/>
      <w:szCs w:val="22"/>
      <w:lang w:val="en-US" w:eastAsia="zh-CN" w:bidi="ar-SA"/>
    </w:rPr>
  </w:style>
  <w:style w:type="paragraph" w:customStyle="1" w:styleId="233">
    <w:name w:val="段"/>
    <w:next w:val="1"/>
    <w:qFormat/>
    <w:uiPriority w:val="0"/>
    <w:pPr>
      <w:ind w:firstLine="200"/>
      <w:jc w:val="both"/>
    </w:pPr>
    <w:rPr>
      <w:rFonts w:ascii="宋体" w:hAnsi="Times New Roman" w:eastAsia="宋体" w:cs="Times New Roman"/>
      <w:sz w:val="21"/>
      <w:szCs w:val="22"/>
      <w:lang w:val="en-US" w:eastAsia="zh-CN" w:bidi="ar-SA"/>
    </w:rPr>
  </w:style>
  <w:style w:type="character" w:customStyle="1" w:styleId="234">
    <w:name w:val="正文文本 3 字符"/>
    <w:basedOn w:val="47"/>
    <w:link w:val="16"/>
    <w:qFormat/>
    <w:uiPriority w:val="0"/>
    <w:rPr>
      <w:rFonts w:ascii="Times New Roman" w:hAnsi="Times New Roman" w:eastAsia="宋体" w:cs="Times New Roman"/>
      <w:sz w:val="16"/>
      <w:szCs w:val="16"/>
    </w:rPr>
  </w:style>
  <w:style w:type="character" w:customStyle="1" w:styleId="235">
    <w:name w:val="正文文本缩进 字符"/>
    <w:basedOn w:val="47"/>
    <w:link w:val="19"/>
    <w:qFormat/>
    <w:uiPriority w:val="0"/>
    <w:rPr>
      <w:rFonts w:ascii="仿宋_GB2312" w:hAnsi="Times New Roman" w:eastAsia="仿宋_GB2312" w:cs="Times New Roman"/>
      <w:sz w:val="32"/>
      <w:szCs w:val="24"/>
    </w:rPr>
  </w:style>
  <w:style w:type="character" w:customStyle="1" w:styleId="236">
    <w:name w:val="日期 字符"/>
    <w:basedOn w:val="47"/>
    <w:link w:val="25"/>
    <w:qFormat/>
    <w:uiPriority w:val="0"/>
    <w:rPr>
      <w:rFonts w:ascii="仿宋_GB2312" w:hAnsi="Times New Roman" w:eastAsia="仿宋_GB2312" w:cs="Times New Roman"/>
      <w:sz w:val="32"/>
      <w:szCs w:val="24"/>
    </w:rPr>
  </w:style>
  <w:style w:type="character" w:customStyle="1" w:styleId="237">
    <w:name w:val="正文文本缩进 2 字符"/>
    <w:basedOn w:val="47"/>
    <w:link w:val="26"/>
    <w:qFormat/>
    <w:uiPriority w:val="0"/>
    <w:rPr>
      <w:rFonts w:ascii="Times New Roman" w:hAnsi="Times New Roman" w:eastAsia="仿宋_GB2312" w:cs="Times New Roman"/>
      <w:sz w:val="32"/>
      <w:szCs w:val="24"/>
    </w:rPr>
  </w:style>
  <w:style w:type="character" w:customStyle="1" w:styleId="238">
    <w:name w:val="页脚 Char"/>
    <w:basedOn w:val="47"/>
    <w:qFormat/>
    <w:uiPriority w:val="0"/>
    <w:rPr>
      <w:sz w:val="18"/>
      <w:szCs w:val="18"/>
    </w:rPr>
  </w:style>
  <w:style w:type="character" w:customStyle="1" w:styleId="239">
    <w:name w:val="页脚 字符"/>
    <w:link w:val="29"/>
    <w:qFormat/>
    <w:uiPriority w:val="99"/>
    <w:rPr>
      <w:rFonts w:ascii="Times New Roman" w:hAnsi="Times New Roman" w:eastAsia="宋体" w:cs="Times New Roman"/>
      <w:sz w:val="18"/>
      <w:szCs w:val="18"/>
    </w:rPr>
  </w:style>
  <w:style w:type="character" w:customStyle="1" w:styleId="240">
    <w:name w:val="页眉 字符"/>
    <w:basedOn w:val="47"/>
    <w:link w:val="30"/>
    <w:qFormat/>
    <w:uiPriority w:val="0"/>
    <w:rPr>
      <w:rFonts w:ascii="Times New Roman" w:hAnsi="Times New Roman" w:eastAsia="宋体" w:cs="Times New Roman"/>
      <w:sz w:val="18"/>
      <w:szCs w:val="18"/>
    </w:rPr>
  </w:style>
  <w:style w:type="character" w:customStyle="1" w:styleId="241">
    <w:name w:val="正文文本缩进 3 字符"/>
    <w:basedOn w:val="47"/>
    <w:link w:val="36"/>
    <w:qFormat/>
    <w:uiPriority w:val="0"/>
    <w:rPr>
      <w:rFonts w:ascii="仿宋_GB2312" w:hAnsi="华文中宋" w:eastAsia="仿宋_GB2312" w:cs="Times New Roman"/>
      <w:sz w:val="32"/>
      <w:szCs w:val="32"/>
    </w:rPr>
  </w:style>
  <w:style w:type="character" w:customStyle="1" w:styleId="242">
    <w:name w:val="正文文本 2 字符"/>
    <w:basedOn w:val="47"/>
    <w:link w:val="39"/>
    <w:qFormat/>
    <w:uiPriority w:val="0"/>
    <w:rPr>
      <w:rFonts w:ascii="Times New Roman" w:hAnsi="Times New Roman" w:eastAsia="宋体" w:cs="Times New Roman"/>
      <w:sz w:val="21"/>
      <w:szCs w:val="24"/>
    </w:rPr>
  </w:style>
  <w:style w:type="table" w:customStyle="1" w:styleId="243">
    <w:name w:val="网格型1"/>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44">
    <w:name w:val="Header Char_2884c7bd-42f9-4e06-821b-0f2623708555"/>
    <w:qFormat/>
    <w:uiPriority w:val="0"/>
    <w:rPr>
      <w:rFonts w:cs="Times New Roman"/>
      <w:sz w:val="18"/>
      <w:szCs w:val="18"/>
    </w:rPr>
  </w:style>
  <w:style w:type="character" w:customStyle="1" w:styleId="245">
    <w:name w:val="style341"/>
    <w:qFormat/>
    <w:uiPriority w:val="0"/>
  </w:style>
  <w:style w:type="paragraph" w:customStyle="1" w:styleId="246">
    <w:name w:val="p0"/>
    <w:basedOn w:val="1"/>
    <w:qFormat/>
    <w:uiPriority w:val="0"/>
    <w:pPr>
      <w:widowControl/>
    </w:pPr>
    <w:rPr>
      <w:rFonts w:ascii="Calibri" w:hAnsi="Calibri" w:eastAsia="宋体" w:cs="宋体"/>
      <w:szCs w:val="21"/>
    </w:rPr>
  </w:style>
  <w:style w:type="paragraph" w:customStyle="1" w:styleId="247">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8">
    <w:name w:val="p15"/>
    <w:basedOn w:val="1"/>
    <w:qFormat/>
    <w:uiPriority w:val="0"/>
    <w:pPr>
      <w:widowControl/>
      <w:ind w:firstLine="420"/>
    </w:pPr>
    <w:rPr>
      <w:rFonts w:ascii="Calibri" w:hAnsi="Calibri" w:eastAsia="宋体" w:cs="宋体"/>
      <w:szCs w:val="21"/>
    </w:rPr>
  </w:style>
  <w:style w:type="paragraph" w:customStyle="1" w:styleId="249">
    <w:name w:val="_Style 3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0">
    <w:name w:val="_Style 3"/>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51">
    <w:name w:val="Char2"/>
    <w:basedOn w:val="1"/>
    <w:qFormat/>
    <w:uiPriority w:val="0"/>
    <w:pPr>
      <w:tabs>
        <w:tab w:val="left" w:pos="360"/>
      </w:tabs>
    </w:pPr>
    <w:rPr>
      <w:rFonts w:ascii="Times New Roman" w:hAnsi="Times New Roman" w:eastAsia="宋体" w:cs="Times New Roman"/>
      <w:sz w:val="24"/>
      <w:szCs w:val="24"/>
    </w:rPr>
  </w:style>
  <w:style w:type="paragraph" w:customStyle="1" w:styleId="252">
    <w:name w:val="Char Char Char Char Char Char Char Char Char"/>
    <w:basedOn w:val="1"/>
    <w:qFormat/>
    <w:uiPriority w:val="0"/>
    <w:pPr>
      <w:widowControl/>
      <w:spacing w:after="160" w:line="240" w:lineRule="exact"/>
      <w:jc w:val="left"/>
    </w:pPr>
    <w:rPr>
      <w:rFonts w:ascii="Verdana" w:hAnsi="Verdana" w:eastAsia="仿宋_GB2312" w:cs="Times New Roman"/>
      <w:sz w:val="24"/>
      <w:szCs w:val="20"/>
      <w:lang w:eastAsia="en-US"/>
    </w:rPr>
  </w:style>
  <w:style w:type="character" w:customStyle="1" w:styleId="253">
    <w:name w:val="font01"/>
    <w:qFormat/>
    <w:uiPriority w:val="0"/>
    <w:rPr>
      <w:rFonts w:hint="eastAsia" w:ascii="宋体" w:hAnsi="宋体" w:eastAsia="宋体" w:cs="宋体"/>
      <w:color w:val="000000"/>
      <w:sz w:val="22"/>
      <w:szCs w:val="22"/>
      <w:u w:val="none"/>
    </w:rPr>
  </w:style>
  <w:style w:type="character" w:customStyle="1" w:styleId="254">
    <w:name w:val="font11"/>
    <w:basedOn w:val="47"/>
    <w:qFormat/>
    <w:uiPriority w:val="0"/>
    <w:rPr>
      <w:rFonts w:hint="eastAsia" w:ascii="宋体" w:hAnsi="宋体" w:eastAsia="宋体" w:cs="宋体"/>
      <w:color w:val="FF0000"/>
      <w:sz w:val="22"/>
      <w:szCs w:val="22"/>
      <w:u w:val="none"/>
    </w:rPr>
  </w:style>
  <w:style w:type="character" w:customStyle="1" w:styleId="255">
    <w:name w:val="font31"/>
    <w:basedOn w:val="47"/>
    <w:qFormat/>
    <w:uiPriority w:val="0"/>
    <w:rPr>
      <w:rFonts w:hint="eastAsia" w:ascii="仿宋" w:hAnsi="仿宋" w:eastAsia="仿宋" w:cs="仿宋"/>
      <w:b/>
      <w:bCs/>
      <w:color w:val="000000"/>
      <w:sz w:val="16"/>
      <w:szCs w:val="16"/>
      <w:u w:val="none"/>
    </w:rPr>
  </w:style>
  <w:style w:type="character" w:customStyle="1" w:styleId="256">
    <w:name w:val="font21"/>
    <w:basedOn w:val="47"/>
    <w:qFormat/>
    <w:uiPriority w:val="0"/>
    <w:rPr>
      <w:rFonts w:hint="eastAsia" w:ascii="仿宋" w:hAnsi="仿宋" w:eastAsia="仿宋" w:cs="仿宋"/>
      <w:color w:val="000000"/>
      <w:sz w:val="16"/>
      <w:szCs w:val="16"/>
      <w:u w:val="none"/>
    </w:rPr>
  </w:style>
  <w:style w:type="character" w:customStyle="1" w:styleId="257">
    <w:name w:val="font41"/>
    <w:basedOn w:val="47"/>
    <w:qFormat/>
    <w:uiPriority w:val="0"/>
    <w:rPr>
      <w:rFonts w:hint="eastAsia" w:ascii="仿宋" w:hAnsi="仿宋" w:eastAsia="仿宋" w:cs="仿宋"/>
      <w:b/>
      <w:bCs/>
      <w:color w:val="FF0000"/>
      <w:sz w:val="16"/>
      <w:szCs w:val="16"/>
      <w:u w:val="none"/>
    </w:rPr>
  </w:style>
  <w:style w:type="paragraph" w:customStyle="1" w:styleId="258">
    <w:name w:val="列出段落1"/>
    <w:basedOn w:val="1"/>
    <w:qFormat/>
    <w:uiPriority w:val="99"/>
    <w:pPr>
      <w:ind w:firstLine="420"/>
    </w:pPr>
    <w:rPr>
      <w:rFonts w:ascii="Calibri" w:hAnsi="Calibri" w:eastAsia="宋体" w:cs="Times New Roman"/>
    </w:rPr>
  </w:style>
  <w:style w:type="paragraph" w:customStyle="1" w:styleId="259">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0">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61">
    <w:name w:val="正文 New New New New New New New New New New New New New"/>
    <w:qFormat/>
    <w:uiPriority w:val="0"/>
    <w:pPr>
      <w:widowControl w:val="0"/>
      <w:jc w:val="both"/>
    </w:pPr>
    <w:rPr>
      <w:rFonts w:ascii="Times New Roman" w:hAnsi="Times New Roman" w:eastAsia="宋体" w:cs="Times New Roman"/>
      <w:sz w:val="21"/>
      <w:lang w:val="en-US" w:eastAsia="zh-CN" w:bidi="ar-SA"/>
    </w:rPr>
  </w:style>
  <w:style w:type="table" w:customStyle="1" w:styleId="262">
    <w:name w:val="Grid Table 2 - Accent 1"/>
    <w:basedOn w:val="45"/>
    <w:qFormat/>
    <w:uiPriority w:val="99"/>
    <w:tblPr>
      <w:tblBorders>
        <w:bottom w:val="single" w:color="68A2D8" w:sz="4" w:space="0"/>
        <w:insideH w:val="single" w:color="68A2D8" w:sz="4" w:space="0"/>
        <w:insideV w:val="single" w:color="68A2D8" w:sz="4" w:space="0"/>
      </w:tblBorders>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paragraph" w:customStyle="1" w:styleId="263">
    <w:name w:val="正文1"/>
    <w:basedOn w:val="1"/>
    <w:next w:val="1"/>
    <w:qFormat/>
    <w:uiPriority w:val="0"/>
    <w:rPr>
      <w:rFonts w:ascii="Times New Roman" w:hAnsi="Times New Roman" w:eastAsia="宋体" w:cs="Times New Roman"/>
      <w:szCs w:val="24"/>
    </w:rPr>
  </w:style>
  <w:style w:type="paragraph" w:customStyle="1" w:styleId="264">
    <w:name w:val="标题 11"/>
    <w:basedOn w:val="1"/>
    <w:next w:val="1"/>
    <w:qFormat/>
    <w:uiPriority w:val="0"/>
    <w:pPr>
      <w:keepNext/>
      <w:keepLines/>
      <w:widowControl/>
      <w:spacing w:line="360" w:lineRule="auto"/>
      <w:jc w:val="center"/>
      <w:outlineLvl w:val="0"/>
    </w:pPr>
    <w:rPr>
      <w:rFonts w:ascii="Arial" w:hAnsi="Arial" w:eastAsia="宋体" w:cs="Arial"/>
      <w:b/>
      <w:sz w:val="36"/>
      <w:szCs w:val="40"/>
    </w:rPr>
  </w:style>
  <w:style w:type="table" w:customStyle="1" w:styleId="265">
    <w:name w:val="网格型6"/>
    <w:basedOn w:val="45"/>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66">
    <w:name w:val="网格型3"/>
    <w:basedOn w:val="45"/>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67">
    <w:name w:val="首行缩进"/>
    <w:basedOn w:val="1"/>
    <w:qFormat/>
    <w:uiPriority w:val="0"/>
    <w:pPr>
      <w:autoSpaceDE w:val="0"/>
      <w:autoSpaceDN w:val="0"/>
      <w:adjustRightInd w:val="0"/>
      <w:ind w:firstLine="720"/>
      <w:jc w:val="left"/>
    </w:pPr>
    <w:rPr>
      <w:rFonts w:ascii="宋体" w:hAnsi="宋体"/>
      <w:sz w:val="24"/>
    </w:rPr>
  </w:style>
  <w:style w:type="character" w:customStyle="1" w:styleId="268">
    <w:name w:val="bodytext1"/>
    <w:basedOn w:val="47"/>
    <w:qFormat/>
    <w:uiPriority w:val="0"/>
    <w:rPr>
      <w:rFonts w:hint="default" w:ascii="Verdana" w:hAnsi="Verdana"/>
      <w:color w:val="000000"/>
      <w:sz w:val="17"/>
      <w:szCs w:val="17"/>
    </w:rPr>
  </w:style>
  <w:style w:type="character" w:customStyle="1" w:styleId="269">
    <w:name w:val="cit-print-date"/>
    <w:basedOn w:val="47"/>
    <w:qFormat/>
    <w:uiPriority w:val="0"/>
  </w:style>
  <w:style w:type="character" w:customStyle="1" w:styleId="270">
    <w:name w:val="cit-vol"/>
    <w:basedOn w:val="47"/>
    <w:qFormat/>
    <w:uiPriority w:val="0"/>
  </w:style>
  <w:style w:type="character" w:customStyle="1" w:styleId="271">
    <w:name w:val="cit-issue"/>
    <w:basedOn w:val="47"/>
    <w:qFormat/>
    <w:uiPriority w:val="0"/>
  </w:style>
  <w:style w:type="character" w:customStyle="1" w:styleId="272">
    <w:name w:val="cit-sep"/>
    <w:basedOn w:val="47"/>
    <w:qFormat/>
    <w:uiPriority w:val="0"/>
  </w:style>
  <w:style w:type="character" w:customStyle="1" w:styleId="273">
    <w:name w:val="cit-first-page"/>
    <w:basedOn w:val="47"/>
    <w:qFormat/>
    <w:uiPriority w:val="0"/>
  </w:style>
  <w:style w:type="character" w:customStyle="1" w:styleId="274">
    <w:name w:val="cit-last-page"/>
    <w:basedOn w:val="47"/>
    <w:qFormat/>
    <w:uiPriority w:val="0"/>
  </w:style>
  <w:style w:type="paragraph" w:customStyle="1" w:styleId="275">
    <w:name w:val="标题1"/>
    <w:basedOn w:val="1"/>
    <w:qFormat/>
    <w:uiPriority w:val="0"/>
    <w:pPr>
      <w:widowControl/>
      <w:spacing w:before="100" w:beforeAutospacing="1" w:after="100" w:afterAutospacing="1"/>
      <w:jc w:val="left"/>
    </w:pPr>
    <w:rPr>
      <w:rFonts w:ascii="Times New Roman" w:hAnsi="Times New Roman" w:eastAsia="Times New Roman" w:cs="Times New Roman"/>
      <w:sz w:val="24"/>
      <w:szCs w:val="24"/>
    </w:rPr>
  </w:style>
  <w:style w:type="character" w:customStyle="1" w:styleId="276">
    <w:name w:val="jrnl"/>
    <w:basedOn w:val="47"/>
    <w:qFormat/>
    <w:uiPriority w:val="0"/>
  </w:style>
  <w:style w:type="character" w:customStyle="1" w:styleId="277">
    <w:name w:val="maintitle"/>
    <w:basedOn w:val="47"/>
    <w:qFormat/>
    <w:uiPriority w:val="0"/>
  </w:style>
  <w:style w:type="paragraph" w:customStyle="1" w:styleId="278">
    <w:name w:val="abstract1"/>
    <w:basedOn w:val="1"/>
    <w:qFormat/>
    <w:uiPriority w:val="0"/>
    <w:pPr>
      <w:widowControl/>
      <w:jc w:val="left"/>
    </w:pPr>
    <w:rPr>
      <w:rFonts w:ascii="宋体" w:hAnsi="宋体" w:eastAsia="宋体" w:cs="宋体"/>
      <w:color w:val="666666"/>
      <w:sz w:val="17"/>
      <w:szCs w:val="17"/>
    </w:rPr>
  </w:style>
  <w:style w:type="paragraph" w:customStyle="1" w:styleId="279">
    <w:name w:val="无列表1"/>
    <w:qFormat/>
    <w:uiPriority w:val="0"/>
    <w:rPr>
      <w:rFonts w:ascii="Calibri" w:hAnsi="Calibri" w:eastAsia="宋体" w:cs="Arial"/>
      <w:sz w:val="21"/>
      <w:szCs w:val="22"/>
      <w:lang w:val="en-US" w:eastAsia="zh-CN" w:bidi="ar-SA"/>
    </w:rPr>
  </w:style>
  <w:style w:type="character" w:customStyle="1" w:styleId="280">
    <w:name w:val="无间隔 字符"/>
    <w:basedOn w:val="47"/>
    <w:link w:val="69"/>
    <w:qFormat/>
    <w:uiPriority w:val="1"/>
    <w:rPr>
      <w:rFonts w:eastAsia="宋体"/>
    </w:rPr>
  </w:style>
  <w:style w:type="character" w:customStyle="1" w:styleId="281">
    <w:name w:val="未处理的提及1"/>
    <w:basedOn w:val="47"/>
    <w:qFormat/>
    <w:uiPriority w:val="99"/>
    <w:rPr>
      <w:color w:val="605E5C"/>
      <w:shd w:val="clear" w:color="auto" w:fill="E1DFDD"/>
    </w:rPr>
  </w:style>
  <w:style w:type="table" w:customStyle="1" w:styleId="282">
    <w:name w:val="Table Normal"/>
    <w:basedOn w:val="45"/>
    <w:qFormat/>
    <w:uiPriority w:val="0"/>
    <w:rPr>
      <w:rFonts w:eastAsia="Times New Roman"/>
    </w:rPr>
    <w:tblPr>
      <w:tblCellMar>
        <w:left w:w="0" w:type="dxa"/>
        <w:right w:w="0" w:type="dxa"/>
      </w:tblCellMar>
    </w:tblPr>
  </w:style>
  <w:style w:type="character" w:customStyle="1" w:styleId="283">
    <w:name w:val="font51"/>
    <w:basedOn w:val="47"/>
    <w:qFormat/>
    <w:uiPriority w:val="0"/>
    <w:rPr>
      <w:rFonts w:hint="default" w:ascii="Times New Roman" w:hAnsi="Times New Roman" w:cs="Times New Roman"/>
      <w:color w:val="000000"/>
      <w:sz w:val="32"/>
      <w:szCs w:val="32"/>
      <w:u w:val="none"/>
    </w:rPr>
  </w:style>
  <w:style w:type="character" w:customStyle="1" w:styleId="284">
    <w:name w:val="正文文本 字符"/>
    <w:basedOn w:val="47"/>
    <w:link w:val="17"/>
    <w:qFormat/>
    <w:uiPriority w:val="0"/>
    <w:rPr>
      <w:rFonts w:ascii="金山简黑体" w:hAnsi="Courier New" w:eastAsia="金山简黑体" w:cs="Arial"/>
      <w:b/>
      <w:spacing w:val="-8"/>
      <w:sz w:val="44"/>
    </w:rPr>
  </w:style>
  <w:style w:type="character" w:customStyle="1" w:styleId="285">
    <w:name w:val="未处理的提及2"/>
    <w:basedOn w:val="47"/>
    <w:qFormat/>
    <w:uiPriority w:val="99"/>
    <w:rPr>
      <w:color w:val="605E5C"/>
      <w:shd w:val="clear" w:color="auto" w:fill="E1DFDD"/>
    </w:rPr>
  </w:style>
  <w:style w:type="character" w:customStyle="1" w:styleId="286">
    <w:name w:val="NormalCharacter"/>
    <w:link w:val="287"/>
    <w:qFormat/>
    <w:uiPriority w:val="0"/>
    <w:rPr>
      <w:kern w:val="2"/>
      <w:sz w:val="21"/>
      <w:szCs w:val="20"/>
      <w:lang w:val="en-US" w:eastAsia="zh-CN" w:bidi="ar-SA"/>
    </w:rPr>
  </w:style>
  <w:style w:type="paragraph" w:customStyle="1" w:styleId="287">
    <w:name w:val="UserStyle_0"/>
    <w:basedOn w:val="1"/>
    <w:link w:val="286"/>
    <w:qFormat/>
    <w:uiPriority w:val="0"/>
    <w:rPr>
      <w:kern w:val="2"/>
      <w:szCs w:val="20"/>
    </w:rPr>
  </w:style>
  <w:style w:type="paragraph" w:customStyle="1" w:styleId="288">
    <w:name w:val="HtmlNormal"/>
    <w:basedOn w:val="1"/>
    <w:qFormat/>
    <w:uiPriority w:val="0"/>
    <w:pPr>
      <w:widowControl/>
      <w:spacing w:before="100" w:beforeAutospacing="1" w:after="100" w:afterAutospacing="1"/>
    </w:pPr>
    <w:rPr>
      <w:rFonts w:ascii="宋体" w:hAnsi="宋体"/>
      <w:sz w:val="24"/>
      <w:szCs w:val="24"/>
    </w:rPr>
  </w:style>
  <w:style w:type="paragraph" w:customStyle="1" w:styleId="289">
    <w:name w:val="Heading3"/>
    <w:basedOn w:val="1"/>
    <w:qFormat/>
    <w:uiPriority w:val="0"/>
    <w:pPr>
      <w:keepNext/>
      <w:keepLines/>
      <w:widowControl/>
      <w:spacing w:before="260" w:after="260" w:line="416" w:lineRule="auto"/>
    </w:pPr>
    <w:rPr>
      <w:b/>
      <w:bCs/>
      <w:sz w:val="32"/>
      <w:szCs w:val="32"/>
    </w:rPr>
  </w:style>
  <w:style w:type="paragraph" w:customStyle="1" w:styleId="290">
    <w:name w:val="普通(网站)11"/>
    <w:unhideWhenUsed/>
    <w:qFormat/>
    <w:uiPriority w:val="99"/>
    <w:pPr>
      <w:widowControl w:val="0"/>
      <w:spacing w:before="100" w:beforeAutospacing="1" w:after="100" w:afterAutospacing="1"/>
      <w:ind w:left="0" w:right="0"/>
      <w:jc w:val="left"/>
    </w:pPr>
    <w:rPr>
      <w:rFonts w:hint="default" w:ascii="Times New Roman" w:hAnsi="Times New Roman" w:eastAsia="宋体" w:cs="Times New Roman"/>
      <w:sz w:val="24"/>
      <w:szCs w:val="21"/>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dd33e79-1146-4a26-acc7-b86c5eb4e9f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72</Pages>
  <Words>161</Words>
  <Characters>195</Characters>
  <Paragraphs>1323</Paragraphs>
  <TotalTime>11</TotalTime>
  <ScaleCrop>false</ScaleCrop>
  <LinksUpToDate>false</LinksUpToDate>
  <CharactersWithSpaces>202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2025-10-20T06:27:00Z</dcterms:created>
  <dc:creator>Administrator</dc:creator>
  <cp:lastModifiedBy>中和德汇</cp:lastModifiedBy>
  <cp:lastPrinted>2025-07-31T09:00:00Z</cp:lastPrinted>
  <dcterms:modified xsi:type="dcterms:W3CDTF">2026-09-28T01:05:39Z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517596CF074F40CCAEB3201CD5C25A1F_13</vt:lpwstr>
  </property>
  <property fmtid="{D5CDD505-2E9C-101B-9397-08002B2CF9AE}" pid="4" name="KSOTemplateDocerSaveRecord">
    <vt:lpwstr>eyJoZGlkIjoiYWIzMGRjZmE3OWJjOTY2YTIzOGRkM2JlNDk2Yzc0OTAiLCJ1c2VySWQiOiI2NTMwMDAzNDQifQ==</vt:lpwstr>
  </property>
</Properties>
</file>