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footer6.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Override PartName="/word/footnotes.xml" ContentType="application/vnd.openxmlformats-officedocument.wordprocessingml.footnotes+xml"/>
  <Override PartName="/word/glossary/webSettings.xml" ContentType="application/vnd.openxmlformats-officedocument.wordprocessingml.webSettings+xml"/>
  <Override PartName="/customXml/itemProps1.xml" ContentType="application/vnd.openxmlformats-officedocument.customXmlProperties+xml"/>
  <Override PartName="/word/glossary/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sdt>
      <w:sdtPr>
        <w15:appearance w15:val="boundingBox"/>
        <w:id w:val="-1"/>
        <w:placeholder>
          <w:docPart w:val="DefaultPlaceholder_-1854013440"/>
        </w:placeholder>
        <w:rPr>
          <w:rFonts w:hint="eastAsia" w:ascii="宋体" w:hAnsi="宋体" w:eastAsia="宋体" w:cs="宋体"/>
          <w:b/>
          <w:sz w:val="56"/>
          <w:szCs w:val="56"/>
        </w:rPr>
      </w:sdtPr>
      <w:sdtContent>
        <w:p>
          <w:pPr>
            <w:jc w:val="center"/>
            <w:spacing w:before="100" w:after="100" w:line="360" w:lineRule="auto"/>
            <w:tabs>
              <w:tab w:val="left" w:pos="168" w:leader="none"/>
              <w:tab w:val="center" w:pos="4422" w:leader="none"/>
            </w:tabs>
            <w:rPr>
              <w:rFonts w:hint="eastAsia" w:ascii="宋体" w:hAnsi="宋体" w:eastAsia="宋体" w:cs="宋体"/>
              <w:b/>
              <w:sz w:val="56"/>
              <w:szCs w:val="56"/>
              <w:lang w:eastAsia="zh-CN"/>
            </w:rPr>
          </w:pPr>
          <w:r>
            <w:rPr>
              <w:rFonts w:hint="eastAsia" w:ascii="宋体" w:hAnsi="宋体" w:cs="宋体"/>
              <w:b/>
              <w:sz w:val="56"/>
              <w:szCs w:val="56"/>
              <w:lang w:eastAsia="zh-CN"/>
            </w:rPr>
            <w:t xml:space="preserve">江苏省药品监督检验研究院</w:t>
          </w:r>
          <w:r/>
        </w:p>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cs="宋体"/>
              <w:b/>
              <w:sz w:val="56"/>
              <w:szCs w:val="56"/>
              <w:lang w:eastAsia="zh-CN"/>
            </w:rPr>
            <w:t xml:space="preserve">2026年离子色谱仪等12台大型仪器运维服务采购项目</w:t>
          </w:r>
          <w:r/>
        </w:p>
      </w:sdtContent>
    </w:sdt>
    <w:p>
      <w:pPr>
        <w:pStyle w:val="1048"/>
        <w:rPr>
          <w:rFonts w:hint="eastAsia" w:ascii="宋体" w:hAnsi="宋体" w:eastAsia="宋体" w:cs="宋体"/>
          <w:b/>
          <w:sz w:val="84"/>
          <w:szCs w:val="84"/>
        </w:rPr>
      </w:pPr>
      <w:r>
        <w:rPr>
          <w:rFonts w:hint="eastAsia" w:ascii="宋体" w:hAnsi="宋体" w:eastAsia="宋体" w:cs="宋体"/>
          <w:b/>
          <w:sz w:val="84"/>
          <w:szCs w:val="84"/>
        </w:rPr>
      </w:r>
      <w:r/>
    </w:p>
    <w:p>
      <w:pPr>
        <w:pStyle w:val="1048"/>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jc w:val="center"/>
        <w:spacing w:line="440" w:lineRule="exact"/>
        <w:rPr>
          <w:rFonts w:hint="eastAsia" w:ascii="宋体" w:hAnsi="宋体" w:eastAsia="宋体" w:cs="宋体"/>
          <w:b/>
          <w:sz w:val="96"/>
        </w:rPr>
      </w:pPr>
      <w:r>
        <w:rPr>
          <w:rFonts w:hint="eastAsia" w:ascii="宋体" w:hAnsi="宋体" w:eastAsia="宋体" w:cs="宋体"/>
          <w:b/>
          <w:sz w:val="96"/>
        </w:rPr>
      </w:r>
      <w:r/>
    </w:p>
    <w:p>
      <w:pPr>
        <w:ind w:right="640"/>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项目编号：</w:t>
      </w:r>
      <w:sdt>
        <w:sdtPr>
          <w15:appearance w15:val="boundingBox"/>
          <w:id w:val="1347760698"/>
          <w:placeholder>
            <w:docPart w:val="DefaultPlaceholder_-1854013440"/>
          </w:placeholder>
          <w:rPr>
            <w:rFonts w:hint="eastAsia" w:ascii="宋体" w:hAnsi="宋体" w:eastAsia="宋体" w:cs="宋体"/>
            <w:b/>
            <w:sz w:val="32"/>
            <w:szCs w:val="32"/>
          </w:rPr>
        </w:sdtPr>
        <w:sdtContent>
          <w:r>
            <w:rPr>
              <w:rFonts w:hint="eastAsia" w:ascii="宋体" w:hAnsi="宋体" w:cs="宋体"/>
              <w:b/>
              <w:sz w:val="32"/>
              <w:szCs w:val="32"/>
              <w:lang w:eastAsia="zh-CN"/>
            </w:rPr>
            <w:t xml:space="preserve">JSZC-320000-JITC-G2026-0344</w:t>
          </w:r>
        </w:sdtContent>
      </w:sdt>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tbl>
      <w:tblPr>
        <w:tblStyle w:val="10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4079"/>
      </w:tblGrid>
      <w:tr>
        <w:trPr>
          <w:jc w:val="center"/>
        </w:trPr>
        <w:tc>
          <w:tcPr>
            <w:tcBorders>
              <w:top w:val="none" w:color="000000" w:sz="4" w:space="0"/>
              <w:left w:val="none" w:color="000000" w:sz="4" w:space="0"/>
              <w:bottom w:val="none" w:color="000000" w:sz="4" w:space="0"/>
              <w:right w:val="none" w:color="000000" w:sz="4" w:space="0"/>
            </w:tcBorders>
            <w:tcW w:w="2616" w:type="dxa"/>
            <w:vAlign w:val="top"/>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采购人：</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tabs>
                <w:tab w:val="left" w:pos="360" w:leader="none"/>
              </w:tabs>
              <w:rPr>
                <w:rFonts w:hint="eastAsia" w:ascii="宋体" w:hAnsi="宋体" w:eastAsia="宋体" w:cs="宋体"/>
                <w:b/>
                <w:sz w:val="32"/>
                <w:vertAlign w:val="baseline"/>
                <w:lang w:eastAsia="zh-CN"/>
              </w:rPr>
            </w:pPr>
            <w:r>
              <w:rPr>
                <w:rFonts w:hint="eastAsia" w:ascii="宋体" w:hAnsi="宋体" w:cs="宋体"/>
                <w:b/>
                <w:sz w:val="32"/>
                <w:lang w:eastAsia="zh-CN"/>
              </w:rPr>
              <w:t xml:space="preserve">江苏省药品监督检验研究院</w:t>
            </w:r>
            <w:r/>
          </w:p>
        </w:tc>
      </w:tr>
      <w:tr>
        <w:trPr>
          <w:jc w:val="center"/>
        </w:trPr>
        <w:tc>
          <w:tcPr>
            <w:tcBorders>
              <w:top w:val="none" w:color="000000" w:sz="4" w:space="0"/>
              <w:left w:val="none" w:color="000000" w:sz="4" w:space="0"/>
              <w:bottom w:val="none" w:color="000000" w:sz="4" w:space="0"/>
              <w:right w:val="none" w:color="000000" w:sz="4" w:space="0"/>
            </w:tcBorders>
            <w:tcW w:w="2616"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采购代理机构：</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江苏省招标中心有限公司</w:t>
            </w:r>
            <w:r/>
          </w:p>
        </w:tc>
      </w:tr>
    </w:tbl>
    <w:sdt>
      <w:sdtPr>
        <w15:appearance w15:val="boundingBox"/>
        <w:id w:val="989869004"/>
        <w:placeholder>
          <w:docPart w:val="DefaultPlaceholder_-1854013440"/>
        </w:placeholder>
        <w:rPr>
          <w:rFonts w:hint="eastAsia" w:ascii="宋体" w:hAnsi="宋体" w:eastAsia="宋体" w:cs="宋体"/>
          <w:b/>
          <w:sz w:val="32"/>
        </w:rPr>
      </w:sdtPr>
      <w:sdtContent>
        <w:p>
          <w:pPr>
            <w:jc w:val="center"/>
            <w:rPr>
              <w:rFonts w:hint="eastAsia" w:ascii="宋体" w:hAnsi="宋体" w:eastAsia="宋体" w:cs="宋体"/>
              <w:b/>
              <w:sz w:val="32"/>
            </w:rPr>
          </w:pPr>
          <w:r>
            <w:rPr>
              <w:rFonts w:hint="eastAsia" w:ascii="宋体" w:hAnsi="宋体" w:eastAsia="宋体" w:cs="宋体"/>
              <w:b/>
              <w:sz w:val="32"/>
            </w:rPr>
            <w:t xml:space="preserve">二〇二六年</w:t>
          </w:r>
          <w:r>
            <w:rPr>
              <w:rFonts w:hint="eastAsia" w:ascii="宋体" w:hAnsi="宋体" w:cs="宋体"/>
              <w:b/>
              <w:sz w:val="32"/>
              <w:lang w:val="en-US" w:eastAsia="zh-CN"/>
            </w:rPr>
            <w:t xml:space="preserve">九</w:t>
          </w:r>
          <w:r>
            <w:rPr>
              <w:rFonts w:hint="eastAsia" w:ascii="宋体" w:hAnsi="宋体" w:eastAsia="宋体" w:cs="宋体"/>
              <w:b/>
              <w:sz w:val="32"/>
            </w:rPr>
            <w:t xml:space="preserve">月</w:t>
          </w:r>
          <w:r/>
        </w:p>
      </w:sdtContent>
    </w:sdt>
    <w:p>
      <w:pPr>
        <w:spacing w:line="500" w:lineRule="exact"/>
        <w:rPr>
          <w:rFonts w:hint="eastAsia" w:ascii="宋体" w:hAnsi="宋体" w:eastAsia="宋体" w:cs="宋体"/>
          <w:b/>
          <w:sz w:val="32"/>
          <w:szCs w:val="32"/>
        </w:rPr>
        <w:sectPr>
          <w:headerReference w:type="default" r:id="rId10"/>
          <w:headerReference w:type="first" r:id="rId11"/>
          <w:footerReference w:type="default" r:id="rId12"/>
          <w:footerReference w:type="first" r:id="rId13"/>
          <w:footnotePr/>
          <w:endnotePr/>
          <w:type w:val="nextPage"/>
          <w:pgSz w:w="11906" w:h="16838" w:orient="portrait"/>
          <w:pgMar w:top="1474" w:right="1335" w:bottom="1474" w:left="1331" w:header="737" w:footer="992" w:gutter="0"/>
          <w:pgNumType w:start="1"/>
          <w:cols w:num="1" w:sep="0" w:space="720" w:equalWidth="1"/>
          <w:docGrid w:linePitch="360"/>
        </w:sect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目   录</w:t>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"_Toc19709"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_Toc19709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_Toc1202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"_Toc24398"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_Toc24398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"_Toc26853"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项目需求</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fldChar w:fldCharType="end"/>
      </w:r>
      <w:r>
        <w:rPr>
          <w:rFonts w:hint="eastAsia" w:ascii="宋体" w:hAnsi="宋体" w:cs="宋体"/>
          <w:b/>
          <w:bCs/>
          <w:color w:val="auto"/>
          <w:sz w:val="24"/>
          <w:szCs w:val="24"/>
          <w:highlight w:val="none"/>
          <w:lang w:val="en-US" w:eastAsia="zh-CN"/>
        </w:rPr>
        <w:t xml:space="preserve">3</w:t>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"_Toc31774"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评标方法与评标标准</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fldChar w:fldCharType="end"/>
      </w:r>
      <w:r>
        <w:rPr>
          <w:rFonts w:hint="eastAsia" w:ascii="宋体" w:hAnsi="宋体" w:cs="宋体"/>
          <w:b/>
          <w:bCs/>
          <w:color w:val="auto"/>
          <w:sz w:val="24"/>
          <w:szCs w:val="24"/>
          <w:highlight w:val="none"/>
          <w:lang w:val="en-US" w:eastAsia="zh-CN"/>
        </w:rPr>
        <w:t xml:space="preserve">8</w:t>
      </w:r>
      <w:r/>
    </w:p>
    <w:p>
      <w:pPr>
        <w:pStyle w:val="1055"/>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"_Toc7374"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_Toc7374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42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55"/>
        <w:keepLines w:val="0"/>
        <w:keepNext w:val="0"/>
        <w:pageBreakBefore w:val="0"/>
        <w:spacing w:line="480" w:lineRule="auto"/>
        <w:widowControl w:val="off"/>
        <w:tabs>
          <w:tab w:val="right" w:pos="8844" w:leader="dot"/>
        </w:tabs>
        <w:rPr>
          <w:rFonts w:hint="eastAsia" w:ascii="宋体" w:hAnsi="宋体" w:eastAsia="宋体" w:cs="宋体"/>
          <w:b/>
          <w:sz w:val="21"/>
          <w:szCs w:val="22"/>
        </w:rPr>
      </w:pPr>
      <w:r>
        <w:rPr>
          <w:rFonts w:hint="eastAsia" w:ascii="宋体" w:hAnsi="宋体" w:eastAsia="宋体" w:cs="宋体"/>
          <w:b/>
          <w:bCs/>
          <w:color w:val="auto"/>
          <w:sz w:val="24"/>
          <w:szCs w:val="24"/>
          <w:highlight w:val="none"/>
        </w:rPr>
        <w:fldChar w:fldCharType="end"/>
      </w:r>
      <w:r/>
    </w:p>
    <w:p>
      <w:pPr>
        <w:spacing w:line="360" w:lineRule="auto"/>
        <w:rPr>
          <w:rFonts w:hint="eastAsia" w:ascii="宋体" w:hAnsi="宋体" w:eastAsia="宋体" w:cs="宋体"/>
        </w:rPr>
      </w:pPr>
      <w:r>
        <w:rPr>
          <w:rFonts w:hint="eastAsia" w:ascii="宋体" w:hAnsi="宋体" w:eastAsia="宋体" w:cs="宋体"/>
          <w:b/>
          <w:bCs/>
          <w:sz w:val="32"/>
          <w:lang w:val="zh-CN"/>
        </w:rPr>
        <w:br w:type="page" w:clear="all"/>
      </w:r>
      <w:r/>
    </w:p>
    <w:p>
      <w:pPr>
        <w:pStyle w:val="1065"/>
        <w:ind w:firstLine="3213"/>
        <w:jc w:val="both"/>
        <w:rPr>
          <w:rFonts w:hint="eastAsia" w:ascii="宋体" w:hAnsi="宋体" w:eastAsia="宋体" w:cs="宋体"/>
        </w:rPr>
      </w:pPr>
      <w:r/>
      <w:bookmarkStart w:id="0" w:name="_Toc19709"/>
      <w:r/>
      <w:bookmarkStart w:id="1" w:name="_Toc80264697"/>
      <w:r/>
      <w:bookmarkStart w:id="2" w:name="_Toc80792688"/>
      <w:r/>
      <w:bookmarkStart w:id="3" w:name="_Toc71561877"/>
      <w:r/>
      <w:bookmarkStart w:id="4" w:name="_Toc80264704"/>
      <w:r>
        <w:rPr>
          <w:rFonts w:hint="eastAsia" w:ascii="宋体" w:hAnsi="宋体" w:eastAsia="宋体" w:cs="宋体"/>
        </w:rPr>
        <w:t xml:space="preserve">第一章 招标公告</w:t>
      </w:r>
      <w:bookmarkEnd w:id="0"/>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eastAsia" w:ascii="宋体" w:hAnsi="宋体" w:eastAsia="宋体" w:cs="宋体"/>
            <w:bCs/>
            <w:szCs w:val="21"/>
          </w:rPr>
        </w:sdtPr>
        <w:sdtContent>
          <w:r>
            <w:rPr>
              <w:rFonts w:hint="eastAsia" w:ascii="宋体" w:hAnsi="宋体" w:cs="宋体"/>
              <w:bCs/>
              <w:szCs w:val="21"/>
              <w:u w:val="single"/>
              <w:lang w:eastAsia="zh-CN"/>
            </w:rPr>
            <w:t xml:space="preserve">江苏省药品监督检验研究院2026年离子色谱仪等12台大型仪器运维服务采购项目</w:t>
          </w:r>
        </w:sdtContent>
      </w:sdt>
      <w:r>
        <w:rPr>
          <w:rFonts w:hint="eastAsia" w:ascii="宋体" w:hAnsi="宋体" w:eastAsia="宋体" w:cs="宋体"/>
          <w:bCs/>
          <w:szCs w:val="21"/>
        </w:rPr>
        <w:t xml:space="preserve">的潜在投标人应在</w:t>
      </w:r>
      <w:sdt>
        <w:sdtPr>
          <w15:appearance w15:val="boundingBox"/>
          <w:id w:val="172536919"/>
          <w:placeholder>
            <w:docPart w:val="{0750ff33-8f46-4498-b164-60879e47bae3}"/>
          </w:placeholder>
          <w:rPr>
            <w:rFonts w:hint="eastAsia" w:ascii="宋体" w:hAnsi="宋体" w:eastAsia="宋体" w:cs="宋体"/>
            <w:bCs/>
            <w:szCs w:val="21"/>
            <w:u w:val="single"/>
          </w:rPr>
        </w:sdtPr>
        <w:sdtContent>
          <w:r>
            <w:rPr>
              <w:rFonts w:hint="eastAsia" w:ascii="宋体" w:hAnsi="宋体" w:eastAsia="宋体" w:cs="宋体"/>
              <w:bCs/>
              <w:szCs w:val="21"/>
              <w:u w:val="single"/>
            </w:rPr>
            <w:t xml:space="preserve">江苏政府采购网</w:t>
          </w:r>
        </w:sdtContent>
      </w:sdt>
      <w:r>
        <w:rPr>
          <w:rFonts w:hint="eastAsia" w:ascii="宋体" w:hAnsi="宋体" w:eastAsia="宋体" w:cs="宋体"/>
          <w:bCs/>
          <w:szCs w:val="21"/>
        </w:rPr>
        <w:t xml:space="preserve">获取招标文件，并于</w:t>
      </w:r>
      <w:sdt>
        <w:sdtPr>
          <w15:appearance w15:val="boundingBox"/>
          <w:id w:val="1060367258"/>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2026年</w:t>
          </w:r>
          <w:r>
            <w:rPr>
              <w:rFonts w:hint="eastAsia" w:ascii="宋体" w:hAnsi="宋体" w:cs="宋体"/>
              <w:bCs/>
              <w:szCs w:val="21"/>
              <w:u w:val="single"/>
              <w:lang w:val="en-US" w:eastAsia="zh-CN"/>
            </w:rPr>
            <w:t xml:space="preserve">10</w:t>
          </w:r>
          <w:r>
            <w:rPr>
              <w:rFonts w:hint="eastAsia" w:ascii="宋体" w:hAnsi="宋体" w:eastAsia="宋体" w:cs="宋体"/>
              <w:bCs/>
              <w:szCs w:val="21"/>
              <w:u w:val="single"/>
            </w:rPr>
            <w:t xml:space="preserve">月</w:t>
          </w:r>
          <w:r>
            <w:rPr>
              <w:rFonts w:hint="eastAsia" w:ascii="宋体" w:hAnsi="宋体" w:cs="宋体"/>
              <w:bCs/>
              <w:szCs w:val="21"/>
              <w:u w:val="single"/>
              <w:lang w:val="en-US" w:eastAsia="zh-CN"/>
            </w:rPr>
            <w:t xml:space="preserve">20</w:t>
          </w:r>
          <w:r>
            <w:rPr>
              <w:rFonts w:hint="eastAsia" w:ascii="宋体" w:hAnsi="宋体" w:eastAsia="宋体" w:cs="宋体"/>
              <w:bCs/>
              <w:szCs w:val="21"/>
              <w:u w:val="single"/>
            </w:rPr>
            <w:t xml:space="preserve">日</w:t>
          </w:r>
          <w:r>
            <w:rPr>
              <w:rFonts w:hint="eastAsia" w:ascii="宋体" w:hAnsi="宋体" w:cs="宋体"/>
              <w:bCs/>
              <w:szCs w:val="21"/>
              <w:u w:val="single"/>
              <w:lang w:val="en-US" w:eastAsia="zh-CN"/>
            </w:rPr>
            <w:t xml:space="preserve">13</w:t>
          </w:r>
          <w:r>
            <w:rPr>
              <w:rFonts w:hint="eastAsia" w:ascii="宋体" w:hAnsi="宋体" w:eastAsia="宋体" w:cs="宋体"/>
              <w:bCs/>
              <w:szCs w:val="21"/>
              <w:u w:val="single"/>
            </w:rPr>
            <w:t xml:space="preserve">:</w:t>
          </w:r>
          <w:r>
            <w:rPr>
              <w:rFonts w:hint="eastAsia" w:ascii="宋体" w:hAnsi="宋体" w:cs="宋体"/>
              <w:bCs/>
              <w:szCs w:val="21"/>
              <w:u w:val="single"/>
              <w:lang w:val="en-US" w:eastAsia="zh-CN"/>
            </w:rPr>
            <w:t xml:space="preserve">0</w:t>
          </w:r>
          <w:r>
            <w:rPr>
              <w:rFonts w:hint="eastAsia" w:ascii="宋体" w:hAnsi="宋体" w:eastAsia="宋体" w:cs="宋体"/>
              <w:bCs/>
              <w:szCs w:val="21"/>
              <w:u w:val="single"/>
            </w:rPr>
            <w:t xml:space="preserve">0</w:t>
          </w:r>
        </w:sdtContent>
      </w:sdt>
      <w:r>
        <w:rPr>
          <w:rFonts w:hint="eastAsia" w:ascii="宋体" w:hAnsi="宋体" w:eastAsia="宋体" w:cs="宋体"/>
          <w:bCs/>
          <w:szCs w:val="21"/>
          <w:u w:val="single"/>
        </w:rPr>
        <w:t xml:space="preserve">（北京时间）</w:t>
      </w:r>
      <w:r>
        <w:rPr>
          <w:rFonts w:hint="eastAsia" w:ascii="宋体" w:hAnsi="宋体" w:eastAsia="宋体" w:cs="宋体"/>
          <w:bCs/>
          <w:szCs w:val="21"/>
        </w:rPr>
        <w:t xml:space="preserve">前递交投标文件。</w:t>
      </w:r>
      <w:r/>
    </w:p>
    <w:p>
      <w:pPr>
        <w:spacing w:line="360" w:lineRule="auto"/>
        <w:rPr>
          <w:rFonts w:hint="eastAsia" w:ascii="宋体" w:hAnsi="宋体" w:eastAsia="宋体" w:cs="宋体"/>
          <w:b/>
          <w:bCs/>
          <w:szCs w:val="44"/>
        </w:rPr>
      </w:pPr>
      <w:r/>
      <w:bookmarkStart w:id="5" w:name="_Toc96347851"/>
      <w:r/>
      <w:bookmarkStart w:id="6" w:name="_Toc93909065"/>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一、项目</w:t>
      </w:r>
      <w:bookmarkEnd w:id="1"/>
      <w:r>
        <w:rPr>
          <w:rFonts w:hint="eastAsia" w:ascii="宋体" w:hAnsi="宋体" w:eastAsia="宋体" w:cs="宋体"/>
          <w:b/>
          <w:bCs/>
          <w:szCs w:val="44"/>
        </w:rPr>
        <w:t xml:space="preserve">基本情况</w:t>
      </w:r>
      <w:bookmarkEnd w:id="2"/>
      <w:r/>
      <w:bookmarkEnd w:id="5"/>
      <w:r/>
      <w:bookmarkEnd w:id="6"/>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1.1项目编号：</w:t>
      </w:r>
      <w:sdt>
        <w:sdtPr>
          <w15:appearance w15:val="boundingBox"/>
          <w:id w:val="696048593"/>
          <w:placeholder>
            <w:docPart w:val="{0750ff33-8f46-4498-b164-60879e47bae3}"/>
          </w:placeholder>
          <w:rPr>
            <w:rFonts w:hint="eastAsia" w:ascii="宋体" w:hAnsi="宋体" w:eastAsia="宋体" w:cs="宋体"/>
            <w:bCs/>
            <w:szCs w:val="21"/>
          </w:rPr>
        </w:sdtPr>
        <w:sdtContent>
          <w:r>
            <w:rPr>
              <w:rFonts w:hint="eastAsia" w:ascii="宋体" w:hAnsi="宋体" w:cs="宋体"/>
              <w:bCs/>
              <w:szCs w:val="21"/>
              <w:lang w:eastAsia="zh-CN"/>
            </w:rPr>
            <w:t xml:space="preserve">JSZC-320000-JITC-G2026-0344</w:t>
          </w:r>
          <w:r>
            <w:rPr>
              <w:rFonts w:hint="eastAsia" w:ascii="宋体" w:hAnsi="宋体" w:cs="宋体"/>
              <w:bCs/>
              <w:szCs w:val="21"/>
              <w:lang w:eastAsia="zh-CN"/>
            </w:rPr>
            <w:tab/>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1.2项目名称：</w:t>
      </w:r>
      <w:sdt>
        <w:sdtPr>
          <w15:appearance w15:val="boundingBox"/>
          <w:id w:val="957374975"/>
          <w:placeholder>
            <w:docPart w:val="{12141ca0-3c4e-492c-aee3-aa34a6ae14ed}"/>
          </w:placeholder>
          <w:rPr>
            <w:rFonts w:hint="eastAsia" w:ascii="宋体" w:hAnsi="宋体" w:eastAsia="宋体" w:cs="宋体"/>
            <w:bCs/>
            <w:szCs w:val="21"/>
          </w:rPr>
        </w:sdtPr>
        <w:sdtContent>
          <w:r>
            <w:rPr>
              <w:rFonts w:hint="eastAsia" w:ascii="宋体" w:hAnsi="宋体" w:cs="宋体"/>
              <w:bCs/>
              <w:szCs w:val="21"/>
              <w:lang w:eastAsia="zh-CN"/>
            </w:rPr>
            <w:t xml:space="preserve">江苏省药品监督检验研究院2026年离子色谱仪等12台大型仪器运维服务采购项目</w:t>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1.3预算金额：本项目总预算</w:t>
      </w:r>
      <w:r>
        <w:rPr>
          <w:rFonts w:hint="eastAsia" w:ascii="宋体" w:hAnsi="宋体" w:cs="宋体"/>
          <w:bCs/>
          <w:szCs w:val="21"/>
          <w:lang w:val="en-US" w:eastAsia="zh-CN"/>
        </w:rPr>
        <w:t xml:space="preserve">126</w:t>
      </w:r>
      <w:r>
        <w:rPr>
          <w:rFonts w:hint="eastAsia" w:ascii="宋体" w:hAnsi="宋体" w:eastAsia="宋体" w:cs="宋体"/>
          <w:bCs/>
          <w:szCs w:val="21"/>
        </w:rPr>
        <w:t xml:space="preserve">万元</w:t>
      </w:r>
      <w:r>
        <w:rPr>
          <w:rFonts w:hint="eastAsia" w:ascii="宋体" w:hAnsi="宋体" w:cs="宋体"/>
          <w:bCs/>
          <w:szCs w:val="21"/>
          <w:lang w:val="en-US" w:eastAsia="zh-CN"/>
        </w:rPr>
        <w:t xml:space="preserve">。</w:t>
      </w:r>
      <w:r/>
    </w:p>
    <w:p>
      <w:pPr>
        <w:ind w:firstLine="422"/>
        <w:spacing w:line="360" w:lineRule="auto"/>
        <w:rPr>
          <w:rFonts w:hint="eastAsia" w:ascii="宋体" w:hAnsi="宋体" w:eastAsia="宋体" w:cs="宋体"/>
          <w:b/>
          <w:szCs w:val="21"/>
          <w:lang w:eastAsia="zh-CN"/>
        </w:rPr>
      </w:pPr>
      <w:r>
        <w:rPr>
          <w:rFonts w:hint="eastAsia" w:ascii="宋体" w:hAnsi="宋体" w:eastAsia="宋体" w:cs="宋体"/>
          <w:b/>
          <w:szCs w:val="21"/>
        </w:rPr>
        <w:t xml:space="preserve">1.4★最高限价：本项目投标总价不得高于人民币</w:t>
      </w:r>
      <w:r>
        <w:rPr>
          <w:rFonts w:hint="eastAsia" w:ascii="宋体" w:hAnsi="宋体" w:cs="宋体"/>
          <w:b/>
          <w:szCs w:val="21"/>
          <w:lang w:val="en-US" w:eastAsia="zh-CN"/>
        </w:rPr>
        <w:t xml:space="preserve">126</w:t>
      </w:r>
      <w:r>
        <w:rPr>
          <w:rFonts w:hint="eastAsia" w:ascii="宋体" w:hAnsi="宋体" w:eastAsia="宋体" w:cs="宋体"/>
          <w:b/>
          <w:szCs w:val="21"/>
          <w:lang w:val="en-US" w:eastAsia="zh-CN"/>
        </w:rPr>
        <w:t xml:space="preserve">万元</w:t>
      </w:r>
      <w:r>
        <w:rPr>
          <w:rFonts w:hint="eastAsia" w:ascii="宋体" w:hAnsi="宋体" w:cs="宋体"/>
          <w:b/>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投标人投标报价不得超过上述限价金额，否则将作无效标处理。</w:t>
      </w:r>
      <w:r/>
    </w:p>
    <w:p>
      <w:pPr>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rPr>
        <w:t xml:space="preserve">1.5项目需求：为设备提供全周期维保服务，含现场检修、维修、保养、原厂备品备件供应、软件维护等，确保维保期内设备正常运行，无故障影响使用</w:t>
      </w:r>
      <w:r>
        <w:rPr>
          <w:rFonts w:hint="eastAsia" w:ascii="宋体" w:hAnsi="宋体" w:cs="宋体"/>
          <w:bCs/>
          <w:szCs w:val="21"/>
          <w:lang w:eastAsia="zh-CN"/>
        </w:rPr>
        <w:t xml:space="preserve">，</w:t>
      </w:r>
      <w:r>
        <w:rPr>
          <w:rFonts w:hint="eastAsia" w:ascii="宋体" w:hAnsi="宋体" w:eastAsia="宋体" w:cs="宋体"/>
          <w:bCs/>
          <w:szCs w:val="21"/>
          <w:lang w:val="en-US" w:eastAsia="zh-CN"/>
        </w:rPr>
        <w:t xml:space="preserve">具体详见第四章项目需求</w:t>
      </w:r>
      <w:r>
        <w:rPr>
          <w:rFonts w:hint="eastAsia" w:ascii="宋体" w:hAnsi="宋体" w:cs="宋体"/>
          <w:bCs/>
          <w:szCs w:val="21"/>
          <w:lang w:val="en-US"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6合同履行期/服务期</w:t>
      </w:r>
      <w:r>
        <w:rPr>
          <w:rFonts w:hint="eastAsia" w:ascii="宋体" w:hAnsi="宋体" w:eastAsia="宋体" w:cs="宋体"/>
          <w:b/>
          <w:szCs w:val="21"/>
        </w:rPr>
        <w:t xml:space="preserve">：</w:t>
      </w:r>
      <w:r>
        <w:rPr>
          <w:rFonts w:hint="eastAsia" w:ascii="宋体" w:hAnsi="宋体" w:cs="宋体"/>
          <w:b/>
          <w:szCs w:val="21"/>
          <w:lang w:val="en-US" w:eastAsia="zh-CN"/>
        </w:rPr>
        <w:t xml:space="preserve">壹年。</w:t>
      </w:r>
      <w:r/>
    </w:p>
    <w:p>
      <w:pPr>
        <w:ind w:firstLine="420"/>
        <w:spacing w:line="360" w:lineRule="auto"/>
        <w:rPr>
          <w:rFonts w:hint="eastAsia" w:ascii="宋体" w:hAnsi="宋体" w:eastAsia="宋体" w:cs="宋体"/>
          <w:b/>
          <w:szCs w:val="21"/>
          <w:lang w:val="en-US" w:eastAsia="zh-CN"/>
        </w:rPr>
      </w:pPr>
      <w:r>
        <w:rPr>
          <w:rFonts w:hint="eastAsia" w:ascii="宋体" w:hAnsi="宋体" w:eastAsia="宋体" w:cs="宋体"/>
          <w:b/>
          <w:szCs w:val="21"/>
        </w:rPr>
        <w:t xml:space="preserve">1.</w:t>
      </w:r>
      <w:r>
        <w:rPr>
          <w:rFonts w:hint="eastAsia" w:ascii="宋体" w:hAnsi="宋体" w:cs="宋体"/>
          <w:b/>
          <w:szCs w:val="21"/>
          <w:lang w:val="en-US" w:eastAsia="zh-CN"/>
        </w:rPr>
        <w:t xml:space="preserve">7</w:t>
      </w:r>
      <w:r>
        <w:rPr>
          <w:rFonts w:hint="eastAsia" w:ascii="宋体" w:hAnsi="宋体" w:eastAsia="宋体" w:cs="宋体"/>
          <w:b/>
          <w:szCs w:val="21"/>
        </w:rPr>
        <w:t xml:space="preserve">本项目是否接受联合体投标：不接受</w:t>
      </w:r>
      <w:r>
        <w:rPr>
          <w:rFonts w:hint="eastAsia" w:ascii="宋体" w:hAnsi="宋体" w:cs="宋体"/>
          <w:b/>
          <w:szCs w:val="21"/>
          <w:lang w:eastAsia="zh-CN"/>
        </w:rPr>
        <w:t xml:space="preserve">。</w:t>
      </w:r>
      <w:r/>
    </w:p>
    <w:p>
      <w:pPr>
        <w:ind w:firstLine="420"/>
        <w:spacing w:line="360" w:lineRule="auto"/>
        <w:rPr>
          <w:rFonts w:hint="eastAsia" w:ascii="宋体" w:hAnsi="宋体" w:cs="宋体"/>
          <w:b/>
          <w:szCs w:val="21"/>
          <w:lang w:val="en-US" w:eastAsia="zh-CN"/>
        </w:rPr>
      </w:pPr>
      <w:r>
        <w:rPr>
          <w:rFonts w:hint="eastAsia" w:ascii="宋体" w:hAnsi="宋体" w:cs="宋体"/>
          <w:b/>
          <w:szCs w:val="21"/>
          <w:lang w:val="en-US" w:eastAsia="zh-CN"/>
        </w:rPr>
      </w:r>
      <w:r/>
    </w:p>
    <w:p>
      <w:pPr>
        <w:spacing w:line="360" w:lineRule="auto"/>
        <w:rPr>
          <w:rFonts w:hint="eastAsia" w:ascii="宋体" w:hAnsi="宋体" w:eastAsia="宋体" w:cs="宋体"/>
          <w:b/>
          <w:bCs/>
          <w:szCs w:val="44"/>
        </w:rPr>
      </w:pPr>
      <w:r/>
      <w:bookmarkStart w:id="7" w:name="_Toc80264698"/>
      <w:r/>
      <w:bookmarkStart w:id="8" w:name="_Toc93909066"/>
      <w:r/>
      <w:bookmarkStart w:id="9" w:name="_Toc80792689"/>
      <w:r/>
      <w:bookmarkStart w:id="10" w:name="_Toc96347852"/>
      <w:r>
        <w:rPr>
          <w:rFonts w:hint="eastAsia" w:ascii="宋体" w:hAnsi="宋体" w:eastAsia="宋体" w:cs="宋体"/>
          <w:b/>
          <w:bCs/>
          <w:szCs w:val="44"/>
        </w:rPr>
        <w:t xml:space="preserve">二、</w:t>
      </w:r>
      <w:bookmarkEnd w:id="7"/>
      <w:r>
        <w:rPr>
          <w:rFonts w:hint="eastAsia" w:ascii="宋体" w:hAnsi="宋体" w:eastAsia="宋体" w:cs="宋体"/>
          <w:b/>
          <w:bCs/>
          <w:szCs w:val="44"/>
        </w:rPr>
        <w:t xml:space="preserve">申请人的资格要求</w:t>
      </w:r>
      <w:bookmarkEnd w:id="8"/>
      <w:r/>
      <w:bookmarkEnd w:id="9"/>
      <w:r>
        <w:rPr>
          <w:rFonts w:hint="eastAsia" w:ascii="宋体" w:hAnsi="宋体" w:eastAsia="宋体" w:cs="宋体"/>
          <w:b/>
          <w:bCs/>
          <w:szCs w:val="44"/>
        </w:rPr>
        <w:t xml:space="preserve">：</w:t>
      </w:r>
      <w:bookmarkEnd w:id="10"/>
      <w:r/>
      <w:r/>
    </w:p>
    <w:p>
      <w:pPr>
        <w:ind w:firstLine="420"/>
        <w:spacing w:line="360" w:lineRule="auto"/>
        <w:rPr>
          <w:rFonts w:hint="eastAsia" w:ascii="宋体" w:hAnsi="宋体" w:eastAsia="宋体" w:cs="宋体"/>
          <w:bCs/>
          <w:color w:val="000000"/>
          <w:szCs w:val="21"/>
        </w:rPr>
      </w:pPr>
      <w:r/>
      <w:bookmarkStart w:id="11" w:name="_Toc96347853"/>
      <w:r/>
      <w:bookmarkStart w:id="12" w:name="_Toc93909067"/>
      <w:r/>
      <w:bookmarkStart w:id="13" w:name="_Toc80792690"/>
      <w:r/>
      <w:bookmarkStart w:id="14" w:name="_Toc80264699"/>
      <w:r>
        <w:rPr>
          <w:rFonts w:hint="eastAsia" w:ascii="宋体" w:hAnsi="宋体" w:eastAsia="宋体" w:cs="宋体"/>
          <w:bCs/>
          <w:color w:val="000000"/>
          <w:szCs w:val="21"/>
        </w:rPr>
        <w:t xml:space="preserve">2.1满足《中华人民共和国政府采购法》第二十二条规定：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2.1.2具有良好的商业信誉和健全的财务会计制度，提供2025年度财务报表（如为新成立的公司，应提供公司成立之后的财务报表）或投标截止时间前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2026年04月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）内，由其基本开户银行出具的资信证明；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2.1.4有依法缴纳税收和社会保障资金的良好记录，提供本次采购活动前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2026年04月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）内，至少1个月缴纳税收和社会保险的凭证，依法享受免缴、缓缴的，提供证明材料；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2.1.6法律、行政法规规定的其他条件。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2.2落实政府采购政策需满足的资格要求：</w:t>
      </w:r>
      <w:r/>
    </w:p>
    <w:p>
      <w:pPr>
        <w:ind w:firstLine="420"/>
        <w:spacing w:line="360" w:lineRule="auto"/>
        <w:rPr>
          <w:rFonts w:hint="eastAsia" w:ascii="宋体" w:hAnsi="宋体" w:eastAsia="宋体" w:cs="宋体"/>
          <w:bCs/>
          <w:szCs w:val="21"/>
        </w:rPr>
      </w:pPr>
      <w:r/>
      <w:bookmarkStart w:id="15" w:name="OLE_LINK4"/>
      <w:r/>
      <w:bookmarkStart w:id="16" w:name="OLE_LINK26"/>
      <w:r>
        <w:rPr>
          <w:rFonts w:hint="eastAsia" w:ascii="宋体" w:hAnsi="宋体" w:eastAsia="宋体" w:cs="宋体"/>
          <w:bCs/>
          <w:szCs w:val="21"/>
        </w:rPr>
        <w:t xml:space="preserve">2.2.1.</w:t>
      </w:r>
      <w:bookmarkStart w:id="17" w:name="OLE_LINK12"/>
      <w:r>
        <w:rPr>
          <w:rFonts w:hint="eastAsia" w:ascii="宋体" w:hAnsi="宋体" w:cs="宋体"/>
          <w:bCs/>
          <w:szCs w:val="21"/>
          <w:lang w:eastAsia="zh-CN"/>
        </w:rPr>
        <w:t xml:space="preserve">本项目属于服务类采购</w:t>
      </w:r>
      <w:r>
        <w:rPr>
          <w:rFonts w:hint="eastAsia" w:ascii="宋体" w:hAnsi="宋体" w:eastAsia="宋体" w:cs="宋体"/>
          <w:bCs/>
          <w:szCs w:val="21"/>
        </w:rPr>
        <w:t xml:space="preserve">。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w:t>
      </w:r>
      <w:r>
        <w:rPr>
          <w:rFonts w:hint="eastAsia" w:ascii="宋体" w:hAnsi="宋体" w:cs="宋体"/>
          <w:bCs/>
          <w:szCs w:val="21"/>
          <w:lang w:val="en-US" w:eastAsia="zh-CN"/>
        </w:rPr>
        <w:t xml:space="preserve">服务</w:t>
      </w:r>
      <w:r>
        <w:rPr>
          <w:rFonts w:hint="eastAsia" w:ascii="宋体" w:hAnsi="宋体" w:eastAsia="宋体" w:cs="宋体"/>
          <w:bCs/>
          <w:szCs w:val="21"/>
        </w:rPr>
        <w:t xml:space="preserve">全部由中小企业</w:t>
      </w:r>
      <w:r>
        <w:rPr>
          <w:rFonts w:hint="eastAsia" w:ascii="宋体" w:hAnsi="宋体" w:cs="宋体"/>
          <w:bCs/>
          <w:szCs w:val="21"/>
          <w:lang w:val="en-US" w:eastAsia="zh-CN"/>
        </w:rPr>
        <w:t xml:space="preserve">承接</w:t>
      </w:r>
      <w:r>
        <w:rPr>
          <w:rFonts w:hint="eastAsia" w:ascii="宋体" w:hAnsi="宋体" w:eastAsia="宋体" w:cs="宋体"/>
          <w:bCs/>
          <w:szCs w:val="21"/>
        </w:rPr>
        <w:t xml:space="preserve">。（供应商必须提供中小企业声明函（见格式））</w:t>
      </w:r>
      <w:bookmarkEnd w:id="15"/>
      <w:r/>
      <w:bookmarkEnd w:id="17"/>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eastAsia="宋体" w:cs="宋体"/>
          <w:b/>
          <w:bCs w:val="0"/>
          <w:szCs w:val="21"/>
          <w:u w:val="single"/>
        </w:rPr>
        <w:t xml:space="preserve">工业</w:t>
      </w:r>
      <w:r>
        <w:rPr>
          <w:rFonts w:hint="eastAsia" w:ascii="宋体" w:hAnsi="宋体" w:eastAsia="宋体" w:cs="宋体"/>
          <w:bCs/>
          <w:szCs w:val="21"/>
        </w:rPr>
        <w:t xml:space="preserve">。</w:t>
      </w:r>
      <w:bookmarkEnd w:id="16"/>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w:t>
      </w:r>
      <w:r>
        <w:rPr>
          <w:rFonts w:hint="eastAsia" w:ascii="宋体" w:hAnsi="宋体" w:eastAsia="宋体" w:cs="宋体"/>
          <w:b/>
          <w:bCs w:val="0"/>
          <w:color w:val="000000"/>
          <w:szCs w:val="21"/>
        </w:rPr>
        <w:t xml:space="preserve">本项目的特定资格要求</w:t>
      </w:r>
      <w:r>
        <w:rPr>
          <w:rFonts w:hint="eastAsia" w:ascii="宋体" w:hAnsi="宋体" w:eastAsia="宋体" w:cs="宋体"/>
          <w:bCs/>
          <w:color w:val="000000"/>
          <w:szCs w:val="21"/>
        </w:rPr>
        <w:t xml:space="preserve">：</w:t>
      </w:r>
      <w:r/>
    </w:p>
    <w:p>
      <w:pPr>
        <w:ind w:firstLine="420"/>
        <w:spacing w:line="360" w:lineRule="auto"/>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 xml:space="preserve">2.3本项目的特定资格要求：</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2.3.1投标人存在下列情形的不得参加本次招标活动：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2.3.1.1单位负责人为同一人或者存在直接控股、管理关系的不同投标人，不得参加同一合同项下的政府采购活动。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2.3.1.2除单一来源项目外，凡为采购项目提供整体设计、规范编制或者项目管理、监理、检测等服务的投标人不得再参加本项目的采购活动。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2.3.1.3通过“信用中国”网站（http://www.creditchina.gov.cn）、中国政府采购网（www.ccgp.gov.cn）查询投标人在投标截止时间前的信用记录，通过以上查询渠道，投标人被列入失信被执行人、重大税收违法失信主体、政府采购严重违法失信行为记录。</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三、获取招标文件</w:t>
      </w:r>
      <w:bookmarkEnd w:id="11"/>
      <w:r/>
      <w:bookmarkEnd w:id="12"/>
      <w:r/>
      <w:bookmarkEnd w:id="13"/>
      <w:r/>
      <w:bookmarkEnd w:id="14"/>
      <w:r/>
      <w:r/>
    </w:p>
    <w:p>
      <w:pPr>
        <w:ind w:firstLine="525"/>
        <w:spacing w:after="40" w:line="360" w:lineRule="auto"/>
        <w:rPr>
          <w:rFonts w:hint="eastAsia" w:ascii="宋体" w:hAnsi="宋体" w:eastAsia="宋体" w:cs="宋体"/>
          <w:bCs/>
          <w:szCs w:val="21"/>
        </w:rPr>
      </w:pPr>
      <w:r/>
      <w:bookmarkStart w:id="18" w:name="_Toc80792691"/>
      <w:r/>
      <w:bookmarkStart w:id="19" w:name="_Toc80264700"/>
      <w:r/>
      <w:bookmarkStart w:id="20" w:name="_Toc93909068"/>
      <w:r/>
      <w:bookmarkStart w:id="21" w:name="_Toc96347854"/>
      <w:r>
        <w:rPr>
          <w:rFonts w:hint="eastAsia" w:ascii="宋体" w:hAnsi="宋体" w:eastAsia="宋体" w:cs="宋体"/>
          <w:bCs/>
          <w:szCs w:val="21"/>
        </w:rPr>
        <w:t xml:space="preserve">时间：自本公告发布之日起5个工作日</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获取地点：江苏政府采购网。</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获取方式：网上下载</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售价：0元。</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四、</w:t>
      </w:r>
      <w:bookmarkEnd w:id="18"/>
      <w:r/>
      <w:bookmarkEnd w:id="19"/>
      <w:r>
        <w:rPr>
          <w:rFonts w:hint="eastAsia" w:ascii="宋体" w:hAnsi="宋体" w:eastAsia="宋体" w:cs="宋体"/>
          <w:b/>
          <w:bCs/>
          <w:szCs w:val="44"/>
        </w:rPr>
        <w:t xml:space="preserve">递交投标文件截止时间、开标时间和地点</w:t>
      </w:r>
      <w:bookmarkEnd w:id="20"/>
      <w:r/>
      <w:bookmarkEnd w:id="21"/>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提交投标文件截止时间、开标时间：2026年</w:t>
      </w:r>
      <w:r>
        <w:rPr>
          <w:rFonts w:hint="eastAsia" w:ascii="宋体" w:hAnsi="宋体" w:cs="宋体"/>
          <w:bCs/>
          <w:szCs w:val="21"/>
          <w:lang w:val="en-US" w:eastAsia="zh-CN"/>
        </w:rPr>
        <w:t xml:space="preserve">10</w:t>
      </w:r>
      <w:r>
        <w:rPr>
          <w:rFonts w:hint="eastAsia" w:ascii="宋体" w:hAnsi="宋体" w:eastAsia="宋体" w:cs="宋体"/>
          <w:bCs/>
          <w:szCs w:val="21"/>
        </w:rPr>
        <w:t xml:space="preserve">月</w:t>
      </w:r>
      <w:r>
        <w:rPr>
          <w:rFonts w:hint="eastAsia" w:ascii="宋体" w:hAnsi="宋体" w:cs="宋体"/>
          <w:bCs/>
          <w:szCs w:val="21"/>
          <w:lang w:val="en-US" w:eastAsia="zh-CN"/>
        </w:rPr>
        <w:t xml:space="preserve">20</w:t>
      </w:r>
      <w:r>
        <w:rPr>
          <w:rFonts w:hint="eastAsia" w:ascii="宋体" w:hAnsi="宋体" w:eastAsia="宋体" w:cs="宋体"/>
          <w:bCs/>
          <w:szCs w:val="21"/>
        </w:rPr>
        <w:t xml:space="preserve">日</w:t>
      </w:r>
      <w:r>
        <w:rPr>
          <w:rFonts w:hint="eastAsia" w:ascii="宋体" w:hAnsi="宋体" w:cs="宋体"/>
          <w:bCs/>
          <w:szCs w:val="21"/>
          <w:lang w:val="en-US" w:eastAsia="zh-CN"/>
        </w:rPr>
        <w:t xml:space="preserve">13</w:t>
      </w:r>
      <w:r>
        <w:rPr>
          <w:rFonts w:hint="eastAsia" w:ascii="宋体" w:hAnsi="宋体" w:eastAsia="宋体" w:cs="宋体"/>
          <w:bCs/>
          <w:szCs w:val="21"/>
        </w:rPr>
        <w:t xml:space="preserve">:</w:t>
      </w:r>
      <w:r>
        <w:rPr>
          <w:rFonts w:hint="eastAsia" w:ascii="宋体" w:hAnsi="宋体" w:cs="宋体"/>
          <w:bCs/>
          <w:szCs w:val="21"/>
          <w:lang w:val="en-US" w:eastAsia="zh-CN"/>
        </w:rPr>
        <w:t xml:space="preserve">0</w:t>
      </w:r>
      <w:r>
        <w:rPr>
          <w:rFonts w:hint="eastAsia" w:ascii="宋体" w:hAnsi="宋体" w:eastAsia="宋体" w:cs="宋体"/>
          <w:bCs/>
          <w:szCs w:val="21"/>
        </w:rPr>
        <w:t xml:space="preserve">0（北京时间）</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
          <w:szCs w:val="21"/>
        </w:rPr>
      </w:pPr>
      <w:r>
        <w:rPr>
          <w:rFonts w:hint="eastAsia" w:ascii="宋体" w:hAnsi="宋体" w:eastAsia="宋体" w:cs="宋体"/>
          <w:bCs/>
          <w:szCs w:val="21"/>
        </w:rPr>
        <w:t xml:space="preserve">开标地点：</w:t>
      </w:r>
      <w:sdt>
        <w:sdtPr>
          <w15:appearance w15:val="boundingBox"/>
          <w:id w:val="934481194"/>
          <w:placeholder>
            <w:docPart w:val="{2157bcf5-5000-4da8-ba6f-24557f614dd8}"/>
          </w:placeholder>
          <w:rPr>
            <w:rFonts w:hint="eastAsia" w:ascii="宋体" w:hAnsi="宋体" w:eastAsia="宋体" w:cs="宋体"/>
            <w:bCs/>
            <w:szCs w:val="21"/>
          </w:rPr>
        </w:sdtPr>
        <w:sdtContent>
          <w:r>
            <w:rPr>
              <w:rFonts w:hint="eastAsia" w:ascii="宋体" w:hAnsi="宋体" w:eastAsia="宋体" w:cs="宋体"/>
              <w:bCs/>
              <w:szCs w:val="21"/>
            </w:rPr>
            <w:t xml:space="preserve">“苏采云”网上开标大厅</w:t>
          </w:r>
        </w:sdtContent>
      </w:sdt>
      <w:r/>
      <w:r/>
    </w:p>
    <w:p>
      <w:pPr>
        <w:spacing w:line="360" w:lineRule="auto"/>
        <w:rPr>
          <w:rFonts w:hint="eastAsia" w:ascii="宋体" w:hAnsi="宋体" w:eastAsia="宋体" w:cs="宋体"/>
          <w:b/>
          <w:bCs/>
          <w:szCs w:val="44"/>
        </w:rPr>
      </w:pPr>
      <w:r/>
      <w:bookmarkStart w:id="22" w:name="_Toc80792693"/>
      <w:r/>
      <w:bookmarkStart w:id="23" w:name="_Toc96347855"/>
      <w:r/>
      <w:bookmarkStart w:id="24" w:name="_Toc93909069"/>
      <w:r>
        <w:rPr>
          <w:rFonts w:hint="eastAsia" w:ascii="宋体" w:hAnsi="宋体" w:eastAsia="宋体" w:cs="宋体"/>
          <w:b/>
          <w:bCs/>
          <w:szCs w:val="44"/>
        </w:rPr>
        <w:t xml:space="preserve">五、</w:t>
      </w:r>
      <w:bookmarkEnd w:id="22"/>
      <w:r>
        <w:rPr>
          <w:rFonts w:hint="eastAsia" w:ascii="宋体" w:hAnsi="宋体" w:eastAsia="宋体" w:cs="宋体"/>
          <w:b/>
          <w:bCs/>
          <w:szCs w:val="44"/>
        </w:rPr>
        <w:t xml:space="preserve">公告期</w:t>
      </w:r>
      <w:bookmarkEnd w:id="23"/>
      <w:r/>
      <w:bookmarkEnd w:id="24"/>
      <w:r>
        <w:rPr>
          <w:rFonts w:hint="eastAsia" w:ascii="宋体" w:hAnsi="宋体" w:eastAsia="宋体" w:cs="宋体"/>
          <w:b/>
          <w:bCs/>
          <w:szCs w:val="44"/>
        </w:rPr>
        <w:t xml:space="preserve">限</w:t>
      </w:r>
      <w:r/>
    </w:p>
    <w:p>
      <w:pPr>
        <w:ind w:firstLine="525"/>
        <w:spacing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spacing w:line="360" w:lineRule="auto"/>
        <w:rPr>
          <w:rFonts w:hint="eastAsia" w:ascii="宋体" w:hAnsi="宋体" w:eastAsia="宋体" w:cs="宋体"/>
          <w:b/>
          <w:bCs/>
          <w:szCs w:val="44"/>
        </w:rPr>
      </w:pPr>
      <w:r/>
      <w:bookmarkStart w:id="25" w:name="_Toc93909070"/>
      <w:r/>
      <w:bookmarkStart w:id="26" w:name="_Toc96347856"/>
      <w:r>
        <w:rPr>
          <w:rFonts w:hint="eastAsia" w:ascii="宋体" w:hAnsi="宋体" w:eastAsia="宋体" w:cs="宋体"/>
          <w:b/>
          <w:bCs/>
          <w:szCs w:val="44"/>
        </w:rPr>
        <w:t xml:space="preserve">六、其他补充事宜</w:t>
      </w:r>
      <w:bookmarkEnd w:id="25"/>
      <w:r/>
      <w:bookmarkEnd w:id="26"/>
      <w:r/>
      <w:r/>
    </w:p>
    <w:p>
      <w:pPr>
        <w:ind w:firstLine="420"/>
        <w:spacing w:line="360" w:lineRule="auto"/>
        <w:rPr>
          <w:rFonts w:hint="eastAsia" w:ascii="宋体" w:hAnsi="宋体" w:eastAsia="宋体" w:cs="宋体"/>
          <w:bCs/>
          <w:szCs w:val="21"/>
        </w:rPr>
      </w:pPr>
      <w:r/>
      <w:bookmarkStart w:id="27" w:name="_Toc80792694"/>
      <w:r/>
      <w:bookmarkStart w:id="28" w:name="_Toc80264702"/>
      <w:r/>
      <w:bookmarkStart w:id="29" w:name="_Toc96347857"/>
      <w:r/>
      <w:bookmarkStart w:id="30" w:name="_Toc93909071"/>
      <w:r>
        <w:rPr>
          <w:rFonts w:hint="eastAsia" w:ascii="宋体" w:hAnsi="宋体" w:eastAsia="宋体" w:cs="宋体"/>
          <w:szCs w:val="21"/>
        </w:rPr>
        <w:t xml:space="preserve">1．</w:t>
      </w:r>
      <w:r>
        <w:rPr>
          <w:rFonts w:hint="eastAsia" w:ascii="宋体" w:hAnsi="宋体" w:eastAsia="宋体" w:cs="宋体"/>
          <w:bCs/>
          <w:szCs w:val="21"/>
        </w:rPr>
        <w:t xml:space="preserve">政府采购支持政策: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（一）《政府采购促进中小企业发展管理办法》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（二）《关于政府采购支持监狱企业发展有关问题的通知》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（三）《关于促进残疾人就业政府采购政策的通知》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（四）《关于调整优化节能产品、环境标志产品政府采购执行机制的通知》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（五）《关于做好政府采购支持企业发展有关事项的通知》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2、潜在供应商访问政府采购管理交易系统（苏采云）的网络地址和方法：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（8）“苏采云”南京地区客服热线025-83633744、025-83633743。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eastAsia="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七、</w:t>
      </w:r>
      <w:bookmarkEnd w:id="27"/>
      <w:r/>
      <w:bookmarkEnd w:id="28"/>
      <w:r>
        <w:rPr>
          <w:rFonts w:hint="eastAsia" w:ascii="宋体" w:hAnsi="宋体" w:eastAsia="宋体" w:cs="宋体"/>
          <w:b/>
          <w:bCs/>
          <w:szCs w:val="44"/>
        </w:rPr>
        <w:t xml:space="preserve">对本次招标提出询问，请按以下方式联系。</w:t>
      </w:r>
      <w:bookmarkEnd w:id="29"/>
      <w:r/>
      <w:bookmarkEnd w:id="30"/>
      <w:r/>
      <w:r/>
    </w:p>
    <w:p>
      <w:pPr>
        <w:ind w:firstLine="525"/>
        <w:spacing w:line="360" w:lineRule="auto"/>
        <w:rPr>
          <w:rFonts w:hint="eastAsia" w:ascii="宋体" w:hAnsi="宋体" w:eastAsia="宋体" w:cs="宋体"/>
          <w:color w:val="000000"/>
          <w:szCs w:val="21"/>
        </w:rPr>
      </w:pPr>
      <w:r/>
      <w:bookmarkStart w:id="31" w:name="_Toc28359085"/>
      <w:r>
        <w:rPr>
          <w:rFonts w:hint="eastAsia" w:ascii="宋体" w:hAnsi="宋体" w:eastAsia="宋体" w:cs="宋体"/>
          <w:color w:val="000000"/>
          <w:szCs w:val="21"/>
        </w:rPr>
        <w:t xml:space="preserve">1．采购人信息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w:t>
      </w:r>
      <w:r>
        <w:rPr>
          <w:rFonts w:hint="eastAsia" w:ascii="宋体" w:hAnsi="宋体" w:eastAsia="宋体" w:cs="宋体"/>
        </w:rPr>
        <w:fldChar w:fldCharType="begin"/>
      </w:r>
      <w:r>
        <w:rPr>
          <w:rFonts w:hint="eastAsia" w:ascii="宋体" w:hAnsi="宋体" w:eastAsia="宋体" w:cs="宋体"/>
        </w:rPr>
        <w:instrText xml:space="preserve"> HYPERLINK "http://www.baidu.com/link?url=yGbbe04fO-PoG-jbLq5olNbuY9xGVHzSN6qhtIk8UG90xsqTrEvRykxcyvbaj6HC" \t "https://www.baidu.com/_blank" </w:instrText>
      </w:r>
      <w:r>
        <w:rPr>
          <w:rFonts w:hint="eastAsia" w:ascii="宋体" w:hAnsi="宋体" w:eastAsia="宋体" w:cs="宋体"/>
        </w:rPr>
        <w:fldChar w:fldCharType="separate"/>
      </w:r>
      <w:r>
        <w:rPr>
          <w:rFonts w:hint="eastAsia" w:ascii="宋体" w:hAnsi="宋体" w:cs="宋体"/>
          <w:color w:val="000000"/>
          <w:szCs w:val="21"/>
          <w:lang w:eastAsia="zh-CN"/>
        </w:rPr>
        <w:t xml:space="preserve">江苏省药品监督检验研究院</w:t>
      </w:r>
      <w:r>
        <w:rPr>
          <w:rFonts w:hint="eastAsia" w:ascii="宋体" w:hAnsi="宋体" w:eastAsia="宋体" w:cs="宋体"/>
          <w:color w:val="000000"/>
          <w:szCs w:val="21"/>
        </w:rPr>
        <w:fldChar w:fldCharType="end"/>
      </w:r>
      <w:r/>
    </w:p>
    <w:p>
      <w:pPr>
        <w:ind w:firstLine="525"/>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地 址：</w:t>
      </w:r>
      <w:r>
        <w:rPr>
          <w:rFonts w:hint="eastAsia" w:ascii="宋体" w:hAnsi="宋体" w:cs="宋体"/>
          <w:color w:val="000000"/>
          <w:szCs w:val="21"/>
          <w:lang w:eastAsia="zh-CN"/>
        </w:rPr>
        <w:t xml:space="preserve">南京市建邺区康文路17号</w:t>
      </w:r>
      <w:r/>
    </w:p>
    <w:p>
      <w:pPr>
        <w:ind w:firstLine="525"/>
        <w:spacing w:line="360" w:lineRule="auto"/>
        <w:rPr>
          <w:rFonts w:hint="eastAsia" w:ascii="宋体" w:hAnsi="宋体" w:eastAsia="宋体" w:cs="宋体"/>
          <w:color w:val="000000"/>
          <w:szCs w:val="21"/>
        </w:rPr>
      </w:pPr>
      <w:r/>
      <w:bookmarkStart w:id="32" w:name="OLE_LINK2"/>
      <w:r>
        <w:rPr>
          <w:rFonts w:hint="eastAsia" w:ascii="宋体" w:hAnsi="宋体" w:eastAsia="宋体" w:cs="宋体"/>
          <w:color w:val="000000"/>
          <w:szCs w:val="21"/>
        </w:rPr>
        <w:t xml:space="preserve">联系人：</w:t>
      </w:r>
      <w:r>
        <w:rPr>
          <w:rFonts w:hint="eastAsia" w:ascii="宋体" w:hAnsi="宋体" w:cs="宋体"/>
          <w:color w:val="000000"/>
          <w:szCs w:val="21"/>
          <w:lang w:val="en-US" w:eastAsia="zh-CN"/>
        </w:rPr>
        <w:t xml:space="preserve">纪宇</w:t>
      </w:r>
      <w:r/>
    </w:p>
    <w:p>
      <w:pPr>
        <w:ind w:firstLine="525"/>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联系方式：</w:t>
      </w:r>
      <w:bookmarkEnd w:id="32"/>
      <w:r>
        <w:rPr>
          <w:rFonts w:hint="eastAsia" w:ascii="宋体" w:hAnsi="宋体" w:cs="宋体"/>
          <w:color w:val="000000"/>
          <w:szCs w:val="21"/>
          <w:highlight w:val="none"/>
          <w:lang w:eastAsia="zh-CN"/>
        </w:rPr>
        <w:t xml:space="preserve">025-86251032</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称：江苏省招标中心有限公司</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址：南京市鼓楼区郑和中路118号D座17楼</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联系人：彭洪岩、周伟业、</w:t>
      </w:r>
      <w:r>
        <w:rPr>
          <w:rFonts w:hint="eastAsia" w:ascii="宋体" w:hAnsi="宋体" w:eastAsia="宋体" w:cs="宋体"/>
          <w:szCs w:val="21"/>
        </w:rPr>
        <w:t xml:space="preserve">呼禹、宗超、马继烨</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联系方式：15312419809、15151818335</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项目联系人：彭洪岩、周伟业</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电 话：15312419809、15151818335</w:t>
      </w:r>
      <w:bookmarkEnd w:id="31"/>
      <w:r/>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pStyle w:val="1065"/>
        <w:ind w:left="1125" w:firstLine="1928"/>
        <w:jc w:val="both"/>
        <w:rPr>
          <w:rFonts w:hint="eastAsia" w:ascii="宋体" w:hAnsi="宋体" w:eastAsia="宋体" w:cs="宋体"/>
        </w:rPr>
      </w:pPr>
      <w:r>
        <w:rPr>
          <w:rFonts w:hint="eastAsia" w:ascii="宋体" w:hAnsi="宋体" w:eastAsia="宋体" w:cs="宋体"/>
        </w:rPr>
        <w:br w:type="page" w:clear="all"/>
      </w:r>
      <w:bookmarkEnd w:id="3"/>
      <w:r>
        <w:rPr>
          <w:rFonts w:hint="eastAsia" w:ascii="宋体" w:hAnsi="宋体" w:eastAsia="宋体" w:cs="宋体"/>
        </w:rPr>
        <w:t xml:space="preserve">第二章 投标人须知</w:t>
      </w:r>
      <w:bookmarkEnd w:id="4"/>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投标人须知前附表</w:t>
      </w:r>
      <w:r/>
    </w:p>
    <w:p>
      <w:pPr>
        <w:jc w:val="center"/>
        <w:rPr>
          <w:rFonts w:hint="eastAsia" w:ascii="宋体" w:hAnsi="宋体" w:eastAsia="宋体" w:cs="宋体"/>
        </w:rPr>
      </w:pPr>
      <w:r>
        <w:rPr>
          <w:rFonts w:hint="eastAsia" w:ascii="宋体" w:hAnsi="宋体" w:eastAsia="宋体" w:cs="宋体"/>
        </w:rPr>
        <w:t xml:space="preserve">本表是对《投标人须知》正文的具体补充和修改，如有矛盾，以本《前附表》为准。</w:t>
      </w:r>
      <w:r/>
    </w:p>
    <w:p>
      <w:pPr>
        <w:jc w:val="center"/>
        <w:rPr>
          <w:rFonts w:hint="eastAsia" w:ascii="宋体" w:hAnsi="宋体" w:eastAsia="宋体" w:cs="宋体"/>
        </w:rPr>
      </w:pPr>
      <w:r>
        <w:rPr>
          <w:rFonts w:hint="eastAsia" w:ascii="宋体" w:hAnsi="宋体" w:eastAsia="宋体" w:cs="宋体"/>
        </w:rPr>
        <w:t xml:space="preserve">标记“</w:t>
      </w:r>
      <w:r>
        <w:rPr>
          <w:rFonts w:hint="eastAsia" w:ascii="宋体" w:hAnsi="宋体" w:eastAsia="宋体" w:cs="宋体"/>
          <w:b/>
          <w:sz w:val="24"/>
        </w:rPr>
        <w:t xml:space="preserve">■</w:t>
      </w:r>
      <w:r>
        <w:rPr>
          <w:rFonts w:hint="eastAsia" w:ascii="宋体" w:hAnsi="宋体" w:eastAsia="宋体" w:cs="宋体"/>
        </w:rPr>
        <w:t xml:space="preserve">”的选项意为适用于本项目，标记“□”的选项意为不适用于本项目。</w:t>
      </w:r>
      <w:r/>
    </w:p>
    <w:tbl>
      <w:tblPr>
        <w:tblStyle w:val="103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b/>
                <w:sz w:val="21"/>
              </w:rPr>
            </w:pPr>
            <w:r>
              <w:rPr>
                <w:rFonts w:hint="eastAsia" w:ascii="宋体" w:hAnsi="宋体" w:eastAsia="宋体" w:cs="宋体"/>
                <w:b/>
                <w:sz w:val="21"/>
              </w:rPr>
              <w:t xml:space="preserve">序号</w:t>
            </w:r>
            <w:r/>
          </w:p>
        </w:tc>
        <w:tc>
          <w:tcPr>
            <w:tcW w:w="850" w:type="dxa"/>
            <w:vAlign w:val="center"/>
            <w:textDirection w:val="lrTb"/>
            <w:noWrap w:val="false"/>
          </w:tcPr>
          <w:p>
            <w:pPr>
              <w:pStyle w:val="1291"/>
              <w:jc w:val="center"/>
              <w:spacing w:line="360" w:lineRule="auto"/>
              <w:rPr>
                <w:rFonts w:hint="eastAsia" w:ascii="宋体" w:hAnsi="宋体" w:eastAsia="宋体" w:cs="宋体"/>
                <w:b/>
                <w:sz w:val="21"/>
              </w:rPr>
            </w:pPr>
            <w:r>
              <w:rPr>
                <w:rFonts w:hint="eastAsia" w:ascii="宋体" w:hAnsi="宋体" w:eastAsia="宋体" w:cs="宋体"/>
                <w:b/>
                <w:sz w:val="21"/>
              </w:rPr>
              <w:t xml:space="preserve">条款号</w:t>
            </w:r>
            <w:r/>
          </w:p>
        </w:tc>
        <w:tc>
          <w:tcPr>
            <w:tcW w:w="2835" w:type="dxa"/>
            <w:vAlign w:val="center"/>
            <w:textDirection w:val="lrTb"/>
            <w:noWrap w:val="false"/>
          </w:tcPr>
          <w:p>
            <w:pPr>
              <w:pStyle w:val="1291"/>
              <w:jc w:val="center"/>
              <w:spacing w:line="360" w:lineRule="auto"/>
              <w:rPr>
                <w:rFonts w:hint="eastAsia" w:ascii="宋体" w:hAnsi="宋体" w:eastAsia="宋体" w:cs="宋体"/>
                <w:b/>
                <w:sz w:val="21"/>
              </w:rPr>
            </w:pPr>
            <w:r>
              <w:rPr>
                <w:rFonts w:hint="eastAsia" w:ascii="宋体" w:hAnsi="宋体" w:eastAsia="宋体" w:cs="宋体"/>
                <w:b/>
                <w:sz w:val="21"/>
              </w:rPr>
              <w:t xml:space="preserve">条款名称</w:t>
            </w:r>
            <w:r/>
          </w:p>
        </w:tc>
        <w:tc>
          <w:tcPr>
            <w:tcW w:w="4982" w:type="dxa"/>
            <w:vAlign w:val="center"/>
            <w:textDirection w:val="lrTb"/>
            <w:noWrap w:val="false"/>
          </w:tcPr>
          <w:p>
            <w:pPr>
              <w:pStyle w:val="1291"/>
              <w:jc w:val="center"/>
              <w:spacing w:line="360" w:lineRule="auto"/>
              <w:rPr>
                <w:rFonts w:hint="eastAsia" w:ascii="宋体" w:hAnsi="宋体" w:eastAsia="宋体" w:cs="宋体"/>
                <w:b/>
                <w:sz w:val="21"/>
              </w:rPr>
            </w:pPr>
            <w:r>
              <w:rPr>
                <w:rFonts w:hint="eastAsia" w:ascii="宋体" w:hAnsi="宋体" w:eastAsia="宋体" w:cs="宋体"/>
                <w:b/>
                <w:sz w:val="21"/>
              </w:rPr>
              <w:t xml:space="preserve">编列内容规定</w:t>
            </w:r>
            <w:r/>
          </w:p>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1</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2.1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采购人</w:t>
            </w:r>
            <w:r/>
          </w:p>
        </w:tc>
        <w:tc>
          <w:tcPr>
            <w:tcW w:w="4982" w:type="dxa"/>
            <w:vAlign w:val="center"/>
            <w:textDirection w:val="lrTb"/>
            <w:noWrap w:val="false"/>
          </w:tcPr>
          <w:p>
            <w:pPr>
              <w:pStyle w:val="1288"/>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 xml:space="preserve">名 称：</w:t>
            </w:r>
            <w:r>
              <w:rPr>
                <w:rFonts w:hint="eastAsia" w:cs="宋体"/>
                <w:color w:val="000000"/>
                <w:sz w:val="21"/>
                <w:szCs w:val="21"/>
                <w:lang w:val="en-US" w:eastAsia="zh-CN" w:bidi="ar-SA"/>
              </w:rPr>
              <w:t xml:space="preserve">江苏省药品监督检验研究院</w:t>
            </w:r>
            <w:r/>
          </w:p>
          <w:p>
            <w:pPr>
              <w:pStyle w:val="1288"/>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 xml:space="preserve">地 址：</w:t>
            </w:r>
            <w:r>
              <w:rPr>
                <w:rFonts w:hint="eastAsia" w:cs="宋体"/>
                <w:color w:val="000000"/>
                <w:sz w:val="21"/>
                <w:szCs w:val="21"/>
                <w:lang w:val="en-US" w:eastAsia="zh-CN" w:bidi="ar-SA"/>
              </w:rPr>
              <w:t xml:space="preserve">南京市建邺区康文路17号</w:t>
            </w:r>
            <w:r/>
          </w:p>
          <w:p>
            <w:pPr>
              <w:pStyle w:val="1288"/>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w:t>
            </w:r>
            <w:r>
              <w:rPr>
                <w:rFonts w:hint="eastAsia" w:cs="宋体"/>
                <w:color w:val="000000"/>
                <w:sz w:val="21"/>
                <w:szCs w:val="21"/>
                <w:lang w:val="en-US" w:eastAsia="zh-CN" w:bidi="ar-SA"/>
              </w:rPr>
              <w:t xml:space="preserve">纪宇</w:t>
            </w:r>
            <w:r/>
          </w:p>
          <w:p>
            <w:pPr>
              <w:pStyle w:val="1288"/>
              <w:spacing w:before="160" w:line="276" w:lineRule="auto"/>
              <w:rPr>
                <w:rFonts w:hint="default" w:ascii="宋体" w:hAnsi="宋体" w:eastAsia="宋体" w:cs="宋体"/>
                <w:sz w:val="21"/>
                <w:szCs w:val="21"/>
                <w:lang w:val="en-US"/>
              </w:rPr>
            </w:pPr>
            <w:r>
              <w:rPr>
                <w:rFonts w:hint="eastAsia" w:ascii="宋体" w:hAnsi="宋体" w:eastAsia="宋体" w:cs="宋体"/>
                <w:color w:val="000000"/>
                <w:sz w:val="21"/>
                <w:szCs w:val="21"/>
                <w:lang w:val="en-US" w:bidi="ar-SA"/>
              </w:rPr>
              <w:t xml:space="preserve">联系方式：</w:t>
            </w:r>
            <w:r>
              <w:rPr>
                <w:rFonts w:hint="eastAsia" w:cs="宋体"/>
                <w:color w:val="000000"/>
                <w:szCs w:val="21"/>
                <w:highlight w:val="none"/>
                <w:lang w:eastAsia="zh-CN"/>
              </w:rPr>
              <w:t xml:space="preserve">025-86251032</w:t>
            </w:r>
            <w:r/>
          </w:p>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2</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2.2</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采购代理机构</w:t>
            </w:r>
            <w:r/>
          </w:p>
        </w:tc>
        <w:tc>
          <w:tcPr>
            <w:tcW w:w="4982" w:type="dxa"/>
            <w:vAlign w:val="center"/>
            <w:textDirection w:val="lrTb"/>
            <w:noWrap w:val="false"/>
          </w:tcPr>
          <w:p>
            <w:pPr>
              <w:pStyle w:val="1288"/>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 ：江苏省招标中心有限公司</w:t>
            </w:r>
            <w:r/>
          </w:p>
          <w:p>
            <w:pPr>
              <w:pStyle w:val="1288"/>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 ：南京市鼓楼区郑和中路118号D座17楼</w:t>
            </w:r>
            <w:r/>
          </w:p>
          <w:p>
            <w:pPr>
              <w:pStyle w:val="1288"/>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联系人：彭洪岩、</w:t>
            </w:r>
            <w:r>
              <w:rPr>
                <w:rFonts w:hint="eastAsia" w:cs="宋体"/>
                <w:color w:val="000000"/>
                <w:sz w:val="21"/>
                <w:szCs w:val="21"/>
                <w:lang w:val="en-US" w:eastAsia="zh-CN" w:bidi="ar-SA"/>
              </w:rPr>
              <w:t xml:space="preserve">周伟业、</w:t>
            </w:r>
            <w:r>
              <w:rPr>
                <w:rFonts w:hint="eastAsia" w:ascii="宋体" w:hAnsi="宋体" w:eastAsia="宋体" w:cs="宋体"/>
                <w:szCs w:val="21"/>
              </w:rPr>
              <w:t xml:space="preserve">呼禹、宗超、</w:t>
            </w:r>
            <w:r>
              <w:rPr>
                <w:rFonts w:hint="eastAsia" w:ascii="宋体" w:hAnsi="宋体" w:eastAsia="宋体" w:cs="宋体"/>
                <w:szCs w:val="21"/>
                <w:lang w:val="en-US"/>
              </w:rPr>
              <w:t xml:space="preserve">马继烨</w:t>
            </w:r>
            <w:r/>
          </w:p>
          <w:p>
            <w:pPr>
              <w:pStyle w:val="1288"/>
              <w:spacing w:before="160" w:line="276" w:lineRule="auto"/>
              <w:rPr>
                <w:rFonts w:hint="eastAsia" w:ascii="宋体" w:hAnsi="宋体" w:eastAsia="宋体" w:cs="宋体"/>
                <w:sz w:val="21"/>
                <w:szCs w:val="21"/>
              </w:rPr>
            </w:pPr>
            <w:r>
              <w:rPr>
                <w:rFonts w:hint="eastAsia" w:ascii="宋体" w:hAnsi="宋体" w:eastAsia="宋体" w:cs="宋体"/>
                <w:color w:val="000000"/>
                <w:sz w:val="21"/>
                <w:szCs w:val="21"/>
                <w:lang w:val="en-US" w:bidi="ar-SA"/>
              </w:rPr>
              <w:t xml:space="preserve">电话：15312419809、15151818335</w:t>
            </w:r>
            <w:r/>
          </w:p>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3</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本项目执行的政府采购政策</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8.1</w:t>
            </w:r>
            <w:r/>
          </w:p>
        </w:tc>
        <w:tc>
          <w:tcPr>
            <w:tcW w:w="2835" w:type="dxa"/>
            <w:vAlign w:val="center"/>
            <w:textDirection w:val="lrTb"/>
            <w:noWrap w:val="false"/>
          </w:tcPr>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■不组织</w:t>
                </w:r>
                <w:r/>
              </w:p>
            </w:sdtContent>
          </w:sdt>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5</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9.1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■不召开</w:t>
                </w:r>
                <w:r/>
              </w:p>
            </w:sdtContent>
          </w:sdt>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6</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10.1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szCs w:val="21"/>
                  </w:rPr>
                </w:pPr>
                <w:r>
                  <w:rPr>
                    <w:rFonts w:hint="eastAsia" w:ascii="宋体" w:hAnsi="宋体" w:eastAsia="宋体" w:cs="宋体"/>
                    <w:bCs/>
                    <w:szCs w:val="21"/>
                  </w:rPr>
                  <w:t xml:space="preserve">■不接受</w:t>
                </w:r>
                <w:r/>
              </w:p>
            </w:sdtContent>
          </w:sdt>
        </w:tc>
      </w:tr>
      <w:tr>
        <w:trPr>
          <w:jc w:val="center"/>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7</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11.1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分包</w:t>
            </w:r>
            <w:r/>
          </w:p>
        </w:tc>
        <w:tc>
          <w:tcPr>
            <w:tcW w:w="4982" w:type="dxa"/>
            <w:vAlign w:val="center"/>
            <w:textDirection w:val="lrTb"/>
            <w:noWrap w:val="false"/>
          </w:tcPr>
          <w:p>
            <w:pPr>
              <w:spacing w:before="156" w:line="276" w:lineRule="auto"/>
              <w:rPr>
                <w:rFonts w:hint="eastAsia" w:ascii="宋体" w:hAnsi="宋体" w:eastAsia="宋体" w:cs="宋体"/>
                <w:szCs w:val="21"/>
              </w:rPr>
            </w:pPr>
            <w:r>
              <w:rPr>
                <w:rFonts w:hint="eastAsia" w:ascii="宋体" w:hAnsi="宋体" w:eastAsia="宋体" w:cs="宋体"/>
                <w:szCs w:val="21"/>
              </w:rPr>
              <w:t xml:space="preserve">本项目的非主体、非关键性工作是否允许分包：</w:t>
            </w:r>
            <w:r/>
          </w:p>
          <w:p>
            <w:pPr>
              <w:spacing w:before="156" w:line="276" w:lineRule="auto"/>
              <w:rPr>
                <w:rFonts w:hint="eastAsia" w:ascii="宋体" w:hAnsi="宋体" w:eastAsia="宋体" w:cs="宋体"/>
                <w:bCs/>
                <w:szCs w:val="21"/>
              </w:rPr>
            </w:pPr>
            <w:r/>
            <w:sdt>
              <w:sdtPr>
                <w15:appearance w15:val="boundingBox"/>
                <w:id w:val="147455422"/>
                <w:placeholder>
                  <w:docPart w:val="{02143088-ab06-40e8-b6d9-a411277fb0ae}"/>
                </w:placeholder>
                <w:rPr>
                  <w:rFonts w:hint="eastAsia" w:ascii="宋体" w:hAnsi="宋体" w:eastAsia="宋体" w:cs="宋体"/>
                  <w:szCs w:val="21"/>
                </w:rPr>
              </w:sdtPr>
              <w:sdtContent>
                <w:r>
                  <w:rPr>
                    <w:rFonts w:hint="eastAsia" w:ascii="宋体" w:hAnsi="宋体" w:eastAsia="宋体" w:cs="宋体"/>
                    <w:szCs w:val="21"/>
                  </w:rPr>
                  <w:t xml:space="preserve">■不允许</w:t>
                </w:r>
              </w:sdtContent>
            </w:sdt>
            <w:r/>
            <w:r/>
          </w:p>
        </w:tc>
      </w:tr>
      <w:tr>
        <w:trPr>
          <w:jc w:val="center"/>
          <w:trHeight w:val="549"/>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8</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12.1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样品</w:t>
            </w:r>
            <w:r/>
          </w:p>
        </w:tc>
        <w:tc>
          <w:tcPr>
            <w:tcW w:w="4982" w:type="dxa"/>
            <w:vAlign w:val="center"/>
            <w:textDirection w:val="lrTb"/>
            <w:noWrap w:val="false"/>
          </w:tcPr>
          <w:p>
            <w:pPr>
              <w:spacing w:before="156" w:line="276" w:lineRule="auto"/>
              <w:rPr>
                <w:rFonts w:hint="eastAsia" w:ascii="宋体" w:hAnsi="宋体" w:eastAsia="宋体" w:cs="宋体"/>
                <w:bCs/>
                <w:szCs w:val="21"/>
              </w:rPr>
            </w:pPr>
            <w:r/>
            <w:sdt>
              <w:sdtPr>
                <w15:appearance w15:val="boundingBox"/>
                <w:id w:val="147481113"/>
                <w:placeholder>
                  <w:docPart w:val="{02143088-ab06-40e8-b6d9-a411277fb0ae}"/>
                </w:placeholder>
                <w:rPr>
                  <w:rFonts w:hint="eastAsia" w:ascii="宋体" w:hAnsi="宋体" w:eastAsia="宋体" w:cs="宋体"/>
                  <w:bCs/>
                  <w:szCs w:val="21"/>
                </w:rPr>
              </w:sdtPr>
              <w:sdtContent>
                <w:r>
                  <w:rPr>
                    <w:rFonts w:hint="eastAsia" w:ascii="宋体" w:hAnsi="宋体" w:eastAsia="宋体" w:cs="宋体"/>
                    <w:bCs/>
                    <w:szCs w:val="21"/>
                  </w:rPr>
                  <w:t xml:space="preserve">■</w:t>
                </w:r>
                <w:r>
                  <w:rPr>
                    <w:rFonts w:hint="eastAsia" w:ascii="宋体" w:hAnsi="宋体" w:cs="宋体"/>
                    <w:bCs/>
                    <w:szCs w:val="21"/>
                    <w:lang w:val="en-US" w:eastAsia="zh-CN"/>
                  </w:rPr>
                  <w:t xml:space="preserve">不</w:t>
                </w:r>
                <w:r>
                  <w:rPr>
                    <w:rFonts w:hint="eastAsia" w:ascii="宋体" w:hAnsi="宋体" w:eastAsia="宋体" w:cs="宋体"/>
                    <w:bCs/>
                    <w:szCs w:val="21"/>
                  </w:rPr>
                  <w:t xml:space="preserve">需要</w:t>
                </w:r>
              </w:sdtContent>
            </w:sdt>
            <w:r/>
            <w:r/>
          </w:p>
        </w:tc>
      </w:tr>
      <w:tr>
        <w:trPr>
          <w:jc w:val="center"/>
          <w:trHeight w:val="734"/>
        </w:trPr>
        <w:tc>
          <w:tcPr>
            <w:tcW w:w="675"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9</w:t>
            </w:r>
            <w:r/>
          </w:p>
        </w:tc>
        <w:tc>
          <w:tcPr>
            <w:tcW w:w="850" w:type="dxa"/>
            <w:vAlign w:val="center"/>
            <w:textDirection w:val="lrTb"/>
            <w:noWrap w:val="false"/>
          </w:tcPr>
          <w:p>
            <w:pPr>
              <w:pStyle w:val="1291"/>
              <w:jc w:val="center"/>
              <w:spacing w:line="360" w:lineRule="auto"/>
              <w:rPr>
                <w:rFonts w:hint="eastAsia" w:ascii="宋体" w:hAnsi="宋体" w:eastAsia="宋体" w:cs="宋体"/>
                <w:sz w:val="21"/>
              </w:rPr>
            </w:pPr>
            <w:r>
              <w:rPr>
                <w:rFonts w:hint="eastAsia" w:ascii="宋体" w:hAnsi="宋体" w:eastAsia="宋体" w:cs="宋体"/>
                <w:sz w:val="21"/>
              </w:rPr>
              <w:t xml:space="preserve">13.1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10</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14.1</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采购预算</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74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11</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14.2</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本项目设定的最高限价</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12</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15.1</w:t>
            </w:r>
            <w:r/>
          </w:p>
        </w:tc>
        <w:tc>
          <w:tcPr>
            <w:tcW w:w="283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供应商资格条件</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13</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20.5</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投标报价</w:t>
            </w:r>
            <w:r/>
          </w:p>
        </w:tc>
        <w:tc>
          <w:tcPr>
            <w:tcW w:w="4982" w:type="dxa"/>
            <w:vAlign w:val="center"/>
            <w:textDirection w:val="lrTb"/>
            <w:noWrap w:val="false"/>
          </w:tcPr>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投标报价的其他要求：</w:t>
            </w:r>
            <w:sdt>
              <w:sdtPr>
                <w15:appearance w15:val="boundingBox"/>
                <w:id w:val="147477361"/>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无</w:t>
                </w:r>
              </w:sdtContent>
            </w:sd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14</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21.1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投标有效期</w:t>
            </w:r>
            <w:r/>
          </w:p>
        </w:tc>
        <w:tc>
          <w:tcPr>
            <w:tcW w:w="4982" w:type="dxa"/>
            <w:vAlign w:val="center"/>
            <w:textDirection w:val="lrTb"/>
            <w:noWrap w:val="false"/>
          </w:tcPr>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自提交投标文件的截止之日起算</w:t>
            </w:r>
            <w:sdt>
              <w:sdtPr>
                <w15:appearance w15:val="boundingBox"/>
                <w:id w:val="147476157"/>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90日历天</w:t>
                </w:r>
              </w:sdtContent>
            </w:sdt>
            <w:r/>
            <w:r/>
          </w:p>
        </w:tc>
      </w:tr>
      <w:tr>
        <w:trPr>
          <w:jc w:val="center"/>
          <w:trHeight w:val="320"/>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15</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22.1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rFonts w:hint="eastAsia" w:ascii="宋体" w:hAnsi="宋体" w:eastAsia="宋体" w:cs="宋体"/>
                <w:bCs/>
                <w:szCs w:val="21"/>
              </w:rPr>
            </w:sdtPr>
            <w:sdtContent>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■不需要</w:t>
                </w:r>
                <w:r/>
              </w:p>
            </w:sdtContent>
          </w:sdt>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16</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23.1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291"/>
              <w:spacing w:line="360" w:lineRule="auto"/>
              <w:rPr>
                <w:rFonts w:hint="eastAsia" w:ascii="宋体" w:hAnsi="宋体" w:eastAsia="宋体" w:cs="宋体"/>
                <w:b/>
                <w:bCs/>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vMerge w:val="restart"/>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17</w:t>
            </w:r>
            <w:r/>
          </w:p>
        </w:tc>
        <w:tc>
          <w:tcPr>
            <w:tcW w:w="850" w:type="dxa"/>
            <w:vAlign w:val="center"/>
            <w:vMerge w:val="restart"/>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24.1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投标文件的递交</w:t>
            </w:r>
            <w:r/>
          </w:p>
        </w:tc>
        <w:tc>
          <w:tcPr>
            <w:tcW w:w="4982" w:type="dxa"/>
            <w:vAlign w:val="center"/>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Cs/>
                <w:szCs w:val="21"/>
              </w:rPr>
              <w:t xml:space="preserve">投标人应当按照《操作手册》规定，在招标公告规定的投标截止时间前制作并上传电子投标文件。招标代理机构拒绝接收提交</w:t>
            </w:r>
            <w:r>
              <w:rPr>
                <w:rFonts w:hint="eastAsia" w:ascii="宋体" w:hAnsi="宋体" w:eastAsia="宋体" w:cs="宋体"/>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提交投标文件的截止时间、地点</w:t>
            </w:r>
            <w:r/>
          </w:p>
        </w:tc>
        <w:tc>
          <w:tcPr>
            <w:tcW w:w="4982" w:type="dxa"/>
            <w:vAlign w:val="center"/>
            <w:textDirection w:val="lrTb"/>
            <w:noWrap w:val="false"/>
          </w:tcPr>
          <w:p>
            <w:pPr>
              <w:pStyle w:val="1291"/>
              <w:jc w:val="left"/>
              <w:spacing w:line="360" w:lineRule="auto"/>
              <w:rPr>
                <w:rFonts w:hint="eastAsia" w:ascii="宋体" w:hAnsi="宋体" w:eastAsia="宋体" w:cs="宋体"/>
                <w:bCs/>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18</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25.1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开标时间、地点</w:t>
            </w:r>
            <w:r/>
          </w:p>
        </w:tc>
        <w:tc>
          <w:tcPr>
            <w:tcW w:w="4982"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19</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28.1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291"/>
              <w:spacing w:line="360" w:lineRule="auto"/>
              <w:rPr>
                <w:rFonts w:hint="eastAsia" w:ascii="宋体" w:hAnsi="宋体" w:eastAsia="宋体" w:cs="宋体"/>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20</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29.2.1</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hint="eastAsia" w:ascii="宋体" w:hAnsi="宋体" w:eastAsia="宋体" w:cs="宋体"/>
                <w:bCs/>
                <w:sz w:val="21"/>
              </w:rPr>
            </w:sdtPr>
            <w:sdtContent>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21</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30.1.1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评标委员会</w:t>
            </w:r>
            <w:r/>
          </w:p>
        </w:tc>
        <w:tc>
          <w:tcPr>
            <w:tcW w:w="4982" w:type="dxa"/>
            <w:vAlign w:val="center"/>
            <w:textDirection w:val="lrTb"/>
            <w:noWrap w:val="false"/>
          </w:tcPr>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5人及以上单数。</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22</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30.5.3</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hAnsi="宋体" w:cs="宋体"/>
                <w:sz w:val="21"/>
                <w:lang w:val="en-US" w:eastAsia="zh-CN"/>
              </w:rPr>
              <w:t xml:space="preserve">核心产品</w:t>
            </w:r>
            <w:r>
              <w:rPr>
                <w:rFonts w:hint="eastAsia" w:ascii="宋体" w:hAnsi="宋体" w:eastAsia="宋体" w:cs="宋体"/>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hint="eastAsia" w:ascii="宋体" w:hAnsi="宋体" w:eastAsia="宋体" w:cs="宋体"/>
                <w:bCs/>
                <w:sz w:val="21"/>
              </w:rPr>
            </w:sdtPr>
            <w:sdtContent>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w:t>
                </w:r>
                <w:r>
                  <w:rPr>
                    <w:rFonts w:hint="eastAsia" w:hAnsi="宋体" w:cs="宋体"/>
                    <w:lang w:val="en-US" w:eastAsia="zh-CN"/>
                  </w:rPr>
                  <w:t xml:space="preserve">服务类项目</w:t>
                </w:r>
                <w:r/>
              </w:p>
            </w:sdtContent>
          </w:sdt>
        </w:tc>
      </w:tr>
      <w:tr>
        <w:trPr>
          <w:jc w:val="center"/>
          <w:trHeight w:val="1562"/>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23</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31.3</w:t>
            </w:r>
            <w:r/>
          </w:p>
        </w:tc>
        <w:tc>
          <w:tcPr>
            <w:tcW w:w="2835" w:type="dxa"/>
            <w:vAlign w:val="center"/>
            <w:textDirection w:val="lrTb"/>
            <w:noWrap w:val="false"/>
          </w:tcPr>
          <w:p>
            <w:pPr>
              <w:pStyle w:val="1291"/>
              <w:jc w:val="left"/>
              <w:rPr>
                <w:rFonts w:hint="eastAsia" w:ascii="宋体" w:hAnsi="宋体" w:eastAsia="宋体" w:cs="宋体"/>
                <w:bCs/>
                <w:sz w:val="21"/>
              </w:rPr>
            </w:pPr>
            <w:r>
              <w:rPr>
                <w:rFonts w:hint="eastAsia" w:ascii="宋体" w:hAnsi="宋体" w:eastAsia="宋体" w:cs="宋体"/>
                <w:bCs/>
                <w:sz w:val="21"/>
              </w:rPr>
              <w:t xml:space="preserve">确定中标单位</w:t>
            </w:r>
            <w:r/>
          </w:p>
        </w:tc>
        <w:tc>
          <w:tcPr>
            <w:tcW w:w="4982" w:type="dxa"/>
            <w:vAlign w:val="center"/>
            <w:textDirection w:val="lrTb"/>
            <w:noWrap w:val="false"/>
          </w:tcPr>
          <w:p>
            <w:pPr>
              <w:pStyle w:val="1291"/>
              <w:spacing w:line="360" w:lineRule="auto"/>
              <w:rPr>
                <w:rFonts w:hint="eastAsia" w:ascii="宋体" w:hAnsi="宋体" w:eastAsia="宋体" w:cs="宋体"/>
                <w:bCs/>
              </w:rPr>
            </w:pPr>
            <w:r>
              <w:rPr>
                <w:rFonts w:hint="eastAsia" w:ascii="宋体" w:hAnsi="宋体" w:eastAsia="宋体" w:cs="宋体"/>
              </w:rPr>
              <w:t xml:space="preserve">评委会根据本招标文件规定评分办法与评分标准综合打分，并按综合得分由高到低顺序向项目采购人推荐3名中标候选人。中标人拒绝与采购人签订合同的，采购人重新开展政府采购活动。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24</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31.4</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公告媒体</w:t>
            </w:r>
            <w:r/>
          </w:p>
        </w:tc>
        <w:tc>
          <w:tcPr>
            <w:tcW w:w="4982" w:type="dxa"/>
            <w:vAlign w:val="center"/>
            <w:textDirection w:val="lrTb"/>
            <w:noWrap w:val="false"/>
          </w:tcPr>
          <w:p>
            <w:pPr>
              <w:pStyle w:val="1291"/>
              <w:jc w:val="left"/>
              <w:spacing w:line="360" w:lineRule="auto"/>
              <w:rPr>
                <w:rFonts w:hint="eastAsia" w:ascii="宋体" w:hAnsi="宋体" w:eastAsia="宋体" w:cs="宋体"/>
              </w:rPr>
            </w:pPr>
            <w:r>
              <w:rPr>
                <w:rFonts w:hint="eastAsia" w:ascii="宋体" w:hAnsi="宋体" w:eastAsia="宋体" w:cs="宋体"/>
              </w:rPr>
              <w:t xml:space="preserve">《江苏政府采购网》</w:t>
            </w:r>
            <w:r/>
          </w:p>
          <w:p>
            <w:pPr>
              <w:pStyle w:val="1291"/>
              <w:jc w:val="left"/>
              <w:spacing w:line="360" w:lineRule="auto"/>
              <w:rPr>
                <w:rFonts w:hint="eastAsia" w:ascii="宋体" w:hAnsi="宋体" w:eastAsia="宋体" w:cs="宋体"/>
                <w:bCs/>
                <w:sz w:val="21"/>
              </w:rPr>
            </w:pPr>
            <w:r>
              <w:rPr>
                <w:rFonts w:hint="eastAsia" w:ascii="宋体" w:hAnsi="宋体" w:eastAsia="宋体" w:cs="宋体"/>
                <w:bCs/>
                <w:sz w:val="21"/>
              </w:rPr>
              <w:t xml:space="preserve">（http://www.ccgp-jiangsu.gov.cn/）</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25</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35.1</w:t>
            </w:r>
            <w:r/>
          </w:p>
        </w:tc>
        <w:tc>
          <w:tcPr>
            <w:tcW w:w="2835" w:type="dxa"/>
            <w:vAlign w:val="center"/>
            <w:textDirection w:val="lrTb"/>
            <w:noWrap w:val="false"/>
          </w:tcPr>
          <w:p>
            <w:pPr>
              <w:pStyle w:val="1291"/>
              <w:jc w:val="left"/>
              <w:rPr>
                <w:rFonts w:hint="eastAsia" w:ascii="宋体" w:hAnsi="宋体" w:eastAsia="宋体" w:cs="宋体"/>
                <w:sz w:val="21"/>
              </w:rPr>
            </w:pPr>
            <w:r>
              <w:rPr>
                <w:rFonts w:hint="eastAsia" w:ascii="宋体" w:hAnsi="宋体" w:eastAsia="宋体" w:cs="宋体"/>
                <w:sz w:val="21"/>
              </w:rPr>
              <w:t xml:space="preserve">履约保证金</w:t>
            </w:r>
            <w:r/>
          </w:p>
        </w:tc>
        <w:tc>
          <w:tcPr>
            <w:tcW w:w="4982" w:type="dxa"/>
            <w:vAlign w:val="center"/>
            <w:textDirection w:val="lrTb"/>
            <w:noWrap w:val="false"/>
          </w:tcPr>
          <w:p>
            <w:pPr>
              <w:pStyle w:val="1291"/>
              <w:spacing w:line="360" w:lineRule="auto"/>
            </w:pPr>
            <w:r>
              <w:rPr>
                <w:rFonts w:hint="eastAsia" w:ascii="宋体" w:hAnsi="宋体" w:eastAsia="宋体" w:cs="宋体"/>
                <w:bCs/>
                <w:sz w:val="21"/>
              </w:rPr>
              <w:t xml:space="preserve">■要求提供</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履约保证金</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中标人应在合同签订前缴纳合同总价10%的履约保证金。</w:t>
            </w:r>
            <w:r/>
          </w:p>
          <w:p>
            <w:pPr>
              <w:pStyle w:val="1291"/>
              <w:spacing w:line="360" w:lineRule="auto"/>
              <w:rPr>
                <w:rFonts w:hint="eastAsia" w:ascii="宋体" w:hAnsi="宋体" w:eastAsia="宋体" w:cs="宋体"/>
                <w:bCs/>
                <w:sz w:val="21"/>
              </w:rPr>
            </w:pPr>
            <w:r>
              <w:rPr>
                <w:rFonts w:hint="eastAsia" w:hAnsi="宋体" w:cs="宋体"/>
                <w:bCs/>
                <w:sz w:val="21"/>
                <w:lang w:val="en-US" w:eastAsia="zh-CN"/>
              </w:rPr>
              <w:t xml:space="preserve">1.</w:t>
            </w:r>
            <w:r>
              <w:rPr>
                <w:rFonts w:hint="eastAsia" w:ascii="宋体" w:hAnsi="宋体" w:eastAsia="宋体" w:cs="宋体"/>
                <w:bCs/>
                <w:sz w:val="21"/>
              </w:rPr>
              <w:t xml:space="preserve">履约保证金应在采购合同签订前提交，除银行电汇、网上银行、数字人民币外，投标人还可选用银行保函、担保公司的保证担保或保险公司的保证保险等多种形式向采购人缴纳；</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2</w:t>
            </w:r>
            <w:r>
              <w:rPr>
                <w:rFonts w:hint="eastAsia" w:hAnsi="宋体" w:cs="宋体"/>
                <w:bCs/>
                <w:sz w:val="21"/>
                <w:lang w:eastAsia="zh-CN"/>
              </w:rPr>
              <w:t xml:space="preserve">.</w:t>
            </w:r>
            <w:r>
              <w:rPr>
                <w:rFonts w:hint="eastAsia" w:ascii="宋体" w:hAnsi="宋体" w:eastAsia="宋体" w:cs="宋体"/>
                <w:bCs/>
                <w:sz w:val="21"/>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3</w:t>
            </w:r>
            <w:r>
              <w:rPr>
                <w:rFonts w:hint="eastAsia" w:hAnsi="宋体" w:cs="宋体"/>
                <w:bCs/>
                <w:sz w:val="21"/>
                <w:lang w:eastAsia="zh-CN"/>
              </w:rPr>
              <w:t xml:space="preserve">.</w:t>
            </w:r>
            <w:r>
              <w:rPr>
                <w:rFonts w:hint="eastAsia" w:ascii="宋体" w:hAnsi="宋体" w:eastAsia="宋体" w:cs="宋体"/>
                <w:bCs/>
                <w:sz w:val="21"/>
              </w:rPr>
              <w:t xml:space="preserve">履约保证金退还的条件：采购人在项目通过验收后按照合同条款规定的时间内将履约保证金退还中标人；</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履约保证金退还时间：符合退还条件的5个工作日内退还；</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4</w:t>
            </w:r>
            <w:r>
              <w:rPr>
                <w:rFonts w:hint="eastAsia" w:hAnsi="宋体" w:cs="宋体"/>
                <w:bCs/>
                <w:sz w:val="21"/>
                <w:lang w:eastAsia="zh-CN"/>
              </w:rPr>
              <w:t xml:space="preserve">.</w:t>
            </w:r>
            <w:r>
              <w:rPr>
                <w:rFonts w:hint="eastAsia" w:ascii="宋体" w:hAnsi="宋体" w:eastAsia="宋体" w:cs="宋体"/>
                <w:bCs/>
                <w:sz w:val="21"/>
              </w:rPr>
              <w:t xml:space="preserve">逾期退还履约保证金的违约责任：除应当退还履约保证金外，还应当按照合同条款规定的比例支付超期资金占用费，但因投标人自身原因导致无法及时退还的除外。</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5</w:t>
            </w:r>
            <w:r>
              <w:rPr>
                <w:rFonts w:hint="eastAsia" w:hAnsi="宋体" w:cs="宋体"/>
                <w:bCs/>
                <w:sz w:val="21"/>
                <w:lang w:eastAsia="zh-CN"/>
              </w:rPr>
              <w:t xml:space="preserve">.</w:t>
            </w:r>
            <w:r>
              <w:rPr>
                <w:rFonts w:hint="eastAsia" w:ascii="宋体" w:hAnsi="宋体" w:eastAsia="宋体" w:cs="宋体"/>
                <w:bCs/>
                <w:sz w:val="21"/>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tc>
      </w:tr>
      <w:tr>
        <w:trPr>
          <w:jc w:val="center"/>
          <w:trHeight w:val="65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26</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36.1</w:t>
            </w:r>
            <w:r/>
          </w:p>
        </w:tc>
        <w:tc>
          <w:tcPr>
            <w:tcW w:w="2835" w:type="dxa"/>
            <w:vAlign w:val="center"/>
            <w:textDirection w:val="lrTb"/>
            <w:noWrap w:val="false"/>
          </w:tcPr>
          <w:p>
            <w:pPr>
              <w:ind w:left="-533" w:firstLine="533"/>
              <w:jc w:val="left"/>
              <w:spacing w:line="276" w:lineRule="auto"/>
              <w:rPr>
                <w:rFonts w:hint="eastAsia" w:ascii="宋体" w:hAnsi="宋体" w:eastAsia="宋体" w:cs="宋体"/>
              </w:rPr>
            </w:pPr>
            <w:r>
              <w:rPr>
                <w:rFonts w:hint="eastAsia" w:ascii="宋体" w:hAnsi="宋体" w:eastAsia="宋体" w:cs="宋体"/>
                <w:szCs w:val="21"/>
              </w:rPr>
              <w:t xml:space="preserve">供应商对采购文件的</w:t>
            </w:r>
            <w:r>
              <w:rPr>
                <w:rFonts w:hint="eastAsia" w:ascii="宋体" w:hAnsi="宋体" w:eastAsia="宋体" w:cs="宋体"/>
              </w:rPr>
              <w:t xml:space="preserve">询问</w:t>
            </w:r>
            <w:r/>
          </w:p>
        </w:tc>
        <w:tc>
          <w:tcPr>
            <w:tcW w:w="4982" w:type="dxa"/>
            <w:vAlign w:val="center"/>
            <w:textDirection w:val="lrTb"/>
            <w:noWrap w:val="false"/>
          </w:tcPr>
          <w:p>
            <w:pPr>
              <w:pStyle w:val="1048"/>
              <w:spacing w:line="360" w:lineRule="auto"/>
              <w:rPr>
                <w:rFonts w:hint="eastAsia" w:ascii="宋体" w:hAnsi="宋体" w:eastAsia="宋体" w:cs="宋体"/>
              </w:rPr>
            </w:pPr>
            <w:r>
              <w:rPr>
                <w:rFonts w:hint="eastAsia" w:ascii="宋体" w:hAnsi="宋体" w:eastAsia="宋体" w:cs="宋体"/>
                <w:bCs/>
              </w:rPr>
              <w:t xml:space="preserve">时间：</w:t>
            </w:r>
            <w:r>
              <w:rPr>
                <w:rFonts w:hint="eastAsia" w:ascii="宋体" w:hAnsi="宋体" w:eastAsia="宋体" w:cs="宋体"/>
              </w:rPr>
              <w:t xml:space="preserve">递交投标文件截止时间前15日。</w:t>
            </w:r>
            <w:r/>
          </w:p>
          <w:p>
            <w:pPr>
              <w:pStyle w:val="1048"/>
              <w:spacing w:line="360" w:lineRule="auto"/>
              <w:rPr>
                <w:rFonts w:hint="eastAsia" w:ascii="宋体" w:hAnsi="宋体" w:eastAsia="宋体" w:cs="宋体"/>
                <w:bCs/>
              </w:rPr>
            </w:pPr>
            <w:r>
              <w:rPr>
                <w:rFonts w:hint="eastAsia" w:ascii="宋体" w:hAnsi="宋体" w:eastAsia="宋体" w:cs="宋体"/>
                <w:bCs/>
              </w:rPr>
              <w:t xml:space="preserve">形式：以书面形式（盖章扫描件及WPS兼容格式文件发至</w:t>
            </w:r>
            <w:r>
              <w:rPr>
                <w:rFonts w:hint="eastAsia" w:ascii="宋体" w:hAnsi="宋体" w:eastAsia="宋体" w:cs="宋体"/>
                <w:bCs/>
                <w:u w:val="single"/>
              </w:rPr>
              <w:t xml:space="preserve">zwy@jstcc.cn</w:t>
            </w:r>
            <w:r>
              <w:rPr>
                <w:rFonts w:hint="eastAsia" w:ascii="宋体" w:hAnsi="宋体" w:eastAsia="宋体" w:cs="宋体"/>
                <w:bCs/>
              </w:rPr>
              <w:t xml:space="preserve">邮箱）通知采购代理机构。</w:t>
            </w:r>
            <w:r/>
          </w:p>
        </w:tc>
      </w:tr>
      <w:tr>
        <w:trPr>
          <w:jc w:val="center"/>
          <w:trHeight w:val="1980"/>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27</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37.1</w:t>
            </w:r>
            <w:r/>
          </w:p>
        </w:tc>
        <w:tc>
          <w:tcPr>
            <w:tcW w:w="2835" w:type="dxa"/>
            <w:vAlign w:val="center"/>
            <w:textDirection w:val="lrTb"/>
            <w:noWrap w:val="false"/>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供应商对采购文件提出的</w:t>
            </w:r>
            <w:r/>
          </w:p>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质疑</w:t>
            </w:r>
            <w:r/>
          </w:p>
        </w:tc>
        <w:tc>
          <w:tcPr>
            <w:tcW w:w="4982" w:type="dxa"/>
            <w:vAlign w:val="center"/>
            <w:textDirection w:val="lrTb"/>
            <w:noWrap w:val="false"/>
          </w:tcPr>
          <w:p>
            <w:pPr>
              <w:pStyle w:val="1048"/>
              <w:spacing w:line="360" w:lineRule="auto"/>
              <w:rPr>
                <w:rFonts w:hint="eastAsia" w:ascii="宋体" w:hAnsi="宋体" w:eastAsia="宋体" w:cs="宋体"/>
              </w:rPr>
            </w:pPr>
            <w:r>
              <w:rPr>
                <w:rFonts w:hint="eastAsia" w:ascii="宋体" w:hAnsi="宋体" w:eastAsia="宋体" w:cs="宋体"/>
                <w:bCs/>
              </w:rPr>
              <w:t xml:space="preserve">形式：以书面形式通知采购代理机构。如采用邮件形式（盖章扫描件及WPS兼容格式文件发至zwy@jstcc.cn邮箱）通知，采购代理机构将以邮件形式进行答复。</w:t>
            </w:r>
            <w:r/>
          </w:p>
        </w:tc>
      </w:tr>
      <w:tr>
        <w:trPr>
          <w:jc w:val="center"/>
          <w:trHeight w:val="406"/>
        </w:trPr>
        <w:tc>
          <w:tcPr>
            <w:tcW w:w="675"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28</w:t>
            </w:r>
            <w:r/>
          </w:p>
        </w:tc>
        <w:tc>
          <w:tcPr>
            <w:tcW w:w="850" w:type="dxa"/>
            <w:vAlign w:val="center"/>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38.1</w:t>
            </w:r>
            <w:r/>
          </w:p>
        </w:tc>
        <w:tc>
          <w:tcPr>
            <w:tcW w:w="2835" w:type="dxa"/>
            <w:vAlign w:val="center"/>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hint="eastAsia" w:ascii="宋体" w:hAnsi="宋体" w:eastAsia="宋体" w:cs="宋体"/>
                <w:bCs/>
              </w:rPr>
            </w:sdtPr>
            <w:sdtContent>
              <w:p>
                <w:pPr>
                  <w:pStyle w:val="1048"/>
                  <w:spacing w:line="360" w:lineRule="auto"/>
                  <w:rPr>
                    <w:rFonts w:hint="eastAsia" w:ascii="宋体" w:hAnsi="宋体" w:eastAsia="宋体" w:cs="宋体"/>
                    <w:bCs/>
                  </w:rPr>
                </w:pPr>
                <w:r>
                  <w:rPr>
                    <w:rFonts w:hint="default" w:ascii="Times New Roman" w:hAnsi="Times New Roman" w:cs="Times New Roman"/>
                    <w:bCs/>
                    <w:color w:val="auto"/>
                    <w:highlight w:val="none"/>
                  </w:rPr>
                  <w:t xml:space="preserve">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p>
            </w:sdtContent>
          </w:sdt>
        </w:tc>
      </w:tr>
      <w:tr>
        <w:trPr>
          <w:jc w:val="center"/>
          <w:trHeight w:val="600"/>
        </w:trPr>
        <w:tc>
          <w:tcPr>
            <w:tcW w:w="675" w:type="dxa"/>
            <w:vAlign w:val="center"/>
            <w:vMerge w:val="restart"/>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29</w:t>
            </w:r>
            <w:r/>
          </w:p>
        </w:tc>
        <w:tc>
          <w:tcPr>
            <w:tcW w:w="850" w:type="dxa"/>
            <w:vAlign w:val="center"/>
            <w:vMerge w:val="restart"/>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t xml:space="preserve">39.1</w:t>
            </w:r>
            <w:r/>
          </w:p>
        </w:tc>
        <w:tc>
          <w:tcPr>
            <w:tcW w:w="2835" w:type="dxa"/>
            <w:vAlign w:val="center"/>
            <w:vMerge w:val="restart"/>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t xml:space="preserve">其他规定</w:t>
            </w:r>
            <w:r/>
          </w:p>
        </w:tc>
        <w:tc>
          <w:tcPr>
            <w:tcW w:w="4982" w:type="dxa"/>
            <w:vAlign w:val="center"/>
            <w:textDirection w:val="lrTb"/>
            <w:noWrap w:val="false"/>
          </w:tcPr>
          <w:p>
            <w:pPr>
              <w:pStyle w:val="1048"/>
              <w:spacing w:line="360" w:lineRule="auto"/>
              <w:rPr>
                <w:rFonts w:hint="eastAsia" w:ascii="宋体" w:hAnsi="宋体" w:eastAsia="宋体" w:cs="宋体"/>
                <w:bCs/>
              </w:rPr>
            </w:pPr>
            <w:r>
              <w:rPr>
                <w:rFonts w:hint="eastAsia" w:ascii="宋体" w:hAnsi="宋体" w:eastAsia="宋体" w:cs="宋体"/>
              </w:rPr>
              <w:t xml:space="preserve">采购项目类型：</w:t>
            </w:r>
            <w:sdt>
              <w:sdtPr>
                <w15:appearance w15:val="boundingBox"/>
                <w:id w:val="147478773"/>
                <w:placeholder>
                  <w:docPart w:val="{02143088-ab06-40e8-b6d9-a411277fb0ae}"/>
                </w:placeholder>
                <w:rPr>
                  <w:rFonts w:hint="eastAsia" w:ascii="宋体" w:hAnsi="宋体" w:eastAsia="宋体" w:cs="宋体"/>
                </w:rPr>
              </w:sdtPr>
              <w:sdtContent>
                <w:r>
                  <w:rPr>
                    <w:rFonts w:hint="eastAsia" w:hAnsi="宋体" w:cs="宋体"/>
                    <w:lang w:val="en-US" w:eastAsia="zh-CN"/>
                  </w:rPr>
                  <w:t xml:space="preserve">服务</w:t>
                </w:r>
              </w:sdtContent>
            </w:sdt>
            <w:r/>
            <w:r/>
          </w:p>
        </w:tc>
      </w:tr>
      <w:tr>
        <w:trPr>
          <w:jc w:val="center"/>
          <w:trHeight w:val="552"/>
        </w:trPr>
        <w:tc>
          <w:tcPr>
            <w:tcW w:w="675"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048"/>
              <w:spacing w:line="360" w:lineRule="auto"/>
              <w:rPr>
                <w:rFonts w:hint="eastAsia" w:ascii="宋体" w:hAnsi="宋体" w:eastAsia="宋体" w:cs="宋体"/>
                <w:bCs/>
              </w:rPr>
            </w:pPr>
            <w:r>
              <w:rPr>
                <w:rFonts w:hint="eastAsia" w:ascii="宋体" w:hAnsi="宋体" w:eastAsia="宋体" w:cs="宋体"/>
              </w:rPr>
              <w:t xml:space="preserve">标的对应的中小企业划分标准所属行业：</w:t>
            </w:r>
            <w:sdt>
              <w:sdtPr>
                <w15:appearance w15:val="boundingBox"/>
                <w:id w:val="147475588"/>
                <w:placeholder>
                  <w:docPart w:val="{02143088-ab06-40e8-b6d9-a411277fb0ae}"/>
                </w:placeholder>
                <w:rPr>
                  <w:rFonts w:hint="eastAsia" w:ascii="宋体" w:hAnsi="宋体" w:eastAsia="宋体" w:cs="宋体"/>
                </w:rPr>
              </w:sdtPr>
              <w:sdtContent>
                <w:r>
                  <w:rPr>
                    <w:rFonts w:hint="eastAsia" w:ascii="宋体" w:hAnsi="宋体" w:eastAsia="宋体" w:cs="宋体"/>
                  </w:rPr>
                  <w:t xml:space="preserve">工业</w:t>
                </w:r>
              </w:sdtContent>
            </w:sdt>
            <w:r/>
            <w:r/>
          </w:p>
        </w:tc>
      </w:tr>
      <w:tr>
        <w:trPr>
          <w:jc w:val="center"/>
          <w:trHeight w:val="2018"/>
        </w:trPr>
        <w:tc>
          <w:tcPr>
            <w:tcW w:w="675"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291"/>
              <w:numPr>
                <w:ilvl w:val="0"/>
                <w:numId w:val="2"/>
              </w:numPr>
              <w:spacing w:line="360" w:lineRule="auto"/>
              <w:rPr>
                <w:rFonts w:hint="eastAsia" w:ascii="宋体" w:hAnsi="宋体" w:eastAsia="宋体" w:cs="宋体"/>
                <w:sz w:val="21"/>
              </w:rPr>
            </w:pPr>
            <w:r>
              <w:rPr>
                <w:rFonts w:hint="eastAsia" w:ascii="宋体" w:hAnsi="宋体" w:eastAsia="宋体" w:cs="宋体"/>
                <w:sz w:val="21"/>
              </w:rPr>
              <w:t xml:space="preserve">依据《政府采购促进中小企业发展管理办法》规定享受扶持政策获得政府采购合同的，小微企业不得将合同分包给大中型企业，中型企业不得将合同分包给大型企业。</w:t>
            </w:r>
            <w:r/>
          </w:p>
          <w:p>
            <w:pPr>
              <w:pStyle w:val="1291"/>
              <w:numPr>
                <w:ilvl w:val="0"/>
                <w:numId w:val="2"/>
              </w:numPr>
              <w:spacing w:line="360" w:lineRule="auto"/>
              <w:rPr>
                <w:rFonts w:hint="eastAsia" w:ascii="宋体" w:hAnsi="宋体" w:eastAsia="宋体" w:cs="宋体"/>
                <w:b/>
                <w:bCs/>
                <w:sz w:val="21"/>
              </w:rPr>
            </w:pPr>
            <w:r>
              <w:rPr>
                <w:rFonts w:hint="eastAsia" w:ascii="宋体" w:hAnsi="宋体" w:eastAsia="宋体" w:cs="宋体"/>
                <w:b/>
                <w:bCs/>
                <w:sz w:val="21"/>
              </w:rPr>
              <w:t xml:space="preserve">异常低价处理：</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 （一）采购评审中出现下列情形之一的，评审委员会应当启动异常低价投标（响应）审查程序：</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1.投标（响应）报价低于全部通过符合性审查供应商投标（响应）报价平均值50%的，即投标（响应）报价&lt;全部通过符合性审查供应商投标（响应）报价平均值×50%；</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2.投标（响应）报价低于</w:t>
            </w:r>
            <w:r>
              <w:rPr>
                <w:rFonts w:hint="eastAsia" w:hAnsi="宋体" w:cs="宋体"/>
                <w:sz w:val="21"/>
                <w:lang w:val="en-US" w:eastAsia="zh-CN"/>
              </w:rPr>
              <w:t xml:space="preserve"> </w:t>
            </w:r>
            <w:r>
              <w:rPr>
                <w:rFonts w:hint="eastAsia" w:ascii="宋体" w:hAnsi="宋体" w:eastAsia="宋体" w:cs="宋体"/>
                <w:sz w:val="21"/>
              </w:rPr>
              <w:t xml:space="preserve">通过符合性审查的次低报价供应商投标（响应）报价50%的，即投标（响应）报价&lt;通过符合性审查的次低报价供应商投标（响应）报价×50%；</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3.投标（响应）报价低于采购项目最高限价45%的，即投标（响应）报价&lt;采购项目最高限价×45%（未设定最高限价的采购项目，以采购项目预算金额作为最高限价）；</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4.评审委员会基于专业判断，认为供应商报价过低，有可能影响产品质量或者不能诚信履约的其他情形。</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91"/>
              <w:spacing w:line="360" w:lineRule="auto"/>
              <w:rPr>
                <w:rFonts w:hint="eastAsia" w:ascii="宋体" w:hAnsi="宋体" w:eastAsia="宋体" w:cs="宋体"/>
                <w:sz w:val="21"/>
              </w:rPr>
            </w:pPr>
            <w:r>
              <w:rPr>
                <w:rFonts w:hint="eastAsia" w:ascii="宋体" w:hAnsi="宋体" w:eastAsia="宋体" w:cs="宋体"/>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rPr>
              <w:t xml:space="preserve">★</w:t>
            </w:r>
            <w:r>
              <w:rPr>
                <w:rFonts w:hint="eastAsia" w:ascii="宋体" w:hAnsi="宋体" w:eastAsia="宋体" w:cs="宋体"/>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91"/>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91"/>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291"/>
              <w:spacing w:line="360" w:lineRule="auto"/>
              <w:rPr>
                <w:rFonts w:hint="eastAsia" w:ascii="宋体" w:hAnsi="宋体" w:eastAsia="宋体" w:cs="宋体"/>
                <w:b/>
                <w:sz w:val="21"/>
              </w:rPr>
            </w:pPr>
            <w:r>
              <w:rPr>
                <w:rFonts w:hint="eastAsia" w:ascii="宋体" w:hAnsi="宋体" w:eastAsia="宋体" w:cs="宋体"/>
                <w:b/>
                <w:sz w:val="21"/>
              </w:rPr>
              <w:t xml:space="preserve">对本国产品的支持政策：</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1.政府采购活动中既有本国产品又有非本国产品参与竞争的，依法对本国产品给予价格评审优惠，对本国产品的报价给予20%的价格扣除，用扣除后的价格参与评审。</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91"/>
              <w:spacing w:line="360" w:lineRule="auto"/>
              <w:rPr>
                <w:rFonts w:hint="eastAsia" w:ascii="宋体" w:hAnsi="宋体" w:eastAsia="宋体" w:cs="宋体"/>
                <w:bCs/>
                <w:sz w:val="21"/>
              </w:rPr>
            </w:pPr>
            <w:r>
              <w:rPr>
                <w:rFonts w:hint="eastAsia" w:ascii="宋体" w:hAnsi="宋体" w:eastAsia="宋体" w:cs="宋体"/>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91"/>
              <w:spacing w:line="360" w:lineRule="auto"/>
              <w:rPr>
                <w:rFonts w:hint="eastAsia" w:ascii="宋体" w:hAnsi="宋体" w:eastAsia="宋体" w:cs="宋体"/>
                <w:b/>
                <w:sz w:val="21"/>
              </w:rPr>
            </w:pPr>
            <w:r>
              <w:rPr>
                <w:rFonts w:hint="eastAsia" w:ascii="宋体" w:hAnsi="宋体" w:eastAsia="宋体" w:cs="宋体"/>
                <w:b/>
                <w:sz w:val="21"/>
              </w:rPr>
              <w:t xml:space="preserve">注：</w:t>
            </w:r>
            <w:r/>
          </w:p>
          <w:p>
            <w:pPr>
              <w:pStyle w:val="1291"/>
              <w:spacing w:line="360" w:lineRule="auto"/>
              <w:rPr>
                <w:rFonts w:hint="eastAsia" w:ascii="宋体" w:hAnsi="宋体" w:eastAsia="宋体" w:cs="宋体"/>
                <w:b/>
                <w:sz w:val="21"/>
              </w:rPr>
            </w:pPr>
            <w:r>
              <w:rPr>
                <w:rFonts w:hint="eastAsia" w:ascii="宋体" w:hAnsi="宋体" w:eastAsia="宋体" w:cs="宋体"/>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91"/>
              <w:spacing w:line="360" w:lineRule="auto"/>
              <w:rPr>
                <w:rFonts w:hint="eastAsia" w:ascii="宋体" w:hAnsi="宋体" w:eastAsia="宋体" w:cs="宋体"/>
                <w:sz w:val="21"/>
              </w:rPr>
            </w:pPr>
            <w:r>
              <w:rPr>
                <w:rFonts w:hint="eastAsia" w:ascii="宋体" w:hAnsi="宋体" w:eastAsia="宋体" w:cs="宋体"/>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1048"/>
        <w:spacing w:line="360" w:lineRule="auto"/>
        <w:rPr>
          <w:rFonts w:hint="eastAsia" w:ascii="宋体" w:hAnsi="宋体" w:eastAsia="宋体" w:cs="宋体"/>
          <w:b/>
          <w:bCs/>
          <w:spacing w:val="100"/>
          <w:sz w:val="72"/>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spacing w:val="100"/>
          <w:sz w:val="72"/>
        </w:rPr>
      </w:r>
      <w:r/>
    </w:p>
    <w:p>
      <w:pPr>
        <w:pStyle w:val="1065"/>
        <w:ind w:firstLine="569"/>
        <w:rPr>
          <w:rFonts w:hint="eastAsia" w:ascii="宋体" w:hAnsi="宋体" w:eastAsia="宋体" w:cs="宋体"/>
        </w:rPr>
      </w:pPr>
      <w:r/>
      <w:bookmarkStart w:id="33" w:name="_Toc1306"/>
      <w:r/>
      <w:bookmarkStart w:id="34" w:name="_Toc100905199"/>
      <w:r/>
      <w:bookmarkStart w:id="35" w:name="_Toc104560837"/>
      <w:r/>
      <w:bookmarkStart w:id="36" w:name="_Toc103848526"/>
      <w:r/>
      <w:bookmarkStart w:id="37" w:name="_Toc107246213"/>
      <w:r/>
      <w:bookmarkStart w:id="38" w:name="_Toc80264714"/>
      <w:r>
        <w:rPr>
          <w:rFonts w:hint="eastAsia" w:ascii="宋体" w:hAnsi="宋体" w:eastAsia="宋体" w:cs="宋体"/>
        </w:rPr>
        <w:t xml:space="preserve">投标人须知</w:t>
      </w:r>
      <w:bookmarkEnd w:id="33"/>
      <w:r/>
      <w:bookmarkEnd w:id="34"/>
      <w:r/>
      <w:bookmarkEnd w:id="35"/>
      <w:r/>
      <w:bookmarkEnd w:id="36"/>
      <w:r/>
      <w:bookmarkEnd w:id="37"/>
      <w:r/>
      <w:r/>
    </w:p>
    <w:p>
      <w:pPr>
        <w:pStyle w:val="1026"/>
        <w:ind w:left="0" w:right="210" w:firstLine="373"/>
        <w:spacing w:line="360" w:lineRule="auto"/>
        <w:rPr>
          <w:rFonts w:hint="eastAsia" w:ascii="宋体" w:hAnsi="宋体" w:eastAsia="宋体" w:cs="宋体"/>
        </w:rPr>
      </w:pPr>
      <w:r/>
      <w:bookmarkStart w:id="39" w:name="_Toc80264706"/>
      <w:r/>
      <w:bookmarkStart w:id="40" w:name="_Toc107246214"/>
      <w:r/>
      <w:bookmarkStart w:id="41" w:name="_Toc6906"/>
      <w:r>
        <w:rPr>
          <w:rFonts w:hint="eastAsia" w:ascii="宋体" w:hAnsi="宋体" w:eastAsia="宋体" w:cs="宋体"/>
        </w:rPr>
        <w:t xml:space="preserve">一．</w:t>
      </w:r>
      <w:bookmarkEnd w:id="39"/>
      <w:r>
        <w:rPr>
          <w:rFonts w:hint="eastAsia" w:ascii="宋体" w:hAnsi="宋体" w:eastAsia="宋体" w:cs="宋体"/>
        </w:rPr>
        <w:t xml:space="preserve">总则</w:t>
      </w:r>
      <w:bookmarkEnd w:id="40"/>
      <w:r/>
      <w:bookmarkEnd w:id="41"/>
      <w:r/>
      <w:r/>
    </w:p>
    <w:p>
      <w:pPr>
        <w:pStyle w:val="1026"/>
        <w:ind w:left="0" w:right="210" w:firstLine="373"/>
        <w:spacing w:line="360" w:lineRule="auto"/>
        <w:rPr>
          <w:rFonts w:hint="eastAsia" w:ascii="宋体" w:hAnsi="宋体" w:eastAsia="宋体" w:cs="宋体"/>
        </w:rPr>
      </w:pPr>
      <w:r/>
      <w:bookmarkStart w:id="42" w:name="_Toc100905201"/>
      <w:r/>
      <w:bookmarkStart w:id="43" w:name="_Toc104560839"/>
      <w:r/>
      <w:bookmarkStart w:id="44" w:name="_Toc103848528"/>
      <w:r/>
      <w:bookmarkStart w:id="45" w:name="_Toc11009"/>
      <w:r/>
      <w:bookmarkStart w:id="46" w:name="_Toc96347862"/>
      <w:r/>
      <w:bookmarkStart w:id="47" w:name="_Toc107246215"/>
      <w:r>
        <w:rPr>
          <w:rFonts w:hint="eastAsia" w:ascii="宋体" w:hAnsi="宋体" w:eastAsia="宋体" w:cs="宋体"/>
        </w:rPr>
        <w:t xml:space="preserve">1.采购方式</w:t>
      </w:r>
      <w:bookmarkEnd w:id="42"/>
      <w:r/>
      <w:bookmarkEnd w:id="43"/>
      <w:r/>
      <w:bookmarkEnd w:id="44"/>
      <w:r/>
      <w:bookmarkEnd w:id="45"/>
      <w:r/>
      <w:bookmarkEnd w:id="46"/>
      <w:r/>
      <w:bookmarkEnd w:id="4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1.1本次招标采取公开招标方式，本招标文件仅适用于招标公告中所述项目。</w:t>
      </w:r>
      <w:r/>
    </w:p>
    <w:p>
      <w:pPr>
        <w:pStyle w:val="1026"/>
        <w:ind w:left="0" w:right="210" w:firstLine="373"/>
        <w:spacing w:line="360" w:lineRule="auto"/>
        <w:rPr>
          <w:rFonts w:hint="eastAsia" w:ascii="宋体" w:hAnsi="宋体" w:eastAsia="宋体" w:cs="宋体"/>
        </w:rPr>
      </w:pPr>
      <w:r/>
      <w:bookmarkStart w:id="48" w:name="_Toc107246216"/>
      <w:r/>
      <w:bookmarkStart w:id="49" w:name="_Toc103848529"/>
      <w:r/>
      <w:bookmarkStart w:id="50" w:name="_Toc299"/>
      <w:r/>
      <w:bookmarkStart w:id="51" w:name="_Toc100905202"/>
      <w:r/>
      <w:bookmarkStart w:id="52" w:name="_Toc104560840"/>
      <w:r/>
      <w:bookmarkStart w:id="53" w:name="_Toc96347863"/>
      <w:r>
        <w:rPr>
          <w:rFonts w:hint="eastAsia" w:ascii="宋体" w:hAnsi="宋体" w:eastAsia="宋体" w:cs="宋体"/>
        </w:rPr>
        <w:t xml:space="preserve">2.定义</w:t>
      </w:r>
      <w:bookmarkEnd w:id="48"/>
      <w:r/>
      <w:bookmarkEnd w:id="49"/>
      <w:r/>
      <w:bookmarkEnd w:id="50"/>
      <w:r/>
      <w:bookmarkEnd w:id="51"/>
      <w:r/>
      <w:bookmarkEnd w:id="52"/>
      <w:r/>
      <w:bookmarkEnd w:id="53"/>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2.1“采购人”是指依法进行政府采购的国家机关、事业单位、团体组织。本次政府采购的采购人名称、地址、电话、联系人见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Cs/>
          <w:szCs w:val="21"/>
        </w:rPr>
        <w:t xml:space="preserve">“</w:t>
      </w:r>
      <w:r>
        <w:rPr>
          <w:rFonts w:hint="eastAsia" w:ascii="宋体" w:hAnsi="宋体" w:eastAsia="宋体" w:cs="宋体"/>
          <w:szCs w:val="21"/>
        </w:rPr>
        <w:t xml:space="preserve">采购代理机构</w:t>
      </w:r>
      <w:r>
        <w:rPr>
          <w:rFonts w:hint="eastAsia" w:ascii="宋体" w:hAnsi="宋体" w:eastAsia="宋体" w:cs="宋体"/>
          <w:bCs/>
          <w:szCs w:val="21"/>
        </w:rPr>
        <w:t xml:space="preserve">”</w:t>
      </w:r>
      <w:r>
        <w:rPr>
          <w:rFonts w:hint="eastAsia" w:ascii="宋体" w:hAnsi="宋体" w:eastAsia="宋体" w:cs="宋体"/>
          <w:szCs w:val="21"/>
        </w:rPr>
        <w:t xml:space="preserve">是指集中采购机构和集中采购机构以外的采购代理机构。本次政府采购的采购代理机构名称、地址、电话、联系人见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2.3“采购方”是指采购人和</w:t>
      </w:r>
      <w:r>
        <w:rPr>
          <w:rFonts w:hint="eastAsia" w:ascii="宋体" w:hAnsi="宋体" w:eastAsia="宋体" w:cs="宋体"/>
          <w:szCs w:val="21"/>
        </w:rPr>
        <w:t xml:space="preserve">采购代理机构的合称。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bCs/>
          <w:szCs w:val="21"/>
        </w:rPr>
        <w:t xml:space="preserve">“</w:t>
      </w:r>
      <w:r>
        <w:rPr>
          <w:rFonts w:hint="eastAsia" w:ascii="宋体" w:hAnsi="宋体" w:eastAsia="宋体" w:cs="宋体"/>
          <w:szCs w:val="21"/>
        </w:rPr>
        <w:t xml:space="preserve">供应商</w:t>
      </w:r>
      <w:r>
        <w:rPr>
          <w:rFonts w:hint="eastAsia" w:ascii="宋体" w:hAnsi="宋体" w:eastAsia="宋体" w:cs="宋体"/>
          <w:bCs/>
          <w:szCs w:val="21"/>
        </w:rPr>
        <w:t xml:space="preserve">”</w:t>
      </w:r>
      <w:r>
        <w:rPr>
          <w:rFonts w:hint="eastAsia" w:ascii="宋体" w:hAnsi="宋体" w:eastAsia="宋体" w:cs="宋体"/>
          <w:szCs w:val="21"/>
        </w:rPr>
        <w:t xml:space="preserve">是指向采购人提供货物、工程或者服务的法人、其他组织或者自然人。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bCs/>
          <w:szCs w:val="21"/>
        </w:rPr>
        <w:t xml:space="preserve">“</w:t>
      </w:r>
      <w:r>
        <w:rPr>
          <w:rFonts w:hint="eastAsia" w:ascii="宋体" w:hAnsi="宋体" w:eastAsia="宋体" w:cs="宋体"/>
          <w:szCs w:val="21"/>
        </w:rPr>
        <w:t xml:space="preserve">中标供应商</w:t>
      </w:r>
      <w:r>
        <w:rPr>
          <w:rFonts w:hint="eastAsia" w:ascii="宋体" w:hAnsi="宋体" w:eastAsia="宋体" w:cs="宋体"/>
          <w:bCs/>
          <w:szCs w:val="21"/>
        </w:rPr>
        <w:t xml:space="preserve">”</w:t>
      </w:r>
      <w:r>
        <w:rPr>
          <w:rFonts w:hint="eastAsia" w:ascii="宋体" w:hAnsi="宋体" w:eastAsia="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w:t>
      </w:r>
      <w:r>
        <w:rPr>
          <w:rFonts w:hint="eastAsia" w:ascii="宋体" w:hAnsi="宋体" w:eastAsia="宋体" w:cs="宋体"/>
          <w:bCs/>
          <w:szCs w:val="21"/>
        </w:rPr>
        <w:t xml:space="preserve">“</w:t>
      </w:r>
      <w:r>
        <w:rPr>
          <w:rFonts w:hint="eastAsia" w:ascii="宋体" w:hAnsi="宋体" w:eastAsia="宋体" w:cs="宋体"/>
          <w:szCs w:val="21"/>
        </w:rPr>
        <w:t xml:space="preserve">评标委员会</w:t>
      </w:r>
      <w:r>
        <w:rPr>
          <w:rFonts w:hint="eastAsia" w:ascii="宋体" w:hAnsi="宋体" w:eastAsia="宋体" w:cs="宋体"/>
          <w:bCs/>
          <w:szCs w:val="21"/>
        </w:rPr>
        <w:t xml:space="preserve">”</w:t>
      </w:r>
      <w:r>
        <w:rPr>
          <w:rFonts w:hint="eastAsia" w:ascii="宋体" w:hAnsi="宋体" w:eastAsia="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w:t>
      </w:r>
      <w:r>
        <w:rPr>
          <w:rFonts w:hint="eastAsia" w:ascii="宋体" w:hAnsi="宋体" w:eastAsia="宋体" w:cs="宋体"/>
          <w:bCs/>
          <w:szCs w:val="21"/>
        </w:rPr>
        <w:t xml:space="preserve">“</w:t>
      </w:r>
      <w:r>
        <w:rPr>
          <w:rFonts w:hint="eastAsia" w:ascii="宋体" w:hAnsi="宋体" w:eastAsia="宋体" w:cs="宋体"/>
          <w:szCs w:val="21"/>
        </w:rPr>
        <w:t xml:space="preserve">货物</w:t>
      </w:r>
      <w:r>
        <w:rPr>
          <w:rFonts w:hint="eastAsia" w:ascii="宋体" w:hAnsi="宋体" w:eastAsia="宋体" w:cs="宋体"/>
          <w:bCs/>
          <w:szCs w:val="21"/>
        </w:rPr>
        <w:t xml:space="preserve">”</w:t>
      </w:r>
      <w:r>
        <w:rPr>
          <w:rFonts w:hint="eastAsia" w:ascii="宋体" w:hAnsi="宋体" w:eastAsia="宋体" w:cs="宋体"/>
          <w:szCs w:val="21"/>
        </w:rPr>
        <w:t xml:space="preserve">是指各种形态和种类的物品，包括原材料、燃料、设备、产品等。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bCs/>
          <w:szCs w:val="21"/>
        </w:rPr>
        <w:t xml:space="preserve">“</w:t>
      </w:r>
      <w:r>
        <w:rPr>
          <w:rFonts w:hint="eastAsia" w:ascii="宋体" w:hAnsi="宋体" w:eastAsia="宋体" w:cs="宋体"/>
          <w:szCs w:val="21"/>
        </w:rPr>
        <w:t xml:space="preserve">工程</w:t>
      </w:r>
      <w:r>
        <w:rPr>
          <w:rFonts w:hint="eastAsia" w:ascii="宋体" w:hAnsi="宋体" w:eastAsia="宋体" w:cs="宋体"/>
          <w:bCs/>
          <w:szCs w:val="21"/>
        </w:rPr>
        <w:t xml:space="preserve">”</w:t>
      </w:r>
      <w:r>
        <w:rPr>
          <w:rFonts w:hint="eastAsia" w:ascii="宋体" w:hAnsi="宋体" w:eastAsia="宋体" w:cs="宋体"/>
          <w:szCs w:val="21"/>
        </w:rPr>
        <w:t xml:space="preserve">是指建设工程，包括建筑物和构筑物的新建、改建、扩建、装修、拆除、修缮等。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w:t>
      </w:r>
      <w:r>
        <w:rPr>
          <w:rFonts w:hint="eastAsia" w:ascii="宋体" w:hAnsi="宋体" w:eastAsia="宋体" w:cs="宋体"/>
          <w:bCs/>
          <w:szCs w:val="21"/>
        </w:rPr>
        <w:t xml:space="preserve">“</w:t>
      </w:r>
      <w:r>
        <w:rPr>
          <w:rFonts w:hint="eastAsia" w:ascii="宋体" w:hAnsi="宋体" w:eastAsia="宋体" w:cs="宋体"/>
          <w:szCs w:val="21"/>
        </w:rPr>
        <w:t xml:space="preserve">服务</w:t>
      </w:r>
      <w:r>
        <w:rPr>
          <w:rFonts w:hint="eastAsia" w:ascii="宋体" w:hAnsi="宋体" w:eastAsia="宋体" w:cs="宋体"/>
          <w:bCs/>
          <w:szCs w:val="21"/>
        </w:rPr>
        <w:t xml:space="preserve">”</w:t>
      </w:r>
      <w:r>
        <w:rPr>
          <w:rFonts w:hint="eastAsia" w:ascii="宋体" w:hAnsi="宋体" w:eastAsia="宋体" w:cs="宋体"/>
          <w:szCs w:val="21"/>
        </w:rPr>
        <w:t xml:space="preserve">是指除货物和工程以外的其他政府采购对象。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2.10</w:t>
      </w:r>
      <w:r>
        <w:rPr>
          <w:rFonts w:hint="eastAsia" w:ascii="宋体" w:hAnsi="宋体" w:eastAsia="宋体" w:cs="宋体"/>
          <w:bCs/>
          <w:szCs w:val="21"/>
        </w:rPr>
        <w:t xml:space="preserve">“</w:t>
      </w:r>
      <w:r>
        <w:rPr>
          <w:rFonts w:hint="eastAsia" w:ascii="宋体" w:hAnsi="宋体" w:eastAsia="宋体" w:cs="宋体"/>
          <w:szCs w:val="21"/>
        </w:rPr>
        <w:t xml:space="preserve">节能产品</w:t>
      </w:r>
      <w:r>
        <w:rPr>
          <w:rFonts w:hint="eastAsia" w:ascii="宋体" w:hAnsi="宋体" w:eastAsia="宋体" w:cs="宋体"/>
          <w:bCs/>
          <w:szCs w:val="21"/>
        </w:rPr>
        <w:t xml:space="preserve">”</w:t>
      </w:r>
      <w:r>
        <w:rPr>
          <w:rFonts w:hint="eastAsia" w:ascii="宋体" w:hAnsi="宋体" w:eastAsia="宋体" w:cs="宋体"/>
          <w:szCs w:val="21"/>
        </w:rPr>
        <w:t xml:space="preserve">或者</w:t>
      </w:r>
      <w:r>
        <w:rPr>
          <w:rFonts w:hint="eastAsia" w:ascii="宋体" w:hAnsi="宋体" w:eastAsia="宋体" w:cs="宋体"/>
          <w:bCs/>
          <w:szCs w:val="21"/>
        </w:rPr>
        <w:t xml:space="preserve">“</w:t>
      </w:r>
      <w:r>
        <w:rPr>
          <w:rFonts w:hint="eastAsia" w:ascii="宋体" w:hAnsi="宋体" w:eastAsia="宋体" w:cs="宋体"/>
          <w:szCs w:val="21"/>
        </w:rPr>
        <w:t xml:space="preserve">环保产品</w:t>
      </w:r>
      <w:r>
        <w:rPr>
          <w:rFonts w:hint="eastAsia" w:ascii="宋体" w:hAnsi="宋体" w:eastAsia="宋体" w:cs="宋体"/>
          <w:bCs/>
          <w:szCs w:val="21"/>
        </w:rPr>
        <w:t xml:space="preserve">”</w:t>
      </w:r>
      <w:r>
        <w:rPr>
          <w:rFonts w:hint="eastAsia" w:ascii="宋体" w:hAnsi="宋体" w:eastAsia="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2.11</w:t>
      </w:r>
      <w:r>
        <w:rPr>
          <w:rFonts w:hint="eastAsia" w:ascii="宋体" w:hAnsi="宋体" w:eastAsia="宋体" w:cs="宋体"/>
          <w:bCs/>
          <w:szCs w:val="21"/>
        </w:rPr>
        <w:t xml:space="preserve">“</w:t>
      </w:r>
      <w:r>
        <w:rPr>
          <w:rFonts w:hint="eastAsia" w:ascii="宋体" w:hAnsi="宋体" w:eastAsia="宋体" w:cs="宋体"/>
          <w:szCs w:val="21"/>
        </w:rPr>
        <w:t xml:space="preserve">进口产品</w:t>
      </w:r>
      <w:r>
        <w:rPr>
          <w:rFonts w:hint="eastAsia" w:ascii="宋体" w:hAnsi="宋体" w:eastAsia="宋体" w:cs="宋体"/>
          <w:bCs/>
          <w:szCs w:val="21"/>
        </w:rPr>
        <w:t xml:space="preserve">”</w:t>
      </w:r>
      <w:r>
        <w:rPr>
          <w:rFonts w:hint="eastAsia" w:ascii="宋体" w:hAnsi="宋体" w:eastAsia="宋体" w:cs="宋体"/>
          <w:szCs w:val="21"/>
        </w:rPr>
        <w:t xml:space="preserve">是指通过中国海关报关验放进入中国境内且产自关境外的产品。</w:t>
      </w:r>
      <w:r/>
    </w:p>
    <w:p>
      <w:pPr>
        <w:pStyle w:val="1026"/>
        <w:ind w:left="0" w:right="210" w:firstLine="373"/>
        <w:spacing w:line="360" w:lineRule="auto"/>
        <w:rPr>
          <w:rFonts w:hint="eastAsia" w:ascii="宋体" w:hAnsi="宋体" w:eastAsia="宋体" w:cs="宋体"/>
        </w:rPr>
      </w:pPr>
      <w:r/>
      <w:bookmarkStart w:id="54" w:name="_Toc107246217"/>
      <w:r/>
      <w:bookmarkStart w:id="55" w:name="_Toc96347864"/>
      <w:r/>
      <w:bookmarkStart w:id="56" w:name="_Toc14938"/>
      <w:r/>
      <w:bookmarkStart w:id="57" w:name="_Toc100905203"/>
      <w:r/>
      <w:bookmarkStart w:id="58" w:name="_Toc103848530"/>
      <w:r/>
      <w:bookmarkStart w:id="59" w:name="_Toc104560841"/>
      <w:r>
        <w:rPr>
          <w:rFonts w:hint="eastAsia" w:ascii="宋体" w:hAnsi="宋体" w:eastAsia="宋体" w:cs="宋体"/>
        </w:rPr>
        <w:t xml:space="preserve">3.适用法律</w:t>
      </w:r>
      <w:bookmarkEnd w:id="54"/>
      <w:r/>
      <w:bookmarkEnd w:id="55"/>
      <w:r/>
      <w:bookmarkEnd w:id="56"/>
      <w:r/>
      <w:bookmarkEnd w:id="57"/>
      <w:r/>
      <w:bookmarkEnd w:id="58"/>
      <w:r/>
      <w:bookmarkEnd w:id="59"/>
      <w:r/>
      <w:r/>
    </w:p>
    <w:p>
      <w:pPr>
        <w:ind w:firstLine="420"/>
        <w:spacing w:line="360" w:lineRule="auto"/>
        <w:rPr>
          <w:rFonts w:hint="eastAsia" w:ascii="宋体" w:hAnsi="宋体" w:eastAsia="宋体" w:cs="宋体"/>
          <w:szCs w:val="21"/>
        </w:rPr>
      </w:pPr>
      <w:r/>
      <w:bookmarkStart w:id="60" w:name="_Toc100905204"/>
      <w:r>
        <w:rPr>
          <w:rFonts w:hint="eastAsia" w:ascii="宋体" w:hAnsi="宋体" w:eastAsia="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26"/>
        <w:ind w:left="0" w:right="210" w:firstLine="373"/>
        <w:spacing w:line="360" w:lineRule="auto"/>
        <w:rPr>
          <w:rFonts w:hint="eastAsia" w:ascii="宋体" w:hAnsi="宋体" w:eastAsia="宋体" w:cs="宋体"/>
        </w:rPr>
      </w:pPr>
      <w:r/>
      <w:bookmarkStart w:id="61" w:name="_Toc103848531"/>
      <w:r/>
      <w:bookmarkStart w:id="62" w:name="_Toc12406"/>
      <w:r/>
      <w:bookmarkStart w:id="63" w:name="_Toc104560842"/>
      <w:r/>
      <w:bookmarkStart w:id="64" w:name="_Toc107246218"/>
      <w:r>
        <w:rPr>
          <w:rFonts w:hint="eastAsia" w:ascii="宋体" w:hAnsi="宋体" w:eastAsia="宋体" w:cs="宋体"/>
        </w:rPr>
        <w:t xml:space="preserve">4.</w:t>
      </w:r>
      <w:bookmarkEnd w:id="61"/>
      <w:r>
        <w:rPr>
          <w:rFonts w:hint="eastAsia" w:ascii="宋体" w:hAnsi="宋体" w:eastAsia="宋体" w:cs="宋体"/>
        </w:rPr>
        <w:t xml:space="preserve">政府采购政策（包括但不限于下列具体政策要求）</w:t>
      </w:r>
      <w:bookmarkEnd w:id="62"/>
      <w:r/>
      <w:bookmarkEnd w:id="63"/>
      <w:r/>
      <w:bookmarkEnd w:id="64"/>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4.1中小企业、监狱企业及残疾人福利性单位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4.1.1中小企业定义：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4.1.1.1中小企业是</w:t>
      </w:r>
      <w:r>
        <w:rPr>
          <w:rFonts w:hint="eastAsia" w:ascii="宋体" w:hAnsi="宋体" w:eastAsia="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4.1.4小微企业价格评审优惠的政策调整：见第五章《评标方法与评标标准》（如涉及）。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4.2政府采购节能产品、环境标志产品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4.2.2采</w:t>
      </w:r>
      <w:r>
        <w:rPr>
          <w:rFonts w:hint="eastAsia" w:ascii="宋体" w:hAnsi="宋体" w:eastAsia="宋体" w:cs="宋体"/>
          <w:szCs w:val="21"/>
          <w:highlight w:val="none"/>
        </w:rPr>
        <w:t xml:space="preserve">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4.2.3如本项目采购产品属于实施政府强制采购品目清单范围的节能产品，则</w:t>
      </w:r>
      <w:r>
        <w:rPr>
          <w:rFonts w:hint="eastAsia" w:ascii="宋体" w:hAnsi="宋体" w:eastAsia="宋体" w:cs="宋体"/>
          <w:szCs w:val="21"/>
        </w:rPr>
        <w:t xml:space="preserve">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4.3信息安全产品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4.4未按要求提供相关材料的，不享受相关政策。</w:t>
      </w:r>
      <w:bookmarkEnd w:id="60"/>
      <w:r/>
      <w:r/>
    </w:p>
    <w:p>
      <w:pPr>
        <w:pStyle w:val="1026"/>
        <w:ind w:left="0" w:right="210" w:firstLine="373"/>
        <w:spacing w:line="360" w:lineRule="auto"/>
        <w:rPr>
          <w:rFonts w:hint="eastAsia" w:ascii="宋体" w:hAnsi="宋体" w:eastAsia="宋体" w:cs="宋体"/>
        </w:rPr>
      </w:pPr>
      <w:r/>
      <w:bookmarkStart w:id="65" w:name="_Toc100905205"/>
      <w:r/>
      <w:bookmarkStart w:id="66" w:name="_Toc104560843"/>
      <w:r/>
      <w:bookmarkStart w:id="67" w:name="_Toc11034"/>
      <w:r/>
      <w:bookmarkStart w:id="68" w:name="_Toc103848532"/>
      <w:r/>
      <w:bookmarkStart w:id="69" w:name="_Toc96347865"/>
      <w:r/>
      <w:bookmarkStart w:id="70" w:name="_Toc107246219"/>
      <w:r>
        <w:rPr>
          <w:rFonts w:hint="eastAsia" w:ascii="宋体" w:hAnsi="宋体" w:eastAsia="宋体" w:cs="宋体"/>
        </w:rPr>
        <w:t xml:space="preserve">5.相关费用</w:t>
      </w:r>
      <w:bookmarkEnd w:id="65"/>
      <w:r/>
      <w:bookmarkEnd w:id="66"/>
      <w:r/>
      <w:bookmarkEnd w:id="67"/>
      <w:r/>
      <w:bookmarkEnd w:id="68"/>
      <w:r/>
      <w:bookmarkEnd w:id="69"/>
      <w:r/>
      <w:bookmarkEnd w:id="7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w:t>
      </w:r>
      <w:bookmarkStart w:id="71" w:name="_Toc80264707"/>
      <w:r>
        <w:rPr>
          <w:rFonts w:hint="eastAsia" w:ascii="宋体" w:hAnsi="宋体" w:eastAsia="宋体" w:cs="宋体"/>
          <w:szCs w:val="21"/>
        </w:rPr>
        <w:t xml:space="preserve">参加投标活动的投标人应自行承担所有与参加投标有关的费用，无论投标过程中的做法和结果如何，采购人在任何情况下均无义务和责任承担这些费用。</w:t>
      </w:r>
      <w:r/>
    </w:p>
    <w:p>
      <w:pPr>
        <w:pStyle w:val="1026"/>
        <w:ind w:left="0" w:right="210" w:firstLine="373"/>
        <w:spacing w:line="360" w:lineRule="auto"/>
        <w:rPr>
          <w:rFonts w:hint="eastAsia" w:ascii="宋体" w:hAnsi="宋体" w:eastAsia="宋体" w:cs="宋体"/>
        </w:rPr>
      </w:pPr>
      <w:r/>
      <w:bookmarkStart w:id="72" w:name="_Toc96347866"/>
      <w:r/>
      <w:bookmarkStart w:id="73" w:name="_Toc107246220"/>
      <w:r/>
      <w:bookmarkStart w:id="74" w:name="_Toc7797"/>
      <w:r/>
      <w:bookmarkStart w:id="75" w:name="_Toc103848533"/>
      <w:r/>
      <w:bookmarkStart w:id="76" w:name="_Toc104560844"/>
      <w:r/>
      <w:bookmarkStart w:id="77" w:name="_Toc100905206"/>
      <w:r>
        <w:rPr>
          <w:rFonts w:hint="eastAsia" w:ascii="宋体" w:hAnsi="宋体" w:eastAsia="宋体" w:cs="宋体"/>
        </w:rPr>
        <w:t xml:space="preserve">6.保密</w:t>
      </w:r>
      <w:bookmarkEnd w:id="72"/>
      <w:r/>
      <w:bookmarkEnd w:id="73"/>
      <w:r/>
      <w:bookmarkEnd w:id="74"/>
      <w:r/>
      <w:bookmarkEnd w:id="75"/>
      <w:r/>
      <w:bookmarkEnd w:id="76"/>
      <w:r/>
      <w:bookmarkEnd w:id="77"/>
      <w:r/>
      <w:r/>
    </w:p>
    <w:p>
      <w:pPr>
        <w:ind w:firstLine="420"/>
        <w:spacing w:line="360" w:lineRule="auto"/>
        <w:rPr>
          <w:rFonts w:hint="eastAsia" w:ascii="宋体" w:hAnsi="宋体" w:eastAsia="宋体" w:cs="宋体"/>
          <w:szCs w:val="21"/>
        </w:rPr>
      </w:pPr>
      <w:r/>
      <w:bookmarkStart w:id="78" w:name="_Toc96347867"/>
      <w:r/>
      <w:bookmarkStart w:id="79" w:name="_Toc100905207"/>
      <w:r>
        <w:rPr>
          <w:rFonts w:hint="eastAsia" w:ascii="宋体" w:hAnsi="宋体" w:eastAsia="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1026"/>
        <w:ind w:left="0" w:right="210" w:firstLine="373"/>
        <w:spacing w:line="360" w:lineRule="auto"/>
        <w:rPr>
          <w:rFonts w:hint="eastAsia" w:ascii="宋体" w:hAnsi="宋体" w:eastAsia="宋体" w:cs="宋体"/>
        </w:rPr>
      </w:pPr>
      <w:r/>
      <w:bookmarkStart w:id="80" w:name="_Toc107246221"/>
      <w:r/>
      <w:bookmarkStart w:id="81" w:name="_Toc103848534"/>
      <w:r/>
      <w:bookmarkStart w:id="82" w:name="_Toc104560845"/>
      <w:r/>
      <w:bookmarkStart w:id="83" w:name="_Toc27651"/>
      <w:r>
        <w:rPr>
          <w:rFonts w:hint="eastAsia" w:ascii="宋体" w:hAnsi="宋体" w:eastAsia="宋体" w:cs="宋体"/>
        </w:rPr>
        <w:t xml:space="preserve">7.语言文字、计量单位</w:t>
      </w:r>
      <w:bookmarkEnd w:id="78"/>
      <w:r/>
      <w:bookmarkEnd w:id="79"/>
      <w:r/>
      <w:bookmarkEnd w:id="80"/>
      <w:r/>
      <w:bookmarkEnd w:id="81"/>
      <w:r/>
      <w:bookmarkEnd w:id="82"/>
      <w:r/>
      <w:bookmarkEnd w:id="8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7.1所有文件使用的语言文字为中文。专用术语使用外文的，应附有中文注释。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7.2所有文件中的计量单位，除招标文件有特殊要求外，应采用国家法定计量单位。</w:t>
      </w:r>
      <w:r/>
    </w:p>
    <w:p>
      <w:pPr>
        <w:pStyle w:val="1026"/>
        <w:ind w:left="0" w:right="210" w:firstLine="373"/>
        <w:spacing w:line="360" w:lineRule="auto"/>
        <w:rPr>
          <w:rFonts w:hint="eastAsia" w:ascii="宋体" w:hAnsi="宋体" w:eastAsia="宋体" w:cs="宋体"/>
        </w:rPr>
      </w:pPr>
      <w:r/>
      <w:bookmarkStart w:id="84" w:name="_Toc96347868"/>
      <w:r/>
      <w:bookmarkStart w:id="85" w:name="_Toc100905208"/>
      <w:r/>
      <w:bookmarkStart w:id="86" w:name="_Toc104560846"/>
      <w:r/>
      <w:bookmarkStart w:id="87" w:name="_Toc107246222"/>
      <w:r/>
      <w:bookmarkStart w:id="88" w:name="_Toc22572"/>
      <w:r/>
      <w:bookmarkStart w:id="89" w:name="_Toc103848535"/>
      <w:r>
        <w:rPr>
          <w:rFonts w:hint="eastAsia" w:ascii="宋体" w:hAnsi="宋体" w:eastAsia="宋体" w:cs="宋体"/>
        </w:rPr>
        <w:t xml:space="preserve">8.现场考察</w:t>
      </w:r>
      <w:bookmarkEnd w:id="84"/>
      <w:r/>
      <w:bookmarkEnd w:id="85"/>
      <w:r/>
      <w:bookmarkEnd w:id="86"/>
      <w:r/>
      <w:bookmarkEnd w:id="87"/>
      <w:r/>
      <w:bookmarkEnd w:id="88"/>
      <w:r/>
      <w:bookmarkEnd w:id="89"/>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规定现场考察的，供应商须按照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8.2供应商不按照</w:t>
      </w:r>
      <w:r>
        <w:rPr>
          <w:rFonts w:hint="eastAsia" w:ascii="宋体" w:hAnsi="宋体" w:eastAsia="宋体" w:cs="宋体"/>
          <w:bCs/>
          <w:szCs w:val="21"/>
        </w:rPr>
        <w:t xml:space="preserve">本须知的规定</w:t>
      </w:r>
      <w:r>
        <w:rPr>
          <w:rFonts w:hint="eastAsia" w:ascii="宋体" w:hAnsi="宋体" w:eastAsia="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8.3除非有特殊要求，招标文件不提供项目所在地的自然环境、气候条件、公用设施等情况，供应商被视为熟悉上述与履行合同有关的一切情况。</w:t>
      </w:r>
      <w:r/>
    </w:p>
    <w:p>
      <w:pPr>
        <w:pStyle w:val="1026"/>
        <w:ind w:left="0" w:right="210" w:firstLine="373"/>
        <w:spacing w:line="360" w:lineRule="auto"/>
        <w:rPr>
          <w:rFonts w:hint="eastAsia" w:ascii="宋体" w:hAnsi="宋体" w:eastAsia="宋体" w:cs="宋体"/>
        </w:rPr>
      </w:pPr>
      <w:r/>
      <w:bookmarkStart w:id="90" w:name="_Toc107246223"/>
      <w:r/>
      <w:bookmarkStart w:id="91" w:name="_Toc29225"/>
      <w:r/>
      <w:bookmarkStart w:id="92" w:name="_Toc102117275"/>
      <w:r>
        <w:rPr>
          <w:rFonts w:hint="eastAsia" w:ascii="宋体" w:hAnsi="宋体" w:eastAsia="宋体" w:cs="宋体"/>
        </w:rPr>
        <w:t xml:space="preserve">9.开标前答疑会</w:t>
      </w:r>
      <w:bookmarkEnd w:id="90"/>
      <w:r/>
      <w:bookmarkEnd w:id="91"/>
      <w:r/>
      <w:bookmarkEnd w:id="9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规定召开开标前答疑会的，采购方按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规定的时间和地点召开开标前答疑会，澄清供应商提出的询问。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9.2供应商应按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规定的时间和形式将提出的询问送达采购方，以便采购方在会议期间澄清，逾期的询问将不被接受。</w:t>
      </w:r>
      <w:r/>
    </w:p>
    <w:p>
      <w:pPr>
        <w:pStyle w:val="1026"/>
        <w:ind w:left="0" w:right="210" w:firstLine="373"/>
        <w:spacing w:line="360" w:lineRule="auto"/>
        <w:rPr>
          <w:rFonts w:hint="eastAsia" w:ascii="宋体" w:hAnsi="宋体" w:eastAsia="宋体" w:cs="宋体"/>
        </w:rPr>
      </w:pPr>
      <w:r/>
      <w:bookmarkStart w:id="93" w:name="_Toc12793"/>
      <w:r/>
      <w:bookmarkStart w:id="94" w:name="_Toc104560847"/>
      <w:r/>
      <w:bookmarkStart w:id="95" w:name="_Toc107246224"/>
      <w:r/>
      <w:bookmarkStart w:id="96" w:name="_Toc100905210"/>
      <w:r/>
      <w:bookmarkStart w:id="97" w:name="_Toc103848536"/>
      <w:r/>
      <w:bookmarkStart w:id="98" w:name="_Toc96347869"/>
      <w:r>
        <w:rPr>
          <w:rFonts w:hint="eastAsia" w:ascii="宋体" w:hAnsi="宋体" w:eastAsia="宋体" w:cs="宋体"/>
          <w:szCs w:val="21"/>
        </w:rPr>
        <w:t xml:space="preserve">10.联合体投标</w:t>
      </w:r>
      <w:bookmarkEnd w:id="93"/>
      <w:r/>
      <w:bookmarkEnd w:id="94"/>
      <w:r/>
      <w:bookmarkEnd w:id="95"/>
      <w:r/>
      <w:bookmarkEnd w:id="96"/>
      <w:r/>
      <w:bookmarkEnd w:id="9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10.1本项目是否接受联合体形式参与详见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10.2供应商为联合体形式的，应遵守以下规定：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（2）联合体各方均应当符合《政府采购法》第二十二条第一款规定的条件；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pStyle w:val="1026"/>
        <w:ind w:left="0" w:right="210" w:firstLine="373"/>
        <w:spacing w:line="360" w:lineRule="auto"/>
        <w:rPr>
          <w:rFonts w:hint="eastAsia" w:ascii="宋体" w:hAnsi="宋体" w:eastAsia="宋体" w:cs="宋体"/>
        </w:rPr>
      </w:pPr>
      <w:r/>
      <w:bookmarkStart w:id="99" w:name="_Toc107246225"/>
      <w:r/>
      <w:bookmarkStart w:id="100" w:name="_Toc100905213"/>
      <w:r/>
      <w:bookmarkStart w:id="101" w:name="_Toc104560848"/>
      <w:r/>
      <w:bookmarkStart w:id="102" w:name="_Toc3493"/>
      <w:r/>
      <w:bookmarkStart w:id="103" w:name="_Toc103848537"/>
      <w:r/>
      <w:bookmarkStart w:id="104" w:name="_Toc100905211"/>
      <w:r>
        <w:rPr>
          <w:rFonts w:hint="eastAsia" w:ascii="宋体" w:hAnsi="宋体" w:eastAsia="宋体" w:cs="宋体"/>
        </w:rPr>
        <w:t xml:space="preserve">11.分包</w:t>
      </w:r>
      <w:bookmarkEnd w:id="99"/>
      <w:r/>
      <w:bookmarkEnd w:id="100"/>
      <w:r/>
      <w:bookmarkEnd w:id="101"/>
      <w:r/>
      <w:bookmarkEnd w:id="102"/>
      <w:r/>
      <w:bookmarkEnd w:id="10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26"/>
        <w:ind w:left="0" w:right="210" w:firstLine="373"/>
        <w:spacing w:line="360" w:lineRule="auto"/>
        <w:rPr>
          <w:rFonts w:hint="eastAsia" w:ascii="宋体" w:hAnsi="宋体" w:eastAsia="宋体" w:cs="宋体"/>
        </w:rPr>
      </w:pPr>
      <w:r/>
      <w:bookmarkStart w:id="105" w:name="_Toc104560849"/>
      <w:r/>
      <w:bookmarkStart w:id="106" w:name="_Toc7163"/>
      <w:r/>
      <w:bookmarkStart w:id="107" w:name="_Toc107246226"/>
      <w:r>
        <w:rPr>
          <w:rFonts w:hint="eastAsia" w:ascii="宋体" w:hAnsi="宋体" w:eastAsia="宋体" w:cs="宋体"/>
        </w:rPr>
        <w:t xml:space="preserve">12.样品</w:t>
      </w:r>
      <w:bookmarkEnd w:id="105"/>
      <w:r/>
      <w:bookmarkEnd w:id="106"/>
      <w:r/>
      <w:bookmarkEnd w:id="10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12.1本项目是否要求投标人提供样品，以及样品制作的标准和要求、是否需要随样品提交相关检测报告、样品的提交要求等详见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12.2样品的评审方法以及评审标准等内容见第五章《评标方法与评标标准》。</w:t>
      </w:r>
      <w:bookmarkEnd w:id="98"/>
      <w:r/>
      <w:bookmarkEnd w:id="104"/>
      <w:r/>
      <w:r/>
    </w:p>
    <w:p>
      <w:pPr>
        <w:pStyle w:val="1026"/>
        <w:ind w:left="0" w:right="210" w:firstLine="373"/>
        <w:spacing w:line="360" w:lineRule="auto"/>
        <w:rPr>
          <w:rFonts w:hint="eastAsia" w:ascii="宋体" w:hAnsi="宋体" w:eastAsia="宋体" w:cs="宋体"/>
        </w:rPr>
      </w:pPr>
      <w:r/>
      <w:bookmarkStart w:id="108" w:name="_Toc29917"/>
      <w:r/>
      <w:bookmarkStart w:id="109" w:name="_Toc100905214"/>
      <w:r/>
      <w:bookmarkStart w:id="110" w:name="_Toc103848538"/>
      <w:r/>
      <w:bookmarkStart w:id="111" w:name="_Toc107246227"/>
      <w:r/>
      <w:bookmarkStart w:id="112" w:name="_Toc104560850"/>
      <w:r>
        <w:rPr>
          <w:rFonts w:hint="eastAsia" w:ascii="宋体" w:hAnsi="宋体" w:eastAsia="宋体" w:cs="宋体"/>
        </w:rPr>
        <w:t xml:space="preserve">13.采购进口产品</w:t>
      </w:r>
      <w:bookmarkEnd w:id="108"/>
      <w:r/>
      <w:bookmarkEnd w:id="109"/>
      <w:r/>
      <w:bookmarkEnd w:id="110"/>
      <w:r/>
      <w:bookmarkEnd w:id="111"/>
      <w:r/>
      <w:bookmarkEnd w:id="11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13.1本项目是否采购进口产品及相关要求见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1026"/>
        <w:ind w:left="0" w:right="210" w:firstLine="373"/>
        <w:spacing w:line="360" w:lineRule="auto"/>
        <w:rPr>
          <w:rFonts w:hint="eastAsia" w:ascii="宋体" w:hAnsi="宋体" w:eastAsia="宋体" w:cs="宋体"/>
        </w:rPr>
      </w:pPr>
      <w:r/>
      <w:bookmarkStart w:id="113" w:name="_Toc104560851"/>
      <w:r/>
      <w:bookmarkStart w:id="114" w:name="_Toc107246228"/>
      <w:r/>
      <w:bookmarkStart w:id="115" w:name="_Toc26299"/>
      <w:r>
        <w:rPr>
          <w:rFonts w:hint="eastAsia" w:ascii="宋体" w:hAnsi="宋体" w:eastAsia="宋体" w:cs="宋体"/>
        </w:rPr>
        <w:t xml:space="preserve">14.采购项目预算及最高限价</w:t>
      </w:r>
      <w:bookmarkEnd w:id="113"/>
      <w:r/>
      <w:bookmarkEnd w:id="114"/>
      <w:r/>
      <w:bookmarkEnd w:id="11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14.1本项目采购资金已列入政府采购预算，预算金额见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14.2本项目最高限价要求见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1026"/>
        <w:ind w:left="0" w:right="210" w:firstLine="373"/>
        <w:spacing w:line="360" w:lineRule="auto"/>
        <w:rPr>
          <w:rFonts w:hint="eastAsia" w:ascii="宋体" w:hAnsi="宋体" w:eastAsia="宋体" w:cs="宋体"/>
        </w:rPr>
      </w:pPr>
      <w:r/>
      <w:bookmarkStart w:id="116" w:name="_Toc104560852"/>
      <w:r/>
      <w:bookmarkStart w:id="117" w:name="_Toc17159"/>
      <w:r/>
      <w:bookmarkStart w:id="118" w:name="_Toc107246229"/>
      <w:r>
        <w:rPr>
          <w:rFonts w:hint="eastAsia" w:ascii="宋体" w:hAnsi="宋体" w:eastAsia="宋体" w:cs="宋体"/>
        </w:rPr>
        <w:t xml:space="preserve">15.</w:t>
      </w:r>
      <w:r>
        <w:rPr>
          <w:rFonts w:hint="eastAsia" w:ascii="宋体" w:hAnsi="宋体" w:eastAsia="宋体" w:cs="宋体"/>
          <w:bCs w:val="0"/>
          <w:szCs w:val="21"/>
        </w:rPr>
        <w:t xml:space="preserve"> 供应商</w:t>
      </w:r>
      <w:r>
        <w:rPr>
          <w:rFonts w:hint="eastAsia" w:ascii="宋体" w:hAnsi="宋体" w:eastAsia="宋体" w:cs="宋体"/>
        </w:rPr>
        <w:t xml:space="preserve">资格条件</w:t>
      </w:r>
      <w:bookmarkEnd w:id="116"/>
      <w:r/>
      <w:bookmarkEnd w:id="117"/>
      <w:r/>
      <w:bookmarkEnd w:id="118"/>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bCs/>
          <w:szCs w:val="21"/>
        </w:rPr>
        <w:t xml:space="preserve">供应商</w:t>
      </w:r>
      <w:r>
        <w:rPr>
          <w:rFonts w:hint="eastAsia" w:ascii="宋体" w:hAnsi="宋体" w:eastAsia="宋体" w:cs="宋体"/>
          <w:szCs w:val="21"/>
        </w:rPr>
        <w:t xml:space="preserve">资格条件见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1026"/>
        <w:ind w:left="0" w:right="210" w:firstLine="373"/>
        <w:spacing w:line="360" w:lineRule="auto"/>
        <w:rPr>
          <w:rFonts w:hint="eastAsia" w:ascii="宋体" w:hAnsi="宋体" w:eastAsia="宋体" w:cs="宋体"/>
        </w:rPr>
      </w:pPr>
      <w:r/>
      <w:bookmarkStart w:id="119" w:name="_Toc25118"/>
      <w:r/>
      <w:bookmarkStart w:id="120" w:name="_Toc107246230"/>
      <w:r>
        <w:rPr>
          <w:rFonts w:hint="eastAsia" w:ascii="宋体" w:hAnsi="宋体" w:eastAsia="宋体" w:cs="宋体"/>
        </w:rPr>
        <w:t xml:space="preserve">二．招标文件</w:t>
      </w:r>
      <w:bookmarkEnd w:id="71"/>
      <w:r/>
      <w:bookmarkEnd w:id="119"/>
      <w:r/>
      <w:bookmarkEnd w:id="120"/>
      <w:r/>
      <w:r/>
    </w:p>
    <w:p>
      <w:pPr>
        <w:pStyle w:val="1026"/>
        <w:ind w:left="0" w:right="210" w:firstLine="373"/>
        <w:spacing w:line="360" w:lineRule="auto"/>
        <w:rPr>
          <w:rFonts w:hint="eastAsia" w:ascii="宋体" w:hAnsi="宋体" w:eastAsia="宋体" w:cs="宋体"/>
        </w:rPr>
      </w:pPr>
      <w:r/>
      <w:bookmarkStart w:id="121" w:name="_Toc100905217"/>
      <w:r/>
      <w:bookmarkStart w:id="122" w:name="_Toc19414"/>
      <w:r/>
      <w:bookmarkStart w:id="123" w:name="_Toc103848540"/>
      <w:r/>
      <w:bookmarkStart w:id="124" w:name="_Toc107246231"/>
      <w:r/>
      <w:bookmarkStart w:id="125" w:name="_Toc104560854"/>
      <w:r/>
      <w:bookmarkStart w:id="126" w:name="_Toc96347871"/>
      <w:r>
        <w:rPr>
          <w:rFonts w:hint="eastAsia" w:ascii="宋体" w:hAnsi="宋体" w:eastAsia="宋体" w:cs="宋体"/>
        </w:rPr>
        <w:t xml:space="preserve">16.招标文件的构成</w:t>
      </w:r>
      <w:bookmarkEnd w:id="121"/>
      <w:r/>
      <w:bookmarkEnd w:id="122"/>
      <w:r/>
      <w:bookmarkEnd w:id="123"/>
      <w:r/>
      <w:bookmarkEnd w:id="124"/>
      <w:r/>
      <w:bookmarkEnd w:id="125"/>
      <w:r/>
      <w:bookmarkEnd w:id="12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16.1招标文件各章节的内容如下：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第一章：招标公告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第二章：投标人须知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第三章：政府采购合同条款及格式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第四章：</w:t>
      </w:r>
      <w:r>
        <w:rPr>
          <w:rFonts w:hint="eastAsia" w:ascii="宋体" w:hAnsi="宋体" w:cs="宋体"/>
          <w:szCs w:val="21"/>
          <w:lang w:val="en-US" w:eastAsia="zh-CN"/>
        </w:rPr>
        <w:t xml:space="preserve">项目</w:t>
      </w:r>
      <w:r>
        <w:rPr>
          <w:rFonts w:hint="eastAsia" w:ascii="宋体" w:hAnsi="宋体" w:eastAsia="宋体" w:cs="宋体"/>
          <w:szCs w:val="21"/>
        </w:rPr>
        <w:t xml:space="preserve">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第五章：评标方法与评标标准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第六章：</w:t>
      </w:r>
      <w:bookmarkStart w:id="127" w:name="_Toc96347872"/>
      <w:r>
        <w:rPr>
          <w:rFonts w:hint="eastAsia" w:ascii="宋体" w:hAnsi="宋体" w:eastAsia="宋体" w:cs="宋体"/>
          <w:szCs w:val="21"/>
        </w:rPr>
        <w:t xml:space="preserve">投标文件格式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对招标文件所作的澄清、修改，构成招标文件的组成部分。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如标书制作工具中格式和内容与“南京公共采购信息网</w:t>
      </w:r>
      <w:r>
        <w:rPr>
          <w:rFonts w:hint="eastAsia" w:ascii="宋体" w:hAnsi="宋体" w:eastAsia="宋体" w:cs="宋体"/>
          <w:szCs w:val="21"/>
        </w:rPr>
        <w:t xml:space="preserve">/</w:t>
      </w:r>
      <w:r>
        <w:rPr>
          <w:rFonts w:hint="eastAsia" w:ascii="宋体" w:hAnsi="宋体" w:eastAsia="宋体" w:cs="宋体"/>
          <w:szCs w:val="21"/>
          <w:lang w:val="zh-CN"/>
        </w:rPr>
        <w:t xml:space="preserve">江苏政府采购网</w:t>
      </w:r>
      <w:r>
        <w:rPr>
          <w:rFonts w:hint="eastAsia" w:ascii="宋体" w:hAnsi="宋体" w:eastAsia="宋体" w:cs="宋体"/>
          <w:szCs w:val="21"/>
        </w:rPr>
        <w:t xml:space="preserve">/</w:t>
      </w:r>
      <w:r>
        <w:rPr>
          <w:rFonts w:hint="eastAsia" w:ascii="宋体" w:hAnsi="宋体" w:eastAsia="宋体" w:cs="宋体"/>
          <w:szCs w:val="21"/>
          <w:lang w:val="zh-CN"/>
        </w:rPr>
        <w:t xml:space="preserve">中国政府采购网”发布的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文件不一致</w:t>
      </w:r>
      <w:r>
        <w:rPr>
          <w:rFonts w:hint="eastAsia" w:ascii="宋体" w:hAnsi="宋体" w:eastAsia="宋体" w:cs="宋体"/>
          <w:szCs w:val="21"/>
        </w:rPr>
        <w:t xml:space="preserve">的</w:t>
      </w:r>
      <w:r>
        <w:rPr>
          <w:rFonts w:hint="eastAsia" w:ascii="宋体" w:hAnsi="宋体" w:eastAsia="宋体" w:cs="宋体"/>
          <w:szCs w:val="21"/>
          <w:lang w:val="zh-CN"/>
        </w:rPr>
        <w:t xml:space="preserve">，以</w:t>
      </w:r>
      <w:r>
        <w:rPr>
          <w:rFonts w:hint="eastAsia" w:ascii="宋体" w:hAnsi="宋体" w:eastAsia="宋体" w:cs="宋体"/>
          <w:szCs w:val="21"/>
        </w:rPr>
        <w:t xml:space="preserve">上述网站</w:t>
      </w:r>
      <w:r>
        <w:rPr>
          <w:rFonts w:hint="eastAsia" w:ascii="宋体" w:hAnsi="宋体" w:eastAsia="宋体" w:cs="宋体"/>
          <w:szCs w:val="21"/>
          <w:lang w:val="zh-CN"/>
        </w:rPr>
        <w:t xml:space="preserve">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文件为准。</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★招标文件中标注</w:t>
      </w:r>
      <w:r>
        <w:rPr>
          <w:rFonts w:hint="eastAsia" w:ascii="宋体" w:hAnsi="宋体" w:eastAsia="宋体" w:cs="宋体"/>
          <w:bCs/>
          <w:szCs w:val="21"/>
        </w:rPr>
        <w:t xml:space="preserve">“</w:t>
      </w:r>
      <w:r>
        <w:rPr>
          <w:rFonts w:hint="eastAsia" w:ascii="宋体" w:hAnsi="宋体" w:eastAsia="宋体" w:cs="宋体"/>
          <w:b/>
          <w:szCs w:val="21"/>
        </w:rPr>
        <w:t xml:space="preserve">★</w:t>
      </w:r>
      <w:r>
        <w:rPr>
          <w:rFonts w:hint="eastAsia" w:ascii="宋体" w:hAnsi="宋体" w:eastAsia="宋体" w:cs="宋体"/>
          <w:bCs/>
          <w:szCs w:val="21"/>
        </w:rPr>
        <w:t xml:space="preserve">”</w:t>
      </w:r>
      <w:r>
        <w:rPr>
          <w:rFonts w:hint="eastAsia" w:ascii="宋体" w:hAnsi="宋体" w:eastAsia="宋体" w:cs="宋体"/>
          <w:b/>
          <w:szCs w:val="21"/>
        </w:rPr>
        <w:t xml:space="preserve">符号的条款为实质性要求条款（即重要条款）。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16.3</w:t>
      </w:r>
      <w:r>
        <w:rPr>
          <w:rFonts w:hint="eastAsia" w:ascii="宋体" w:hAnsi="宋体" w:eastAsia="宋体" w:cs="宋体"/>
          <w:szCs w:val="21"/>
        </w:rPr>
        <w:t xml:space="preserve">供应商</w:t>
      </w:r>
      <w:r>
        <w:rPr>
          <w:rFonts w:hint="eastAsia" w:ascii="宋体" w:hAnsi="宋体" w:eastAsia="宋体" w:cs="宋体"/>
          <w:bCs/>
          <w:szCs w:val="21"/>
        </w:rPr>
        <w:t xml:space="preserve">按照招标文件要求编制投标文件。任何对招标文件的忽略或误解，不能作为投标文件存在缺陷或瑕疵的理由，其风险由</w:t>
      </w:r>
      <w:r>
        <w:rPr>
          <w:rFonts w:hint="eastAsia" w:ascii="宋体" w:hAnsi="宋体" w:eastAsia="宋体" w:cs="宋体"/>
          <w:szCs w:val="21"/>
        </w:rPr>
        <w:t xml:space="preserve">供应商</w:t>
      </w:r>
      <w:r>
        <w:rPr>
          <w:rFonts w:hint="eastAsia" w:ascii="宋体" w:hAnsi="宋体" w:eastAsia="宋体" w:cs="宋体"/>
          <w:bCs/>
          <w:szCs w:val="21"/>
        </w:rPr>
        <w:t xml:space="preserve">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16.4本项目招标文件如包括多个分包，则除非特别说明，招标文件所列各项要求均为各分包通用要求。</w:t>
      </w:r>
      <w:bookmarkEnd w:id="127"/>
      <w:r/>
      <w:r/>
    </w:p>
    <w:p>
      <w:pPr>
        <w:pStyle w:val="1026"/>
        <w:ind w:left="0" w:right="210" w:firstLine="373"/>
        <w:spacing w:line="360" w:lineRule="auto"/>
        <w:rPr>
          <w:rFonts w:hint="eastAsia" w:ascii="宋体" w:hAnsi="宋体" w:eastAsia="宋体" w:cs="宋体"/>
        </w:rPr>
      </w:pPr>
      <w:r/>
      <w:bookmarkStart w:id="128" w:name="_Toc107246232"/>
      <w:r/>
      <w:bookmarkStart w:id="129" w:name="_Toc100905218"/>
      <w:r/>
      <w:bookmarkStart w:id="130" w:name="_Toc20713"/>
      <w:r/>
      <w:bookmarkStart w:id="131" w:name="_Toc103848541"/>
      <w:r/>
      <w:bookmarkStart w:id="132" w:name="_Toc96347873"/>
      <w:r/>
      <w:bookmarkStart w:id="133" w:name="_Toc104560855"/>
      <w:r>
        <w:rPr>
          <w:rFonts w:hint="eastAsia" w:ascii="宋体" w:hAnsi="宋体" w:eastAsia="宋体" w:cs="宋体"/>
        </w:rPr>
        <w:t xml:space="preserve">17.招标文件的澄清或者修改</w:t>
      </w:r>
      <w:bookmarkEnd w:id="128"/>
      <w:r/>
      <w:bookmarkEnd w:id="129"/>
      <w:r/>
      <w:bookmarkEnd w:id="130"/>
      <w:r/>
      <w:bookmarkEnd w:id="131"/>
      <w:r/>
      <w:bookmarkEnd w:id="132"/>
      <w:r/>
      <w:bookmarkEnd w:id="133"/>
      <w:r/>
      <w:r/>
    </w:p>
    <w:p>
      <w:pPr>
        <w:ind w:firstLine="420"/>
        <w:spacing w:line="360" w:lineRule="auto"/>
        <w:rPr>
          <w:rFonts w:hint="eastAsia" w:ascii="宋体" w:hAnsi="宋体" w:eastAsia="宋体" w:cs="宋体"/>
          <w:szCs w:val="21"/>
        </w:rPr>
      </w:pPr>
      <w:r/>
      <w:bookmarkStart w:id="134" w:name="_Toc100905219"/>
      <w:r>
        <w:rPr>
          <w:rFonts w:hint="eastAsia" w:ascii="宋体" w:hAnsi="宋体" w:eastAsia="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4"/>
      <w:r/>
      <w:r/>
    </w:p>
    <w:p>
      <w:pPr>
        <w:pStyle w:val="1026"/>
        <w:ind w:left="0" w:right="210" w:firstLine="373"/>
        <w:spacing w:line="360" w:lineRule="auto"/>
        <w:rPr>
          <w:rFonts w:hint="eastAsia" w:ascii="宋体" w:hAnsi="宋体" w:eastAsia="宋体" w:cs="宋体"/>
        </w:rPr>
      </w:pPr>
      <w:r/>
      <w:bookmarkStart w:id="135" w:name="_Toc107246233"/>
      <w:r/>
      <w:bookmarkStart w:id="136" w:name="_Toc104560856"/>
      <w:r/>
      <w:bookmarkStart w:id="137" w:name="_Toc30060"/>
      <w:r/>
      <w:bookmarkStart w:id="138" w:name="_Toc91836558"/>
      <w:r/>
      <w:bookmarkStart w:id="139" w:name="_Toc80264708"/>
      <w:r>
        <w:rPr>
          <w:rFonts w:hint="eastAsia" w:ascii="宋体" w:hAnsi="宋体" w:eastAsia="宋体" w:cs="宋体"/>
        </w:rPr>
        <w:t xml:space="preserve">三．投标文件</w:t>
      </w:r>
      <w:bookmarkEnd w:id="135"/>
      <w:r/>
      <w:bookmarkEnd w:id="136"/>
      <w:r/>
      <w:bookmarkEnd w:id="137"/>
      <w:r/>
      <w:bookmarkEnd w:id="138"/>
      <w:r/>
      <w:r/>
    </w:p>
    <w:p>
      <w:pPr>
        <w:pStyle w:val="1026"/>
        <w:ind w:left="0" w:right="210" w:firstLine="373"/>
        <w:spacing w:line="360" w:lineRule="auto"/>
        <w:rPr>
          <w:rFonts w:hint="eastAsia" w:ascii="宋体" w:hAnsi="宋体" w:eastAsia="宋体" w:cs="宋体"/>
        </w:rPr>
      </w:pPr>
      <w:r/>
      <w:bookmarkStart w:id="140" w:name="_Toc107246234"/>
      <w:r/>
      <w:bookmarkStart w:id="141" w:name="_Toc103848543"/>
      <w:r/>
      <w:bookmarkStart w:id="142" w:name="_Toc104560857"/>
      <w:r/>
      <w:bookmarkStart w:id="143" w:name="_Toc15709"/>
      <w:r/>
      <w:bookmarkStart w:id="144" w:name="_Toc100905221"/>
      <w:r/>
      <w:bookmarkStart w:id="145" w:name="_Toc96347875"/>
      <w:r>
        <w:rPr>
          <w:rFonts w:hint="eastAsia" w:ascii="宋体" w:hAnsi="宋体" w:eastAsia="宋体" w:cs="宋体"/>
        </w:rPr>
        <w:t xml:space="preserve">18.投标文件的组成</w:t>
      </w:r>
      <w:bookmarkEnd w:id="140"/>
      <w:r/>
      <w:bookmarkEnd w:id="141"/>
      <w:r/>
      <w:bookmarkEnd w:id="142"/>
      <w:r/>
      <w:bookmarkEnd w:id="14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18.2</w:t>
      </w:r>
      <w:r>
        <w:rPr>
          <w:rFonts w:hint="eastAsia" w:ascii="宋体" w:hAnsi="宋体" w:eastAsia="宋体" w:cs="宋体"/>
          <w:b/>
          <w:sz w:val="22"/>
          <w:szCs w:val="22"/>
        </w:rPr>
        <w:t xml:space="preserve">投标文件的价格及商务部分，包括但不限于下列文件：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（2）法定代表人（单位负责人）身份证明，格式见附件。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（3-1）法定代表人（单位负责人）授权委托书（适用于法人/非法人），格式见附件。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（3-2）授权委托书（适用于自然人），格式见附件。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（5）分项报价表，格式见附件。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（6）商务条款偏离表，格式见附件。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（7）投标人具备投标资格的证明文件（</w:t>
      </w:r>
      <w:r>
        <w:rPr>
          <w:rFonts w:hint="eastAsia" w:ascii="宋体" w:hAnsi="宋体" w:eastAsia="宋体" w:cs="宋体"/>
        </w:rPr>
        <w:t xml:space="preserve">如为南京市政府采购项目，则投标人应按照公告要求提供</w:t>
      </w:r>
      <w:r>
        <w:rPr>
          <w:rFonts w:hint="eastAsia" w:ascii="宋体" w:hAnsi="宋体" w:eastAsia="宋体" w:cs="宋体"/>
          <w:szCs w:val="21"/>
        </w:rPr>
        <w:t xml:space="preserve">）：</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（7-2）财务报表，格式见附件。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（8）投标保证金（如需），格式见附件。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（9）联合体协议书（如需），格式见附件。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（10）分包意向协议（如需），格式见附件。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（11）公章授权书（如需），格式见附件。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（12）投标人参加远程异地开标仪式须知（如需），格式见附件。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18.3</w:t>
      </w:r>
      <w:r>
        <w:rPr>
          <w:rFonts w:hint="eastAsia" w:ascii="宋体" w:hAnsi="宋体" w:eastAsia="宋体" w:cs="宋体"/>
          <w:b/>
          <w:sz w:val="22"/>
          <w:szCs w:val="22"/>
          <w:lang w:val="zh-CN"/>
        </w:rPr>
        <w:t xml:space="preserve">投标文件的技术部分，包括但不限于下列文件：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（1）技术方案或服务方案。</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（2）技术条款偏离表，格式见附件。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（5）投标标的物符合招标文件规定的证明文件（如需）。</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18.4投标文件的其他部分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18.4.1投标文件的其他部分由投标人根据编制投标文件需要提供的其他相关文件组成。</w:t>
      </w:r>
      <w:r/>
    </w:p>
    <w:p>
      <w:pPr>
        <w:pStyle w:val="1026"/>
        <w:ind w:left="0" w:right="210" w:firstLine="373"/>
        <w:spacing w:line="360" w:lineRule="auto"/>
        <w:rPr>
          <w:rFonts w:hint="eastAsia" w:ascii="宋体" w:hAnsi="宋体" w:eastAsia="宋体" w:cs="宋体"/>
          <w:szCs w:val="21"/>
        </w:rPr>
      </w:pPr>
      <w:r/>
      <w:bookmarkStart w:id="146" w:name="_Toc107246235"/>
      <w:r/>
      <w:bookmarkStart w:id="147" w:name="_Toc4874"/>
      <w:r/>
      <w:bookmarkStart w:id="148" w:name="_Toc104560858"/>
      <w:r>
        <w:rPr>
          <w:rFonts w:hint="eastAsia" w:ascii="宋体" w:hAnsi="宋体" w:eastAsia="宋体" w:cs="宋体"/>
        </w:rPr>
        <w:t xml:space="preserve">19.投标文件编制的原则</w:t>
      </w:r>
      <w:bookmarkEnd w:id="146"/>
      <w:r/>
      <w:bookmarkEnd w:id="147"/>
      <w:r/>
      <w:bookmarkEnd w:id="148"/>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19.1</w:t>
      </w:r>
      <w:r>
        <w:rPr>
          <w:rFonts w:hint="eastAsia" w:ascii="宋体" w:hAnsi="宋体" w:eastAsia="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19.2</w:t>
      </w:r>
      <w:r>
        <w:rPr>
          <w:rFonts w:hint="eastAsia" w:ascii="宋体" w:hAnsi="宋体" w:eastAsia="宋体" w:cs="宋体"/>
          <w:szCs w:val="21"/>
        </w:rPr>
        <w:t xml:space="preserve">投标人必须保证投标文件所提供的全部资料真实可靠。</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19.3</w:t>
      </w:r>
      <w:r>
        <w:rPr>
          <w:rFonts w:hint="eastAsia" w:ascii="宋体" w:hAnsi="宋体" w:eastAsia="宋体" w:cs="宋体"/>
          <w:szCs w:val="21"/>
        </w:rPr>
        <w:t xml:space="preserve">投标文件须对招标文件中的内容做出实质性和完整的响应。</w:t>
      </w:r>
      <w:r/>
    </w:p>
    <w:p>
      <w:pPr>
        <w:pStyle w:val="1026"/>
        <w:ind w:left="0" w:right="210" w:firstLine="373"/>
        <w:spacing w:line="360" w:lineRule="auto"/>
        <w:rPr>
          <w:rFonts w:hint="eastAsia" w:ascii="宋体" w:hAnsi="宋体" w:eastAsia="宋体" w:cs="宋体"/>
          <w:szCs w:val="21"/>
        </w:rPr>
      </w:pPr>
      <w:r/>
      <w:bookmarkStart w:id="149" w:name="_Toc107246236"/>
      <w:r/>
      <w:bookmarkStart w:id="150" w:name="_Toc24500"/>
      <w:r>
        <w:rPr>
          <w:rFonts w:hint="eastAsia" w:ascii="宋体" w:hAnsi="宋体" w:eastAsia="宋体" w:cs="宋体"/>
        </w:rPr>
        <w:t xml:space="preserve">20.投标报价</w:t>
      </w:r>
      <w:bookmarkEnd w:id="149"/>
      <w:r/>
      <w:bookmarkEnd w:id="150"/>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20.1</w:t>
      </w:r>
      <w:r>
        <w:rPr>
          <w:rFonts w:hint="eastAsia" w:ascii="宋体" w:hAnsi="宋体" w:eastAsia="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20.2</w:t>
      </w:r>
      <w:r>
        <w:rPr>
          <w:rFonts w:hint="eastAsia" w:ascii="宋体" w:hAnsi="宋体" w:eastAsia="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20.3</w:t>
      </w:r>
      <w:r>
        <w:rPr>
          <w:rFonts w:hint="eastAsia" w:ascii="宋体" w:hAnsi="宋体" w:eastAsia="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20.4投标人要按开标一览表、分项报价表的内容填写投标报价及其它事项。</w:t>
      </w:r>
      <w:r>
        <w:rPr>
          <w:rFonts w:hint="eastAsia" w:ascii="宋体" w:hAnsi="宋体" w:eastAsia="宋体" w:cs="宋体"/>
          <w:b/>
          <w:szCs w:val="21"/>
        </w:rPr>
        <w:t xml:space="preserve">★开标一览表须加盖公章或电子公章。</w:t>
      </w:r>
      <w:r>
        <w:rPr>
          <w:rFonts w:hint="eastAsia" w:ascii="宋体" w:hAnsi="宋体" w:eastAsia="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20.5</w:t>
      </w:r>
      <w:r>
        <w:rPr>
          <w:rFonts w:hint="eastAsia" w:ascii="宋体" w:hAnsi="宋体" w:eastAsia="宋体" w:cs="宋体"/>
          <w:szCs w:val="21"/>
        </w:rPr>
        <w:t xml:space="preserve">投标报价的其他要求见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bookmarkEnd w:id="144"/>
      <w:r/>
      <w:bookmarkEnd w:id="145"/>
      <w:r/>
      <w:r/>
    </w:p>
    <w:p>
      <w:pPr>
        <w:pStyle w:val="1026"/>
        <w:ind w:left="0" w:right="210" w:firstLine="373"/>
        <w:spacing w:line="360" w:lineRule="auto"/>
        <w:rPr>
          <w:rFonts w:hint="eastAsia" w:ascii="宋体" w:hAnsi="宋体" w:eastAsia="宋体" w:cs="宋体"/>
        </w:rPr>
      </w:pPr>
      <w:r/>
      <w:bookmarkStart w:id="151" w:name="_Toc19990"/>
      <w:r/>
      <w:bookmarkStart w:id="152" w:name="_Toc100905224"/>
      <w:r/>
      <w:bookmarkStart w:id="153" w:name="_Toc104560859"/>
      <w:r/>
      <w:bookmarkStart w:id="154" w:name="_Toc103848545"/>
      <w:r/>
      <w:bookmarkStart w:id="155" w:name="_Toc107246237"/>
      <w:r/>
      <w:bookmarkStart w:id="156" w:name="_Toc96347878"/>
      <w:r/>
      <w:bookmarkStart w:id="157" w:name="_Toc100905223"/>
      <w:r/>
      <w:bookmarkStart w:id="158" w:name="_Toc103848544"/>
      <w:r>
        <w:rPr>
          <w:rFonts w:hint="eastAsia" w:ascii="宋体" w:hAnsi="宋体" w:eastAsia="宋体" w:cs="宋体"/>
        </w:rPr>
        <w:t xml:space="preserve">21.投标有效期</w:t>
      </w:r>
      <w:bookmarkEnd w:id="151"/>
      <w:r/>
      <w:bookmarkEnd w:id="152"/>
      <w:r/>
      <w:bookmarkEnd w:id="153"/>
      <w:r/>
      <w:bookmarkEnd w:id="154"/>
      <w:r/>
      <w:bookmarkEnd w:id="155"/>
      <w:r/>
      <w:r/>
    </w:p>
    <w:p>
      <w:pPr>
        <w:ind w:firstLine="420"/>
        <w:spacing w:line="360" w:lineRule="auto"/>
        <w:rPr>
          <w:rFonts w:hint="eastAsia" w:ascii="宋体" w:hAnsi="宋体" w:eastAsia="宋体" w:cs="宋体"/>
          <w:b/>
          <w:bCs/>
          <w:szCs w:val="21"/>
        </w:rPr>
      </w:pPr>
      <w:r>
        <w:rPr>
          <w:rFonts w:hint="eastAsia" w:ascii="宋体" w:hAnsi="宋体" w:eastAsia="宋体" w:cs="宋体"/>
          <w:bCs/>
          <w:szCs w:val="21"/>
        </w:rPr>
        <w:t xml:space="preserve">21.1投标有效期见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，在此期间投标文件对投标人具有法律约束力，以保证采购人有足够的时间完成评标、定标以及签订合同。投标有效期从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规定的投标截止之日起计算。</w:t>
      </w:r>
      <w:r>
        <w:rPr>
          <w:rFonts w:hint="eastAsia" w:ascii="宋体" w:hAnsi="宋体" w:eastAsia="宋体" w:cs="宋体"/>
          <w:b/>
          <w:szCs w:val="21"/>
        </w:rPr>
        <w:t xml:space="preserve">★</w:t>
      </w:r>
      <w:r>
        <w:rPr>
          <w:rFonts w:hint="eastAsia" w:ascii="宋体" w:hAnsi="宋体" w:eastAsia="宋体" w:cs="宋体"/>
          <w:b/>
          <w:bCs/>
          <w:szCs w:val="21"/>
        </w:rPr>
        <w:t xml:space="preserve">投标有效期不足的，在评标时将其视为无效投标。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26"/>
        <w:ind w:left="0" w:right="210" w:firstLine="373"/>
        <w:spacing w:line="360" w:lineRule="auto"/>
        <w:rPr>
          <w:rFonts w:hint="eastAsia" w:ascii="宋体" w:hAnsi="宋体" w:eastAsia="宋体" w:cs="宋体"/>
        </w:rPr>
      </w:pPr>
      <w:r/>
      <w:bookmarkStart w:id="159" w:name="_Toc107246238"/>
      <w:r/>
      <w:bookmarkStart w:id="160" w:name="_Toc3460"/>
      <w:r/>
      <w:bookmarkStart w:id="161" w:name="_Toc104560860"/>
      <w:r>
        <w:rPr>
          <w:rFonts w:hint="eastAsia" w:ascii="宋体" w:hAnsi="宋体" w:eastAsia="宋体" w:cs="宋体"/>
        </w:rPr>
        <w:t xml:space="preserve">22.投标保证金</w:t>
      </w:r>
      <w:bookmarkEnd w:id="156"/>
      <w:r/>
      <w:bookmarkEnd w:id="157"/>
      <w:r/>
      <w:bookmarkEnd w:id="158"/>
      <w:r/>
      <w:bookmarkEnd w:id="159"/>
      <w:r/>
      <w:bookmarkEnd w:id="160"/>
      <w:r/>
      <w:bookmarkEnd w:id="161"/>
      <w:r/>
      <w:r/>
    </w:p>
    <w:p>
      <w:pPr>
        <w:ind w:firstLine="420"/>
        <w:spacing w:line="360" w:lineRule="auto"/>
        <w:rPr>
          <w:rFonts w:hint="eastAsia" w:ascii="宋体" w:hAnsi="宋体" w:eastAsia="宋体" w:cs="宋体"/>
          <w:bCs/>
          <w:szCs w:val="21"/>
        </w:rPr>
      </w:pPr>
      <w:r/>
      <w:bookmarkStart w:id="162" w:name="_Toc420487862"/>
      <w:r/>
      <w:bookmarkStart w:id="163" w:name="_Toc96347879"/>
      <w:r/>
      <w:bookmarkStart w:id="164" w:name="_Toc420657357"/>
      <w:r/>
      <w:bookmarkStart w:id="165" w:name="_Toc519241651"/>
      <w:r/>
      <w:bookmarkStart w:id="166" w:name="_Toc466452044"/>
      <w:r/>
      <w:bookmarkStart w:id="167" w:name="_Toc68159552"/>
      <w:r>
        <w:rPr>
          <w:rFonts w:hint="eastAsia" w:ascii="宋体" w:hAnsi="宋体" w:eastAsia="宋体" w:cs="宋体"/>
          <w:bCs/>
          <w:szCs w:val="21"/>
        </w:rPr>
        <w:t xml:space="preserve">22.1本项目是否交纳投标保证金见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规定交纳投标保证金的，投标人应以支票、汇票、本票或金融机构、担保机构出具的保函等非现金形式，在</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规定的投标截止时间前，向采购方提交</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规定的投标保证金(数额采用四舍五入，计算至元)。投标保证金有效期应与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规定的投标有效期一致。</w:t>
      </w:r>
      <w:r>
        <w:rPr>
          <w:rFonts w:hint="eastAsia" w:ascii="宋体" w:hAnsi="宋体" w:eastAsia="宋体" w:cs="宋体"/>
          <w:b/>
          <w:szCs w:val="21"/>
        </w:rPr>
        <w:t xml:space="preserve">★投标人未按规定缴纳投标保证金的或</w:t>
      </w:r>
      <w:r>
        <w:rPr>
          <w:rFonts w:hint="eastAsia" w:ascii="宋体" w:hAnsi="宋体" w:eastAsia="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rFonts w:hint="eastAsia" w:ascii="宋体" w:hAnsi="宋体" w:eastAsia="宋体" w:cs="宋体"/>
          <w:szCs w:val="21"/>
        </w:rPr>
      </w:pPr>
      <w:r/>
      <w:bookmarkStart w:id="168" w:name="_Toc103848546"/>
      <w:r/>
      <w:bookmarkStart w:id="169" w:name="_Toc104560861"/>
      <w:r/>
      <w:bookmarkStart w:id="170" w:name="_Toc96347880"/>
      <w:r/>
      <w:bookmarkStart w:id="171" w:name="_Toc100905225"/>
      <w:r>
        <w:rPr>
          <w:rFonts w:hint="eastAsia" w:ascii="宋体" w:hAnsi="宋体" w:eastAsia="宋体" w:cs="宋体"/>
          <w:szCs w:val="21"/>
        </w:rPr>
        <w:t xml:space="preserve">（1）投标人在招标文件规定的投标有效期内撤销其投标文件；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（2）投标人在投标文件中提供虚假材料的；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（3）投标人在本次采购活动中存在恶意串通行为的；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（4）中标人未能按规定交纳采购代理服务费；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（6）招标文件规定的其他可以不予退还投标保证金的情形。</w:t>
      </w:r>
      <w:r/>
    </w:p>
    <w:p>
      <w:pPr>
        <w:pStyle w:val="1026"/>
        <w:ind w:left="0" w:right="210" w:firstLine="373"/>
        <w:spacing w:line="360" w:lineRule="auto"/>
        <w:rPr>
          <w:rFonts w:hint="eastAsia" w:ascii="宋体" w:hAnsi="宋体" w:eastAsia="宋体" w:cs="宋体"/>
        </w:rPr>
      </w:pPr>
      <w:r/>
      <w:bookmarkStart w:id="172" w:name="_Toc107246239"/>
      <w:r/>
      <w:bookmarkStart w:id="173" w:name="_Toc22632"/>
      <w:r>
        <w:rPr>
          <w:rFonts w:hint="eastAsia" w:ascii="宋体" w:hAnsi="宋体" w:eastAsia="宋体" w:cs="宋体"/>
        </w:rPr>
        <w:t xml:space="preserve">23.投标文件的制作和签署</w:t>
      </w:r>
      <w:bookmarkEnd w:id="168"/>
      <w:r/>
      <w:bookmarkEnd w:id="169"/>
      <w:r/>
      <w:bookmarkEnd w:id="170"/>
      <w:r/>
      <w:bookmarkEnd w:id="171"/>
      <w:r/>
      <w:bookmarkEnd w:id="172"/>
      <w:r/>
      <w:bookmarkEnd w:id="173"/>
      <w:r/>
      <w:r/>
    </w:p>
    <w:p>
      <w:pPr>
        <w:ind w:firstLine="420"/>
        <w:spacing w:before="156" w:after="40" w:line="360" w:lineRule="auto"/>
        <w:rPr>
          <w:rFonts w:hint="eastAsia" w:ascii="宋体" w:hAnsi="宋体" w:eastAsia="宋体" w:cs="宋体"/>
          <w:bCs/>
          <w:szCs w:val="21"/>
        </w:rPr>
      </w:pPr>
      <w:r/>
      <w:bookmarkStart w:id="174" w:name="_Toc107246240"/>
      <w:r>
        <w:rPr>
          <w:rFonts w:hint="eastAsia" w:ascii="宋体" w:hAnsi="宋体" w:eastAsia="宋体" w:cs="宋体"/>
          <w:bCs/>
          <w:szCs w:val="21"/>
        </w:rPr>
        <w:t xml:space="preserve">23.1</w:t>
      </w:r>
      <w:r>
        <w:rPr>
          <w:rFonts w:hint="eastAsia" w:ascii="宋体" w:hAnsi="宋体" w:eastAsia="宋体" w:cs="宋体"/>
          <w:szCs w:val="21"/>
        </w:rPr>
        <w:t xml:space="preserve">投标人应当按照《操作手册》规定，在招标公告规定的投标截止时间前制作并上传电子投标文件。</w:t>
      </w:r>
      <w:r>
        <w:rPr>
          <w:rFonts w:hint="eastAsia" w:ascii="宋体" w:hAnsi="宋体" w:eastAsia="宋体" w:cs="宋体"/>
          <w:szCs w:val="21"/>
          <w:lang w:val="zh-CN"/>
        </w:rPr>
        <w:t xml:space="preserve">招标代理机构拒绝接收提交</w:t>
      </w:r>
      <w:r>
        <w:rPr>
          <w:rFonts w:hint="eastAsia" w:ascii="宋体" w:hAnsi="宋体" w:eastAsia="宋体" w:cs="宋体"/>
          <w:szCs w:val="21"/>
        </w:rPr>
        <w:t xml:space="preserve">投标</w:t>
      </w:r>
      <w:r>
        <w:rPr>
          <w:rFonts w:hint="eastAsia" w:ascii="宋体" w:hAnsi="宋体" w:eastAsia="宋体" w:cs="宋体"/>
          <w:szCs w:val="21"/>
          <w:lang w:val="zh-CN"/>
        </w:rPr>
        <w:t xml:space="preserve">文件截止时间后上传的任何电子</w:t>
      </w:r>
      <w:r>
        <w:rPr>
          <w:rFonts w:hint="eastAsia" w:ascii="宋体" w:hAnsi="宋体" w:eastAsia="宋体" w:cs="宋体"/>
          <w:szCs w:val="21"/>
        </w:rPr>
        <w:t xml:space="preserve">投标</w:t>
      </w:r>
      <w:r>
        <w:rPr>
          <w:rFonts w:hint="eastAsia" w:ascii="宋体" w:hAnsi="宋体" w:eastAsia="宋体" w:cs="宋体"/>
          <w:szCs w:val="21"/>
          <w:lang w:val="zh-CN"/>
        </w:rPr>
        <w:t xml:space="preserve">文件。</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23.2</w:t>
      </w:r>
      <w:r>
        <w:rPr>
          <w:rFonts w:hint="eastAsia" w:ascii="宋体" w:hAnsi="宋体" w:eastAsia="宋体" w:cs="宋体"/>
          <w:b/>
          <w:szCs w:val="21"/>
        </w:rPr>
        <w:t xml:space="preserve">★</w:t>
      </w:r>
      <w:r>
        <w:rPr>
          <w:rFonts w:hint="eastAsia" w:ascii="宋体" w:hAnsi="宋体" w:eastAsia="宋体" w:cs="宋体"/>
          <w:b/>
          <w:bCs/>
          <w:szCs w:val="21"/>
        </w:rPr>
        <w:t xml:space="preserve">投标文件应加盖公章并由投标人法定代表人（单位负责人）或其授权代表签字。授权代表须提供法定代表人以书面形式出具的</w:t>
      </w:r>
      <w:r>
        <w:rPr>
          <w:rFonts w:hint="eastAsia" w:ascii="宋体" w:hAnsi="宋体" w:eastAsia="宋体" w:cs="宋体"/>
          <w:bCs/>
          <w:szCs w:val="21"/>
        </w:rPr>
        <w:t xml:space="preserve">“</w:t>
      </w:r>
      <w:r>
        <w:rPr>
          <w:rFonts w:hint="eastAsia" w:ascii="宋体" w:hAnsi="宋体" w:eastAsia="宋体" w:cs="宋体"/>
          <w:b/>
          <w:bCs/>
          <w:szCs w:val="21"/>
        </w:rPr>
        <w:t xml:space="preserve">法定代表人授权书”（由法定代表人签章并加盖企业公章。）授权其负责本项目投标。</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23.4</w:t>
      </w:r>
      <w:r>
        <w:rPr>
          <w:rFonts w:hint="eastAsia" w:ascii="宋体" w:hAnsi="宋体" w:eastAsia="宋体" w:cs="宋体"/>
          <w:b/>
          <w:szCs w:val="21"/>
        </w:rPr>
        <w:t xml:space="preserve">★如投标过程中投标人使用其他形式的印章（如带有“专用章”等字样的印章），须提供“公章授权书”</w:t>
      </w:r>
      <w:r>
        <w:rPr>
          <w:rFonts w:hint="eastAsia" w:ascii="宋体" w:hAnsi="宋体" w:eastAsia="宋体" w:cs="宋体"/>
          <w:b/>
        </w:rPr>
        <w:t xml:space="preserve">（格式见后）</w:t>
      </w:r>
      <w:r>
        <w:rPr>
          <w:rFonts w:hint="eastAsia" w:ascii="宋体" w:hAnsi="宋体" w:eastAsia="宋体" w:cs="宋体"/>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szCs w:val="21"/>
        </w:rPr>
      </w:pPr>
      <w:r>
        <w:rPr>
          <w:rFonts w:hint="eastAsia" w:ascii="宋体" w:hAnsi="宋体" w:eastAsia="宋体" w:cs="宋体"/>
          <w:bCs/>
          <w:szCs w:val="21"/>
        </w:rPr>
        <w:t xml:space="preserve">23.5除投标人对错处做必要修改外，投标文件不得行间插字、涂改或增删。如有修改错漏处，必须由法定代表人或其授权代表签字或盖章方有效。</w:t>
      </w:r>
      <w:r/>
    </w:p>
    <w:p>
      <w:pPr>
        <w:pStyle w:val="1026"/>
        <w:ind w:left="0" w:right="210" w:firstLine="373"/>
        <w:spacing w:line="360" w:lineRule="auto"/>
        <w:rPr>
          <w:rFonts w:hint="eastAsia" w:ascii="宋体" w:hAnsi="宋体" w:eastAsia="宋体" w:cs="宋体"/>
        </w:rPr>
      </w:pPr>
      <w:r/>
      <w:bookmarkStart w:id="175" w:name="_Toc8542"/>
      <w:r>
        <w:rPr>
          <w:rFonts w:hint="eastAsia" w:ascii="宋体" w:hAnsi="宋体" w:eastAsia="宋体" w:cs="宋体"/>
        </w:rPr>
        <w:t xml:space="preserve">四．投标文件的递交</w:t>
      </w:r>
      <w:bookmarkEnd w:id="174"/>
      <w:r/>
      <w:bookmarkEnd w:id="175"/>
      <w:r/>
      <w:r/>
    </w:p>
    <w:p>
      <w:pPr>
        <w:pStyle w:val="1026"/>
        <w:ind w:left="0" w:right="210" w:firstLine="373"/>
        <w:spacing w:line="360" w:lineRule="auto"/>
        <w:rPr>
          <w:rFonts w:hint="eastAsia" w:ascii="宋体" w:hAnsi="宋体" w:eastAsia="宋体" w:cs="宋体"/>
          <w:szCs w:val="21"/>
        </w:rPr>
      </w:pPr>
      <w:r/>
      <w:bookmarkStart w:id="176" w:name="_Toc100905226"/>
      <w:r/>
      <w:bookmarkStart w:id="177" w:name="_Toc104560863"/>
      <w:r/>
      <w:bookmarkStart w:id="178" w:name="_Toc96347881"/>
      <w:r/>
      <w:bookmarkStart w:id="179" w:name="_Toc103848548"/>
      <w:r/>
      <w:bookmarkStart w:id="180" w:name="_Toc107246241"/>
      <w:r/>
      <w:bookmarkStart w:id="181" w:name="_Toc14857"/>
      <w:r>
        <w:rPr>
          <w:rFonts w:hint="eastAsia" w:ascii="宋体" w:hAnsi="宋体" w:eastAsia="宋体" w:cs="宋体"/>
        </w:rPr>
        <w:t xml:space="preserve">24.</w:t>
      </w:r>
      <w:bookmarkEnd w:id="176"/>
      <w:r/>
      <w:bookmarkEnd w:id="177"/>
      <w:r/>
      <w:bookmarkEnd w:id="178"/>
      <w:r/>
      <w:bookmarkEnd w:id="179"/>
      <w:r/>
      <w:bookmarkEnd w:id="180"/>
      <w:r>
        <w:rPr>
          <w:rFonts w:hint="eastAsia" w:ascii="宋体" w:hAnsi="宋体" w:eastAsia="宋体" w:cs="宋体"/>
          <w:bCs w:val="0"/>
          <w:szCs w:val="21"/>
        </w:rPr>
        <w:t xml:space="preserve">投标文件的递交</w:t>
      </w:r>
      <w:bookmarkEnd w:id="181"/>
      <w:r/>
      <w:bookmarkStart w:id="182" w:name="_Toc19963"/>
      <w:r/>
      <w:bookmarkStart w:id="183" w:name="_Toc48151397"/>
      <w:r/>
      <w:bookmarkStart w:id="184" w:name="_Toc100905227"/>
      <w:r/>
      <w:bookmarkStart w:id="185" w:name="_Toc46960670"/>
      <w:r/>
      <w:bookmarkStart w:id="186" w:name="_Toc40202948"/>
      <w:r/>
      <w:bookmarkStart w:id="187" w:name="_Toc46939510"/>
      <w:r/>
      <w:bookmarkStart w:id="188" w:name="_Toc469850063"/>
      <w:r/>
      <w:bookmarkStart w:id="189" w:name="_Toc11952"/>
      <w:r/>
      <w:bookmarkStart w:id="190" w:name="_Toc91399404"/>
      <w:r/>
      <w:bookmarkStart w:id="191" w:name="_Toc5042"/>
      <w:r/>
      <w:bookmarkStart w:id="192" w:name="_Toc50528805"/>
      <w:r/>
      <w:bookmarkStart w:id="193" w:name="_Toc11464"/>
      <w:r/>
      <w:bookmarkStart w:id="194" w:name="_Toc46219699"/>
      <w:r/>
      <w:bookmarkStart w:id="195" w:name="_Toc97561941"/>
      <w:r/>
      <w:bookmarkStart w:id="196" w:name="_Toc38931614"/>
      <w:r/>
      <w:bookmarkStart w:id="197" w:name="_Toc89586904"/>
      <w:r/>
      <w:bookmarkStart w:id="198" w:name="_Toc103848549"/>
      <w:r/>
      <w:bookmarkStart w:id="199" w:name="_Toc38931800"/>
      <w:r/>
      <w:bookmarkStart w:id="200" w:name="_Toc96347882"/>
      <w:r/>
      <w:bookmarkStart w:id="201" w:name="_Toc38933357"/>
      <w:r/>
      <w:bookmarkStart w:id="202" w:name="_Toc4536"/>
      <w:r/>
      <w:bookmarkStart w:id="203" w:name="_Toc51928343"/>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投标人应当按照《操作手册》规定，在招标公告规定的投标截止时间前制作并上传电子投标文件。</w:t>
      </w:r>
      <w:r>
        <w:rPr>
          <w:rFonts w:hint="eastAsia" w:ascii="宋体" w:hAnsi="宋体" w:eastAsia="宋体" w:cs="宋体"/>
          <w:bCs/>
          <w:szCs w:val="21"/>
          <w:lang w:val="zh-CN"/>
        </w:rPr>
        <w:t xml:space="preserve">招标代理机构拒绝接收提交</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文件截止时间后上传的任何电子</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w:t>
      </w:r>
      <w:r/>
    </w:p>
    <w:p>
      <w:pPr>
        <w:pStyle w:val="1026"/>
        <w:ind w:left="0" w:right="210" w:firstLine="373"/>
        <w:spacing w:line="360" w:lineRule="auto"/>
        <w:rPr>
          <w:rFonts w:hint="eastAsia" w:ascii="宋体" w:hAnsi="宋体" w:eastAsia="宋体" w:cs="宋体"/>
        </w:rPr>
      </w:pPr>
      <w:r/>
      <w:bookmarkStart w:id="204" w:name="_Toc104560864"/>
      <w:r/>
      <w:bookmarkStart w:id="205" w:name="_Toc107246242"/>
      <w:r/>
      <w:bookmarkStart w:id="206" w:name="_Toc1045"/>
      <w:r>
        <w:rPr>
          <w:rFonts w:hint="eastAsia" w:ascii="宋体" w:hAnsi="宋体" w:eastAsia="宋体" w:cs="宋体"/>
        </w:rP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eastAsia="宋体" w:cs="宋体"/>
        </w:rPr>
        <w:t xml:space="preserve">投标文件解密</w:t>
      </w:r>
      <w:bookmarkEnd w:id="206"/>
      <w:r/>
      <w:r/>
    </w:p>
    <w:p>
      <w:pPr>
        <w:ind w:firstLine="420"/>
        <w:spacing w:line="360" w:lineRule="auto"/>
        <w:rPr>
          <w:rFonts w:hint="eastAsia" w:ascii="宋体" w:hAnsi="宋体" w:eastAsia="宋体" w:cs="宋体"/>
          <w:bCs/>
          <w:szCs w:val="21"/>
          <w:lang w:val="zh-CN"/>
        </w:rPr>
      </w:pPr>
      <w:r/>
      <w:bookmarkStart w:id="207" w:name="_Toc96347883"/>
      <w:r>
        <w:rPr>
          <w:rFonts w:hint="eastAsia" w:ascii="宋体" w:hAnsi="宋体" w:eastAsia="宋体" w:cs="宋体"/>
          <w:bCs/>
          <w:szCs w:val="21"/>
        </w:rPr>
        <w:t xml:space="preserve">25.1投标人</w:t>
      </w:r>
      <w:r>
        <w:rPr>
          <w:rFonts w:hint="eastAsia" w:ascii="宋体" w:hAnsi="宋体" w:eastAsia="宋体" w:cs="宋体"/>
          <w:bCs/>
          <w:szCs w:val="21"/>
          <w:lang w:val="zh-CN"/>
        </w:rPr>
        <w:t xml:space="preserve">应当按照《操作手册》规定，在“苏采云”系统规定的时间内对</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文件进行解密。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25.2投标人应充分考虑网络环境、网络带宽等因素可能对投标产生的影响，如因投标人自身原因造成的电子投标文件解密不成功的，做无效投标处理。</w:t>
      </w:r>
      <w:r/>
    </w:p>
    <w:p>
      <w:pPr>
        <w:pStyle w:val="1026"/>
        <w:ind w:left="0" w:right="210" w:firstLine="373"/>
        <w:spacing w:line="360" w:lineRule="auto"/>
        <w:rPr>
          <w:rFonts w:hint="eastAsia" w:ascii="宋体" w:hAnsi="宋体" w:eastAsia="宋体" w:cs="宋体"/>
        </w:rPr>
      </w:pPr>
      <w:r/>
      <w:bookmarkStart w:id="208" w:name="_Toc23996"/>
      <w:r/>
      <w:bookmarkStart w:id="209" w:name="_Toc104560865"/>
      <w:r/>
      <w:bookmarkStart w:id="210" w:name="_Toc103848550"/>
      <w:r/>
      <w:bookmarkStart w:id="211" w:name="_Toc100905228"/>
      <w:r/>
      <w:bookmarkStart w:id="212" w:name="_Toc107246243"/>
      <w:r>
        <w:rPr>
          <w:rFonts w:hint="eastAsia" w:ascii="宋体" w:hAnsi="宋体" w:eastAsia="宋体" w:cs="宋体"/>
        </w:rPr>
        <w:t xml:space="preserve">26.投标文件的修改和撤回</w:t>
      </w:r>
      <w:bookmarkEnd w:id="139"/>
      <w:r/>
      <w:bookmarkEnd w:id="207"/>
      <w:r/>
      <w:bookmarkEnd w:id="208"/>
      <w:r/>
      <w:bookmarkEnd w:id="209"/>
      <w:r/>
      <w:bookmarkEnd w:id="210"/>
      <w:r/>
      <w:bookmarkEnd w:id="211"/>
      <w:r/>
      <w:bookmarkEnd w:id="212"/>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26.4 在投标截止时间至采购文件中规定的投标有效期满之间的这段时间内，投标人不得撤回其投标。</w:t>
      </w:r>
      <w:r/>
    </w:p>
    <w:p>
      <w:pPr>
        <w:pStyle w:val="1026"/>
        <w:ind w:left="0" w:right="210" w:firstLine="373"/>
        <w:spacing w:line="360" w:lineRule="auto"/>
        <w:rPr>
          <w:rFonts w:hint="eastAsia" w:ascii="宋体" w:hAnsi="宋体" w:eastAsia="宋体" w:cs="宋体"/>
        </w:rPr>
      </w:pPr>
      <w:r/>
      <w:bookmarkStart w:id="213" w:name="_Toc3476"/>
      <w:r/>
      <w:bookmarkStart w:id="214" w:name="_Toc104560866"/>
      <w:r/>
      <w:bookmarkStart w:id="215" w:name="_Toc107246244"/>
      <w:r/>
      <w:bookmarkStart w:id="216" w:name="_Toc103848551"/>
      <w:r>
        <w:rPr>
          <w:rFonts w:hint="eastAsia" w:ascii="宋体" w:hAnsi="宋体" w:eastAsia="宋体" w:cs="宋体"/>
        </w:rPr>
        <w:t xml:space="preserve">27.诚实信用</w:t>
      </w:r>
      <w:bookmarkEnd w:id="213"/>
      <w:r/>
      <w:bookmarkEnd w:id="214"/>
      <w:r/>
      <w:bookmarkEnd w:id="215"/>
      <w:r/>
      <w:bookmarkEnd w:id="216"/>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27.2在评标过程中发现投标人有上述情形的，评标委员会应当认定其投标无效，并书面报告本级财政部门。</w:t>
      </w:r>
      <w:r/>
    </w:p>
    <w:p>
      <w:pPr>
        <w:pStyle w:val="1026"/>
        <w:ind w:left="0" w:right="210" w:firstLine="373"/>
        <w:spacing w:line="360" w:lineRule="auto"/>
        <w:rPr>
          <w:rFonts w:hint="eastAsia" w:ascii="宋体" w:hAnsi="宋体" w:eastAsia="宋体" w:cs="宋体"/>
        </w:rPr>
      </w:pPr>
      <w:r/>
      <w:bookmarkStart w:id="217" w:name="_Toc23313"/>
      <w:r/>
      <w:bookmarkStart w:id="218" w:name="_Toc107246245"/>
      <w:r>
        <w:rPr>
          <w:rFonts w:hint="eastAsia" w:ascii="宋体" w:hAnsi="宋体" w:eastAsia="宋体" w:cs="宋体"/>
        </w:rPr>
        <w:t xml:space="preserve">五．开标和评标</w:t>
      </w:r>
      <w:bookmarkEnd w:id="217"/>
      <w:r/>
      <w:bookmarkEnd w:id="218"/>
      <w:r/>
      <w:bookmarkStart w:id="219" w:name="_Toc96347885"/>
      <w:r/>
      <w:r/>
    </w:p>
    <w:p>
      <w:pPr>
        <w:pStyle w:val="1026"/>
        <w:ind w:left="0" w:right="210" w:firstLine="373"/>
        <w:spacing w:line="360" w:lineRule="auto"/>
        <w:rPr>
          <w:rFonts w:hint="eastAsia" w:ascii="宋体" w:hAnsi="宋体" w:eastAsia="宋体" w:cs="宋体"/>
        </w:rPr>
      </w:pPr>
      <w:r/>
      <w:bookmarkStart w:id="220" w:name="_Toc24890"/>
      <w:r/>
      <w:bookmarkStart w:id="221" w:name="_Toc103848553"/>
      <w:r/>
      <w:bookmarkStart w:id="222" w:name="_Toc107246246"/>
      <w:r/>
      <w:bookmarkStart w:id="223" w:name="_Toc104560868"/>
      <w:r/>
      <w:bookmarkStart w:id="224" w:name="_Toc100905230"/>
      <w:r>
        <w:rPr>
          <w:rFonts w:hint="eastAsia" w:ascii="宋体" w:hAnsi="宋体" w:eastAsia="宋体" w:cs="宋体"/>
        </w:rPr>
        <w:t xml:space="preserve">28.开标</w:t>
      </w:r>
      <w:bookmarkEnd w:id="219"/>
      <w:r/>
      <w:bookmarkEnd w:id="220"/>
      <w:r/>
      <w:bookmarkEnd w:id="221"/>
      <w:r/>
      <w:bookmarkEnd w:id="222"/>
      <w:r/>
      <w:bookmarkEnd w:id="223"/>
      <w:r/>
      <w:bookmarkEnd w:id="224"/>
      <w:r/>
      <w:r/>
    </w:p>
    <w:p>
      <w:pPr>
        <w:ind w:firstLine="420"/>
        <w:spacing w:line="360" w:lineRule="auto"/>
        <w:rPr>
          <w:rFonts w:hint="eastAsia" w:ascii="宋体" w:hAnsi="宋体" w:eastAsia="宋体" w:cs="宋体"/>
          <w:bCs/>
          <w:szCs w:val="21"/>
        </w:rPr>
      </w:pPr>
      <w:r/>
      <w:bookmarkStart w:id="225" w:name="_Toc107246247"/>
      <w:r/>
      <w:bookmarkStart w:id="226" w:name="_Toc100905231"/>
      <w:r>
        <w:rPr>
          <w:rFonts w:hint="eastAsia" w:ascii="宋体" w:hAnsi="宋体" w:eastAsia="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28.3投标人不足3家的，不得开标。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28.6投标人未参加开标的，视同认可开标结果。</w:t>
      </w:r>
      <w:r/>
    </w:p>
    <w:p>
      <w:pPr>
        <w:pStyle w:val="1026"/>
        <w:ind w:left="0" w:right="210" w:firstLine="373"/>
        <w:spacing w:line="360" w:lineRule="auto"/>
        <w:rPr>
          <w:rFonts w:hint="eastAsia" w:ascii="宋体" w:hAnsi="宋体" w:eastAsia="宋体" w:cs="宋体"/>
        </w:rPr>
      </w:pPr>
      <w:r/>
      <w:bookmarkStart w:id="227" w:name="_Toc12755"/>
      <w:r>
        <w:rPr>
          <w:rFonts w:hint="eastAsia" w:ascii="宋体" w:hAnsi="宋体" w:eastAsia="宋体" w:cs="宋体"/>
        </w:rPr>
        <w:t xml:space="preserve">29.资格性审查</w:t>
      </w:r>
      <w:bookmarkEnd w:id="225"/>
      <w:r/>
      <w:bookmarkEnd w:id="227"/>
      <w:r/>
      <w:r/>
    </w:p>
    <w:p>
      <w:pPr>
        <w:ind w:firstLine="420"/>
        <w:spacing w:line="360" w:lineRule="auto"/>
        <w:rPr>
          <w:rFonts w:hint="eastAsia" w:ascii="宋体" w:hAnsi="宋体" w:eastAsia="宋体" w:cs="宋体"/>
          <w:bCs/>
          <w:szCs w:val="21"/>
        </w:rPr>
      </w:pPr>
      <w:r/>
      <w:bookmarkStart w:id="228" w:name="_Toc103848554"/>
      <w:r/>
      <w:bookmarkStart w:id="229" w:name="_Toc104560869"/>
      <w:r>
        <w:rPr>
          <w:rFonts w:hint="eastAsia" w:ascii="宋体" w:hAnsi="宋体" w:eastAsia="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29.2</w:t>
      </w:r>
      <w:r>
        <w:rPr>
          <w:rFonts w:hint="eastAsia" w:ascii="宋体" w:hAnsi="宋体" w:eastAsia="宋体" w:cs="宋体"/>
          <w:b/>
          <w:szCs w:val="21"/>
        </w:rPr>
        <w:t xml:space="preserve">投标人不具备招标文件规定的投标人资格条件的</w:t>
      </w:r>
      <w:r>
        <w:rPr>
          <w:rFonts w:hint="eastAsia" w:ascii="宋体" w:hAnsi="宋体" w:eastAsia="宋体" w:cs="宋体"/>
          <w:b/>
          <w:bCs/>
          <w:szCs w:val="21"/>
        </w:rPr>
        <w:t xml:space="preserve">，应在资格审查时按照无效投标处理。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29.3已经进行资格预审的，可以不再对投标人资格进行审查，资格预审合格的投标人在评标阶段资格发生变化的，应当通知采购方。</w:t>
      </w:r>
      <w:r/>
    </w:p>
    <w:p>
      <w:pPr>
        <w:pStyle w:val="1026"/>
        <w:ind w:left="0" w:right="210" w:firstLine="373"/>
        <w:spacing w:line="360" w:lineRule="auto"/>
        <w:rPr>
          <w:rFonts w:hint="eastAsia" w:ascii="宋体" w:hAnsi="宋体" w:eastAsia="宋体" w:cs="宋体"/>
        </w:rPr>
      </w:pPr>
      <w:r/>
      <w:bookmarkStart w:id="230" w:name="_Toc18943"/>
      <w:r/>
      <w:bookmarkStart w:id="231" w:name="_Toc107246248"/>
      <w:r>
        <w:rPr>
          <w:rFonts w:hint="eastAsia" w:ascii="宋体" w:hAnsi="宋体" w:eastAsia="宋体" w:cs="宋体"/>
        </w:rPr>
        <w:t xml:space="preserve">30.评标</w:t>
      </w:r>
      <w:bookmarkEnd w:id="228"/>
      <w:r/>
      <w:bookmarkEnd w:id="229"/>
      <w:r/>
      <w:bookmarkEnd w:id="230"/>
      <w:r/>
      <w:bookmarkEnd w:id="231"/>
      <w:r/>
      <w:r/>
    </w:p>
    <w:p>
      <w:pPr>
        <w:pStyle w:val="1026"/>
        <w:ind w:left="0" w:right="210" w:firstLine="373"/>
        <w:spacing w:line="360" w:lineRule="auto"/>
        <w:rPr>
          <w:rFonts w:hint="eastAsia" w:ascii="宋体" w:hAnsi="宋体" w:eastAsia="宋体" w:cs="宋体"/>
        </w:rPr>
      </w:pPr>
      <w:r/>
      <w:bookmarkStart w:id="232" w:name="_Toc104560870"/>
      <w:r/>
      <w:bookmarkStart w:id="233" w:name="_Toc2566"/>
      <w:r/>
      <w:bookmarkStart w:id="234" w:name="_Toc107246249"/>
      <w:r/>
      <w:bookmarkStart w:id="235" w:name="_Toc103848555"/>
      <w:r>
        <w:rPr>
          <w:rFonts w:hint="eastAsia" w:ascii="宋体" w:hAnsi="宋体" w:eastAsia="宋体" w:cs="宋体"/>
        </w:rPr>
        <w:t xml:space="preserve">30.1评标委员会</w:t>
      </w:r>
      <w:bookmarkEnd w:id="232"/>
      <w:r/>
      <w:bookmarkEnd w:id="233"/>
      <w:r/>
      <w:bookmarkEnd w:id="234"/>
      <w:r/>
      <w:bookmarkEnd w:id="23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30.1.1评标委员会成员组成见</w:t>
      </w:r>
      <w:r>
        <w:rPr>
          <w:rFonts w:hint="eastAsia" w:ascii="宋体" w:hAnsi="宋体" w:eastAsia="宋体" w:cs="宋体"/>
          <w:b/>
          <w:szCs w:val="21"/>
        </w:rPr>
        <w:t xml:space="preserve">投标人须知前附表</w:t>
      </w:r>
      <w:r>
        <w:rPr>
          <w:rFonts w:hint="eastAsia" w:ascii="宋体" w:hAnsi="宋体" w:eastAsia="宋体" w:cs="宋体"/>
          <w:bCs/>
          <w:szCs w:val="21"/>
        </w:rPr>
        <w:t xml:space="preserve">，负责具体评标事务，并独立履行职责。</w:t>
      </w:r>
      <w:r/>
    </w:p>
    <w:p>
      <w:pPr>
        <w:pStyle w:val="1026"/>
        <w:ind w:left="0" w:right="210" w:firstLine="373"/>
        <w:spacing w:line="360" w:lineRule="auto"/>
        <w:rPr>
          <w:rFonts w:hint="eastAsia" w:ascii="宋体" w:hAnsi="宋体" w:eastAsia="宋体" w:cs="宋体"/>
        </w:rPr>
      </w:pPr>
      <w:r/>
      <w:bookmarkStart w:id="236" w:name="_Toc103848556"/>
      <w:r/>
      <w:bookmarkStart w:id="237" w:name="_Toc104560871"/>
      <w:r/>
      <w:bookmarkStart w:id="238" w:name="_Toc31997"/>
      <w:r/>
      <w:bookmarkStart w:id="239" w:name="_Toc107246250"/>
      <w:r>
        <w:rPr>
          <w:rFonts w:hint="eastAsia" w:ascii="宋体" w:hAnsi="宋体" w:eastAsia="宋体" w:cs="宋体"/>
        </w:rPr>
        <w:t xml:space="preserve">30.2</w:t>
      </w:r>
      <w:bookmarkEnd w:id="236"/>
      <w:r/>
      <w:bookmarkEnd w:id="237"/>
      <w:r>
        <w:rPr>
          <w:rFonts w:hint="eastAsia" w:ascii="宋体" w:hAnsi="宋体" w:eastAsia="宋体" w:cs="宋体"/>
        </w:rPr>
        <w:t xml:space="preserve">符合性审查</w:t>
      </w:r>
      <w:bookmarkEnd w:id="238"/>
      <w:r/>
      <w:bookmarkEnd w:id="23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30.2.3投标文件有下列情况之一的，在符合性检查时按照无效投标处理：</w:t>
      </w:r>
      <w:bookmarkEnd w:id="226"/>
      <w:r/>
      <w:r/>
    </w:p>
    <w:p>
      <w:pPr>
        <w:ind w:firstLine="420"/>
        <w:spacing w:line="360" w:lineRule="auto"/>
        <w:rPr>
          <w:rFonts w:hint="eastAsia" w:ascii="宋体" w:hAnsi="宋体" w:eastAsia="宋体" w:cs="宋体"/>
          <w:bCs/>
          <w:szCs w:val="21"/>
        </w:rPr>
      </w:pPr>
      <w:r/>
      <w:bookmarkStart w:id="240" w:name="_Toc107246251"/>
      <w:r/>
      <w:bookmarkStart w:id="241" w:name="_Toc104560872"/>
      <w:r/>
      <w:bookmarkStart w:id="242" w:name="_Toc103848557"/>
      <w:r>
        <w:rPr>
          <w:rFonts w:hint="eastAsia" w:ascii="宋体" w:hAnsi="宋体" w:eastAsia="宋体" w:cs="宋体"/>
          <w:bCs/>
          <w:szCs w:val="21"/>
        </w:rPr>
        <w:t xml:space="preserve">（1）投标人在“苏采云”系统规定的时间内未成功解密电子投标文件的；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（3）同一投标人提交两个（含两个）以上不同的投标报价的；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（4）投标文件未按照招标文件要求签署或盖章的；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（5）不具备招标文件中规定的资格要求的；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（6）报价超过招标文件中规定的预算金额或者最高限价的；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（8）投标文件内容不全或不符合招标文件中规定的其他实质性要求的；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（9）现行法律、法规、规章和招标文件规定的其他无效情形。</w:t>
      </w:r>
      <w:r/>
    </w:p>
    <w:p>
      <w:pPr>
        <w:pStyle w:val="1026"/>
        <w:ind w:left="0" w:right="210" w:firstLine="373"/>
        <w:spacing w:line="360" w:lineRule="auto"/>
        <w:rPr>
          <w:rFonts w:hint="eastAsia" w:ascii="宋体" w:hAnsi="宋体" w:eastAsia="宋体" w:cs="宋体"/>
        </w:rPr>
      </w:pPr>
      <w:r/>
      <w:bookmarkStart w:id="243" w:name="_Toc25823"/>
      <w:r>
        <w:rPr>
          <w:rFonts w:hint="eastAsia" w:ascii="宋体" w:hAnsi="宋体" w:eastAsia="宋体" w:cs="宋体"/>
        </w:rPr>
        <w:t xml:space="preserve">30.3投标文件澄清</w:t>
      </w:r>
      <w:bookmarkEnd w:id="240"/>
      <w:r/>
      <w:bookmarkEnd w:id="241"/>
      <w:r/>
      <w:bookmarkEnd w:id="242"/>
      <w:r/>
      <w:bookmarkEnd w:id="24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30.3.3评标委员会不接受投标人主动提出的澄清、说明。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30.3.4有效的书面澄清材料，是投标文件的补充材料，成为投标文件的组成部分。</w:t>
      </w:r>
      <w:r/>
    </w:p>
    <w:p>
      <w:pPr>
        <w:pStyle w:val="1026"/>
        <w:ind w:left="0" w:right="210" w:firstLine="373"/>
        <w:spacing w:line="360" w:lineRule="auto"/>
        <w:rPr>
          <w:rFonts w:hint="eastAsia" w:ascii="宋体" w:hAnsi="宋体" w:eastAsia="宋体" w:cs="宋体"/>
        </w:rPr>
      </w:pPr>
      <w:r/>
      <w:bookmarkStart w:id="244" w:name="_Toc107246252"/>
      <w:r/>
      <w:bookmarkStart w:id="245" w:name="_Toc7446"/>
      <w:r>
        <w:rPr>
          <w:rFonts w:hint="eastAsia" w:ascii="宋体" w:hAnsi="宋体" w:eastAsia="宋体" w:cs="宋体"/>
        </w:rPr>
        <w:t xml:space="preserve">30.4</w:t>
      </w:r>
      <w:bookmarkEnd w:id="244"/>
      <w:r>
        <w:rPr>
          <w:rFonts w:hint="eastAsia" w:ascii="宋体" w:hAnsi="宋体" w:eastAsia="宋体" w:cs="宋体"/>
        </w:rPr>
        <w:t xml:space="preserve">报价修正</w:t>
      </w:r>
      <w:bookmarkEnd w:id="24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同时出现两种以上不一致的，按照前款规定的顺序修正。修正后的报价按照上述规定经投标人确认后产生约束力，投标人不确认的，其投标无效。</w:t>
      </w:r>
      <w:r/>
    </w:p>
    <w:p>
      <w:pPr>
        <w:pStyle w:val="1026"/>
        <w:ind w:left="0" w:right="210" w:firstLine="373"/>
        <w:spacing w:line="360" w:lineRule="auto"/>
        <w:rPr>
          <w:rFonts w:hint="eastAsia" w:ascii="宋体" w:hAnsi="宋体" w:eastAsia="宋体" w:cs="宋体"/>
        </w:rPr>
      </w:pPr>
      <w:r/>
      <w:bookmarkStart w:id="246" w:name="_Toc103848558"/>
      <w:r/>
      <w:bookmarkStart w:id="247" w:name="_Toc104560873"/>
      <w:r/>
      <w:bookmarkStart w:id="248" w:name="_Toc20047"/>
      <w:r/>
      <w:bookmarkStart w:id="249" w:name="_Toc107246253"/>
      <w:r>
        <w:rPr>
          <w:rFonts w:hint="eastAsia" w:ascii="宋体" w:hAnsi="宋体" w:eastAsia="宋体" w:cs="宋体"/>
        </w:rPr>
        <w:t xml:space="preserve">30.5同品牌多家投标人处理原则</w:t>
      </w:r>
      <w:bookmarkEnd w:id="246"/>
      <w:r/>
      <w:bookmarkEnd w:id="247"/>
      <w:r/>
      <w:bookmarkEnd w:id="248"/>
      <w:r/>
      <w:bookmarkEnd w:id="249"/>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30.5.3非单一产品采购项目，根据采购项目技术构成、产品价格比重等合理确定核心产品，核心产品见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。多家投标人提供的核心产品品牌相同的，按前两款规定处理。</w:t>
      </w:r>
      <w:r/>
    </w:p>
    <w:p>
      <w:pPr>
        <w:pStyle w:val="1026"/>
        <w:ind w:left="0" w:right="210" w:firstLine="373"/>
        <w:spacing w:line="360" w:lineRule="auto"/>
        <w:rPr>
          <w:rFonts w:hint="eastAsia" w:ascii="宋体" w:hAnsi="宋体" w:eastAsia="宋体" w:cs="宋体"/>
        </w:rPr>
      </w:pPr>
      <w:r/>
      <w:bookmarkStart w:id="250" w:name="_Toc103848559"/>
      <w:r/>
      <w:bookmarkStart w:id="251" w:name="_Toc107246254"/>
      <w:r/>
      <w:bookmarkStart w:id="252" w:name="_Toc28859"/>
      <w:r/>
      <w:bookmarkStart w:id="253" w:name="_Toc104560874"/>
      <w:r>
        <w:rPr>
          <w:rFonts w:hint="eastAsia" w:ascii="宋体" w:hAnsi="宋体" w:eastAsia="宋体" w:cs="宋体"/>
        </w:rPr>
        <w:t xml:space="preserve">30.6比较与评价</w:t>
      </w:r>
      <w:bookmarkEnd w:id="250"/>
      <w:r/>
      <w:bookmarkEnd w:id="251"/>
      <w:r/>
      <w:bookmarkEnd w:id="252"/>
      <w:r/>
      <w:bookmarkEnd w:id="25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30.6.1评标委员会应当按照招标文件中第五章《评标方法和评标标准》，对符合性审查合格的投标文件进行比较与评价。</w:t>
      </w:r>
      <w:r/>
    </w:p>
    <w:p>
      <w:pPr>
        <w:pStyle w:val="1026"/>
        <w:ind w:left="0" w:right="210" w:firstLine="373"/>
        <w:spacing w:line="360" w:lineRule="auto"/>
        <w:rPr>
          <w:rFonts w:hint="eastAsia" w:ascii="宋体" w:hAnsi="宋体" w:eastAsia="宋体" w:cs="宋体"/>
        </w:rPr>
      </w:pPr>
      <w:r/>
      <w:bookmarkStart w:id="254" w:name="_Toc23580"/>
      <w:r/>
      <w:bookmarkStart w:id="255" w:name="_Toc107246255"/>
      <w:r>
        <w:rPr>
          <w:rFonts w:hint="eastAsia" w:ascii="宋体" w:hAnsi="宋体" w:eastAsia="宋体" w:cs="宋体"/>
        </w:rPr>
        <w:t xml:space="preserve">30.7编写评标报告</w:t>
      </w:r>
      <w:bookmarkEnd w:id="254"/>
      <w:r/>
      <w:bookmarkEnd w:id="25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30.7.1评标委员会根据全体评标成员签字的原始评标记录和评标结果编写评标报告。</w:t>
      </w:r>
      <w:r/>
    </w:p>
    <w:p>
      <w:pPr>
        <w:pStyle w:val="1026"/>
        <w:ind w:left="0" w:right="210" w:firstLine="373"/>
        <w:spacing w:line="360" w:lineRule="auto"/>
        <w:tabs>
          <w:tab w:val="left" w:pos="5882" w:leader="none"/>
        </w:tabs>
        <w:rPr>
          <w:rFonts w:hint="eastAsia" w:ascii="宋体" w:hAnsi="宋体" w:eastAsia="宋体" w:cs="宋体"/>
        </w:rPr>
      </w:pPr>
      <w:r/>
      <w:bookmarkStart w:id="256" w:name="_Toc107246256"/>
      <w:r/>
      <w:bookmarkStart w:id="257" w:name="_Toc822"/>
      <w:r/>
      <w:bookmarkStart w:id="258" w:name="_Toc103848561"/>
      <w:r/>
      <w:bookmarkStart w:id="259" w:name="_Toc104560876"/>
      <w:r>
        <w:rPr>
          <w:rFonts w:hint="eastAsia" w:ascii="宋体" w:hAnsi="宋体" w:eastAsia="宋体" w:cs="宋体"/>
        </w:rPr>
        <w:t xml:space="preserve">30.8评标过程的保密</w:t>
      </w:r>
      <w:bookmarkEnd w:id="256"/>
      <w:r/>
      <w:bookmarkEnd w:id="257"/>
      <w:r/>
      <w:bookmarkEnd w:id="258"/>
      <w:r/>
      <w:bookmarkEnd w:id="259"/>
      <w:r>
        <w:rPr>
          <w:rFonts w:hint="eastAsia" w:ascii="宋体" w:hAnsi="宋体" w:eastAsia="宋体" w:cs="宋体"/>
        </w:rPr>
        <w:tab/>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30.8.1评标委员会成员名单在评标结果公示前应当保密。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30.8.2采购方应当采取必要的措施，保证评标在严格保密的情况下进行。</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30.8.3有关人员对评标情况以及在评标过程中获悉的国家秘密、商业秘密负有保密责任。</w:t>
      </w:r>
      <w:r/>
    </w:p>
    <w:p>
      <w:pPr>
        <w:pStyle w:val="1026"/>
        <w:ind w:left="0" w:right="210" w:firstLine="373"/>
        <w:spacing w:line="360" w:lineRule="auto"/>
        <w:rPr>
          <w:rFonts w:hint="eastAsia" w:ascii="宋体" w:hAnsi="宋体" w:eastAsia="宋体" w:cs="宋体"/>
        </w:rPr>
      </w:pPr>
      <w:r/>
      <w:bookmarkStart w:id="260" w:name="_Toc28325"/>
      <w:r/>
      <w:bookmarkStart w:id="261" w:name="_Toc107246257"/>
      <w:r>
        <w:rPr>
          <w:rFonts w:hint="eastAsia" w:ascii="宋体" w:hAnsi="宋体" w:eastAsia="宋体" w:cs="宋体"/>
        </w:rPr>
        <w:t xml:space="preserve">六．确定中标</w:t>
      </w:r>
      <w:bookmarkEnd w:id="260"/>
      <w:r/>
      <w:bookmarkEnd w:id="261"/>
      <w:r/>
      <w:r/>
    </w:p>
    <w:p>
      <w:pPr>
        <w:pStyle w:val="1026"/>
        <w:ind w:left="0" w:right="210" w:firstLine="373"/>
        <w:spacing w:line="360" w:lineRule="auto"/>
        <w:rPr>
          <w:rFonts w:hint="eastAsia" w:ascii="宋体" w:hAnsi="宋体" w:eastAsia="宋体" w:cs="宋体"/>
        </w:rPr>
      </w:pPr>
      <w:r/>
      <w:bookmarkStart w:id="262" w:name="_Toc104560878"/>
      <w:r/>
      <w:bookmarkStart w:id="263" w:name="_Toc103848563"/>
      <w:r/>
      <w:bookmarkStart w:id="264" w:name="_Toc29910"/>
      <w:r/>
      <w:bookmarkStart w:id="265" w:name="_Toc107246258"/>
      <w:r>
        <w:rPr>
          <w:rFonts w:hint="eastAsia" w:ascii="宋体" w:hAnsi="宋体" w:eastAsia="宋体" w:cs="宋体"/>
        </w:rPr>
        <w:t xml:space="preserve">31.确定中标</w:t>
      </w:r>
      <w:bookmarkEnd w:id="262"/>
      <w:r/>
      <w:bookmarkEnd w:id="263"/>
      <w:r>
        <w:rPr>
          <w:rFonts w:hint="eastAsia" w:ascii="宋体" w:hAnsi="宋体" w:eastAsia="宋体" w:cs="宋体"/>
        </w:rPr>
        <w:t xml:space="preserve">人</w:t>
      </w:r>
      <w:bookmarkEnd w:id="264"/>
      <w:r/>
      <w:bookmarkEnd w:id="26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szCs w:val="21"/>
          <w:lang w:val="zh-CN"/>
        </w:rPr>
      </w:pPr>
      <w:r/>
      <w:bookmarkStart w:id="266" w:name="_Toc104560879"/>
      <w:r/>
      <w:bookmarkStart w:id="267" w:name="_Toc103848564"/>
      <w:r/>
      <w:bookmarkStart w:id="268" w:name="_Toc107246259"/>
      <w:r>
        <w:rPr>
          <w:rFonts w:hint="eastAsia" w:ascii="宋体" w:hAnsi="宋体" w:eastAsia="宋体" w:cs="宋体"/>
          <w:szCs w:val="21"/>
        </w:rPr>
        <w:t xml:space="preserve">31.4评审结束后，中标人名单将省级以上财政部门指定的媒体上公告中标结果，中标公告期为1个工作日，公告媒体见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公告的同时向中标人发出中标通知书。</w:t>
      </w:r>
      <w:r>
        <w:rPr>
          <w:rFonts w:hint="eastAsia" w:ascii="宋体" w:hAnsi="宋体" w:eastAsia="宋体" w:cs="宋体"/>
          <w:szCs w:val="21"/>
          <w:lang w:val="zh-CN"/>
        </w:rPr>
        <w:t xml:space="preserve">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ind w:firstLine="420"/>
        <w:jc w:val="left"/>
        <w:spacing w:after="40" w:line="360" w:lineRule="auto"/>
        <w:rPr>
          <w:rFonts w:hint="eastAsia" w:ascii="宋体" w:hAnsi="宋体" w:eastAsia="宋体" w:cs="宋体"/>
          <w:szCs w:val="21"/>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1026"/>
        <w:ind w:left="0" w:right="210" w:firstLine="373"/>
        <w:spacing w:line="360" w:lineRule="auto"/>
        <w:rPr>
          <w:rFonts w:hint="eastAsia" w:ascii="宋体" w:hAnsi="宋体" w:eastAsia="宋体" w:cs="宋体"/>
        </w:rPr>
      </w:pPr>
      <w:r/>
      <w:bookmarkStart w:id="269" w:name="_Toc2228"/>
      <w:r>
        <w:rPr>
          <w:rFonts w:hint="eastAsia" w:ascii="宋体" w:hAnsi="宋体" w:eastAsia="宋体" w:cs="宋体"/>
        </w:rPr>
        <w:t xml:space="preserve">32.中标通知书</w:t>
      </w:r>
      <w:bookmarkEnd w:id="266"/>
      <w:r/>
      <w:bookmarkEnd w:id="267"/>
      <w:r/>
      <w:bookmarkEnd w:id="268"/>
      <w:r/>
      <w:bookmarkEnd w:id="269"/>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32.1采购代理机构将在中标公告发布的同时向中标人发出中标通知书。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32.3</w:t>
      </w:r>
      <w:bookmarkStart w:id="270" w:name="_Toc103848560"/>
      <w:r/>
      <w:bookmarkStart w:id="271" w:name="_Toc104560875"/>
      <w:r>
        <w:rPr>
          <w:rFonts w:hint="eastAsia" w:ascii="宋体" w:hAnsi="宋体" w:eastAsia="宋体" w:cs="宋体"/>
          <w:szCs w:val="21"/>
        </w:rPr>
        <w:t xml:space="preserve">中标通知书发出后，中标人无正当理由不得放弃中标，否则将依法承担法律责任。</w:t>
      </w:r>
      <w:r/>
    </w:p>
    <w:p>
      <w:pPr>
        <w:pStyle w:val="1026"/>
        <w:ind w:left="0" w:right="210" w:firstLine="373"/>
        <w:spacing w:line="360" w:lineRule="auto"/>
        <w:rPr>
          <w:rFonts w:hint="eastAsia" w:ascii="宋体" w:hAnsi="宋体" w:eastAsia="宋体" w:cs="宋体"/>
        </w:rPr>
      </w:pPr>
      <w:r/>
      <w:bookmarkStart w:id="272" w:name="_Toc107246260"/>
      <w:r/>
      <w:bookmarkStart w:id="273" w:name="_Toc6644"/>
      <w:r>
        <w:rPr>
          <w:rFonts w:hint="eastAsia" w:ascii="宋体" w:hAnsi="宋体" w:eastAsia="宋体" w:cs="宋体"/>
        </w:rPr>
        <w:t xml:space="preserve">33.废标</w:t>
      </w:r>
      <w:bookmarkEnd w:id="270"/>
      <w:r/>
      <w:bookmarkEnd w:id="271"/>
      <w:r/>
      <w:bookmarkEnd w:id="272"/>
      <w:r/>
      <w:bookmarkEnd w:id="273"/>
      <w:r/>
      <w:r/>
    </w:p>
    <w:p>
      <w:pPr>
        <w:ind w:firstLine="316"/>
        <w:jc w:val="left"/>
        <w:spacing w:line="360" w:lineRule="auto"/>
        <w:rPr>
          <w:rFonts w:hint="eastAsia" w:ascii="宋体" w:hAnsi="宋体" w:eastAsia="宋体" w:cs="宋体"/>
          <w:b/>
          <w:szCs w:val="21"/>
        </w:rPr>
      </w:pPr>
      <w:r>
        <w:rPr>
          <w:rFonts w:hint="eastAsia" w:ascii="宋体" w:hAnsi="宋体" w:eastAsia="宋体" w:cs="宋体"/>
          <w:b/>
          <w:szCs w:val="21"/>
        </w:rPr>
        <w:t xml:space="preserve">★33.1出现下列情形之一的，应予废标：</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（2）出现影响采购公正的违法、违规行为的；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（3）投标人的报价均超过了采购预算，采购人不能支付的；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（4）因重大变故，采购任务取消的。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33.2废标后，采购人将废标理由通知所有投标人。</w:t>
      </w:r>
      <w:r/>
    </w:p>
    <w:p>
      <w:pPr>
        <w:pStyle w:val="1026"/>
        <w:ind w:left="0" w:right="210" w:firstLine="373"/>
        <w:spacing w:line="360" w:lineRule="auto"/>
        <w:rPr>
          <w:rFonts w:hint="eastAsia" w:ascii="宋体" w:hAnsi="宋体" w:eastAsia="宋体" w:cs="宋体"/>
        </w:rPr>
      </w:pPr>
      <w:r/>
      <w:bookmarkStart w:id="274" w:name="_Toc32537"/>
      <w:r/>
      <w:bookmarkStart w:id="275" w:name="_Toc107246261"/>
      <w:r/>
      <w:bookmarkStart w:id="276" w:name="_Toc104560880"/>
      <w:r/>
      <w:bookmarkStart w:id="277" w:name="_Toc103848565"/>
      <w:r/>
      <w:bookmarkStart w:id="278" w:name="_Toc513029237"/>
      <w:r/>
      <w:bookmarkStart w:id="279" w:name="_Toc20823309"/>
      <w:r/>
      <w:bookmarkStart w:id="280" w:name="_Toc16938553"/>
      <w:r>
        <w:rPr>
          <w:rFonts w:hint="eastAsia" w:ascii="宋体" w:hAnsi="宋体" w:eastAsia="宋体" w:cs="宋体"/>
        </w:rPr>
        <w:t xml:space="preserve">34.签订合同</w:t>
      </w:r>
      <w:bookmarkEnd w:id="274"/>
      <w:r/>
      <w:bookmarkEnd w:id="275"/>
      <w:r/>
      <w:bookmarkEnd w:id="276"/>
      <w:r/>
      <w:bookmarkEnd w:id="277"/>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1026"/>
        <w:ind w:left="0" w:right="210" w:firstLine="373"/>
        <w:spacing w:line="360" w:lineRule="auto"/>
        <w:rPr>
          <w:rFonts w:hint="eastAsia" w:ascii="宋体" w:hAnsi="宋体" w:eastAsia="宋体" w:cs="宋体"/>
          <w:szCs w:val="21"/>
        </w:rPr>
      </w:pPr>
      <w:r/>
      <w:bookmarkStart w:id="281" w:name="_Toc103848567"/>
      <w:r/>
      <w:bookmarkStart w:id="282" w:name="_Toc18091"/>
      <w:r/>
      <w:bookmarkStart w:id="283" w:name="_Toc107246262"/>
      <w:r/>
      <w:bookmarkStart w:id="284" w:name="_Toc104560881"/>
      <w:r>
        <w:rPr>
          <w:rFonts w:hint="eastAsia" w:ascii="宋体" w:hAnsi="宋体" w:eastAsia="宋体" w:cs="宋体"/>
          <w:szCs w:val="21"/>
        </w:rPr>
        <w:t xml:space="preserve">35.履约保证金</w:t>
      </w:r>
      <w:bookmarkEnd w:id="281"/>
      <w:r/>
      <w:bookmarkEnd w:id="282"/>
      <w:r/>
      <w:bookmarkEnd w:id="283"/>
      <w:r/>
      <w:bookmarkEnd w:id="28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35.1本项目是否缴纳履约保证金见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35.2</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35.3中标人没有按照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的规定提交履约保证金的，视为放弃中标。</w:t>
      </w:r>
      <w:bookmarkEnd w:id="278"/>
      <w:r/>
      <w:bookmarkEnd w:id="279"/>
      <w:r/>
      <w:bookmarkEnd w:id="280"/>
      <w:r/>
      <w:r/>
    </w:p>
    <w:p>
      <w:pPr>
        <w:pStyle w:val="1026"/>
        <w:ind w:left="0" w:right="210" w:firstLine="373"/>
        <w:spacing w:line="360" w:lineRule="auto"/>
        <w:rPr>
          <w:rFonts w:hint="eastAsia" w:ascii="宋体" w:hAnsi="宋体" w:eastAsia="宋体" w:cs="宋体"/>
        </w:rPr>
      </w:pPr>
      <w:r/>
      <w:bookmarkStart w:id="285" w:name="_Toc1505"/>
      <w:r/>
      <w:bookmarkStart w:id="286" w:name="_Toc107246263"/>
      <w:r>
        <w:rPr>
          <w:rFonts w:hint="eastAsia" w:ascii="宋体" w:hAnsi="宋体" w:eastAsia="宋体" w:cs="宋体"/>
        </w:rPr>
        <w:t xml:space="preserve">七．</w:t>
      </w:r>
      <w:bookmarkStart w:id="287" w:name="_Toc103848569"/>
      <w:r>
        <w:rPr>
          <w:rFonts w:hint="eastAsia" w:ascii="宋体" w:hAnsi="宋体" w:eastAsia="宋体" w:cs="宋体"/>
        </w:rPr>
        <w:t xml:space="preserve">询问与质疑</w:t>
      </w:r>
      <w:bookmarkEnd w:id="285"/>
      <w:r/>
      <w:bookmarkEnd w:id="286"/>
      <w:r/>
      <w:bookmarkEnd w:id="287"/>
      <w:r/>
      <w:r/>
    </w:p>
    <w:p>
      <w:pPr>
        <w:pStyle w:val="1026"/>
        <w:ind w:left="0" w:right="210" w:firstLine="373"/>
        <w:spacing w:line="360" w:lineRule="auto"/>
        <w:rPr>
          <w:rFonts w:hint="eastAsia" w:ascii="宋体" w:hAnsi="宋体" w:eastAsia="宋体" w:cs="宋体"/>
          <w:szCs w:val="21"/>
        </w:rPr>
      </w:pPr>
      <w:r/>
      <w:bookmarkStart w:id="288" w:name="_Toc107246264"/>
      <w:r/>
      <w:bookmarkStart w:id="289" w:name="_Toc21938"/>
      <w:r/>
      <w:bookmarkStart w:id="290" w:name="_Toc102117305"/>
      <w:r/>
      <w:bookmarkStart w:id="291" w:name="_Toc104560883"/>
      <w:r>
        <w:rPr>
          <w:rFonts w:hint="eastAsia" w:ascii="宋体" w:hAnsi="宋体" w:eastAsia="宋体" w:cs="宋体"/>
          <w:szCs w:val="21"/>
        </w:rPr>
        <w:t xml:space="preserve">36.询问</w:t>
      </w:r>
      <w:bookmarkEnd w:id="288"/>
      <w:r/>
      <w:bookmarkEnd w:id="289"/>
      <w:r/>
      <w:bookmarkEnd w:id="290"/>
      <w:r/>
      <w:bookmarkEnd w:id="291"/>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36.1供应商对政府采购活动事项有疑问的，可依法提出询问，并按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载明的形式通知采购方。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36.2采购方对供应商依法提出的询问，在3个工作日内作出答复，但答复的内容不得涉及商业秘密。</w:t>
      </w:r>
      <w:r/>
    </w:p>
    <w:p>
      <w:pPr>
        <w:pStyle w:val="1026"/>
        <w:ind w:left="0" w:right="210" w:firstLine="373"/>
        <w:spacing w:line="360" w:lineRule="auto"/>
        <w:rPr>
          <w:rFonts w:hint="eastAsia" w:ascii="宋体" w:hAnsi="宋体" w:eastAsia="宋体" w:cs="宋体"/>
          <w:szCs w:val="21"/>
        </w:rPr>
      </w:pPr>
      <w:r/>
      <w:bookmarkStart w:id="292" w:name="_Toc104560884"/>
      <w:r/>
      <w:bookmarkStart w:id="293" w:name="_Toc107246265"/>
      <w:r/>
      <w:bookmarkStart w:id="294" w:name="_Toc4185"/>
      <w:r/>
      <w:bookmarkStart w:id="295" w:name="_Toc102117306"/>
      <w:r>
        <w:rPr>
          <w:rFonts w:hint="eastAsia" w:ascii="宋体" w:hAnsi="宋体" w:eastAsia="宋体" w:cs="宋体"/>
          <w:szCs w:val="21"/>
        </w:rPr>
        <w:t xml:space="preserve">37.质疑</w:t>
      </w:r>
      <w:bookmarkEnd w:id="292"/>
      <w:r/>
      <w:bookmarkEnd w:id="293"/>
      <w:r/>
      <w:bookmarkEnd w:id="294"/>
      <w:r/>
      <w:bookmarkEnd w:id="29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37.3质疑函应使用财政部制定的范本文件。</w:t>
      </w:r>
      <w:r/>
    </w:p>
    <w:p>
      <w:pPr>
        <w:pStyle w:val="1026"/>
        <w:ind w:left="0" w:right="210" w:firstLine="373"/>
        <w:spacing w:line="360" w:lineRule="auto"/>
        <w:rPr>
          <w:rFonts w:hint="eastAsia" w:ascii="宋体" w:hAnsi="宋体" w:eastAsia="宋体" w:cs="宋体"/>
        </w:rPr>
      </w:pPr>
      <w:r/>
      <w:bookmarkStart w:id="296" w:name="_Toc10948"/>
      <w:r/>
      <w:bookmarkStart w:id="297" w:name="_Toc107246266"/>
      <w:r>
        <w:rPr>
          <w:rFonts w:hint="eastAsia" w:ascii="宋体" w:hAnsi="宋体" w:eastAsia="宋体" w:cs="宋体"/>
        </w:rPr>
        <w:t xml:space="preserve">八．其他</w:t>
      </w:r>
      <w:bookmarkEnd w:id="296"/>
      <w:r/>
      <w:bookmarkEnd w:id="297"/>
      <w:r/>
      <w:r/>
    </w:p>
    <w:p>
      <w:pPr>
        <w:pStyle w:val="1026"/>
        <w:ind w:left="0" w:right="210" w:firstLine="373"/>
        <w:spacing w:line="360" w:lineRule="auto"/>
        <w:rPr>
          <w:rFonts w:hint="eastAsia" w:ascii="宋体" w:hAnsi="宋体" w:eastAsia="宋体" w:cs="宋体"/>
          <w:szCs w:val="21"/>
        </w:rPr>
      </w:pPr>
      <w:r/>
      <w:bookmarkStart w:id="298" w:name="_Toc104560886"/>
      <w:r/>
      <w:bookmarkStart w:id="299" w:name="_Toc25169"/>
      <w:r/>
      <w:bookmarkStart w:id="300" w:name="_Toc107246267"/>
      <w:r/>
      <w:bookmarkStart w:id="301" w:name="_Toc103848572"/>
      <w:r>
        <w:rPr>
          <w:rFonts w:hint="eastAsia" w:ascii="宋体" w:hAnsi="宋体" w:eastAsia="宋体" w:cs="宋体"/>
          <w:szCs w:val="21"/>
        </w:rPr>
        <w:t xml:space="preserve">38.招标代理服务费</w:t>
      </w:r>
      <w:bookmarkEnd w:id="298"/>
      <w:r/>
      <w:bookmarkEnd w:id="299"/>
      <w:r/>
      <w:bookmarkEnd w:id="300"/>
      <w:r/>
      <w:bookmarkEnd w:id="301"/>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38.1中标人是否交纳投招标代理服务费及相关要求见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1026"/>
        <w:ind w:left="0" w:right="210" w:firstLine="373"/>
        <w:spacing w:line="360" w:lineRule="auto"/>
        <w:rPr>
          <w:rFonts w:hint="eastAsia" w:ascii="宋体" w:hAnsi="宋体" w:eastAsia="宋体" w:cs="宋体"/>
          <w:szCs w:val="21"/>
        </w:rPr>
      </w:pPr>
      <w:r/>
      <w:bookmarkStart w:id="302" w:name="_Toc104560887"/>
      <w:r/>
      <w:bookmarkStart w:id="303" w:name="_Toc107246268"/>
      <w:r/>
      <w:bookmarkStart w:id="304" w:name="_Toc13680"/>
      <w:r/>
      <w:bookmarkStart w:id="305" w:name="_Toc103848573"/>
      <w:r>
        <w:rPr>
          <w:rFonts w:hint="eastAsia" w:ascii="宋体" w:hAnsi="宋体" w:eastAsia="宋体" w:cs="宋体"/>
          <w:szCs w:val="21"/>
        </w:rPr>
        <w:t xml:space="preserve">39.其他规定</w:t>
      </w:r>
      <w:bookmarkEnd w:id="302"/>
      <w:r/>
      <w:bookmarkEnd w:id="303"/>
      <w:r/>
      <w:bookmarkEnd w:id="304"/>
      <w:r/>
      <w:bookmarkEnd w:id="30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39.1投标文件的其他规定见</w:t>
      </w:r>
      <w:r>
        <w:rPr>
          <w:rFonts w:hint="eastAsia" w:ascii="宋体" w:hAnsi="宋体" w:eastAsia="宋体" w:cs="宋体"/>
          <w:b/>
          <w:szCs w:val="21"/>
        </w:rPr>
        <w:t xml:space="preserve">投标人须知前附</w:t>
      </w:r>
      <w:r>
        <w:rPr>
          <w:rFonts w:hint="eastAsia" w:ascii="宋体" w:hAnsi="宋体" w:eastAsia="宋体" w:cs="宋体"/>
          <w:szCs w:val="21"/>
        </w:rPr>
        <w:t xml:space="preserve">表。</w:t>
      </w:r>
      <w:r/>
    </w:p>
    <w:p>
      <w:pPr>
        <w:pStyle w:val="1026"/>
        <w:ind w:left="0" w:right="210" w:firstLine="373"/>
        <w:spacing w:line="360" w:lineRule="auto"/>
        <w:rPr>
          <w:rFonts w:hint="eastAsia" w:ascii="宋体" w:hAnsi="宋体" w:eastAsia="宋体" w:cs="宋体"/>
          <w:szCs w:val="21"/>
        </w:rPr>
      </w:pPr>
      <w:r/>
      <w:bookmarkStart w:id="306" w:name="_Toc103848574"/>
      <w:r/>
      <w:bookmarkStart w:id="307" w:name="_Toc104560888"/>
      <w:r/>
      <w:bookmarkStart w:id="308" w:name="_Toc25647"/>
      <w:r/>
      <w:bookmarkStart w:id="309" w:name="_Toc107246269"/>
      <w:r>
        <w:rPr>
          <w:rFonts w:hint="eastAsia" w:ascii="宋体" w:hAnsi="宋体" w:eastAsia="宋体" w:cs="宋体"/>
          <w:szCs w:val="21"/>
        </w:rPr>
        <w:t xml:space="preserve">40.文件解释权</w:t>
      </w:r>
      <w:bookmarkEnd w:id="306"/>
      <w:r/>
      <w:bookmarkEnd w:id="307"/>
      <w:r/>
      <w:bookmarkEnd w:id="308"/>
      <w:r/>
      <w:bookmarkEnd w:id="309"/>
      <w:r/>
      <w:r/>
    </w:p>
    <w:p>
      <w:pPr>
        <w:ind w:firstLine="420"/>
        <w:jc w:val="left"/>
        <w:spacing w:line="360" w:lineRule="auto"/>
        <w:rPr>
          <w:rFonts w:hint="eastAsia" w:ascii="宋体" w:hAnsi="宋体" w:eastAsia="宋体" w:cs="宋体"/>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szCs w:val="21"/>
        </w:rPr>
        <w:t xml:space="preserve">40.1本招标文件的解释权归采购人（或采购代理机构）所有。</w:t>
      </w:r>
      <w:bookmarkEnd w:id="38"/>
      <w:r/>
      <w:r/>
    </w:p>
    <w:p>
      <w:pPr>
        <w:pStyle w:val="1065"/>
        <w:rPr>
          <w:rFonts w:hint="eastAsia" w:ascii="宋体" w:hAnsi="宋体" w:eastAsia="宋体" w:cs="宋体"/>
        </w:rPr>
      </w:pPr>
      <w:r/>
      <w:bookmarkStart w:id="310" w:name="_Toc91836563"/>
      <w:r/>
      <w:bookmarkStart w:id="311" w:name="_Toc24398"/>
      <w:r>
        <w:rPr>
          <w:rFonts w:hint="eastAsia" w:ascii="宋体" w:hAnsi="宋体" w:eastAsia="宋体" w:cs="宋体"/>
        </w:rPr>
        <w:t xml:space="preserve">第三章 政府采购合同条款</w:t>
      </w:r>
      <w:bookmarkEnd w:id="310"/>
      <w:r>
        <w:rPr>
          <w:rFonts w:hint="eastAsia" w:ascii="宋体" w:hAnsi="宋体" w:eastAsia="宋体" w:cs="宋体"/>
        </w:rPr>
        <w:t xml:space="preserve">及格式</w:t>
      </w:r>
      <w:bookmarkEnd w:id="311"/>
      <w:r/>
      <w:r/>
    </w:p>
    <w:p>
      <w:pPr>
        <w:rPr>
          <w:rFonts w:hint="eastAsia" w:ascii="宋体" w:hAnsi="宋体" w:cs="宋体"/>
          <w:bCs/>
          <w:sz w:val="28"/>
          <w:szCs w:val="28"/>
        </w:rPr>
      </w:pPr>
      <w:r>
        <w:rPr>
          <w:rFonts w:hint="eastAsia" w:ascii="宋体" w:hAnsi="宋体" w:cs="宋体"/>
          <w:bCs/>
          <w:sz w:val="28"/>
          <w:szCs w:val="28"/>
        </w:rPr>
        <w:br w:type="page" w:clear="all"/>
      </w:r>
      <w:r/>
    </w:p>
    <w:p>
      <w:pPr>
        <w:jc w:val="center"/>
        <w:spacing w:line="440" w:lineRule="exact"/>
        <w:rPr>
          <w:rFonts w:hint="eastAsia" w:ascii="宋体" w:hAnsi="宋体" w:cs="宋体"/>
          <w:bCs/>
          <w:sz w:val="28"/>
          <w:szCs w:val="28"/>
        </w:rPr>
      </w:pPr>
      <w:r>
        <w:rPr>
          <w:rFonts w:hint="eastAsia" w:ascii="宋体" w:hAnsi="宋体" w:cs="宋体"/>
          <w:bCs/>
          <w:sz w:val="28"/>
          <w:szCs w:val="28"/>
        </w:rPr>
        <w:t xml:space="preserve">（参考格式，本合同内容条款在正式签署前可具体补充细化，仅作参考，最终合同以采购人法务审查通过的版本为准）</w:t>
      </w:r>
      <w:r/>
    </w:p>
    <w:p>
      <w:pPr>
        <w:jc w:val="center"/>
        <w:rPr>
          <w:b/>
          <w:sz w:val="24"/>
          <w:u w:val="single"/>
        </w:rPr>
      </w:pPr>
      <w:r>
        <w:rPr>
          <w:b/>
          <w:sz w:val="24"/>
          <w:u w:val="single"/>
        </w:rPr>
      </w:r>
      <w:r/>
    </w:p>
    <w:p>
      <w:pPr>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甲方（采购人）</w:t>
      </w:r>
      <w:r>
        <w:rPr>
          <w:rFonts w:hint="eastAsia" w:ascii="宋体" w:hAnsi="Times New Roman" w:eastAsia="宋体" w:cs="Times New Roman"/>
          <w:color w:val="000000"/>
          <w:szCs w:val="21"/>
        </w:rPr>
        <w:t xml:space="preserve">：</w:t>
      </w:r>
      <w:r>
        <w:rPr>
          <w:rFonts w:hint="eastAsia" w:ascii="宋体" w:hAnsi="Times New Roman" w:eastAsia="宋体" w:cs="Times New Roman"/>
          <w:color w:val="000000"/>
          <w:szCs w:val="21"/>
          <w:u w:val="single"/>
          <w:lang w:eastAsia="zh-CN"/>
        </w:rPr>
        <w:t xml:space="preserve">江苏省药品监督检验研究院</w:t>
      </w:r>
      <w:r>
        <w:rPr>
          <w:rFonts w:ascii="宋体" w:hAnsi="Times New Roman" w:eastAsia="宋体" w:cs="Times New Roman"/>
          <w:color w:val="000000"/>
          <w:szCs w:val="21"/>
        </w:rPr>
        <w:t xml:space="preserve">   </w:t>
      </w:r>
      <w:r/>
    </w:p>
    <w:p>
      <w:pPr>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乙方（供应商）</w:t>
      </w:r>
      <w:r>
        <w:rPr>
          <w:rFonts w:hint="eastAsia" w:ascii="宋体" w:hAnsi="Times New Roman" w:eastAsia="宋体" w:cs="Times New Roman"/>
          <w:color w:val="000000"/>
          <w:szCs w:val="21"/>
        </w:rPr>
        <w:t xml:space="preserve">：</w:t>
      </w:r>
      <w:r>
        <w:rPr>
          <w:rFonts w:ascii="宋体" w:hAnsi="Times New Roman" w:eastAsia="宋体" w:cs="Times New Roman"/>
          <w:b/>
          <w:color w:val="000000"/>
          <w:szCs w:val="21"/>
          <w:u w:val="single"/>
        </w:rPr>
        <w:t xml:space="preserve">                          </w:t>
      </w:r>
      <w:r/>
    </w:p>
    <w:p>
      <w:pPr>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招标编号</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 xml:space="preserve">采购代理机构</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p>
    <w:p>
      <w:pPr>
        <w:jc w:val="left"/>
        <w:spacing w:line="360" w:lineRule="auto"/>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 xml:space="preserve">签订时间：</w:t>
      </w:r>
      <w:r>
        <w:rPr>
          <w:rFonts w:ascii="宋体" w:hAnsi="Times New Roman" w:eastAsia="宋体" w:cs="Times New Roman"/>
          <w:color w:val="000000"/>
          <w:szCs w:val="21"/>
          <w:u w:val="single"/>
        </w:rPr>
        <w:t xml:space="preserve">               </w:t>
      </w:r>
      <w:r/>
    </w:p>
    <w:p>
      <w:pPr>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根据《中华人民共和国政府采购法》、《中华人民共和国</w:t>
      </w:r>
      <w:r>
        <w:rPr>
          <w:rFonts w:hint="eastAsia" w:ascii="宋体" w:hAnsi="Times New Roman" w:eastAsia="宋体" w:cs="Times New Roman"/>
          <w:color w:val="000000"/>
          <w:szCs w:val="21"/>
          <w:lang w:val="en-US" w:eastAsia="zh-CN"/>
        </w:rPr>
        <w:t xml:space="preserve">民法典</w:t>
      </w:r>
      <w:r>
        <w:rPr>
          <w:rFonts w:hint="eastAsia" w:ascii="宋体" w:hAnsi="Times New Roman" w:eastAsia="宋体" w:cs="Times New Roman"/>
          <w:color w:val="000000"/>
          <w:szCs w:val="21"/>
        </w:rPr>
        <w:t xml:space="preserve">》等法律、法规规定</w:t>
      </w:r>
      <w:r>
        <w:rPr>
          <w:rFonts w:hint="eastAsia" w:ascii="宋体" w:hAnsi="Times New Roman" w:eastAsia="宋体" w:cs="Times New Roman"/>
          <w:color w:val="000000"/>
          <w:szCs w:val="21"/>
          <w:highlight w:val="none"/>
        </w:rPr>
        <w:t xml:space="preserve">，按照</w:t>
      </w:r>
      <w:r>
        <w:rPr>
          <w:rFonts w:hint="eastAsia" w:ascii="宋体" w:hAnsi="宋体" w:cs="宋体"/>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 xml:space="preserve">（项目编号：</w:t>
      </w:r>
      <w:r>
        <w:rPr>
          <w:rFonts w:hint="eastAsia" w:ascii="宋体" w:hAnsi="Times New Roman" w:eastAsia="宋体" w:cs="Times New Roman"/>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 xml:space="preserve">）</w:t>
      </w:r>
      <w:r>
        <w:rPr>
          <w:rFonts w:ascii="宋体" w:hAnsi="Times New Roman" w:eastAsia="宋体" w:cs="Times New Roman"/>
          <w:color w:val="000000"/>
          <w:szCs w:val="21"/>
          <w:highlight w:val="none"/>
          <w:u w:val="single"/>
        </w:rPr>
        <w:t xml:space="preserve"> </w:t>
      </w:r>
      <w:r>
        <w:rPr>
          <w:rFonts w:hint="eastAsia" w:ascii="宋体" w:hAnsi="Times New Roman" w:eastAsia="宋体" w:cs="Times New Roman"/>
          <w:color w:val="000000"/>
          <w:szCs w:val="21"/>
          <w:highlight w:val="none"/>
        </w:rPr>
        <w:t xml:space="preserve">采购文件、投标（响应</w:t>
      </w:r>
      <w:r>
        <w:rPr>
          <w:rFonts w:hint="eastAsia" w:ascii="宋体" w:hAnsi="Times New Roman" w:eastAsia="宋体" w:cs="Times New Roman"/>
          <w:color w:val="000000"/>
          <w:szCs w:val="21"/>
        </w:rPr>
        <w:t xml:space="preserve">）文件规定条款和中标（成交）供应商承诺，甲方向乙方购置相关</w:t>
      </w:r>
      <w:r>
        <w:rPr>
          <w:rFonts w:hint="eastAsia" w:ascii="宋体" w:hAnsi="Times New Roman" w:eastAsia="宋体" w:cs="Times New Roman"/>
          <w:color w:val="000000"/>
          <w:szCs w:val="21"/>
          <w:lang w:eastAsia="zh-CN"/>
        </w:rPr>
        <w:t xml:space="preserve">服务</w:t>
      </w:r>
      <w:r>
        <w:rPr>
          <w:rFonts w:hint="eastAsia" w:ascii="宋体" w:hAnsi="Times New Roman" w:eastAsia="宋体" w:cs="Times New Roman"/>
          <w:color w:val="000000"/>
          <w:szCs w:val="21"/>
        </w:rPr>
        <w:t xml:space="preserve">，双方同意以下内容（包括合同附件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w:t>
      </w:r>
      <w:r/>
    </w:p>
    <w:p>
      <w:pPr>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第一条　服务内容</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、乙方所提供的服务必须与采购文件和承诺相一致。服务内容、时限、完成标准、服务费见合同附件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所载明的该项服务内容对应的服务费为限。</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、乙方的服务承诺</w:t>
      </w:r>
      <w:r>
        <w:rPr>
          <w:rFonts w:hint="eastAsia" w:ascii="宋体" w:hAnsi="Times New Roman" w:eastAsia="宋体" w:cs="Times New Roman"/>
          <w:color w:val="000000"/>
          <w:szCs w:val="21"/>
          <w:lang w:eastAsia="zh-CN"/>
        </w:rPr>
        <w:t xml:space="preserve">（以最终投标</w:t>
      </w:r>
      <w:r>
        <w:rPr>
          <w:rFonts w:hint="eastAsia" w:ascii="宋体" w:hAnsi="Times New Roman" w:eastAsia="宋体" w:cs="Times New Roman"/>
          <w:color w:val="000000"/>
          <w:szCs w:val="21"/>
          <w:lang w:val="en-US" w:eastAsia="zh-CN"/>
        </w:rPr>
        <w:t xml:space="preserve">/</w:t>
      </w:r>
      <w:r>
        <w:rPr>
          <w:rFonts w:hint="eastAsia" w:ascii="宋体" w:hAnsi="Times New Roman" w:eastAsia="宋体" w:cs="Times New Roman"/>
          <w:color w:val="000000"/>
          <w:szCs w:val="21"/>
          <w:lang w:eastAsia="zh-CN"/>
        </w:rPr>
        <w:t xml:space="preserve">响应文件为准）</w:t>
      </w:r>
      <w:r>
        <w:rPr>
          <w:rFonts w:hint="eastAsia" w:ascii="宋体" w:hAnsi="Times New Roman" w:eastAsia="宋体" w:cs="Times New Roman"/>
          <w:color w:val="000000"/>
          <w:szCs w:val="21"/>
        </w:rPr>
        <w:t xml:space="preserve">：</w:t>
      </w:r>
      <w:r/>
    </w:p>
    <w:p>
      <w:pPr>
        <w:ind w:firstLine="480"/>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第二条　服务费及支付方式</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（人民币）</w:t>
      </w:r>
      <w:r>
        <w:rPr>
          <w:rFonts w:ascii="宋体" w:hAnsi="Times New Roman" w:eastAsia="宋体" w:cs="Times New Roman"/>
          <w:color w:val="000000"/>
          <w:szCs w:val="21"/>
        </w:rPr>
        <w:t xml:space="preserve">:</w:t>
      </w:r>
      <w:r>
        <w:rPr>
          <w:rFonts w:hint="eastAsia" w:ascii="宋体" w:hAnsi="Times New Roman" w:eastAsia="宋体" w:cs="Times New Roman"/>
          <w:color w:val="000000"/>
          <w:szCs w:val="21"/>
        </w:rPr>
        <w:t xml:space="preserve">。</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、本合同约定服务费仅包含合同附件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甲乙双方一致同意项目服务费按阶段以人民币形式支付。每阶段末，甲方将在验收确认该阶段服务完成合格，并且乙方发出该阶段工作的服务费账单及正式有效的税务发票后个工作日内，向乙方支付约定的服务费。</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、阶段付款的比例及时间约定如下：</w:t>
      </w:r>
      <w:r/>
    </w:p>
    <w:p>
      <w:pPr>
        <w:ind w:left="-61" w:firstLine="514"/>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第一次付款：自合同签订之日起，收到发票后一周内，采购人支付合同价款的90%；第二次付款：自合同签订之日起一年内，采购人支付剩余10%合同价款。 </w:t>
      </w:r>
      <w:r/>
    </w:p>
    <w:p>
      <w:pPr>
        <w:ind w:left="-61" w:firstLine="517"/>
        <w:spacing w:line="360" w:lineRule="auto"/>
        <w:rPr>
          <w:rFonts w:hint="eastAsia" w:ascii="宋体" w:hAnsi="Times New Roman" w:eastAsia="宋体" w:cs="Times New Roman"/>
          <w:b/>
          <w:bCs/>
          <w:color w:val="000000"/>
          <w:szCs w:val="21"/>
        </w:rPr>
      </w:pPr>
      <w:r>
        <w:rPr>
          <w:rFonts w:hint="eastAsia" w:ascii="宋体" w:hAnsi="Times New Roman" w:eastAsia="宋体" w:cs="Times New Roman"/>
          <w:b/>
          <w:bCs/>
          <w:color w:val="000000"/>
          <w:szCs w:val="21"/>
        </w:rPr>
        <w:t xml:space="preserve">若提供的服务存在质量问题，则不受该付款条件约束，应按照本合条款其他要求以及合同法有关规定执行。</w:t>
      </w:r>
      <w:r/>
    </w:p>
    <w:p>
      <w:pPr>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w:t>
      </w:r>
      <w:r/>
    </w:p>
    <w:p>
      <w:pPr>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6</w:t>
      </w:r>
      <w:r>
        <w:rPr>
          <w:rFonts w:hint="eastAsia" w:ascii="宋体" w:hAnsi="Times New Roman" w:eastAsia="宋体" w:cs="Times New Roman"/>
          <w:color w:val="000000"/>
          <w:szCs w:val="21"/>
        </w:rPr>
        <w:t xml:space="preserve">、有关发票方面的任何问题，甲方应在收到发票后及时书面通知乙方，乙方应及时作出解释或解决问题，以使甲方能按时付款。</w:t>
      </w:r>
      <w:r/>
    </w:p>
    <w:p>
      <w:pPr>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7</w:t>
      </w:r>
      <w:r>
        <w:rPr>
          <w:rFonts w:hint="eastAsia" w:ascii="宋体" w:hAnsi="Times New Roman" w:eastAsia="宋体" w:cs="Times New Roman"/>
          <w:color w:val="000000"/>
          <w:szCs w:val="21"/>
        </w:rPr>
        <w:t xml:space="preserve">、乙方将自行承担项目实施范围内合理的差旅费用。</w:t>
      </w:r>
      <w:r/>
    </w:p>
    <w:p>
      <w:pPr>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8</w:t>
      </w:r>
      <w:r>
        <w:rPr>
          <w:rFonts w:hint="eastAsia" w:ascii="宋体" w:hAnsi="Times New Roman" w:eastAsia="宋体" w:cs="Times New Roman"/>
          <w:color w:val="000000"/>
          <w:szCs w:val="21"/>
        </w:rPr>
        <w:t xml:space="preserve">、乙方同意免除项目杂费。</w:t>
      </w:r>
      <w:r/>
    </w:p>
    <w:p>
      <w:pPr>
        <w:ind w:left="-61" w:firstLine="588"/>
        <w:spacing w:line="360" w:lineRule="auto"/>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 xml:space="preserve">第三条　履约、质量保证金</w:t>
      </w:r>
      <w:r>
        <w:rPr>
          <w:rFonts w:hint="eastAsia" w:ascii="宋体" w:hAnsi="Times New Roman" w:eastAsia="宋体" w:cs="Times New Roman"/>
          <w:b/>
          <w:color w:val="000000"/>
          <w:szCs w:val="21"/>
          <w:lang w:eastAsia="zh-CN"/>
        </w:rPr>
        <w:t xml:space="preserve">（如有）</w:t>
      </w:r>
      <w:r/>
    </w:p>
    <w:p>
      <w:pPr>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、乙方在签订本合同之前，须按本合同约定服务费总金额（≤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）比例向甲方交纳履约保证金。待服务验收合格无异议后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个工作日内无息返还。</w:t>
      </w:r>
      <w:r/>
    </w:p>
    <w:p>
      <w:pPr>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、甲方按本合同总价款</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比例留存质量保证金，质量保证期</w:t>
      </w:r>
      <w:r>
        <w:rPr>
          <w:rFonts w:ascii="宋体" w:hAnsi="Times New Roman" w:eastAsia="宋体" w:cs="Times New Roman"/>
          <w:color w:val="000000"/>
          <w:szCs w:val="21"/>
        </w:rPr>
        <w:t xml:space="preserve">____</w:t>
      </w:r>
      <w:r>
        <w:rPr>
          <w:rFonts w:hint="eastAsia" w:ascii="宋体" w:hAnsi="Times New Roman" w:eastAsia="宋体" w:cs="Times New Roman"/>
          <w:color w:val="000000"/>
          <w:szCs w:val="21"/>
        </w:rPr>
        <w:t xml:space="preserve">个月，甲方应在质量保证期届满后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个工作日内按规定无息返还乙方。</w:t>
      </w:r>
      <w:r/>
    </w:p>
    <w:p>
      <w:pPr>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第四条　合同的变更、终止与转让</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、本合同一经签订，甲乙双方不得擅自变更、中止或终止。</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、乙方不得擅自转让其应履行的合同义务。</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、双方除非事先得到对方的书面同意或本合同另有约定，任何一方不得将本合同项下的任何权利、义务、责任转让给任何第三方。</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、乙方逾期未完成约定义务超过日，甲方有权单方解除本合同。</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、乙方履行本合同约定义务时，未达到甲方要求，修改或整改超过次，仍然无法达到甲方要求，甲方有权单方解除本合同。</w:t>
      </w:r>
      <w:r/>
    </w:p>
    <w:p>
      <w:pPr>
        <w:ind w:left="56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违约责任</w:t>
      </w:r>
      <w:r/>
    </w:p>
    <w:p>
      <w:pPr>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xml:space="preserve"> </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、乙方逾期完成服务的，乙方应按本合同约定服务费总金额每日</w:t>
      </w: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‰比例向甲方支付违约金，由甲方从待付款中扣除；逾期超过约定日期</w:t>
      </w:r>
      <w:r>
        <w:rPr>
          <w:rFonts w:ascii="宋体" w:hAnsi="Times New Roman" w:eastAsia="宋体" w:cs="Times New Roman"/>
          <w:color w:val="000000"/>
          <w:szCs w:val="21"/>
        </w:rPr>
        <w:t xml:space="preserve">15</w:t>
      </w:r>
      <w:r>
        <w:rPr>
          <w:rFonts w:hint="eastAsia" w:ascii="宋体" w:hAnsi="Times New Roman" w:eastAsia="宋体" w:cs="Times New Roman"/>
          <w:color w:val="000000"/>
          <w:szCs w:val="21"/>
        </w:rPr>
        <w:t xml:space="preserve">个工作日不能完成服务的，甲方可解除本合同。</w:t>
      </w:r>
      <w:r/>
    </w:p>
    <w:p>
      <w:pPr>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、乙方因逾期完成服务或因其他违约行为导致甲方解除合同的，乙方应向甲方支付本合同约定服务费总金额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比例的违约金，如造成甲方损失超过违约金的，超出部分由乙方继续承担赔偿责任。</w:t>
      </w:r>
      <w:r/>
    </w:p>
    <w:p>
      <w:pPr>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第六条　争议处理</w:t>
      </w:r>
      <w:r/>
    </w:p>
    <w:p>
      <w:pPr>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甲乙双方如对本合同约定条款的理解存在歧义或在本合同履行过程中发生争议，双方应友好协商解决，协商不能解决的，任何一方均可向甲方所在地人民法院提起诉讼。</w:t>
      </w:r>
      <w:r/>
    </w:p>
    <w:p>
      <w:pPr>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不可抗力</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其他</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和合同附件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是本合同不可分割的组成部分，与本合同具有同等法律效力。</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、本合同未尽事宜，由甲乙双方负责人协商后达成书面补充协议，补充协议具备与本合同同等法律效力。</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、对本合同内容的任何修改和变更需要用书面形式，并经双方签字盖章后生效。</w:t>
      </w:r>
      <w:r/>
    </w:p>
    <w:p>
      <w:pPr>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第九条　签订本合同依据</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、甲方发出的采购文件、中标（成交）通知书；</w:t>
      </w:r>
      <w:r/>
    </w:p>
    <w:p>
      <w:pPr>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、乙方提供的投标（响应）文件；</w:t>
      </w:r>
      <w:r/>
    </w:p>
    <w:p>
      <w:pPr>
        <w:ind w:firstLine="420"/>
        <w:spacing w:line="360" w:lineRule="auto"/>
        <w:rPr>
          <w:rFonts w:ascii="宋体" w:hAnsi="Times New Roman" w:eastAsia="宋体" w:cs="Times New Roman"/>
          <w:color w:val="000000"/>
          <w:szCs w:val="21"/>
          <w:u w:val="single"/>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、投标承诺书</w:t>
      </w:r>
      <w:r>
        <w:rPr>
          <w:rFonts w:hint="eastAsia" w:ascii="宋体" w:hAnsi="Times New Roman" w:eastAsia="宋体" w:cs="Times New Roman"/>
          <w:color w:val="000000"/>
          <w:szCs w:val="21"/>
          <w:lang w:eastAsia="zh-CN"/>
        </w:rPr>
        <w:t xml:space="preserve">及供应商所签署的其他说明类文件</w:t>
      </w:r>
      <w:r>
        <w:rPr>
          <w:rFonts w:hint="eastAsia" w:ascii="宋体" w:hAnsi="Times New Roman" w:eastAsia="宋体" w:cs="Times New Roman"/>
          <w:color w:val="000000"/>
          <w:szCs w:val="21"/>
        </w:rPr>
        <w:t xml:space="preserve">。</w:t>
      </w:r>
      <w:r/>
    </w:p>
    <w:p>
      <w:pPr>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第十条　</w:t>
      </w:r>
      <w:r>
        <w:rPr>
          <w:rFonts w:hint="eastAsia" w:ascii="宋体" w:hAnsi="Times New Roman" w:eastAsia="宋体" w:cs="Times New Roman"/>
          <w:color w:val="000000"/>
          <w:szCs w:val="21"/>
        </w:rPr>
        <w:t xml:space="preserve">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份。（如有需要可另增加）</w:t>
      </w:r>
      <w:r/>
    </w:p>
    <w:p>
      <w:pPr>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本合同自甲乙双方签字盖章后生效。</w:t>
      </w:r>
      <w:r/>
    </w:p>
    <w:tbl>
      <w:tblPr>
        <w:tblStyle w:val="1036"/>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jc w:val="center"/>
          <w:trHeight w:val="90"/>
        </w:trPr>
        <w:tc>
          <w:tcPr>
            <w:tcW w:w="4516"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甲方（公章）</w:t>
            </w:r>
            <w:r/>
          </w:p>
          <w:p>
            <w:pPr>
              <w:ind w:firstLine="560"/>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乙方（公章）</w:t>
            </w:r>
            <w:r/>
          </w:p>
          <w:p>
            <w:pPr>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p>
        </w:tc>
      </w:tr>
      <w:tr>
        <w:trPr>
          <w:cantSplit/>
          <w:jc w:val="center"/>
          <w:trHeight w:val="297"/>
        </w:trPr>
        <w:tc>
          <w:tcPr>
            <w:tcW w:w="4516"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u w:val="single"/>
              </w:rPr>
              <w:t xml:space="preserve">                   </w:t>
            </w:r>
            <w:r/>
          </w:p>
        </w:tc>
      </w:tr>
      <w:tr>
        <w:trPr>
          <w:cantSplit/>
          <w:jc w:val="center"/>
          <w:trHeight w:val="90"/>
        </w:trPr>
        <w:tc>
          <w:tcPr>
            <w:tcW w:w="4516"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p>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p>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p>
        </w:tc>
      </w:tr>
      <w:tr>
        <w:trPr>
          <w:cantSplit/>
          <w:jc w:val="center"/>
          <w:trHeight w:val="320"/>
        </w:trPr>
        <w:tc>
          <w:tcPr>
            <w:tcW w:w="4516" w:type="dxa"/>
            <w:vAlign w:val="center"/>
            <w:textDirection w:val="lrTb"/>
            <w:noWrap w:val="false"/>
          </w:tcPr>
          <w:p>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p>
        </w:tc>
      </w:tr>
      <w:tr>
        <w:trPr>
          <w:cantSplit/>
          <w:jc w:val="center"/>
          <w:trHeight w:val="347"/>
        </w:trPr>
        <w:tc>
          <w:tcPr>
            <w:tcW w:w="4516" w:type="dxa"/>
            <w:vAlign w:val="center"/>
            <w:textDirection w:val="lrTb"/>
            <w:noWrap w:val="false"/>
          </w:tcPr>
          <w:p>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p>
        </w:tc>
      </w:tr>
      <w:tr>
        <w:trPr>
          <w:cantSplit/>
          <w:jc w:val="center"/>
          <w:trHeight w:val="402"/>
        </w:trPr>
        <w:tc>
          <w:tcPr>
            <w:tcW w:w="4516" w:type="dxa"/>
            <w:vAlign w:val="center"/>
            <w:textDirection w:val="lrTb"/>
            <w:noWrap w:val="false"/>
          </w:tcPr>
          <w:p>
            <w:pPr>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 xml:space="preserve">开户银行：</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开户银行：</w:t>
            </w:r>
            <w:r/>
          </w:p>
        </w:tc>
      </w:tr>
      <w:tr>
        <w:trPr>
          <w:cantSplit/>
          <w:jc w:val="center"/>
          <w:trHeight w:val="369"/>
        </w:trPr>
        <w:tc>
          <w:tcPr>
            <w:tcW w:w="4516" w:type="dxa"/>
            <w:vAlign w:val="center"/>
            <w:textDirection w:val="lrTb"/>
            <w:noWrap w:val="false"/>
          </w:tcPr>
          <w:p>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p>
        </w:tc>
      </w:tr>
      <w:tr>
        <w:trPr>
          <w:cantSplit/>
          <w:jc w:val="center"/>
          <w:trHeight w:val="311"/>
        </w:trPr>
        <w:tc>
          <w:tcPr>
            <w:tcW w:w="4516" w:type="dxa"/>
            <w:vAlign w:val="center"/>
            <w:textDirection w:val="lrTb"/>
            <w:noWrap w:val="false"/>
          </w:tcPr>
          <w:p>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p>
        </w:tc>
        <w:tc>
          <w:tcPr>
            <w:tcW w:w="4517" w:type="dxa"/>
            <w:vAlign w:val="center"/>
            <w:textDirection w:val="lrTb"/>
            <w:noWrap w:val="false"/>
          </w:tcPr>
          <w:p>
            <w:pPr>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p>
        </w:tc>
      </w:tr>
    </w:tbl>
    <w:p>
      <w:pPr>
        <w:jc w:val="left"/>
        <w:widowControl/>
        <w:rPr>
          <w:rFonts w:ascii="Times New Roman" w:hAnsi="Times New Roman" w:eastAsia="宋体" w:cs="Times New Roman"/>
          <w:b/>
          <w:szCs w:val="21"/>
        </w:rPr>
      </w:pPr>
      <w:r>
        <w:rPr>
          <w:rFonts w:ascii="Times New Roman" w:hAnsi="Times New Roman" w:eastAsia="宋体" w:cs="Times New Roman"/>
          <w:b/>
          <w:szCs w:val="21"/>
        </w:rPr>
      </w:r>
      <w:r/>
    </w:p>
    <w:p>
      <w:pPr>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spacing w:line="360" w:lineRule="auto"/>
        <w:rPr>
          <w:rFonts w:hint="eastAsia"/>
          <w:b/>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pPr>
      <w:r>
        <w:rPr>
          <w:rFonts w:hint="eastAsia"/>
          <w:b/>
          <w:szCs w:val="21"/>
        </w:rPr>
      </w:r>
      <w:r/>
    </w:p>
    <w:p>
      <w:pPr>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附件A：</w:t>
      </w:r>
      <w:r/>
    </w:p>
    <w:tbl>
      <w:tblPr>
        <w:tblStyle w:val="1036"/>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827"/>
        <w:gridCol w:w="1406"/>
        <w:gridCol w:w="1406"/>
        <w:gridCol w:w="1411"/>
      </w:tblGrid>
      <w:tr>
        <w:trPr>
          <w:trHeight w:val="767"/>
        </w:trPr>
        <w:tc>
          <w:tcPr>
            <w:tcW w:w="959"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序号</w:t>
            </w:r>
            <w:r/>
          </w:p>
        </w:tc>
        <w:tc>
          <w:tcPr>
            <w:tcW w:w="3827"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服务内容</w:t>
            </w:r>
            <w:r/>
          </w:p>
        </w:tc>
        <w:tc>
          <w:tcPr>
            <w:tcW w:w="1406"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时限</w:t>
            </w:r>
            <w:r/>
          </w:p>
        </w:tc>
        <w:tc>
          <w:tcPr>
            <w:tcW w:w="1406"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完成标准</w:t>
            </w:r>
            <w:r/>
          </w:p>
        </w:tc>
        <w:tc>
          <w:tcPr>
            <w:tcW w:w="1411" w:type="dxa"/>
            <w:vAlign w:val="center"/>
            <w:textDirection w:val="lrTb"/>
            <w:noWrap w:val="false"/>
          </w:tcPr>
          <w:p>
            <w:pPr>
              <w:jc w:val="center"/>
              <w:rPr>
                <w:rFonts w:hint="eastAsia" w:ascii="Times New Roman" w:hAnsi="宋体" w:eastAsia="宋体" w:cs="Times New Roman"/>
                <w:szCs w:val="21"/>
                <w:lang w:eastAsia="zh-CN"/>
              </w:rPr>
            </w:pPr>
            <w:r>
              <w:rPr>
                <w:rFonts w:hint="eastAsia" w:ascii="Times New Roman" w:hAnsi="宋体" w:eastAsia="宋体" w:cs="Times New Roman"/>
                <w:szCs w:val="21"/>
              </w:rPr>
              <w:t xml:space="preserve">服务</w:t>
            </w:r>
            <w:r>
              <w:rPr>
                <w:rFonts w:hint="eastAsia" w:ascii="Times New Roman" w:hAnsi="宋体" w:eastAsia="宋体" w:cs="Times New Roman"/>
                <w:szCs w:val="21"/>
                <w:lang w:eastAsia="zh-CN"/>
              </w:rPr>
              <w:t xml:space="preserve">费</w:t>
            </w:r>
            <w:r/>
          </w:p>
        </w:tc>
      </w:tr>
      <w:tr>
        <w:trPr>
          <w:trHeight w:val="437"/>
        </w:trPr>
        <w:tc>
          <w:tcPr>
            <w:tcW w:w="959"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1</w:t>
            </w:r>
            <w:r/>
          </w:p>
        </w:tc>
        <w:tc>
          <w:tcPr>
            <w:tcW w:w="3827"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5"/>
        </w:trPr>
        <w:tc>
          <w:tcPr>
            <w:tcW w:w="959"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2</w:t>
            </w:r>
            <w:r/>
          </w:p>
        </w:tc>
        <w:tc>
          <w:tcPr>
            <w:tcW w:w="3827"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jc w:val="center"/>
              <w:rPr>
                <w:rFonts w:ascii="Times New Roman" w:hAnsi="宋体" w:eastAsia="宋体" w:cs="Times New Roman"/>
                <w:szCs w:val="21"/>
              </w:rPr>
            </w:pPr>
            <w:r>
              <w:rPr>
                <w:rFonts w:hint="eastAsia" w:ascii="Times New Roman" w:hAnsi="宋体" w:eastAsia="宋体" w:cs="Times New Roman"/>
                <w:szCs w:val="21"/>
              </w:rPr>
              <w:t xml:space="preserve">3</w:t>
            </w:r>
            <w:r/>
          </w:p>
        </w:tc>
        <w:tc>
          <w:tcPr>
            <w:tcW w:w="3827"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w:t>
            </w:r>
            <w:r/>
          </w:p>
        </w:tc>
        <w:tc>
          <w:tcPr>
            <w:tcW w:w="3827"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592"/>
        </w:trPr>
        <w:tc>
          <w:tcPr>
            <w:tcW w:w="959"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3827"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gridSpan w:val="2"/>
            <w:tcBorders>
              <w:top w:val="single" w:color="auto" w:sz="4" w:space="0"/>
              <w:left w:val="single" w:color="auto" w:sz="4" w:space="0"/>
              <w:bottom w:val="single" w:color="auto" w:sz="4" w:space="0"/>
              <w:right w:val="single" w:color="auto" w:sz="4" w:space="0"/>
            </w:tcBorders>
            <w:tcW w:w="4786" w:type="dxa"/>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甲方（公章）</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p>
        </w:tc>
        <w:tc>
          <w:tcPr>
            <w:gridSpan w:val="3"/>
            <w:tcBorders>
              <w:top w:val="single" w:color="auto" w:sz="4" w:space="0"/>
              <w:left w:val="single" w:color="auto" w:sz="4" w:space="0"/>
              <w:bottom w:val="single" w:color="auto" w:sz="4" w:space="0"/>
              <w:right w:val="single" w:color="auto" w:sz="4" w:space="0"/>
            </w:tcBorders>
            <w:tcW w:w="4223" w:type="dxa"/>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乙方（公章）</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p>
        </w:tc>
      </w:tr>
    </w:tbl>
    <w:p>
      <w:pPr>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spacing w:line="360" w:lineRule="auto"/>
        <w:rPr>
          <w:b/>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b/>
          <w:szCs w:val="21"/>
        </w:rPr>
      </w:r>
      <w:r/>
    </w:p>
    <w:p>
      <w:pPr>
        <w:spacing w:line="360" w:lineRule="auto"/>
        <w:rPr>
          <w:rFonts w:ascii="Times New Roman" w:hAnsi="Times New Roman" w:eastAsia="宋体" w:cs="Times New Roman"/>
        </w:rPr>
      </w:pPr>
      <w:r>
        <w:rPr>
          <w:rFonts w:ascii="Times New Roman" w:hAnsi="Times New Roman" w:eastAsia="宋体" w:cs="Times New Roman"/>
          <w:b/>
          <w:szCs w:val="21"/>
        </w:rPr>
        <w:t xml:space="preserve">附件</w:t>
      </w:r>
      <w:r>
        <w:rPr>
          <w:rFonts w:hint="eastAsia" w:ascii="Times New Roman" w:hAnsi="Times New Roman" w:eastAsia="宋体" w:cs="Times New Roman"/>
          <w:b/>
          <w:szCs w:val="21"/>
          <w:lang w:val="en-US" w:eastAsia="zh-CN"/>
        </w:rPr>
        <w:t xml:space="preserve">B</w:t>
      </w:r>
      <w:r>
        <w:rPr>
          <w:rFonts w:hint="eastAsia" w:ascii="Times New Roman" w:hAnsi="Times New Roman" w:eastAsia="宋体" w:cs="Times New Roman"/>
          <w:b/>
          <w:szCs w:val="21"/>
        </w:rPr>
        <w:t xml:space="preserve">：</w:t>
      </w:r>
      <w:r/>
    </w:p>
    <w:p>
      <w:pPr>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承诺书（如有）</w:t>
      </w:r>
      <w:r/>
    </w:p>
    <w:p>
      <w:pPr>
        <w:jc w:val="cente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（参考格式）</w:t>
      </w:r>
      <w:r/>
    </w:p>
    <w:tbl>
      <w:tblPr>
        <w:tblStyle w:val="1036"/>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2"/>
        <w:gridCol w:w="4679"/>
      </w:tblGrid>
      <w:tr>
        <w:trPr>
          <w:jc w:val="center"/>
          <w:trHeight w:val="454" w:hRule="exact"/>
        </w:trPr>
        <w:tc>
          <w:tcPr>
            <w:gridSpan w:val="2"/>
            <w:tcBorders>
              <w:top w:val="single" w:color="auto" w:sz="4" w:space="0"/>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lang w:eastAsia="zh-CN"/>
              </w:rPr>
              <w:t xml:space="preserve">投标人</w:t>
            </w:r>
            <w:r>
              <w:rPr>
                <w:rFonts w:ascii="Times New Roman" w:hAnsi="Times New Roman" w:eastAsia="宋体" w:cs="Times New Roman"/>
                <w:szCs w:val="21"/>
              </w:rPr>
              <w:t xml:space="preserve">承诺具体事项：</w:t>
            </w:r>
            <w:r/>
          </w:p>
        </w:tc>
      </w:tr>
      <w:tr>
        <w:trPr>
          <w:jc w:val="center"/>
          <w:trHeight w:val="454" w:hRule="exact"/>
        </w:trPr>
        <w:tc>
          <w:tcPr>
            <w:gridSpan w:val="2"/>
            <w:tcBorders>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4" w:hRule="exact"/>
        </w:trPr>
        <w:tc>
          <w:tcPr>
            <w:gridSpan w:val="2"/>
            <w:tcBorders>
              <w:left w:val="single" w:color="auto" w:sz="4" w:space="0"/>
              <w:bottom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t xml:space="preserve">2、售后服务具体事项：</w:t>
            </w:r>
            <w:r/>
          </w:p>
        </w:tc>
      </w:tr>
      <w:tr>
        <w:trPr>
          <w:jc w:val="center"/>
          <w:trHeight w:val="454" w:hRule="exact"/>
        </w:trPr>
        <w:tc>
          <w:tcPr>
            <w:gridSpan w:val="2"/>
            <w:tcBorders>
              <w:top w:val="single" w:color="auto" w:sz="4" w:space="0"/>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4" w:hRule="exact"/>
        </w:trPr>
        <w:tc>
          <w:tcPr>
            <w:gridSpan w:val="2"/>
            <w:tcBorders>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t xml:space="preserve">3、其他具体事项：</w:t>
            </w:r>
            <w:r/>
          </w:p>
        </w:tc>
      </w:tr>
      <w:tr>
        <w:trPr>
          <w:jc w:val="center"/>
          <w:trHeight w:val="454" w:hRule="exact"/>
        </w:trPr>
        <w:tc>
          <w:tcPr>
            <w:gridSpan w:val="2"/>
            <w:tcBorders>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4" w:hRule="exact"/>
        </w:trPr>
        <w:tc>
          <w:tcPr>
            <w:gridSpan w:val="2"/>
            <w:tcBorders>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4" w:hRule="exact"/>
        </w:trPr>
        <w:tc>
          <w:tcPr>
            <w:gridSpan w:val="2"/>
            <w:tcBorders>
              <w:left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454" w:hRule="exact"/>
        </w:trPr>
        <w:tc>
          <w:tcPr>
            <w:gridSpan w:val="2"/>
            <w:tcBorders>
              <w:left w:val="single" w:color="auto" w:sz="4" w:space="0"/>
              <w:bottom w:val="single" w:color="auto" w:sz="4" w:space="0"/>
              <w:right w:val="single" w:color="auto" w:sz="4" w:space="0"/>
            </w:tcBorders>
            <w:tcW w:w="9421"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r>
            <w:r/>
          </w:p>
        </w:tc>
      </w:tr>
      <w:tr>
        <w:trPr>
          <w:jc w:val="center"/>
          <w:trHeight w:val="2577"/>
        </w:trPr>
        <w:tc>
          <w:tcPr>
            <w:tcBorders>
              <w:top w:val="single" w:color="auto" w:sz="4" w:space="0"/>
              <w:left w:val="single" w:color="auto" w:sz="4" w:space="0"/>
              <w:bottom w:val="single" w:color="auto" w:sz="4" w:space="0"/>
              <w:right w:val="single" w:color="auto" w:sz="4" w:space="0"/>
            </w:tcBorders>
            <w:tcW w:w="4742"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ind w:firstLine="525"/>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rPr>
                <w:rFonts w:ascii="Times New Roman" w:hAnsi="Times New Roman" w:eastAsia="宋体" w:cs="Times New Roman"/>
                <w:szCs w:val="21"/>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ind w:firstLine="630"/>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p>
          <w:p>
            <w:pPr>
              <w:ind w:firstLine="630"/>
              <w:rPr>
                <w:rFonts w:ascii="Times New Roman" w:hAnsi="Times New Roman" w:eastAsia="宋体" w:cs="Times New Roman"/>
                <w:szCs w:val="21"/>
              </w:rPr>
            </w:pPr>
            <w:r>
              <w:rPr>
                <w:rFonts w:ascii="Times New Roman" w:hAnsi="Times New Roman" w:eastAsia="宋体" w:cs="Times New Roman"/>
                <w:szCs w:val="21"/>
              </w:rPr>
            </w:r>
            <w:r/>
          </w:p>
        </w:tc>
      </w:tr>
    </w:tbl>
    <w:p>
      <w:pPr>
        <w:jc w:val="center"/>
        <w:rPr>
          <w:rFonts w:hint="eastAsia" w:ascii="微软雅黑" w:hAnsi="微软雅黑" w:eastAsia="微软雅黑"/>
          <w:b/>
          <w:color w:val="000000"/>
          <w:sz w:val="36"/>
          <w:szCs w:val="36"/>
        </w:rPr>
      </w:pPr>
      <w:r>
        <w:rPr>
          <w:rFonts w:ascii="Times New Roman" w:hAnsi="Times New Roman" w:eastAsia="宋体" w:cs="Times New Roman"/>
          <w:szCs w:val="21"/>
        </w:rPr>
        <w:t xml:space="preserve">注：售后服务事项填不下时可另加附页</w:t>
      </w:r>
      <w:r/>
    </w:p>
    <w:p>
      <w:pPr>
        <w:pStyle w:val="1316"/>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cs="宋体"/>
          <w:b/>
          <w:color w:val="000000"/>
          <w:szCs w:val="21"/>
          <w:highlight w:val="none"/>
        </w:rPr>
        <w:sectPr>
          <w:footerReference w:type="default" r:id="rId18"/>
          <w:footerReference w:type="first" r:id="rId19"/>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rPr>
          <w:rFonts w:hint="eastAsia"/>
        </w:rPr>
      </w:pPr>
      <w:r>
        <w:rPr>
          <w:rFonts w:hint="eastAsia"/>
        </w:rPr>
      </w:r>
      <w:r/>
    </w:p>
    <w:p>
      <w:pPr>
        <w:pStyle w:val="1065"/>
        <w:keepLines w:val="0"/>
        <w:keepNext w:val="0"/>
        <w:pageBreakBefore w:val="0"/>
        <w:spacing w:line="360" w:lineRule="auto"/>
        <w:widowControl w:val="off"/>
        <w:rPr>
          <w:rFonts w:hint="eastAsia" w:ascii="宋体" w:hAnsi="宋体" w:eastAsia="宋体" w:cs="宋体"/>
          <w:sz w:val="24"/>
          <w:lang w:val="zh-CN"/>
        </w:rPr>
      </w:pPr>
      <w:r/>
      <w:bookmarkStart w:id="312" w:name="_Toc31774"/>
      <w:r>
        <w:rPr>
          <w:rFonts w:hint="eastAsia" w:ascii="宋体" w:hAnsi="宋体" w:eastAsia="宋体" w:cs="宋体"/>
        </w:rPr>
        <w:t xml:space="preserve">第四章 项目需求</w:t>
      </w:r>
      <w:r/>
    </w:p>
    <w:p>
      <w:pPr>
        <w:ind w:firstLine="482"/>
        <w:spacing w:line="360" w:lineRule="auto"/>
        <w:rPr>
          <w:rFonts w:hint="eastAsia" w:ascii="宋体" w:hAnsi="宋体" w:cs="宋体"/>
          <w:b/>
          <w:color w:val="000000"/>
          <w:sz w:val="24"/>
        </w:rPr>
      </w:pPr>
      <w:r/>
      <w:bookmarkStart w:id="313" w:name="_Hlk93775766"/>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2、▲号条款（如果有）为重要技术条款，重要技术条款和一般技术条款偏离将导致扣分。</w:t>
      </w:r>
      <w:r/>
    </w:p>
    <w:p>
      <w:pPr>
        <w:keepLines w:val="0"/>
        <w:keepNext w:val="0"/>
        <w:pageBreakBefore w:val="0"/>
        <w:spacing w:before="20" w:after="2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一、设备清单</w:t>
      </w:r>
      <w:r/>
    </w:p>
    <w:p>
      <w:pPr>
        <w:pStyle w:val="1314"/>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为以下设备提供全周期维保服务，含现场检修、维修、保养、原厂备品备件供应、软件维护等，确保维保期内设备正常运行，无故障影响使用。</w:t>
      </w:r>
      <w:r/>
    </w:p>
    <w:tbl>
      <w:tblPr>
        <w:tblStyle w:val="1036"/>
        <w:tblW w:w="4996" w:type="pct"/>
        <w:jc w:val="center"/>
        <w:tblLayout w:type="fixed"/>
        <w:tblCellMar>
          <w:left w:w="108" w:type="dxa"/>
          <w:top w:w="0" w:type="dxa"/>
          <w:right w:w="108" w:type="dxa"/>
          <w:bottom w:w="0" w:type="dxa"/>
        </w:tblCellMar>
        <w:tblLook w:val="04A0" w:firstRow="1" w:lastRow="0" w:firstColumn="1" w:lastColumn="0" w:noHBand="0" w:noVBand="1"/>
      </w:tblPr>
      <w:tblGrid>
        <w:gridCol w:w="697"/>
        <w:gridCol w:w="3229"/>
        <w:gridCol w:w="3102"/>
        <w:gridCol w:w="1251"/>
        <w:gridCol w:w="1351"/>
      </w:tblGrid>
      <w:tr>
        <w:trPr>
          <w:jc w:val="center"/>
          <w:trHeight w:val="255"/>
        </w:trPr>
        <w:tc>
          <w:tcPr>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76" w:type="pct"/>
            <w:vAlign w:val="center"/>
            <w:vMerge w:val="restart"/>
            <w:textDirection w:val="lrTb"/>
            <w:noWrap/>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610" w:type="pct"/>
            <w:vAlign w:val="center"/>
            <w:vMerge w:val="restart"/>
            <w:textDirection w:val="lrTb"/>
            <w:noWrap/>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lang w:bidi="ar"/>
              </w:rPr>
              <w:t xml:space="preserve">规格型号</w:t>
            </w:r>
            <w:r/>
          </w:p>
        </w:tc>
        <w:tc>
          <w:tcPr>
            <w:gridSpan w:val="2"/>
            <w:tcBorders>
              <w:top w:val="single" w:color="000000" w:sz="4" w:space="0"/>
              <w:left w:val="single" w:color="000000" w:sz="4" w:space="0"/>
              <w:bottom w:val="single" w:color="000000" w:sz="4" w:space="0"/>
              <w:right w:val="single" w:color="000000" w:sz="4" w:space="0"/>
            </w:tcBorders>
            <w:tcW w:w="1350"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lang w:bidi="ar"/>
              </w:rPr>
            </w:pPr>
            <w:r>
              <w:rPr>
                <w:rFonts w:hint="default" w:ascii="Times New Roman" w:hAnsi="Times New Roman" w:eastAsia="宋体" w:cs="Times New Roman"/>
                <w:b/>
                <w:bCs/>
                <w:color w:val="000000"/>
                <w:sz w:val="24"/>
                <w:szCs w:val="24"/>
                <w:lang w:bidi="ar"/>
              </w:rPr>
              <w:t xml:space="preserve">服务内容</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tcPr>
          <w:p>
            <w:pPr>
              <w:jc w:val="center"/>
              <w:keepLines w:val="0"/>
              <w:keepNext w:val="0"/>
              <w:pageBreakBefore w:val="0"/>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76" w:type="pct"/>
            <w:vAlign w:val="center"/>
            <w:vMerge w:val="continue"/>
            <w:textDirection w:val="lrTb"/>
            <w:noWrap/>
          </w:tcPr>
          <w:p>
            <w:pPr>
              <w:jc w:val="center"/>
              <w:keepLines w:val="0"/>
              <w:keepNext w:val="0"/>
              <w:pageBreakBefore w:val="0"/>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610" w:type="pct"/>
            <w:vAlign w:val="center"/>
            <w:vMerge w:val="continue"/>
            <w:textDirection w:val="lrTb"/>
            <w:noWrap/>
          </w:tcPr>
          <w:p>
            <w:pPr>
              <w:jc w:val="center"/>
              <w:keepLines w:val="0"/>
              <w:keepNext w:val="0"/>
              <w:pageBreakBefore w:val="0"/>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lang w:bidi="ar"/>
              </w:rPr>
              <w:t xml:space="preserve">保修</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lang w:bidi="ar"/>
              </w:rPr>
              <w:t xml:space="preserve">预防性维护保养</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离子色谱仪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ICS-6000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VANQUISH</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VANQUISH</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红外光谱仪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IS50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rPr>
              <w:t xml:space="preserve">Vanquish Horizon</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Q Exactive</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Q Exactive</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rPr>
              <w:t xml:space="preserve">Vanquish core</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TSQ Quantis</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lang w:bidi="ar"/>
              </w:rPr>
              <w:t xml:space="preserve">Orbitrap Exploris 120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676" w:type="pct"/>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rPr>
              <w:t xml:space="preserve">Vanquish Flex</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676" w:type="pct"/>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610"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bidi="ar"/>
              </w:rPr>
              <w:t xml:space="preserve">赛默飞</w:t>
            </w:r>
            <w:r>
              <w:rPr>
                <w:rFonts w:hint="default" w:ascii="Times New Roman" w:hAnsi="Times New Roman" w:eastAsia="宋体" w:cs="Times New Roman"/>
                <w:color w:val="000000"/>
                <w:sz w:val="24"/>
                <w:szCs w:val="24"/>
              </w:rPr>
              <w:t xml:space="preserve">Vanquish Flex</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bidi="ar"/>
              </w:rPr>
              <w:t xml:space="preserve">√</w:t>
            </w:r>
            <w:r/>
          </w:p>
        </w:tc>
      </w:tr>
    </w:tbl>
    <w:p>
      <w:pPr>
        <w:pStyle w:val="1043"/>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★注：预防性维护保养，每台1年1次。</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二、</w:t>
      </w:r>
      <w:bookmarkStart w:id="314" w:name="_Toc105615660"/>
      <w:r>
        <w:rPr>
          <w:rFonts w:hint="default" w:ascii="Times New Roman" w:hAnsi="Times New Roman" w:eastAsia="宋体" w:cs="Times New Roman"/>
          <w:b/>
          <w:bCs/>
          <w:sz w:val="24"/>
          <w:szCs w:val="24"/>
        </w:rPr>
        <w:t xml:space="preserve">技术需求</w:t>
      </w:r>
      <w:r/>
    </w:p>
    <w:p>
      <w:pPr>
        <w:pStyle w:val="1302"/>
        <w:ind w:firstLine="42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★（一）维保人员要求（技术响应评分项）</w:t>
      </w:r>
      <w:r/>
    </w:p>
    <w:p>
      <w:pPr>
        <w:pStyle w:val="1302"/>
        <w:ind w:firstLine="42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维保人员需具备同类设备≥5年服务经历，且持有液质联用仪、红外光谱仪</w:t>
      </w:r>
      <w:r>
        <w:rPr>
          <w:rFonts w:hint="default" w:ascii="Times New Roman" w:hAnsi="Times New Roman" w:eastAsia="宋体" w:cs="Times New Roman"/>
          <w:sz w:val="24"/>
          <w:szCs w:val="24"/>
          <w:highlight w:val="none"/>
        </w:rPr>
        <w:t xml:space="preserve">原厂培训证书</w:t>
      </w:r>
      <w:r>
        <w:rPr>
          <w:rFonts w:hint="default" w:ascii="Times New Roman" w:hAnsi="Times New Roman" w:eastAsia="宋体" w:cs="Times New Roman"/>
          <w:sz w:val="24"/>
          <w:szCs w:val="24"/>
        </w:rPr>
        <w:t xml:space="preserve">。（</w:t>
      </w:r>
      <w:r>
        <w:rPr>
          <w:rFonts w:hint="default" w:ascii="Times New Roman" w:hAnsi="Times New Roman" w:eastAsia="宋体" w:cs="Times New Roman"/>
          <w:b/>
          <w:bCs/>
          <w:sz w:val="24"/>
          <w:szCs w:val="24"/>
        </w:rPr>
        <w:t xml:space="preserve">提供①服务经历证明并附客户签字版维修工单/合同；②相关证书复印件加盖公章</w:t>
      </w:r>
      <w:r>
        <w:rPr>
          <w:rFonts w:hint="default" w:ascii="Times New Roman" w:hAnsi="Times New Roman" w:eastAsia="宋体" w:cs="Times New Roman"/>
          <w:sz w:val="24"/>
          <w:szCs w:val="24"/>
        </w:rPr>
        <w:t xml:space="preserve">）</w:t>
      </w:r>
      <w:r/>
    </w:p>
    <w:p>
      <w:pPr>
        <w:pStyle w:val="1302"/>
        <w:ind w:firstLine="42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（二）备件与维保质保（技术响应评分项）</w:t>
      </w:r>
      <w:r/>
    </w:p>
    <w:p>
      <w:pPr>
        <w:pStyle w:val="1302"/>
        <w:ind w:firstLine="42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1.配件保障：核心备件具有实时库存清单（含库存数量、备货周期）。</w:t>
      </w:r>
      <w:r/>
    </w:p>
    <w:p>
      <w:pPr>
        <w:pStyle w:val="1302"/>
        <w:ind w:firstLine="42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2.备件单独质保≥6 个月，维修后设备关键参数（检出限、精密度、准确度）符合</w:t>
      </w:r>
      <w:r>
        <w:rPr>
          <w:rFonts w:hint="eastAsia" w:cs="Times New Roman"/>
          <w:sz w:val="24"/>
          <w:szCs w:val="24"/>
          <w:highlight w:val="none"/>
          <w:lang w:val="en-US" w:eastAsia="zh-CN"/>
        </w:rPr>
        <w:t xml:space="preserve">药</w:t>
      </w:r>
      <w:r>
        <w:rPr>
          <w:rFonts w:hint="default" w:ascii="Times New Roman" w:hAnsi="Times New Roman" w:eastAsia="宋体" w:cs="Times New Roman"/>
          <w:sz w:val="24"/>
          <w:szCs w:val="24"/>
          <w:highlight w:val="none"/>
        </w:rPr>
        <w:t xml:space="preserve">品</w:t>
      </w:r>
      <w:r>
        <w:rPr>
          <w:rFonts w:hint="default" w:ascii="Times New Roman" w:hAnsi="Times New Roman" w:eastAsia="宋体" w:cs="Times New Roman"/>
          <w:sz w:val="24"/>
          <w:szCs w:val="24"/>
        </w:rPr>
        <w:t xml:space="preserve">检测标准。</w:t>
      </w:r>
      <w:r/>
    </w:p>
    <w:p>
      <w:pPr>
        <w:pStyle w:val="130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▲3.违约处理：维修备件须为原厂全新备件（非新备件须经采购人书面同意）；使用非原厂备件（未获同意）的，无条件更换并按备件费用2倍支付违约金，承担后续合规校准费用；情节严重的取消成交资格。</w:t>
      </w:r>
      <w:r>
        <w:rPr>
          <w:rFonts w:hint="default" w:ascii="Times New Roman" w:hAnsi="Times New Roman" w:eastAsia="宋体" w:cs="Times New Roman"/>
          <w:b/>
          <w:bCs/>
          <w:sz w:val="24"/>
          <w:szCs w:val="24"/>
        </w:rPr>
        <w:t xml:space="preserve">（提供承诺书加盖公章）</w:t>
      </w:r>
      <w:r/>
    </w:p>
    <w:p>
      <w:pPr>
        <w:pStyle w:val="1302"/>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（三）巡检与全面维护保养服务</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1、服务商按需提供免费巡检服务，现场巡访，检查仪器运行状态、与操作人员相互交流仪器使用情况，保证及时发现并排除故障隐患。</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2、每12个月为设备清单中服务内容包含预防性维护保养的仪器提供一次高级维护保养，做仪器设备的彻底清洗、除尘、润滑、检查和测试。维护保养的同时，更换仪器专属耗材，并出具维护保养报告。</w:t>
      </w:r>
      <w:r/>
    </w:p>
    <w:p>
      <w:pPr>
        <w:pStyle w:val="1302"/>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（四）服务商责任</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1、服务商按照服务内容及技术要求提供维修保养服务，并严格执行设备操作和技术规范。采购人将优先使用服务商的工程师资源及零配件资源。 </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2、服务商需提供客户服务中心热线服务，采购人仪器发生故障时由服务商客户服务中心协助并指导采购人分析故障原因，由采购人先独立排除故障以便及时回到正常分析状态。</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3、服务响应时间，当采购人仪器发生故障时，服务商优先通过电话等方式优先对应处理，当服务商判断需要</w:t>
      </w:r>
      <w:r>
        <w:rPr>
          <w:rFonts w:hint="default" w:ascii="Times New Roman" w:hAnsi="Times New Roman" w:eastAsia="宋体" w:cs="Times New Roman"/>
          <w:sz w:val="24"/>
          <w:szCs w:val="24"/>
        </w:rPr>
        <w:t xml:space="preserve">提供上门服务时，保证优先对应最长时间不超过48小时。服务响应时间计算方法规定为，从采购人请求服务并确认故障需要现场维修之日开始到服务商工程师到达现场开始工作之日为服务商的响应时间。根据采购人所用仪器所在地理位置及交通便利条件，时间将会有所不同，原则上标准时间为48小时。 如确属交通原因或各方面外界无法抗拒原因或意外因素造成工程师无法及时到达采购人现场，服务商应及时通知采购人相关原因并将到达日期告知采购人。服务商提供现场保修服务的工作时间为，除国家规定的节假日外，每周一至周五的AM 8:30至PM 5:30。</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维修保养服务包括对仪器故障的现场诊断及修复。修复故障的工作包括工程师采用适当的措施并由采购人继续观察故障直到故障完全消失。故障排除工作开始，由服务商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由服务商工程师对服务期内限定的产品到采购人现场修复仪器故障。并由服务商承担对服务期内所限定产品提供维修保养服务时的所有费用（其中包括工时费，派遣费，零件费及维修时所需的相关消耗品）。但服务商不向采购人提供日常分析操作所需消耗品。</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6、服务商每年为</w:t>
      </w:r>
      <w:r>
        <w:rPr>
          <w:rFonts w:hint="eastAsia" w:cs="Times New Roman"/>
          <w:sz w:val="24"/>
          <w:szCs w:val="24"/>
          <w:lang w:val="en-US" w:eastAsia="zh-CN"/>
        </w:rPr>
        <w:t xml:space="preserve">采购人</w:t>
      </w:r>
      <w:r>
        <w:rPr>
          <w:rFonts w:hint="default" w:ascii="Times New Roman" w:hAnsi="Times New Roman" w:eastAsia="宋体" w:cs="Times New Roman"/>
          <w:sz w:val="24"/>
          <w:szCs w:val="24"/>
        </w:rPr>
        <w:t xml:space="preserve">提供一次系统维保记录及分析报告，并提出对新一年维保的建议。 </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7、服务商需对采购人进行不少于50人次，每人2-3小时的培训，培训内容至少包含设备故障分析，维修维护，日常使用等。</w:t>
      </w:r>
      <w:r/>
    </w:p>
    <w:p>
      <w:pPr>
        <w:pStyle w:val="1302"/>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（五）优先权</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服务商</w:t>
      </w:r>
      <w:r>
        <w:rPr>
          <w:rFonts w:hint="default" w:ascii="Times New Roman" w:hAnsi="Times New Roman" w:eastAsia="宋体" w:cs="Times New Roman"/>
          <w:b/>
          <w:bCs/>
          <w:sz w:val="24"/>
          <w:szCs w:val="24"/>
        </w:rPr>
        <w:t xml:space="preserve">需承诺</w:t>
      </w:r>
      <w:r>
        <w:rPr>
          <w:rFonts w:hint="default" w:ascii="Times New Roman" w:hAnsi="Times New Roman" w:eastAsia="宋体" w:cs="Times New Roman"/>
          <w:sz w:val="24"/>
          <w:szCs w:val="24"/>
        </w:rPr>
        <w:t xml:space="preserve">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p>
    <w:p>
      <w:pPr>
        <w:pStyle w:val="1302"/>
        <w:ind w:left="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（六）维修方式</w:t>
      </w:r>
      <w:r/>
    </w:p>
    <w:p>
      <w:pPr>
        <w:pStyle w:val="1302"/>
        <w:ind w:left="0"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服务商派工程师前往采购方</w:t>
      </w:r>
      <w:r>
        <w:rPr>
          <w:rFonts w:hint="eastAsia" w:cs="Times New Roman"/>
          <w:sz w:val="24"/>
          <w:szCs w:val="24"/>
          <w:lang w:val="en-US" w:eastAsia="zh-CN"/>
        </w:rPr>
        <w:t xml:space="preserve">指定地点对指定设备</w:t>
      </w:r>
      <w:r>
        <w:rPr>
          <w:rFonts w:hint="default" w:ascii="Times New Roman" w:hAnsi="Times New Roman" w:eastAsia="宋体" w:cs="Times New Roman"/>
          <w:sz w:val="24"/>
          <w:szCs w:val="24"/>
        </w:rPr>
        <w:t xml:space="preserve">进行维修。</w:t>
      </w:r>
      <w:bookmarkEnd w:id="314"/>
      <w:r/>
      <w:r/>
    </w:p>
    <w:p>
      <w:pPr>
        <w:keepLines w:val="0"/>
        <w:keepNext w:val="0"/>
        <w:pageBreakBefore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keepLines w:val="0"/>
        <w:keepNext w:val="0"/>
        <w:pageBreakBefore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三、维修部件以及保养包清单</w:t>
      </w:r>
      <w:r/>
    </w:p>
    <w:p>
      <w:pPr>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维修服务内容：</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（1）服务商通过电话分析为采购人解决硬件和软件故障，以及服务商在标准响应时间内到达现场诊断和解决硬件故障。包括所有工时费、差旅费及维修所需的部件。</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液相维修备件：</w:t>
      </w:r>
      <w:r>
        <w:rPr>
          <w:rFonts w:hint="default" w:ascii="Times New Roman" w:hAnsi="Times New Roman" w:eastAsia="宋体" w:cs="Times New Roman"/>
          <w:sz w:val="24"/>
          <w:szCs w:val="24"/>
        </w:rPr>
        <w:t xml:space="preserve">泵马达，四通道比例阀，泵主板，电源控制板，真空，脱气泵，进样阀单元，注射器单元，水平驱动,，热交换单元，柱温箱主板，液晶显示面板，光路单元，紫外检测器主板，DAD检测器主板，氘灯电源板,六通阀转子密封圈，自动进样器进样针，柱塞杆密封圈套装。</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保护柱，分析柱，进样瓶，管路，管路接头，流动相瓶，氘灯</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离子色谱仪维修备件：</w:t>
      </w:r>
      <w:r>
        <w:rPr>
          <w:rFonts w:hint="default" w:ascii="Times New Roman" w:hAnsi="Times New Roman" w:eastAsia="宋体" w:cs="Times New Roman"/>
          <w:sz w:val="24"/>
          <w:szCs w:val="24"/>
        </w:rPr>
        <w:t xml:space="preserve">脱气盒与管线，六通阀组件，减压阀，泵马达，进样阀，主板，蠕动泵，电导检测器，脱气机等</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阴离子抑制器，阳离子抑制器，离子色谱柱，氢氧化钾罐，甲烷基磺酸罐，阴离子捕获柱，阳离子捕获柱，进样器注射器，自动进样器进样针，样品瓶，泵头组件（柱塞杆，密封圈，单向阀及阀芯），PH参比电极，金电极，预处理小柱，淋洗液过滤头，DC进样阀组件（定子，转子，定子接口），流动相瓶</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液质联用仪维修备件：</w:t>
      </w:r>
      <w:r>
        <w:rPr>
          <w:rFonts w:hint="default" w:ascii="Times New Roman" w:hAnsi="Times New Roman" w:eastAsia="宋体" w:cs="Times New Roman"/>
          <w:sz w:val="24"/>
          <w:szCs w:val="24"/>
        </w:rPr>
        <w:t xml:space="preserve">仪器控制板，直流电源模块，RF电路板，直流DC电路板，离子源板，多极杆，电表板，离子透镜，机械泵，分子涡轮泵控制器，分子涡轮泵，仪器内部线路组件，气体模块控制板、真空规，仪器内冷却风扇，仪器状态显示板、注射泵、真空管、离子传输管加热器、离子源高压电源。</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陶瓷件，离子传输管，电子倍增器，喷针，样品瓶及配件，保护柱，分析柱，保护柱柱芯，氘灯，LC管路，LC管路接头，机械泵油，校准液。</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红外光谱仪维修备件：</w:t>
      </w:r>
      <w:r>
        <w:rPr>
          <w:rFonts w:hint="default" w:ascii="Times New Roman" w:hAnsi="Times New Roman" w:eastAsia="宋体" w:cs="Times New Roman"/>
          <w:sz w:val="24"/>
          <w:szCs w:val="24"/>
        </w:rPr>
        <w:t xml:space="preserve">1.OBC板；2.干涉仪；3.激光器；4.红外光源；5.检测器；6.衰减轮马达；7.面板状态指示灯及功能按键；8.光源镜（含激光检测器和红外参比检测器）；9.红外光阑马达等。</w:t>
      </w:r>
      <w:r/>
    </w:p>
    <w:p>
      <w:pPr>
        <w:ind w:firstLine="482"/>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消耗品清单：</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1)除仪器主机之外的附件及耗材不在维保之列，例如液体池及窗片，压片机，ZnSe晶体等。</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2)由于人为管理不善因素导致的仪器明显受潮导致备件损坏，不在维保之列。</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3)验证轮上标准片（包括PS膜和NG11）及其他标准品。</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上文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上文所列消耗品清单，属于日常分析所需，如有使用需求，需由采购人自行付费购买。 </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（3）预防性维护保养</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合同期内，每年为所需预防性维护保养仪器进行一次系统清洗、润滑、检查、调试等服务，确保最高的仪器可靠性。并免费提供下列维护耗材：</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1）液相色谱仪保养包：氘灯，进样针。</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2）液质联用仪保养包：泵油，喷针，校正液，离子传输管。</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3）离子色谱仪保养包：单向阀，过滤头，进样针。</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4）红外光谱仪保养包：干燥剂。</w:t>
      </w:r>
      <w:r/>
    </w:p>
    <w:p>
      <w:pPr>
        <w:keepLines w:val="0"/>
        <w:keepNext w:val="0"/>
        <w:pageBreakBefore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三、维保服务周期：一年。</w:t>
      </w:r>
      <w:r/>
    </w:p>
    <w:p>
      <w:pPr>
        <w:keepLines w:val="0"/>
        <w:keepNext w:val="0"/>
        <w:pageBreakBefore w:val="0"/>
        <w:spacing w:line="360" w:lineRule="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r>
      <w:r/>
    </w:p>
    <w:p>
      <w:pPr>
        <w:keepLines w:val="0"/>
        <w:keepNext w:val="0"/>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sz w:val="24"/>
          <w:szCs w:val="24"/>
          <w:highlight w:val="none"/>
        </w:rPr>
        <w:t xml:space="preserve">四、付款方式：</w:t>
      </w:r>
      <w:r>
        <w:rPr>
          <w:rFonts w:hint="default" w:ascii="Times New Roman" w:hAnsi="Times New Roman" w:eastAsia="宋体" w:cs="Times New Roman"/>
          <w:sz w:val="24"/>
          <w:szCs w:val="24"/>
          <w:highlight w:val="none"/>
        </w:rPr>
        <w:t xml:space="preserve">第一次付款：自合同签订之日起，收到发票后一周内，采购人支付合同价款的90%；第二次付款：自合同签订之日起一年内，采购人支付剩余10%合同价款。 </w:t>
      </w:r>
      <w:r/>
    </w:p>
    <w:p>
      <w:pPr>
        <w:keepLines w:val="0"/>
        <w:keepNext w:val="0"/>
        <w:pageBreakBefore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若提供的服务存在质量问题，则不受该付款条件约束，应按照本合条款其他要求以及合同法有关规定执行。</w:t>
      </w:r>
      <w:r/>
    </w:p>
    <w:p>
      <w:pPr>
        <w:keepLines w:val="0"/>
        <w:keepNext w:val="0"/>
        <w:pageBreakBefore w:val="0"/>
        <w:spacing w:line="36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color w:val="000000"/>
          <w:sz w:val="24"/>
          <w:szCs w:val="24"/>
          <w:highlight w:val="none"/>
        </w:rPr>
        <w:br/>
      </w:r>
      <w:r>
        <w:rPr>
          <w:rFonts w:hint="default" w:ascii="Times New Roman" w:hAnsi="Times New Roman" w:eastAsia="宋体" w:cs="Times New Roman"/>
          <w:b/>
          <w:color w:val="000000"/>
          <w:sz w:val="24"/>
          <w:szCs w:val="24"/>
          <w:highlight w:val="none"/>
        </w:rPr>
        <w:t xml:space="preserve">五</w:t>
      </w:r>
      <w:r>
        <w:rPr>
          <w:rFonts w:hint="default" w:ascii="Times New Roman" w:hAnsi="Times New Roman" w:eastAsia="宋体" w:cs="Times New Roman"/>
          <w:b/>
          <w:bCs/>
          <w:sz w:val="24"/>
          <w:szCs w:val="24"/>
          <w:highlight w:val="none"/>
          <w:lang w:bidi="ar"/>
        </w:rPr>
        <w:t xml:space="preserve">、服务期及服务地点：</w:t>
      </w:r>
      <w:r/>
    </w:p>
    <w:p>
      <w:pPr>
        <w:ind w:firstLine="480"/>
        <w:jc w:val="left"/>
        <w:keepLines w:val="0"/>
        <w:keepNext w:val="0"/>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1.合同履行期限（维保服务周期）：自合同签订之日起1年</w:t>
      </w:r>
      <w:r>
        <w:rPr>
          <w:rFonts w:hint="default" w:ascii="Times New Roman" w:hAnsi="Times New Roman" w:eastAsia="宋体" w:cs="Times New Roman"/>
          <w:b/>
          <w:bCs/>
          <w:sz w:val="24"/>
          <w:szCs w:val="24"/>
          <w:highlight w:val="none"/>
          <w:lang w:bidi="ar"/>
        </w:rPr>
        <w:t xml:space="preserve">。</w:t>
      </w:r>
      <w:r/>
    </w:p>
    <w:p>
      <w:pPr>
        <w:numPr>
          <w:ilvl w:val="0"/>
          <w:numId w:val="3"/>
        </w:numPr>
        <w:ind w:firstLine="480"/>
        <w:jc w:val="left"/>
        <w:keepLines w:val="0"/>
        <w:keepNext w:val="0"/>
        <w:pageBreakBefore w:val="0"/>
        <w:spacing w:line="360" w:lineRule="auto"/>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highlight w:val="none"/>
          <w:lang w:bidi="ar"/>
        </w:rPr>
        <w:t xml:space="preserve">服务地点：江苏省药品监督检验研</w:t>
      </w:r>
      <w:r>
        <w:rPr>
          <w:rFonts w:hint="default" w:ascii="Times New Roman" w:hAnsi="Times New Roman" w:eastAsia="宋体" w:cs="Times New Roman"/>
          <w:sz w:val="24"/>
          <w:szCs w:val="24"/>
          <w:lang w:bidi="ar"/>
        </w:rPr>
        <w:t xml:space="preserve">究院指定地点。</w:t>
      </w:r>
      <w:r/>
    </w:p>
    <w:p>
      <w:pPr>
        <w:pStyle w:val="1314"/>
        <w:rPr>
          <w:rFonts w:hint="eastAsia"/>
        </w:rPr>
      </w:pPr>
      <w:r>
        <w:rPr>
          <w:rFonts w:hint="eastAsia"/>
        </w:rPr>
      </w:r>
      <w:r/>
    </w:p>
    <w:p>
      <w:pPr>
        <w:pStyle w:val="1315"/>
        <w:jc w:val="center"/>
        <w:rPr>
          <w:rFonts w:hint="eastAsia" w:ascii="宋体" w:hAnsi="宋体" w:eastAsia="宋体" w:cs="宋体"/>
          <w:color w:val="auto"/>
          <w:szCs w:val="21"/>
        </w:rPr>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titlePg/>
        </w:sectPr>
        <w:outlineLvl w:val="9"/>
      </w:pPr>
      <w:r>
        <w:rPr>
          <w:rFonts w:hint="eastAsia" w:ascii="宋体" w:cs="宋体"/>
          <w:color w:val="auto"/>
        </w:rPr>
        <w:t xml:space="preserve">标注“★”的内容为实质性要求，有一项不符合的，作无效投标处理</w:t>
      </w:r>
      <w:r/>
    </w:p>
    <w:p>
      <w:pPr>
        <w:ind w:firstLine="480"/>
        <w:spacing w:line="360" w:lineRule="auto"/>
        <w:rPr>
          <w:rFonts w:ascii="宋体" w:hAnsi="宋体"/>
          <w:bCs/>
          <w:sz w:val="24"/>
        </w:rPr>
      </w:pPr>
      <w:r>
        <w:rPr>
          <w:rFonts w:ascii="宋体" w:hAnsi="宋体"/>
          <w:bCs/>
          <w:sz w:val="24"/>
        </w:rPr>
      </w:r>
      <w:bookmarkEnd w:id="313"/>
      <w:r/>
      <w:r/>
    </w:p>
    <w:p>
      <w:pPr>
        <w:pStyle w:val="1065"/>
        <w:numPr>
          <w:ilvl w:val="0"/>
          <w:numId w:val="4"/>
        </w:numPr>
        <w:rPr>
          <w:rFonts w:hint="eastAsia" w:ascii="宋体" w:hAnsi="宋体" w:eastAsia="宋体" w:cs="宋体"/>
        </w:rPr>
      </w:pPr>
      <w:r>
        <w:rPr>
          <w:rFonts w:hint="eastAsia" w:ascii="宋体" w:hAnsi="宋体" w:eastAsia="宋体" w:cs="宋体"/>
        </w:rPr>
        <w:t xml:space="preserve"> 评标方法与评标标准</w:t>
      </w:r>
      <w:bookmarkEnd w:id="312"/>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一、评标方法</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按技术指标优劣顺序排列。</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综合评分保留至小数点后两位。</w:t>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二、评标标准</w:t>
      </w:r>
      <w:r/>
    </w:p>
    <w:p>
      <w:pPr>
        <w:ind w:firstLine="480"/>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本项目采用综合评估法确定中标候选人。评标委员会将按下列评分办法和标准进行评分，</w:t>
      </w:r>
      <w:r/>
    </w:p>
    <w:p>
      <w:pPr>
        <w:keepLines w:val="0"/>
        <w:keepNext w:val="0"/>
        <w:pageBreakBefore w:val="0"/>
        <w:spacing w:line="360" w:lineRule="auto"/>
        <w:shd w:val="clear" w:color="auto"/>
        <w:widowControl/>
        <w:rPr>
          <w:szCs w:val="21"/>
        </w:rPr>
      </w:pPr>
      <w:r>
        <w:rPr>
          <w:szCs w:val="21"/>
        </w:rPr>
        <w:t xml:space="preserve">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成交候选供应商。最低投标价等任何单项因素的最优不是成交的必要条件。</w:t>
      </w:r>
      <w:r/>
    </w:p>
    <w:tbl>
      <w:tblPr>
        <w:tblStyle w:val="1036"/>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12"/>
        <w:gridCol w:w="1202"/>
        <w:gridCol w:w="6030"/>
        <w:gridCol w:w="852"/>
      </w:tblGrid>
      <w:tr>
        <w:trPr>
          <w:trHeight w:val="234"/>
        </w:trPr>
        <w:tc>
          <w:tcPr>
            <w:tcW w:w="405" w:type="pct"/>
            <w:vAlign w:val="center"/>
            <w:textDirection w:val="lrTb"/>
            <w:noWrap w:val="false"/>
          </w:tcPr>
          <w:p>
            <w:pPr>
              <w:jc w:val="center"/>
              <w:spacing w:line="360" w:lineRule="auto"/>
              <w:widowControl/>
              <w:rPr>
                <w:szCs w:val="21"/>
              </w:rPr>
            </w:pPr>
            <w:r>
              <w:rPr>
                <w:szCs w:val="21"/>
              </w:rPr>
              <w:t xml:space="preserve">序号</w:t>
            </w:r>
            <w:r/>
          </w:p>
        </w:tc>
        <w:tc>
          <w:tcPr>
            <w:tcW w:w="683" w:type="pct"/>
            <w:vAlign w:val="center"/>
            <w:textDirection w:val="lrTb"/>
            <w:noWrap w:val="false"/>
          </w:tcPr>
          <w:p>
            <w:pPr>
              <w:jc w:val="center"/>
              <w:spacing w:line="360" w:lineRule="auto"/>
              <w:widowControl/>
              <w:rPr>
                <w:szCs w:val="21"/>
              </w:rPr>
            </w:pPr>
            <w:r>
              <w:rPr>
                <w:szCs w:val="21"/>
              </w:rPr>
              <w:t xml:space="preserve">评分项目</w:t>
            </w:r>
            <w:r/>
          </w:p>
        </w:tc>
        <w:tc>
          <w:tcPr>
            <w:tcW w:w="3426" w:type="pct"/>
            <w:vAlign w:val="center"/>
            <w:textDirection w:val="lrTb"/>
            <w:noWrap w:val="false"/>
          </w:tcPr>
          <w:p>
            <w:pPr>
              <w:jc w:val="center"/>
              <w:spacing w:line="360" w:lineRule="auto"/>
              <w:widowControl/>
              <w:rPr>
                <w:szCs w:val="21"/>
              </w:rPr>
            </w:pPr>
            <w:r>
              <w:rPr>
                <w:szCs w:val="21"/>
              </w:rPr>
              <w:t xml:space="preserve">评分标准</w:t>
            </w:r>
            <w:r/>
          </w:p>
        </w:tc>
        <w:tc>
          <w:tcPr>
            <w:tcW w:w="484" w:type="pct"/>
            <w:vAlign w:val="center"/>
            <w:textDirection w:val="lrTb"/>
            <w:noWrap w:val="false"/>
          </w:tcPr>
          <w:p>
            <w:pPr>
              <w:jc w:val="center"/>
              <w:spacing w:line="360" w:lineRule="auto"/>
              <w:widowControl/>
              <w:rPr>
                <w:szCs w:val="21"/>
              </w:rPr>
            </w:pPr>
            <w:r>
              <w:rPr>
                <w:szCs w:val="21"/>
              </w:rPr>
              <w:t xml:space="preserve">分值</w:t>
            </w:r>
            <w:r/>
          </w:p>
        </w:tc>
      </w:tr>
      <w:tr>
        <w:trPr>
          <w:trHeight w:val="1087"/>
        </w:trPr>
        <w:tc>
          <w:tcPr>
            <w:tcW w:w="405" w:type="pct"/>
            <w:vAlign w:val="center"/>
            <w:textDirection w:val="lrTb"/>
            <w:noWrap w:val="false"/>
          </w:tcPr>
          <w:p>
            <w:pPr>
              <w:jc w:val="center"/>
              <w:spacing w:line="360" w:lineRule="auto"/>
              <w:widowControl/>
              <w:rPr>
                <w:szCs w:val="21"/>
              </w:rPr>
            </w:pPr>
            <w:r>
              <w:rPr>
                <w:szCs w:val="21"/>
              </w:rPr>
              <w:t xml:space="preserve">1</w:t>
            </w:r>
            <w:r/>
          </w:p>
        </w:tc>
        <w:tc>
          <w:tcPr>
            <w:tcW w:w="683" w:type="pct"/>
            <w:vAlign w:val="center"/>
            <w:textDirection w:val="lrTb"/>
            <w:noWrap w:val="false"/>
          </w:tcPr>
          <w:p>
            <w:pPr>
              <w:jc w:val="center"/>
              <w:spacing w:line="360" w:lineRule="auto"/>
              <w:widowControl/>
              <w:rPr>
                <w:b/>
                <w:bCs/>
                <w:szCs w:val="21"/>
              </w:rPr>
            </w:pPr>
            <w:r>
              <w:rPr>
                <w:b/>
                <w:bCs/>
                <w:szCs w:val="21"/>
              </w:rPr>
              <w:t xml:space="preserve">价格</w:t>
            </w:r>
            <w:r/>
          </w:p>
        </w:tc>
        <w:tc>
          <w:tcPr>
            <w:tcW w:w="3426" w:type="pct"/>
            <w:vAlign w:val="center"/>
            <w:textDirection w:val="lrTb"/>
            <w:noWrap w:val="false"/>
          </w:tcPr>
          <w:p>
            <w:pPr>
              <w:spacing w:line="360" w:lineRule="auto"/>
              <w:rPr>
                <w:szCs w:val="21"/>
              </w:rPr>
            </w:pPr>
            <w:r>
              <w:rPr>
                <w:szCs w:val="21"/>
              </w:rPr>
              <w:t xml:space="preserve">采用低价优先法计算，即满足招标文件要求且投标价格最低的投标报价为评标基准价，其价格分为满分。其他投标人的价格分统一按照下列公式计算：</w:t>
            </w:r>
            <w:r/>
          </w:p>
          <w:p>
            <w:pPr>
              <w:spacing w:line="360" w:lineRule="auto"/>
              <w:rPr>
                <w:szCs w:val="21"/>
              </w:rPr>
            </w:pPr>
            <w:r>
              <w:rPr>
                <w:szCs w:val="21"/>
              </w:rPr>
              <w:t xml:space="preserve">投标报价得分=(评标基准价／投标报价)×1</w:t>
            </w:r>
            <w:r>
              <w:rPr>
                <w:rFonts w:hint="eastAsia"/>
                <w:szCs w:val="21"/>
              </w:rPr>
              <w:t xml:space="preserve">0</w:t>
            </w:r>
            <w:r>
              <w:rPr>
                <w:szCs w:val="21"/>
              </w:rPr>
              <w:t xml:space="preserve">。</w:t>
            </w:r>
            <w:r/>
          </w:p>
        </w:tc>
        <w:tc>
          <w:tcPr>
            <w:tcW w:w="484" w:type="pct"/>
            <w:vAlign w:val="center"/>
            <w:textDirection w:val="lrTb"/>
            <w:noWrap w:val="false"/>
          </w:tcPr>
          <w:p>
            <w:pPr>
              <w:jc w:val="center"/>
              <w:spacing w:line="360" w:lineRule="auto"/>
              <w:widowControl/>
              <w:rPr>
                <w:szCs w:val="21"/>
              </w:rPr>
            </w:pPr>
            <w:r>
              <w:rPr>
                <w:szCs w:val="21"/>
              </w:rPr>
              <w:t xml:space="preserve">1</w:t>
            </w:r>
            <w:r>
              <w:rPr>
                <w:rFonts w:hint="eastAsia"/>
                <w:szCs w:val="21"/>
              </w:rPr>
              <w:t xml:space="preserve">0</w:t>
            </w:r>
            <w:r>
              <w:rPr>
                <w:szCs w:val="21"/>
              </w:rPr>
              <w:t xml:space="preserve">分</w:t>
            </w:r>
            <w:r/>
          </w:p>
        </w:tc>
      </w:tr>
      <w:tr>
        <w:trPr>
          <w:trHeight w:val="1682"/>
        </w:trPr>
        <w:tc>
          <w:tcPr>
            <w:tcW w:w="405" w:type="pct"/>
            <w:vAlign w:val="center"/>
            <w:textDirection w:val="lrTb"/>
            <w:noWrap w:val="false"/>
          </w:tcPr>
          <w:p>
            <w:pPr>
              <w:jc w:val="center"/>
              <w:spacing w:line="360" w:lineRule="auto"/>
              <w:widowControl/>
              <w:rPr>
                <w:szCs w:val="21"/>
              </w:rPr>
            </w:pPr>
            <w:r>
              <w:rPr>
                <w:szCs w:val="21"/>
              </w:rPr>
              <w:t xml:space="preserve">2</w:t>
            </w:r>
            <w:r/>
          </w:p>
        </w:tc>
        <w:tc>
          <w:tcPr>
            <w:tcW w:w="683" w:type="pct"/>
            <w:vAlign w:val="center"/>
            <w:textDirection w:val="lrTb"/>
            <w:noWrap w:val="false"/>
          </w:tcPr>
          <w:p>
            <w:pPr>
              <w:jc w:val="center"/>
              <w:spacing w:line="360" w:lineRule="auto"/>
              <w:widowControl/>
              <w:rPr>
                <w:b/>
                <w:bCs/>
                <w:szCs w:val="21"/>
              </w:rPr>
            </w:pPr>
            <w:r>
              <w:rPr>
                <w:b/>
                <w:bCs/>
                <w:szCs w:val="21"/>
              </w:rPr>
              <w:t xml:space="preserve">服务要求响应</w:t>
            </w:r>
            <w:r/>
          </w:p>
        </w:tc>
        <w:tc>
          <w:tcPr>
            <w:tcW w:w="3426" w:type="pct"/>
            <w:vAlign w:val="center"/>
            <w:textDirection w:val="lrTb"/>
            <w:noWrap w:val="false"/>
          </w:tcPr>
          <w:p>
            <w:pPr>
              <w:spacing w:line="360" w:lineRule="auto"/>
              <w:rPr>
                <w:szCs w:val="21"/>
              </w:rPr>
            </w:pPr>
            <w:r>
              <w:rPr>
                <w:szCs w:val="21"/>
              </w:rPr>
              <w:t xml:space="preserve">评委根据招标文件第四章“</w:t>
            </w:r>
            <w:r>
              <w:rPr>
                <w:rFonts w:hint="eastAsia"/>
                <w:szCs w:val="21"/>
                <w:lang w:val="en-US" w:eastAsia="zh-CN"/>
              </w:rPr>
              <w:t xml:space="preserve">项目需求</w:t>
            </w:r>
            <w:r>
              <w:rPr>
                <w:szCs w:val="21"/>
              </w:rPr>
              <w:t xml:space="preserve">”结合投标文件响应情况及承诺书进行评审：</w:t>
            </w:r>
            <w:r/>
          </w:p>
          <w:p>
            <w:pPr>
              <w:spacing w:line="360" w:lineRule="auto"/>
              <w:rPr>
                <w:szCs w:val="21"/>
              </w:rPr>
            </w:pPr>
            <w:r>
              <w:rPr>
                <w:szCs w:val="21"/>
              </w:rPr>
              <w:t xml:space="preserve">全部满足招标文件基本要求得18分，正偏离不加分，有一项“</w:t>
            </w:r>
            <w:r>
              <w:rPr>
                <w:rFonts w:ascii="Segoe UI Symbol" w:hAnsi="Segoe UI Symbol" w:cs="Segoe UI Symbol"/>
                <w:szCs w:val="21"/>
              </w:rPr>
              <w:t xml:space="preserve">★</w:t>
            </w:r>
            <w:r>
              <w:rPr>
                <w:szCs w:val="21"/>
              </w:rPr>
              <w:t xml:space="preserve">”号指标负偏离将作无效投标处理；标“▲”号指标负偏离，每项扣</w:t>
            </w:r>
            <w:r>
              <w:rPr>
                <w:rFonts w:hint="eastAsia"/>
                <w:szCs w:val="21"/>
                <w:lang w:val="en-US" w:eastAsia="zh-CN"/>
              </w:rPr>
              <w:t xml:space="preserve">2</w:t>
            </w:r>
            <w:r>
              <w:rPr>
                <w:szCs w:val="21"/>
              </w:rPr>
              <w:t xml:space="preserve">分；非“</w:t>
            </w:r>
            <w:r>
              <w:rPr>
                <w:rFonts w:ascii="Segoe UI Symbol" w:hAnsi="Segoe UI Symbol" w:cs="Segoe UI Symbol"/>
                <w:szCs w:val="21"/>
              </w:rPr>
              <w:t xml:space="preserve">★</w:t>
            </w:r>
            <w:r>
              <w:rPr>
                <w:szCs w:val="21"/>
              </w:rPr>
              <w:t xml:space="preserve">”和非“▲”号的指标负偏离，每项扣1分。</w:t>
            </w:r>
            <w:r/>
          </w:p>
        </w:tc>
        <w:tc>
          <w:tcPr>
            <w:tcW w:w="484" w:type="pct"/>
            <w:vAlign w:val="center"/>
            <w:textDirection w:val="lrTb"/>
            <w:noWrap w:val="false"/>
          </w:tcPr>
          <w:p>
            <w:pPr>
              <w:jc w:val="center"/>
              <w:spacing w:line="360" w:lineRule="auto"/>
              <w:rPr>
                <w:szCs w:val="21"/>
              </w:rPr>
            </w:pPr>
            <w:r>
              <w:rPr>
                <w:szCs w:val="21"/>
              </w:rPr>
              <w:t xml:space="preserve">18分</w:t>
            </w:r>
            <w:r/>
          </w:p>
        </w:tc>
      </w:tr>
      <w:tr>
        <w:trPr>
          <w:trHeight w:val="1196"/>
        </w:trPr>
        <w:tc>
          <w:tcPr>
            <w:tcW w:w="405" w:type="pct"/>
            <w:vAlign w:val="center"/>
            <w:textDirection w:val="lrTb"/>
            <w:noWrap w:val="false"/>
          </w:tcPr>
          <w:p>
            <w:pPr>
              <w:jc w:val="center"/>
              <w:spacing w:line="360" w:lineRule="auto"/>
              <w:widowControl/>
              <w:rPr>
                <w:szCs w:val="21"/>
              </w:rPr>
            </w:pPr>
            <w:r>
              <w:rPr>
                <w:szCs w:val="21"/>
              </w:rPr>
              <w:t xml:space="preserve">3</w:t>
            </w:r>
            <w:r/>
          </w:p>
        </w:tc>
        <w:tc>
          <w:tcPr>
            <w:tcW w:w="683" w:type="pct"/>
            <w:vAlign w:val="center"/>
            <w:textDirection w:val="lrTb"/>
            <w:noWrap w:val="false"/>
          </w:tcPr>
          <w:p>
            <w:pPr>
              <w:jc w:val="center"/>
              <w:spacing w:line="360" w:lineRule="auto"/>
              <w:widowControl/>
              <w:rPr>
                <w:b/>
                <w:bCs/>
                <w:szCs w:val="21"/>
              </w:rPr>
            </w:pPr>
            <w:r>
              <w:rPr>
                <w:b/>
                <w:bCs/>
                <w:szCs w:val="21"/>
              </w:rPr>
              <w:t xml:space="preserve">业绩</w:t>
            </w:r>
            <w:r/>
          </w:p>
        </w:tc>
        <w:tc>
          <w:tcPr>
            <w:tcW w:w="3426" w:type="pct"/>
            <w:vAlign w:val="center"/>
            <w:textDirection w:val="lrTb"/>
            <w:noWrap w:val="false"/>
          </w:tcPr>
          <w:p>
            <w:pPr>
              <w:spacing w:line="360" w:lineRule="auto"/>
              <w:rPr>
                <w:szCs w:val="21"/>
              </w:rPr>
            </w:pPr>
            <w:r>
              <w:rPr>
                <w:szCs w:val="21"/>
              </w:rPr>
              <w:t xml:space="preserve">投标人提供自202</w:t>
            </w:r>
            <w:r>
              <w:rPr>
                <w:rFonts w:hint="eastAsia"/>
                <w:szCs w:val="21"/>
              </w:rPr>
              <w:t xml:space="preserve">3</w:t>
            </w:r>
            <w:r>
              <w:rPr>
                <w:szCs w:val="21"/>
              </w:rPr>
              <w:t xml:space="preserve">年</w:t>
            </w:r>
            <w:r>
              <w:rPr>
                <w:rFonts w:hint="eastAsia"/>
                <w:szCs w:val="21"/>
                <w:lang w:val="en-US" w:eastAsia="zh-CN"/>
              </w:rPr>
              <w:t xml:space="preserve">9</w:t>
            </w:r>
            <w:r>
              <w:rPr>
                <w:szCs w:val="21"/>
              </w:rPr>
              <w:t xml:space="preserve">月1日以来，与</w:t>
            </w:r>
            <w:r>
              <w:rPr>
                <w:b/>
                <w:szCs w:val="21"/>
              </w:rPr>
              <w:t xml:space="preserve">维保采购需求设备表</w:t>
            </w:r>
            <w:r>
              <w:rPr>
                <w:bCs/>
                <w:szCs w:val="21"/>
              </w:rPr>
              <w:t xml:space="preserve">中的</w:t>
            </w:r>
            <w:r>
              <w:rPr>
                <w:b/>
                <w:szCs w:val="21"/>
              </w:rPr>
              <w:t xml:space="preserve">同类型</w:t>
            </w:r>
            <w:r>
              <w:rPr>
                <w:b/>
                <w:bCs/>
                <w:szCs w:val="21"/>
              </w:rPr>
              <w:t xml:space="preserve">设备维保或维修</w:t>
            </w:r>
            <w:r>
              <w:rPr>
                <w:szCs w:val="21"/>
              </w:rPr>
              <w:t xml:space="preserve">业绩，每提供1个业绩得2分,最高得12分；（投标时提供设备维保或维修合同复印件加盖公章，合同内容如不能体现上述要求，需提供甲方盖章说明佐证。如有虚假，上报给财政部门处理，不提供不得分）</w:t>
            </w:r>
            <w:r/>
          </w:p>
        </w:tc>
        <w:tc>
          <w:tcPr>
            <w:tcW w:w="484" w:type="pct"/>
            <w:vAlign w:val="center"/>
            <w:textDirection w:val="lrTb"/>
            <w:noWrap w:val="false"/>
          </w:tcPr>
          <w:p>
            <w:pPr>
              <w:jc w:val="center"/>
              <w:spacing w:line="360" w:lineRule="auto"/>
              <w:rPr>
                <w:szCs w:val="21"/>
              </w:rPr>
            </w:pPr>
            <w:r>
              <w:rPr>
                <w:szCs w:val="21"/>
              </w:rPr>
              <w:t xml:space="preserve">12分</w:t>
            </w:r>
            <w:r/>
          </w:p>
        </w:tc>
      </w:tr>
      <w:tr>
        <w:trPr>
          <w:trHeight w:val="478"/>
        </w:trPr>
        <w:tc>
          <w:tcPr>
            <w:tcW w:w="405" w:type="pct"/>
            <w:vAlign w:val="center"/>
            <w:textDirection w:val="lrTb"/>
            <w:noWrap w:val="false"/>
          </w:tcPr>
          <w:p>
            <w:pPr>
              <w:jc w:val="center"/>
              <w:spacing w:line="360" w:lineRule="auto"/>
              <w:widowControl/>
              <w:rPr>
                <w:szCs w:val="21"/>
              </w:rPr>
            </w:pPr>
            <w:r>
              <w:rPr>
                <w:szCs w:val="21"/>
              </w:rPr>
              <w:t xml:space="preserve">4</w:t>
            </w:r>
            <w:r/>
          </w:p>
        </w:tc>
        <w:tc>
          <w:tcPr>
            <w:tcW w:w="683" w:type="pct"/>
            <w:vAlign w:val="center"/>
            <w:textDirection w:val="lrTb"/>
            <w:noWrap w:val="false"/>
          </w:tcPr>
          <w:p>
            <w:pPr>
              <w:jc w:val="center"/>
              <w:spacing w:line="360" w:lineRule="auto"/>
              <w:rPr>
                <w:b/>
                <w:bCs/>
                <w:szCs w:val="21"/>
              </w:rPr>
            </w:pPr>
            <w:r>
              <w:rPr>
                <w:b/>
                <w:bCs/>
                <w:szCs w:val="21"/>
              </w:rPr>
              <w:t xml:space="preserve">维保实施方案</w:t>
            </w:r>
            <w:r/>
          </w:p>
        </w:tc>
        <w:tc>
          <w:tcPr>
            <w:tcW w:w="3426" w:type="pct"/>
            <w:vAlign w:val="center"/>
            <w:textDirection w:val="lrTb"/>
            <w:noWrap w:val="false"/>
          </w:tcPr>
          <w:p>
            <w:pPr>
              <w:spacing w:line="360" w:lineRule="auto"/>
              <w:rPr>
                <w:szCs w:val="21"/>
              </w:rPr>
            </w:pPr>
            <w:r>
              <w:rPr>
                <w:szCs w:val="21"/>
              </w:rPr>
              <w:t xml:space="preserve">投标人根据本项目实施周期、系统切换、交接等实际情况，制定总体设计方案，对内容的全面性、针对性、可行性进行评价。</w:t>
            </w:r>
            <w:r/>
          </w:p>
          <w:p>
            <w:pPr>
              <w:spacing w:line="360" w:lineRule="auto"/>
              <w:rPr>
                <w:szCs w:val="21"/>
              </w:rPr>
            </w:pPr>
            <w:r>
              <w:rPr>
                <w:szCs w:val="21"/>
              </w:rPr>
              <w:t xml:space="preserve">（1）全面性(5分)：全面具体详实得5分；较全面得3分；仅具备基本内容的得1分。</w:t>
            </w:r>
            <w:r/>
          </w:p>
          <w:p>
            <w:pPr>
              <w:spacing w:line="360" w:lineRule="auto"/>
              <w:rPr>
                <w:szCs w:val="21"/>
              </w:rPr>
            </w:pPr>
            <w:r>
              <w:rPr>
                <w:szCs w:val="21"/>
              </w:rPr>
              <w:t xml:space="preserve">（2）针对性(5分)：针对性强得5分；针对性较强得3分；针对性一般的得1分。</w:t>
            </w:r>
            <w:r/>
          </w:p>
          <w:p>
            <w:pPr>
              <w:spacing w:line="360" w:lineRule="auto"/>
              <w:rPr>
                <w:szCs w:val="21"/>
              </w:rPr>
            </w:pPr>
            <w:r>
              <w:rPr>
                <w:szCs w:val="21"/>
              </w:rPr>
              <w:t xml:space="preserve">（3）可行性（5分)：符合实际切实可行得5分；较切实可行得3分；可行性欠缺得1分；</w:t>
            </w:r>
            <w:r/>
          </w:p>
          <w:p>
            <w:pPr>
              <w:spacing w:line="360" w:lineRule="auto"/>
              <w:rPr>
                <w:szCs w:val="21"/>
              </w:rPr>
            </w:pPr>
            <w:r>
              <w:rPr>
                <w:szCs w:val="21"/>
              </w:rPr>
              <w:t xml:space="preserve">未提供的不得分。本项最高得15分。</w:t>
            </w:r>
            <w:r/>
          </w:p>
        </w:tc>
        <w:tc>
          <w:tcPr>
            <w:tcW w:w="484" w:type="pct"/>
            <w:vAlign w:val="center"/>
            <w:textDirection w:val="lrTb"/>
            <w:noWrap w:val="false"/>
          </w:tcPr>
          <w:p>
            <w:pPr>
              <w:jc w:val="center"/>
              <w:spacing w:line="360" w:lineRule="auto"/>
              <w:rPr>
                <w:szCs w:val="21"/>
              </w:rPr>
            </w:pPr>
            <w:r>
              <w:rPr>
                <w:szCs w:val="21"/>
              </w:rPr>
              <w:t xml:space="preserve">15分</w:t>
            </w:r>
            <w:r/>
          </w:p>
        </w:tc>
      </w:tr>
      <w:tr>
        <w:trPr>
          <w:trHeight w:val="478"/>
        </w:trPr>
        <w:tc>
          <w:tcPr>
            <w:tcW w:w="405" w:type="pct"/>
            <w:vAlign w:val="center"/>
            <w:textDirection w:val="lrTb"/>
            <w:noWrap w:val="false"/>
          </w:tcPr>
          <w:p>
            <w:pPr>
              <w:jc w:val="center"/>
              <w:spacing w:line="360" w:lineRule="auto"/>
              <w:widowControl/>
              <w:rPr>
                <w:szCs w:val="21"/>
              </w:rPr>
            </w:pPr>
            <w:r>
              <w:rPr>
                <w:szCs w:val="21"/>
              </w:rPr>
              <w:t xml:space="preserve">5</w:t>
            </w:r>
            <w:r/>
          </w:p>
        </w:tc>
        <w:tc>
          <w:tcPr>
            <w:tcW w:w="683" w:type="pct"/>
            <w:vAlign w:val="center"/>
            <w:textDirection w:val="lrTb"/>
            <w:noWrap w:val="false"/>
          </w:tcPr>
          <w:p>
            <w:pPr>
              <w:jc w:val="center"/>
              <w:spacing w:line="360" w:lineRule="auto"/>
              <w:rPr>
                <w:b/>
                <w:bCs/>
                <w:szCs w:val="21"/>
              </w:rPr>
            </w:pPr>
            <w:r>
              <w:rPr>
                <w:b/>
                <w:bCs/>
                <w:szCs w:val="21"/>
              </w:rPr>
              <w:t xml:space="preserve">人员配备方案</w:t>
            </w:r>
            <w:r/>
          </w:p>
        </w:tc>
        <w:tc>
          <w:tcPr>
            <w:tcW w:w="3426" w:type="pct"/>
            <w:vAlign w:val="center"/>
            <w:textDirection w:val="lrTb"/>
            <w:noWrap w:val="false"/>
          </w:tcPr>
          <w:p>
            <w:pPr>
              <w:spacing w:line="360" w:lineRule="auto"/>
              <w:rPr>
                <w:szCs w:val="21"/>
              </w:rPr>
            </w:pPr>
            <w:r>
              <w:rPr>
                <w:szCs w:val="21"/>
              </w:rPr>
              <w:t xml:space="preserve">投标人投标文件中提供的人员配备方案，对内容的全面性、针对性、可行性进行评价。</w:t>
            </w:r>
            <w:r/>
          </w:p>
          <w:p>
            <w:pPr>
              <w:spacing w:line="360" w:lineRule="auto"/>
              <w:rPr>
                <w:szCs w:val="21"/>
              </w:rPr>
            </w:pPr>
            <w:r>
              <w:rPr>
                <w:szCs w:val="21"/>
              </w:rPr>
              <w:t xml:space="preserve">（1）全面性(4分)：全面具体详实得4分；较全面得2分；仅具备基本内容的得1分。</w:t>
            </w:r>
            <w:r/>
          </w:p>
          <w:p>
            <w:pPr>
              <w:spacing w:line="360" w:lineRule="auto"/>
              <w:rPr>
                <w:szCs w:val="21"/>
              </w:rPr>
            </w:pPr>
            <w:r>
              <w:rPr>
                <w:szCs w:val="21"/>
              </w:rPr>
              <w:t xml:space="preserve">（2）针对性(4分)：针对性强得4分；针对性较强得2分；针对性一般的得1分。</w:t>
            </w:r>
            <w:r/>
          </w:p>
          <w:p>
            <w:pPr>
              <w:spacing w:line="360" w:lineRule="auto"/>
              <w:rPr>
                <w:szCs w:val="21"/>
              </w:rPr>
            </w:pPr>
            <w:r>
              <w:rPr>
                <w:szCs w:val="21"/>
              </w:rPr>
              <w:t xml:space="preserve">（3）可行性（4分)：符合实际切实可行得4分；较切实可行得2分；可行性欠缺得1分；</w:t>
            </w:r>
            <w:r/>
          </w:p>
          <w:p>
            <w:pPr>
              <w:spacing w:line="360" w:lineRule="auto"/>
              <w:rPr>
                <w:szCs w:val="21"/>
              </w:rPr>
            </w:pPr>
            <w:r>
              <w:rPr>
                <w:szCs w:val="21"/>
              </w:rPr>
              <w:t xml:space="preserve">未提供的不得分。本项最高得12分。</w:t>
            </w:r>
            <w:r/>
          </w:p>
        </w:tc>
        <w:tc>
          <w:tcPr>
            <w:tcW w:w="484" w:type="pct"/>
            <w:vAlign w:val="center"/>
            <w:textDirection w:val="lrTb"/>
            <w:noWrap w:val="false"/>
          </w:tcPr>
          <w:p>
            <w:pPr>
              <w:jc w:val="center"/>
              <w:spacing w:line="360" w:lineRule="auto"/>
              <w:rPr>
                <w:szCs w:val="21"/>
              </w:rPr>
            </w:pPr>
            <w:r>
              <w:rPr>
                <w:szCs w:val="21"/>
              </w:rPr>
              <w:t xml:space="preserve">12分</w:t>
            </w:r>
            <w:r/>
          </w:p>
        </w:tc>
      </w:tr>
      <w:tr>
        <w:trPr>
          <w:trHeight w:val="2283"/>
        </w:trPr>
        <w:tc>
          <w:tcPr>
            <w:tcW w:w="405" w:type="pct"/>
            <w:vAlign w:val="center"/>
            <w:textDirection w:val="lrTb"/>
            <w:noWrap w:val="false"/>
          </w:tcPr>
          <w:p>
            <w:pPr>
              <w:jc w:val="center"/>
              <w:spacing w:line="360" w:lineRule="auto"/>
              <w:widowControl/>
              <w:rPr>
                <w:szCs w:val="21"/>
              </w:rPr>
            </w:pPr>
            <w:r>
              <w:rPr>
                <w:szCs w:val="21"/>
              </w:rPr>
              <w:t xml:space="preserve">6</w:t>
            </w:r>
            <w:r/>
          </w:p>
        </w:tc>
        <w:tc>
          <w:tcPr>
            <w:tcW w:w="683" w:type="pct"/>
            <w:vAlign w:val="center"/>
            <w:textDirection w:val="lrTb"/>
            <w:noWrap w:val="false"/>
          </w:tcPr>
          <w:p>
            <w:pPr>
              <w:jc w:val="center"/>
              <w:spacing w:line="360" w:lineRule="auto"/>
              <w:rPr>
                <w:b/>
                <w:bCs/>
                <w:szCs w:val="21"/>
              </w:rPr>
            </w:pPr>
            <w:r>
              <w:rPr>
                <w:b/>
                <w:bCs/>
                <w:szCs w:val="21"/>
              </w:rPr>
              <w:t xml:space="preserve">人员培训方案</w:t>
            </w:r>
            <w:r/>
          </w:p>
        </w:tc>
        <w:tc>
          <w:tcPr>
            <w:tcW w:w="3426" w:type="pct"/>
            <w:vAlign w:val="center"/>
            <w:textDirection w:val="lrTb"/>
            <w:noWrap w:val="false"/>
          </w:tcPr>
          <w:p>
            <w:pPr>
              <w:spacing w:line="360" w:lineRule="auto"/>
              <w:rPr>
                <w:szCs w:val="21"/>
              </w:rPr>
            </w:pPr>
            <w:r>
              <w:rPr>
                <w:szCs w:val="21"/>
              </w:rPr>
              <w:t xml:space="preserve">根据培训方案的完整性、可行性等情况综合评分。包括但不限于：检测应用培训、维修技术人员能力培训等方面。</w:t>
            </w:r>
            <w:r/>
          </w:p>
          <w:p>
            <w:pPr>
              <w:spacing w:line="360" w:lineRule="auto"/>
              <w:rPr>
                <w:szCs w:val="21"/>
              </w:rPr>
            </w:pPr>
            <w:r>
              <w:rPr>
                <w:szCs w:val="21"/>
              </w:rPr>
              <w:t xml:space="preserve">方案详细完整，针对性强、可操作性强，思路合理得8分；</w:t>
            </w:r>
            <w:r/>
          </w:p>
          <w:p>
            <w:pPr>
              <w:spacing w:line="360" w:lineRule="auto"/>
              <w:rPr>
                <w:szCs w:val="21"/>
              </w:rPr>
            </w:pPr>
            <w:r>
              <w:rPr>
                <w:szCs w:val="21"/>
              </w:rPr>
              <w:t xml:space="preserve">方案较详细，针对性、可操作性较强，思路较合理得5分；</w:t>
            </w:r>
            <w:r/>
          </w:p>
          <w:p>
            <w:pPr>
              <w:spacing w:line="360" w:lineRule="auto"/>
              <w:rPr>
                <w:szCs w:val="21"/>
              </w:rPr>
            </w:pPr>
            <w:r>
              <w:rPr>
                <w:szCs w:val="21"/>
              </w:rPr>
              <w:t xml:space="preserve">方案简单，针对性、可操作性一般，思路可行性不高得2分；</w:t>
            </w:r>
            <w:r/>
          </w:p>
          <w:p>
            <w:pPr>
              <w:spacing w:line="360" w:lineRule="auto"/>
              <w:rPr>
                <w:szCs w:val="21"/>
              </w:rPr>
            </w:pPr>
            <w:r>
              <w:rPr>
                <w:color w:val="000000"/>
                <w:szCs w:val="21"/>
              </w:rPr>
              <w:t xml:space="preserve">未提供的不得分。本项最高得8分。</w:t>
            </w:r>
            <w:r/>
          </w:p>
        </w:tc>
        <w:tc>
          <w:tcPr>
            <w:tcW w:w="484" w:type="pct"/>
            <w:vAlign w:val="center"/>
            <w:textDirection w:val="lrTb"/>
            <w:noWrap w:val="false"/>
          </w:tcPr>
          <w:p>
            <w:pPr>
              <w:jc w:val="center"/>
              <w:spacing w:line="360" w:lineRule="auto"/>
              <w:rPr>
                <w:szCs w:val="21"/>
              </w:rPr>
            </w:pPr>
            <w:r>
              <w:rPr>
                <w:szCs w:val="21"/>
              </w:rPr>
              <w:t xml:space="preserve">8分</w:t>
            </w:r>
            <w:r/>
          </w:p>
        </w:tc>
      </w:tr>
      <w:tr>
        <w:trPr>
          <w:trHeight w:val="683"/>
        </w:trPr>
        <w:tc>
          <w:tcPr>
            <w:tcW w:w="405" w:type="pct"/>
            <w:vAlign w:val="center"/>
            <w:textDirection w:val="lrTb"/>
            <w:noWrap w:val="false"/>
          </w:tcPr>
          <w:p>
            <w:pPr>
              <w:jc w:val="center"/>
              <w:spacing w:line="360" w:lineRule="auto"/>
              <w:widowControl/>
              <w:rPr>
                <w:szCs w:val="21"/>
              </w:rPr>
            </w:pPr>
            <w:r>
              <w:rPr>
                <w:szCs w:val="21"/>
              </w:rPr>
              <w:t xml:space="preserve">7.1</w:t>
            </w:r>
            <w:r/>
          </w:p>
        </w:tc>
        <w:tc>
          <w:tcPr>
            <w:tcW w:w="683" w:type="pct"/>
            <w:vAlign w:val="center"/>
            <w:vMerge w:val="restart"/>
            <w:textDirection w:val="lrTb"/>
            <w:noWrap w:val="false"/>
          </w:tcPr>
          <w:p>
            <w:pPr>
              <w:jc w:val="center"/>
              <w:spacing w:line="360" w:lineRule="auto"/>
              <w:rPr>
                <w:b/>
                <w:bCs/>
                <w:szCs w:val="21"/>
              </w:rPr>
            </w:pPr>
            <w:r>
              <w:rPr>
                <w:b/>
                <w:bCs/>
                <w:szCs w:val="21"/>
              </w:rPr>
              <w:t xml:space="preserve">售后服务</w:t>
            </w:r>
            <w:r/>
          </w:p>
        </w:tc>
        <w:tc>
          <w:tcPr>
            <w:tcW w:w="3426" w:type="pct"/>
            <w:vAlign w:val="center"/>
            <w:textDirection w:val="lrTb"/>
            <w:noWrap w:val="false"/>
          </w:tcPr>
          <w:p>
            <w:pPr>
              <w:spacing w:line="360" w:lineRule="auto"/>
              <w:rPr>
                <w:color w:val="000000"/>
                <w:szCs w:val="21"/>
              </w:rPr>
            </w:pPr>
            <w:r>
              <w:rPr>
                <w:color w:val="000000"/>
                <w:szCs w:val="21"/>
              </w:rPr>
              <w:t xml:space="preserve">根据投标人提供的售后服务及应急措施，对内容的全面性、针对性、可行性进行评价。</w:t>
            </w:r>
            <w:r/>
          </w:p>
          <w:p>
            <w:pPr>
              <w:spacing w:line="360" w:lineRule="auto"/>
              <w:rPr>
                <w:color w:val="000000"/>
                <w:szCs w:val="21"/>
              </w:rPr>
            </w:pPr>
            <w:r>
              <w:rPr>
                <w:color w:val="000000"/>
                <w:szCs w:val="21"/>
              </w:rPr>
              <w:t xml:space="preserve">（1）全面性(4分)：全面具体详实得4分；较全面得2分；仅具备基本内容的得1分。</w:t>
            </w:r>
            <w:r/>
          </w:p>
          <w:p>
            <w:pPr>
              <w:spacing w:line="360" w:lineRule="auto"/>
              <w:rPr>
                <w:color w:val="000000"/>
                <w:szCs w:val="21"/>
              </w:rPr>
            </w:pPr>
            <w:r>
              <w:rPr>
                <w:color w:val="000000"/>
                <w:szCs w:val="21"/>
              </w:rPr>
              <w:t xml:space="preserve">（2）针对性(4分)：针对性强得4分；针对性较强得2分；针对性一般的得1分。</w:t>
            </w:r>
            <w:r/>
          </w:p>
          <w:p>
            <w:pPr>
              <w:spacing w:line="360" w:lineRule="auto"/>
              <w:rPr>
                <w:color w:val="000000"/>
                <w:szCs w:val="21"/>
              </w:rPr>
            </w:pPr>
            <w:r>
              <w:rPr>
                <w:color w:val="000000"/>
                <w:szCs w:val="21"/>
              </w:rPr>
              <w:t xml:space="preserve">（3）可行性（4分)：符合实际切实可行得4分；较切实可行得2分；可行性欠缺得1分。</w:t>
            </w:r>
            <w:r/>
          </w:p>
          <w:p>
            <w:pPr>
              <w:spacing w:line="360" w:lineRule="auto"/>
              <w:rPr>
                <w:szCs w:val="21"/>
              </w:rPr>
            </w:pPr>
            <w:r>
              <w:rPr>
                <w:color w:val="000000"/>
                <w:szCs w:val="21"/>
              </w:rPr>
              <w:t xml:space="preserve">未提供的不得分。本项最高得12分。</w:t>
            </w:r>
            <w:r/>
          </w:p>
        </w:tc>
        <w:tc>
          <w:tcPr>
            <w:tcW w:w="484" w:type="pct"/>
            <w:vAlign w:val="center"/>
            <w:textDirection w:val="lrTb"/>
            <w:noWrap w:val="false"/>
          </w:tcPr>
          <w:p>
            <w:pPr>
              <w:jc w:val="center"/>
              <w:spacing w:line="360" w:lineRule="auto"/>
              <w:rPr>
                <w:szCs w:val="21"/>
              </w:rPr>
            </w:pPr>
            <w:r>
              <w:rPr>
                <w:szCs w:val="21"/>
              </w:rPr>
              <w:t xml:space="preserve">12分</w:t>
            </w:r>
            <w:r/>
          </w:p>
        </w:tc>
      </w:tr>
      <w:tr>
        <w:trPr>
          <w:trHeight w:val="683"/>
        </w:trPr>
        <w:tc>
          <w:tcPr>
            <w:tcW w:w="405" w:type="pct"/>
            <w:vAlign w:val="center"/>
            <w:textDirection w:val="lrTb"/>
            <w:noWrap w:val="false"/>
          </w:tcPr>
          <w:p>
            <w:pPr>
              <w:jc w:val="center"/>
              <w:spacing w:line="360" w:lineRule="auto"/>
              <w:widowControl/>
              <w:rPr>
                <w:szCs w:val="21"/>
              </w:rPr>
            </w:pPr>
            <w:r>
              <w:rPr>
                <w:szCs w:val="21"/>
              </w:rPr>
              <w:t xml:space="preserve">7.2</w:t>
            </w:r>
            <w:r/>
          </w:p>
        </w:tc>
        <w:tc>
          <w:tcPr>
            <w:tcW w:w="683" w:type="pct"/>
            <w:vAlign w:val="center"/>
            <w:vMerge w:val="continue"/>
            <w:textDirection w:val="lrTb"/>
            <w:noWrap w:val="false"/>
          </w:tcPr>
          <w:p>
            <w:pPr>
              <w:jc w:val="center"/>
              <w:spacing w:line="360" w:lineRule="auto"/>
              <w:rPr>
                <w:b/>
                <w:bCs/>
                <w:szCs w:val="21"/>
              </w:rPr>
            </w:pPr>
            <w:r>
              <w:rPr>
                <w:b/>
                <w:bCs/>
                <w:szCs w:val="21"/>
              </w:rPr>
            </w:r>
            <w:r/>
          </w:p>
        </w:tc>
        <w:tc>
          <w:tcPr>
            <w:tcW w:w="3426" w:type="pct"/>
            <w:vAlign w:val="center"/>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供应商具备以下条件之一的得8分：</w:t>
            </w:r>
            <w:r/>
          </w:p>
          <w:p>
            <w:pPr>
              <w:numPr>
                <w:ilvl w:val="0"/>
                <w:numId w:val="5"/>
              </w:numPr>
              <w:spacing w:line="360" w:lineRule="auto"/>
              <w:rPr>
                <w:rFonts w:hint="eastAsia" w:ascii="宋体" w:hAnsi="宋体" w:cs="宋体"/>
                <w:color w:val="000000"/>
                <w:lang w:val="zh-CN"/>
              </w:rPr>
            </w:pPr>
            <w:r>
              <w:rPr>
                <w:rFonts w:hint="eastAsia" w:ascii="宋体" w:hAnsi="宋体" w:cs="宋体"/>
                <w:color w:val="000000"/>
              </w:rPr>
              <w:t xml:space="preserve">已取得</w:t>
            </w:r>
            <w:r>
              <w:rPr>
                <w:rFonts w:hint="eastAsia" w:ascii="宋体" w:hAnsi="宋体" w:cs="宋体"/>
                <w:color w:val="000000"/>
                <w:lang w:val="zh-CN"/>
              </w:rPr>
              <w:t xml:space="preserve">设备生产厂家出具的专项售后授权证书；</w:t>
            </w:r>
            <w:r/>
          </w:p>
          <w:p>
            <w:pPr>
              <w:numPr>
                <w:ilvl w:val="0"/>
                <w:numId w:val="5"/>
              </w:numPr>
              <w:spacing w:line="360" w:lineRule="auto"/>
              <w:rPr>
                <w:szCs w:val="21"/>
              </w:rPr>
            </w:pPr>
            <w:r>
              <w:rPr>
                <w:rFonts w:hint="eastAsia" w:ascii="宋体" w:hAnsi="宋体" w:cs="宋体"/>
                <w:color w:val="000000"/>
                <w:lang w:val="zh-CN"/>
              </w:rPr>
              <w:t xml:space="preserve">2</w:t>
            </w:r>
            <w:r>
              <w:rPr>
                <w:rFonts w:hint="eastAsia" w:ascii="宋体" w:hAnsi="宋体" w:cs="宋体"/>
                <w:color w:val="000000"/>
              </w:rPr>
              <w:t xml:space="preserve">、是</w:t>
            </w:r>
            <w:r>
              <w:rPr>
                <w:rFonts w:hint="eastAsia" w:ascii="宋体" w:hAnsi="宋体" w:cs="宋体"/>
                <w:color w:val="000000"/>
                <w:lang w:val="zh-CN"/>
              </w:rPr>
              <w:t xml:space="preserve">维保设备生产厂家。</w:t>
            </w:r>
            <w:r>
              <w:rPr>
                <w:rFonts w:hint="eastAsia" w:ascii="宋体" w:hAnsi="宋体" w:cs="宋体"/>
                <w:color w:val="000000"/>
              </w:rPr>
              <w:t xml:space="preserve">需</w:t>
            </w:r>
            <w:r>
              <w:rPr>
                <w:rFonts w:hint="eastAsia" w:ascii="宋体" w:hAnsi="宋体" w:cs="宋体"/>
                <w:color w:val="000000"/>
                <w:lang w:val="zh-CN"/>
              </w:rPr>
              <w:t xml:space="preserve">提供相关承诺书或授权证明文件、</w:t>
            </w:r>
            <w:r>
              <w:rPr>
                <w:rFonts w:hint="eastAsia" w:ascii="宋体" w:hAnsi="宋体" w:cs="宋体"/>
                <w:color w:val="000000"/>
              </w:rPr>
              <w:t xml:space="preserve">原厂证明等相关文件</w:t>
            </w:r>
            <w:r>
              <w:rPr>
                <w:rFonts w:hint="eastAsia" w:ascii="宋体" w:hAnsi="宋体" w:cs="宋体"/>
                <w:color w:val="000000"/>
                <w:lang w:val="zh-CN"/>
              </w:rPr>
              <w:t xml:space="preserve">。</w:t>
            </w:r>
            <w:r>
              <w:rPr>
                <w:rFonts w:hint="eastAsia" w:ascii="宋体" w:hAnsi="宋体" w:cs="宋体"/>
                <w:color w:val="000000"/>
              </w:rPr>
              <w:t xml:space="preserve">未提供或不满足要求的不得分。</w:t>
            </w:r>
            <w:r/>
          </w:p>
        </w:tc>
        <w:tc>
          <w:tcPr>
            <w:tcW w:w="484" w:type="pct"/>
            <w:vAlign w:val="center"/>
            <w:textDirection w:val="lrTb"/>
            <w:noWrap w:val="false"/>
          </w:tcPr>
          <w:p>
            <w:pPr>
              <w:jc w:val="center"/>
              <w:spacing w:line="360" w:lineRule="auto"/>
              <w:rPr>
                <w:szCs w:val="21"/>
              </w:rPr>
            </w:pPr>
            <w:r>
              <w:rPr>
                <w:rFonts w:hint="eastAsia"/>
                <w:bCs/>
                <w:szCs w:val="21"/>
              </w:rPr>
              <w:t xml:space="preserve">8</w:t>
            </w:r>
            <w:r>
              <w:rPr>
                <w:bCs/>
                <w:szCs w:val="21"/>
              </w:rPr>
              <w:t xml:space="preserve">分</w:t>
            </w:r>
            <w:r/>
          </w:p>
        </w:tc>
      </w:tr>
      <w:tr>
        <w:trPr>
          <w:trHeight w:val="683"/>
        </w:trPr>
        <w:tc>
          <w:tcPr>
            <w:tcW w:w="405" w:type="pct"/>
            <w:vAlign w:val="center"/>
            <w:textDirection w:val="lrTb"/>
            <w:noWrap w:val="false"/>
          </w:tcPr>
          <w:p>
            <w:pPr>
              <w:jc w:val="center"/>
              <w:spacing w:line="360" w:lineRule="auto"/>
              <w:widowControl/>
              <w:rPr>
                <w:szCs w:val="21"/>
              </w:rPr>
            </w:pPr>
            <w:r>
              <w:rPr>
                <w:szCs w:val="21"/>
              </w:rPr>
              <w:t xml:space="preserve">7.3</w:t>
            </w:r>
            <w:r/>
          </w:p>
        </w:tc>
        <w:tc>
          <w:tcPr>
            <w:tcW w:w="683" w:type="pct"/>
            <w:vAlign w:val="center"/>
            <w:vMerge w:val="continue"/>
            <w:textDirection w:val="lrTb"/>
            <w:noWrap w:val="false"/>
          </w:tcPr>
          <w:p>
            <w:pPr>
              <w:jc w:val="center"/>
              <w:spacing w:line="360" w:lineRule="auto"/>
              <w:rPr>
                <w:b/>
                <w:bCs/>
                <w:szCs w:val="21"/>
              </w:rPr>
            </w:pPr>
            <w:r>
              <w:rPr>
                <w:b/>
                <w:bCs/>
                <w:szCs w:val="21"/>
              </w:rPr>
            </w:r>
            <w:r/>
          </w:p>
        </w:tc>
        <w:tc>
          <w:tcPr>
            <w:tcW w:w="3426" w:type="pct"/>
            <w:vAlign w:val="center"/>
            <w:textDirection w:val="lrTb"/>
            <w:noWrap w:val="false"/>
          </w:tcPr>
          <w:p>
            <w:pPr>
              <w:spacing w:line="360" w:lineRule="auto"/>
              <w:rPr>
                <w:bCs/>
                <w:szCs w:val="21"/>
              </w:rPr>
            </w:pPr>
            <w:r>
              <w:rPr>
                <w:bCs/>
                <w:szCs w:val="21"/>
              </w:rPr>
              <w:t xml:space="preserve">根据供应商提供的备品备件储备管理及配送方案，包括但不限于：备件仓库数量、项目涉及的设备备品备件储备情况、备品备件储存管理措施、备品备件采购渠道管理、备品备件运输安全质量控制措施、备品备件配送时间控制措施等打分。方案详尽、合理、可行的得</w:t>
            </w:r>
            <w:r>
              <w:rPr>
                <w:rFonts w:hint="eastAsia"/>
                <w:bCs/>
                <w:szCs w:val="21"/>
              </w:rPr>
              <w:t xml:space="preserve">5</w:t>
            </w:r>
            <w:r>
              <w:rPr>
                <w:bCs/>
                <w:szCs w:val="21"/>
              </w:rPr>
              <w:t xml:space="preserve">分，每缺少1项减2分，每出现1项有缺陷或不合理的减1分，未提供的不得分。</w:t>
            </w:r>
            <w:r/>
          </w:p>
        </w:tc>
        <w:tc>
          <w:tcPr>
            <w:tcW w:w="484" w:type="pct"/>
            <w:vAlign w:val="center"/>
            <w:textDirection w:val="lrTb"/>
            <w:noWrap w:val="false"/>
          </w:tcPr>
          <w:p>
            <w:pPr>
              <w:jc w:val="center"/>
              <w:spacing w:line="360" w:lineRule="auto"/>
              <w:rPr>
                <w:bCs/>
                <w:szCs w:val="21"/>
              </w:rPr>
            </w:pPr>
            <w:r>
              <w:rPr>
                <w:rFonts w:hint="eastAsia"/>
                <w:bCs/>
                <w:szCs w:val="21"/>
              </w:rPr>
              <w:t xml:space="preserve">5</w:t>
            </w:r>
            <w:r>
              <w:rPr>
                <w:bCs/>
                <w:szCs w:val="21"/>
              </w:rPr>
              <w:t xml:space="preserve">分</w:t>
            </w:r>
            <w:r/>
          </w:p>
        </w:tc>
      </w:tr>
    </w:tbl>
    <w:p>
      <w:pPr>
        <w:spacing w:line="440" w:lineRule="exact"/>
        <w:shd w:val="clear" w:color="auto" w:fill="ffffff"/>
        <w:widowControl/>
        <w:rPr>
          <w:szCs w:val="21"/>
        </w:rPr>
      </w:pPr>
      <w:r>
        <w:rPr>
          <w:szCs w:val="21"/>
        </w:rPr>
      </w:r>
      <w:r/>
    </w:p>
    <w:p>
      <w:pPr>
        <w:spacing w:line="360" w:lineRule="auto"/>
        <w:rPr>
          <w:szCs w:val="21"/>
        </w:rPr>
      </w:pPr>
      <w:r>
        <w:rPr>
          <w:b/>
          <w:bCs/>
          <w:szCs w:val="21"/>
        </w:rPr>
        <w:t xml:space="preserve">说明：</w:t>
      </w:r>
      <w:r>
        <w:rPr>
          <w:b/>
          <w:szCs w:val="21"/>
        </w:rPr>
        <w:t xml:space="preserve">评审标准中涉及的</w:t>
      </w:r>
      <w:r>
        <w:rPr>
          <w:b/>
          <w:bCs/>
          <w:szCs w:val="21"/>
        </w:rPr>
        <w:t xml:space="preserve">证明材料均需附入响应文件内（复印件加盖公章）。</w:t>
      </w:r>
      <w:r/>
    </w:p>
    <w:p>
      <w:pPr>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tabs>
          <w:tab w:val="left" w:pos="1080" w:leader="none"/>
          <w:tab w:val="left" w:pos="1589" w:leader="none"/>
        </w:tabs>
        <w:rPr>
          <w:rFonts w:hint="eastAsia" w:ascii="宋体" w:hAnsi="宋体" w:eastAsia="宋体" w:cs="宋体"/>
          <w:szCs w:val="21"/>
        </w:rPr>
      </w:pPr>
      <w:r/>
      <w:bookmarkStart w:id="315" w:name="_Toc91836565"/>
      <w:r>
        <w:rPr>
          <w:rFonts w:hint="eastAsia" w:ascii="宋体" w:hAnsi="宋体" w:eastAsia="宋体" w:cs="宋体"/>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1、对于未预留份额专门面向中小企业采购的采购项目，以及预留份额项目中的非预留部分采购包，对小微企业报价给予</w:t>
      </w:r>
      <w:r>
        <w:rPr>
          <w:rFonts w:hint="eastAsia" w:ascii="宋体" w:hAnsi="宋体" w:eastAsia="宋体" w:cs="宋体"/>
          <w:szCs w:val="21"/>
          <w:u w:val="single"/>
        </w:rPr>
        <w:t xml:space="preserve">10%</w:t>
      </w:r>
      <w:r>
        <w:rPr>
          <w:rFonts w:hint="eastAsia" w:ascii="宋体" w:hAnsi="宋体" w:eastAsia="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lang w:eastAsia="zh-CN"/>
        </w:rPr>
      </w:pPr>
      <w:r>
        <w:rPr>
          <w:rFonts w:hint="eastAsia" w:ascii="宋体" w:hAnsi="宋体" w:eastAsia="宋体" w:cs="宋体"/>
          <w:szCs w:val="21"/>
        </w:rPr>
        <w:t xml:space="preserve">二、根据《国务院办公厅关于在政府采购中实施本国产品标准及相关政策的通知》、关于贯彻落实《国务院办公厅关于在政府采购中实施本国产</w:t>
      </w:r>
      <w:r>
        <w:rPr>
          <w:rFonts w:hint="eastAsia" w:ascii="宋体" w:hAnsi="宋体" w:eastAsia="宋体" w:cs="宋体"/>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rPr>
          <w:rFonts w:hint="eastAsia" w:ascii="宋体" w:hAnsi="宋体" w:cs="宋体"/>
          <w:szCs w:val="21"/>
          <w:lang w:eastAsia="zh-CN"/>
        </w:rPr>
        <w:t xml:space="preserve">（</w:t>
      </w:r>
      <w:r>
        <w:rPr>
          <w:rFonts w:hint="eastAsia" w:ascii="宋体" w:hAnsi="宋体" w:cs="宋体"/>
          <w:szCs w:val="21"/>
          <w:lang w:val="en-US" w:eastAsia="zh-CN"/>
        </w:rPr>
        <w:t xml:space="preserve">如适用</w:t>
      </w:r>
      <w:r>
        <w:rPr>
          <w:rFonts w:hint="eastAsia" w:ascii="宋体" w:hAnsi="宋体" w:cs="宋体"/>
          <w:szCs w:val="21"/>
          <w:lang w:eastAsia="zh-CN"/>
        </w:rPr>
        <w:t xml:space="preserve">）</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pStyle w:val="1052"/>
        <w:rPr>
          <w:rFonts w:hint="eastAsia" w:ascii="宋体" w:hAnsi="宋体" w:eastAsia="宋体" w:cs="宋体"/>
        </w:rPr>
      </w:pPr>
      <w:r>
        <w:rPr>
          <w:rFonts w:hint="eastAsia" w:ascii="宋体" w:hAnsi="宋体" w:eastAsia="宋体" w:cs="宋体"/>
        </w:rPr>
      </w:r>
      <w:r/>
    </w:p>
    <w:p>
      <w:pPr>
        <w:pStyle w:val="1065"/>
        <w:rPr>
          <w:rFonts w:hint="eastAsia" w:ascii="宋体" w:hAnsi="宋体" w:eastAsia="宋体" w:cs="宋体"/>
        </w:rPr>
      </w:pPr>
      <w:r/>
      <w:bookmarkStart w:id="442" w:name="_GoBack"/>
      <w:r/>
      <w:bookmarkEnd w:id="442"/>
      <w:r/>
      <w:bookmarkStart w:id="316" w:name="_Toc7374"/>
      <w:r>
        <w:rPr>
          <w:rFonts w:hint="eastAsia" w:ascii="宋体" w:hAnsi="宋体" w:eastAsia="宋体" w:cs="宋体"/>
        </w:rPr>
        <w:t xml:space="preserve">第六章 </w:t>
      </w:r>
      <w:bookmarkEnd w:id="315"/>
      <w:r>
        <w:rPr>
          <w:rFonts w:hint="eastAsia" w:ascii="宋体" w:hAnsi="宋体" w:eastAsia="宋体" w:cs="宋体"/>
        </w:rPr>
        <w:t xml:space="preserve">投标文件格式</w:t>
      </w:r>
      <w:bookmarkEnd w:id="316"/>
      <w:r/>
      <w:r/>
    </w:p>
    <w:p>
      <w:pPr>
        <w:spacing w:line="360" w:lineRule="auto"/>
        <w:rPr>
          <w:rFonts w:hint="eastAsia" w:ascii="宋体" w:hAnsi="宋体" w:eastAsia="宋体" w:cs="宋体"/>
          <w:b/>
          <w:bCs/>
        </w:rPr>
      </w:pPr>
      <w:r>
        <w:rPr>
          <w:rFonts w:hint="eastAsia" w:ascii="宋体" w:hAnsi="宋体" w:eastAsia="宋体" w:cs="宋体"/>
          <w:b/>
          <w:bCs/>
        </w:rPr>
        <w:t xml:space="preserve">注：请投标人按照以下文件的要求格式、内容，顺序制作投标文件，并请编制目录及页码，否则可能将影响对投标文件的评价。</w:t>
      </w:r>
      <w:r/>
    </w:p>
    <w:p>
      <w:pPr>
        <w:pStyle w:val="1293"/>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eastAsia="宋体" w:cs="宋体"/>
          <w:sz w:val="24"/>
        </w:rPr>
      </w:pPr>
      <w:r/>
      <w:bookmarkStart w:id="317" w:name="_Toc96347900"/>
      <w:r>
        <w:rPr>
          <w:rFonts w:hint="eastAsia" w:ascii="宋体" w:hAnsi="宋体" w:eastAsia="宋体" w:cs="宋体"/>
          <w:sz w:val="24"/>
        </w:rPr>
        <w:br w:type="page" w:clear="all"/>
      </w:r>
      <w:r>
        <w:rPr>
          <w:rFonts w:hint="eastAsia" w:ascii="宋体" w:hAnsi="宋体" w:eastAsia="宋体" w:cs="宋体"/>
          <w:b/>
          <w:sz w:val="40"/>
          <w:szCs w:val="60"/>
        </w:rPr>
        <w:t xml:space="preserve">附件</w:t>
      </w:r>
      <w:r/>
    </w:p>
    <w:p>
      <w:pPr>
        <w:pStyle w:val="1045"/>
        <w:ind w:left="0"/>
        <w:jc w:val="center"/>
        <w:rPr>
          <w:rFonts w:hint="eastAsia" w:ascii="宋体" w:hAnsi="宋体" w:eastAsia="宋体" w:cs="宋体"/>
          <w:position w:val="0"/>
          <w:sz w:val="60"/>
          <w:szCs w:val="60"/>
          <w:lang w:eastAsia="zh-CN"/>
        </w:rPr>
      </w:pPr>
      <w:r>
        <w:rPr>
          <w:rFonts w:hint="eastAsia" w:hAnsi="宋体" w:cs="宋体"/>
          <w:position w:val="0"/>
          <w:sz w:val="60"/>
          <w:szCs w:val="60"/>
          <w:lang w:eastAsia="zh-CN"/>
        </w:rPr>
        <w:t xml:space="preserve">江苏省药品监督检验研究院</w:t>
      </w:r>
      <w:r/>
    </w:p>
    <w:p>
      <w:pPr>
        <w:pStyle w:val="1045"/>
        <w:ind w:left="0"/>
        <w:jc w:val="center"/>
        <w:rPr>
          <w:rFonts w:hint="eastAsia" w:ascii="宋体" w:hAnsi="宋体" w:eastAsia="宋体" w:cs="宋体"/>
          <w:position w:val="0"/>
          <w:sz w:val="60"/>
          <w:szCs w:val="60"/>
          <w:lang w:eastAsia="zh-CN"/>
        </w:rPr>
      </w:pPr>
      <w:r>
        <w:rPr>
          <w:rFonts w:hint="eastAsia" w:hAnsi="宋体" w:cs="宋体"/>
          <w:position w:val="0"/>
          <w:sz w:val="60"/>
          <w:szCs w:val="60"/>
          <w:lang w:eastAsia="zh-CN"/>
        </w:rPr>
        <w:t xml:space="preserve">2026年离子色谱仪等12台大型仪器运维服务采购项目</w:t>
      </w:r>
      <w:r/>
    </w:p>
    <w:p>
      <w:pPr>
        <w:rPr>
          <w:rFonts w:hint="eastAsia" w:ascii="宋体" w:hAnsi="宋体" w:eastAsia="宋体" w:cs="宋体"/>
        </w:rPr>
      </w:pPr>
      <w:r>
        <w:rPr>
          <w:rFonts w:hint="eastAsia" w:ascii="宋体" w:hAnsi="宋体" w:eastAsia="宋体" w:cs="宋体"/>
        </w:rPr>
      </w:r>
      <w:r/>
    </w:p>
    <w:p>
      <w:pPr>
        <w:pStyle w:val="1048"/>
        <w:jc w:val="center"/>
        <w:rPr>
          <w:rFonts w:hint="eastAsia" w:ascii="宋体" w:hAnsi="宋体" w:eastAsia="宋体" w:cs="宋体"/>
          <w:b/>
          <w:sz w:val="84"/>
          <w:szCs w:val="84"/>
        </w:rPr>
      </w:pPr>
      <w:r/>
      <w:bookmarkStart w:id="318" w:name="_Toc100905255"/>
      <w:r/>
      <w:r/>
    </w:p>
    <w:p>
      <w:pPr>
        <w:pStyle w:val="1048"/>
        <w:jc w:val="center"/>
        <w:rPr>
          <w:rFonts w:hint="eastAsia" w:ascii="宋体" w:hAnsi="宋体" w:eastAsia="宋体" w:cs="宋体"/>
          <w:b/>
          <w:sz w:val="84"/>
          <w:szCs w:val="84"/>
        </w:rPr>
      </w:pPr>
      <w:r>
        <w:rPr>
          <w:rFonts w:hint="eastAsia" w:ascii="宋体" w:hAnsi="宋体" w:eastAsia="宋体" w:cs="宋体"/>
          <w:b/>
          <w:sz w:val="84"/>
          <w:szCs w:val="84"/>
        </w:rPr>
        <w:t xml:space="preserve">投 标 文 件</w:t>
      </w:r>
      <w:bookmarkEnd w:id="318"/>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0"/>
          <w:szCs w:val="40"/>
        </w:rPr>
      </w:pPr>
      <w:r>
        <w:rPr>
          <w:rFonts w:hint="eastAsia" w:ascii="宋体" w:hAnsi="宋体" w:eastAsia="宋体" w:cs="宋体"/>
          <w:b/>
          <w:sz w:val="40"/>
          <w:szCs w:val="40"/>
        </w:rPr>
        <w:t xml:space="preserve">项目编号：</w:t>
      </w:r>
      <w:sdt>
        <w:sdtPr>
          <w15:appearance w15:val="boundingBox"/>
          <w:id w:val="351766342"/>
          <w:placeholder>
            <w:docPart w:val="DefaultPlaceholder_-1854013440"/>
          </w:placeholder>
          <w:rPr>
            <w:rFonts w:hint="eastAsia" w:ascii="宋体" w:hAnsi="宋体" w:eastAsia="宋体" w:cs="宋体"/>
            <w:b/>
            <w:sz w:val="40"/>
            <w:szCs w:val="40"/>
          </w:rPr>
        </w:sdtPr>
        <w:sdtContent>
          <w:r>
            <w:rPr>
              <w:rFonts w:hint="eastAsia" w:ascii="宋体" w:hAnsi="宋体" w:cs="宋体"/>
              <w:b/>
              <w:sz w:val="40"/>
              <w:szCs w:val="40"/>
              <w:lang w:eastAsia="zh-CN"/>
            </w:rPr>
            <w:t xml:space="preserve">JSZC-320000-JITC-G2026-0344</w:t>
          </w:r>
          <w:r>
            <w:rPr>
              <w:rFonts w:hint="eastAsia" w:ascii="宋体" w:hAnsi="宋体" w:cs="宋体"/>
              <w:b/>
              <w:sz w:val="40"/>
              <w:szCs w:val="40"/>
              <w:lang w:eastAsia="zh-CN"/>
            </w:rPr>
            <w:tab/>
          </w:r>
        </w:sdtContent>
      </w:sdt>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rPr>
          <w:rFonts w:hint="eastAsia" w:ascii="宋体" w:hAnsi="宋体" w:eastAsia="宋体" w:cs="宋体"/>
          <w:sz w:val="28"/>
          <w:szCs w:val="28"/>
        </w:rPr>
      </w:pPr>
      <w:r>
        <w:rPr>
          <w:rFonts w:hint="eastAsia" w:ascii="宋体" w:hAnsi="宋体" w:eastAsia="宋体" w:cs="宋体"/>
          <w:sz w:val="28"/>
          <w:szCs w:val="28"/>
        </w:rPr>
      </w:r>
      <w:r/>
    </w:p>
    <w:p>
      <w:pPr>
        <w:pStyle w:val="1048"/>
        <w:jc w:val="center"/>
        <w:rPr>
          <w:rFonts w:hint="eastAsia" w:ascii="宋体" w:hAnsi="宋体" w:eastAsia="宋体" w:cs="宋体"/>
          <w:b/>
          <w:sz w:val="32"/>
          <w:szCs w:val="32"/>
        </w:rPr>
      </w:pPr>
      <w:r>
        <w:rPr>
          <w:rFonts w:hint="eastAsia" w:ascii="宋体" w:hAnsi="宋体" w:eastAsia="宋体" w:cs="宋体"/>
          <w:b/>
          <w:sz w:val="32"/>
          <w:szCs w:val="24"/>
        </w:rPr>
        <w:t xml:space="preserve">供应商名称：</w:t>
      </w:r>
      <w:r>
        <w:rPr>
          <w:rFonts w:hint="eastAsia" w:ascii="宋体" w:hAnsi="宋体" w:eastAsia="宋体" w:cs="宋体"/>
          <w:b/>
          <w:sz w:val="32"/>
          <w:szCs w:val="32"/>
        </w:rPr>
        <w:t xml:space="preserve">_____________________</w:t>
      </w:r>
      <w:r/>
    </w:p>
    <w:p>
      <w:pPr>
        <w:pStyle w:val="1048"/>
        <w:jc w:val="center"/>
        <w:rPr>
          <w:rFonts w:hint="eastAsia" w:ascii="宋体" w:hAnsi="宋体" w:eastAsia="宋体" w:cs="宋体"/>
          <w:b/>
          <w:sz w:val="32"/>
          <w:szCs w:val="32"/>
          <w:u w:val="single"/>
        </w:rPr>
      </w:pPr>
      <w:r>
        <w:rPr>
          <w:rFonts w:hint="eastAsia" w:ascii="宋体" w:hAnsi="宋体" w:eastAsia="宋体" w:cs="宋体"/>
          <w:b/>
          <w:sz w:val="32"/>
          <w:szCs w:val="32"/>
        </w:rPr>
        <w:t xml:space="preserve">地址：_____________________</w:t>
      </w:r>
      <w:r>
        <w:rPr>
          <w:rFonts w:hint="eastAsia" w:ascii="宋体" w:hAnsi="宋体" w:eastAsia="宋体" w:cs="宋体"/>
          <w:b/>
          <w:sz w:val="32"/>
          <w:szCs w:val="32"/>
          <w:u w:val="single"/>
        </w:rPr>
        <w:t xml:space="preserve">   </w:t>
      </w:r>
      <w:r/>
    </w:p>
    <w:p>
      <w:pPr>
        <w:pStyle w:val="1048"/>
        <w:jc w:val="center"/>
        <w:rPr>
          <w:rFonts w:hint="eastAsia" w:ascii="宋体" w:hAnsi="宋体" w:eastAsia="宋体" w:cs="宋体"/>
          <w:b/>
          <w:sz w:val="32"/>
          <w:szCs w:val="32"/>
        </w:rPr>
      </w:pPr>
      <w:r>
        <w:rPr>
          <w:rFonts w:hint="eastAsia" w:ascii="宋体" w:hAnsi="宋体" w:eastAsia="宋体" w:cs="宋体"/>
          <w:b/>
          <w:sz w:val="32"/>
          <w:szCs w:val="32"/>
        </w:rPr>
        <w:t xml:space="preserve">联系人及联系方式：_____________________</w:t>
      </w:r>
      <w:r>
        <w:rPr>
          <w:rFonts w:hint="eastAsia" w:ascii="宋体" w:hAnsi="宋体" w:eastAsia="宋体" w:cs="宋体"/>
          <w:b/>
          <w:sz w:val="32"/>
          <w:szCs w:val="32"/>
          <w:u w:val="single"/>
        </w:rPr>
        <w:t xml:space="preserve">   </w:t>
      </w:r>
      <w:r/>
    </w:p>
    <w:p>
      <w:pPr>
        <w:jc w:val="center"/>
        <w:rPr>
          <w:rFonts w:hint="eastAsia" w:ascii="宋体" w:hAnsi="宋体" w:eastAsia="宋体" w:cs="宋体"/>
          <w:b/>
          <w:sz w:val="28"/>
        </w:rPr>
      </w:pPr>
      <w:r>
        <w:rPr>
          <w:rFonts w:hint="eastAsia" w:ascii="宋体" w:hAnsi="宋体" w:eastAsia="宋体" w:cs="宋体"/>
          <w:b/>
          <w:sz w:val="32"/>
        </w:rPr>
        <w:t xml:space="preserve">二O   年  月  日</w:t>
      </w:r>
      <w:r>
        <w:rPr>
          <w:rFonts w:hint="eastAsia" w:ascii="宋体" w:hAnsi="宋体" w:eastAsia="宋体" w:cs="宋体"/>
          <w:b/>
        </w:rPr>
        <w:br w:type="page" w:clear="all"/>
      </w:r>
      <w:r>
        <w:rPr>
          <w:rFonts w:hint="eastAsia" w:ascii="宋体" w:hAnsi="宋体" w:eastAsia="宋体" w:cs="宋体"/>
          <w:b/>
          <w:sz w:val="32"/>
        </w:rPr>
        <w:t xml:space="preserve">目录</w:t>
      </w:r>
      <w:r/>
    </w:p>
    <w:p>
      <w:pPr>
        <w:pStyle w:val="1048"/>
        <w:spacing w:before="156" w:line="300" w:lineRule="exact"/>
        <w:rPr>
          <w:rFonts w:hint="eastAsia" w:ascii="宋体" w:hAnsi="宋体" w:eastAsia="宋体" w:cs="宋体"/>
          <w:b/>
        </w:rPr>
      </w:pPr>
      <w:r>
        <w:rPr>
          <w:rFonts w:hint="eastAsia" w:ascii="宋体" w:hAnsi="宋体" w:eastAsia="宋体" w:cs="宋体"/>
          <w:b/>
        </w:rPr>
        <w:t xml:space="preserve">一、价格及商务部分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（1）投标函，格式见附件。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（2）法定代表人（非法人单位负责人）身份证明，格式见附件。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（3）法定代表人授权委托书（适用于法人/非法人），格式见附件。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（4）开标一览表，格式见附件。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5</w:t>
      </w:r>
      <w:r>
        <w:rPr>
          <w:rFonts w:hint="eastAsia" w:ascii="宋体" w:hAnsi="宋体" w:eastAsia="宋体" w:cs="宋体"/>
          <w:szCs w:val="21"/>
        </w:rPr>
        <w:t xml:space="preserve">）分项报价表，格式见附件。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）商务条款偏离表，格式见附件。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7</w:t>
      </w:r>
      <w:r>
        <w:rPr>
          <w:rFonts w:hint="eastAsia" w:ascii="宋体" w:hAnsi="宋体" w:eastAsia="宋体" w:cs="宋体"/>
          <w:szCs w:val="21"/>
        </w:rPr>
        <w:t xml:space="preserve">）投标人具备投标资格的证明文件：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-1）营业执照复印件或自然人的身份证明复印件（或具有同等法律效力的证照），格式见附件。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-2）工商变更登记文件（如需），如发生了单位名称等变更的，需提供工商变更登记文件。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2）财务报表等证明文件。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3）具有履行合同所必需的设备和专业技术能力的相关证明材料或承诺函，格式见附件。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4）依法缴纳税收的相关材料，格式见附件。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5）依法缴纳社会保障资金的相关材料，格式见附件。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6）参加政府采购活动前三年内，在经营活动中没有重大违法记录，格式见附件。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7）无不良信用记录承诺函（投标人自行查询适用），格式见附件。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8）招标文件要求的其它实质性资格资信证明文件。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8</w:t>
      </w:r>
      <w:r>
        <w:rPr>
          <w:rFonts w:hint="eastAsia" w:ascii="宋体" w:hAnsi="宋体" w:eastAsia="宋体" w:cs="宋体"/>
          <w:szCs w:val="21"/>
        </w:rPr>
        <w:t xml:space="preserve">）公章授权书（如需），格式见附件。</w:t>
      </w:r>
      <w:r/>
    </w:p>
    <w:p>
      <w:pPr>
        <w:pStyle w:val="1048"/>
        <w:spacing w:before="156" w:line="300" w:lineRule="exact"/>
        <w:rPr>
          <w:rFonts w:hint="eastAsia" w:ascii="宋体" w:hAnsi="宋体" w:eastAsia="宋体" w:cs="宋体"/>
          <w:b/>
        </w:rPr>
      </w:pPr>
      <w:r>
        <w:rPr>
          <w:rFonts w:hint="eastAsia" w:ascii="宋体" w:hAnsi="宋体" w:eastAsia="宋体" w:cs="宋体"/>
          <w:b/>
        </w:rPr>
        <w:t xml:space="preserve">二、技术部分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-1</w:t>
      </w:r>
      <w:r>
        <w:rPr>
          <w:rFonts w:hint="eastAsia" w:ascii="宋体" w:hAnsi="宋体" w:eastAsia="宋体" w:cs="宋体"/>
          <w:szCs w:val="21"/>
        </w:rPr>
        <w:t xml:space="preserve">）技术条款偏离表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1-2</w:t>
      </w:r>
      <w:r>
        <w:rPr>
          <w:rFonts w:hint="eastAsia" w:ascii="宋体" w:hAnsi="宋体" w:cs="宋体"/>
          <w:szCs w:val="21"/>
          <w:lang w:eastAsia="zh-CN"/>
        </w:rPr>
        <w:t xml:space="preserve">）实质性（★）条款偏离表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1-3</w:t>
      </w:r>
      <w:r>
        <w:rPr>
          <w:rFonts w:hint="eastAsia" w:ascii="宋体" w:hAnsi="宋体" w:cs="宋体"/>
          <w:szCs w:val="21"/>
          <w:lang w:eastAsia="zh-CN"/>
        </w:rPr>
        <w:t xml:space="preserve">）评分条款偏离表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（2）需求响应方案</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（3）投标人售后服务承诺（如需）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（5）拟投入本项目人员情况表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（6）业绩表</w:t>
      </w:r>
      <w:r/>
    </w:p>
    <w:p>
      <w:pPr>
        <w:jc w:val="left"/>
        <w:spacing w:line="300" w:lineRule="exact"/>
        <w:rPr>
          <w:rFonts w:hint="eastAsia" w:ascii="宋体" w:hAnsi="宋体" w:eastAsia="宋体" w:cs="宋体"/>
          <w:szCs w:val="21"/>
        </w:rPr>
      </w:pPr>
      <w:r>
        <w:rPr>
          <w:rFonts w:hint="eastAsia" w:ascii="宋体" w:hAnsi="宋体" w:eastAsia="宋体" w:cs="宋体"/>
          <w:szCs w:val="21"/>
        </w:rPr>
      </w:r>
      <w:r/>
    </w:p>
    <w:p>
      <w:pPr>
        <w:pStyle w:val="1048"/>
        <w:spacing w:before="156" w:line="300" w:lineRule="exact"/>
        <w:rPr>
          <w:rFonts w:hint="eastAsia" w:ascii="宋体" w:hAnsi="宋体" w:eastAsia="宋体" w:cs="宋体"/>
          <w:b/>
        </w:rPr>
      </w:pPr>
      <w:r>
        <w:rPr>
          <w:rFonts w:hint="eastAsia" w:ascii="宋体" w:hAnsi="宋体" w:eastAsia="宋体" w:cs="宋体"/>
          <w:b/>
        </w:rPr>
        <w:t xml:space="preserve">三、其他部分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（1）要求投标人提交的其他文件材料或证明材料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（2）投标人认为需提供的其他文件或证明材料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（3）提供符合政府采购政策的证明材料</w:t>
      </w:r>
      <w:r/>
    </w:p>
    <w:p>
      <w:pPr>
        <w:jc w:val="center"/>
        <w:rPr>
          <w:rFonts w:hint="eastAsia" w:ascii="宋体" w:hAnsi="宋体" w:eastAsia="宋体" w:cs="宋体"/>
          <w:sz w:val="28"/>
        </w:rPr>
      </w:pPr>
      <w:r>
        <w:rPr>
          <w:rFonts w:hint="eastAsia" w:ascii="宋体" w:hAnsi="宋体" w:eastAsia="宋体" w:cs="宋体"/>
        </w:rPr>
        <w:br w:type="page" w:clear="all"/>
      </w:r>
      <w:bookmarkEnd w:id="317"/>
      <w:r/>
      <w:bookmarkStart w:id="319" w:name="_Toc104560897"/>
      <w:r/>
      <w:bookmarkStart w:id="320" w:name="_Toc103848582"/>
      <w:r/>
      <w:bookmarkStart w:id="321" w:name="_Toc4161"/>
      <w:r/>
      <w:bookmarkStart w:id="322" w:name="_Toc107246274"/>
      <w:r/>
      <w:bookmarkStart w:id="323" w:name="_Toc104560893"/>
      <w:r>
        <w:rPr>
          <w:rFonts w:hint="eastAsia" w:ascii="宋体" w:hAnsi="宋体" w:eastAsia="宋体" w:cs="宋体"/>
          <w:sz w:val="28"/>
        </w:rPr>
        <w:t xml:space="preserve">价格及商务部分</w:t>
      </w:r>
      <w:bookmarkEnd w:id="319"/>
      <w:r/>
      <w:bookmarkEnd w:id="320"/>
      <w:r/>
      <w:bookmarkEnd w:id="321"/>
      <w:r/>
      <w:bookmarkEnd w:id="322"/>
      <w:r/>
      <w:r/>
    </w:p>
    <w:p>
      <w:pPr>
        <w:rPr>
          <w:rFonts w:hint="eastAsia" w:ascii="宋体" w:hAnsi="宋体" w:eastAsia="宋体" w:cs="宋体"/>
        </w:rPr>
      </w:pPr>
      <w:r>
        <w:rPr>
          <w:rFonts w:hint="eastAsia" w:ascii="宋体" w:hAnsi="宋体" w:eastAsia="宋体" w:cs="宋体"/>
        </w:rPr>
      </w:r>
      <w:r/>
    </w:p>
    <w:p>
      <w:pPr>
        <w:pStyle w:val="1065"/>
        <w:spacing w:before="0" w:line="280" w:lineRule="exact"/>
        <w:rPr>
          <w:rFonts w:hint="eastAsia" w:ascii="宋体" w:hAnsi="宋体" w:eastAsia="宋体" w:cs="宋体"/>
          <w:sz w:val="28"/>
          <w:szCs w:val="24"/>
        </w:rPr>
      </w:pPr>
      <w:r/>
      <w:bookmarkStart w:id="324" w:name="_Toc107246275"/>
      <w:r/>
      <w:bookmarkStart w:id="325" w:name="_Toc13070"/>
      <w:r>
        <w:rPr>
          <w:rFonts w:hint="eastAsia" w:ascii="宋体" w:hAnsi="宋体" w:eastAsia="宋体" w:cs="宋体"/>
          <w:b w:val="0"/>
          <w:sz w:val="24"/>
        </w:rPr>
        <w:t xml:space="preserve">（1）</w:t>
      </w:r>
      <w:r>
        <w:rPr>
          <w:rFonts w:hint="eastAsia" w:ascii="宋体" w:hAnsi="宋体" w:eastAsia="宋体" w:cs="宋体"/>
          <w:sz w:val="28"/>
          <w:szCs w:val="24"/>
        </w:rPr>
        <w:t xml:space="preserve">投标函</w:t>
      </w:r>
      <w:bookmarkEnd w:id="323"/>
      <w:r/>
      <w:bookmarkEnd w:id="324"/>
      <w:r/>
      <w:bookmarkEnd w:id="325"/>
      <w:r/>
      <w:r/>
    </w:p>
    <w:p>
      <w:pPr>
        <w:ind w:firstLine="420"/>
        <w:spacing w:before="156" w:line="360" w:lineRule="exact"/>
        <w:rPr>
          <w:rFonts w:hint="eastAsia" w:ascii="宋体" w:hAnsi="宋体" w:eastAsia="宋体" w:cs="宋体"/>
          <w:szCs w:val="21"/>
        </w:rPr>
      </w:pPr>
      <w:r/>
      <w:bookmarkStart w:id="326" w:name="_Toc103848580"/>
      <w:r/>
      <w:bookmarkStart w:id="327" w:name="_Toc96347902"/>
      <w:r/>
      <w:sdt>
        <w:sdtPr>
          <w15:appearance w15:val="boundingBox"/>
          <w:id w:val="547302237"/>
          <w:placeholder>
            <w:docPart w:val="DefaultPlaceholder_-1854013440"/>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w:t>
          </w:r>
        </w:sdtContent>
      </w:sdt>
      <w:r>
        <w:rPr>
          <w:rFonts w:hint="eastAsia" w:ascii="宋体" w:hAnsi="宋体" w:eastAsia="宋体" w:cs="宋体"/>
          <w:szCs w:val="21"/>
        </w:rPr>
        <w:t xml:space="preserve">（采购人）：</w:t>
      </w:r>
      <w:r/>
    </w:p>
    <w:p>
      <w:pPr>
        <w:ind w:firstLine="420"/>
        <w:jc w:val="left"/>
        <w:spacing w:before="156" w:line="360" w:lineRule="exact"/>
        <w:rPr>
          <w:rFonts w:hint="eastAsia" w:ascii="宋体" w:hAnsi="宋体" w:eastAsia="宋体" w:cs="宋体"/>
          <w:szCs w:val="21"/>
        </w:rPr>
      </w:pPr>
      <w:r>
        <w:rPr>
          <w:rFonts w:hint="eastAsia" w:ascii="宋体" w:hAnsi="宋体" w:eastAsia="宋体" w:cs="宋体"/>
          <w:szCs w:val="21"/>
          <w:u w:val="single"/>
        </w:rPr>
        <w:t xml:space="preserve">       (投标人全称)   </w:t>
      </w:r>
      <w:r>
        <w:rPr>
          <w:rFonts w:hint="eastAsia" w:ascii="宋体" w:hAnsi="宋体" w:eastAsia="宋体" w:cs="宋体"/>
          <w:szCs w:val="21"/>
        </w:rPr>
        <w:t xml:space="preserve">授权</w:t>
      </w:r>
      <w:r>
        <w:rPr>
          <w:rFonts w:hint="eastAsia" w:ascii="宋体" w:hAnsi="宋体" w:eastAsia="宋体" w:cs="宋体"/>
          <w:szCs w:val="21"/>
          <w:u w:val="single"/>
        </w:rPr>
        <w:t xml:space="preserve">    （授权代表姓名）   （职位） </w:t>
      </w:r>
      <w:r>
        <w:rPr>
          <w:rFonts w:hint="eastAsia" w:ascii="宋体" w:hAnsi="宋体" w:eastAsia="宋体" w:cs="宋体"/>
          <w:szCs w:val="21"/>
        </w:rPr>
        <w:t xml:space="preserve">为全权代表，参加贵方组织的</w:t>
      </w:r>
      <w:r>
        <w:rPr>
          <w:rFonts w:hint="eastAsia" w:ascii="宋体" w:hAnsi="宋体" w:eastAsia="宋体" w:cs="宋体"/>
          <w:szCs w:val="21"/>
          <w:u w:val="single"/>
        </w:rPr>
        <w:t xml:space="preserve"> </w:t>
      </w:r>
      <w:sdt>
        <w:sdtPr>
          <w15:appearance w15:val="boundingBox"/>
          <w:id w:val="934785737"/>
          <w:placeholder>
            <w:docPart w:val="DefaultPlaceholder_-1854013440"/>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江苏省药品监督检验研究院2026年离子色谱仪等12台大型仪器运维服务采购项目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JSZC-320000-JITC-G2026-0344</w:t>
      </w:r>
      <w:r>
        <w:rPr>
          <w:rFonts w:hint="eastAsia" w:ascii="宋体" w:hAnsi="宋体" w:cs="宋体"/>
          <w:szCs w:val="21"/>
          <w:u w:val="single"/>
          <w:lang w:eastAsia="zh-CN"/>
        </w:rPr>
        <w:tab/>
      </w:r>
      <w:r>
        <w:rPr>
          <w:rFonts w:hint="eastAsia" w:ascii="宋体" w:hAnsi="宋体" w:eastAsia="宋体" w:cs="宋体"/>
          <w:szCs w:val="21"/>
        </w:rPr>
        <w:t xml:space="preserve">投标的有关活动，并对此项目进行投标。</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rPr>
        <w:t xml:space="preserve">为此：</w:t>
      </w:r>
      <w:r/>
    </w:p>
    <w:p>
      <w:pPr>
        <w:pStyle w:val="1063"/>
        <w:ind w:firstLine="420"/>
        <w:jc w:val="left"/>
        <w:spacing w:after="0" w:line="360" w:lineRule="exact"/>
        <w:rPr>
          <w:rFonts w:hint="eastAsia" w:ascii="宋体" w:hAnsi="宋体" w:eastAsia="宋体" w:cs="宋体"/>
        </w:rPr>
      </w:pPr>
      <w:r>
        <w:rPr>
          <w:rFonts w:hint="eastAsia" w:ascii="宋体" w:hAnsi="宋体" w:eastAsia="宋体" w:cs="宋体"/>
        </w:rPr>
        <w:t xml:space="preserve">1、我方将按采购文件的规定履行全部责任和义务。</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2、我方已详细审查全部采购文件，我们完全理解并同意</w:t>
      </w:r>
      <w:r>
        <w:rPr>
          <w:rFonts w:hint="eastAsia" w:ascii="宋体" w:hAnsi="宋体" w:eastAsia="宋体" w:cs="宋体"/>
          <w:szCs w:val="21"/>
        </w:rPr>
        <w:t xml:space="preserve">放弃对采购文件提出质疑或争议的权利。</w:t>
      </w:r>
      <w:r/>
    </w:p>
    <w:p>
      <w:pPr>
        <w:pStyle w:val="1063"/>
        <w:ind w:firstLine="420"/>
        <w:jc w:val="left"/>
        <w:spacing w:after="0" w:line="360" w:lineRule="exact"/>
        <w:rPr>
          <w:rFonts w:hint="eastAsia" w:ascii="宋体" w:hAnsi="宋体" w:eastAsia="宋体" w:cs="宋体"/>
        </w:rPr>
      </w:pPr>
      <w:r>
        <w:rPr>
          <w:rFonts w:hint="eastAsia" w:ascii="宋体" w:hAnsi="宋体" w:eastAsia="宋体" w:cs="宋体"/>
          <w:szCs w:val="21"/>
        </w:rPr>
        <w:t xml:space="preserve">3、本投标有效期为自投标日起</w:t>
      </w:r>
      <w:r>
        <w:rPr>
          <w:rFonts w:hint="eastAsia" w:ascii="宋体" w:hAnsi="宋体" w:eastAsia="宋体" w:cs="宋体"/>
          <w:szCs w:val="21"/>
          <w:u w:val="single"/>
        </w:rPr>
        <w:t xml:space="preserve">90日历天</w:t>
      </w:r>
      <w:r>
        <w:rPr>
          <w:rFonts w:hint="eastAsia" w:ascii="宋体" w:hAnsi="宋体" w:eastAsia="宋体" w:cs="宋体"/>
          <w:szCs w:val="21"/>
        </w:rPr>
        <w:t xml:space="preserve">。</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4、如果在规定的递交投标文件截止时间后，我方在投标有效期内撤销投标文件，投标保证金将不予退还。</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5、我方同意贵方查询或调查我们提交的与本投标文件有关的声明、文件和资料，并同意在贵方的要求下提供相关文件或证书的原件及其他相关书面材料。</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6、我方在法律和财务上独立、合法运作并独立于采购方，与采购人为本项目所委托的咨询单位或其附属机构没有直接或间接的任何关联。</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我方保证投标文件所提供的全部资料真实可靠，同意提供贵方要求的与该项投标有关的数据或资料，完全理解贵方不一定接受最低价的投标或收到的任何投标。</w:t>
      </w:r>
      <w:r/>
    </w:p>
    <w:p>
      <w:pPr>
        <w:pStyle w:val="1063"/>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9、</w:t>
      </w:r>
      <w:r>
        <w:rPr>
          <w:rFonts w:hint="eastAsia" w:ascii="宋体" w:hAnsi="宋体" w:eastAsia="宋体" w:cs="宋体"/>
          <w:szCs w:val="21"/>
        </w:rPr>
        <w:t xml:space="preserve">与本投标有关的一切往来通讯请寄：</w:t>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邮编：</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手机：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固定电话：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邮箱：</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法定代表人或其授权代表（签字或盖章）：</w:t>
      </w:r>
      <w:r>
        <w:rPr>
          <w:rFonts w:hint="eastAsia" w:ascii="宋体" w:hAnsi="宋体" w:eastAsia="宋体" w:cs="宋体"/>
          <w:szCs w:val="21"/>
          <w:u w:val="single"/>
        </w:rPr>
        <w:tab/>
      </w:r>
      <w:r>
        <w:rPr>
          <w:rFonts w:hint="eastAsia" w:ascii="宋体" w:hAnsi="宋体" w:eastAsia="宋体" w:cs="宋体"/>
          <w:szCs w:val="21"/>
          <w:u w:val="single"/>
        </w:rPr>
        <w:tab/>
      </w:r>
      <w:r/>
    </w:p>
    <w:p>
      <w:pPr>
        <w:pStyle w:val="106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pStyle w:val="1065"/>
        <w:spacing w:before="0"/>
        <w:rPr>
          <w:rFonts w:hint="eastAsia" w:ascii="宋体" w:hAnsi="宋体" w:eastAsia="宋体" w:cs="宋体"/>
          <w:bCs w:val="0"/>
          <w:sz w:val="24"/>
          <w:szCs w:val="24"/>
        </w:rPr>
      </w:pPr>
      <w:r>
        <w:rPr>
          <w:rFonts w:hint="eastAsia" w:ascii="宋体" w:hAnsi="宋体" w:eastAsia="宋体" w:cs="宋体"/>
          <w:bCs w:val="0"/>
        </w:rPr>
        <w:br w:type="page" w:clear="all"/>
      </w:r>
      <w:bookmarkStart w:id="328" w:name="_Toc103848583"/>
      <w:r/>
      <w:bookmarkStart w:id="329" w:name="_Toc104560898"/>
      <w:r/>
      <w:bookmarkStart w:id="330" w:name="_Toc6696"/>
      <w:r/>
      <w:bookmarkStart w:id="331" w:name="_Toc107246276"/>
      <w:r>
        <w:rPr>
          <w:rFonts w:hint="eastAsia" w:ascii="宋体" w:hAnsi="宋体" w:eastAsia="宋体" w:cs="宋体"/>
          <w:bCs w:val="0"/>
          <w:sz w:val="24"/>
          <w:szCs w:val="24"/>
        </w:rPr>
        <w:t xml:space="preserve">（2）</w:t>
      </w:r>
      <w:bookmarkEnd w:id="328"/>
      <w:r/>
      <w:bookmarkEnd w:id="329"/>
      <w:r>
        <w:rPr>
          <w:rFonts w:hint="eastAsia" w:ascii="宋体" w:hAnsi="宋体" w:eastAsia="宋体" w:cs="宋体"/>
          <w:bCs w:val="0"/>
          <w:sz w:val="24"/>
          <w:szCs w:val="24"/>
        </w:rPr>
        <w:t xml:space="preserve">法定代表人（非法人单位负责人）身份证明</w:t>
      </w:r>
      <w:bookmarkEnd w:id="330"/>
      <w:r/>
      <w:bookmarkEnd w:id="331"/>
      <w:r/>
      <w:r/>
    </w:p>
    <w:p>
      <w:pPr>
        <w:pStyle w:val="1043"/>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1043"/>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1043"/>
        <w:ind w:firstLine="420"/>
        <w:tabs>
          <w:tab w:val="left" w:pos="4228" w:leader="none"/>
        </w:tabs>
        <w:rPr>
          <w:rFonts w:hint="eastAsia" w:ascii="宋体" w:hAnsi="宋体" w:eastAsia="宋体" w:cs="宋体"/>
        </w:rPr>
      </w:pPr>
      <w:r>
        <w:rPr>
          <w:rFonts w:hint="eastAsia" w:ascii="宋体" w:hAnsi="宋体" w:eastAsia="宋体" w:cs="宋体"/>
        </w:rPr>
        <w:t xml:space="preserve">投标人名</w:t>
      </w:r>
      <w:r>
        <w:rPr>
          <w:rFonts w:hint="eastAsia" w:ascii="宋体" w:hAnsi="宋体" w:eastAsia="宋体" w:cs="宋体"/>
          <w:spacing w:val="-3"/>
        </w:rPr>
        <w:t xml:space="preserve">称</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1043"/>
        <w:ind w:firstLine="420"/>
        <w:spacing w:before="170"/>
        <w:tabs>
          <w:tab w:val="left" w:pos="2712" w:leader="none"/>
          <w:tab w:val="left" w:pos="4183" w:leader="none"/>
          <w:tab w:val="left" w:pos="5652" w:leader="none"/>
          <w:tab w:val="left" w:pos="7169" w:leader="none"/>
        </w:tabs>
        <w:rPr>
          <w:rFonts w:hint="eastAsia" w:ascii="宋体" w:hAnsi="宋体" w:eastAsia="宋体" w:cs="宋体"/>
        </w:rPr>
      </w:pPr>
      <w:r>
        <w:rPr>
          <w:rFonts w:hint="eastAsia" w:ascii="宋体" w:hAnsi="宋体" w:eastAsia="宋体" w:cs="宋体"/>
        </w:rPr>
        <w:t xml:space="preserve">姓名</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性别</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年</w:t>
      </w:r>
      <w:r>
        <w:rPr>
          <w:rFonts w:hint="eastAsia" w:ascii="宋体" w:hAnsi="宋体" w:eastAsia="宋体" w:cs="宋体"/>
          <w:spacing w:val="-3"/>
        </w:rPr>
        <w:t xml:space="preserve">龄</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1"/>
        </w:rPr>
        <w:t xml:space="preserve">职</w:t>
      </w:r>
      <w:r>
        <w:rPr>
          <w:rFonts w:hint="eastAsia" w:ascii="宋体" w:hAnsi="宋体" w:eastAsia="宋体" w:cs="宋体"/>
          <w:spacing w:val="-3"/>
        </w:rPr>
        <w:t xml:space="preserve">务</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1043"/>
        <w:ind w:firstLine="420"/>
        <w:spacing w:before="173"/>
        <w:tabs>
          <w:tab w:val="left" w:pos="3132" w:leader="none"/>
        </w:tabs>
        <w:rPr>
          <w:rFonts w:hint="eastAsia" w:ascii="宋体" w:hAnsi="宋体" w:eastAsia="宋体" w:cs="宋体"/>
        </w:rPr>
      </w:pPr>
      <w:r>
        <w:rPr>
          <w:rFonts w:hint="eastAsia" w:ascii="宋体" w:hAnsi="宋体" w:eastAsia="宋体" w:cs="宋体"/>
        </w:rPr>
        <w:t xml:space="preserve">系</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3"/>
        </w:rPr>
        <w:t xml:space="preserve">（</w:t>
      </w:r>
      <w:r>
        <w:rPr>
          <w:rFonts w:hint="eastAsia" w:ascii="宋体" w:hAnsi="宋体" w:eastAsia="宋体" w:cs="宋体"/>
        </w:rPr>
        <w:t xml:space="preserve">投标人</w:t>
      </w:r>
      <w:r>
        <w:rPr>
          <w:rFonts w:hint="eastAsia" w:ascii="宋体" w:hAnsi="宋体" w:eastAsia="宋体" w:cs="宋体"/>
          <w:spacing w:val="-3"/>
        </w:rPr>
        <w:t xml:space="preserve">名</w:t>
      </w:r>
      <w:r>
        <w:rPr>
          <w:rFonts w:hint="eastAsia" w:ascii="宋体" w:hAnsi="宋体" w:eastAsia="宋体" w:cs="宋体"/>
        </w:rPr>
        <w:t xml:space="preserve">称</w:t>
      </w:r>
      <w:r>
        <w:rPr>
          <w:rFonts w:hint="eastAsia" w:ascii="宋体" w:hAnsi="宋体" w:eastAsia="宋体" w:cs="宋体"/>
          <w:spacing w:val="-3"/>
        </w:rPr>
        <w:t xml:space="preserve">）</w:t>
      </w:r>
      <w:r>
        <w:rPr>
          <w:rFonts w:hint="eastAsia" w:ascii="宋体" w:hAnsi="宋体" w:eastAsia="宋体" w:cs="宋体"/>
        </w:rPr>
        <w:t xml:space="preserve">的</w:t>
      </w:r>
      <w:r>
        <w:rPr>
          <w:rFonts w:hint="eastAsia" w:ascii="宋体" w:hAnsi="宋体" w:eastAsia="宋体" w:cs="宋体"/>
          <w:spacing w:val="-3"/>
        </w:rPr>
        <w:t xml:space="preserve">法定</w:t>
      </w:r>
      <w:r>
        <w:rPr>
          <w:rFonts w:hint="eastAsia" w:ascii="宋体" w:hAnsi="宋体" w:eastAsia="宋体" w:cs="宋体"/>
        </w:rPr>
        <w:t xml:space="preserve">代表</w:t>
      </w:r>
      <w:r>
        <w:rPr>
          <w:rFonts w:hint="eastAsia" w:ascii="宋体" w:hAnsi="宋体" w:eastAsia="宋体" w:cs="宋体"/>
          <w:spacing w:val="-3"/>
        </w:rPr>
        <w:t xml:space="preserve">人/非法人单位负责人。</w:t>
      </w:r>
      <w:r/>
    </w:p>
    <w:p>
      <w:pPr>
        <w:pStyle w:val="1043"/>
        <w:ind w:firstLine="420"/>
        <w:spacing w:before="170"/>
        <w:rPr>
          <w:rFonts w:hint="eastAsia" w:ascii="宋体" w:hAnsi="宋体" w:eastAsia="宋体" w:cs="宋体"/>
        </w:rPr>
      </w:pPr>
      <w:r>
        <w:rPr>
          <w:rFonts w:hint="eastAsia" w:ascii="宋体" w:hAnsi="宋体" w:eastAsia="宋体" w:cs="宋体"/>
        </w:rPr>
        <w:t xml:space="preserve">特此证明。</w:t>
      </w:r>
      <w:r/>
    </w:p>
    <w:p>
      <w:pPr>
        <w:pStyle w:val="1043"/>
        <w:ind w:left="1260"/>
        <w:rPr>
          <w:rFonts w:hint="eastAsia" w:ascii="宋体" w:hAnsi="宋体" w:eastAsia="宋体" w:cs="宋体"/>
          <w:sz w:val="20"/>
        </w:rPr>
      </w:pPr>
      <w:r>
        <w:rPr>
          <w:rFonts w:hint="eastAsia" w:ascii="宋体" w:hAnsi="宋体" w:eastAsia="宋体" w:cs="宋体"/>
          <w:sz w:val="20"/>
        </w:rPr>
      </w:r>
      <w:r/>
    </w:p>
    <w:p>
      <w:pPr>
        <w:pStyle w:val="1043"/>
        <w:ind w:left="1260"/>
        <w:spacing w:before="10"/>
        <w:rPr>
          <w:rFonts w:hint="eastAsia" w:ascii="宋体" w:hAnsi="宋体" w:eastAsia="宋体" w:cs="宋体"/>
          <w:sz w:val="27"/>
        </w:rPr>
      </w:pPr>
      <w:r>
        <w:rPr>
          <w:rFonts w:hint="eastAsia" w:ascii="宋体" w:hAnsi="宋体" w:eastAsia="宋体" w:cs="宋体"/>
          <w:sz w:val="27"/>
        </w:rPr>
      </w:r>
      <w:r/>
    </w:p>
    <w:tbl>
      <w:tblPr>
        <w:tblStyle w:val="1036"/>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43"/>
              <w:jc w:val="center"/>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rPr>
        <w:t xml:space="preserve">附：法定代表人（非法人单位负责人）有效期内的身份证复印件（正反面）</w:t>
      </w:r>
      <w:r/>
    </w:p>
    <w:tbl>
      <w:tblPr>
        <w:tblStyle w:val="1036"/>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43"/>
              <w:jc w:val="center"/>
              <w:rPr>
                <w:rFonts w:hint="eastAsia" w:ascii="宋体" w:hAnsi="宋体" w:eastAsia="宋体" w:cs="宋体"/>
                <w:i/>
                <w:sz w:val="20"/>
              </w:rPr>
            </w:pPr>
            <w:r>
              <w:rPr>
                <w:rFonts w:hint="eastAsia" w:ascii="宋体" w:hAnsi="宋体" w:eastAsia="宋体" w:cs="宋体"/>
                <w:i/>
                <w:sz w:val="24"/>
              </w:rPr>
              <w:t xml:space="preserve">身份证正面</w:t>
            </w:r>
            <w:r/>
          </w:p>
        </w:tc>
      </w:tr>
    </w:tbl>
    <w:p>
      <w:pPr>
        <w:pStyle w:val="1043"/>
        <w:ind w:left="1260"/>
        <w:rPr>
          <w:rFonts w:hint="eastAsia" w:ascii="宋体" w:hAnsi="宋体" w:eastAsia="宋体" w:cs="宋体"/>
          <w:sz w:val="20"/>
        </w:rPr>
      </w:pPr>
      <w:r>
        <w:rPr>
          <w:rFonts w:hint="eastAsia" w:ascii="宋体" w:hAnsi="宋体" w:eastAsia="宋体" w:cs="宋体"/>
          <w:sz w:val="20"/>
        </w:rPr>
      </w:r>
      <w:r/>
    </w:p>
    <w:p>
      <w:pPr>
        <w:pStyle w:val="1043"/>
        <w:rPr>
          <w:rFonts w:hint="eastAsia" w:ascii="宋体" w:hAnsi="宋体" w:eastAsia="宋体" w:cs="宋体"/>
          <w:sz w:val="20"/>
        </w:rPr>
      </w:pPr>
      <w:r>
        <w:rPr>
          <w:rFonts w:hint="eastAsia" w:ascii="宋体" w:hAnsi="宋体" w:eastAsia="宋体" w:cs="宋体"/>
          <w:sz w:val="20"/>
        </w:rPr>
      </w:r>
      <w:r/>
    </w:p>
    <w:p>
      <w:pPr>
        <w:pStyle w:val="1043"/>
        <w:rPr>
          <w:rFonts w:hint="eastAsia" w:ascii="宋体" w:hAnsi="宋体" w:eastAsia="宋体" w:cs="宋体"/>
          <w:sz w:val="20"/>
        </w:rPr>
      </w:pPr>
      <w:r>
        <w:rPr>
          <w:rFonts w:hint="eastAsia" w:ascii="宋体" w:hAnsi="宋体" w:eastAsia="宋体" w:cs="宋体"/>
          <w:sz w:val="20"/>
        </w:rPr>
      </w:r>
      <w:r/>
    </w:p>
    <w:p>
      <w:pPr>
        <w:pStyle w:val="1043"/>
        <w:ind w:left="1260"/>
        <w:rPr>
          <w:rFonts w:hint="eastAsia" w:ascii="宋体" w:hAnsi="宋体" w:eastAsia="宋体" w:cs="宋体"/>
          <w:sz w:val="20"/>
        </w:rPr>
      </w:pPr>
      <w:r>
        <w:rPr>
          <w:rFonts w:hint="eastAsia" w:ascii="宋体" w:hAnsi="宋体" w:eastAsia="宋体" w:cs="宋体"/>
          <w:sz w:val="20"/>
        </w:rPr>
      </w:r>
      <w:r/>
    </w:p>
    <w:p>
      <w:pPr>
        <w:pStyle w:val="1043"/>
        <w:ind w:left="1260"/>
        <w:spacing w:before="1"/>
        <w:rPr>
          <w:rFonts w:hint="eastAsia" w:ascii="宋体" w:hAnsi="宋体" w:eastAsia="宋体" w:cs="宋体"/>
          <w:sz w:val="22"/>
        </w:rPr>
      </w:pPr>
      <w:r>
        <w:rPr>
          <w:rFonts w:hint="eastAsia" w:ascii="宋体" w:hAnsi="宋体" w:eastAsia="宋体" w:cs="宋体"/>
          <w:sz w:val="22"/>
        </w:rPr>
      </w:r>
      <w:r/>
    </w:p>
    <w:p>
      <w:pPr>
        <w:pStyle w:val="1043"/>
        <w:ind w:left="1260" w:firstLine="3060"/>
        <w:tabs>
          <w:tab w:val="left" w:pos="7977" w:leader="none"/>
        </w:tabs>
        <w:rPr>
          <w:rFonts w:hint="eastAsia" w:ascii="宋体" w:hAnsi="宋体" w:eastAsia="宋体" w:cs="宋体"/>
        </w:rPr>
      </w:pPr>
      <w:r>
        <w:rPr>
          <w:rFonts w:hint="eastAsia" w:ascii="宋体" w:hAnsi="宋体" w:eastAsia="宋体" w:cs="宋体"/>
          <w:spacing w:val="-3"/>
        </w:rPr>
        <w:t xml:space="preserve">投标人名称（公章）</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rPr>
          <w:rFonts w:hint="eastAsia" w:ascii="宋体" w:hAnsi="宋体" w:eastAsia="宋体" w:cs="宋体"/>
          <w:b/>
          <w:sz w:val="32"/>
          <w:szCs w:val="32"/>
        </w:r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1065"/>
        <w:spacing w:before="0"/>
        <w:rPr>
          <w:rFonts w:hint="eastAsia" w:ascii="宋体" w:hAnsi="宋体" w:eastAsia="宋体" w:cs="宋体"/>
          <w:sz w:val="24"/>
        </w:rPr>
      </w:pPr>
      <w:r>
        <w:rPr>
          <w:rFonts w:hint="eastAsia" w:ascii="宋体" w:hAnsi="宋体" w:eastAsia="宋体" w:cs="宋体"/>
          <w:sz w:val="24"/>
          <w:szCs w:val="24"/>
        </w:rPr>
        <w:br w:type="page" w:clear="all"/>
      </w:r>
      <w:bookmarkStart w:id="332" w:name="_Toc103848584"/>
      <w:r/>
      <w:bookmarkStart w:id="333" w:name="_Toc104560899"/>
      <w:r/>
      <w:bookmarkStart w:id="334" w:name="_Toc107246277"/>
      <w:r/>
      <w:bookmarkStart w:id="335" w:name="_Toc24967"/>
      <w:r>
        <w:rPr>
          <w:rFonts w:hint="eastAsia" w:ascii="宋体" w:hAnsi="宋体" w:eastAsia="宋体" w:cs="宋体"/>
          <w:bCs w:val="0"/>
          <w:sz w:val="24"/>
          <w:szCs w:val="24"/>
        </w:rPr>
        <w:t xml:space="preserve">（3）法定代表人授权委托书</w:t>
      </w:r>
      <w:bookmarkEnd w:id="332"/>
      <w:r/>
      <w:bookmarkEnd w:id="333"/>
      <w:r/>
      <w:bookmarkEnd w:id="334"/>
      <w:r>
        <w:rPr>
          <w:rFonts w:hint="eastAsia" w:ascii="宋体" w:hAnsi="宋体" w:eastAsia="宋体" w:cs="宋体"/>
          <w:bCs w:val="0"/>
          <w:sz w:val="24"/>
          <w:szCs w:val="24"/>
        </w:rPr>
        <w:t xml:space="preserve">（适用于法人/非法人）</w:t>
      </w:r>
      <w:bookmarkEnd w:id="335"/>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（国家或地区的名称）</w:t>
      </w:r>
      <w:r>
        <w:rPr>
          <w:rFonts w:hint="eastAsia" w:ascii="宋体" w:hAnsi="宋体" w:eastAsia="宋体" w:cs="宋体"/>
          <w:szCs w:val="21"/>
        </w:rPr>
        <w:t xml:space="preserve">的</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的在法定代表人（签字或盖章）处签字的</w:t>
      </w:r>
      <w:r>
        <w:rPr>
          <w:rFonts w:hint="eastAsia" w:ascii="宋体" w:hAnsi="宋体" w:eastAsia="宋体" w:cs="宋体"/>
          <w:szCs w:val="21"/>
          <w:u w:val="single"/>
        </w:rPr>
        <w:t xml:space="preserve">   （法定代表人姓名、职务）   </w:t>
      </w:r>
      <w:r>
        <w:rPr>
          <w:rFonts w:hint="eastAsia" w:ascii="宋体" w:hAnsi="宋体" w:eastAsia="宋体" w:cs="宋体"/>
          <w:szCs w:val="21"/>
        </w:rPr>
        <w:t xml:space="preserve">代表本单位授权 </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的在授权代表（签字）处签字的</w:t>
      </w:r>
      <w:r>
        <w:rPr>
          <w:rFonts w:hint="eastAsia" w:ascii="宋体" w:hAnsi="宋体" w:eastAsia="宋体" w:cs="宋体"/>
          <w:szCs w:val="21"/>
          <w:u w:val="single"/>
        </w:rPr>
        <w:t xml:space="preserve">（授权代表的姓名、职务）（身份证号码：             ）</w:t>
      </w:r>
      <w:r>
        <w:rPr>
          <w:rFonts w:hint="eastAsia" w:ascii="宋体" w:hAnsi="宋体" w:eastAsia="宋体" w:cs="宋体"/>
          <w:szCs w:val="21"/>
        </w:rPr>
        <w:t xml:space="preserve">为本单位的合法代理人，就</w:t>
      </w:r>
      <w:sdt>
        <w:sdtPr>
          <w15:appearance w15:val="boundingBox"/>
          <w:id w:val="1260413918"/>
          <w:placeholder>
            <w:docPart w:val="01A1DFC42AC64084805BB4320526FF1E"/>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江苏省药品监督检验研究院2026年离子色谱仪等12台大型仪器运维服务采购项目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JSZC-320000-JITC-G2026-0344</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以本单位名义处理一切与之相关的事务，其后果由我单位承担。</w:t>
      </w:r>
      <w:r/>
    </w:p>
    <w:p>
      <w:pPr>
        <w:ind w:firstLine="420"/>
        <w:spacing w:line="30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投标人名称（公章）：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法定代表人（签字或盖章）： </w:t>
      </w:r>
      <w:r>
        <w:rPr>
          <w:rFonts w:hint="eastAsia" w:ascii="宋体" w:hAnsi="宋体" w:eastAsia="宋体" w:cs="宋体"/>
          <w:szCs w:val="21"/>
          <w:u w:val="single"/>
        </w:rPr>
        <w:t xml:space="preserve">                     </w:t>
      </w:r>
      <w:r/>
    </w:p>
    <w:p>
      <w:pPr>
        <w:pStyle w:val="1063"/>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1063"/>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附：法定代表人有效期内的</w:t>
      </w:r>
      <w:r>
        <w:rPr>
          <w:rFonts w:hint="eastAsia" w:ascii="宋体" w:hAnsi="宋体" w:eastAsia="宋体" w:cs="宋体"/>
        </w:rPr>
        <w:t xml:space="preserve">身份证复印件（正反面）</w:t>
      </w:r>
      <w:r/>
    </w:p>
    <w:tbl>
      <w:tblPr>
        <w:tblStyle w:val="103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43"/>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p>
    <w:tbl>
      <w:tblPr>
        <w:tblStyle w:val="103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43"/>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1063"/>
        <w:spacing w:after="0" w:line="240" w:lineRule="auto"/>
        <w:rPr>
          <w:rFonts w:hint="eastAsia" w:ascii="宋体" w:hAnsi="宋体" w:eastAsia="宋体" w:cs="宋体"/>
          <w:b/>
          <w:bCs/>
          <w:szCs w:val="21"/>
        </w:rPr>
      </w:pPr>
      <w:r>
        <w:rPr>
          <w:rFonts w:hint="eastAsia" w:ascii="宋体" w:hAnsi="宋体" w:eastAsia="宋体" w:cs="宋体"/>
          <w:b/>
          <w:bCs/>
          <w:szCs w:val="21"/>
        </w:rPr>
        <w:t xml:space="preserve">注： </w:t>
      </w:r>
      <w:r/>
    </w:p>
    <w:p>
      <w:pPr>
        <w:pStyle w:val="1063"/>
        <w:spacing w:after="0" w:line="240" w:lineRule="auto"/>
        <w:rPr>
          <w:rFonts w:hint="eastAsia" w:ascii="宋体" w:hAnsi="宋体" w:eastAsia="宋体" w:cs="宋体"/>
          <w:b/>
          <w:bCs/>
          <w:szCs w:val="21"/>
        </w:rPr>
      </w:pPr>
      <w:r>
        <w:rPr>
          <w:rFonts w:hint="eastAsia" w:ascii="宋体" w:hAnsi="宋体" w:eastAsia="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1063"/>
        <w:spacing w:after="0" w:line="240" w:lineRule="auto"/>
        <w:rPr>
          <w:rFonts w:hint="eastAsia" w:ascii="宋体" w:hAnsi="宋体" w:eastAsia="宋体" w:cs="宋体"/>
          <w:b/>
          <w:bCs/>
          <w:szCs w:val="21"/>
        </w:rPr>
      </w:pPr>
      <w:r>
        <w:rPr>
          <w:rFonts w:hint="eastAsia" w:ascii="宋体" w:hAnsi="宋体" w:eastAsia="宋体" w:cs="宋体"/>
          <w:b/>
          <w:bCs/>
          <w:szCs w:val="21"/>
        </w:rPr>
        <w:t xml:space="preserve">2.若投标文件中签字之处均为法定代表人本人签署，则可不提供本《授权委托书》，但须提供《法定代表人（非法人单位负责人）身份证明》。</w:t>
      </w:r>
      <w:bookmarkStart w:id="336" w:name="_Toc107246279"/>
      <w:r/>
      <w:bookmarkStart w:id="337" w:name="_Toc104560895"/>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1065"/>
        <w:spacing w:before="0"/>
        <w:rPr>
          <w:rFonts w:hint="eastAsia" w:ascii="宋体" w:hAnsi="宋体" w:eastAsia="宋体" w:cs="宋体"/>
          <w:bCs w:val="0"/>
          <w:sz w:val="21"/>
          <w:szCs w:val="24"/>
        </w:rPr>
      </w:pPr>
      <w:r/>
      <w:bookmarkStart w:id="338" w:name="_Toc107246278"/>
      <w:r/>
      <w:bookmarkStart w:id="339" w:name="_Toc104560900"/>
      <w:r/>
      <w:bookmarkStart w:id="340" w:name="_Toc103848585"/>
      <w:r/>
      <w:bookmarkStart w:id="341" w:name="_Toc5077"/>
      <w:r>
        <w:rPr>
          <w:rFonts w:hint="eastAsia" w:ascii="宋体" w:hAnsi="宋体" w:eastAsia="宋体" w:cs="宋体"/>
          <w:bCs w:val="0"/>
          <w:sz w:val="24"/>
          <w:szCs w:val="24"/>
        </w:rPr>
        <w:t xml:space="preserve">（3-2）授权委托书（适用于自然人投标）</w:t>
      </w:r>
      <w:bookmarkEnd w:id="338"/>
      <w:r/>
      <w:bookmarkEnd w:id="339"/>
      <w:r/>
      <w:bookmarkEnd w:id="340"/>
      <w:r/>
      <w:bookmarkEnd w:id="341"/>
      <w:r/>
      <w:r/>
    </w:p>
    <w:p>
      <w:pPr>
        <w:rPr>
          <w:rFonts w:hint="eastAsia" w:ascii="宋体" w:hAnsi="宋体" w:eastAsia="宋体" w:cs="宋体"/>
        </w:rPr>
      </w:pPr>
      <w:r>
        <w:rPr>
          <w:rFonts w:hint="eastAsia" w:ascii="宋体" w:hAnsi="宋体" w:eastAsia="宋体" w:cs="宋体"/>
        </w:rPr>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本授权书声明：我</w:t>
      </w:r>
      <w:r>
        <w:rPr>
          <w:rFonts w:hint="eastAsia" w:ascii="宋体" w:hAnsi="宋体" w:eastAsia="宋体" w:cs="宋体"/>
          <w:szCs w:val="21"/>
          <w:u w:val="single"/>
        </w:rPr>
        <w:t xml:space="preserve">    （姓名）    </w:t>
      </w:r>
      <w:r>
        <w:rPr>
          <w:rFonts w:hint="eastAsia" w:ascii="宋体" w:hAnsi="宋体" w:eastAsia="宋体" w:cs="宋体"/>
          <w:szCs w:val="21"/>
        </w:rPr>
        <w:t xml:space="preserve">系自然人，现授权在授权代表（签字）处签字的</w:t>
      </w:r>
      <w:r>
        <w:rPr>
          <w:rFonts w:hint="eastAsia" w:ascii="宋体" w:hAnsi="宋体" w:eastAsia="宋体" w:cs="宋体"/>
          <w:szCs w:val="21"/>
          <w:u w:val="single"/>
        </w:rPr>
        <w:t xml:space="preserve">（授权代表的姓名）（身份证号码：             ）</w:t>
      </w:r>
      <w:r>
        <w:rPr>
          <w:rFonts w:hint="eastAsia" w:ascii="宋体" w:hAnsi="宋体" w:eastAsia="宋体" w:cs="宋体"/>
          <w:szCs w:val="21"/>
        </w:rPr>
        <w:t xml:space="preserve">为本人的合法代理人，就</w:t>
      </w:r>
      <w:r>
        <w:rPr>
          <w:rFonts w:hint="eastAsia" w:ascii="宋体" w:hAnsi="宋体" w:cs="宋体"/>
          <w:szCs w:val="21"/>
          <w:u w:val="single"/>
          <w:lang w:eastAsia="zh-CN"/>
        </w:rPr>
        <w:t xml:space="preserve">江苏省药品监督检验研究院2026年离子色谱仪等12台大型仪器运维服务采购项目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JSZC-320000-JITC-G2026-0344</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，以本人名义处理一切与之相关的事务，其后果由我本人承担。</w:t>
      </w:r>
      <w:r/>
    </w:p>
    <w:p>
      <w:pPr>
        <w:ind w:firstLine="420"/>
        <w:spacing w:line="46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自然人姓名（签字）：  </w:t>
      </w:r>
      <w:r>
        <w:rPr>
          <w:rFonts w:hint="eastAsia" w:ascii="宋体" w:hAnsi="宋体" w:eastAsia="宋体" w:cs="宋体"/>
          <w:szCs w:val="21"/>
          <w:u w:val="single"/>
        </w:rPr>
        <w:t xml:space="preserve">                          </w:t>
      </w:r>
      <w:r/>
    </w:p>
    <w:p>
      <w:pPr>
        <w:pStyle w:val="1063"/>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46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1063"/>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w:t>
      </w:r>
      <w:r>
        <w:rPr>
          <w:rFonts w:hint="eastAsia" w:ascii="宋体" w:hAnsi="宋体" w:eastAsia="宋体" w:cs="宋体"/>
        </w:rPr>
        <w:t xml:space="preserve">自然人</w:t>
      </w:r>
      <w:r>
        <w:rPr>
          <w:rFonts w:hint="eastAsia" w:ascii="宋体" w:hAnsi="宋体" w:eastAsia="宋体" w:cs="宋体"/>
          <w:szCs w:val="21"/>
        </w:rPr>
        <w:t xml:space="preserve">有效期内的</w:t>
      </w:r>
      <w:r>
        <w:rPr>
          <w:rFonts w:hint="eastAsia" w:ascii="宋体" w:hAnsi="宋体" w:eastAsia="宋体" w:cs="宋体"/>
        </w:rPr>
        <w:t xml:space="preserve">身份证复印件（正反面）</w:t>
      </w:r>
      <w:r/>
    </w:p>
    <w:tbl>
      <w:tblPr>
        <w:tblStyle w:val="103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43"/>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1063"/>
        <w:spacing w:line="360" w:lineRule="auto"/>
        <w:rPr>
          <w:rFonts w:hint="eastAsia" w:ascii="宋体" w:hAnsi="宋体" w:eastAsia="宋体" w:cs="宋体"/>
          <w:szCs w:val="21"/>
        </w:rPr>
      </w:pPr>
      <w:r>
        <w:rPr>
          <w:rFonts w:hint="eastAsia" w:ascii="宋体" w:hAnsi="宋体" w:eastAsia="宋体" w:cs="宋体"/>
          <w:szCs w:val="21"/>
        </w:rPr>
        <w:t xml:space="preserve">授权代表有效期内的身份证复印件（正反面）</w:t>
      </w:r>
      <w:r/>
    </w:p>
    <w:tbl>
      <w:tblPr>
        <w:tblStyle w:val="103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43"/>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1063"/>
        <w:spacing w:line="240" w:lineRule="atLeast"/>
        <w:rPr>
          <w:rFonts w:hint="eastAsia" w:ascii="宋体" w:hAnsi="宋体" w:eastAsia="宋体" w:cs="宋体"/>
          <w:b/>
          <w:bCs/>
          <w:szCs w:val="21"/>
        </w:rPr>
      </w:pPr>
      <w:r>
        <w:rPr>
          <w:rFonts w:hint="eastAsia" w:ascii="宋体" w:hAnsi="宋体" w:eastAsia="宋体" w:cs="宋体"/>
          <w:b/>
          <w:bCs/>
          <w:szCs w:val="21"/>
        </w:rPr>
      </w:r>
      <w:r/>
    </w:p>
    <w:p>
      <w:pPr>
        <w:pStyle w:val="1063"/>
        <w:spacing w:line="240" w:lineRule="atLeast"/>
        <w:rPr>
          <w:rFonts w:hint="eastAsia" w:ascii="宋体" w:hAnsi="宋体" w:eastAsia="宋体" w:cs="宋体"/>
          <w:b/>
          <w:bCs/>
          <w:szCs w:val="21"/>
        </w:rPr>
      </w:pPr>
      <w:r>
        <w:rPr>
          <w:rFonts w:hint="eastAsia" w:ascii="宋体" w:hAnsi="宋体" w:eastAsia="宋体" w:cs="宋体"/>
          <w:b/>
          <w:bCs/>
          <w:szCs w:val="21"/>
        </w:rPr>
        <w:t xml:space="preserve">注：若投标文件中签字之处均为投标自然人本人签署，则可不提供本《授权委托书》，但须提供自然人身份证复印件。</w:t>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1065"/>
        <w:rPr>
          <w:rFonts w:hint="eastAsia" w:ascii="宋体" w:hAnsi="宋体" w:eastAsia="宋体" w:cs="宋体"/>
          <w:sz w:val="28"/>
          <w:szCs w:val="24"/>
        </w:rPr>
      </w:pPr>
      <w:r/>
      <w:bookmarkStart w:id="342" w:name="_Toc10333"/>
      <w:r>
        <w:rPr>
          <w:rFonts w:hint="eastAsia" w:ascii="宋体" w:hAnsi="宋体" w:eastAsia="宋体" w:cs="宋体"/>
          <w:bCs w:val="0"/>
          <w:sz w:val="24"/>
          <w:szCs w:val="24"/>
        </w:rPr>
        <w:t xml:space="preserve">（4）开标一览表</w:t>
      </w:r>
      <w:bookmarkEnd w:id="326"/>
      <w:r/>
      <w:bookmarkEnd w:id="336"/>
      <w:r/>
      <w:bookmarkEnd w:id="337"/>
      <w:r/>
      <w:bookmarkEnd w:id="342"/>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sdt>
        <w:sdtPr>
          <w15:appearance w15:val="boundingBox"/>
          <w:id w:val="812375702"/>
          <w:placeholder>
            <w:docPart w:val="DefaultPlaceholder_-1854013440"/>
          </w:placeholder>
          <w:rPr>
            <w:rFonts w:hint="eastAsia" w:ascii="宋体" w:hAnsi="宋体" w:eastAsia="宋体" w:cs="宋体"/>
            <w:szCs w:val="21"/>
          </w:rPr>
        </w:sdtPr>
        <w:sdtContent>
          <w:r>
            <w:rPr>
              <w:rFonts w:hint="eastAsia" w:ascii="宋体" w:hAnsi="宋体" w:cs="宋体"/>
              <w:szCs w:val="21"/>
              <w:u w:val="single"/>
              <w:lang w:eastAsia="zh-CN"/>
            </w:rPr>
            <w:t xml:space="preserve">江苏省药品监督检验研究院2026年离子色谱仪等12台大型仪器运维服务采购项目</w:t>
          </w:r>
        </w:sdtContent>
      </w:sd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sdt>
        <w:sdtPr>
          <w15:appearance w15:val="boundingBox"/>
          <w:id w:val="1972713860"/>
          <w:placeholder>
            <w:docPart w:val="DefaultPlaceholder_-1854013440"/>
          </w:placeholder>
          <w:rPr>
            <w:rFonts w:hint="eastAsia" w:ascii="宋体" w:hAnsi="宋体" w:eastAsia="宋体" w:cs="宋体"/>
            <w:szCs w:val="21"/>
          </w:rPr>
        </w:sdtPr>
        <w:sdtContent>
          <w:r>
            <w:rPr>
              <w:rFonts w:hint="eastAsia" w:ascii="宋体" w:hAnsi="宋体" w:cs="宋体"/>
              <w:szCs w:val="21"/>
              <w:u w:val="single"/>
              <w:lang w:eastAsia="zh-CN"/>
            </w:rPr>
            <w:t xml:space="preserve">JSZC-320000-JITC-G2026-0344</w:t>
          </w:r>
          <w:r>
            <w:rPr>
              <w:rFonts w:hint="eastAsia" w:ascii="宋体" w:hAnsi="宋体" w:cs="宋体"/>
              <w:szCs w:val="21"/>
              <w:u w:val="single"/>
              <w:lang w:eastAsia="zh-CN"/>
            </w:rPr>
            <w:tab/>
          </w:r>
        </w:sdtContent>
      </w:sdt>
      <w:r/>
      <w:bookmarkStart w:id="343" w:name="_Toc103848581"/>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p>
    <w:tbl>
      <w:tblPr>
        <w:tblStyle w:val="1036"/>
        <w:tblW w:w="48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0"/>
      </w:tblGrid>
      <w:tr>
        <w:trPr>
          <w:jc w:val="center"/>
          <w:trHeight w:val="1733"/>
        </w:trPr>
        <w:tc>
          <w:tcPr>
            <w:tcW w:w="8810" w:type="dxa"/>
            <w:vAlign w:val="center"/>
            <w:textDirection w:val="lrTb"/>
            <w:noWrap/>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p>
        </w:tc>
      </w:tr>
      <w:tr>
        <w:trPr>
          <w:jc w:val="center"/>
          <w:trHeight w:val="1765"/>
        </w:trPr>
        <w:tc>
          <w:tcPr>
            <w:tcW w:w="8810" w:type="dxa"/>
            <w:vAlign w:val="center"/>
            <w:textDirection w:val="lrTb"/>
            <w:noWrap/>
          </w:tcPr>
          <w:p>
            <w:pPr>
              <w:jc w:val="center"/>
              <w:spacing w:line="42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（人民币，小写）元</w:t>
            </w:r>
            <w:r/>
          </w:p>
          <w:p>
            <w:pPr>
              <w:jc w:val="center"/>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 w:val="0"/>
                <w:bCs/>
                <w:color w:val="000000"/>
                <w:position w:val="0"/>
                <w:sz w:val="24"/>
                <w:szCs w:val="24"/>
                <w:highlight w:val="none"/>
              </w:rPr>
              <w:t xml:space="preserve">（人民币，大写）元</w:t>
            </w:r>
            <w:r/>
          </w:p>
        </w:tc>
      </w:tr>
    </w:tbl>
    <w:p>
      <w:pPr>
        <w:ind w:firstLine="422"/>
        <w:spacing w:line="360" w:lineRule="auto"/>
        <w:tabs>
          <w:tab w:val="left" w:pos="6045" w:leader="none"/>
        </w:tabs>
        <w:rPr>
          <w:rFonts w:ascii="宋体" w:hAnsi="宋体" w:cs="宋体"/>
          <w:b/>
          <w:color w:val="000000"/>
          <w:szCs w:val="21"/>
          <w:highlight w:val="none"/>
        </w:rPr>
      </w:pPr>
      <w:r>
        <w:rPr>
          <w:rFonts w:hint="eastAsia" w:ascii="宋体" w:hAnsi="宋体" w:cs="宋体"/>
          <w:b/>
          <w:color w:val="000000"/>
          <w:szCs w:val="21"/>
          <w:highlight w:val="none"/>
        </w:rPr>
        <w:t xml:space="preserve">注：投标报价应包含包装、装卸、运输、保险、税费等所有费用。</w:t>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ind w:firstLine="420"/>
        <w:tabs>
          <w:tab w:val="left" w:pos="6045" w:leader="none"/>
        </w:tabs>
        <w:rPr>
          <w:rFonts w:hint="eastAsia" w:ascii="宋体" w:hAnsi="宋体" w:eastAsia="宋体" w:cs="宋体"/>
          <w:b/>
          <w:bCs/>
        </w:rPr>
      </w:pPr>
      <w:r>
        <w:rPr>
          <w:rFonts w:hint="eastAsia" w:ascii="宋体" w:hAnsi="宋体" w:eastAsia="宋体" w:cs="宋体"/>
          <w:bCs/>
        </w:rPr>
        <w:t xml:space="preserve">注：采购内容详见采购文件第四章“项目需求”。</w:t>
      </w:r>
      <w:r>
        <w:rPr>
          <w:rFonts w:hint="eastAsia" w:ascii="宋体" w:hAnsi="宋体" w:eastAsia="宋体" w:cs="宋体"/>
          <w:bCs/>
        </w:rPr>
        <w:tab/>
      </w:r>
      <w:r/>
    </w:p>
    <w:p>
      <w:pPr>
        <w:rPr>
          <w:rFonts w:hint="eastAsia" w:ascii="宋体" w:hAnsi="宋体" w:eastAsia="宋体" w:cs="宋体"/>
          <w:b/>
          <w:bCs/>
        </w:rPr>
      </w:pPr>
      <w:r>
        <w:rPr>
          <w:rFonts w:hint="eastAsia" w:ascii="宋体" w:hAnsi="宋体" w:eastAsia="宋体" w:cs="宋体"/>
          <w:b/>
          <w:bCs/>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15"/>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right="420" w:firstLine="4515"/>
        <w:spacing w:line="360" w:lineRule="auto"/>
        <w:rPr>
          <w:rFonts w:hint="eastAsia" w:ascii="宋体" w:hAnsi="宋体" w:eastAsia="宋体" w:cs="宋体"/>
          <w:szCs w:val="21"/>
        </w:rPr>
      </w:pPr>
      <w:r>
        <w:rPr>
          <w:rFonts w:hint="eastAsia" w:ascii="宋体" w:hAnsi="宋体" w:eastAsia="宋体" w:cs="宋体"/>
          <w:szCs w:val="21"/>
        </w:rPr>
        <w:t xml:space="preserve">法定代表人</w:t>
      </w:r>
      <w:r/>
    </w:p>
    <w:p>
      <w:pPr>
        <w:jc w:val="right"/>
        <w:spacing w:line="360" w:lineRule="auto"/>
        <w:rPr>
          <w:rFonts w:hint="eastAsia" w:ascii="宋体" w:hAnsi="宋体" w:eastAsia="宋体" w:cs="宋体"/>
          <w:szCs w:val="21"/>
          <w:u w:val="single"/>
        </w:rPr>
      </w:pPr>
      <w:r>
        <w:rPr>
          <w:rFonts w:hint="eastAsia" w:ascii="宋体" w:hAnsi="宋体" w:eastAsia="宋体" w:cs="宋体"/>
          <w:szCs w:val="21"/>
        </w:rPr>
        <w:t xml:space="preserve">或其授权代表（签字或盖章）：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p>
    <w:p>
      <w:pPr>
        <w:ind w:right="420"/>
        <w:jc w:val="center"/>
        <w:spacing w:line="360" w:lineRule="auto"/>
        <w:rPr>
          <w:rFonts w:hint="eastAsia" w:ascii="宋体" w:hAnsi="宋体" w:eastAsia="宋体" w:cs="宋体"/>
          <w:b/>
          <w:sz w:val="32"/>
          <w:szCs w:val="32"/>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1048"/>
        <w:rPr>
          <w:rStyle w:val="1305"/>
          <w:rFonts w:hint="eastAsia" w:ascii="宋体" w:hAnsi="宋体" w:eastAsia="宋体" w:cs="宋体"/>
        </w:rPr>
      </w:pPr>
      <w:r/>
      <w:bookmarkStart w:id="344" w:name="_Toc104560896"/>
      <w:r/>
      <w:r/>
    </w:p>
    <w:p>
      <w:pPr>
        <w:rPr>
          <w:rFonts w:hint="eastAsia" w:ascii="宋体" w:hAnsi="宋体" w:eastAsia="宋体" w:cs="宋体"/>
        </w:rPr>
      </w:pPr>
      <w:r>
        <w:rPr>
          <w:rFonts w:hint="eastAsia" w:ascii="宋体" w:hAnsi="宋体" w:eastAsia="宋体" w:cs="宋体"/>
        </w:rPr>
      </w:r>
      <w:r/>
    </w:p>
    <w:p>
      <w:pPr>
        <w:pStyle w:val="1045"/>
        <w:ind w:left="1260"/>
        <w:rPr>
          <w:rFonts w:hint="eastAsia" w:ascii="宋体" w:hAnsi="宋体" w:eastAsia="宋体" w:cs="宋体"/>
        </w:rPr>
      </w:pPr>
      <w:r>
        <w:rPr>
          <w:rFonts w:hint="eastAsia" w:ascii="宋体" w:hAnsi="宋体" w:eastAsia="宋体" w:cs="宋体"/>
        </w:rPr>
      </w:r>
      <w:r/>
    </w:p>
    <w:p>
      <w:pPr>
        <w:pStyle w:val="1045"/>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45"/>
        <w:ind w:left="126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Cs w:val="21"/>
        </w:rPr>
      </w:pPr>
      <w:r>
        <w:rPr>
          <w:rFonts w:hint="eastAsia" w:ascii="宋体" w:hAnsi="宋体" w:eastAsia="宋体" w:cs="宋体"/>
          <w:sz w:val="24"/>
        </w:rPr>
        <w:br w:type="page" w:clear="all"/>
      </w:r>
      <w:bookmarkStart w:id="345" w:name="_Toc107246280"/>
      <w:r/>
      <w:r/>
    </w:p>
    <w:p>
      <w:pPr>
        <w:rPr>
          <w:rFonts w:hint="eastAsia"/>
        </w:rPr>
      </w:pPr>
      <w:r/>
      <w:bookmarkStart w:id="346" w:name="_Toc24536"/>
      <w:r/>
      <w:r/>
    </w:p>
    <w:p>
      <w:pPr>
        <w:pStyle w:val="1065"/>
        <w:rPr>
          <w:rFonts w:hint="eastAsia" w:ascii="宋体" w:hAnsi="宋体" w:eastAsia="宋体" w:cs="宋体"/>
          <w:sz w:val="24"/>
          <w:lang w:eastAsia="zh-CN"/>
        </w:rPr>
      </w:pP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5</w:t>
      </w:r>
      <w:r>
        <w:rPr>
          <w:rFonts w:hint="eastAsia" w:ascii="宋体" w:hAnsi="宋体" w:eastAsia="宋体" w:cs="宋体"/>
          <w:bCs w:val="0"/>
          <w:sz w:val="24"/>
          <w:szCs w:val="24"/>
        </w:rPr>
        <w:t xml:space="preserve">）</w:t>
      </w:r>
      <w:bookmarkEnd w:id="343"/>
      <w:r/>
      <w:bookmarkEnd w:id="344"/>
      <w:r/>
      <w:bookmarkEnd w:id="345"/>
      <w:r>
        <w:rPr>
          <w:rFonts w:hint="eastAsia" w:ascii="宋体" w:hAnsi="宋体" w:eastAsia="宋体" w:cs="宋体"/>
          <w:bCs w:val="0"/>
          <w:sz w:val="24"/>
          <w:szCs w:val="24"/>
        </w:rPr>
        <w:t xml:space="preserve">分项报价表</w:t>
      </w:r>
      <w:bookmarkEnd w:id="346"/>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江苏省药品监督检验研究院2026年离子色谱仪等12台大型仪器运维服务采购项目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JSZC-320000-JITC-G2026-0344</w:t>
      </w:r>
      <w:r>
        <w:rPr>
          <w:rFonts w:hint="eastAsia" w:ascii="宋体" w:hAnsi="宋体" w:cs="宋体"/>
          <w:szCs w:val="21"/>
          <w:lang w:eastAsia="zh-CN"/>
        </w:rPr>
        <w:tab/>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1036"/>
        <w:tblW w:w="5014" w:type="pct"/>
        <w:jc w:val="center"/>
        <w:tblLayout w:type="fixed"/>
        <w:tblCellMar>
          <w:left w:w="108" w:type="dxa"/>
          <w:top w:w="0" w:type="dxa"/>
          <w:right w:w="108" w:type="dxa"/>
          <w:bottom w:w="0" w:type="dxa"/>
        </w:tblCellMar>
        <w:tblLook w:val="04A0" w:firstRow="1" w:lastRow="0" w:firstColumn="1" w:lastColumn="0" w:noHBand="0" w:noVBand="1"/>
      </w:tblPr>
      <w:tblGrid>
        <w:gridCol w:w="811"/>
        <w:gridCol w:w="1922"/>
        <w:gridCol w:w="1861"/>
        <w:gridCol w:w="835"/>
        <w:gridCol w:w="1290"/>
        <w:gridCol w:w="2126"/>
      </w:tblGrid>
      <w:tr>
        <w:trPr>
          <w:jc w:val="center"/>
          <w:trHeight w:val="255"/>
        </w:trPr>
        <w:tc>
          <w:tcPr>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86" w:type="pct"/>
            <w:vAlign w:val="center"/>
            <w:vMerge w:val="restart"/>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052" w:type="pct"/>
            <w:vAlign w:val="center"/>
            <w:vMerge w:val="restart"/>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规格型号</w:t>
            </w:r>
            <w:r/>
          </w:p>
        </w:tc>
        <w:tc>
          <w:tcPr>
            <w:gridSpan w:val="2"/>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服务内容</w:t>
            </w:r>
            <w:r/>
          </w:p>
        </w:tc>
        <w:tc>
          <w:tcPr>
            <w:tcBorders>
              <w:top w:val="single" w:color="000000" w:sz="4" w:space="0"/>
              <w:left w:val="single" w:color="000000" w:sz="4" w:space="0"/>
              <w:right w:val="single" w:color="000000" w:sz="4" w:space="0"/>
            </w:tcBorders>
            <w:tcW w:w="1201" w:type="pct"/>
            <w:vAlign w:val="center"/>
            <w:vMerge w:val="restart"/>
            <w:textDirection w:val="lrTb"/>
            <w:noWrap w:val="false"/>
          </w:tcPr>
          <w:p>
            <w:pPr>
              <w:jc w:val="center"/>
              <w:spacing w:line="360" w:lineRule="auto"/>
              <w:widowControl/>
              <w:rPr>
                <w:rFonts w:hint="eastAsia" w:ascii="宋体" w:hAnsi="宋体" w:eastAsia="宋体" w:cs="宋体"/>
                <w:b/>
                <w:bCs/>
                <w:color w:val="000000"/>
                <w:szCs w:val="21"/>
                <w:lang w:val="en-US" w:eastAsia="zh-CN" w:bidi="ar"/>
              </w:rPr>
            </w:pPr>
            <w:r>
              <w:rPr>
                <w:rFonts w:hint="eastAsia" w:ascii="宋体" w:hAnsi="宋体" w:cs="宋体"/>
                <w:b/>
                <w:bCs/>
                <w:color w:val="000000"/>
                <w:szCs w:val="21"/>
                <w:lang w:val="en-US" w:eastAsia="zh-CN" w:bidi="ar"/>
              </w:rPr>
              <w:t xml:space="preserve">年度维保报价（元）</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86" w:type="pct"/>
            <w:vAlign w:val="center"/>
            <w:vMerge w:val="continue"/>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52" w:type="pct"/>
            <w:vAlign w:val="center"/>
            <w:vMerge w:val="continue"/>
            <w:textDirection w:val="lrTb"/>
            <w:noWrap/>
          </w:tcPr>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保修</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预防性维护保养</w:t>
            </w:r>
            <w:r/>
          </w:p>
        </w:tc>
        <w:tc>
          <w:tcPr>
            <w:tcBorders>
              <w:left w:val="single" w:color="000000" w:sz="4" w:space="0"/>
              <w:bottom w:val="single" w:color="000000" w:sz="4" w:space="0"/>
              <w:right w:val="single" w:color="000000" w:sz="4" w:space="0"/>
            </w:tcBorders>
            <w:tcW w:w="1201" w:type="pct"/>
            <w:vAlign w:val="center"/>
            <w:vMerge w:val="continue"/>
            <w:textDirection w:val="lrTb"/>
            <w:noWrap/>
          </w:tcPr>
          <w:p>
            <w:pPr>
              <w:jc w:val="center"/>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离子色谱仪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ICS-6000</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红外光谱仪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IS50</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 Horizon</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Q Exactive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Q Exactive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 core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TSQ Quantis</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液质联用仪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Orbitrap Exploris 120</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86" w:type="pct"/>
            <w:vAlign w:val="top"/>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 Flex</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6" w:type="pct"/>
            <w:vAlign w:val="top"/>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bidi="ar"/>
              </w:rPr>
              <w:t xml:space="preserve">高效液相色谱仪</w:t>
            </w:r>
            <w:r/>
          </w:p>
        </w:tc>
        <w:tc>
          <w:tcPr>
            <w:tcBorders>
              <w:top w:val="single" w:color="000000" w:sz="4" w:space="0"/>
              <w:left w:val="single" w:color="000000" w:sz="4" w:space="0"/>
              <w:bottom w:val="single" w:color="000000" w:sz="4" w:space="0"/>
              <w:right w:val="single" w:color="000000" w:sz="4" w:space="0"/>
            </w:tcBorders>
            <w:tcW w:w="1052" w:type="pct"/>
            <w:vAlign w:val="center"/>
            <w:textDirection w:val="lrTb"/>
            <w:noWrap/>
          </w:tcPr>
          <w:p>
            <w:pPr>
              <w:jc w:val="center"/>
              <w:spacing w:line="360" w:lineRule="auto"/>
              <w:widowControl/>
              <w:rPr>
                <w:rFonts w:hint="eastAsia" w:ascii="宋体" w:hAnsi="宋体" w:eastAsia="宋体" w:cs="宋体"/>
                <w:b/>
                <w:bCs/>
                <w:color w:val="000000"/>
                <w:szCs w:val="21"/>
                <w:lang w:bidi="ar"/>
              </w:rPr>
            </w:pPr>
            <w:r>
              <w:rPr>
                <w:rFonts w:hint="default" w:ascii="宋体" w:hAnsi="宋体" w:eastAsia="宋体" w:cs="宋体"/>
                <w:b/>
                <w:bCs/>
                <w:color w:val="000000"/>
                <w:szCs w:val="21"/>
                <w:lang w:val="en-US" w:eastAsia="zh-CN" w:bidi="ar"/>
              </w:rPr>
              <w:t xml:space="preserve">赛默飞</w:t>
            </w:r>
            <w:r>
              <w:rPr>
                <w:rFonts w:hint="default" w:ascii="宋体" w:hAnsi="宋体" w:eastAsia="宋体" w:cs="宋体"/>
                <w:b/>
                <w:bCs/>
                <w:color w:val="000000"/>
                <w:szCs w:val="21"/>
                <w:lang w:bidi="ar"/>
              </w:rPr>
              <w:t xml:space="preserve">Vanquish Flex</w:t>
            </w:r>
            <w:r/>
          </w:p>
        </w:tc>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auto"/>
              <w:widowControl/>
              <w:rPr>
                <w:rFonts w:hint="eastAsia" w:ascii="宋体" w:hAnsi="宋体" w:eastAsia="宋体" w:cs="宋体"/>
                <w:color w:val="000000"/>
                <w:sz w:val="21"/>
                <w:szCs w:val="21"/>
                <w:lang w:val="en-US" w:eastAsia="zh-CN" w:bidi="ar-SA"/>
                <w14:ligatures w14:val="none"/>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9" w:type="pct"/>
            <w:vAlign w:val="center"/>
            <w:textDirection w:val="lrTb"/>
            <w:noWrap/>
          </w:tcPr>
          <w:p>
            <w:pPr>
              <w:jc w:val="center"/>
              <w:spacing w:line="360" w:lineRule="auto"/>
              <w:widowControl/>
              <w:rPr>
                <w:rFonts w:hint="eastAsia" w:ascii="宋体" w:hAnsi="宋体" w:eastAsia="宋体" w:cs="宋体"/>
                <w:color w:val="000000"/>
                <w:sz w:val="21"/>
                <w:szCs w:val="21"/>
                <w:lang w:val="en-US" w:eastAsia="zh-CN" w:bidi="ar-SA"/>
                <w14:ligatures w14:val="none"/>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5"/>
        </w:trPr>
        <w:tc>
          <w:tcPr>
            <w:gridSpan w:val="5"/>
            <w:tcBorders>
              <w:top w:val="single" w:color="000000" w:sz="4" w:space="0"/>
              <w:left w:val="single" w:color="000000" w:sz="4" w:space="0"/>
              <w:bottom w:val="single" w:color="000000" w:sz="4" w:space="0"/>
              <w:right w:val="single" w:color="000000" w:sz="4" w:space="0"/>
            </w:tcBorders>
            <w:tcW w:w="3798" w:type="pct"/>
            <w:vAlign w:val="center"/>
            <w:textDirection w:val="lrTb"/>
            <w:noWrap/>
          </w:tcPr>
          <w:p>
            <w:pPr>
              <w:jc w:val="center"/>
              <w:spacing w:line="360" w:lineRule="auto"/>
              <w:widowControl/>
              <w:rPr>
                <w:rFonts w:hint="default" w:ascii="宋体" w:hAnsi="宋体" w:eastAsia="宋体" w:cs="宋体"/>
                <w:color w:val="000000"/>
                <w:szCs w:val="21"/>
                <w:lang w:val="en-US" w:eastAsia="zh-CN" w:bidi="ar"/>
              </w:rPr>
            </w:pPr>
            <w:r>
              <w:rPr>
                <w:rFonts w:hint="eastAsia" w:ascii="宋体" w:hAnsi="宋体" w:cs="宋体"/>
                <w:b/>
                <w:bCs/>
                <w:i w:val="0"/>
                <w:iCs w:val="0"/>
                <w:color w:val="000000"/>
                <w:szCs w:val="21"/>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tabs>
          <w:tab w:val="left" w:pos="6045" w:leader="none"/>
        </w:tabs>
        <w:rPr>
          <w:rFonts w:hint="eastAsia" w:ascii="宋体" w:hAnsi="宋体" w:eastAsia="宋体" w:cs="宋体"/>
          <w:b/>
          <w:bCs/>
          <w:sz w:val="22"/>
          <w:szCs w:val="22"/>
        </w:rPr>
      </w:pPr>
      <w:r>
        <w:rPr>
          <w:rFonts w:hint="eastAsia" w:ascii="宋体" w:hAnsi="宋体" w:eastAsia="宋体" w:cs="宋体"/>
          <w:b/>
          <w:bCs/>
          <w:sz w:val="22"/>
          <w:szCs w:val="22"/>
        </w:rPr>
        <w:t xml:space="preserve">注：1.如果行数不够，请自行增加。</w:t>
      </w:r>
      <w:r/>
    </w:p>
    <w:p>
      <w:pPr>
        <w:pStyle w:val="1043"/>
        <w:numPr>
          <w:ilvl w:val="0"/>
          <w:numId w:val="6"/>
        </w:numPr>
        <w:rPr>
          <w:rFonts w:hint="eastAsia" w:ascii="宋体" w:hAnsi="宋体" w:eastAsia="宋体" w:cs="宋体"/>
          <w:b/>
          <w:bCs/>
          <w:sz w:val="22"/>
          <w:szCs w:val="22"/>
        </w:rPr>
      </w:pPr>
      <w:r>
        <w:rPr>
          <w:rFonts w:hint="eastAsia" w:ascii="宋体" w:hAnsi="宋体" w:cs="宋体"/>
          <w:b/>
          <w:bCs/>
          <w:sz w:val="22"/>
          <w:szCs w:val="22"/>
          <w:lang w:val="en-US" w:eastAsia="zh-CN"/>
        </w:rPr>
        <w:t xml:space="preserve">★</w:t>
      </w:r>
      <w:r>
        <w:rPr>
          <w:rFonts w:hint="eastAsia" w:ascii="宋体" w:hAnsi="宋体" w:eastAsia="宋体" w:cs="宋体"/>
          <w:b/>
          <w:bCs/>
          <w:sz w:val="22"/>
          <w:szCs w:val="22"/>
        </w:rPr>
        <w:t xml:space="preserve">“分项报价表”中“总价”金额应当与“开标一览表”中“投标总价”金额一致。</w:t>
      </w:r>
      <w:r/>
    </w:p>
    <w:p>
      <w:pPr>
        <w:pStyle w:val="1043"/>
        <w:numPr>
          <w:ilvl w:val="0"/>
          <w:numId w:val="6"/>
        </w:numPr>
        <w:rPr>
          <w:rFonts w:hint="eastAsia" w:ascii="宋体" w:hAnsi="宋体" w:eastAsia="宋体" w:cs="宋体"/>
          <w:b/>
          <w:bCs/>
          <w:sz w:val="22"/>
          <w:szCs w:val="22"/>
        </w:rPr>
      </w:pPr>
      <w:r>
        <w:rPr>
          <w:rFonts w:hint="eastAsia" w:ascii="宋体" w:hAnsi="宋体" w:eastAsia="宋体" w:cs="宋体"/>
          <w:b/>
          <w:bCs/>
          <w:sz w:val="22"/>
          <w:szCs w:val="22"/>
        </w:rPr>
        <w:t xml:space="preserve">本表均填写含税价格。</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firstLine="440"/>
        <w:jc w:val="right"/>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45"/>
        <w:ind w:left="0"/>
        <w:rPr>
          <w:rFonts w:hint="eastAsia" w:ascii="宋体" w:hAnsi="宋体" w:eastAsia="宋体" w:cs="宋体"/>
        </w:rPr>
      </w:pPr>
      <w:r>
        <w:rPr>
          <w:rFonts w:hint="eastAsia" w:ascii="宋体" w:hAnsi="宋体" w:eastAsia="宋体" w:cs="宋体"/>
          <w:b w:val="0"/>
          <w:bCs/>
        </w:rPr>
        <w:br w:type="page" w:clear="all"/>
      </w:r>
      <w:bookmarkStart w:id="347" w:name="_Toc104560901"/>
      <w:r/>
      <w:bookmarkStart w:id="348" w:name="_Toc103848586"/>
      <w:r/>
      <w:bookmarkStart w:id="349" w:name="_Toc107246281"/>
      <w:r/>
      <w:bookmarkStart w:id="350" w:name="_Toc102117319"/>
      <w:r/>
      <w:r/>
    </w:p>
    <w:p>
      <w:pPr>
        <w:rPr>
          <w:rFonts w:hint="eastAsia" w:ascii="宋体" w:hAnsi="宋体" w:eastAsia="宋体" w:cs="宋体"/>
        </w:rPr>
      </w:pPr>
      <w:r>
        <w:rPr>
          <w:rFonts w:hint="eastAsia" w:ascii="宋体" w:hAnsi="宋体" w:eastAsia="宋体" w:cs="宋体"/>
        </w:rPr>
      </w:r>
      <w:r/>
    </w:p>
    <w:p>
      <w:pPr>
        <w:pStyle w:val="1065"/>
        <w:spacing w:before="0"/>
        <w:rPr>
          <w:rFonts w:hint="eastAsia" w:ascii="宋体" w:hAnsi="宋体" w:eastAsia="宋体" w:cs="宋体"/>
          <w:sz w:val="24"/>
          <w:szCs w:val="24"/>
        </w:rPr>
      </w:pPr>
      <w:r/>
      <w:bookmarkStart w:id="351" w:name="_Toc20729"/>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eastAsia="宋体" w:cs="宋体"/>
          <w:bCs w:val="0"/>
          <w:sz w:val="24"/>
          <w:szCs w:val="24"/>
        </w:rPr>
        <w:t xml:space="preserve">）商务条款偏离表</w:t>
      </w:r>
      <w:bookmarkEnd w:id="347"/>
      <w:r/>
      <w:bookmarkEnd w:id="348"/>
      <w:r/>
      <w:bookmarkEnd w:id="349"/>
      <w:r/>
      <w:bookmarkEnd w:id="351"/>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江苏省药品监督检验研究院2026年离子色谱仪等12台大型仪器运维服务采购项目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JSZC-320000-JITC-G2026-0344</w:t>
      </w:r>
      <w:r>
        <w:rPr>
          <w:rFonts w:hint="eastAsia" w:ascii="宋体" w:hAnsi="宋体" w:cs="宋体"/>
          <w:szCs w:val="21"/>
          <w:lang w:eastAsia="zh-CN"/>
        </w:rPr>
        <w:tab/>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10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2951"/>
        <w:gridCol w:w="2095"/>
        <w:gridCol w:w="2524"/>
      </w:tblGrid>
      <w:tr>
        <w:trPr>
          <w:jc w:val="center"/>
        </w:trPr>
        <w:tc>
          <w:tcPr>
            <w:tcW w:w="704"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W w:w="1675"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招标文件要求</w:t>
            </w:r>
            <w:r/>
          </w:p>
        </w:tc>
        <w:tc>
          <w:tcPr>
            <w:tcW w:w="1189"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投标人响应内容</w:t>
            </w:r>
            <w:r/>
          </w:p>
        </w:tc>
        <w:tc>
          <w:tcPr>
            <w:tcW w:w="1432"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偏离及说明</w:t>
            </w:r>
            <w:r/>
          </w:p>
        </w:tc>
      </w:tr>
      <w:tr>
        <w:trPr>
          <w:jc w:val="center"/>
        </w:trPr>
        <w:tc>
          <w:tcPr>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bl>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063"/>
        <w:spacing w:line="240" w:lineRule="auto"/>
        <w:rPr>
          <w:rFonts w:hint="eastAsia" w:ascii="宋体" w:hAnsi="宋体" w:eastAsia="宋体" w:cs="宋体"/>
          <w:b/>
          <w:bCs/>
        </w:rPr>
      </w:pPr>
      <w:r>
        <w:rPr>
          <w:rFonts w:hint="eastAsia" w:ascii="宋体" w:hAnsi="宋体" w:eastAsia="宋体" w:cs="宋体"/>
          <w:b/>
          <w:bCs/>
        </w:rPr>
        <w:t xml:space="preserve">注：</w:t>
      </w:r>
      <w:r/>
    </w:p>
    <w:p>
      <w:pPr>
        <w:pStyle w:val="1063"/>
        <w:spacing w:line="240" w:lineRule="auto"/>
        <w:rPr>
          <w:rFonts w:hint="eastAsia" w:ascii="宋体" w:hAnsi="宋体" w:eastAsia="宋体" w:cs="宋体"/>
          <w:b/>
          <w:bCs/>
        </w:rPr>
      </w:pPr>
      <w:r>
        <w:rPr>
          <w:rFonts w:hint="eastAsia" w:ascii="宋体" w:hAnsi="宋体" w:eastAsia="宋体" w:cs="宋体"/>
          <w:b/>
          <w:bCs/>
        </w:rPr>
        <w:t xml:space="preserve">1. 投标人须根据招标文件商务条款要求填写此表，作为投标文件的组成部分。</w:t>
      </w:r>
      <w:r/>
    </w:p>
    <w:p>
      <w:pPr>
        <w:pStyle w:val="1063"/>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1063"/>
        <w:spacing w:line="240" w:lineRule="auto"/>
        <w:rPr>
          <w:rFonts w:hint="eastAsia" w:ascii="宋体" w:hAnsi="宋体" w:eastAsia="宋体" w:cs="宋体"/>
          <w:b/>
          <w:bCs/>
        </w:rPr>
      </w:pPr>
      <w:r>
        <w:rPr>
          <w:rFonts w:hint="eastAsia" w:ascii="宋体" w:hAnsi="宋体" w:eastAsia="宋体" w:cs="宋体"/>
          <w:b/>
          <w:bCs/>
        </w:rPr>
        <w:t xml:space="preserve">3. 偏离包括正、负偏离，正偏离指投标人的响应优于招标文件要求，负偏离指投标人的响应低于招标文件要求。</w:t>
      </w:r>
      <w:r/>
    </w:p>
    <w:p>
      <w:pPr>
        <w:pStyle w:val="1295"/>
        <w:ind w:firstLine="42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bookmarkStart w:id="352" w:name="_Toc104560902"/>
      <w:r/>
      <w:bookmarkStart w:id="353" w:name="_Toc103848587"/>
      <w:r>
        <w:rPr>
          <w:rFonts w:hint="eastAsia" w:ascii="宋体" w:hAnsi="宋体" w:eastAsia="宋体" w:cs="宋体"/>
        </w:rPr>
        <w:br w:type="page" w:clear="all"/>
      </w:r>
      <w:r/>
    </w:p>
    <w:p>
      <w:pPr>
        <w:pStyle w:val="1065"/>
        <w:spacing w:line="240" w:lineRule="atLeast"/>
        <w:rPr>
          <w:rFonts w:hint="eastAsia" w:ascii="宋体" w:hAnsi="宋体" w:eastAsia="宋体" w:cs="宋体"/>
        </w:rPr>
      </w:pPr>
      <w:r/>
      <w:bookmarkStart w:id="354" w:name="_Toc107246282"/>
      <w:r/>
      <w:bookmarkStart w:id="355" w:name="_Toc23366"/>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7</w:t>
      </w:r>
      <w:r>
        <w:rPr>
          <w:rFonts w:hint="eastAsia" w:ascii="宋体" w:hAnsi="宋体" w:eastAsia="宋体" w:cs="宋体"/>
          <w:bCs w:val="0"/>
          <w:sz w:val="24"/>
          <w:szCs w:val="24"/>
        </w:rPr>
        <w:t xml:space="preserve">）投标人具备投标资格的证明文件</w:t>
      </w:r>
      <w:bookmarkEnd w:id="352"/>
      <w:r/>
      <w:bookmarkEnd w:id="353"/>
      <w:r/>
      <w:bookmarkEnd w:id="354"/>
      <w:r/>
      <w:bookmarkEnd w:id="355"/>
      <w:r/>
      <w:r/>
    </w:p>
    <w:p>
      <w:pPr>
        <w:pStyle w:val="1065"/>
        <w:spacing w:line="240" w:lineRule="atLeast"/>
        <w:rPr>
          <w:rFonts w:hint="eastAsia" w:ascii="宋体" w:hAnsi="宋体" w:eastAsia="宋体" w:cs="宋体"/>
          <w:bCs w:val="0"/>
          <w:sz w:val="24"/>
          <w:szCs w:val="24"/>
        </w:rPr>
      </w:pPr>
      <w:r/>
      <w:bookmarkStart w:id="356" w:name="_Toc107246283"/>
      <w:r/>
      <w:bookmarkStart w:id="357" w:name="_Toc103848588"/>
      <w:r/>
      <w:bookmarkStart w:id="358" w:name="_Toc20497"/>
      <w:r/>
      <w:bookmarkStart w:id="359" w:name="_Toc104560903"/>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7-1</w:t>
      </w:r>
      <w:r>
        <w:rPr>
          <w:rFonts w:hint="eastAsia" w:ascii="宋体" w:hAnsi="宋体" w:eastAsia="宋体" w:cs="宋体"/>
          <w:bCs w:val="0"/>
          <w:sz w:val="24"/>
          <w:szCs w:val="24"/>
        </w:rPr>
        <w:t xml:space="preserve">-1）营业执照复印件</w:t>
      </w:r>
      <w:bookmarkEnd w:id="350"/>
      <w:r>
        <w:rPr>
          <w:rFonts w:hint="eastAsia" w:ascii="宋体" w:hAnsi="宋体" w:eastAsia="宋体" w:cs="宋体"/>
          <w:bCs w:val="0"/>
          <w:sz w:val="24"/>
          <w:szCs w:val="24"/>
        </w:rPr>
        <w:t xml:space="preserve">或自然人的身份证明复印件</w:t>
      </w:r>
      <w:bookmarkEnd w:id="356"/>
      <w:r/>
      <w:bookmarkEnd w:id="357"/>
      <w:r/>
      <w:bookmarkEnd w:id="358"/>
      <w:r/>
      <w:bookmarkEnd w:id="359"/>
      <w:r/>
      <w:r/>
    </w:p>
    <w:p>
      <w:pPr>
        <w:spacing w:line="360" w:lineRule="auto"/>
        <w:rPr>
          <w:rFonts w:hint="eastAsia" w:ascii="宋体" w:hAnsi="宋体" w:eastAsia="宋体" w:cs="宋体"/>
          <w:b/>
          <w:bCs/>
        </w:rPr>
      </w:pPr>
      <w:r/>
      <w:bookmarkStart w:id="360" w:name="_Hlk33717720"/>
      <w:r/>
      <w:r/>
    </w:p>
    <w:p>
      <w:pPr>
        <w:spacing w:line="360" w:lineRule="auto"/>
        <w:rPr>
          <w:rFonts w:hint="eastAsia" w:ascii="宋体" w:hAnsi="宋体" w:eastAsia="宋体" w:cs="宋体"/>
          <w:b/>
          <w:bCs/>
        </w:rPr>
      </w:pPr>
      <w:r>
        <w:rPr>
          <w:rFonts w:hint="eastAsia" w:ascii="宋体" w:hAnsi="宋体" w:eastAsia="宋体" w:cs="宋体"/>
          <w:b/>
          <w:bCs/>
        </w:rPr>
        <w:t xml:space="preserve">注：投标人提供营业执照副本（或具有同等法律效力的证照）复印件。复印件应能清晰显示投标人名称。</w:t>
      </w:r>
      <w:bookmarkEnd w:id="360"/>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361" w:name="_Toc102117320"/>
      <w:r/>
      <w:bookmarkStart w:id="362" w:name="_Toc103848589"/>
      <w:r>
        <w:rPr>
          <w:rFonts w:hint="eastAsia" w:ascii="宋体" w:hAnsi="宋体" w:eastAsia="宋体" w:cs="宋体"/>
        </w:rPr>
        <w:br w:type="page" w:clear="all"/>
      </w:r>
      <w:bookmarkStart w:id="363" w:name="_Toc107246284"/>
      <w:r/>
      <w:bookmarkStart w:id="364" w:name="_Toc104560904"/>
      <w:r/>
      <w:r/>
    </w:p>
    <w:p>
      <w:pPr>
        <w:pStyle w:val="1065"/>
        <w:spacing w:line="240" w:lineRule="atLeast"/>
        <w:rPr>
          <w:rFonts w:hint="eastAsia" w:ascii="宋体" w:hAnsi="宋体" w:eastAsia="宋体" w:cs="宋体"/>
          <w:b w:val="0"/>
        </w:rPr>
      </w:pPr>
      <w:r/>
      <w:bookmarkStart w:id="365" w:name="_Toc11018"/>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7-1</w:t>
      </w:r>
      <w:r>
        <w:rPr>
          <w:rFonts w:hint="eastAsia" w:ascii="宋体" w:hAnsi="宋体" w:eastAsia="宋体" w:cs="宋体"/>
          <w:bCs w:val="0"/>
          <w:sz w:val="24"/>
          <w:szCs w:val="24"/>
        </w:rPr>
        <w:t xml:space="preserve">-2）工商变更登记文件（如需）</w:t>
      </w:r>
      <w:bookmarkEnd w:id="361"/>
      <w:r/>
      <w:bookmarkEnd w:id="362"/>
      <w:r/>
      <w:bookmarkEnd w:id="363"/>
      <w:r/>
      <w:bookmarkEnd w:id="364"/>
      <w:r/>
      <w:bookmarkEnd w:id="365"/>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注：如</w:t>
      </w:r>
      <w:r>
        <w:rPr>
          <w:rFonts w:hint="eastAsia" w:ascii="宋体" w:hAnsi="宋体" w:eastAsia="宋体" w:cs="宋体"/>
          <w:b/>
          <w:bCs/>
          <w:sz w:val="22"/>
          <w:szCs w:val="22"/>
        </w:rPr>
        <w:t xml:space="preserve">投标人</w:t>
      </w:r>
      <w:r>
        <w:rPr>
          <w:rFonts w:hint="eastAsia" w:ascii="宋体" w:hAnsi="宋体" w:eastAsia="宋体" w:cs="宋体"/>
          <w:b/>
          <w:bCs/>
        </w:rPr>
        <w:t xml:space="preserve">在招标文件资质、业绩等要求的时间期限内发生了单位名称等变更的，提供相关工商变更登记文件的复印件。如无，则可不提供。</w:t>
      </w:r>
      <w:r/>
    </w:p>
    <w:p>
      <w:pPr>
        <w:spacing w:line="360" w:lineRule="auto"/>
        <w:rPr>
          <w:rFonts w:hint="eastAsia" w:ascii="宋体" w:hAnsi="宋体" w:eastAsia="宋体" w:cs="宋体"/>
          <w:b/>
        </w:rPr>
      </w:pPr>
      <w:r>
        <w:rPr>
          <w:rFonts w:hint="eastAsia" w:ascii="宋体" w:hAnsi="宋体" w:eastAsia="宋体" w:cs="宋体"/>
        </w:rPr>
        <w:br w:type="page" w:clear="all"/>
      </w:r>
      <w:bookmarkStart w:id="366" w:name="_Toc103848590"/>
      <w:r/>
      <w:bookmarkStart w:id="367" w:name="_Toc104560905"/>
      <w:r/>
      <w:bookmarkStart w:id="368" w:name="_Toc107246285"/>
      <w:r/>
      <w:bookmarkStart w:id="369" w:name="_Toc102117321"/>
      <w:r/>
      <w:r/>
    </w:p>
    <w:p>
      <w:pPr>
        <w:pStyle w:val="1065"/>
        <w:spacing w:line="240" w:lineRule="atLeast"/>
        <w:rPr>
          <w:rFonts w:hint="eastAsia" w:ascii="宋体" w:hAnsi="宋体" w:eastAsia="宋体" w:cs="宋体"/>
          <w:bCs w:val="0"/>
          <w:sz w:val="24"/>
          <w:szCs w:val="24"/>
        </w:rPr>
      </w:pPr>
      <w:r/>
      <w:bookmarkStart w:id="370" w:name="_Toc20677"/>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2）财务报表</w:t>
      </w:r>
      <w:bookmarkEnd w:id="366"/>
      <w:r/>
      <w:bookmarkEnd w:id="367"/>
      <w:r/>
      <w:bookmarkEnd w:id="368"/>
      <w:r/>
      <w:bookmarkEnd w:id="369"/>
      <w:r>
        <w:rPr>
          <w:rFonts w:hint="eastAsia" w:ascii="宋体" w:hAnsi="宋体" w:eastAsia="宋体" w:cs="宋体"/>
          <w:bCs w:val="0"/>
          <w:sz w:val="24"/>
          <w:szCs w:val="24"/>
        </w:rPr>
        <w:t xml:space="preserve">等证明文件</w:t>
      </w:r>
      <w:bookmarkEnd w:id="370"/>
      <w:r/>
      <w:r/>
    </w:p>
    <w:p>
      <w:pPr>
        <w:spacing w:line="360" w:lineRule="auto"/>
        <w:rPr>
          <w:rFonts w:hint="eastAsia" w:ascii="宋体" w:hAnsi="宋体" w:eastAsia="宋体" w:cs="宋体"/>
          <w:b/>
          <w:bCs/>
        </w:rPr>
      </w:pPr>
      <w:r>
        <w:rPr>
          <w:rFonts w:hint="eastAsia" w:ascii="宋体" w:hAnsi="宋体" w:eastAsia="宋体" w:cs="宋体"/>
          <w:b/>
        </w:rPr>
        <w:t xml:space="preserve">具有良好的商业信誉和健全的财务会计制度，提供2025年度财务报表（如为新成立的公司，应提供公司成立之后的财务报表）或投标截止时间前 6 个月（</w:t>
      </w:r>
      <w:r>
        <w:rPr>
          <w:rFonts w:hint="eastAsia" w:ascii="宋体" w:hAnsi="宋体" w:eastAsia="宋体" w:cs="宋体"/>
          <w:b/>
          <w:lang w:eastAsia="zh-CN"/>
        </w:rPr>
        <w:t xml:space="preserve">自</w:t>
      </w:r>
      <w:r>
        <w:rPr>
          <w:rFonts w:hint="eastAsia" w:ascii="宋体" w:hAnsi="宋体" w:cs="宋体"/>
          <w:b/>
          <w:lang w:eastAsia="zh-CN"/>
        </w:rPr>
        <w:t xml:space="preserve">2026年04月</w:t>
      </w:r>
      <w:r>
        <w:rPr>
          <w:rFonts w:hint="eastAsia" w:ascii="宋体" w:hAnsi="宋体" w:eastAsia="宋体" w:cs="宋体"/>
          <w:b/>
          <w:lang w:eastAsia="zh-CN"/>
        </w:rPr>
        <w:t xml:space="preserve">（含）以来</w:t>
      </w:r>
      <w:r>
        <w:rPr>
          <w:rFonts w:hint="eastAsia" w:ascii="宋体" w:hAnsi="宋体" w:eastAsia="宋体" w:cs="宋体"/>
          <w:b/>
        </w:rPr>
        <w:t xml:space="preserve">）内，由其基本开户银行出具的资信证明；</w:t>
      </w:r>
      <w:r/>
    </w:p>
    <w:p>
      <w:pPr>
        <w:pStyle w:val="1065"/>
        <w:jc w:val="left"/>
        <w:spacing w:line="240" w:lineRule="atLeast"/>
        <w:rPr>
          <w:rFonts w:hint="eastAsia" w:ascii="宋体" w:hAnsi="宋体" w:eastAsia="宋体" w:cs="宋体"/>
          <w:bCs w:val="0"/>
          <w:sz w:val="24"/>
          <w:szCs w:val="24"/>
        </w:rPr>
      </w:pPr>
      <w:r/>
      <w:bookmarkStart w:id="371" w:name="_Toc103848593"/>
      <w:r/>
      <w:bookmarkStart w:id="372" w:name="_Toc102117322"/>
      <w:r/>
      <w:bookmarkStart w:id="373" w:name="_Toc104560908"/>
      <w:r>
        <w:rPr>
          <w:rFonts w:hint="eastAsia" w:ascii="宋体" w:hAnsi="宋体" w:eastAsia="宋体" w:cs="宋体"/>
          <w:bCs w:val="0"/>
          <w:sz w:val="24"/>
          <w:szCs w:val="24"/>
        </w:rPr>
        <w:br w:type="page" w:clear="all"/>
      </w:r>
      <w:bookmarkStart w:id="374" w:name="_Toc21395"/>
      <w:r/>
      <w:bookmarkStart w:id="375" w:name="_Toc107246286"/>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3）具有履行合同所必需的设备和专业技术能力的相关证明材料或承诺函（提供承诺函）</w:t>
      </w:r>
      <w:bookmarkEnd w:id="371"/>
      <w:r/>
      <w:bookmarkEnd w:id="372"/>
      <w:r/>
      <w:bookmarkEnd w:id="373"/>
      <w:r/>
      <w:bookmarkEnd w:id="374"/>
      <w:r/>
      <w:bookmarkEnd w:id="37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rPr>
      </w:pPr>
      <w:r>
        <w:rPr>
          <w:rFonts w:hint="eastAsia" w:ascii="宋体" w:hAnsi="宋体" w:eastAsia="宋体" w:cs="宋体"/>
          <w:sz w:val="44"/>
          <w:szCs w:val="44"/>
        </w:rPr>
        <w:t xml:space="preserve">承 诺 函</w:t>
      </w:r>
      <w:r/>
    </w:p>
    <w:p>
      <w:pPr>
        <w:ind w:firstLine="480"/>
        <w:jc w:val="left"/>
        <w:spacing w:before="120" w:after="120" w:line="360" w:lineRule="auto"/>
        <w:rPr>
          <w:rFonts w:hint="eastAsia" w:ascii="宋体" w:hAnsi="宋体" w:eastAsia="宋体" w:cs="宋体"/>
          <w:sz w:val="22"/>
        </w:rPr>
      </w:pPr>
      <w:r>
        <w:rPr>
          <w:rFonts w:hint="eastAsia" w:ascii="宋体" w:hAnsi="宋体" w:eastAsia="宋体" w:cs="宋体"/>
          <w:sz w:val="22"/>
        </w:rPr>
        <w:t xml:space="preserve">我单位郑重承诺：我单位具备履行本项采购合同所必需的设备和专业技术能力。</w:t>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pStyle w:val="1045"/>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45"/>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276" w:lineRule="auto"/>
        <w:rPr>
          <w:rFonts w:hint="eastAsia" w:ascii="宋体" w:hAnsi="宋体" w:eastAsia="宋体" w:cs="宋体"/>
          <w:bCs/>
        </w:rPr>
      </w:pPr>
      <w:r>
        <w:rPr>
          <w:rFonts w:hint="eastAsia" w:ascii="宋体" w:hAnsi="宋体" w:eastAsia="宋体" w:cs="宋体"/>
          <w:bCs/>
        </w:rPr>
        <w:t xml:space="preserve">  </w:t>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 xml:space="preserve">投标人名称（公章）：______________________</w:t>
      </w:r>
      <w:r/>
    </w:p>
    <w:p>
      <w:pPr>
        <w:ind w:firstLine="3780"/>
        <w:spacing w:line="276" w:lineRule="auto"/>
        <w:rPr>
          <w:rFonts w:hint="eastAsia" w:ascii="宋体" w:hAnsi="宋体" w:eastAsia="宋体" w:cs="宋体"/>
          <w:szCs w:val="21"/>
          <w:u w:val="single"/>
        </w:rPr>
      </w:pPr>
      <w:r>
        <w:rPr>
          <w:rFonts w:hint="eastAsia" w:ascii="宋体" w:hAnsi="宋体" w:eastAsia="宋体" w:cs="宋体"/>
          <w:szCs w:val="21"/>
          <w:u w:val="single"/>
        </w:rPr>
      </w:r>
      <w:r/>
    </w:p>
    <w:p>
      <w:pPr>
        <w:spacing w:line="276"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
          <w:bCs/>
        </w:rPr>
      </w:r>
      <w:r/>
    </w:p>
    <w:p>
      <w:pPr>
        <w:pStyle w:val="1065"/>
        <w:spacing w:line="240" w:lineRule="atLeast"/>
        <w:rPr>
          <w:rFonts w:hint="eastAsia" w:ascii="宋体" w:hAnsi="宋体" w:eastAsia="宋体" w:cs="宋体"/>
          <w:b w:val="0"/>
        </w:rPr>
      </w:pPr>
      <w:r/>
      <w:bookmarkStart w:id="376" w:name="_Toc103848591"/>
      <w:r/>
      <w:bookmarkStart w:id="377" w:name="_Toc102117323"/>
      <w:r>
        <w:rPr>
          <w:rFonts w:hint="eastAsia" w:ascii="宋体" w:hAnsi="宋体" w:eastAsia="宋体" w:cs="宋体"/>
          <w:bCs w:val="0"/>
          <w:sz w:val="24"/>
          <w:szCs w:val="24"/>
        </w:rPr>
        <w:br w:type="page" w:clear="all"/>
      </w:r>
      <w:bookmarkStart w:id="378" w:name="_Toc107246287"/>
      <w:r/>
      <w:bookmarkStart w:id="379" w:name="_Toc26457"/>
      <w:r/>
      <w:bookmarkStart w:id="380" w:name="_Toc104560906"/>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4）依法缴纳税收的相关材料</w:t>
      </w:r>
      <w:bookmarkEnd w:id="376"/>
      <w:r/>
      <w:bookmarkEnd w:id="377"/>
      <w:r/>
      <w:bookmarkEnd w:id="378"/>
      <w:r/>
      <w:bookmarkEnd w:id="379"/>
      <w:r/>
      <w:bookmarkEnd w:id="380"/>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690374466"/>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2026年04月</w:t>
          </w:r>
          <w:r>
            <w:rPr>
              <w:rFonts w:hint="eastAsia" w:ascii="宋体" w:hAnsi="宋体" w:eastAsia="宋体" w:cs="宋体"/>
              <w:b/>
              <w:bCs/>
              <w:lang w:eastAsia="zh-CN"/>
            </w:rPr>
            <w:t xml:space="preserve">（含）以来</w:t>
          </w:r>
        </w:sdtContent>
      </w:sdt>
      <w:r>
        <w:rPr>
          <w:rFonts w:hint="eastAsia" w:ascii="宋体" w:hAnsi="宋体" w:eastAsia="宋体" w:cs="宋体"/>
          <w:b/>
          <w:bCs/>
        </w:rPr>
        <w:t xml:space="preserve">），至少1个月缴纳税收的凭证复印件，依法享受免缴、缓缴的，提供证明材料复印件。</w:t>
      </w:r>
      <w:r/>
    </w:p>
    <w:p>
      <w:pPr>
        <w:pStyle w:val="1065"/>
        <w:spacing w:line="240" w:lineRule="atLeast"/>
        <w:rPr>
          <w:rFonts w:hint="eastAsia" w:ascii="宋体" w:hAnsi="宋体" w:eastAsia="宋体" w:cs="宋体"/>
          <w:bCs w:val="0"/>
          <w:sz w:val="24"/>
          <w:szCs w:val="24"/>
        </w:rPr>
      </w:pPr>
      <w:r>
        <w:rPr>
          <w:rFonts w:hint="eastAsia" w:ascii="宋体" w:hAnsi="宋体" w:eastAsia="宋体" w:cs="宋体"/>
          <w:b w:val="0"/>
          <w:sz w:val="24"/>
        </w:rPr>
        <w:br w:type="page" w:clear="all"/>
      </w:r>
      <w:bookmarkStart w:id="381" w:name="_Toc107246288"/>
      <w:r/>
      <w:bookmarkStart w:id="382" w:name="_Toc12009"/>
      <w:r/>
      <w:bookmarkStart w:id="383" w:name="_Toc104560907"/>
      <w:r/>
      <w:bookmarkStart w:id="384" w:name="_Toc102117324"/>
      <w:r/>
      <w:bookmarkStart w:id="385" w:name="_Toc103848592"/>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5）依法缴纳社会保障资金的相关材料</w:t>
      </w:r>
      <w:bookmarkEnd w:id="381"/>
      <w:r/>
      <w:bookmarkEnd w:id="382"/>
      <w:r/>
      <w:bookmarkEnd w:id="383"/>
      <w:r/>
      <w:bookmarkEnd w:id="384"/>
      <w:r/>
      <w:bookmarkEnd w:id="385"/>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1944181104"/>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2026年04月</w:t>
          </w:r>
          <w:r>
            <w:rPr>
              <w:rFonts w:hint="eastAsia" w:ascii="宋体" w:hAnsi="宋体" w:eastAsia="宋体" w:cs="宋体"/>
              <w:b/>
              <w:bCs/>
            </w:rPr>
            <w:t xml:space="preserve">（含）</w:t>
          </w:r>
        </w:sdtContent>
      </w:sdt>
      <w:r>
        <w:rPr>
          <w:rFonts w:hint="eastAsia" w:ascii="宋体" w:hAnsi="宋体" w:eastAsia="宋体" w:cs="宋体"/>
          <w:b/>
          <w:bCs/>
        </w:rPr>
        <w:t xml:space="preserve">以来），至少1个月缴纳社会保险的凭证复印件，依法享受免缴、缓缴的，提供证明材料复印件。</w:t>
      </w:r>
      <w:r/>
    </w:p>
    <w:p>
      <w:pPr>
        <w:spacing w:line="360" w:lineRule="auto"/>
        <w:rPr>
          <w:rFonts w:hint="eastAsia" w:ascii="宋体" w:hAnsi="宋体" w:eastAsia="宋体" w:cs="宋体"/>
          <w:b/>
          <w:bCs/>
        </w:rPr>
      </w:pPr>
      <w:r>
        <w:rPr>
          <w:rFonts w:hint="eastAsia" w:ascii="宋体" w:hAnsi="宋体" w:eastAsia="宋体" w:cs="宋体"/>
          <w:b/>
          <w:bCs/>
        </w:rPr>
      </w:r>
      <w:r/>
    </w:p>
    <w:p>
      <w:pPr>
        <w:pStyle w:val="1065"/>
        <w:spacing w:line="240" w:lineRule="atLeast"/>
        <w:rPr>
          <w:rFonts w:hint="eastAsia" w:ascii="宋体" w:hAnsi="宋体" w:eastAsia="宋体" w:cs="宋体"/>
          <w:b w:val="0"/>
          <w:sz w:val="24"/>
        </w:rPr>
      </w:pPr>
      <w:r>
        <w:rPr>
          <w:rFonts w:hint="eastAsia" w:ascii="宋体" w:hAnsi="宋体" w:eastAsia="宋体" w:cs="宋体"/>
          <w:b w:val="0"/>
          <w:bCs w:val="0"/>
        </w:rPr>
        <w:br w:type="page" w:clear="all"/>
      </w:r>
      <w:bookmarkStart w:id="386" w:name="_Toc104560909"/>
      <w:r/>
      <w:bookmarkStart w:id="387" w:name="_Toc107246289"/>
      <w:r/>
      <w:bookmarkStart w:id="388" w:name="_Toc103848594"/>
      <w:r/>
      <w:bookmarkStart w:id="389" w:name="_Toc102117325"/>
      <w:r/>
      <w:bookmarkStart w:id="390" w:name="_Toc2368"/>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6）没有重大违法记录的书面声明</w:t>
      </w:r>
      <w:bookmarkEnd w:id="386"/>
      <w:r/>
      <w:bookmarkEnd w:id="387"/>
      <w:r/>
      <w:bookmarkEnd w:id="388"/>
      <w:r/>
      <w:bookmarkEnd w:id="389"/>
      <w:r/>
      <w:bookmarkEnd w:id="390"/>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注：参加政府采购活动前3年内在经营活动中没有重大违法记录的书面声明（提供声明函）。</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声  明</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w:t>
      </w:r>
      <w:r/>
    </w:p>
    <w:p>
      <w:pPr>
        <w:ind w:firstLine="3990"/>
        <w:spacing w:line="360" w:lineRule="auto"/>
        <w:rPr>
          <w:rFonts w:hint="eastAsia" w:ascii="宋体" w:hAnsi="宋体" w:eastAsia="宋体" w:cs="宋体"/>
          <w:szCs w:val="21"/>
          <w:u w:val="single"/>
        </w:rPr>
      </w:pPr>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Cs/>
        </w:rPr>
        <w:t xml:space="preserve">备注：</w:t>
      </w:r>
      <w:r/>
    </w:p>
    <w:p>
      <w:pPr>
        <w:spacing w:line="360" w:lineRule="auto"/>
        <w:rPr>
          <w:rFonts w:hint="eastAsia" w:ascii="宋体" w:hAnsi="宋体" w:eastAsia="宋体" w:cs="宋体"/>
          <w:b/>
          <w:bCs/>
        </w:rPr>
      </w:pPr>
      <w:r>
        <w:rPr>
          <w:rFonts w:hint="eastAsia" w:ascii="宋体" w:hAnsi="宋体" w:eastAsia="宋体" w:cs="宋体"/>
          <w:bCs/>
        </w:rPr>
        <w:t xml:space="preserve">较大数额罚款金额规定如下：</w:t>
      </w:r>
      <w:r/>
    </w:p>
    <w:p>
      <w:pPr>
        <w:ind w:firstLine="420"/>
        <w:spacing w:line="360" w:lineRule="auto"/>
        <w:rPr>
          <w:rFonts w:hint="eastAsia" w:ascii="宋体" w:hAnsi="宋体" w:eastAsia="宋体" w:cs="宋体"/>
          <w:b/>
          <w:sz w:val="32"/>
          <w:szCs w:val="32"/>
        </w:rPr>
      </w:pPr>
      <w:r>
        <w:rPr>
          <w:rFonts w:hint="eastAsia" w:ascii="宋体" w:hAnsi="宋体" w:eastAsia="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65"/>
        <w:spacing w:line="240" w:lineRule="atLeast"/>
        <w:rPr>
          <w:rFonts w:hint="eastAsia" w:ascii="宋体" w:hAnsi="宋体" w:eastAsia="宋体" w:cs="宋体"/>
          <w:b w:val="0"/>
          <w:sz w:val="24"/>
          <w:szCs w:val="24"/>
        </w:rPr>
      </w:pPr>
      <w:r>
        <w:rPr>
          <w:rFonts w:hint="eastAsia" w:ascii="宋体" w:hAnsi="宋体" w:eastAsia="宋体" w:cs="宋体"/>
          <w:b w:val="0"/>
        </w:rPr>
        <w:br w:type="page" w:clear="all"/>
      </w:r>
      <w:bookmarkStart w:id="391" w:name="_Toc107246290"/>
      <w:r/>
      <w:bookmarkStart w:id="392" w:name="_Toc31251"/>
      <w:r/>
      <w:bookmarkStart w:id="393" w:name="_Toc104560910"/>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7）承诺函</w:t>
      </w:r>
      <w:bookmarkEnd w:id="391"/>
      <w:r/>
      <w:bookmarkEnd w:id="392"/>
      <w:r/>
      <w:bookmarkEnd w:id="393"/>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（一）本单位郑重承诺满足以下要求：</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1.投标人单位负责人为同一人或者存在直接控股、管理关系的不同投标人，不得同时参加本项目的采购活动。</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2.凡为采购项目提供整体设计、规范编制或者项目管理、监理、检测等服务的投标人，不得再参加本项目的采购活动。</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（二）本单位郑重承诺，我单位无以下不良信用记录情形：</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1.被人民法院列入失信被执行人；</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2.被税务部门列入重大税收违法失信主体；</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3.被政府采购监管部门列入政府采购严重违法失信行为记录名单；</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4.不符合《政府采购法》第二十二条规定的条件。</w:t>
      </w:r>
      <w:r/>
    </w:p>
    <w:p>
      <w:pPr>
        <w:pStyle w:val="1295"/>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295"/>
        <w:ind w:firstLine="400"/>
        <w:rPr>
          <w:rFonts w:hint="eastAsia" w:ascii="宋体" w:hAnsi="宋体" w:eastAsia="宋体" w:cs="宋体"/>
        </w:rPr>
      </w:pPr>
      <w:r>
        <w:rPr>
          <w:rFonts w:hint="eastAsia" w:ascii="宋体" w:hAnsi="宋体" w:eastAsia="宋体" w:cs="宋体"/>
        </w:rPr>
      </w:r>
      <w:r/>
    </w:p>
    <w:p>
      <w:pPr>
        <w:pStyle w:val="1295"/>
        <w:ind w:firstLine="400"/>
        <w:rPr>
          <w:rFonts w:hint="eastAsia" w:ascii="宋体" w:hAnsi="宋体" w:eastAsia="宋体" w:cs="宋体"/>
        </w:rPr>
      </w:pPr>
      <w:r>
        <w:rPr>
          <w:rFonts w:hint="eastAsia" w:ascii="宋体" w:hAnsi="宋体" w:eastAsia="宋体" w:cs="宋体"/>
        </w:rPr>
      </w:r>
      <w:r/>
    </w:p>
    <w:p>
      <w:pPr>
        <w:pStyle w:val="1295"/>
        <w:ind w:firstLine="400"/>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szCs w:val="21"/>
          <w:u w:val="single"/>
        </w:rPr>
      </w:pPr>
      <w:r/>
      <w:bookmarkStart w:id="394" w:name="_Toc102117326"/>
      <w:r/>
      <w:bookmarkStart w:id="395" w:name="_Toc103848596"/>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1065"/>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396" w:name="_Toc107246291"/>
      <w:r/>
      <w:bookmarkStart w:id="397" w:name="_Toc104560911"/>
      <w:r/>
      <w:bookmarkStart w:id="398" w:name="_Toc12099"/>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8）</w:t>
      </w:r>
      <w:bookmarkEnd w:id="394"/>
      <w:r>
        <w:rPr>
          <w:rFonts w:hint="eastAsia" w:ascii="宋体" w:hAnsi="宋体" w:eastAsia="宋体" w:cs="宋体"/>
          <w:bCs w:val="0"/>
          <w:sz w:val="24"/>
          <w:szCs w:val="24"/>
        </w:rPr>
        <w:t xml:space="preserve">招标文件要求的其它实质性资格资信证明文件</w:t>
      </w:r>
      <w:bookmarkEnd w:id="395"/>
      <w:r/>
      <w:bookmarkEnd w:id="396"/>
      <w:r/>
      <w:bookmarkEnd w:id="397"/>
      <w:r/>
      <w:bookmarkEnd w:id="398"/>
      <w:r/>
      <w:r/>
    </w:p>
    <w:p>
      <w:pPr>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br w:type="page" w:clear="all"/>
      </w:r>
      <w:r/>
    </w:p>
    <w:p>
      <w:pPr>
        <w:pStyle w:val="1065"/>
        <w:rPr>
          <w:rFonts w:hint="eastAsia" w:ascii="宋体" w:hAnsi="宋体" w:eastAsia="宋体" w:cs="宋体"/>
          <w:b w:val="0"/>
          <w:sz w:val="24"/>
          <w:szCs w:val="24"/>
        </w:rPr>
      </w:pPr>
      <w:r/>
      <w:bookmarkStart w:id="399" w:name="_Toc9004"/>
      <w:r/>
      <w:bookmarkStart w:id="400" w:name="_Toc104560915"/>
      <w:r/>
      <w:bookmarkStart w:id="401" w:name="_Toc102117330"/>
      <w:r/>
      <w:bookmarkStart w:id="402" w:name="_Toc107246296"/>
      <w:r/>
      <w:bookmarkStart w:id="403" w:name="_Toc103848598"/>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）公章授权书（如需）</w:t>
      </w:r>
      <w:bookmarkEnd w:id="399"/>
      <w:r/>
      <w:bookmarkEnd w:id="400"/>
      <w:r/>
      <w:bookmarkEnd w:id="401"/>
      <w:r/>
      <w:bookmarkEnd w:id="402"/>
      <w:r/>
      <w:bookmarkEnd w:id="403"/>
      <w:r/>
      <w:r/>
    </w:p>
    <w:p>
      <w:pPr>
        <w:pStyle w:val="1295"/>
        <w:ind w:firstLine="0"/>
        <w:rPr>
          <w:rFonts w:hint="eastAsia" w:ascii="宋体" w:hAnsi="宋体" w:eastAsia="宋体" w:cs="宋体"/>
          <w:b/>
          <w:sz w:val="21"/>
          <w:szCs w:val="21"/>
        </w:rPr>
      </w:pPr>
      <w:r>
        <w:rPr>
          <w:rFonts w:hint="eastAsia" w:ascii="宋体" w:hAnsi="宋体" w:eastAsia="宋体" w:cs="宋体"/>
          <w:b/>
          <w:sz w:val="21"/>
          <w:szCs w:val="21"/>
        </w:rPr>
      </w:r>
      <w:r/>
    </w:p>
    <w:p>
      <w:pPr>
        <w:pStyle w:val="1295"/>
        <w:ind w:firstLine="0"/>
        <w:rPr>
          <w:rFonts w:hint="eastAsia" w:ascii="宋体" w:hAnsi="宋体" w:eastAsia="宋体" w:cs="宋体"/>
          <w:sz w:val="21"/>
          <w:szCs w:val="21"/>
        </w:rPr>
      </w:pPr>
      <w:r>
        <w:rPr>
          <w:rFonts w:hint="eastAsia" w:ascii="宋体" w:hAnsi="宋体" w:eastAsia="宋体" w:cs="宋体"/>
          <w:sz w:val="21"/>
          <w:szCs w:val="21"/>
        </w:rPr>
        <w:t xml:space="preserve">______________________（采购人）</w:t>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______</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______，中华人民共和国合法企业，法定地址：____________________。在参与</w:t>
      </w:r>
      <w:r>
        <w:rPr>
          <w:rFonts w:hint="eastAsia" w:hAnsi="宋体" w:cs="宋体"/>
          <w:sz w:val="21"/>
          <w:szCs w:val="21"/>
          <w:u w:val="single"/>
          <w:lang w:eastAsia="zh-CN"/>
        </w:rPr>
        <w:t xml:space="preserve">江苏省药品监督检验研究院2026年离子色谱仪等12台大型仪器运维服务采购项目</w:t>
      </w:r>
      <w:r>
        <w:rPr>
          <w:rFonts w:hint="eastAsia" w:ascii="宋体" w:hAnsi="宋体" w:eastAsia="宋体" w:cs="宋体"/>
          <w:sz w:val="21"/>
          <w:szCs w:val="21"/>
          <w:u w:val="single"/>
        </w:rPr>
        <w:t xml:space="preserve">（项目名称）（项目编号：</w:t>
      </w:r>
      <w:r>
        <w:rPr>
          <w:rFonts w:hint="eastAsia" w:hAnsi="宋体" w:cs="宋体"/>
          <w:sz w:val="21"/>
          <w:szCs w:val="21"/>
          <w:u w:val="single"/>
          <w:lang w:eastAsia="zh-CN"/>
        </w:rPr>
        <w:t xml:space="preserve">JSZC-320000-JITC-G2026-0344</w:t>
      </w:r>
      <w:r>
        <w:rPr>
          <w:rFonts w:hint="eastAsia" w:hAnsi="宋体" w:cs="宋体"/>
          <w:sz w:val="21"/>
          <w:szCs w:val="21"/>
          <w:u w:val="single"/>
          <w:lang w:eastAsia="zh-CN"/>
        </w:rPr>
        <w:tab/>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协商活动中，我单位授权</w:t>
      </w: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（样式附后）在此次活动中代为公章使用。</w:t>
      </w:r>
      <w:r/>
    </w:p>
    <w:p>
      <w:pPr>
        <w:pStyle w:val="1295"/>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所签署的投标文件、澄清等，我单位承认并同意具备与我单位公章签署等同的法律效力。</w:t>
      </w:r>
      <w:r/>
    </w:p>
    <w:p>
      <w:pPr>
        <w:pStyle w:val="1295"/>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签署的所有文件、协议不因授权的撤销而失效。</w:t>
      </w:r>
      <w:r/>
    </w:p>
    <w:p>
      <w:pPr>
        <w:pStyle w:val="1295"/>
        <w:ind w:right="840" w:firstLine="0"/>
        <w:rPr>
          <w:rFonts w:hint="eastAsia" w:ascii="宋体" w:hAnsi="宋体" w:eastAsia="宋体" w:cs="宋体"/>
          <w:sz w:val="21"/>
          <w:szCs w:val="21"/>
        </w:rPr>
      </w:pPr>
      <w:r>
        <w:rPr>
          <w:rFonts w:hint="eastAsia" w:ascii="宋体" w:hAnsi="宋体" w:eastAsia="宋体" w:cs="宋体"/>
          <w:sz w:val="21"/>
          <w:szCs w:val="21"/>
        </w:rPr>
      </w:r>
      <w:r/>
    </w:p>
    <w:p>
      <w:pPr>
        <w:pStyle w:val="1295"/>
        <w:ind w:right="840" w:firstLine="199"/>
        <w:rPr>
          <w:rFonts w:hint="eastAsia" w:ascii="宋体" w:hAnsi="宋体" w:eastAsia="宋体" w:cs="宋体"/>
          <w:sz w:val="21"/>
          <w:szCs w:val="21"/>
        </w:rPr>
      </w:pPr>
      <w:r>
        <w:rPr>
          <w:rFonts w:hint="eastAsia" w:ascii="宋体" w:hAnsi="宋体" w:eastAsia="宋体" w:cs="宋体"/>
          <w:sz w:val="21"/>
          <w:szCs w:val="21"/>
        </w:rPr>
        <w:t xml:space="preserve">其他形式的印章名称：______________</w:t>
      </w:r>
      <w:r/>
    </w:p>
    <w:p>
      <w:pPr>
        <w:pStyle w:val="1295"/>
        <w:ind w:right="420" w:firstLine="190"/>
        <w:rPr>
          <w:rFonts w:hint="eastAsia" w:ascii="宋体" w:hAnsi="宋体" w:eastAsia="宋体" w:cs="宋体"/>
          <w:sz w:val="21"/>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9"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eastAsia" w:ascii="宋体" w:hAnsi="宋体" w:eastAsia="宋体" w:cs="宋体"/>
          <w:sz w:val="21"/>
          <w:szCs w:val="21"/>
        </w:rPr>
        <w:t xml:space="preserve">印章样式：</w:t>
      </w:r>
      <w:r/>
    </w:p>
    <w:p>
      <w:pPr>
        <w:pStyle w:val="1295"/>
        <w:ind w:right="420" w:firstLine="4819"/>
        <w:rPr>
          <w:rFonts w:hint="eastAsia" w:ascii="宋体" w:hAnsi="宋体" w:eastAsia="宋体" w:cs="宋体"/>
          <w:sz w:val="21"/>
          <w:szCs w:val="21"/>
        </w:rPr>
      </w:pPr>
      <w:r>
        <w:rPr>
          <w:rFonts w:hint="eastAsia" w:ascii="宋体" w:hAnsi="宋体" w:eastAsia="宋体" w:cs="宋体"/>
          <w:sz w:val="21"/>
          <w:szCs w:val="21"/>
        </w:rPr>
      </w:r>
      <w:r/>
    </w:p>
    <w:p>
      <w:pPr>
        <w:pStyle w:val="1295"/>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95"/>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95"/>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95"/>
        <w:ind w:right="420" w:firstLine="3150"/>
        <w:jc w:val="left"/>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p>
    <w:p>
      <w:pPr>
        <w:pStyle w:val="1295"/>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295"/>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pStyle w:val="1295"/>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或其授权代表（签字或盖章）：_________________</w:t>
      </w:r>
      <w:r/>
    </w:p>
    <w:p>
      <w:pPr>
        <w:pStyle w:val="1295"/>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276" w:lineRule="auto"/>
        <w:rPr>
          <w:rFonts w:hint="eastAsia" w:ascii="宋体" w:hAnsi="宋体" w:eastAsia="宋体" w:cs="宋体"/>
          <w:bCs/>
        </w:rPr>
        <w:sectPr>
          <w:footerReference w:type="default" r:id="rId22"/>
          <w:footerReference w:type="even" r:id="rId23"/>
          <w:footnotePr/>
          <w:endnotePr/>
          <w:type w:val="nextPage"/>
          <w:pgSz w:w="11906" w:h="16838" w:orient="portrait"/>
          <w:pgMar w:top="1440" w:right="1498" w:bottom="1440" w:left="1588" w:header="851" w:footer="992" w:gutter="0"/>
          <w:cols w:num="1" w:sep="0" w:space="720" w:equalWidth="1"/>
          <w:docGrid w:linePitch="360"/>
        </w:sect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1065"/>
        <w:numPr>
          <w:ilvl w:val="0"/>
          <w:numId w:val="7"/>
        </w:numPr>
        <w:ind w:left="601" w:hanging="601"/>
        <w:spacing w:before="0" w:line="360" w:lineRule="auto"/>
        <w:rPr>
          <w:rFonts w:hint="eastAsia" w:ascii="宋体" w:hAnsi="宋体" w:eastAsia="宋体" w:cs="宋体"/>
          <w:sz w:val="28"/>
          <w:szCs w:val="24"/>
        </w:rPr>
      </w:pPr>
      <w:r/>
      <w:bookmarkStart w:id="404" w:name="_Toc107246299"/>
      <w:r/>
      <w:bookmarkStart w:id="405" w:name="_Toc19895"/>
      <w:r/>
      <w:bookmarkStart w:id="406" w:name="_Toc104560916"/>
      <w:r/>
      <w:bookmarkStart w:id="407" w:name="_Toc103848599"/>
      <w:r>
        <w:rPr>
          <w:rFonts w:hint="eastAsia" w:ascii="宋体" w:hAnsi="宋体" w:eastAsia="宋体" w:cs="宋体"/>
          <w:sz w:val="28"/>
          <w:szCs w:val="24"/>
        </w:rPr>
        <w:t xml:space="preserve">技术部分</w:t>
      </w:r>
      <w:bookmarkEnd w:id="404"/>
      <w:r/>
      <w:bookmarkEnd w:id="405"/>
      <w:r/>
      <w:bookmarkEnd w:id="406"/>
      <w:r/>
      <w:bookmarkEnd w:id="407"/>
      <w:r/>
      <w:r/>
    </w:p>
    <w:p>
      <w:pPr>
        <w:pStyle w:val="1065"/>
        <w:spacing w:before="0"/>
        <w:rPr>
          <w:rFonts w:hint="eastAsia" w:ascii="宋体" w:hAnsi="宋体" w:eastAsia="宋体" w:cs="宋体"/>
          <w:bCs w:val="0"/>
          <w:sz w:val="24"/>
          <w:szCs w:val="24"/>
        </w:rPr>
      </w:pPr>
      <w:r/>
      <w:bookmarkStart w:id="408" w:name="_Toc104560918"/>
      <w:r/>
      <w:bookmarkStart w:id="409" w:name="_Toc14640"/>
      <w:r/>
      <w:bookmarkStart w:id="410" w:name="_Toc107246301"/>
      <w:r/>
      <w:bookmarkStart w:id="411" w:name="_Toc103848601"/>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-1</w:t>
      </w:r>
      <w:r>
        <w:rPr>
          <w:rFonts w:hint="eastAsia" w:ascii="宋体" w:hAnsi="宋体" w:eastAsia="宋体" w:cs="宋体"/>
          <w:bCs w:val="0"/>
          <w:sz w:val="24"/>
          <w:szCs w:val="24"/>
        </w:rPr>
        <w:t xml:space="preserve">）技术条款偏离表</w:t>
      </w:r>
      <w:bookmarkEnd w:id="408"/>
      <w:r/>
      <w:bookmarkEnd w:id="409"/>
      <w:r/>
      <w:bookmarkEnd w:id="410"/>
      <w:r/>
      <w:bookmarkEnd w:id="411"/>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江苏省药品监督检验研究院2026年离子色谱仪等12台大型仪器运维服务采购项目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JSZC-320000-JITC-G2026-0344</w:t>
      </w:r>
      <w:r>
        <w:rPr>
          <w:rFonts w:hint="eastAsia" w:ascii="宋体" w:hAnsi="宋体" w:cs="宋体"/>
          <w:szCs w:val="21"/>
          <w:lang w:eastAsia="zh-CN"/>
        </w:rPr>
        <w:tab/>
      </w:r>
      <w:r/>
    </w:p>
    <w:p>
      <w:pPr>
        <w:spacing w:line="360" w:lineRule="auto"/>
        <w:rPr>
          <w:rFonts w:hint="eastAsia" w:ascii="宋体" w:hAnsi="宋体" w:eastAsia="宋体" w:cs="宋体"/>
          <w:sz w:val="21"/>
          <w:szCs w:val="21"/>
        </w:rPr>
      </w:pPr>
      <w:r>
        <w:rPr>
          <w:rFonts w:hint="eastAsia" w:ascii="宋体" w:hAnsi="宋体" w:cs="宋体"/>
          <w:color w:val="000000"/>
          <w:szCs w:val="21"/>
          <w:highlight w:val="none"/>
        </w:rPr>
        <w:t xml:space="preserve">分包号（如有）：</w:t>
      </w:r>
      <w:r/>
    </w:p>
    <w:tbl>
      <w:tblPr>
        <w:tblStyle w:val="10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2828"/>
        <w:gridCol w:w="2898"/>
        <w:gridCol w:w="1815"/>
      </w:tblGrid>
      <w:tr>
        <w:trPr>
          <w:jc w:val="center"/>
          <w:trHeight w:val="635"/>
        </w:trPr>
        <w:tc>
          <w:tcPr>
            <w:tcW w:w="61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1642"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168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105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偏离及说明</w:t>
            </w:r>
            <w:r/>
          </w:p>
        </w:tc>
      </w:tr>
      <w:tr>
        <w:trPr>
          <w:jc w:val="center"/>
          <w:trHeight w:val="570"/>
        </w:trPr>
        <w:tc>
          <w:tcPr>
            <w:tcW w:w="618" w:type="pct"/>
            <w:vAlign w:val="center"/>
            <w:textDirection w:val="lrTb"/>
            <w:noWrap w:val="false"/>
          </w:tcPr>
          <w:p>
            <w:pPr>
              <w:pStyle w:val="1295"/>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18" w:type="pct"/>
            <w:vAlign w:val="center"/>
            <w:textDirection w:val="lrTb"/>
            <w:noWrap w:val="false"/>
          </w:tcPr>
          <w:p>
            <w:pPr>
              <w:pStyle w:val="1295"/>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95"/>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95"/>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95"/>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063"/>
        <w:spacing w:line="360" w:lineRule="exact"/>
        <w:rPr>
          <w:rFonts w:hint="eastAsia" w:ascii="宋体" w:hAnsi="宋体" w:eastAsia="宋体" w:cs="宋体"/>
          <w:b/>
          <w:bCs/>
        </w:rPr>
      </w:pPr>
      <w:r>
        <w:rPr>
          <w:rFonts w:hint="eastAsia" w:ascii="宋体" w:hAnsi="宋体" w:eastAsia="宋体" w:cs="宋体"/>
          <w:b/>
          <w:bCs/>
        </w:rPr>
      </w:r>
      <w:r/>
    </w:p>
    <w:p>
      <w:pPr>
        <w:pStyle w:val="1063"/>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1312"/>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p>
    <w:p>
      <w:pPr>
        <w:pStyle w:val="1063"/>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1312"/>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br w:type="page" w:clear="all"/>
      </w:r>
      <w:r/>
    </w:p>
    <w:p>
      <w:pPr>
        <w:pStyle w:val="1065"/>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-2</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实质性（★）</w:t>
      </w:r>
      <w:r>
        <w:rPr>
          <w:rFonts w:hint="eastAsia" w:ascii="宋体" w:hAnsi="宋体" w:eastAsia="宋体" w:cs="宋体"/>
          <w:bCs w:val="0"/>
          <w:sz w:val="24"/>
          <w:szCs w:val="24"/>
        </w:rPr>
        <w:t xml:space="preserve">条款偏离表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江苏省药品监督检验研究院2026年离子色谱仪等12台大型仪器运维服务采购项目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JSZC-320000-JITC-G2026-0344</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10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4418"/>
        <w:gridCol w:w="1720"/>
        <w:gridCol w:w="1815"/>
      </w:tblGrid>
      <w:tr>
        <w:trPr>
          <w:jc w:val="center"/>
          <w:trHeight w:val="635"/>
        </w:trPr>
        <w:tc>
          <w:tcPr>
            <w:tcW w:w="37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256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99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w:t>
            </w:r>
            <w:r>
              <w:rPr>
                <w:rFonts w:hint="eastAsia" w:ascii="宋体" w:hAnsi="宋体" w:cs="宋体"/>
                <w:lang w:val="en-US" w:eastAsia="zh-CN"/>
              </w:rPr>
              <w:t xml:space="preserve">是否完全</w:t>
            </w:r>
            <w:r>
              <w:rPr>
                <w:rFonts w:hint="eastAsia" w:ascii="宋体" w:hAnsi="宋体" w:eastAsia="宋体" w:cs="宋体"/>
              </w:rPr>
              <w:t xml:space="preserve">响应</w:t>
            </w:r>
            <w:r/>
          </w:p>
        </w:tc>
        <w:tc>
          <w:tcPr>
            <w:tcW w:w="1054"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379" w:type="pct"/>
            <w:vAlign w:val="center"/>
            <w:textDirection w:val="lrTb"/>
            <w:noWrap w:val="false"/>
          </w:tcPr>
          <w:p>
            <w:pPr>
              <w:pStyle w:val="1295"/>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302"/>
              <w:ind w:firstLine="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投标人须自行填写招标文件中“★”号条款内容并响应</w:t>
            </w:r>
            <w:r/>
          </w:p>
        </w:tc>
        <w:tc>
          <w:tcPr>
            <w:tcW w:w="999"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379" w:type="pct"/>
            <w:vAlign w:val="center"/>
            <w:textDirection w:val="lrTb"/>
            <w:noWrap w:val="false"/>
          </w:tcPr>
          <w:p>
            <w:pPr>
              <w:pStyle w:val="1295"/>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302"/>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999"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r>
      <w:r/>
    </w:p>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1065"/>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-3</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评分条款</w:t>
      </w:r>
      <w:r>
        <w:rPr>
          <w:rFonts w:hint="eastAsia" w:ascii="宋体" w:hAnsi="宋体" w:eastAsia="宋体" w:cs="宋体"/>
          <w:bCs w:val="0"/>
          <w:sz w:val="24"/>
          <w:szCs w:val="24"/>
        </w:rPr>
        <w:t xml:space="preserve">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江苏省药品监督检验研究院2026年离子色谱仪等12台大型仪器运维服务采购项目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JSZC-320000-JITC-G2026-0344</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1036"/>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
        <w:gridCol w:w="5641"/>
        <w:gridCol w:w="1234"/>
        <w:gridCol w:w="1106"/>
      </w:tblGrid>
      <w:tr>
        <w:trPr>
          <w:jc w:val="center"/>
          <w:trHeight w:val="635"/>
        </w:trPr>
        <w:tc>
          <w:tcPr>
            <w:tcW w:w="24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336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73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659"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pStyle w:val="1302"/>
              <w:ind w:left="0" w:firstLine="0"/>
              <w:keepLines w:val="0"/>
              <w:keepNext w:val="0"/>
              <w:pageBreakBefore w:val="0"/>
              <w:spacing w:line="360" w:lineRule="auto"/>
              <w:rPr>
                <w:rFonts w:hint="eastAsia" w:ascii="宋体" w:hAnsi="宋体" w:eastAsia="宋体" w:cs="宋体"/>
                <w:sz w:val="13"/>
                <w:szCs w:val="13"/>
              </w:rPr>
            </w:pPr>
            <w:r>
              <w:rPr>
                <w:rFonts w:hint="default" w:ascii="Times New Roman" w:hAnsi="Times New Roman" w:eastAsia="宋体" w:cs="Times New Roman"/>
                <w:sz w:val="24"/>
                <w:szCs w:val="24"/>
              </w:rPr>
              <w:t xml:space="preserve">配件保障：核心备件具有实时库存清单（含库存数量、备货周期）。</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pStyle w:val="1302"/>
              <w:ind w:left="0" w:firstLine="0"/>
              <w:keepLines w:val="0"/>
              <w:keepNext w:val="0"/>
              <w:pageBreakBefore w:val="0"/>
              <w:spacing w:line="360" w:lineRule="auto"/>
              <w:rPr>
                <w:rFonts w:hint="eastAsia" w:ascii="宋体" w:hAnsi="宋体" w:eastAsia="宋体" w:cs="宋体"/>
                <w:sz w:val="18"/>
                <w:szCs w:val="18"/>
                <w:highlight w:val="none"/>
              </w:rPr>
            </w:pPr>
            <w:r>
              <w:rPr>
                <w:rFonts w:hint="default" w:ascii="Times New Roman" w:hAnsi="Times New Roman" w:eastAsia="宋体" w:cs="Times New Roman"/>
                <w:sz w:val="24"/>
                <w:szCs w:val="24"/>
              </w:rPr>
              <w:t xml:space="preserve">备件单独质保≥6 个月，维修后设备关键参数（检出限、精密度、准确度）符合食品检测标准。</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pStyle w:val="1302"/>
              <w:ind w:left="0" w:firstLine="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▲3.违约处理：维修备件须为原厂全新备件（非新备件须经采购人书面同意）；使用非原厂备件（未获同意）的，无条件更换并按备件费用2倍支付违约金，承担后续合规校准费用；情节严重的取消成交资格。</w:t>
            </w:r>
            <w:r>
              <w:rPr>
                <w:rFonts w:hint="default" w:ascii="Times New Roman" w:hAnsi="Times New Roman" w:eastAsia="宋体" w:cs="Times New Roman"/>
                <w:b/>
                <w:bCs/>
                <w:sz w:val="24"/>
                <w:szCs w:val="24"/>
              </w:rPr>
              <w:t xml:space="preserve">（提供承诺书加盖公章）</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rPr>
            </w:pPr>
            <w:r>
              <w:rPr>
                <w:rFonts w:hint="default" w:ascii="Times New Roman" w:hAnsi="Times New Roman" w:eastAsia="宋体" w:cs="Times New Roman"/>
                <w:sz w:val="24"/>
                <w:szCs w:val="24"/>
              </w:rPr>
              <w:t xml:space="preserve">服务商按需提供免费巡检服务，现场巡访，检查仪器运行状态、与操作人员相互交流仪器使用情况，保证及时发现并排除故障隐患</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default" w:ascii="Times New Roman" w:hAnsi="Times New Roman" w:eastAsia="宋体" w:cs="Times New Roman"/>
                <w:sz w:val="24"/>
                <w:szCs w:val="24"/>
              </w:rPr>
              <w:t xml:space="preserve">每12个月为设备清单中服务内容包含预防性维护保养的仪器提供一次高级维护保养，做仪器设备的彻底清洗、除尘、润滑、检查和测试。维护保养的同时，更换仪器专属耗材，并出具维护保养报告</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default" w:ascii="Times New Roman" w:hAnsi="Times New Roman" w:eastAsia="宋体" w:cs="Times New Roman"/>
                <w:sz w:val="24"/>
                <w:szCs w:val="24"/>
              </w:rPr>
              <w:t xml:space="preserve">服务商按照服务内容及技术要求提供维修保养服务，并严格执行设备操作和技术规范。采购人将优先使用服务商的工程师资源及零配件资源</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rPr>
            </w:pPr>
            <w:r>
              <w:rPr>
                <w:rFonts w:hint="default" w:ascii="Times New Roman" w:hAnsi="Times New Roman" w:eastAsia="宋体" w:cs="Times New Roman"/>
                <w:sz w:val="24"/>
                <w:szCs w:val="24"/>
              </w:rPr>
              <w:t xml:space="preserve">服务商需提供客户服务中心热线服务，采购人仪器发生故障时由服务商客户服务中心协助并指导采购人分析故障原因，由采购人先独立排除故障以便及时回到正常分析状态</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highlight w:val="none"/>
              </w:rPr>
            </w:pPr>
            <w:r>
              <w:rPr>
                <w:rFonts w:hint="default" w:ascii="Times New Roman" w:hAnsi="Times New Roman" w:eastAsia="宋体" w:cs="Times New Roman"/>
                <w:sz w:val="24"/>
                <w:szCs w:val="24"/>
              </w:rPr>
              <w:t xml:space="preserve">服务响应时间，当采购人仪器发生故障时，服务商优先通过电话等方式优先对应处理，当服务商判断需</w:t>
            </w:r>
            <w:r>
              <w:rPr>
                <w:rFonts w:hint="default" w:ascii="Times New Roman" w:hAnsi="Times New Roman" w:eastAsia="宋体" w:cs="Times New Roman"/>
                <w:sz w:val="24"/>
                <w:szCs w:val="24"/>
              </w:rPr>
              <w:t xml:space="preserve">要提供上门服务时，保证优先对应最长时间不超过48小时。服务响应时间计算方法规定为，从采购人请求服务并确认故障需要现场维修之日开始到服务商工程师到达现场开始工作之日为服务商的响应时间。根据采购人所用仪器所在地理位置及交通便利条件，时间将会有所不同，原则上标准时间为48小时。 如确属交通原因或各方面外界无法抗拒原因或意外因素造成工程师无法及时到达采购人现场，服务商应及时通知采购人相关原因并将到达日期告知采购人。服务商提供现场保修服务的工作时间为，除国家规定的节假日外，每周一至周五的AM 8:30至PM 5:30</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维修保养服务包括对仪器故障的现场诊断及修复。修复故障的工作包括工程师采用适当的措施并由采购人继续观察故障直到故障完全消失。故障排除工作开始，由服务商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由服务商工程师对服务期内限定的产品到采购人现场修复仪器故障。并由服务商承担对服务期内所限定产品提供维修保养服务时的所有费用（其中包括工时费，派遣费，零件费及维修时所需的相关消耗品）。但服务商不向采购人提供日常分析操作所需消耗品</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服务商每年为</w:t>
            </w:r>
            <w:r>
              <w:rPr>
                <w:rFonts w:hint="eastAsia" w:cs="Times New Roman"/>
                <w:sz w:val="24"/>
                <w:szCs w:val="24"/>
                <w:lang w:val="en-US" w:eastAsia="zh-CN"/>
              </w:rPr>
              <w:t xml:space="preserve">采购人</w:t>
            </w:r>
            <w:r>
              <w:rPr>
                <w:rFonts w:hint="default" w:ascii="Times New Roman" w:hAnsi="Times New Roman" w:eastAsia="宋体" w:cs="Times New Roman"/>
                <w:sz w:val="24"/>
                <w:szCs w:val="24"/>
              </w:rPr>
              <w:t xml:space="preserve">提供一次系统维保记录及分析报告，并提出对新一年维保的建议</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服务商需对采购人进行不少于50人次，每人2-3小时的培训，培训内容至少包含设备故障分析，维修维护，日常使用等</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服务商</w:t>
            </w:r>
            <w:r>
              <w:rPr>
                <w:rFonts w:hint="default" w:ascii="Times New Roman" w:hAnsi="Times New Roman" w:eastAsia="宋体" w:cs="Times New Roman"/>
                <w:b/>
                <w:bCs/>
                <w:sz w:val="24"/>
                <w:szCs w:val="24"/>
              </w:rPr>
              <w:t xml:space="preserve">需承诺</w:t>
            </w:r>
            <w:r>
              <w:rPr>
                <w:rFonts w:hint="default" w:ascii="Times New Roman" w:hAnsi="Times New Roman" w:eastAsia="宋体" w:cs="Times New Roman"/>
                <w:sz w:val="24"/>
                <w:szCs w:val="24"/>
              </w:rPr>
              <w:t xml:space="preserve">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服务商派工程师前往采购方</w:t>
            </w:r>
            <w:r>
              <w:rPr>
                <w:rFonts w:hint="eastAsia" w:cs="Times New Roman"/>
                <w:sz w:val="24"/>
                <w:szCs w:val="24"/>
                <w:lang w:val="en-US" w:eastAsia="zh-CN"/>
              </w:rPr>
              <w:t xml:space="preserve">指定地点对指定设备</w:t>
            </w:r>
            <w:r>
              <w:rPr>
                <w:rFonts w:hint="default" w:ascii="Times New Roman" w:hAnsi="Times New Roman" w:eastAsia="宋体" w:cs="Times New Roman"/>
                <w:sz w:val="24"/>
                <w:szCs w:val="24"/>
              </w:rPr>
              <w:t xml:space="preserve">进行维修</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（1）服务商通过电话分析为采购人解决硬件和软件故障，以及服务商在标准响应时间内到达现场诊断和解决硬件故障。包括所有工时费、差旅费及维修所需的部件。</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液相维修备件：</w:t>
            </w:r>
            <w:r>
              <w:rPr>
                <w:rFonts w:hint="default" w:ascii="Times New Roman" w:hAnsi="Times New Roman" w:eastAsia="宋体" w:cs="Times New Roman"/>
                <w:sz w:val="24"/>
                <w:szCs w:val="24"/>
              </w:rPr>
              <w:t xml:space="preserve">泵马达，四通道比例阀，泵主板，电源控制板，真空，脱气泵，进样阀单元，注射器单元，水平驱动,，热交换单元，柱温箱主板，液晶显示面板，光路单元，紫外检测器主板，DAD检测器主板，氘灯电源板,六通阀转子密封圈，自动进样器进样针，柱塞杆密封圈套装。</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保护柱，分析柱，进样瓶，管路，管路接头，流动相瓶，氘灯</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离子色谱仪维修备件：</w:t>
            </w:r>
            <w:r>
              <w:rPr>
                <w:rFonts w:hint="default" w:ascii="Times New Roman" w:hAnsi="Times New Roman" w:eastAsia="宋体" w:cs="Times New Roman"/>
                <w:sz w:val="24"/>
                <w:szCs w:val="24"/>
              </w:rPr>
              <w:t xml:space="preserve">脱气盒与管线，六通阀组件，减压阀，泵马达，进样阀，主板，蠕动泵，电导检测器，脱气机等</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阴离子抑制器，阳离子抑制器，离子色谱柱，氢氧化钾罐，甲烷基磺酸罐，阴离子捕获柱，阳离子捕获柱，进样器注射器，自动进样器进样针，样品瓶，泵头组件（柱塞杆，密封圈，单向阀及阀芯），PH参比电极，金电极，预处理小柱，淋洗液过滤头，DC进样阀组件（定子，转子，定子接口），流动相瓶</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液质联用仪维修备件：</w:t>
            </w:r>
            <w:r>
              <w:rPr>
                <w:rFonts w:hint="default" w:ascii="Times New Roman" w:hAnsi="Times New Roman" w:eastAsia="宋体" w:cs="Times New Roman"/>
                <w:sz w:val="24"/>
                <w:szCs w:val="24"/>
              </w:rPr>
              <w:t xml:space="preserve">仪器控制板，直流电源模块，RF电路板，直流DC电路板，离子源板，多极杆，电表板，离子透镜，机械泵，分子涡轮泵控制器，分子涡轮泵，仪器内部线路组件，气体模块控制板、真空规，仪器内冷却风扇，仪器状态显示板、注射泵、真空管、离子传输管加热器、离子源高压电源。</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消耗品清单：</w:t>
            </w:r>
            <w:r>
              <w:rPr>
                <w:rFonts w:hint="default" w:ascii="Times New Roman" w:hAnsi="Times New Roman" w:eastAsia="宋体" w:cs="Times New Roman"/>
                <w:sz w:val="24"/>
                <w:szCs w:val="24"/>
              </w:rPr>
              <w:t xml:space="preserve">陶瓷件，离子传输管，电子倍增器，喷针，样品瓶及配件，保护柱，分析柱，保护柱柱芯，氘灯，LC管路，LC管路接头，机械泵油，校准液。</w:t>
            </w:r>
            <w:r/>
          </w:p>
          <w:p>
            <w:pPr>
              <w:ind w:firstLine="482"/>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红外光谱仪维修备件：</w:t>
            </w:r>
            <w:r>
              <w:rPr>
                <w:rFonts w:hint="default" w:ascii="Times New Roman" w:hAnsi="Times New Roman" w:eastAsia="宋体" w:cs="Times New Roman"/>
                <w:sz w:val="24"/>
                <w:szCs w:val="24"/>
              </w:rPr>
              <w:t xml:space="preserve">1.OBC板；2.干涉仪；3.激光器；4.红外光源；5.检测器；6.衰减轮马达；7.面板状态指示灯及功能按键；8.光源镜（含激光检测器和红外参比检测器）；9.红外光阑马达等。</w:t>
            </w:r>
            <w:r/>
          </w:p>
          <w:p>
            <w:pPr>
              <w:ind w:firstLine="482"/>
              <w:keepLines w:val="0"/>
              <w:keepNext w:val="0"/>
              <w:pageBreakBefore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消耗品清单：</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1)除仪器主机之外的附件及耗材不在维保之列，例如液体池及窗片，压片机，ZnSe晶体等。</w:t>
            </w:r>
            <w:r/>
          </w:p>
          <w:p>
            <w:pPr>
              <w:ind w:firstLine="9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2)由于人为管理不善因素导致的仪器明显受潮导致备件损坏，不在维保之列。</w:t>
            </w:r>
            <w:r/>
          </w:p>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3)验证轮上标准片（包括PS膜和NG11）及其他标准品</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上文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上文所列消耗品清单，属于日常分析所需，如有使用需求，需由采购人自行付费购买</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95"/>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预防性维护保养</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合同期内，每年为所需预防性维护保养仪器进行一次系统清洗、润滑、检查、调试等服务，确保最高的仪器可靠性。并免费提供下列维护耗材：</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1）液相色谱仪保养包：氘灯，进样针。</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2）液质联用仪保养包：泵油，喷针，校正液，离子传输管。</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3）离子色谱仪保养包：单向阀，过滤头，进样针。</w:t>
            </w:r>
            <w:r/>
          </w:p>
          <w:p>
            <w:pPr>
              <w:spacing w:line="360" w:lineRule="auto"/>
              <w:rPr>
                <w:rFonts w:hint="eastAsia" w:ascii="宋体" w:hAnsi="宋体" w:cs="宋体"/>
                <w:color w:val="000000"/>
                <w:sz w:val="24"/>
              </w:rPr>
            </w:pPr>
            <w:r>
              <w:rPr>
                <w:rFonts w:hint="default" w:ascii="Times New Roman" w:hAnsi="Times New Roman" w:eastAsia="宋体" w:cs="Times New Roman"/>
                <w:sz w:val="24"/>
                <w:szCs w:val="24"/>
              </w:rPr>
              <w:t xml:space="preserve">4）红外光谱仪保养包：干燥剂</w:t>
            </w:r>
            <w:r/>
          </w:p>
        </w:tc>
        <w:tc>
          <w:tcPr>
            <w:tcW w:w="736" w:type="pct"/>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1065"/>
        <w:numPr>
          <w:ilvl w:val="0"/>
          <w:numId w:val="11"/>
        </w:numPr>
        <w:spacing w:before="0"/>
        <w:rPr>
          <w:rFonts w:hint="eastAsia" w:ascii="宋体" w:hAnsi="宋体" w:eastAsia="宋体" w:cs="宋体"/>
          <w:bCs w:val="0"/>
          <w:sz w:val="24"/>
          <w:szCs w:val="24"/>
        </w:rPr>
      </w:pPr>
      <w:r/>
      <w:bookmarkStart w:id="412" w:name="_Toc31650"/>
      <w:r>
        <w:rPr>
          <w:rFonts w:hint="eastAsia" w:ascii="宋体" w:hAnsi="宋体" w:eastAsia="宋体" w:cs="宋体"/>
          <w:bCs w:val="0"/>
          <w:sz w:val="24"/>
          <w:szCs w:val="24"/>
        </w:rPr>
        <w:t xml:space="preserve">需求响应方案</w:t>
      </w:r>
      <w:bookmarkEnd w:id="412"/>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 格式自拟。</w:t>
      </w:r>
      <w:r/>
    </w:p>
    <w:p>
      <w:pPr>
        <w:pStyle w:val="1295"/>
        <w:ind w:firstLine="400"/>
        <w:rPr>
          <w:rFonts w:hint="eastAsia" w:ascii="宋体" w:hAnsi="宋体" w:eastAsia="宋体" w:cs="宋体"/>
        </w:rPr>
      </w:pPr>
      <w:r>
        <w:rPr>
          <w:rFonts w:hint="eastAsia" w:ascii="宋体" w:hAnsi="宋体" w:eastAsia="宋体" w:cs="宋体"/>
        </w:rPr>
      </w:r>
      <w:r/>
    </w:p>
    <w:p>
      <w:pPr>
        <w:pStyle w:val="1295"/>
        <w:ind w:firstLine="400"/>
        <w:rPr>
          <w:rFonts w:hint="eastAsia" w:ascii="宋体" w:hAnsi="宋体" w:eastAsia="宋体" w:cs="宋体"/>
        </w:rPr>
      </w:pPr>
      <w:r>
        <w:rPr>
          <w:rFonts w:hint="eastAsia" w:ascii="宋体" w:hAnsi="宋体" w:eastAsia="宋体" w:cs="宋体"/>
        </w:rPr>
      </w:r>
      <w:r/>
    </w:p>
    <w:p>
      <w:pPr>
        <w:pStyle w:val="1065"/>
        <w:spacing w:before="0"/>
        <w:rPr>
          <w:rFonts w:hint="eastAsia" w:ascii="宋体" w:hAnsi="宋体" w:eastAsia="宋体" w:cs="宋体"/>
        </w:rPr>
      </w:pPr>
      <w:r>
        <w:rPr>
          <w:rFonts w:hint="eastAsia" w:ascii="宋体" w:hAnsi="宋体" w:eastAsia="宋体" w:cs="宋体"/>
        </w:rPr>
        <w:br w:type="page" w:clear="all"/>
      </w:r>
      <w:bookmarkStart w:id="413" w:name="_Toc103848602"/>
      <w:r/>
      <w:bookmarkStart w:id="414" w:name="_Toc104560919"/>
      <w:r/>
      <w:bookmarkStart w:id="415" w:name="_Toc107246302"/>
      <w:r/>
      <w:bookmarkStart w:id="416" w:name="_Toc4903"/>
      <w:r>
        <w:rPr>
          <w:rFonts w:hint="eastAsia" w:ascii="宋体" w:hAnsi="宋体" w:eastAsia="宋体" w:cs="宋体"/>
          <w:bCs w:val="0"/>
          <w:sz w:val="24"/>
          <w:szCs w:val="24"/>
        </w:rPr>
        <w:t xml:space="preserve">（3）投标人服务承诺</w:t>
      </w:r>
      <w:bookmarkEnd w:id="413"/>
      <w:r/>
      <w:bookmarkEnd w:id="414"/>
      <w:r/>
      <w:bookmarkEnd w:id="415"/>
      <w:r>
        <w:rPr>
          <w:rFonts w:hint="eastAsia" w:ascii="宋体" w:hAnsi="宋体" w:eastAsia="宋体" w:cs="宋体"/>
          <w:bCs w:val="0"/>
          <w:sz w:val="24"/>
          <w:szCs w:val="24"/>
        </w:rPr>
        <w:t xml:space="preserve">（格式自拟）</w:t>
      </w:r>
      <w:bookmarkEnd w:id="416"/>
      <w:r/>
      <w:r/>
    </w:p>
    <w:p>
      <w:pPr>
        <w:rPr>
          <w:rFonts w:hint="eastAsia" w:ascii="宋体" w:hAnsi="宋体" w:eastAsia="宋体" w:cs="宋体"/>
          <w:sz w:val="24"/>
          <w:szCs w:val="22"/>
        </w:rPr>
      </w:pPr>
      <w:r>
        <w:rPr>
          <w:rFonts w:hint="eastAsia" w:ascii="宋体" w:hAnsi="宋体" w:eastAsia="宋体" w:cs="宋体"/>
          <w:b/>
          <w:bCs/>
          <w:sz w:val="24"/>
          <w:szCs w:val="22"/>
        </w:rPr>
        <w:br w:type="page" w:clear="all"/>
      </w:r>
      <w:r/>
    </w:p>
    <w:p>
      <w:pPr>
        <w:pStyle w:val="1065"/>
        <w:spacing w:before="0"/>
        <w:rPr>
          <w:rFonts w:hint="eastAsia" w:ascii="宋体" w:hAnsi="宋体" w:eastAsia="宋体" w:cs="宋体"/>
          <w:bCs w:val="0"/>
          <w:sz w:val="24"/>
          <w:szCs w:val="24"/>
        </w:rPr>
      </w:pPr>
      <w:r/>
      <w:bookmarkStart w:id="417" w:name="_Toc10170"/>
      <w:r/>
      <w:bookmarkStart w:id="418" w:name="_Toc107246303"/>
      <w:r/>
      <w:bookmarkStart w:id="419" w:name="_Toc104560920"/>
      <w:r/>
      <w:bookmarkStart w:id="420" w:name="_Toc103848603"/>
      <w:r>
        <w:rPr>
          <w:rFonts w:hint="eastAsia" w:ascii="宋体" w:hAnsi="宋体" w:eastAsia="宋体" w:cs="宋体"/>
          <w:bCs w:val="0"/>
          <w:sz w:val="24"/>
          <w:szCs w:val="24"/>
        </w:rPr>
        <w:t xml:space="preserve">（4）用于本项目人员简历表</w:t>
      </w:r>
      <w:bookmarkEnd w:id="417"/>
      <w:r/>
      <w:bookmarkEnd w:id="418"/>
      <w:r/>
      <w:bookmarkEnd w:id="419"/>
      <w:r/>
      <w:bookmarkEnd w:id="420"/>
      <w:r/>
      <w:r/>
    </w:p>
    <w:p>
      <w:pPr>
        <w:pStyle w:val="1295"/>
        <w:ind w:firstLine="400"/>
        <w:rPr>
          <w:rFonts w:hint="eastAsia" w:ascii="宋体" w:hAnsi="宋体" w:eastAsia="宋体" w:cs="宋体"/>
        </w:rPr>
      </w:pPr>
      <w:r>
        <w:rPr>
          <w:rFonts w:hint="eastAsia" w:ascii="宋体" w:hAnsi="宋体" w:eastAsia="宋体" w:cs="宋体"/>
        </w:rPr>
      </w:r>
      <w:r/>
    </w:p>
    <w:tbl>
      <w:tblPr>
        <w:tblStyle w:val="10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职务</w:t>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t xml:space="preserve">毕业学校、专业</w:t>
            </w:r>
            <w:r/>
          </w:p>
        </w:tc>
        <w:tc>
          <w:tcPr>
            <w:gridSpan w:val="3"/>
            <w:tcW w:w="5808"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身份证号</w:t>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拟在本项目任职</w:t>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w:t>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执业资格证书号</w:t>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4"/>
            <w:tcW w:w="8304"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近____年承担项目情况</w:t>
            </w:r>
            <w:r/>
          </w:p>
        </w:tc>
      </w:tr>
      <w:tr>
        <w:trPr>
          <w:jc w:val="center"/>
        </w:trPr>
        <w:tc>
          <w:tcPr>
            <w:tcW w:w="249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时间</w:t>
            </w:r>
            <w:r/>
          </w:p>
        </w:tc>
        <w:tc>
          <w:tcPr>
            <w:tcW w:w="165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类似项目名称</w:t>
            </w:r>
            <w:r/>
          </w:p>
        </w:tc>
        <w:tc>
          <w:tcPr>
            <w:tcW w:w="186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担任职务</w:t>
            </w:r>
            <w:r/>
          </w:p>
        </w:tc>
        <w:tc>
          <w:tcPr>
            <w:tcW w:w="2286" w:type="dxa"/>
            <w:vAlign w:val="center"/>
            <w:textDirection w:val="lrTb"/>
            <w:noWrap w:val="false"/>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项目单位名称及电话</w:t>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95"/>
              <w:ind w:firstLine="42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295"/>
        <w:ind w:firstLine="400"/>
        <w:rPr>
          <w:rFonts w:hint="eastAsia" w:ascii="宋体" w:hAnsi="宋体" w:eastAsia="宋体" w:cs="宋体"/>
        </w:rPr>
      </w:pPr>
      <w:r>
        <w:rPr>
          <w:rFonts w:hint="eastAsia" w:ascii="宋体" w:hAnsi="宋体" w:eastAsia="宋体" w:cs="宋体"/>
        </w:rPr>
      </w:r>
      <w:r/>
    </w:p>
    <w:p>
      <w:pPr>
        <w:pStyle w:val="1295"/>
        <w:ind w:firstLine="400"/>
        <w:rPr>
          <w:rFonts w:hint="eastAsia" w:ascii="宋体" w:hAnsi="宋体" w:eastAsia="宋体" w:cs="宋体"/>
        </w:rPr>
      </w:pPr>
      <w:r>
        <w:rPr>
          <w:rFonts w:hint="eastAsia" w:ascii="宋体" w:hAnsi="宋体" w:eastAsia="宋体" w:cs="宋体"/>
        </w:rPr>
      </w:r>
      <w:r/>
    </w:p>
    <w:p>
      <w:pPr>
        <w:pStyle w:val="1065"/>
        <w:ind w:firstLine="426"/>
        <w:spacing w:before="0"/>
        <w:rPr>
          <w:rFonts w:hint="eastAsia" w:ascii="宋体" w:hAnsi="宋体" w:eastAsia="宋体" w:cs="宋体"/>
          <w:bCs w:val="0"/>
          <w:sz w:val="24"/>
          <w:szCs w:val="24"/>
        </w:rPr>
      </w:pPr>
      <w:r>
        <w:rPr>
          <w:rFonts w:hint="eastAsia" w:ascii="宋体" w:hAnsi="宋体" w:eastAsia="宋体" w:cs="宋体"/>
        </w:rPr>
        <w:br w:type="page" w:clear="all"/>
      </w:r>
      <w:bookmarkEnd w:id="327"/>
      <w:r/>
      <w:bookmarkStart w:id="421" w:name="_Toc12686"/>
      <w:r/>
      <w:bookmarkStart w:id="422" w:name="_Toc103848605"/>
      <w:r/>
      <w:bookmarkStart w:id="423" w:name="_Toc107246305"/>
      <w:r/>
      <w:bookmarkStart w:id="424" w:name="_Toc104560922"/>
      <w:r/>
      <w:bookmarkStart w:id="425" w:name="_Toc100905289"/>
      <w:r/>
      <w:bookmarkStart w:id="426" w:name="_Toc96347904"/>
      <w:r>
        <w:rPr>
          <w:rFonts w:hint="eastAsia" w:ascii="宋体" w:hAnsi="宋体" w:eastAsia="宋体" w:cs="宋体"/>
          <w:bCs w:val="0"/>
          <w:sz w:val="24"/>
          <w:szCs w:val="24"/>
        </w:rPr>
        <w:t xml:space="preserve">（5）拟投入本项目人员情况表</w:t>
      </w:r>
      <w:bookmarkEnd w:id="421"/>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江苏省药品监督检验研究院2026年离子色谱仪等12台大型仪器运维服务采购项目</w:t>
      </w:r>
      <w:r>
        <w:rPr>
          <w:rFonts w:hint="eastAsia" w:ascii="宋体" w:hAnsi="宋体" w:eastAsia="宋体" w:cs="宋体"/>
          <w:sz w:val="21"/>
          <w:szCs w:val="21"/>
        </w:rPr>
        <w:tab/>
      </w:r>
      <w:r>
        <w:rPr>
          <w:rFonts w:hint="eastAsia" w:ascii="宋体" w:hAnsi="宋体" w:eastAsia="宋体" w:cs="宋体"/>
          <w:sz w:val="21"/>
          <w:szCs w:val="21"/>
        </w:rPr>
        <w:tab/>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sdt>
        <w:sdtPr>
          <w15:appearance w15:val="boundingBox"/>
          <w:id w:val="147467611"/>
          <w:placeholder>
            <w:docPart w:val="{5b656167-0c80-4a54-b772-7e68f0ed8bde}"/>
          </w:placeholder>
          <w:rPr>
            <w:rFonts w:hint="eastAsia" w:ascii="宋体" w:hAnsi="宋体" w:eastAsia="宋体" w:cs="宋体"/>
            <w:sz w:val="21"/>
            <w:szCs w:val="21"/>
          </w:rPr>
        </w:sdtPr>
        <w:sdtContent>
          <w:r>
            <w:rPr>
              <w:rFonts w:hint="eastAsia" w:hAnsi="宋体" w:cs="宋体"/>
              <w:sz w:val="21"/>
              <w:szCs w:val="21"/>
              <w:lang w:eastAsia="zh-CN"/>
            </w:rPr>
            <w:t xml:space="preserve">JSZC-320000-JITC-G2026-0344</w:t>
          </w:r>
          <w:r>
            <w:rPr>
              <w:rFonts w:hint="eastAsia" w:hAnsi="宋体" w:cs="宋体"/>
              <w:sz w:val="21"/>
              <w:szCs w:val="21"/>
              <w:lang w:eastAsia="zh-CN"/>
            </w:rPr>
            <w:tab/>
          </w:r>
        </w:sdtContent>
      </w:sdt>
      <w:r/>
      <w:r/>
    </w:p>
    <w:tbl>
      <w:tblPr>
        <w:tblStyle w:val="103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8"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627"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915"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698"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职称/证书</w:t>
            </w:r>
            <w:r/>
          </w:p>
        </w:tc>
        <w:tc>
          <w:tcPr>
            <w:tcW w:w="1564" w:type="dxa"/>
            <w:vAlign w:val="center"/>
            <w:textDirection w:val="lrTb"/>
            <w:noWrap/>
          </w:tcPr>
          <w:p>
            <w:pPr>
              <w:pStyle w:val="1295"/>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sz w:val="24"/>
        </w:rPr>
      </w:pPr>
      <w:r>
        <w:rPr>
          <w:rFonts w:hint="eastAsia" w:ascii="宋体" w:hAnsi="宋体" w:eastAsia="宋体" w:cs="宋体"/>
          <w:b/>
          <w:sz w:val="24"/>
        </w:rPr>
        <w:br w:type="page" w:clear="all"/>
      </w:r>
      <w:r/>
    </w:p>
    <w:p>
      <w:pPr>
        <w:pStyle w:val="1065"/>
        <w:numPr>
          <w:ilvl w:val="0"/>
          <w:numId w:val="12"/>
        </w:numPr>
        <w:ind w:firstLine="426"/>
        <w:spacing w:before="0"/>
        <w:rPr>
          <w:rFonts w:hint="eastAsia" w:ascii="宋体" w:hAnsi="宋体" w:eastAsia="宋体" w:cs="宋体"/>
          <w:bCs w:val="0"/>
          <w:sz w:val="24"/>
          <w:szCs w:val="24"/>
        </w:rPr>
      </w:pPr>
      <w:r/>
      <w:bookmarkStart w:id="427" w:name="_Toc29343"/>
      <w:r>
        <w:rPr>
          <w:rFonts w:hint="eastAsia" w:ascii="宋体" w:hAnsi="宋体" w:eastAsia="宋体" w:cs="宋体"/>
          <w:bCs w:val="0"/>
          <w:sz w:val="24"/>
          <w:szCs w:val="24"/>
        </w:rPr>
        <w:t xml:space="preserve">业绩表</w:t>
      </w:r>
      <w:bookmarkEnd w:id="427"/>
      <w:r/>
      <w:r/>
    </w:p>
    <w:tbl>
      <w:tblPr>
        <w:tblStyle w:val="1036"/>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6"/>
        <w:gridCol w:w="854"/>
        <w:gridCol w:w="1384"/>
        <w:gridCol w:w="475"/>
        <w:gridCol w:w="705"/>
        <w:gridCol w:w="898"/>
        <w:gridCol w:w="1628"/>
        <w:gridCol w:w="853"/>
        <w:gridCol w:w="1378"/>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供货设备清单</w:t>
            </w:r>
            <w:r/>
          </w:p>
          <w:p>
            <w:pPr>
              <w:jc w:val="center"/>
              <w:rPr>
                <w:rFonts w:hint="eastAsia" w:ascii="宋体" w:hAnsi="宋体" w:eastAsia="宋体" w:cs="宋体"/>
              </w:rPr>
            </w:pPr>
            <w:r>
              <w:rPr>
                <w:rFonts w:hint="eastAsia" w:ascii="宋体" w:hAnsi="宋体" w:eastAsia="宋体" w:cs="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签约</w:t>
            </w:r>
            <w:r/>
          </w:p>
          <w:p>
            <w:pPr>
              <w:jc w:val="center"/>
              <w:rPr>
                <w:rFonts w:hint="eastAsia" w:ascii="宋体" w:hAnsi="宋体" w:eastAsia="宋体" w:cs="宋体"/>
              </w:rPr>
            </w:pPr>
            <w:r>
              <w:rPr>
                <w:rFonts w:hint="eastAsia" w:ascii="宋体" w:hAnsi="宋体" w:eastAsia="宋体" w:cs="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ascii="宋体" w:hAnsi="宋体" w:eastAsia="宋体" w:cs="宋体"/>
              </w:rPr>
            </w:pPr>
            <w:r>
              <w:rPr>
                <w:rFonts w:hint="eastAsia" w:ascii="宋体" w:hAnsi="宋体" w:eastAsia="宋体" w:cs="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bl>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1065"/>
        <w:spacing w:before="0"/>
        <w:rPr>
          <w:rFonts w:hint="eastAsia" w:ascii="宋体" w:hAnsi="宋体" w:eastAsia="宋体" w:cs="宋体"/>
        </w:rPr>
      </w:pPr>
      <w:r/>
      <w:bookmarkStart w:id="428" w:name="_Toc13364"/>
      <w:r>
        <w:rPr>
          <w:rFonts w:hint="eastAsia" w:ascii="宋体" w:hAnsi="宋体" w:eastAsia="宋体" w:cs="宋体"/>
          <w:sz w:val="28"/>
          <w:szCs w:val="24"/>
        </w:rPr>
        <w:t xml:space="preserve">三、其他部分</w:t>
      </w:r>
      <w:bookmarkEnd w:id="422"/>
      <w:r/>
      <w:bookmarkEnd w:id="423"/>
      <w:r/>
      <w:bookmarkEnd w:id="424"/>
      <w:r/>
      <w:bookmarkEnd w:id="428"/>
      <w:r/>
      <w:r/>
    </w:p>
    <w:p>
      <w:pPr>
        <w:pStyle w:val="1065"/>
        <w:spacing w:before="0"/>
        <w:rPr>
          <w:rFonts w:hint="eastAsia" w:ascii="宋体" w:hAnsi="宋体" w:eastAsia="宋体" w:cs="宋体"/>
          <w:bCs w:val="0"/>
          <w:sz w:val="24"/>
          <w:szCs w:val="24"/>
        </w:rPr>
      </w:pPr>
      <w:r/>
      <w:bookmarkStart w:id="429" w:name="_Toc104560925"/>
      <w:r/>
      <w:bookmarkStart w:id="430" w:name="_Toc107246308"/>
      <w:r/>
      <w:bookmarkStart w:id="431" w:name="_Toc16332"/>
      <w:r/>
      <w:bookmarkStart w:id="432" w:name="_Toc103848608"/>
      <w:r/>
      <w:bookmarkStart w:id="433" w:name="_Toc100905295"/>
      <w:r/>
      <w:bookmarkStart w:id="434" w:name="_Toc103848607"/>
      <w:r/>
      <w:bookmarkStart w:id="435" w:name="_Toc107246307"/>
      <w:r/>
      <w:bookmarkStart w:id="436" w:name="_Toc104560924"/>
      <w:r/>
      <w:bookmarkStart w:id="437" w:name="_Toc104560923"/>
      <w:r/>
      <w:bookmarkStart w:id="438" w:name="_Toc103848606"/>
      <w:r/>
      <w:bookmarkStart w:id="439" w:name="_Toc107246306"/>
      <w:r>
        <w:rPr>
          <w:rFonts w:hint="eastAsia" w:ascii="宋体" w:hAnsi="宋体" w:eastAsia="宋体" w:cs="宋体"/>
          <w:bCs w:val="0"/>
          <w:sz w:val="24"/>
          <w:szCs w:val="24"/>
        </w:rPr>
        <w:t xml:space="preserve">（1）要求投标人提交的其他文件材料或证明材料</w:t>
      </w:r>
      <w:bookmarkEnd w:id="429"/>
      <w:r/>
      <w:bookmarkEnd w:id="430"/>
      <w:r/>
      <w:bookmarkEnd w:id="431"/>
      <w:r/>
      <w:bookmarkEnd w:id="432"/>
      <w:r/>
      <w:r/>
    </w:p>
    <w:p>
      <w:pPr>
        <w:pStyle w:val="1045"/>
        <w:ind w:left="1260"/>
        <w:rPr>
          <w:rFonts w:hint="eastAsia" w:ascii="宋体" w:hAnsi="宋体" w:eastAsia="宋体" w:cs="宋体"/>
        </w:rPr>
      </w:pPr>
      <w:r>
        <w:rPr>
          <w:rFonts w:hint="eastAsia" w:ascii="宋体" w:hAnsi="宋体" w:eastAsia="宋体" w:cs="宋体"/>
        </w:rPr>
        <w:br w:type="page" w:clear="all"/>
      </w:r>
      <w:r/>
    </w:p>
    <w:p>
      <w:pPr>
        <w:pStyle w:val="1065"/>
        <w:spacing w:before="0"/>
        <w:rPr>
          <w:rFonts w:hint="eastAsia" w:ascii="宋体" w:hAnsi="宋体" w:eastAsia="宋体" w:cs="宋体"/>
          <w:bCs w:val="0"/>
          <w:sz w:val="24"/>
          <w:szCs w:val="24"/>
        </w:rPr>
      </w:pPr>
      <w:r/>
      <w:bookmarkStart w:id="440" w:name="_Toc20459"/>
      <w:r>
        <w:rPr>
          <w:rFonts w:hint="eastAsia" w:ascii="宋体" w:hAnsi="宋体" w:eastAsia="宋体" w:cs="宋体"/>
          <w:bCs w:val="0"/>
          <w:sz w:val="24"/>
          <w:szCs w:val="24"/>
        </w:rPr>
        <w:t xml:space="preserve">（2）投标人认为需提供的其他</w:t>
      </w:r>
      <w:bookmarkEnd w:id="433"/>
      <w:r>
        <w:rPr>
          <w:rFonts w:hint="eastAsia" w:ascii="宋体" w:hAnsi="宋体" w:eastAsia="宋体" w:cs="宋体"/>
          <w:bCs w:val="0"/>
          <w:sz w:val="24"/>
          <w:szCs w:val="24"/>
        </w:rPr>
        <w:t xml:space="preserve">文件或证明材料</w:t>
      </w:r>
      <w:bookmarkEnd w:id="434"/>
      <w:r/>
      <w:bookmarkEnd w:id="435"/>
      <w:r/>
      <w:bookmarkEnd w:id="436"/>
      <w:r/>
      <w:bookmarkEnd w:id="440"/>
      <w:r/>
      <w:r/>
    </w:p>
    <w:p>
      <w:pPr>
        <w:rPr>
          <w:rFonts w:hint="eastAsia" w:ascii="宋体" w:hAnsi="宋体" w:eastAsia="宋体" w:cs="宋体"/>
        </w:rPr>
      </w:pPr>
      <w:r>
        <w:rPr>
          <w:rFonts w:hint="eastAsia" w:ascii="宋体" w:hAnsi="宋体" w:eastAsia="宋体" w:cs="宋体"/>
        </w:rPr>
        <w:br w:type="page" w:clear="all"/>
      </w:r>
      <w:r/>
    </w:p>
    <w:p>
      <w:pPr>
        <w:pStyle w:val="1065"/>
        <w:spacing w:before="0"/>
        <w:rPr>
          <w:rFonts w:hint="eastAsia" w:ascii="宋体" w:hAnsi="宋体" w:eastAsia="宋体" w:cs="宋体"/>
          <w:bCs w:val="0"/>
          <w:sz w:val="24"/>
          <w:szCs w:val="24"/>
        </w:rPr>
      </w:pPr>
      <w:r/>
      <w:bookmarkStart w:id="441" w:name="_Toc23304"/>
      <w:r>
        <w:rPr>
          <w:rFonts w:hint="eastAsia" w:ascii="宋体" w:hAnsi="宋体" w:eastAsia="宋体" w:cs="宋体"/>
          <w:bCs w:val="0"/>
          <w:sz w:val="24"/>
          <w:szCs w:val="24"/>
        </w:rPr>
        <w:t xml:space="preserve">（3）提供符合政府采购政策的证明材料</w:t>
      </w:r>
      <w:bookmarkEnd w:id="425"/>
      <w:r/>
      <w:bookmarkEnd w:id="437"/>
      <w:r/>
      <w:bookmarkEnd w:id="438"/>
      <w:r/>
      <w:bookmarkEnd w:id="439"/>
      <w:r/>
      <w:bookmarkEnd w:id="441"/>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（请根据本项目</w:t>
      </w:r>
      <w:r>
        <w:rPr>
          <w:rFonts w:hint="eastAsia" w:ascii="宋体" w:hAnsi="宋体" w:eastAsia="宋体" w:cs="宋体"/>
          <w:bCs/>
          <w:szCs w:val="21"/>
        </w:rPr>
        <w:t xml:space="preserve">“</w:t>
      </w:r>
      <w:r>
        <w:rPr>
          <w:rFonts w:hint="eastAsia" w:ascii="宋体" w:hAnsi="宋体" w:eastAsia="宋体" w:cs="宋体"/>
        </w:rPr>
        <w:t xml:space="preserve">采购项目类型</w:t>
      </w:r>
      <w:r>
        <w:rPr>
          <w:rFonts w:hint="eastAsia" w:ascii="宋体" w:hAnsi="宋体" w:eastAsia="宋体" w:cs="宋体"/>
          <w:bCs/>
        </w:rPr>
        <w:t xml:space="preserve">”</w:t>
      </w:r>
      <w:r>
        <w:rPr>
          <w:rFonts w:hint="eastAsia" w:ascii="宋体" w:hAnsi="宋体" w:eastAsia="宋体" w:cs="宋体"/>
        </w:rPr>
        <w:t xml:space="preserve">选择合适的中小企业声明函，不适用的可以不提交）</w:t>
      </w:r>
      <w:r/>
    </w:p>
    <w:p>
      <w:pPr>
        <w:ind w:right="-23"/>
        <w:jc w:val="center"/>
        <w:rPr>
          <w:rFonts w:hint="eastAsia" w:ascii="宋体" w:hAnsi="宋体" w:eastAsia="宋体" w:cs="宋体"/>
          <w:spacing w:val="2"/>
          <w:position w:val="-3"/>
          <w:szCs w:val="21"/>
        </w:rPr>
      </w:pPr>
      <w:r>
        <w:rPr>
          <w:rFonts w:hint="eastAsia" w:ascii="宋体" w:hAnsi="宋体" w:eastAsia="宋体" w:cs="宋体"/>
          <w:spacing w:val="2"/>
          <w:position w:val="-3"/>
          <w:szCs w:val="21"/>
        </w:rPr>
      </w:r>
      <w:r/>
    </w:p>
    <w:p>
      <w:pPr>
        <w:pStyle w:val="1295"/>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中小企业声明函（</w:t>
      </w:r>
      <w:r>
        <w:rPr>
          <w:rFonts w:hint="eastAsia" w:hAnsi="宋体" w:cs="宋体"/>
          <w:b/>
          <w:sz w:val="24"/>
          <w:szCs w:val="24"/>
          <w:lang w:val="en-US" w:eastAsia="zh-CN"/>
        </w:rPr>
        <w:t xml:space="preserve">服务</w:t>
      </w:r>
      <w:r>
        <w:rPr>
          <w:rFonts w:hint="eastAsia" w:ascii="宋体" w:hAnsi="宋体" w:eastAsia="宋体" w:cs="宋体"/>
          <w:b/>
          <w:sz w:val="24"/>
          <w:szCs w:val="24"/>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eastAsia" w:ascii="宋体" w:hAnsi="宋体" w:eastAsia="宋体" w:cs="宋体"/>
            <w:position w:val="-2"/>
            <w:szCs w:val="21"/>
          </w:rPr>
        </w:sdtPr>
        <w:sdtContent>
          <w:r>
            <w:rPr>
              <w:rFonts w:hint="eastAsia" w:ascii="宋体" w:hAnsi="宋体" w:cs="宋体"/>
              <w:iCs/>
              <w:position w:val="-2"/>
              <w:szCs w:val="21"/>
              <w:u w:val="single"/>
              <w:lang w:eastAsia="zh-CN"/>
            </w:rPr>
            <w:t xml:space="preserve">江苏省药品监督检验研究院</w:t>
          </w:r>
        </w:sdtContent>
      </w:sdt>
      <w:r>
        <w:rPr>
          <w:rFonts w:hint="eastAsia" w:ascii="宋体" w:hAnsi="宋体" w:eastAsia="宋体" w:cs="宋体"/>
          <w:position w:val="-2"/>
          <w:szCs w:val="21"/>
        </w:rPr>
        <w:t xml:space="preserve">的</w:t>
      </w:r>
      <w:sdt>
        <w:sdtPr>
          <w15:appearance w15:val="boundingBox"/>
          <w:id w:val="948800295"/>
          <w:placeholder>
            <w:docPart w:val="DefaultPlaceholder_-1854013440"/>
          </w:placeholder>
          <w:rPr>
            <w:rFonts w:hint="eastAsia" w:ascii="宋体" w:hAnsi="宋体" w:eastAsia="宋体" w:cs="宋体"/>
            <w:position w:val="-2"/>
            <w:szCs w:val="21"/>
          </w:rPr>
        </w:sdtPr>
        <w:sdtContent>
          <w:r>
            <w:rPr>
              <w:rFonts w:hint="eastAsia" w:ascii="宋体" w:hAnsi="宋体" w:cs="宋体"/>
              <w:iCs/>
              <w:position w:val="-2"/>
              <w:szCs w:val="21"/>
              <w:u w:val="single"/>
              <w:lang w:eastAsia="zh-CN"/>
            </w:rPr>
            <w:t xml:space="preserve">江苏省药品监督检验研究院2026年离子色谱仪等12台大型仪器运维服务采购项目</w:t>
          </w:r>
        </w:sdtContent>
      </w:sdt>
      <w:r>
        <w:rPr>
          <w:rFonts w:hint="eastAsia" w:ascii="宋体" w:hAnsi="宋体" w:eastAsia="宋体" w:cs="宋体"/>
          <w:position w:val="-2"/>
          <w:szCs w:val="21"/>
        </w:rPr>
        <w:t xml:space="preserve">采购活动，</w:t>
      </w:r>
      <w:r>
        <w:rPr>
          <w:rFonts w:hint="eastAsia" w:ascii="宋体" w:hAnsi="宋体" w:cs="宋体"/>
          <w:position w:val="-2"/>
          <w:szCs w:val="21"/>
          <w:lang w:val="en-US" w:eastAsia="zh-CN"/>
        </w:rPr>
        <w:t xml:space="preserve">工程/服务</w:t>
      </w:r>
      <w:r>
        <w:rPr>
          <w:rFonts w:hint="eastAsia" w:ascii="宋体" w:hAnsi="宋体" w:eastAsia="宋体" w:cs="宋体"/>
          <w:position w:val="-2"/>
          <w:szCs w:val="21"/>
        </w:rPr>
        <w:t xml:space="preserve">全部由符合政策要求的中小企业</w:t>
      </w:r>
      <w:r>
        <w:rPr>
          <w:rFonts w:hint="eastAsia" w:ascii="宋体" w:hAnsi="宋体" w:cs="宋体"/>
          <w:position w:val="-2"/>
          <w:szCs w:val="21"/>
          <w:lang w:val="en-US" w:eastAsia="zh-CN"/>
        </w:rPr>
        <w:t xml:space="preserve">承接</w:t>
      </w:r>
      <w:r>
        <w:rPr>
          <w:rFonts w:hint="eastAsia" w:ascii="宋体" w:hAnsi="宋体" w:eastAsia="宋体" w:cs="宋体"/>
          <w:position w:val="-2"/>
          <w:szCs w:val="21"/>
        </w:rPr>
        <w:t xml:space="preserve">。相关企业（含联合体中的中小企业、签订分包意向协议的中小企业） 的具体情况如下：</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1.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65974021"/>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 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w:t>
      </w: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2.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723809095"/>
          <w:placeholder>
            <w:docPart w:val="B4F4AE2318D04AF3B31938FED6327D2A"/>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本企业对上述声明内容的真实性负责。如有虚假，将依法承担相应责任。</w:t>
      </w:r>
      <w:r/>
    </w:p>
    <w:p>
      <w:pPr>
        <w:ind w:right="400"/>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400" w:firstLine="3780"/>
        <w:spacing w:line="360" w:lineRule="auto"/>
        <w:rPr>
          <w:rFonts w:hint="eastAsia" w:ascii="宋体" w:hAnsi="宋体" w:eastAsia="宋体" w:cs="宋体"/>
          <w:szCs w:val="21"/>
          <w:u w:val="single"/>
        </w:rPr>
      </w:pPr>
      <w:r>
        <w:rPr>
          <w:rFonts w:hint="eastAsia" w:ascii="宋体" w:hAnsi="宋体" w:eastAsia="宋体" w:cs="宋体"/>
          <w:position w:val="-2"/>
          <w:szCs w:val="21"/>
        </w:rPr>
        <w:t xml:space="preserve">企</w:t>
      </w:r>
      <w:r>
        <w:rPr>
          <w:rFonts w:hint="eastAsia" w:ascii="宋体" w:hAnsi="宋体" w:eastAsia="宋体" w:cs="宋体"/>
          <w:spacing w:val="3"/>
          <w:position w:val="-2"/>
          <w:szCs w:val="21"/>
        </w:rPr>
        <w:t xml:space="preserve">业</w:t>
      </w:r>
      <w:r>
        <w:rPr>
          <w:rFonts w:hint="eastAsia" w:ascii="宋体" w:hAnsi="宋体" w:eastAsia="宋体" w:cs="宋体"/>
          <w:position w:val="-2"/>
          <w:szCs w:val="21"/>
        </w:rPr>
        <w:t xml:space="preserve">名称</w:t>
      </w:r>
      <w:r>
        <w:rPr>
          <w:rFonts w:hint="eastAsia" w:ascii="宋体" w:hAnsi="宋体" w:eastAsia="宋体" w:cs="宋体"/>
          <w:spacing w:val="3"/>
          <w:position w:val="-2"/>
          <w:szCs w:val="21"/>
        </w:rPr>
        <w:t xml:space="preserve">（</w:t>
      </w:r>
      <w:r>
        <w:rPr>
          <w:rFonts w:hint="eastAsia" w:ascii="宋体" w:hAnsi="宋体" w:eastAsia="宋体" w:cs="宋体"/>
          <w:position w:val="-2"/>
          <w:szCs w:val="21"/>
        </w:rPr>
        <w:t xml:space="preserve">盖章</w:t>
      </w:r>
      <w:r>
        <w:rPr>
          <w:rFonts w:hint="eastAsia" w:ascii="宋体" w:hAnsi="宋体" w:eastAsia="宋体" w:cs="宋体"/>
          <w:spacing w:val="-158"/>
          <w:position w:val="-2"/>
          <w:szCs w:val="21"/>
        </w:rPr>
        <w:t xml:space="preserve">）</w:t>
      </w:r>
      <w:r>
        <w:rPr>
          <w:rFonts w:hint="eastAsia" w:ascii="宋体" w:hAnsi="宋体" w:eastAsia="宋体" w:cs="宋体"/>
          <w:position w:val="-2"/>
          <w:szCs w:val="21"/>
        </w:rPr>
        <w:t xml:space="preserve">  ： </w:t>
      </w:r>
      <w:r>
        <w:rPr>
          <w:rFonts w:hint="eastAsia" w:ascii="宋体" w:hAnsi="宋体" w:eastAsia="宋体" w:cs="宋体"/>
          <w:position w:val="-2"/>
          <w:szCs w:val="21"/>
          <w:u w:val="single"/>
        </w:rPr>
        <w:t xml:space="preserve">           </w:t>
      </w:r>
      <w:r/>
    </w:p>
    <w:p>
      <w:pPr>
        <w:ind w:right="420" w:firstLine="3780"/>
        <w:spacing w:line="360" w:lineRule="auto"/>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right="420" w:firstLine="4200"/>
        <w:jc w:val="center"/>
        <w:spacing w:line="360" w:lineRule="auto"/>
        <w:rPr>
          <w:rFonts w:hint="eastAsia" w:ascii="宋体" w:hAnsi="宋体" w:eastAsia="宋体" w:cs="宋体"/>
          <w:szCs w:val="21"/>
        </w:rPr>
      </w:pPr>
      <w:r>
        <w:rPr>
          <w:rFonts w:hint="eastAsia" w:ascii="宋体" w:hAnsi="宋体" w:eastAsia="宋体" w:cs="宋体"/>
          <w:szCs w:val="21"/>
        </w:rPr>
      </w:r>
      <w:r/>
    </w:p>
    <w:p>
      <w:pPr>
        <w:ind w:right="-20"/>
        <w:spacing w:line="360" w:lineRule="auto"/>
        <w:rPr>
          <w:rFonts w:hint="eastAsia" w:ascii="宋体" w:hAnsi="宋体" w:eastAsia="宋体" w:cs="宋体"/>
          <w:position w:val="-2"/>
          <w:szCs w:val="21"/>
        </w:rPr>
      </w:pP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从业人员、营业收入、资产总额填报上一年度数据，无上一年度数据的新成立企业可不填报。</w:t>
      </w:r>
      <w:r/>
    </w:p>
    <w:p>
      <w:pPr>
        <w:rPr>
          <w:rFonts w:hint="eastAsia" w:ascii="宋体" w:hAnsi="宋体" w:eastAsia="宋体" w:cs="宋体"/>
          <w:b/>
          <w:szCs w:val="21"/>
        </w:rPr>
      </w:pPr>
      <w:r>
        <w:rPr>
          <w:rFonts w:hint="eastAsia" w:ascii="宋体" w:hAnsi="宋体" w:eastAsia="宋体" w:cs="宋体"/>
          <w:b/>
          <w:szCs w:val="21"/>
        </w:rPr>
        <w:t xml:space="preserve">注：</w:t>
      </w:r>
      <w:r/>
    </w:p>
    <w:p>
      <w:pPr>
        <w:rPr>
          <w:rFonts w:hint="eastAsia" w:ascii="宋体" w:hAnsi="宋体" w:eastAsia="宋体" w:cs="宋体"/>
          <w:b/>
          <w:szCs w:val="21"/>
        </w:rPr>
      </w:pPr>
      <w:r>
        <w:rPr>
          <w:rFonts w:hint="eastAsia" w:ascii="宋体" w:hAnsi="宋体" w:eastAsia="宋体" w:cs="宋体"/>
          <w:b/>
          <w:szCs w:val="21"/>
        </w:rPr>
        <w:t xml:space="preserve">1. 本项目中小微企业划分标准为：</w:t>
      </w:r>
      <w:sdt>
        <w:sdtPr>
          <w15:appearance w15:val="boundingBox"/>
          <w:id w:val="87205353"/>
          <w:placeholder>
            <w:docPart w:val="7296247FCE8449A7B7E4D837AE62646D"/>
          </w:placeholder>
          <w:rPr>
            <w:rFonts w:hint="eastAsia" w:ascii="宋体" w:hAnsi="宋体" w:eastAsia="宋体" w:cs="宋体"/>
            <w:b/>
            <w:szCs w:val="21"/>
          </w:rPr>
        </w:sdtPr>
        <w:sdtContent>
          <w:r>
            <w:rPr>
              <w:rFonts w:hint="eastAsia" w:ascii="宋体" w:hAnsi="宋体" w:eastAsia="宋体"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eastAsia" w:ascii="宋体" w:hAnsi="宋体" w:eastAsia="宋体" w:cs="宋体"/>
        </w:rPr>
      </w:pPr>
      <w:r>
        <w:rPr>
          <w:rFonts w:hint="eastAsia" w:ascii="宋体" w:hAnsi="宋体" w:eastAsia="宋体"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1295"/>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监狱企业证明</w:t>
      </w:r>
      <w:r/>
    </w:p>
    <w:p>
      <w:pPr>
        <w:pStyle w:val="1295"/>
        <w:ind w:firstLine="48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295"/>
        <w:ind w:firstLine="40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295"/>
        <w:ind w:firstLine="198"/>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残疾人福利性单位声明函</w:t>
      </w:r>
      <w:r/>
    </w:p>
    <w:p>
      <w:pPr>
        <w:spacing w:line="276"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295"/>
        <w:ind w:firstLine="420"/>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295"/>
        <w:ind w:firstLine="420"/>
        <w:rPr>
          <w:rFonts w:hint="eastAsia" w:ascii="宋体" w:hAnsi="宋体" w:eastAsia="宋体" w:cs="宋体"/>
          <w:sz w:val="21"/>
          <w:szCs w:val="21"/>
        </w:rPr>
      </w:pPr>
      <w:r>
        <w:rPr>
          <w:rFonts w:hint="eastAsia" w:ascii="宋体" w:hAnsi="宋体" w:eastAsia="宋体" w:cs="宋体"/>
          <w:sz w:val="21"/>
          <w:szCs w:val="21"/>
        </w:rPr>
      </w:r>
      <w:r/>
    </w:p>
    <w:p>
      <w:pPr>
        <w:pStyle w:val="1295"/>
        <w:ind w:firstLine="420"/>
        <w:rPr>
          <w:rFonts w:hint="eastAsia" w:ascii="宋体" w:hAnsi="宋体" w:eastAsia="宋体" w:cs="宋体"/>
          <w:sz w:val="21"/>
          <w:szCs w:val="21"/>
        </w:rPr>
      </w:pPr>
      <w:r>
        <w:rPr>
          <w:rFonts w:hint="eastAsia" w:ascii="宋体" w:hAnsi="宋体" w:eastAsia="宋体" w:cs="宋体"/>
          <w:sz w:val="21"/>
          <w:szCs w:val="21"/>
        </w:rPr>
      </w:r>
      <w:r/>
    </w:p>
    <w:p>
      <w:pPr>
        <w:pStyle w:val="1295"/>
        <w:ind w:firstLine="420"/>
        <w:rPr>
          <w:rFonts w:hint="eastAsia" w:ascii="宋体" w:hAnsi="宋体" w:eastAsia="宋体" w:cs="宋体"/>
          <w:sz w:val="21"/>
          <w:szCs w:val="21"/>
        </w:rPr>
      </w:pPr>
      <w:r>
        <w:rPr>
          <w:rFonts w:hint="eastAsia" w:ascii="宋体" w:hAnsi="宋体" w:eastAsia="宋体" w:cs="宋体"/>
          <w:sz w:val="21"/>
          <w:szCs w:val="21"/>
        </w:rPr>
      </w:r>
      <w:r/>
    </w:p>
    <w:p>
      <w:pPr>
        <w:pStyle w:val="1295"/>
        <w:ind w:firstLine="3769"/>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bookmarkEnd w:id="426"/>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r>
      <w:r/>
    </w:p>
    <w:p>
      <w:pPr>
        <w:pStyle w:val="1295"/>
        <w:ind w:firstLine="164"/>
        <w:jc w:val="center"/>
        <w:rPr>
          <w:rFonts w:hint="eastAsia" w:ascii="宋体" w:hAnsi="宋体" w:eastAsia="宋体" w:cs="宋体"/>
          <w:szCs w:val="21"/>
        </w:rPr>
      </w:pPr>
      <w:r>
        <w:rPr>
          <w:rFonts w:hint="eastAsia" w:ascii="宋体" w:hAnsi="宋体" w:eastAsia="宋体" w:cs="宋体"/>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w:r/>
  </w:p>
  <w:p>
    <w:pPr>
      <w:pStyle w:val="10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3"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53"/>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105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105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rFonts w:hint="eastAsia"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p>
                      </w:txbxContent>
                    </wps:txbx>
                    <wps:bodyPr wrap="none" lIns="0" tIns="0" rIns="0" bIns="0" upright="1">
                      <a:spAutoFit/>
                    </wps:bodyPr>
                  </wps:wsp>
                </a:graphicData>
              </a:graphic>
            </wp:anchor>
          </w:drawing>
        </mc:Choice>
        <mc:Fallback>
          <w:pict>
            <v:shape id="shape 4" o:spid="_x0000_s4"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Fonts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3"/>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p>
                      </w:txbxContent>
                    </wps:txbx>
                    <wps:bodyPr wrap="none" lIns="0" tIns="0" rIns="0" bIns="0" upright="1">
                      <a:spAutoFit/>
                    </wps:bodyPr>
                  </wps:wsp>
                </a:graphicData>
              </a:graphic>
            </wp:anchor>
          </w:drawing>
        </mc:Choice>
        <mc:Fallback>
          <w:pict>
            <v:shape id="shape 5" o:spid="_x0000_s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1053"/>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53"/>
                          </w:pPr>
                          <w:r>
                            <w:fldChar w:fldCharType="begin"/>
                          </w:r>
                          <w:r>
                            <w:instrText xml:space="preserve"> PAGE  \* MERGEFORMAT </w:instrText>
                          </w:r>
                          <w:r>
                            <w:fldChar w:fldCharType="separate"/>
                          </w:r>
                          <w:r>
                            <w:rPr>
                              <w:lang w:val="en-US" w:eastAsia="zh-CN"/>
                            </w:rP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3"/>
                    </w:pPr>
                    <w:r>
                      <w:fldChar w:fldCharType="begin"/>
                    </w:r>
                    <w:r>
                      <w:instrText xml:space="preserve"> PAGE  \* MERGEFORMAT </w:instrText>
                    </w:r>
                    <w:r>
                      <w:fldChar w:fldCharType="separate"/>
                    </w:r>
                    <w:r>
                      <w:rPr>
                        <w:lang w:val="en-US" w:eastAsia="zh-CN"/>
                      </w:rPr>
                      <w:t xml:space="preserve">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53"/>
                          </w:pPr>
                          <w:r>
                            <w:fldChar w:fldCharType="begin"/>
                          </w:r>
                          <w:r>
                            <w:instrText xml:space="preserve"> PAGE  \* MERGEFORMAT </w:instrText>
                          </w:r>
                          <w:r>
                            <w:fldChar w:fldCharType="separate"/>
                          </w:r>
                          <w:r>
                            <w:rPr>
                              <w:lang w:val="en-US" w:eastAsia="zh-CN"/>
                            </w:rP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3"/>
                    </w:pPr>
                    <w:r>
                      <w:fldChar w:fldCharType="begin"/>
                    </w:r>
                    <w:r>
                      <w:instrText xml:space="preserve"> PAGE  \* MERGEFORMAT </w:instrText>
                    </w:r>
                    <w:r>
                      <w:fldChar w:fldCharType="separate"/>
                    </w:r>
                    <w:r>
                      <w:rPr>
                        <w:lang w:val="en-US" w:eastAsia="zh-CN"/>
                      </w:rP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1053"/>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outside" w:y="1"/>
    </w:pPr>
    <w:r>
      <w:rPr>
        <w:rStyle w:val="1071"/>
      </w:rPr>
      <w:fldChar w:fldCharType="begin"/>
    </w:r>
    <w:r>
      <w:rPr>
        <w:rStyle w:val="1071"/>
      </w:rPr>
      <w:instrText xml:space="preserve">PAGE  </w:instrText>
    </w:r>
    <w:r>
      <w:rPr>
        <w:rStyle w:val="1071"/>
      </w:rPr>
      <w:fldChar w:fldCharType="end"/>
    </w:r>
    <w:r/>
  </w:p>
  <w:p>
    <w:pPr>
      <w:pStyle w:val="1053"/>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54"/>
    </w:pPr>
    <w:r>
      <w:rPr>
        <w:rFonts w:hint="eastAsia" w:ascii="宋体" w:hAnsi="宋体" w:cs="宋体"/>
        <w:color w:val="000000"/>
        <w:sz w:val="22"/>
        <w:szCs w:val="22"/>
        <w:lang w:eastAsia="zh-CN"/>
      </w:rPr>
      <w:t xml:space="preserve">江苏省药品监督检验研究院2026年离子色谱仪等12台大型仪器运维服务采购项目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6432;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54"/>
    </w:pPr>
    <w:r>
      <w:rPr>
        <w:rFonts w:hint="eastAsia" w:ascii="宋体" w:hAnsi="宋体" w:cs="宋体"/>
        <w:color w:val="000000"/>
        <w:sz w:val="22"/>
        <w:szCs w:val="22"/>
        <w:lang w:eastAsia="zh-CN"/>
      </w:rPr>
      <w:t xml:space="preserve">江苏省药品监督检验研究院2026年离子色谱仪等12台大型仪器运维服务采购项目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315"/>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5"/>
  </w:num>
  <w:num w:numId="4">
    <w:abstractNumId w:val="6"/>
  </w:num>
  <w:num w:numId="5">
    <w:abstractNumId w:val="4"/>
  </w:num>
  <w:num w:numId="6">
    <w:abstractNumId w:val="3"/>
  </w:num>
  <w:num w:numId="7">
    <w:abstractNumId w:val="2"/>
  </w:num>
  <w:num w:numId="8">
    <w:abstractNumId w:val="11"/>
  </w:num>
  <w:num w:numId="9">
    <w:abstractNumId w:val="10"/>
  </w:num>
  <w:num w:numId="10">
    <w:abstractNumId w:val="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name w:val="Heading 1"/>
    <w:basedOn w:val="1025"/>
    <w:next w:val="1025"/>
    <w:link w:val="1252"/>
    <w:uiPriority w:val="0"/>
    <w:qFormat/>
    <w:pPr>
      <w:ind w:left="100" w:right="100"/>
      <w:keepLines/>
      <w:keepNext/>
      <w:spacing w:before="120" w:after="120"/>
      <w:outlineLvl w:val="0"/>
    </w:pPr>
    <w:rPr>
      <w:b/>
      <w:bCs/>
      <w:szCs w:val="44"/>
    </w:rPr>
  </w:style>
  <w:style w:type="paragraph" w:styleId="1027">
    <w:name w:val="Heading 2"/>
    <w:basedOn w:val="1025"/>
    <w:next w:val="1025"/>
    <w:link w:val="1251"/>
    <w:uiPriority w:val="0"/>
    <w:qFormat/>
    <w:pPr>
      <w:keepLines/>
      <w:keepNext/>
      <w:spacing w:before="260" w:after="260" w:line="416" w:lineRule="auto"/>
      <w:outlineLvl w:val="1"/>
    </w:pPr>
    <w:rPr>
      <w:rFonts w:ascii="等线 Light" w:hAnsi="等线 Light" w:eastAsia="等线 Light"/>
      <w:b/>
      <w:bCs/>
      <w:sz w:val="32"/>
      <w:szCs w:val="32"/>
    </w:rPr>
  </w:style>
  <w:style w:type="paragraph" w:styleId="1028">
    <w:name w:val="Heading 3"/>
    <w:basedOn w:val="1025"/>
    <w:next w:val="1025"/>
    <w:link w:val="1076"/>
    <w:uiPriority w:val="9"/>
    <w:qFormat/>
    <w:pPr>
      <w:keepLines/>
      <w:keepNext/>
      <w:spacing w:before="260" w:after="260" w:line="416" w:lineRule="auto"/>
      <w:outlineLvl w:val="2"/>
    </w:pPr>
    <w:rPr>
      <w:b/>
      <w:bCs/>
      <w:sz w:val="32"/>
      <w:szCs w:val="32"/>
    </w:rPr>
  </w:style>
  <w:style w:type="paragraph" w:styleId="1029">
    <w:name w:val="Heading 4"/>
    <w:basedOn w:val="1025"/>
    <w:next w:val="1025"/>
    <w:link w:val="1253"/>
    <w:uiPriority w:val="0"/>
    <w:qFormat/>
    <w:pPr>
      <w:keepLines/>
      <w:keepNext/>
      <w:spacing w:before="280" w:after="290" w:line="376" w:lineRule="auto"/>
      <w:outlineLvl w:val="3"/>
    </w:pPr>
    <w:rPr>
      <w:rFonts w:ascii="等线 Light" w:hAnsi="等线 Light" w:eastAsia="等线 Light"/>
      <w:b/>
      <w:bCs/>
      <w:sz w:val="28"/>
      <w:szCs w:val="28"/>
    </w:rPr>
  </w:style>
  <w:style w:type="paragraph" w:styleId="1030">
    <w:name w:val="Heading 5"/>
    <w:basedOn w:val="1025"/>
    <w:next w:val="1025"/>
    <w:link w:val="1109"/>
    <w:uiPriority w:val="9"/>
    <w:unhideWhenUsed/>
    <w:qFormat/>
    <w:pPr>
      <w:keepLines/>
      <w:keepNext/>
      <w:spacing w:before="320" w:after="200"/>
      <w:outlineLvl w:val="4"/>
    </w:pPr>
    <w:rPr>
      <w:rFonts w:ascii="Arial" w:hAnsi="Arial" w:eastAsia="Arial" w:cs="Arial"/>
      <w:b/>
      <w:bCs/>
      <w:sz w:val="24"/>
    </w:rPr>
  </w:style>
  <w:style w:type="paragraph" w:styleId="1031">
    <w:name w:val="Heading 6"/>
    <w:basedOn w:val="1025"/>
    <w:next w:val="1025"/>
    <w:link w:val="1254"/>
    <w:uiPriority w:val="0"/>
    <w:qFormat/>
    <w:pPr>
      <w:keepLines/>
      <w:keepNext/>
      <w:spacing w:before="240" w:after="64" w:line="320" w:lineRule="auto"/>
      <w:outlineLvl w:val="5"/>
    </w:pPr>
    <w:rPr>
      <w:rFonts w:ascii="等线 Light" w:hAnsi="等线 Light" w:eastAsia="等线 Light"/>
      <w:b/>
      <w:bCs/>
      <w:sz w:val="24"/>
    </w:rPr>
  </w:style>
  <w:style w:type="paragraph" w:styleId="1032">
    <w:name w:val="Heading 7"/>
    <w:basedOn w:val="1025"/>
    <w:next w:val="1025"/>
    <w:link w:val="1111"/>
    <w:uiPriority w:val="9"/>
    <w:unhideWhenUsed/>
    <w:qFormat/>
    <w:pPr>
      <w:keepLines/>
      <w:keepNext/>
      <w:spacing w:before="320" w:after="200"/>
      <w:outlineLvl w:val="6"/>
    </w:pPr>
    <w:rPr>
      <w:rFonts w:ascii="Arial" w:hAnsi="Arial" w:eastAsia="Arial" w:cs="Arial"/>
      <w:b/>
      <w:bCs/>
      <w:i/>
      <w:iCs/>
      <w:sz w:val="22"/>
      <w:szCs w:val="22"/>
    </w:rPr>
  </w:style>
  <w:style w:type="paragraph" w:styleId="1033">
    <w:name w:val="Heading 8"/>
    <w:basedOn w:val="1025"/>
    <w:next w:val="1025"/>
    <w:link w:val="1255"/>
    <w:uiPriority w:val="0"/>
    <w:qFormat/>
    <w:pPr>
      <w:keepLines/>
      <w:keepNext/>
      <w:spacing w:before="240" w:after="64" w:line="320" w:lineRule="auto"/>
      <w:outlineLvl w:val="7"/>
    </w:pPr>
    <w:rPr>
      <w:rFonts w:ascii="等线 Light" w:hAnsi="等线 Light" w:eastAsia="等线 Light"/>
      <w:sz w:val="24"/>
    </w:rPr>
  </w:style>
  <w:style w:type="paragraph" w:styleId="1034">
    <w:name w:val="Heading 9"/>
    <w:basedOn w:val="1025"/>
    <w:next w:val="1025"/>
    <w:link w:val="1113"/>
    <w:uiPriority w:val="9"/>
    <w:unhideWhenUsed/>
    <w:qFormat/>
    <w:pPr>
      <w:keepLines/>
      <w:keepNext/>
      <w:spacing w:before="320" w:after="200"/>
      <w:outlineLvl w:val="8"/>
    </w:pPr>
    <w:rPr>
      <w:rFonts w:ascii="Arial" w:hAnsi="Arial" w:eastAsia="Arial" w:cs="Arial"/>
      <w:i/>
      <w:iCs/>
      <w:szCs w:val="21"/>
    </w:rPr>
  </w:style>
  <w:style w:type="character" w:styleId="1035" w:default="1">
    <w:name w:val="Default Paragraph Font"/>
    <w:uiPriority w:val="1"/>
    <w:semiHidden/>
    <w:unhideWhenUsed/>
    <w:qFormat/>
  </w:style>
  <w:style w:type="table" w:styleId="1036" w:default="1">
    <w:name w:val="Normal Table"/>
    <w:uiPriority w:val="99"/>
    <w:semiHidden/>
    <w:unhideWhenUsed/>
    <w:qFormat/>
    <w:tblPr>
      <w:tblCellMar>
        <w:left w:w="108" w:type="dxa"/>
        <w:top w:w="0" w:type="dxa"/>
        <w:right w:w="108" w:type="dxa"/>
        <w:bottom w:w="0" w:type="dxa"/>
      </w:tblCellMar>
    </w:tblPr>
  </w:style>
  <w:style w:type="paragraph" w:styleId="1037">
    <w:name w:val="List 3"/>
    <w:basedOn w:val="1025"/>
    <w:uiPriority w:val="0"/>
    <w:qFormat/>
    <w:pPr>
      <w:contextualSpacing/>
      <w:ind w:left="100" w:hanging="200"/>
      <w:jc w:val="left"/>
      <w:widowControl/>
    </w:pPr>
    <w:rPr>
      <w:sz w:val="20"/>
      <w:szCs w:val="20"/>
    </w:rPr>
  </w:style>
  <w:style w:type="paragraph" w:styleId="1038">
    <w:name w:val="toc 7"/>
    <w:basedOn w:val="1025"/>
    <w:next w:val="1025"/>
    <w:uiPriority w:val="39"/>
    <w:unhideWhenUsed/>
    <w:qFormat/>
    <w:pPr>
      <w:ind w:left="1701"/>
      <w:spacing w:after="57"/>
    </w:pPr>
  </w:style>
  <w:style w:type="paragraph" w:styleId="1039">
    <w:name w:val="Normal Indent"/>
    <w:basedOn w:val="1025"/>
    <w:link w:val="1257"/>
    <w:uiPriority w:val="99"/>
    <w:qFormat/>
    <w:pPr>
      <w:ind w:firstLine="420"/>
    </w:pPr>
    <w:rPr>
      <w:szCs w:val="20"/>
    </w:rPr>
  </w:style>
  <w:style w:type="paragraph" w:styleId="1040">
    <w:name w:val="Caption"/>
    <w:basedOn w:val="1025"/>
    <w:next w:val="102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041">
    <w:name w:val="Document Map"/>
    <w:basedOn w:val="1025"/>
    <w:link w:val="1258"/>
    <w:uiPriority w:val="0"/>
    <w:qFormat/>
    <w:pPr>
      <w:shd w:val="clear" w:color="auto" w:fill="000080"/>
    </w:pPr>
  </w:style>
  <w:style w:type="paragraph" w:styleId="1042">
    <w:name w:val="annotation text"/>
    <w:basedOn w:val="1025"/>
    <w:link w:val="1259"/>
    <w:uiPriority w:val="0"/>
    <w:qFormat/>
    <w:pPr>
      <w:jc w:val="left"/>
    </w:pPr>
  </w:style>
  <w:style w:type="paragraph" w:styleId="1043">
    <w:name w:val="Body Text"/>
    <w:basedOn w:val="1025"/>
    <w:next w:val="1025"/>
    <w:link w:val="1260"/>
    <w:uiPriority w:val="1"/>
    <w:qFormat/>
    <w:pPr>
      <w:spacing w:after="120"/>
    </w:pPr>
  </w:style>
  <w:style w:type="paragraph" w:styleId="1044">
    <w:name w:val="Body Text Indent"/>
    <w:basedOn w:val="1025"/>
    <w:uiPriority w:val="0"/>
    <w:qFormat/>
    <w:pPr>
      <w:ind w:left="420"/>
      <w:spacing w:after="120"/>
    </w:pPr>
  </w:style>
  <w:style w:type="paragraph" w:styleId="1045">
    <w:name w:val="index 4"/>
    <w:basedOn w:val="1025"/>
    <w:next w:val="1025"/>
    <w:uiPriority w:val="99"/>
    <w:unhideWhenUsed/>
    <w:qFormat/>
    <w:pPr>
      <w:ind w:left="600"/>
    </w:pPr>
    <w:rPr>
      <w:rFonts w:ascii="宋体"/>
      <w:b/>
      <w:position w:val="-10"/>
      <w:sz w:val="24"/>
      <w:szCs w:val="20"/>
    </w:rPr>
  </w:style>
  <w:style w:type="paragraph" w:styleId="1046">
    <w:name w:val="toc 5"/>
    <w:basedOn w:val="1025"/>
    <w:next w:val="1025"/>
    <w:uiPriority w:val="39"/>
    <w:unhideWhenUsed/>
    <w:qFormat/>
    <w:pPr>
      <w:ind w:left="1134"/>
      <w:spacing w:after="57"/>
    </w:pPr>
  </w:style>
  <w:style w:type="paragraph" w:styleId="1047">
    <w:name w:val="toc 3"/>
    <w:basedOn w:val="1025"/>
    <w:next w:val="1025"/>
    <w:uiPriority w:val="39"/>
    <w:unhideWhenUsed/>
    <w:qFormat/>
    <w:pPr>
      <w:ind w:left="567"/>
      <w:spacing w:after="57"/>
    </w:pPr>
  </w:style>
  <w:style w:type="paragraph" w:styleId="1048">
    <w:name w:val="Plain Text"/>
    <w:basedOn w:val="1025"/>
    <w:link w:val="1263"/>
    <w:uiPriority w:val="0"/>
    <w:qFormat/>
    <w:rPr>
      <w:rFonts w:ascii="宋体" w:hAnsi="Courier New" w:cs="Courier New"/>
      <w:szCs w:val="21"/>
    </w:rPr>
  </w:style>
  <w:style w:type="paragraph" w:styleId="1049">
    <w:name w:val="toc 8"/>
    <w:basedOn w:val="1025"/>
    <w:next w:val="1025"/>
    <w:uiPriority w:val="39"/>
    <w:unhideWhenUsed/>
    <w:qFormat/>
    <w:pPr>
      <w:ind w:left="1984"/>
      <w:spacing w:after="57"/>
    </w:pPr>
  </w:style>
  <w:style w:type="paragraph" w:styleId="1050">
    <w:name w:val="Date"/>
    <w:basedOn w:val="1025"/>
    <w:next w:val="1025"/>
    <w:link w:val="1265"/>
    <w:uiPriority w:val="0"/>
    <w:qFormat/>
    <w:rPr>
      <w:sz w:val="24"/>
      <w:szCs w:val="20"/>
    </w:rPr>
  </w:style>
  <w:style w:type="paragraph" w:styleId="1051">
    <w:name w:val="endnote text"/>
    <w:basedOn w:val="1025"/>
    <w:link w:val="1249"/>
    <w:uiPriority w:val="99"/>
    <w:semiHidden/>
    <w:unhideWhenUsed/>
    <w:qFormat/>
    <w:rPr>
      <w:sz w:val="20"/>
    </w:rPr>
  </w:style>
  <w:style w:type="paragraph" w:styleId="1052">
    <w:name w:val="Balloon Text"/>
    <w:basedOn w:val="1025"/>
    <w:link w:val="1266"/>
    <w:uiPriority w:val="0"/>
    <w:qFormat/>
    <w:rPr>
      <w:sz w:val="18"/>
      <w:szCs w:val="18"/>
    </w:rPr>
  </w:style>
  <w:style w:type="paragraph" w:styleId="1053">
    <w:name w:val="Footer"/>
    <w:basedOn w:val="1025"/>
    <w:link w:val="1267"/>
    <w:uiPriority w:val="99"/>
    <w:qFormat/>
    <w:pPr>
      <w:jc w:val="left"/>
      <w:tabs>
        <w:tab w:val="center" w:pos="4153" w:leader="none"/>
        <w:tab w:val="right" w:pos="8306" w:leader="none"/>
      </w:tabs>
    </w:pPr>
    <w:rPr>
      <w:sz w:val="18"/>
      <w:szCs w:val="18"/>
    </w:rPr>
  </w:style>
  <w:style w:type="paragraph" w:styleId="1054">
    <w:name w:val="Header"/>
    <w:basedOn w:val="1025"/>
    <w:link w:val="1268"/>
    <w:uiPriority w:val="99"/>
    <w:qFormat/>
    <w:pPr>
      <w:jc w:val="center"/>
      <w:tabs>
        <w:tab w:val="center" w:pos="4153" w:leader="none"/>
        <w:tab w:val="right" w:pos="8306" w:leader="none"/>
      </w:tabs>
      <w:pBdr>
        <w:bottom w:val="single" w:color="auto" w:sz="6" w:space="1"/>
      </w:pBdr>
    </w:pPr>
    <w:rPr>
      <w:sz w:val="18"/>
      <w:szCs w:val="18"/>
    </w:rPr>
  </w:style>
  <w:style w:type="paragraph" w:styleId="1055">
    <w:name w:val="toc 1"/>
    <w:basedOn w:val="1025"/>
    <w:next w:val="1025"/>
    <w:uiPriority w:val="39"/>
    <w:semiHidden/>
    <w:unhideWhenUsed/>
    <w:qFormat/>
  </w:style>
  <w:style w:type="paragraph" w:styleId="1056">
    <w:name w:val="toc 4"/>
    <w:basedOn w:val="1025"/>
    <w:next w:val="1025"/>
    <w:uiPriority w:val="39"/>
    <w:unhideWhenUsed/>
    <w:qFormat/>
    <w:pPr>
      <w:ind w:left="850"/>
      <w:spacing w:after="57"/>
    </w:pPr>
  </w:style>
  <w:style w:type="paragraph" w:styleId="1057">
    <w:name w:val="Subtitle"/>
    <w:basedOn w:val="1025"/>
    <w:next w:val="1025"/>
    <w:link w:val="1115"/>
    <w:uiPriority w:val="11"/>
    <w:qFormat/>
    <w:pPr>
      <w:spacing w:before="200" w:after="200"/>
    </w:pPr>
    <w:rPr>
      <w:sz w:val="24"/>
    </w:rPr>
  </w:style>
  <w:style w:type="paragraph" w:styleId="1058">
    <w:name w:val="footnote text"/>
    <w:basedOn w:val="1025"/>
    <w:link w:val="1248"/>
    <w:uiPriority w:val="99"/>
    <w:semiHidden/>
    <w:unhideWhenUsed/>
    <w:qFormat/>
    <w:pPr>
      <w:spacing w:after="40"/>
    </w:pPr>
    <w:rPr>
      <w:sz w:val="18"/>
    </w:rPr>
  </w:style>
  <w:style w:type="paragraph" w:styleId="1059">
    <w:name w:val="toc 6"/>
    <w:basedOn w:val="1025"/>
    <w:next w:val="1025"/>
    <w:uiPriority w:val="39"/>
    <w:unhideWhenUsed/>
    <w:qFormat/>
    <w:pPr>
      <w:ind w:left="1417"/>
      <w:spacing w:after="57"/>
    </w:pPr>
  </w:style>
  <w:style w:type="paragraph" w:styleId="1060">
    <w:name w:val="table of figures"/>
    <w:basedOn w:val="1025"/>
    <w:next w:val="1025"/>
    <w:uiPriority w:val="99"/>
    <w:unhideWhenUsed/>
    <w:qFormat/>
  </w:style>
  <w:style w:type="paragraph" w:styleId="1061">
    <w:name w:val="toc 2"/>
    <w:basedOn w:val="1025"/>
    <w:next w:val="1025"/>
    <w:uiPriority w:val="99"/>
    <w:semiHidden/>
    <w:qFormat/>
    <w:pPr>
      <w:ind w:left="420"/>
    </w:pPr>
    <w:rPr>
      <w:rFonts w:eastAsia="楷体_GB2312"/>
      <w:sz w:val="26"/>
      <w:szCs w:val="26"/>
    </w:rPr>
  </w:style>
  <w:style w:type="paragraph" w:styleId="1062">
    <w:name w:val="toc 9"/>
    <w:basedOn w:val="1025"/>
    <w:next w:val="1025"/>
    <w:uiPriority w:val="39"/>
    <w:unhideWhenUsed/>
    <w:qFormat/>
    <w:pPr>
      <w:ind w:left="2268"/>
      <w:spacing w:after="57"/>
    </w:pPr>
  </w:style>
  <w:style w:type="paragraph" w:styleId="1063">
    <w:name w:val="Body Text 2"/>
    <w:basedOn w:val="1025"/>
    <w:link w:val="1274"/>
    <w:uiPriority w:val="0"/>
    <w:qFormat/>
    <w:pPr>
      <w:spacing w:after="120" w:line="480" w:lineRule="auto"/>
    </w:pPr>
    <w:rPr>
      <w:rFonts w:ascii="Calibri" w:hAnsi="Calibri"/>
    </w:rPr>
  </w:style>
  <w:style w:type="paragraph" w:styleId="1064">
    <w:name w:val="Normal (Web)"/>
    <w:basedOn w:val="1025"/>
    <w:uiPriority w:val="99"/>
    <w:qFormat/>
    <w:pPr>
      <w:jc w:val="left"/>
      <w:spacing w:before="100" w:beforeAutospacing="1" w:after="100" w:afterAutospacing="1"/>
      <w:widowControl/>
    </w:pPr>
    <w:rPr>
      <w:sz w:val="24"/>
    </w:rPr>
  </w:style>
  <w:style w:type="paragraph" w:styleId="1065">
    <w:name w:val="Title"/>
    <w:basedOn w:val="1025"/>
    <w:next w:val="1025"/>
    <w:link w:val="1275"/>
    <w:uiPriority w:val="0"/>
    <w:qFormat/>
    <w:pPr>
      <w:jc w:val="center"/>
      <w:spacing w:before="240" w:after="60"/>
      <w:outlineLvl w:val="0"/>
    </w:pPr>
    <w:rPr>
      <w:rFonts w:ascii="等线 Light" w:hAnsi="等线 Light"/>
      <w:b/>
      <w:bCs/>
      <w:sz w:val="32"/>
      <w:szCs w:val="32"/>
    </w:rPr>
  </w:style>
  <w:style w:type="paragraph" w:styleId="1066">
    <w:name w:val="annotation subject"/>
    <w:basedOn w:val="1042"/>
    <w:next w:val="1042"/>
    <w:link w:val="1276"/>
    <w:uiPriority w:val="0"/>
    <w:qFormat/>
    <w:rPr>
      <w:b/>
      <w:bCs/>
    </w:rPr>
  </w:style>
  <w:style w:type="paragraph" w:styleId="1067">
    <w:name w:val="Body Text First Indent"/>
    <w:basedOn w:val="1043"/>
    <w:uiPriority w:val="0"/>
    <w:qFormat/>
    <w:pPr>
      <w:ind w:firstLine="420"/>
      <w:spacing w:line="360" w:lineRule="auto"/>
    </w:pPr>
    <w:rPr>
      <w:szCs w:val="21"/>
    </w:rPr>
  </w:style>
  <w:style w:type="table" w:styleId="1068">
    <w:name w:val="Table Grid"/>
    <w:basedOn w:val="10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9">
    <w:name w:val="Strong"/>
    <w:basedOn w:val="1035"/>
    <w:uiPriority w:val="0"/>
    <w:qFormat/>
    <w:rPr>
      <w:b/>
      <w:bCs/>
    </w:rPr>
  </w:style>
  <w:style w:type="character" w:styleId="1070">
    <w:name w:val="endnote reference"/>
    <w:basedOn w:val="1035"/>
    <w:uiPriority w:val="99"/>
    <w:semiHidden/>
    <w:unhideWhenUsed/>
    <w:qFormat/>
    <w:rPr>
      <w:vertAlign w:val="superscript"/>
    </w:rPr>
  </w:style>
  <w:style w:type="character" w:styleId="1071">
    <w:name w:val="page number"/>
    <w:uiPriority w:val="0"/>
    <w:qFormat/>
  </w:style>
  <w:style w:type="character" w:styleId="1072">
    <w:name w:val="Emphasis"/>
    <w:uiPriority w:val="0"/>
    <w:qFormat/>
    <w:rPr>
      <w:i/>
      <w:iCs/>
    </w:rPr>
  </w:style>
  <w:style w:type="character" w:styleId="1073">
    <w:name w:val="Hyperlink"/>
    <w:uiPriority w:val="99"/>
    <w:qFormat/>
    <w:rPr>
      <w:color w:val="auto"/>
      <w:u w:val="none"/>
    </w:rPr>
  </w:style>
  <w:style w:type="character" w:styleId="1074">
    <w:name w:val="annotation reference"/>
    <w:uiPriority w:val="0"/>
    <w:qFormat/>
    <w:rPr>
      <w:sz w:val="21"/>
      <w:szCs w:val="21"/>
    </w:rPr>
  </w:style>
  <w:style w:type="character" w:styleId="1075">
    <w:name w:val="footnote reference"/>
    <w:basedOn w:val="1035"/>
    <w:uiPriority w:val="99"/>
    <w:unhideWhenUsed/>
    <w:qFormat/>
    <w:rPr>
      <w:vertAlign w:val="superscript"/>
    </w:rPr>
  </w:style>
  <w:style w:type="character" w:styleId="1076" w:customStyle="1">
    <w:name w:val="标题 3 字符"/>
    <w:link w:val="1028"/>
    <w:uiPriority w:val="9"/>
    <w:qFormat/>
    <w:rPr>
      <w:rFonts w:eastAsia="宋体"/>
      <w:b/>
      <w:bCs/>
      <w:sz w:val="32"/>
      <w:szCs w:val="32"/>
      <w:lang w:val="en-US" w:eastAsia="zh-CN" w:bidi="ar-SA"/>
    </w:rPr>
  </w:style>
  <w:style w:type="character" w:styleId="1077" w:customStyle="1">
    <w:name w:val="Heading 5 Char"/>
    <w:basedOn w:val="1035"/>
    <w:uiPriority w:val="9"/>
    <w:qFormat/>
    <w:rPr>
      <w:rFonts w:ascii="Arial" w:hAnsi="Arial" w:eastAsia="Arial" w:cs="Arial"/>
      <w:b/>
      <w:bCs/>
      <w:sz w:val="24"/>
      <w:szCs w:val="24"/>
    </w:rPr>
  </w:style>
  <w:style w:type="character" w:styleId="1078" w:customStyle="1">
    <w:name w:val="Heading 7 Char"/>
    <w:basedOn w:val="1035"/>
    <w:uiPriority w:val="9"/>
    <w:qFormat/>
    <w:rPr>
      <w:rFonts w:ascii="Arial" w:hAnsi="Arial" w:eastAsia="Arial" w:cs="Arial"/>
      <w:b/>
      <w:bCs/>
      <w:i/>
      <w:iCs/>
      <w:sz w:val="22"/>
      <w:szCs w:val="22"/>
    </w:rPr>
  </w:style>
  <w:style w:type="character" w:styleId="1079" w:customStyle="1">
    <w:name w:val="Heading 9 Char"/>
    <w:basedOn w:val="1035"/>
    <w:uiPriority w:val="9"/>
    <w:qFormat/>
    <w:rPr>
      <w:rFonts w:ascii="Arial" w:hAnsi="Arial" w:eastAsia="Arial" w:cs="Arial"/>
      <w:i/>
      <w:iCs/>
      <w:sz w:val="21"/>
      <w:szCs w:val="21"/>
    </w:rPr>
  </w:style>
  <w:style w:type="character" w:styleId="1080" w:customStyle="1">
    <w:name w:val="Subtitle Char"/>
    <w:basedOn w:val="1035"/>
    <w:uiPriority w:val="11"/>
    <w:qFormat/>
    <w:rPr>
      <w:sz w:val="24"/>
      <w:szCs w:val="24"/>
    </w:rPr>
  </w:style>
  <w:style w:type="character" w:styleId="1081" w:customStyle="1">
    <w:name w:val="Quote Char"/>
    <w:uiPriority w:val="29"/>
    <w:qFormat/>
    <w:rPr>
      <w:i/>
    </w:rPr>
  </w:style>
  <w:style w:type="character" w:styleId="1082" w:customStyle="1">
    <w:name w:val="Intense Quote Char"/>
    <w:uiPriority w:val="30"/>
    <w:qFormat/>
    <w:rPr>
      <w:i/>
    </w:rPr>
  </w:style>
  <w:style w:type="table" w:styleId="1083" w:customStyle="1">
    <w:name w:val="Plain Table 1"/>
    <w:basedOn w:val="10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Plain Table 2"/>
    <w:basedOn w:val="10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5" w:customStyle="1">
    <w:name w:val="Plain Table 3"/>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6" w:customStyle="1">
    <w:name w:val="Plain Table 4"/>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7" w:customStyle="1">
    <w:name w:val="Plain Table 5"/>
    <w:basedOn w:val="10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8" w:customStyle="1">
    <w:name w:val="Grid Table 1 Light"/>
    <w:basedOn w:val="10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9" w:customStyle="1">
    <w:name w:val="Grid Table 2"/>
    <w:basedOn w:val="10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0" w:customStyle="1">
    <w:name w:val="Grid Table 3"/>
    <w:basedOn w:val="10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4"/>
    <w:basedOn w:val="10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2" w:customStyle="1">
    <w:name w:val="Grid Table 5 Dark"/>
    <w:basedOn w:val="10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Grid Table 6 Colorful"/>
    <w:basedOn w:val="10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Grid Table 7 Colorful"/>
    <w:basedOn w:val="10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List Table 1 Light"/>
    <w:basedOn w:val="10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6" w:customStyle="1">
    <w:name w:val="List Table 2"/>
    <w:basedOn w:val="10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7" w:customStyle="1">
    <w:name w:val="List Table 3"/>
    <w:basedOn w:val="10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w:basedOn w:val="10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5 Dark"/>
    <w:basedOn w:val="10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10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7 Colorful"/>
    <w:basedOn w:val="10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02" w:customStyle="1">
    <w:name w:val="Footnote Text Char"/>
    <w:uiPriority w:val="99"/>
    <w:qFormat/>
    <w:rPr>
      <w:sz w:val="18"/>
    </w:rPr>
  </w:style>
  <w:style w:type="character" w:styleId="1103" w:customStyle="1">
    <w:name w:val="Endnote Text Char"/>
    <w:uiPriority w:val="99"/>
    <w:qFormat/>
    <w:rPr>
      <w:sz w:val="20"/>
    </w:rPr>
  </w:style>
  <w:style w:type="paragraph" w:styleId="1104" w:customStyle="1">
    <w:name w:val="TOC Heading"/>
    <w:uiPriority w:val="39"/>
    <w:unhideWhenUsed/>
    <w:qFormat/>
    <w:rPr>
      <w:rFonts w:hint="default" w:ascii="Times New Roman" w:hAnsi="Times New Roman" w:eastAsia="宋体" w:cs="Times New Roman"/>
    </w:rPr>
  </w:style>
  <w:style w:type="character" w:styleId="1105" w:customStyle="1">
    <w:name w:val="Heading 1 Char"/>
    <w:basedOn w:val="1035"/>
    <w:uiPriority w:val="9"/>
    <w:qFormat/>
    <w:rPr>
      <w:rFonts w:ascii="Arial" w:hAnsi="Arial" w:eastAsia="Arial" w:cs="Arial"/>
      <w:sz w:val="40"/>
      <w:szCs w:val="40"/>
    </w:rPr>
  </w:style>
  <w:style w:type="character" w:styleId="1106" w:customStyle="1">
    <w:name w:val="Heading 2 Char"/>
    <w:basedOn w:val="1035"/>
    <w:uiPriority w:val="9"/>
    <w:qFormat/>
    <w:rPr>
      <w:rFonts w:ascii="Arial" w:hAnsi="Arial" w:eastAsia="Arial" w:cs="Arial"/>
      <w:sz w:val="34"/>
    </w:rPr>
  </w:style>
  <w:style w:type="character" w:styleId="1107" w:customStyle="1">
    <w:name w:val="Heading 3 Char"/>
    <w:basedOn w:val="1035"/>
    <w:uiPriority w:val="9"/>
    <w:qFormat/>
    <w:rPr>
      <w:rFonts w:ascii="Arial" w:hAnsi="Arial" w:eastAsia="Arial" w:cs="Arial"/>
      <w:sz w:val="30"/>
      <w:szCs w:val="30"/>
    </w:rPr>
  </w:style>
  <w:style w:type="character" w:styleId="1108" w:customStyle="1">
    <w:name w:val="Heading 4 Char"/>
    <w:basedOn w:val="1035"/>
    <w:uiPriority w:val="9"/>
    <w:qFormat/>
    <w:rPr>
      <w:rFonts w:ascii="Arial" w:hAnsi="Arial" w:eastAsia="Arial" w:cs="Arial"/>
      <w:b/>
      <w:bCs/>
      <w:sz w:val="26"/>
      <w:szCs w:val="26"/>
    </w:rPr>
  </w:style>
  <w:style w:type="character" w:styleId="1109" w:customStyle="1">
    <w:name w:val="标题 5 字符"/>
    <w:basedOn w:val="1035"/>
    <w:link w:val="1030"/>
    <w:uiPriority w:val="9"/>
    <w:qFormat/>
    <w:rPr>
      <w:rFonts w:ascii="Arial" w:hAnsi="Arial" w:eastAsia="Arial" w:cs="Arial"/>
      <w:b/>
      <w:bCs/>
      <w:sz w:val="24"/>
      <w:szCs w:val="24"/>
    </w:rPr>
  </w:style>
  <w:style w:type="character" w:styleId="1110" w:customStyle="1">
    <w:name w:val="Heading 6 Char"/>
    <w:basedOn w:val="1035"/>
    <w:uiPriority w:val="9"/>
    <w:qFormat/>
    <w:rPr>
      <w:rFonts w:ascii="Arial" w:hAnsi="Arial" w:eastAsia="Arial" w:cs="Arial"/>
      <w:b/>
      <w:bCs/>
      <w:sz w:val="22"/>
      <w:szCs w:val="22"/>
    </w:rPr>
  </w:style>
  <w:style w:type="character" w:styleId="1111" w:customStyle="1">
    <w:name w:val="标题 7 字符"/>
    <w:basedOn w:val="1035"/>
    <w:link w:val="1032"/>
    <w:uiPriority w:val="9"/>
    <w:qFormat/>
    <w:rPr>
      <w:rFonts w:ascii="Arial" w:hAnsi="Arial" w:eastAsia="Arial" w:cs="Arial"/>
      <w:b/>
      <w:bCs/>
      <w:i/>
      <w:iCs/>
      <w:sz w:val="22"/>
      <w:szCs w:val="22"/>
    </w:rPr>
  </w:style>
  <w:style w:type="character" w:styleId="1112" w:customStyle="1">
    <w:name w:val="Heading 8 Char"/>
    <w:basedOn w:val="1035"/>
    <w:uiPriority w:val="9"/>
    <w:qFormat/>
    <w:rPr>
      <w:rFonts w:ascii="Arial" w:hAnsi="Arial" w:eastAsia="Arial" w:cs="Arial"/>
      <w:i/>
      <w:iCs/>
      <w:sz w:val="22"/>
      <w:szCs w:val="22"/>
    </w:rPr>
  </w:style>
  <w:style w:type="character" w:styleId="1113" w:customStyle="1">
    <w:name w:val="标题 9 字符"/>
    <w:basedOn w:val="1035"/>
    <w:link w:val="1034"/>
    <w:uiPriority w:val="9"/>
    <w:qFormat/>
    <w:rPr>
      <w:rFonts w:ascii="Arial" w:hAnsi="Arial" w:eastAsia="Arial" w:cs="Arial"/>
      <w:i/>
      <w:iCs/>
      <w:sz w:val="21"/>
      <w:szCs w:val="21"/>
    </w:rPr>
  </w:style>
  <w:style w:type="character" w:styleId="1114" w:customStyle="1">
    <w:name w:val="Title Char"/>
    <w:basedOn w:val="1035"/>
    <w:uiPriority w:val="10"/>
    <w:qFormat/>
    <w:rPr>
      <w:sz w:val="48"/>
      <w:szCs w:val="48"/>
    </w:rPr>
  </w:style>
  <w:style w:type="character" w:styleId="1115" w:customStyle="1">
    <w:name w:val="副标题 字符"/>
    <w:basedOn w:val="1035"/>
    <w:link w:val="1057"/>
    <w:uiPriority w:val="11"/>
    <w:qFormat/>
    <w:rPr>
      <w:sz w:val="24"/>
      <w:szCs w:val="24"/>
    </w:rPr>
  </w:style>
  <w:style w:type="paragraph" w:styleId="1116">
    <w:name w:val="Quote"/>
    <w:basedOn w:val="1025"/>
    <w:next w:val="1025"/>
    <w:link w:val="1117"/>
    <w:uiPriority w:val="29"/>
    <w:qFormat/>
    <w:pPr>
      <w:ind w:left="720" w:right="720"/>
    </w:pPr>
    <w:rPr>
      <w:i/>
    </w:rPr>
  </w:style>
  <w:style w:type="character" w:styleId="1117" w:customStyle="1">
    <w:name w:val="引用 字符"/>
    <w:link w:val="1116"/>
    <w:uiPriority w:val="29"/>
    <w:qFormat/>
    <w:rPr>
      <w:i/>
    </w:rPr>
  </w:style>
  <w:style w:type="paragraph" w:styleId="1118">
    <w:name w:val="Intense Quote"/>
    <w:basedOn w:val="1025"/>
    <w:next w:val="1025"/>
    <w:link w:val="11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9" w:customStyle="1">
    <w:name w:val="明显引用 字符"/>
    <w:link w:val="1118"/>
    <w:uiPriority w:val="30"/>
    <w:qFormat/>
    <w:rPr>
      <w:i/>
    </w:rPr>
  </w:style>
  <w:style w:type="character" w:styleId="1120" w:customStyle="1">
    <w:name w:val="Header Char"/>
    <w:basedOn w:val="1035"/>
    <w:uiPriority w:val="99"/>
    <w:qFormat/>
  </w:style>
  <w:style w:type="character" w:styleId="1121" w:customStyle="1">
    <w:name w:val="Footer Char"/>
    <w:basedOn w:val="1035"/>
    <w:uiPriority w:val="99"/>
    <w:qFormat/>
  </w:style>
  <w:style w:type="character" w:styleId="1122" w:customStyle="1">
    <w:name w:val="Caption Char"/>
    <w:uiPriority w:val="99"/>
    <w:qFormat/>
  </w:style>
  <w:style w:type="table" w:styleId="1123" w:customStyle="1">
    <w:name w:val="Table Grid Light"/>
    <w:basedOn w:val="10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4" w:customStyle="1">
    <w:name w:val="无格式表格 11"/>
    <w:basedOn w:val="10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5" w:customStyle="1">
    <w:name w:val="无格式表格 21"/>
    <w:basedOn w:val="10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6" w:customStyle="1">
    <w:name w:val="无格式表格 31"/>
    <w:basedOn w:val="10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7" w:customStyle="1">
    <w:name w:val="无格式表格 41"/>
    <w:basedOn w:val="10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8" w:customStyle="1">
    <w:name w:val="无格式表格 51"/>
    <w:basedOn w:val="10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9" w:customStyle="1">
    <w:name w:val="网格表 1 浅色1"/>
    <w:basedOn w:val="10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1"/>
    <w:basedOn w:val="10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2"/>
    <w:basedOn w:val="10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3"/>
    <w:basedOn w:val="10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4"/>
    <w:basedOn w:val="10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5"/>
    <w:basedOn w:val="10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6"/>
    <w:basedOn w:val="10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36" w:customStyle="1">
    <w:name w:val="网格表 21"/>
    <w:basedOn w:val="10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7" w:customStyle="1">
    <w:name w:val="Grid Table 2 - Accent 1"/>
    <w:basedOn w:val="10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38" w:customStyle="1">
    <w:name w:val="Grid Table 2 - Accent 2"/>
    <w:basedOn w:val="10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9" w:customStyle="1">
    <w:name w:val="Grid Table 2 - Accent 3"/>
    <w:basedOn w:val="10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40" w:customStyle="1">
    <w:name w:val="Grid Table 2 - Accent 4"/>
    <w:basedOn w:val="10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41" w:customStyle="1">
    <w:name w:val="Grid Table 2 - Accent 5"/>
    <w:basedOn w:val="10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42" w:customStyle="1">
    <w:name w:val="Grid Table 2 - Accent 6"/>
    <w:basedOn w:val="10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43" w:customStyle="1">
    <w:name w:val="网格表 31"/>
    <w:basedOn w:val="10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1"/>
    <w:basedOn w:val="10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2"/>
    <w:basedOn w:val="10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3"/>
    <w:basedOn w:val="10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4"/>
    <w:basedOn w:val="10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5"/>
    <w:basedOn w:val="10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6"/>
    <w:basedOn w:val="10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网格表 41"/>
    <w:basedOn w:val="10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1" w:customStyle="1">
    <w:name w:val="Grid Table 4 - Accent 1"/>
    <w:basedOn w:val="103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52" w:customStyle="1">
    <w:name w:val="Grid Table 4 - Accent 2"/>
    <w:basedOn w:val="10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53" w:customStyle="1">
    <w:name w:val="Grid Table 4 - Accent 3"/>
    <w:basedOn w:val="10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54" w:customStyle="1">
    <w:name w:val="Grid Table 4 - Accent 4"/>
    <w:basedOn w:val="10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55" w:customStyle="1">
    <w:name w:val="Grid Table 4 - Accent 5"/>
    <w:basedOn w:val="103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56" w:customStyle="1">
    <w:name w:val="Grid Table 4 - Accent 6"/>
    <w:basedOn w:val="10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7" w:customStyle="1">
    <w:name w:val="网格表 5 深色1"/>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8" w:customStyle="1">
    <w:name w:val="Grid Table 5 Dark- Accent 1"/>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59" w:customStyle="1">
    <w:name w:val="Grid Table 5 Dark - Accent 2"/>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60" w:customStyle="1">
    <w:name w:val="Grid Table 5 Dark - Accent 3"/>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61" w:customStyle="1">
    <w:name w:val="Grid Table 5 Dark- Accent 4"/>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62" w:customStyle="1">
    <w:name w:val="Grid Table 5 Dark - Accent 5"/>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63" w:customStyle="1">
    <w:name w:val="Grid Table 5 Dark - Accent 6"/>
    <w:basedOn w:val="10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64" w:customStyle="1">
    <w:name w:val="网格表 6 彩色1"/>
    <w:basedOn w:val="10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5" w:customStyle="1">
    <w:name w:val="Grid Table 6 Colorful - Accent 1"/>
    <w:basedOn w:val="103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166" w:customStyle="1">
    <w:name w:val="Grid Table 6 Colorful - Accent 2"/>
    <w:basedOn w:val="10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67" w:customStyle="1">
    <w:name w:val="Grid Table 6 Colorful - Accent 3"/>
    <w:basedOn w:val="10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68" w:customStyle="1">
    <w:name w:val="Grid Table 6 Colorful - Accent 4"/>
    <w:basedOn w:val="10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9" w:customStyle="1">
    <w:name w:val="Grid Table 6 Colorful - Accent 5"/>
    <w:basedOn w:val="103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70" w:customStyle="1">
    <w:name w:val="Grid Table 6 Colorful - Accent 6"/>
    <w:basedOn w:val="10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71" w:customStyle="1">
    <w:name w:val="网格表 7 彩色1"/>
    <w:basedOn w:val="10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2" w:customStyle="1">
    <w:name w:val="Grid Table 7 Colorful - Accent 1"/>
    <w:basedOn w:val="103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73" w:customStyle="1">
    <w:name w:val="Grid Table 7 Colorful - Accent 2"/>
    <w:basedOn w:val="10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4" w:customStyle="1">
    <w:name w:val="Grid Table 7 Colorful - Accent 3"/>
    <w:basedOn w:val="10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75" w:customStyle="1">
    <w:name w:val="Grid Table 7 Colorful - Accent 4"/>
    <w:basedOn w:val="10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6" w:customStyle="1">
    <w:name w:val="Grid Table 7 Colorful - Accent 5"/>
    <w:basedOn w:val="103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77" w:customStyle="1">
    <w:name w:val="Grid Table 7 Colorful - Accent 6"/>
    <w:basedOn w:val="10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8" w:customStyle="1">
    <w:name w:val="清单表 1 浅色1"/>
    <w:basedOn w:val="10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9" w:customStyle="1">
    <w:name w:val="List Table 1 Light - Accent 1"/>
    <w:basedOn w:val="103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80" w:customStyle="1">
    <w:name w:val="List Table 1 Light - Accent 2"/>
    <w:basedOn w:val="10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81" w:customStyle="1">
    <w:name w:val="List Table 1 Light - Accent 3"/>
    <w:basedOn w:val="10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82" w:customStyle="1">
    <w:name w:val="List Table 1 Light - Accent 4"/>
    <w:basedOn w:val="10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83" w:customStyle="1">
    <w:name w:val="List Table 1 Light - Accent 5"/>
    <w:basedOn w:val="103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84" w:customStyle="1">
    <w:name w:val="List Table 1 Light - Accent 6"/>
    <w:basedOn w:val="10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85" w:customStyle="1">
    <w:name w:val="清单表 21"/>
    <w:basedOn w:val="10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6" w:customStyle="1">
    <w:name w:val="List Table 2 - Accent 1"/>
    <w:basedOn w:val="103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87" w:customStyle="1">
    <w:name w:val="List Table 2 - Accent 2"/>
    <w:basedOn w:val="10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88" w:customStyle="1">
    <w:name w:val="List Table 2 - Accent 3"/>
    <w:basedOn w:val="10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89" w:customStyle="1">
    <w:name w:val="List Table 2 - Accent 4"/>
    <w:basedOn w:val="10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90" w:customStyle="1">
    <w:name w:val="List Table 2 - Accent 5"/>
    <w:basedOn w:val="103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91" w:customStyle="1">
    <w:name w:val="List Table 2 - Accent 6"/>
    <w:basedOn w:val="10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92" w:customStyle="1">
    <w:name w:val="清单表 31"/>
    <w:basedOn w:val="10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3" w:customStyle="1">
    <w:name w:val="List Table 3 - Accent 1"/>
    <w:basedOn w:val="103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94" w:customStyle="1">
    <w:name w:val="List Table 3 - Accent 2"/>
    <w:basedOn w:val="10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95" w:customStyle="1">
    <w:name w:val="List Table 3 - Accent 3"/>
    <w:basedOn w:val="10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96" w:customStyle="1">
    <w:name w:val="List Table 3 - Accent 4"/>
    <w:basedOn w:val="10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97" w:customStyle="1">
    <w:name w:val="List Table 3 - Accent 5"/>
    <w:basedOn w:val="103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98" w:customStyle="1">
    <w:name w:val="List Table 3 - Accent 6"/>
    <w:basedOn w:val="10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99" w:customStyle="1">
    <w:name w:val="清单表 41"/>
    <w:basedOn w:val="10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0" w:customStyle="1">
    <w:name w:val="List Table 4 - Accent 1"/>
    <w:basedOn w:val="103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01" w:customStyle="1">
    <w:name w:val="List Table 4 - Accent 2"/>
    <w:basedOn w:val="10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02" w:customStyle="1">
    <w:name w:val="List Table 4 - Accent 3"/>
    <w:basedOn w:val="10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03" w:customStyle="1">
    <w:name w:val="List Table 4 - Accent 4"/>
    <w:basedOn w:val="10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04" w:customStyle="1">
    <w:name w:val="List Table 4 - Accent 5"/>
    <w:basedOn w:val="103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05" w:customStyle="1">
    <w:name w:val="List Table 4 - Accent 6"/>
    <w:basedOn w:val="10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06" w:customStyle="1">
    <w:name w:val="清单表 5 深色1"/>
    <w:basedOn w:val="10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1"/>
    <w:basedOn w:val="103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2"/>
    <w:basedOn w:val="10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3"/>
    <w:basedOn w:val="10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4"/>
    <w:basedOn w:val="10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5"/>
    <w:basedOn w:val="103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6"/>
    <w:basedOn w:val="10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清单表 6 彩色1"/>
    <w:basedOn w:val="10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4" w:customStyle="1">
    <w:name w:val="List Table 6 Colorful - Accent 1"/>
    <w:basedOn w:val="103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15" w:customStyle="1">
    <w:name w:val="List Table 6 Colorful - Accent 2"/>
    <w:basedOn w:val="10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16" w:customStyle="1">
    <w:name w:val="List Table 6 Colorful - Accent 3"/>
    <w:basedOn w:val="10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17" w:customStyle="1">
    <w:name w:val="List Table 6 Colorful - Accent 4"/>
    <w:basedOn w:val="10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18" w:customStyle="1">
    <w:name w:val="List Table 6 Colorful - Accent 5"/>
    <w:basedOn w:val="103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19" w:customStyle="1">
    <w:name w:val="List Table 6 Colorful - Accent 6"/>
    <w:basedOn w:val="10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20" w:customStyle="1">
    <w:name w:val="清单表 7 彩色1"/>
    <w:basedOn w:val="10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1" w:customStyle="1">
    <w:name w:val="List Table 7 Colorful - Accent 1"/>
    <w:basedOn w:val="103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22" w:customStyle="1">
    <w:name w:val="List Table 7 Colorful - Accent 2"/>
    <w:basedOn w:val="10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3" w:customStyle="1">
    <w:name w:val="List Table 7 Colorful - Accent 3"/>
    <w:basedOn w:val="10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24" w:customStyle="1">
    <w:name w:val="List Table 7 Colorful - Accent 4"/>
    <w:basedOn w:val="10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5" w:customStyle="1">
    <w:name w:val="List Table 7 Colorful - Accent 5"/>
    <w:basedOn w:val="103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26" w:customStyle="1">
    <w:name w:val="List Table 7 Colorful - Accent 6"/>
    <w:basedOn w:val="10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27" w:customStyle="1">
    <w:name w:val="Lined - Accent"/>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Lined - Accent 1"/>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29" w:customStyle="1">
    <w:name w:val="Lined - Accent 2"/>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0" w:customStyle="1">
    <w:name w:val="Lined - Accent 3"/>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1" w:customStyle="1">
    <w:name w:val="Lined - Accent 4"/>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2" w:customStyle="1">
    <w:name w:val="Lined - Accent 5"/>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33" w:customStyle="1">
    <w:name w:val="Lined - Accent 6"/>
    <w:basedOn w:val="10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4" w:customStyle="1">
    <w:name w:val="Bordered &amp; Lined - Accent"/>
    <w:basedOn w:val="10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5" w:customStyle="1">
    <w:name w:val="Bordered &amp; Lined - Accent 1"/>
    <w:basedOn w:val="103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36" w:customStyle="1">
    <w:name w:val="Bordered &amp; Lined - Accent 2"/>
    <w:basedOn w:val="10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7" w:customStyle="1">
    <w:name w:val="Bordered &amp; Lined - Accent 3"/>
    <w:basedOn w:val="10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8" w:customStyle="1">
    <w:name w:val="Bordered &amp; Lined - Accent 4"/>
    <w:basedOn w:val="10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9" w:customStyle="1">
    <w:name w:val="Bordered &amp; Lined - Accent 5"/>
    <w:basedOn w:val="103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40" w:customStyle="1">
    <w:name w:val="Bordered &amp; Lined - Accent 6"/>
    <w:basedOn w:val="10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41" w:customStyle="1">
    <w:name w:val="Bordered"/>
    <w:basedOn w:val="10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2" w:customStyle="1">
    <w:name w:val="Bordered - Accent 1"/>
    <w:basedOn w:val="10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43" w:customStyle="1">
    <w:name w:val="Bordered - Accent 2"/>
    <w:basedOn w:val="10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44" w:customStyle="1">
    <w:name w:val="Bordered - Accent 3"/>
    <w:basedOn w:val="10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45" w:customStyle="1">
    <w:name w:val="Bordered - Accent 4"/>
    <w:basedOn w:val="10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46" w:customStyle="1">
    <w:name w:val="Bordered - Accent 5"/>
    <w:basedOn w:val="10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47" w:customStyle="1">
    <w:name w:val="Bordered - Accent 6"/>
    <w:basedOn w:val="10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48" w:customStyle="1">
    <w:name w:val="脚注文本 字符"/>
    <w:link w:val="1058"/>
    <w:uiPriority w:val="99"/>
    <w:qFormat/>
    <w:rPr>
      <w:sz w:val="18"/>
    </w:rPr>
  </w:style>
  <w:style w:type="character" w:styleId="1249" w:customStyle="1">
    <w:name w:val="尾注文本 字符"/>
    <w:link w:val="1051"/>
    <w:uiPriority w:val="99"/>
    <w:qFormat/>
    <w:rPr>
      <w:sz w:val="20"/>
    </w:rPr>
  </w:style>
  <w:style w:type="paragraph" w:styleId="1250" w:customStyle="1">
    <w:name w:val="TOC 标题1"/>
    <w:uiPriority w:val="39"/>
    <w:unhideWhenUsed/>
    <w:qFormat/>
    <w:rPr>
      <w:rFonts w:hint="default" w:ascii="Times New Roman" w:hAnsi="Times New Roman" w:eastAsia="宋体" w:cs="Times New Roman"/>
      <w:lang w:val="en-US" w:eastAsia="zh-CN" w:bidi="ar-SA"/>
    </w:rPr>
  </w:style>
  <w:style w:type="character" w:styleId="1251" w:customStyle="1">
    <w:name w:val="标题 2 字符"/>
    <w:link w:val="1027"/>
    <w:uiPriority w:val="0"/>
    <w:semiHidden/>
    <w:qFormat/>
    <w:rPr>
      <w:rFonts w:ascii="等线 Light" w:hAnsi="等线 Light" w:eastAsia="等线 Light" w:cs="Times New Roman"/>
      <w:b/>
      <w:bCs/>
      <w:sz w:val="32"/>
      <w:szCs w:val="32"/>
    </w:rPr>
  </w:style>
  <w:style w:type="character" w:styleId="1252" w:customStyle="1">
    <w:name w:val="标题 1 字符"/>
    <w:link w:val="1026"/>
    <w:uiPriority w:val="0"/>
    <w:qFormat/>
    <w:rPr>
      <w:b/>
      <w:bCs/>
      <w:sz w:val="21"/>
      <w:szCs w:val="44"/>
    </w:rPr>
  </w:style>
  <w:style w:type="character" w:styleId="1253" w:customStyle="1">
    <w:name w:val="标题 4 字符"/>
    <w:link w:val="1029"/>
    <w:uiPriority w:val="0"/>
    <w:semiHidden/>
    <w:qFormat/>
    <w:rPr>
      <w:rFonts w:ascii="等线 Light" w:hAnsi="等线 Light" w:eastAsia="等线 Light" w:cs="Times New Roman"/>
      <w:b/>
      <w:bCs/>
      <w:sz w:val="28"/>
      <w:szCs w:val="28"/>
    </w:rPr>
  </w:style>
  <w:style w:type="character" w:styleId="1254" w:customStyle="1">
    <w:name w:val="标题 6 字符"/>
    <w:link w:val="1031"/>
    <w:uiPriority w:val="0"/>
    <w:qFormat/>
    <w:rPr>
      <w:rFonts w:ascii="等线 Light" w:hAnsi="等线 Light" w:eastAsia="等线 Light" w:cs="Times New Roman"/>
      <w:b/>
      <w:bCs/>
      <w:sz w:val="24"/>
      <w:szCs w:val="24"/>
    </w:rPr>
  </w:style>
  <w:style w:type="character" w:styleId="1255" w:customStyle="1">
    <w:name w:val="标题 8 字符"/>
    <w:link w:val="1033"/>
    <w:uiPriority w:val="0"/>
    <w:semiHidden/>
    <w:qFormat/>
    <w:rPr>
      <w:rFonts w:ascii="等线 Light" w:hAnsi="等线 Light" w:eastAsia="等线 Light" w:cs="Times New Roman"/>
      <w:sz w:val="24"/>
      <w:szCs w:val="24"/>
    </w:rPr>
  </w:style>
  <w:style w:type="paragraph" w:styleId="1256" w:customStyle="1">
    <w:name w:val="目录 71"/>
    <w:basedOn w:val="1025"/>
    <w:next w:val="1025"/>
    <w:uiPriority w:val="39"/>
    <w:unhideWhenUsed/>
    <w:qFormat/>
    <w:pPr>
      <w:ind w:left="2520"/>
    </w:pPr>
    <w:rPr>
      <w:rFonts w:ascii="等线" w:hAnsi="等线" w:eastAsia="等线"/>
      <w:szCs w:val="22"/>
    </w:rPr>
  </w:style>
  <w:style w:type="character" w:styleId="1257" w:customStyle="1">
    <w:name w:val="正文缩进 字符"/>
    <w:link w:val="1039"/>
    <w:uiPriority w:val="0"/>
    <w:qFormat/>
    <w:rPr>
      <w:sz w:val="21"/>
    </w:rPr>
  </w:style>
  <w:style w:type="character" w:styleId="1258" w:customStyle="1">
    <w:name w:val="文档结构图 字符"/>
    <w:link w:val="1041"/>
    <w:uiPriority w:val="0"/>
    <w:qFormat/>
    <w:rPr>
      <w:sz w:val="21"/>
      <w:szCs w:val="24"/>
      <w:shd w:val="clear" w:color="auto" w:fill="000080"/>
    </w:rPr>
  </w:style>
  <w:style w:type="character" w:styleId="1259" w:customStyle="1">
    <w:name w:val="批注文字 字符"/>
    <w:link w:val="1042"/>
    <w:uiPriority w:val="0"/>
    <w:qFormat/>
    <w:rPr>
      <w:sz w:val="21"/>
      <w:szCs w:val="24"/>
    </w:rPr>
  </w:style>
  <w:style w:type="character" w:styleId="1260" w:customStyle="1">
    <w:name w:val="正文文本 字符"/>
    <w:link w:val="1043"/>
    <w:uiPriority w:val="1"/>
    <w:qFormat/>
    <w:rPr>
      <w:sz w:val="21"/>
      <w:szCs w:val="24"/>
    </w:rPr>
  </w:style>
  <w:style w:type="paragraph" w:styleId="1261" w:customStyle="1">
    <w:name w:val="目录 51"/>
    <w:basedOn w:val="1025"/>
    <w:next w:val="1025"/>
    <w:uiPriority w:val="39"/>
    <w:unhideWhenUsed/>
    <w:qFormat/>
    <w:pPr>
      <w:ind w:left="1680"/>
    </w:pPr>
    <w:rPr>
      <w:rFonts w:ascii="等线" w:hAnsi="等线" w:eastAsia="等线"/>
      <w:szCs w:val="22"/>
    </w:rPr>
  </w:style>
  <w:style w:type="paragraph" w:styleId="1262" w:customStyle="1">
    <w:name w:val="目录 31"/>
    <w:basedOn w:val="1025"/>
    <w:next w:val="1025"/>
    <w:uiPriority w:val="39"/>
    <w:unhideWhenUsed/>
    <w:qFormat/>
    <w:pPr>
      <w:ind w:left="440"/>
      <w:jc w:val="left"/>
      <w:spacing w:after="100" w:line="259" w:lineRule="auto"/>
      <w:widowControl/>
    </w:pPr>
    <w:rPr>
      <w:rFonts w:ascii="等线" w:hAnsi="等线" w:eastAsia="等线"/>
      <w:sz w:val="22"/>
      <w:szCs w:val="22"/>
    </w:rPr>
  </w:style>
  <w:style w:type="character" w:styleId="1263" w:customStyle="1">
    <w:name w:val="纯文本 字符"/>
    <w:link w:val="1048"/>
    <w:uiPriority w:val="0"/>
    <w:qFormat/>
    <w:rPr>
      <w:rFonts w:ascii="宋体" w:hAnsi="Courier New" w:cs="Courier New"/>
      <w:sz w:val="21"/>
      <w:szCs w:val="21"/>
    </w:rPr>
  </w:style>
  <w:style w:type="paragraph" w:styleId="1264" w:customStyle="1">
    <w:name w:val="目录 81"/>
    <w:basedOn w:val="1025"/>
    <w:next w:val="1025"/>
    <w:uiPriority w:val="39"/>
    <w:unhideWhenUsed/>
    <w:qFormat/>
    <w:pPr>
      <w:ind w:left="2940"/>
    </w:pPr>
    <w:rPr>
      <w:rFonts w:ascii="等线" w:hAnsi="等线" w:eastAsia="等线"/>
      <w:szCs w:val="22"/>
    </w:rPr>
  </w:style>
  <w:style w:type="character" w:styleId="1265" w:customStyle="1">
    <w:name w:val="日期 字符"/>
    <w:link w:val="1050"/>
    <w:uiPriority w:val="0"/>
    <w:qFormat/>
    <w:rPr>
      <w:sz w:val="24"/>
    </w:rPr>
  </w:style>
  <w:style w:type="character" w:styleId="1266" w:customStyle="1">
    <w:name w:val="批注框文本 字符"/>
    <w:link w:val="1052"/>
    <w:uiPriority w:val="0"/>
    <w:qFormat/>
    <w:rPr>
      <w:sz w:val="18"/>
      <w:szCs w:val="18"/>
    </w:rPr>
  </w:style>
  <w:style w:type="character" w:styleId="1267" w:customStyle="1">
    <w:name w:val="页脚 字符"/>
    <w:link w:val="1053"/>
    <w:uiPriority w:val="99"/>
    <w:qFormat/>
    <w:rPr>
      <w:sz w:val="18"/>
      <w:szCs w:val="18"/>
    </w:rPr>
  </w:style>
  <w:style w:type="character" w:styleId="1268" w:customStyle="1">
    <w:name w:val="页眉 字符"/>
    <w:link w:val="1054"/>
    <w:uiPriority w:val="99"/>
    <w:qFormat/>
    <w:rPr>
      <w:sz w:val="18"/>
      <w:szCs w:val="18"/>
    </w:rPr>
  </w:style>
  <w:style w:type="paragraph" w:styleId="1269" w:customStyle="1">
    <w:name w:val="目录 11"/>
    <w:basedOn w:val="1025"/>
    <w:next w:val="1025"/>
    <w:uiPriority w:val="39"/>
    <w:qFormat/>
    <w:rPr>
      <w:rFonts w:ascii="仿宋_GB2312" w:eastAsia="仿宋_GB2312"/>
      <w:sz w:val="24"/>
    </w:rPr>
  </w:style>
  <w:style w:type="paragraph" w:styleId="1270" w:customStyle="1">
    <w:name w:val="目录 41"/>
    <w:basedOn w:val="1025"/>
    <w:next w:val="1025"/>
    <w:uiPriority w:val="39"/>
    <w:unhideWhenUsed/>
    <w:qFormat/>
    <w:pPr>
      <w:ind w:left="1260"/>
    </w:pPr>
    <w:rPr>
      <w:rFonts w:ascii="等线" w:hAnsi="等线" w:eastAsia="等线"/>
      <w:szCs w:val="22"/>
    </w:rPr>
  </w:style>
  <w:style w:type="paragraph" w:styleId="1271" w:customStyle="1">
    <w:name w:val="目录 61"/>
    <w:basedOn w:val="1025"/>
    <w:next w:val="1025"/>
    <w:uiPriority w:val="39"/>
    <w:unhideWhenUsed/>
    <w:qFormat/>
    <w:pPr>
      <w:ind w:left="2100"/>
    </w:pPr>
    <w:rPr>
      <w:rFonts w:ascii="等线" w:hAnsi="等线" w:eastAsia="等线"/>
      <w:szCs w:val="22"/>
    </w:rPr>
  </w:style>
  <w:style w:type="paragraph" w:styleId="1272" w:customStyle="1">
    <w:name w:val="目录 21"/>
    <w:basedOn w:val="1025"/>
    <w:next w:val="1025"/>
    <w:uiPriority w:val="39"/>
    <w:unhideWhenUsed/>
    <w:qFormat/>
    <w:pPr>
      <w:ind w:left="220"/>
      <w:jc w:val="left"/>
      <w:spacing w:after="100" w:line="259" w:lineRule="auto"/>
      <w:widowControl/>
    </w:pPr>
    <w:rPr>
      <w:rFonts w:ascii="等线" w:hAnsi="等线" w:eastAsia="等线"/>
      <w:sz w:val="22"/>
      <w:szCs w:val="22"/>
    </w:rPr>
  </w:style>
  <w:style w:type="paragraph" w:styleId="1273" w:customStyle="1">
    <w:name w:val="目录 91"/>
    <w:basedOn w:val="1025"/>
    <w:next w:val="1025"/>
    <w:uiPriority w:val="39"/>
    <w:unhideWhenUsed/>
    <w:qFormat/>
    <w:pPr>
      <w:ind w:left="3360"/>
    </w:pPr>
    <w:rPr>
      <w:rFonts w:ascii="等线" w:hAnsi="等线" w:eastAsia="等线"/>
      <w:szCs w:val="22"/>
    </w:rPr>
  </w:style>
  <w:style w:type="character" w:styleId="1274" w:customStyle="1">
    <w:name w:val="正文文本 2 字符"/>
    <w:link w:val="1063"/>
    <w:uiPriority w:val="0"/>
    <w:qFormat/>
    <w:rPr>
      <w:rFonts w:ascii="Calibri" w:hAnsi="Calibri"/>
      <w:sz w:val="21"/>
      <w:szCs w:val="24"/>
    </w:rPr>
  </w:style>
  <w:style w:type="character" w:styleId="1275" w:customStyle="1">
    <w:name w:val="标题 字符"/>
    <w:link w:val="1065"/>
    <w:uiPriority w:val="0"/>
    <w:qFormat/>
    <w:rPr>
      <w:rFonts w:ascii="等线 Light" w:hAnsi="等线 Light" w:cs="Times New Roman"/>
      <w:b/>
      <w:bCs/>
      <w:sz w:val="32"/>
      <w:szCs w:val="32"/>
    </w:rPr>
  </w:style>
  <w:style w:type="character" w:styleId="1276" w:customStyle="1">
    <w:name w:val="批注主题 字符"/>
    <w:link w:val="1066"/>
    <w:uiPriority w:val="0"/>
    <w:qFormat/>
    <w:rPr>
      <w:b/>
      <w:bCs/>
      <w:sz w:val="21"/>
      <w:szCs w:val="24"/>
    </w:rPr>
  </w:style>
  <w:style w:type="character" w:styleId="1277" w:customStyle="1">
    <w:name w:val="p0 Char"/>
    <w:link w:val="1278"/>
    <w:uiPriority w:val="0"/>
    <w:qFormat/>
    <w:rPr>
      <w:rFonts w:eastAsia="宋体"/>
      <w:sz w:val="21"/>
      <w:szCs w:val="21"/>
      <w:lang w:val="en-US" w:eastAsia="zh-CN" w:bidi="ar-SA"/>
    </w:rPr>
  </w:style>
  <w:style w:type="paragraph" w:styleId="1278" w:customStyle="1">
    <w:name w:val="p0"/>
    <w:basedOn w:val="1025"/>
    <w:link w:val="1277"/>
    <w:uiPriority w:val="0"/>
    <w:qFormat/>
    <w:pPr>
      <w:widowControl/>
    </w:pPr>
    <w:rPr>
      <w:szCs w:val="21"/>
    </w:rPr>
  </w:style>
  <w:style w:type="character" w:styleId="1279" w:customStyle="1">
    <w:name w:val="标题 2 Char Char Char"/>
    <w:uiPriority w:val="0"/>
    <w:qFormat/>
    <w:rPr>
      <w:rFonts w:ascii="Arial" w:hAnsi="Arial" w:eastAsia="黑体"/>
      <w:b/>
      <w:bCs/>
      <w:sz w:val="32"/>
      <w:szCs w:val="32"/>
      <w:lang w:val="en-US" w:eastAsia="zh-CN" w:bidi="ar-SA"/>
    </w:rPr>
  </w:style>
  <w:style w:type="character" w:styleId="1280" w:customStyle="1">
    <w:name w:val="NormalCharacter"/>
    <w:uiPriority w:val="0"/>
    <w:semiHidden/>
    <w:qFormat/>
  </w:style>
  <w:style w:type="paragraph" w:styleId="1281" w:customStyle="1">
    <w:name w:val="标题 21"/>
    <w:basedOn w:val="1025"/>
    <w:next w:val="1025"/>
    <w:uiPriority w:val="0"/>
    <w:qFormat/>
    <w:pPr>
      <w:jc w:val="center"/>
      <w:keepNext/>
      <w:widowControl/>
    </w:pPr>
    <w:rPr>
      <w:rFonts w:ascii="楷体_GB2312" w:eastAsia="楷体_GB2312"/>
      <w:sz w:val="18"/>
      <w:szCs w:val="20"/>
    </w:rPr>
  </w:style>
  <w:style w:type="paragraph" w:styleId="1282" w:customStyle="1">
    <w:name w:val="TOC 标题11"/>
    <w:basedOn w:val="1026"/>
    <w:next w:val="102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28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样式1"/>
    <w:basedOn w:val="1026"/>
    <w:link w:val="1285"/>
    <w:uiPriority w:val="0"/>
    <w:qFormat/>
    <w:pPr>
      <w:ind w:left="210" w:right="210"/>
    </w:pPr>
  </w:style>
  <w:style w:type="character" w:styleId="1285" w:customStyle="1">
    <w:name w:val="样式1 字符"/>
    <w:link w:val="1284"/>
    <w:uiPriority w:val="0"/>
    <w:qFormat/>
  </w:style>
  <w:style w:type="paragraph" w:styleId="1286" w:customStyle="1">
    <w:name w:val="标题 211"/>
    <w:basedOn w:val="102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287" w:customStyle="1">
    <w:name w:val="列出段落1"/>
    <w:basedOn w:val="1025"/>
    <w:uiPriority w:val="1"/>
    <w:qFormat/>
    <w:pPr>
      <w:ind w:left="400" w:firstLine="420"/>
      <w:jc w:val="left"/>
    </w:pPr>
    <w:rPr>
      <w:rFonts w:ascii="宋体" w:hAnsi="宋体" w:cs="宋体"/>
      <w:sz w:val="22"/>
      <w:szCs w:val="22"/>
      <w:lang w:val="zh-CN" w:bidi="zh-CN"/>
    </w:rPr>
  </w:style>
  <w:style w:type="paragraph" w:styleId="1288" w:customStyle="1">
    <w:name w:val="Table Paragraph"/>
    <w:basedOn w:val="1025"/>
    <w:uiPriority w:val="1"/>
    <w:qFormat/>
    <w:pPr>
      <w:jc w:val="left"/>
    </w:pPr>
    <w:rPr>
      <w:rFonts w:ascii="宋体" w:hAnsi="宋体" w:cs="宋体"/>
      <w:sz w:val="22"/>
      <w:szCs w:val="22"/>
      <w:lang w:val="zh-CN" w:bidi="zh-CN"/>
    </w:rPr>
  </w:style>
  <w:style w:type="character" w:styleId="1289" w:customStyle="1">
    <w:name w:val="ask-title2"/>
    <w:uiPriority w:val="0"/>
    <w:qFormat/>
  </w:style>
  <w:style w:type="paragraph" w:styleId="1290" w:customStyle="1">
    <w:name w:val="列出段落2"/>
    <w:basedOn w:val="1025"/>
    <w:uiPriority w:val="99"/>
    <w:unhideWhenUsed/>
    <w:qFormat/>
    <w:pPr>
      <w:ind w:firstLine="420"/>
      <w:jc w:val="left"/>
    </w:pPr>
    <w:rPr>
      <w:rFonts w:ascii="宋体"/>
      <w:sz w:val="20"/>
      <w:szCs w:val="20"/>
    </w:rPr>
  </w:style>
  <w:style w:type="paragraph" w:styleId="1291" w:customStyle="1">
    <w:name w:val="纯文本1"/>
    <w:basedOn w:val="1025"/>
    <w:uiPriority w:val="0"/>
    <w:qFormat/>
    <w:rPr>
      <w:rFonts w:ascii="宋体" w:hAnsi="Courier New"/>
      <w:sz w:val="20"/>
      <w:szCs w:val="21"/>
    </w:rPr>
  </w:style>
  <w:style w:type="character" w:styleId="1292" w:customStyle="1">
    <w:name w:val="纯文本 Char2"/>
    <w:uiPriority w:val="0"/>
    <w:qFormat/>
    <w:rPr>
      <w:rFonts w:ascii="宋体" w:hAnsi="Courier New"/>
      <w:sz w:val="21"/>
    </w:rPr>
  </w:style>
  <w:style w:type="paragraph" w:styleId="1293" w:customStyle="1">
    <w:name w:val="列出段落11"/>
    <w:basedOn w:val="1025"/>
    <w:uiPriority w:val="0"/>
    <w:qFormat/>
    <w:pPr>
      <w:ind w:firstLine="420"/>
      <w:spacing w:line="0" w:lineRule="atLeast"/>
    </w:pPr>
    <w:rPr>
      <w:rFonts w:eastAsia="微软雅黑"/>
      <w:sz w:val="20"/>
      <w:szCs w:val="20"/>
    </w:rPr>
  </w:style>
  <w:style w:type="character" w:styleId="1294" w:customStyle="1">
    <w:name w:val="纯文本 Char"/>
    <w:link w:val="1295"/>
    <w:uiPriority w:val="0"/>
    <w:qFormat/>
    <w:rPr>
      <w:rFonts w:ascii="宋体" w:hAnsi="Courier New"/>
    </w:rPr>
  </w:style>
  <w:style w:type="paragraph" w:styleId="1295" w:customStyle="1">
    <w:name w:val="纯文本2"/>
    <w:basedOn w:val="1025"/>
    <w:link w:val="1294"/>
    <w:uiPriority w:val="0"/>
    <w:qFormat/>
    <w:pPr>
      <w:ind w:firstLine="200"/>
      <w:spacing w:line="360" w:lineRule="auto"/>
    </w:pPr>
    <w:rPr>
      <w:rFonts w:ascii="宋体" w:hAnsi="Courier New"/>
      <w:sz w:val="20"/>
      <w:szCs w:val="20"/>
    </w:rPr>
  </w:style>
  <w:style w:type="character" w:styleId="1296" w:customStyle="1">
    <w:name w:val="页脚 Char"/>
    <w:uiPriority w:val="0"/>
    <w:qFormat/>
    <w:rPr>
      <w:sz w:val="18"/>
      <w:szCs w:val="18"/>
    </w:rPr>
  </w:style>
  <w:style w:type="paragraph" w:styleId="1297" w:customStyle="1">
    <w:name w:val="_Style 83"/>
    <w:basedOn w:val="1025"/>
    <w:next w:val="1287"/>
    <w:uiPriority w:val="99"/>
    <w:qFormat/>
    <w:pPr>
      <w:ind w:firstLine="420"/>
    </w:pPr>
  </w:style>
  <w:style w:type="character" w:styleId="1298">
    <w:name w:val="Placeholder Text"/>
    <w:basedOn w:val="1035"/>
    <w:uiPriority w:val="99"/>
    <w:unhideWhenUsed/>
    <w:qFormat/>
    <w:rPr>
      <w:color w:val="808080"/>
    </w:rPr>
  </w:style>
  <w:style w:type="paragraph" w:styleId="1299" w:customStyle="1">
    <w:name w:val="pf0"/>
    <w:basedOn w:val="1025"/>
    <w:uiPriority w:val="0"/>
    <w:qFormat/>
    <w:pPr>
      <w:jc w:val="left"/>
      <w:spacing w:before="100" w:beforeAutospacing="1" w:after="100" w:afterAutospacing="1"/>
      <w:widowControl/>
    </w:pPr>
    <w:rPr>
      <w:rFonts w:ascii="宋体" w:hAnsi="宋体" w:cs="宋体"/>
      <w:sz w:val="24"/>
    </w:rPr>
  </w:style>
  <w:style w:type="character" w:styleId="1300" w:customStyle="1">
    <w:name w:val="cf01"/>
    <w:basedOn w:val="1035"/>
    <w:uiPriority w:val="0"/>
    <w:qFormat/>
    <w:rPr>
      <w:rFonts w:hint="eastAsia" w:ascii="Microsoft YaHei UI" w:hAnsi="Microsoft YaHei UI" w:eastAsia="Microsoft YaHei UI"/>
      <w:sz w:val="18"/>
      <w:szCs w:val="18"/>
    </w:rPr>
  </w:style>
  <w:style w:type="character" w:styleId="1301" w:customStyle="1">
    <w:name w:val="cf11"/>
    <w:basedOn w:val="1035"/>
    <w:uiPriority w:val="0"/>
    <w:qFormat/>
    <w:rPr>
      <w:rFonts w:hint="eastAsia" w:ascii="Microsoft YaHei UI" w:hAnsi="Microsoft YaHei UI" w:eastAsia="Microsoft YaHei UI"/>
      <w:sz w:val="18"/>
      <w:szCs w:val="18"/>
    </w:rPr>
  </w:style>
  <w:style w:type="paragraph" w:styleId="1302">
    <w:name w:val="List Paragraph"/>
    <w:basedOn w:val="1025"/>
    <w:uiPriority w:val="1"/>
    <w:qFormat/>
    <w:pPr>
      <w:ind w:firstLine="420"/>
    </w:pPr>
  </w:style>
  <w:style w:type="paragraph" w:styleId="1303" w:customStyle="1">
    <w:name w:val="标题1，章节第一层"/>
    <w:basedOn w:val="1025"/>
    <w:next w:val="102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304" w:customStyle="1">
    <w:name w:val="标准文本"/>
    <w:basedOn w:val="1025"/>
    <w:uiPriority w:val="0"/>
    <w:qFormat/>
    <w:pPr>
      <w:ind w:firstLine="480"/>
      <w:spacing w:line="360" w:lineRule="auto"/>
    </w:pPr>
    <w:rPr>
      <w:rFonts w:ascii="Calibri" w:hAnsi="Calibri" w:eastAsia="Calibri" w:cs="宋体"/>
      <w:sz w:val="24"/>
      <w:lang w:val="zh-CN"/>
    </w:rPr>
  </w:style>
  <w:style w:type="character" w:styleId="1305" w:customStyle="1">
    <w:name w:val="标准文本 Char Char"/>
    <w:uiPriority w:val="0"/>
    <w:qFormat/>
    <w:rPr>
      <w:rFonts w:eastAsia="宋体" w:cs="宋体"/>
      <w:sz w:val="24"/>
      <w:szCs w:val="24"/>
      <w:lang w:val="en-US" w:eastAsia="zh-CN" w:bidi="ar-SA"/>
    </w:rPr>
  </w:style>
  <w:style w:type="character" w:styleId="1306" w:customStyle="1">
    <w:name w:val="标准小四 Char Char"/>
    <w:uiPriority w:val="0"/>
    <w:qFormat/>
    <w:rPr>
      <w:rFonts w:ascii="Arial" w:hAnsi="Arial" w:eastAsia="宋体"/>
      <w:sz w:val="24"/>
      <w:szCs w:val="21"/>
      <w:lang w:val="en-US" w:eastAsia="zh-CN" w:bidi="ar-SA"/>
    </w:rPr>
  </w:style>
  <w:style w:type="character" w:styleId="1307" w:customStyle="1">
    <w:name w:val="标准文本 Char"/>
    <w:uiPriority w:val="0"/>
    <w:qFormat/>
    <w:rPr>
      <w:rFonts w:eastAsia="宋体" w:cs="宋体"/>
      <w:sz w:val="24"/>
      <w:szCs w:val="24"/>
      <w:lang w:val="en-US" w:eastAsia="zh-CN" w:bidi="ar-SA"/>
    </w:rPr>
  </w:style>
  <w:style w:type="character" w:styleId="1308" w:customStyle="1">
    <w:name w:val="未处理的提及1"/>
    <w:basedOn w:val="1035"/>
    <w:uiPriority w:val="99"/>
    <w:semiHidden/>
    <w:unhideWhenUsed/>
    <w:qFormat/>
    <w:rPr>
      <w:color w:val="605e5c"/>
      <w:shd w:val="clear" w:color="auto" w:fill="e1dfdd"/>
    </w:rPr>
  </w:style>
  <w:style w:type="paragraph" w:styleId="130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31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311"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312" w:customStyle="1">
    <w:name w:val="正文文本 21"/>
    <w:basedOn w:val="1025"/>
    <w:uiPriority w:val="0"/>
    <w:qFormat/>
    <w:pPr>
      <w:spacing w:after="120" w:line="480" w:lineRule="auto"/>
    </w:pPr>
    <w:rPr>
      <w:rFonts w:ascii="Calibri" w:hAnsi="Calibri"/>
    </w:rPr>
  </w:style>
  <w:style w:type="paragraph" w:styleId="1313" w:customStyle="1">
    <w:name w:val="索引 41"/>
    <w:basedOn w:val="1025"/>
    <w:next w:val="1025"/>
    <w:uiPriority w:val="99"/>
    <w:unhideWhenUsed/>
    <w:qFormat/>
    <w:pPr>
      <w:ind w:left="600"/>
    </w:pPr>
  </w:style>
  <w:style w:type="paragraph" w:styleId="1314" w:customStyle="1">
    <w:name w:val="Default"/>
    <w:uiPriority w:val="0"/>
    <w:unhideWhenUsed/>
    <w:qFormat/>
    <w:pPr>
      <w:spacing w:after="0" w:line="240" w:lineRule="auto"/>
      <w:widowControl w:val="off"/>
    </w:pPr>
    <w:rPr>
      <w:rFonts w:ascii="仿宋" w:hAnsi="仿宋" w:eastAsia="仿宋" w:cs="Times New Roman"/>
      <w:color w:val="000000"/>
      <w:sz w:val="24"/>
      <w:szCs w:val="20"/>
      <w:lang w:val="en-US" w:eastAsia="zh-CN" w:bidi="ar-SA"/>
      <w14:ligatures w14:val="none"/>
    </w:rPr>
  </w:style>
  <w:style w:type="paragraph" w:styleId="1315" w:customStyle="1">
    <w:name w:val="标题 5（有编号）（绿盟科技）"/>
    <w:next w:val="1025"/>
    <w:uiPriority w:val="0"/>
    <w:qFormat/>
    <w:pPr>
      <w:numPr>
        <w:ilvl w:val="4"/>
        <w:numId w:val="1"/>
      </w:numPr>
      <w:keepLines/>
      <w:keepNext/>
      <w:spacing w:before="280" w:after="156" w:line="377" w:lineRule="auto"/>
      <w:widowControl w:val="off"/>
      <w:outlineLvl w:val="4"/>
    </w:pPr>
    <w:rPr>
      <w:rFonts w:ascii="Arial" w:hAnsi="Arial" w:eastAsia="黑体" w:cs="Times New Roman"/>
      <w:b/>
      <w:sz w:val="24"/>
      <w:szCs w:val="28"/>
      <w:lang w:val="en-US" w:eastAsia="zh-CN" w:bidi="ar-SA"/>
      <w14:ligatures w14:val="none"/>
    </w:rPr>
  </w:style>
  <w:style w:type="paragraph" w:styleId="1316" w:customStyle="1">
    <w:name w:val="Normal_0_4"/>
    <w:uiPriority w:val="0"/>
    <w:qFormat/>
    <w:rPr>
      <w:rFonts w:ascii="Times New Roman" w:hAnsi="Times New Roman" w:eastAsia="Times New Roman" w:cs="Times New Roman"/>
      <w:sz w:val="24"/>
      <w:szCs w:val="24"/>
      <w:lang w:val="en-US" w:eastAsia="zh-CN" w:bidi="ar-SA"/>
    </w:rPr>
  </w:style>
  <w:style w:type="paragraph" w:styleId="1317" w:customStyle="1">
    <w:name w:val="WPSOffice手动目录 1"/>
    <w:uiPriority w:val="0"/>
    <w:rPr>
      <w:sz w:val="20"/>
      <w:szCs w:val="20"/>
    </w:rPr>
  </w:style>
  <w:style w:type="paragraph" w:styleId="1318" w:customStyle="1">
    <w:name w:val="WPSOffice手动目录 2"/>
    <w:uiPriority w:val="0"/>
    <w:rPr>
      <w:sz w:val="20"/>
      <w:szCs w:val="20"/>
    </w:rPr>
  </w:style>
  <w:style w:type="paragraph" w:styleId="1319" w:customStyle="1">
    <w:name w:val="WPSOffice手动目录 3"/>
    <w:uiPriority w:val="0"/>
    <w:rPr>
      <w:sz w:val="20"/>
      <w:szCs w:val="20"/>
    </w:rPr>
  </w:style>
  <w:style w:type="numbering" w:styleId="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986"/>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986"/>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987"/>
            <w:rPr>
              <w:rFonts w:hint="eastAsia"/>
            </w:rPr>
          </w:pPr>
          <w:r>
            <w:rPr>
              <w:rStyle w:val="1986"/>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988"/>
            <w:rPr>
              <w:rFonts w:hint="eastAsia"/>
            </w:rPr>
          </w:pPr>
          <w:r>
            <w:rPr>
              <w:rStyle w:val="1986"/>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986"/>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989"/>
            <w:rPr>
              <w:rFonts w:hint="eastAsia"/>
            </w:rPr>
          </w:pPr>
          <w:r>
            <w:rPr>
              <w:rStyle w:val="1986"/>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990"/>
            <w:rPr>
              <w:rFonts w:hint="eastAsia"/>
            </w:rPr>
          </w:pPr>
          <w:r>
            <w:rPr>
              <w:rStyle w:val="1986"/>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991"/>
            <w:rPr>
              <w:rFonts w:hint="eastAsia"/>
            </w:rPr>
          </w:pPr>
          <w:r>
            <w:rPr>
              <w:rStyle w:val="1986"/>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992"/>
            <w:rPr>
              <w:rFonts w:hint="eastAsia"/>
            </w:rPr>
          </w:pPr>
          <w:r>
            <w:rPr>
              <w:rStyle w:val="198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6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0">
    <w:name w:val="Heading 1"/>
    <w:basedOn w:val="1769"/>
    <w:next w:val="1769"/>
    <w:link w:val="1819"/>
    <w:uiPriority w:val="9"/>
    <w:qFormat/>
    <w:pPr>
      <w:keepLines/>
      <w:keepNext/>
      <w:spacing w:before="480" w:after="200"/>
      <w:outlineLvl w:val="0"/>
    </w:pPr>
    <w:rPr>
      <w:rFonts w:ascii="Arial" w:hAnsi="Arial" w:eastAsia="Arial" w:cs="Arial"/>
      <w:sz w:val="40"/>
      <w:szCs w:val="40"/>
    </w:rPr>
  </w:style>
  <w:style w:type="paragraph" w:styleId="1771">
    <w:name w:val="Heading 2"/>
    <w:basedOn w:val="1769"/>
    <w:next w:val="1769"/>
    <w:link w:val="1820"/>
    <w:uiPriority w:val="9"/>
    <w:unhideWhenUsed/>
    <w:qFormat/>
    <w:pPr>
      <w:keepLines/>
      <w:keepNext/>
      <w:spacing w:before="360" w:after="200"/>
      <w:outlineLvl w:val="1"/>
    </w:pPr>
    <w:rPr>
      <w:rFonts w:ascii="Arial" w:hAnsi="Arial" w:eastAsia="Arial" w:cs="Arial"/>
      <w:sz w:val="34"/>
    </w:rPr>
  </w:style>
  <w:style w:type="paragraph" w:styleId="1772">
    <w:name w:val="Heading 3"/>
    <w:basedOn w:val="1769"/>
    <w:next w:val="1769"/>
    <w:link w:val="1821"/>
    <w:uiPriority w:val="9"/>
    <w:unhideWhenUsed/>
    <w:qFormat/>
    <w:pPr>
      <w:keepLines/>
      <w:keepNext/>
      <w:spacing w:before="320" w:after="200"/>
      <w:outlineLvl w:val="2"/>
    </w:pPr>
    <w:rPr>
      <w:rFonts w:ascii="Arial" w:hAnsi="Arial" w:eastAsia="Arial" w:cs="Arial"/>
      <w:sz w:val="30"/>
      <w:szCs w:val="30"/>
    </w:rPr>
  </w:style>
  <w:style w:type="paragraph" w:styleId="1773">
    <w:name w:val="Heading 4"/>
    <w:basedOn w:val="1769"/>
    <w:next w:val="1769"/>
    <w:link w:val="1822"/>
    <w:uiPriority w:val="9"/>
    <w:unhideWhenUsed/>
    <w:qFormat/>
    <w:pPr>
      <w:keepLines/>
      <w:keepNext/>
      <w:spacing w:before="320" w:after="200"/>
      <w:outlineLvl w:val="3"/>
    </w:pPr>
    <w:rPr>
      <w:rFonts w:ascii="Arial" w:hAnsi="Arial" w:eastAsia="Arial" w:cs="Arial"/>
      <w:b/>
      <w:bCs/>
      <w:sz w:val="26"/>
      <w:szCs w:val="26"/>
    </w:rPr>
  </w:style>
  <w:style w:type="paragraph" w:styleId="1774">
    <w:name w:val="Heading 5"/>
    <w:basedOn w:val="1769"/>
    <w:next w:val="1769"/>
    <w:link w:val="1823"/>
    <w:uiPriority w:val="9"/>
    <w:unhideWhenUsed/>
    <w:qFormat/>
    <w:pPr>
      <w:keepLines/>
      <w:keepNext/>
      <w:spacing w:before="320" w:after="200"/>
      <w:outlineLvl w:val="4"/>
    </w:pPr>
    <w:rPr>
      <w:rFonts w:ascii="Arial" w:hAnsi="Arial" w:eastAsia="Arial" w:cs="Arial"/>
      <w:b/>
      <w:bCs/>
      <w:sz w:val="24"/>
      <w:szCs w:val="24"/>
    </w:rPr>
  </w:style>
  <w:style w:type="paragraph" w:styleId="1775">
    <w:name w:val="Heading 6"/>
    <w:basedOn w:val="1769"/>
    <w:next w:val="1769"/>
    <w:link w:val="1824"/>
    <w:uiPriority w:val="9"/>
    <w:unhideWhenUsed/>
    <w:qFormat/>
    <w:pPr>
      <w:keepLines/>
      <w:keepNext/>
      <w:spacing w:before="320" w:after="200"/>
      <w:outlineLvl w:val="5"/>
    </w:pPr>
    <w:rPr>
      <w:rFonts w:ascii="Arial" w:hAnsi="Arial" w:eastAsia="Arial" w:cs="Arial"/>
      <w:b/>
      <w:bCs/>
      <w:sz w:val="22"/>
    </w:rPr>
  </w:style>
  <w:style w:type="paragraph" w:styleId="1776">
    <w:name w:val="Heading 7"/>
    <w:basedOn w:val="1769"/>
    <w:next w:val="1769"/>
    <w:link w:val="1825"/>
    <w:uiPriority w:val="9"/>
    <w:unhideWhenUsed/>
    <w:qFormat/>
    <w:pPr>
      <w:keepLines/>
      <w:keepNext/>
      <w:spacing w:before="320" w:after="200"/>
      <w:outlineLvl w:val="6"/>
    </w:pPr>
    <w:rPr>
      <w:rFonts w:ascii="Arial" w:hAnsi="Arial" w:eastAsia="Arial" w:cs="Arial"/>
      <w:b/>
      <w:bCs/>
      <w:i/>
      <w:iCs/>
      <w:sz w:val="22"/>
    </w:rPr>
  </w:style>
  <w:style w:type="paragraph" w:styleId="1777">
    <w:name w:val="Heading 8"/>
    <w:basedOn w:val="1769"/>
    <w:next w:val="1769"/>
    <w:link w:val="1826"/>
    <w:uiPriority w:val="9"/>
    <w:unhideWhenUsed/>
    <w:qFormat/>
    <w:pPr>
      <w:keepLines/>
      <w:keepNext/>
      <w:spacing w:before="320" w:after="200"/>
      <w:outlineLvl w:val="7"/>
    </w:pPr>
    <w:rPr>
      <w:rFonts w:ascii="Arial" w:hAnsi="Arial" w:eastAsia="Arial" w:cs="Arial"/>
      <w:i/>
      <w:iCs/>
      <w:sz w:val="22"/>
    </w:rPr>
  </w:style>
  <w:style w:type="paragraph" w:styleId="1778">
    <w:name w:val="Heading 9"/>
    <w:basedOn w:val="1769"/>
    <w:next w:val="1769"/>
    <w:link w:val="1827"/>
    <w:uiPriority w:val="9"/>
    <w:unhideWhenUsed/>
    <w:qFormat/>
    <w:pPr>
      <w:keepLines/>
      <w:keepNext/>
      <w:spacing w:before="320" w:after="200"/>
      <w:outlineLvl w:val="8"/>
    </w:pPr>
    <w:rPr>
      <w:rFonts w:ascii="Arial" w:hAnsi="Arial" w:eastAsia="Arial" w:cs="Arial"/>
      <w:i/>
      <w:iCs/>
      <w:szCs w:val="21"/>
    </w:rPr>
  </w:style>
  <w:style w:type="character" w:styleId="1779" w:default="1">
    <w:name w:val="Default Paragraph Font"/>
    <w:uiPriority w:val="1"/>
    <w:semiHidden/>
    <w:unhideWhenUsed/>
    <w:qFormat/>
  </w:style>
  <w:style w:type="table" w:styleId="1780" w:default="1">
    <w:name w:val="Normal Table"/>
    <w:uiPriority w:val="99"/>
    <w:semiHidden/>
    <w:unhideWhenUsed/>
    <w:qFormat/>
    <w:tblPr>
      <w:tblCellMar>
        <w:left w:w="108" w:type="dxa"/>
        <w:top w:w="0" w:type="dxa"/>
        <w:right w:w="108" w:type="dxa"/>
        <w:bottom w:w="0" w:type="dxa"/>
      </w:tblCellMar>
    </w:tblPr>
  </w:style>
  <w:style w:type="character" w:styleId="1781" w:customStyle="1">
    <w:name w:val="Heading 1 Char"/>
    <w:basedOn w:val="1779"/>
    <w:uiPriority w:val="9"/>
    <w:qFormat/>
    <w:rPr>
      <w:rFonts w:ascii="Arial" w:hAnsi="Arial" w:eastAsia="Arial" w:cs="Arial"/>
      <w:sz w:val="40"/>
      <w:szCs w:val="40"/>
    </w:rPr>
  </w:style>
  <w:style w:type="character" w:styleId="1782" w:customStyle="1">
    <w:name w:val="Heading 2 Char"/>
    <w:basedOn w:val="1779"/>
    <w:uiPriority w:val="9"/>
    <w:qFormat/>
    <w:rPr>
      <w:rFonts w:ascii="Arial" w:hAnsi="Arial" w:eastAsia="Arial" w:cs="Arial"/>
      <w:sz w:val="34"/>
    </w:rPr>
  </w:style>
  <w:style w:type="character" w:styleId="1783" w:customStyle="1">
    <w:name w:val="Heading 3 Char"/>
    <w:basedOn w:val="1779"/>
    <w:uiPriority w:val="9"/>
    <w:qFormat/>
    <w:rPr>
      <w:rFonts w:ascii="Arial" w:hAnsi="Arial" w:eastAsia="Arial" w:cs="Arial"/>
      <w:sz w:val="30"/>
      <w:szCs w:val="30"/>
    </w:rPr>
  </w:style>
  <w:style w:type="character" w:styleId="1784" w:customStyle="1">
    <w:name w:val="Heading 4 Char"/>
    <w:basedOn w:val="1779"/>
    <w:uiPriority w:val="9"/>
    <w:qFormat/>
    <w:rPr>
      <w:rFonts w:ascii="Arial" w:hAnsi="Arial" w:eastAsia="Arial" w:cs="Arial"/>
      <w:b/>
      <w:bCs/>
      <w:sz w:val="26"/>
      <w:szCs w:val="26"/>
    </w:rPr>
  </w:style>
  <w:style w:type="character" w:styleId="1785" w:customStyle="1">
    <w:name w:val="Heading 5 Char"/>
    <w:basedOn w:val="1779"/>
    <w:uiPriority w:val="9"/>
    <w:qFormat/>
    <w:rPr>
      <w:rFonts w:ascii="Arial" w:hAnsi="Arial" w:eastAsia="Arial" w:cs="Arial"/>
      <w:b/>
      <w:bCs/>
      <w:sz w:val="24"/>
      <w:szCs w:val="24"/>
    </w:rPr>
  </w:style>
  <w:style w:type="character" w:styleId="1786" w:customStyle="1">
    <w:name w:val="Heading 6 Char"/>
    <w:basedOn w:val="1779"/>
    <w:uiPriority w:val="9"/>
    <w:qFormat/>
    <w:rPr>
      <w:rFonts w:ascii="Arial" w:hAnsi="Arial" w:eastAsia="Arial" w:cs="Arial"/>
      <w:b/>
      <w:bCs/>
      <w:sz w:val="22"/>
      <w:szCs w:val="22"/>
    </w:rPr>
  </w:style>
  <w:style w:type="character" w:styleId="1787" w:customStyle="1">
    <w:name w:val="Heading 7 Char"/>
    <w:basedOn w:val="1779"/>
    <w:uiPriority w:val="9"/>
    <w:qFormat/>
    <w:rPr>
      <w:rFonts w:ascii="Arial" w:hAnsi="Arial" w:eastAsia="Arial" w:cs="Arial"/>
      <w:b/>
      <w:bCs/>
      <w:i/>
      <w:iCs/>
      <w:sz w:val="22"/>
      <w:szCs w:val="22"/>
    </w:rPr>
  </w:style>
  <w:style w:type="character" w:styleId="1788" w:customStyle="1">
    <w:name w:val="Heading 8 Char"/>
    <w:basedOn w:val="1779"/>
    <w:uiPriority w:val="9"/>
    <w:qFormat/>
    <w:rPr>
      <w:rFonts w:ascii="Arial" w:hAnsi="Arial" w:eastAsia="Arial" w:cs="Arial"/>
      <w:i/>
      <w:iCs/>
      <w:sz w:val="22"/>
      <w:szCs w:val="22"/>
    </w:rPr>
  </w:style>
  <w:style w:type="character" w:styleId="1789" w:customStyle="1">
    <w:name w:val="Heading 9 Char"/>
    <w:basedOn w:val="1779"/>
    <w:uiPriority w:val="9"/>
    <w:qFormat/>
    <w:rPr>
      <w:rFonts w:ascii="Arial" w:hAnsi="Arial" w:eastAsia="Arial" w:cs="Arial"/>
      <w:i/>
      <w:iCs/>
      <w:sz w:val="21"/>
      <w:szCs w:val="21"/>
    </w:rPr>
  </w:style>
  <w:style w:type="character" w:styleId="1790" w:customStyle="1">
    <w:name w:val="Title Char"/>
    <w:basedOn w:val="1779"/>
    <w:uiPriority w:val="10"/>
    <w:qFormat/>
    <w:rPr>
      <w:sz w:val="48"/>
      <w:szCs w:val="48"/>
    </w:rPr>
  </w:style>
  <w:style w:type="character" w:styleId="1791" w:customStyle="1">
    <w:name w:val="Subtitle Char"/>
    <w:basedOn w:val="1779"/>
    <w:uiPriority w:val="11"/>
    <w:qFormat/>
    <w:rPr>
      <w:sz w:val="24"/>
      <w:szCs w:val="24"/>
    </w:rPr>
  </w:style>
  <w:style w:type="character" w:styleId="1792" w:customStyle="1">
    <w:name w:val="Quote Char"/>
    <w:uiPriority w:val="29"/>
    <w:qFormat/>
    <w:rPr>
      <w:i/>
    </w:rPr>
  </w:style>
  <w:style w:type="character" w:styleId="1793" w:customStyle="1">
    <w:name w:val="Intense Quote Char"/>
    <w:uiPriority w:val="30"/>
    <w:qFormat/>
    <w:rPr>
      <w:i/>
    </w:rPr>
  </w:style>
  <w:style w:type="character" w:styleId="1794" w:customStyle="1">
    <w:name w:val="Header Char"/>
    <w:basedOn w:val="1779"/>
    <w:uiPriority w:val="99"/>
    <w:qFormat/>
  </w:style>
  <w:style w:type="character" w:styleId="1795" w:customStyle="1">
    <w:name w:val="Footer Char"/>
    <w:basedOn w:val="1779"/>
    <w:uiPriority w:val="99"/>
    <w:qFormat/>
  </w:style>
  <w:style w:type="character" w:styleId="1796" w:customStyle="1">
    <w:name w:val="Caption Char"/>
    <w:uiPriority w:val="99"/>
    <w:qFormat/>
  </w:style>
  <w:style w:type="table" w:styleId="1797" w:customStyle="1">
    <w:name w:val="Plain Table 1"/>
    <w:basedOn w:val="1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98" w:customStyle="1">
    <w:name w:val="Plain Table 2"/>
    <w:basedOn w:val="1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99" w:customStyle="1">
    <w:name w:val="Plain Table 3"/>
    <w:basedOn w:val="1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00" w:customStyle="1">
    <w:name w:val="Plain Table 4"/>
    <w:basedOn w:val="1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01" w:customStyle="1">
    <w:name w:val="Plain Table 5"/>
    <w:basedOn w:val="1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802" w:customStyle="1">
    <w:name w:val="Grid Table 1 Light"/>
    <w:basedOn w:val="1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803" w:customStyle="1">
    <w:name w:val="Grid Table 2"/>
    <w:basedOn w:val="1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804" w:customStyle="1">
    <w:name w:val="Grid Table 3"/>
    <w:basedOn w:val="1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5" w:customStyle="1">
    <w:name w:val="Grid Table 4"/>
    <w:basedOn w:val="1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06" w:customStyle="1">
    <w:name w:val="Grid Table 5 Dark"/>
    <w:basedOn w:val="1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07" w:customStyle="1">
    <w:name w:val="Grid Table 6 Colorful"/>
    <w:basedOn w:val="1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08" w:customStyle="1">
    <w:name w:val="Grid Table 7 Colorful"/>
    <w:basedOn w:val="1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09" w:customStyle="1">
    <w:name w:val="List Table 1 Light"/>
    <w:basedOn w:val="1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10" w:customStyle="1">
    <w:name w:val="List Table 2"/>
    <w:basedOn w:val="1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11" w:customStyle="1">
    <w:name w:val="List Table 3"/>
    <w:basedOn w:val="1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2" w:customStyle="1">
    <w:name w:val="List Table 4"/>
    <w:basedOn w:val="1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3" w:customStyle="1">
    <w:name w:val="List Table 5 Dark"/>
    <w:basedOn w:val="1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14" w:customStyle="1">
    <w:name w:val="List Table 6 Colorful"/>
    <w:basedOn w:val="1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15" w:customStyle="1">
    <w:name w:val="List Table 7 Colorful"/>
    <w:basedOn w:val="1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816" w:customStyle="1">
    <w:name w:val="Footnote Text Char"/>
    <w:uiPriority w:val="99"/>
    <w:qFormat/>
    <w:rPr>
      <w:sz w:val="18"/>
    </w:rPr>
  </w:style>
  <w:style w:type="character" w:styleId="1817" w:customStyle="1">
    <w:name w:val="Endnote Text Char"/>
    <w:uiPriority w:val="99"/>
    <w:qFormat/>
    <w:rPr>
      <w:sz w:val="20"/>
    </w:rPr>
  </w:style>
  <w:style w:type="paragraph" w:styleId="1818" w:customStyle="1">
    <w:name w:val="TOC Heading"/>
    <w:uiPriority w:val="39"/>
    <w:unhideWhenUsed/>
    <w:qFormat/>
    <w:rPr>
      <w:rFonts w:hint="default" w:asciiTheme="minorHAnsi" w:hAnsiTheme="minorHAnsi" w:eastAsiaTheme="minorEastAsia" w:cstheme="minorBidi"/>
    </w:rPr>
  </w:style>
  <w:style w:type="character" w:styleId="1819" w:customStyle="1">
    <w:name w:val="标题 1 字符"/>
    <w:basedOn w:val="1779"/>
    <w:link w:val="1770"/>
    <w:uiPriority w:val="9"/>
    <w:qFormat/>
    <w:rPr>
      <w:rFonts w:ascii="Arial" w:hAnsi="Arial" w:eastAsia="Arial" w:cs="Arial"/>
      <w:sz w:val="40"/>
      <w:szCs w:val="40"/>
    </w:rPr>
  </w:style>
  <w:style w:type="character" w:styleId="1820" w:customStyle="1">
    <w:name w:val="标题 2 字符"/>
    <w:basedOn w:val="1779"/>
    <w:link w:val="1771"/>
    <w:uiPriority w:val="9"/>
    <w:qFormat/>
    <w:rPr>
      <w:rFonts w:ascii="Arial" w:hAnsi="Arial" w:eastAsia="Arial" w:cs="Arial"/>
      <w:sz w:val="34"/>
    </w:rPr>
  </w:style>
  <w:style w:type="character" w:styleId="1821" w:customStyle="1">
    <w:name w:val="标题 3 字符"/>
    <w:basedOn w:val="1779"/>
    <w:link w:val="1772"/>
    <w:uiPriority w:val="9"/>
    <w:qFormat/>
    <w:rPr>
      <w:rFonts w:ascii="Arial" w:hAnsi="Arial" w:eastAsia="Arial" w:cs="Arial"/>
      <w:sz w:val="30"/>
      <w:szCs w:val="30"/>
    </w:rPr>
  </w:style>
  <w:style w:type="character" w:styleId="1822" w:customStyle="1">
    <w:name w:val="标题 4 字符"/>
    <w:basedOn w:val="1779"/>
    <w:link w:val="1773"/>
    <w:uiPriority w:val="9"/>
    <w:qFormat/>
    <w:rPr>
      <w:rFonts w:ascii="Arial" w:hAnsi="Arial" w:eastAsia="Arial" w:cs="Arial"/>
      <w:b/>
      <w:bCs/>
      <w:sz w:val="26"/>
      <w:szCs w:val="26"/>
    </w:rPr>
  </w:style>
  <w:style w:type="character" w:styleId="1823" w:customStyle="1">
    <w:name w:val="标题 5 字符"/>
    <w:basedOn w:val="1779"/>
    <w:link w:val="1774"/>
    <w:uiPriority w:val="9"/>
    <w:qFormat/>
    <w:rPr>
      <w:rFonts w:ascii="Arial" w:hAnsi="Arial" w:eastAsia="Arial" w:cs="Arial"/>
      <w:b/>
      <w:bCs/>
      <w:sz w:val="24"/>
      <w:szCs w:val="24"/>
    </w:rPr>
  </w:style>
  <w:style w:type="character" w:styleId="1824" w:customStyle="1">
    <w:name w:val="标题 6 字符"/>
    <w:basedOn w:val="1779"/>
    <w:link w:val="1775"/>
    <w:uiPriority w:val="9"/>
    <w:qFormat/>
    <w:rPr>
      <w:rFonts w:ascii="Arial" w:hAnsi="Arial" w:eastAsia="Arial" w:cs="Arial"/>
      <w:b/>
      <w:bCs/>
      <w:sz w:val="22"/>
      <w:szCs w:val="22"/>
    </w:rPr>
  </w:style>
  <w:style w:type="character" w:styleId="1825" w:customStyle="1">
    <w:name w:val="标题 7 字符"/>
    <w:basedOn w:val="1779"/>
    <w:link w:val="1776"/>
    <w:uiPriority w:val="9"/>
    <w:qFormat/>
    <w:rPr>
      <w:rFonts w:ascii="Arial" w:hAnsi="Arial" w:eastAsia="Arial" w:cs="Arial"/>
      <w:b/>
      <w:bCs/>
      <w:i/>
      <w:iCs/>
      <w:sz w:val="22"/>
      <w:szCs w:val="22"/>
    </w:rPr>
  </w:style>
  <w:style w:type="character" w:styleId="1826" w:customStyle="1">
    <w:name w:val="标题 8 字符"/>
    <w:basedOn w:val="1779"/>
    <w:link w:val="1777"/>
    <w:uiPriority w:val="9"/>
    <w:qFormat/>
    <w:rPr>
      <w:rFonts w:ascii="Arial" w:hAnsi="Arial" w:eastAsia="Arial" w:cs="Arial"/>
      <w:i/>
      <w:iCs/>
      <w:sz w:val="22"/>
      <w:szCs w:val="22"/>
    </w:rPr>
  </w:style>
  <w:style w:type="character" w:styleId="1827" w:customStyle="1">
    <w:name w:val="标题 9 字符"/>
    <w:basedOn w:val="1779"/>
    <w:link w:val="1778"/>
    <w:uiPriority w:val="9"/>
    <w:qFormat/>
    <w:rPr>
      <w:rFonts w:ascii="Arial" w:hAnsi="Arial" w:eastAsia="Arial" w:cs="Arial"/>
      <w:i/>
      <w:iCs/>
      <w:sz w:val="21"/>
      <w:szCs w:val="21"/>
    </w:rPr>
  </w:style>
  <w:style w:type="paragraph" w:styleId="1828">
    <w:name w:val="List Paragraph"/>
    <w:basedOn w:val="1769"/>
    <w:uiPriority w:val="34"/>
    <w:qFormat/>
    <w:pPr>
      <w:contextualSpacing/>
      <w:ind w:left="720"/>
    </w:pPr>
  </w:style>
  <w:style w:type="paragraph" w:styleId="1829">
    <w:name w:val="No Spacing"/>
    <w:uiPriority w:val="1"/>
    <w:qFormat/>
    <w:rPr>
      <w:rFonts w:hint="default" w:asciiTheme="minorHAnsi" w:hAnsiTheme="minorHAnsi" w:eastAsiaTheme="minorEastAsia" w:cstheme="minorBidi"/>
      <w:lang w:val="en-US" w:eastAsia="zh-CN" w:bidi="ar-SA"/>
    </w:rPr>
  </w:style>
  <w:style w:type="paragraph" w:styleId="1830">
    <w:name w:val="Title"/>
    <w:basedOn w:val="1769"/>
    <w:next w:val="1769"/>
    <w:link w:val="1831"/>
    <w:uiPriority w:val="10"/>
    <w:qFormat/>
    <w:pPr>
      <w:contextualSpacing/>
      <w:spacing w:before="300" w:after="200"/>
    </w:pPr>
    <w:rPr>
      <w:sz w:val="48"/>
      <w:szCs w:val="48"/>
    </w:rPr>
  </w:style>
  <w:style w:type="character" w:styleId="1831" w:customStyle="1">
    <w:name w:val="标题 字符"/>
    <w:basedOn w:val="1779"/>
    <w:link w:val="1830"/>
    <w:uiPriority w:val="10"/>
    <w:qFormat/>
    <w:rPr>
      <w:sz w:val="48"/>
      <w:szCs w:val="48"/>
    </w:rPr>
  </w:style>
  <w:style w:type="paragraph" w:styleId="1832">
    <w:name w:val="Subtitle"/>
    <w:basedOn w:val="1769"/>
    <w:next w:val="1769"/>
    <w:link w:val="1833"/>
    <w:uiPriority w:val="11"/>
    <w:qFormat/>
    <w:pPr>
      <w:spacing w:before="200" w:after="200"/>
    </w:pPr>
    <w:rPr>
      <w:sz w:val="24"/>
      <w:szCs w:val="24"/>
    </w:rPr>
  </w:style>
  <w:style w:type="character" w:styleId="1833" w:customStyle="1">
    <w:name w:val="副标题 字符"/>
    <w:basedOn w:val="1779"/>
    <w:link w:val="1832"/>
    <w:uiPriority w:val="11"/>
    <w:qFormat/>
    <w:rPr>
      <w:sz w:val="24"/>
      <w:szCs w:val="24"/>
    </w:rPr>
  </w:style>
  <w:style w:type="paragraph" w:styleId="1834">
    <w:name w:val="Quote"/>
    <w:basedOn w:val="1769"/>
    <w:next w:val="1769"/>
    <w:link w:val="1835"/>
    <w:uiPriority w:val="29"/>
    <w:qFormat/>
    <w:pPr>
      <w:ind w:left="720" w:right="720"/>
    </w:pPr>
    <w:rPr>
      <w:i/>
    </w:rPr>
  </w:style>
  <w:style w:type="character" w:styleId="1835" w:customStyle="1">
    <w:name w:val="引用 字符"/>
    <w:link w:val="1834"/>
    <w:uiPriority w:val="29"/>
    <w:qFormat/>
    <w:rPr>
      <w:i/>
    </w:rPr>
  </w:style>
  <w:style w:type="paragraph" w:styleId="1836">
    <w:name w:val="Intense Quote"/>
    <w:basedOn w:val="1769"/>
    <w:next w:val="1769"/>
    <w:link w:val="1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37" w:customStyle="1">
    <w:name w:val="明显引用 字符"/>
    <w:link w:val="1836"/>
    <w:uiPriority w:val="30"/>
    <w:qFormat/>
    <w:rPr>
      <w:i/>
    </w:rPr>
  </w:style>
  <w:style w:type="paragraph" w:styleId="1838">
    <w:name w:val="Header"/>
    <w:basedOn w:val="1769"/>
    <w:link w:val="1839"/>
    <w:uiPriority w:val="99"/>
    <w:unhideWhenUsed/>
    <w:qFormat/>
    <w:pPr>
      <w:tabs>
        <w:tab w:val="center" w:pos="7143" w:leader="none"/>
        <w:tab w:val="right" w:pos="14287" w:leader="none"/>
      </w:tabs>
    </w:pPr>
  </w:style>
  <w:style w:type="character" w:styleId="1839" w:customStyle="1">
    <w:name w:val="页眉 字符"/>
    <w:basedOn w:val="1779"/>
    <w:link w:val="1838"/>
    <w:uiPriority w:val="99"/>
    <w:qFormat/>
  </w:style>
  <w:style w:type="paragraph" w:styleId="1840">
    <w:name w:val="Footer"/>
    <w:basedOn w:val="1769"/>
    <w:link w:val="1842"/>
    <w:uiPriority w:val="99"/>
    <w:unhideWhenUsed/>
    <w:qFormat/>
    <w:pPr>
      <w:tabs>
        <w:tab w:val="center" w:pos="7143" w:leader="none"/>
        <w:tab w:val="right" w:pos="14287" w:leader="none"/>
      </w:tabs>
    </w:pPr>
  </w:style>
  <w:style w:type="paragraph" w:styleId="1841">
    <w:name w:val="Caption"/>
    <w:basedOn w:val="1769"/>
    <w:next w:val="1769"/>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842" w:customStyle="1">
    <w:name w:val="页脚 字符"/>
    <w:link w:val="1840"/>
    <w:uiPriority w:val="99"/>
    <w:qFormat/>
  </w:style>
  <w:style w:type="table" w:styleId="1843">
    <w:name w:val="Table Grid"/>
    <w:basedOn w:val="17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44" w:customStyle="1">
    <w:name w:val="Table Grid Light"/>
    <w:basedOn w:val="1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845" w:customStyle="1">
    <w:name w:val="无格式表格 11"/>
    <w:basedOn w:val="1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46" w:customStyle="1">
    <w:name w:val="无格式表格 21"/>
    <w:basedOn w:val="1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47" w:customStyle="1">
    <w:name w:val="无格式表格 31"/>
    <w:basedOn w:val="1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48" w:customStyle="1">
    <w:name w:val="无格式表格 41"/>
    <w:basedOn w:val="1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49" w:customStyle="1">
    <w:name w:val="无格式表格 51"/>
    <w:basedOn w:val="17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850" w:customStyle="1">
    <w:name w:val="网格表 1 浅色1"/>
    <w:basedOn w:val="1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851" w:customStyle="1">
    <w:name w:val="Grid Table 1 Light - Accent 1"/>
    <w:basedOn w:val="178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852" w:customStyle="1">
    <w:name w:val="Grid Table 1 Light - Accent 2"/>
    <w:basedOn w:val="17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853" w:customStyle="1">
    <w:name w:val="Grid Table 1 Light - Accent 3"/>
    <w:basedOn w:val="17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854" w:customStyle="1">
    <w:name w:val="Grid Table 1 Light - Accent 4"/>
    <w:basedOn w:val="17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855" w:customStyle="1">
    <w:name w:val="Grid Table 1 Light - Accent 5"/>
    <w:basedOn w:val="178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856" w:customStyle="1">
    <w:name w:val="Grid Table 1 Light - Accent 6"/>
    <w:basedOn w:val="17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857" w:customStyle="1">
    <w:name w:val="网格表 21"/>
    <w:basedOn w:val="1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858" w:customStyle="1">
    <w:name w:val="Grid Table 2 - Accent 1"/>
    <w:basedOn w:val="178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859" w:customStyle="1">
    <w:name w:val="Grid Table 2 - Accent 2"/>
    <w:basedOn w:val="17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860" w:customStyle="1">
    <w:name w:val="Grid Table 2 - Accent 3"/>
    <w:basedOn w:val="17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861" w:customStyle="1">
    <w:name w:val="Grid Table 2 - Accent 4"/>
    <w:basedOn w:val="17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862" w:customStyle="1">
    <w:name w:val="Grid Table 2 - Accent 5"/>
    <w:basedOn w:val="178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863" w:customStyle="1">
    <w:name w:val="Grid Table 2 - Accent 6"/>
    <w:basedOn w:val="17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864" w:customStyle="1">
    <w:name w:val="网格表 31"/>
    <w:basedOn w:val="1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5" w:customStyle="1">
    <w:name w:val="Grid Table 3 - Accent 1"/>
    <w:basedOn w:val="178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6" w:customStyle="1">
    <w:name w:val="Grid Table 3 - Accent 2"/>
    <w:basedOn w:val="17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7" w:customStyle="1">
    <w:name w:val="Grid Table 3 - Accent 3"/>
    <w:basedOn w:val="17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8" w:customStyle="1">
    <w:name w:val="Grid Table 3 - Accent 4"/>
    <w:basedOn w:val="17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69" w:customStyle="1">
    <w:name w:val="Grid Table 3 - Accent 5"/>
    <w:basedOn w:val="178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0" w:customStyle="1">
    <w:name w:val="Grid Table 3 - Accent 6"/>
    <w:basedOn w:val="17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71" w:customStyle="1">
    <w:name w:val="网格表 41"/>
    <w:basedOn w:val="1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72" w:customStyle="1">
    <w:name w:val="Grid Table 4 - Accent 1"/>
    <w:basedOn w:val="178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873" w:customStyle="1">
    <w:name w:val="Grid Table 4 - Accent 2"/>
    <w:basedOn w:val="17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874" w:customStyle="1">
    <w:name w:val="Grid Table 4 - Accent 3"/>
    <w:basedOn w:val="17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875" w:customStyle="1">
    <w:name w:val="Grid Table 4 - Accent 4"/>
    <w:basedOn w:val="17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876" w:customStyle="1">
    <w:name w:val="Grid Table 4 - Accent 5"/>
    <w:basedOn w:val="178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877" w:customStyle="1">
    <w:name w:val="Grid Table 4 - Accent 6"/>
    <w:basedOn w:val="17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878" w:customStyle="1">
    <w:name w:val="网格表 5 深色1"/>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79" w:customStyle="1">
    <w:name w:val="Grid Table 5 Dark- Accent 1"/>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880" w:customStyle="1">
    <w:name w:val="Grid Table 5 Dark - Accent 2"/>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881" w:customStyle="1">
    <w:name w:val="Grid Table 5 Dark - Accent 3"/>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882" w:customStyle="1">
    <w:name w:val="Grid Table 5 Dark- Accent 4"/>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883" w:customStyle="1">
    <w:name w:val="Grid Table 5 Dark - Accent 5"/>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884" w:customStyle="1">
    <w:name w:val="Grid Table 5 Dark - Accent 6"/>
    <w:basedOn w:val="1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885" w:customStyle="1">
    <w:name w:val="网格表 6 彩色1"/>
    <w:basedOn w:val="1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86" w:customStyle="1">
    <w:name w:val="Grid Table 6 Colorful - Accent 1"/>
    <w:basedOn w:val="178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887" w:customStyle="1">
    <w:name w:val="Grid Table 6 Colorful - Accent 2"/>
    <w:basedOn w:val="17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888" w:customStyle="1">
    <w:name w:val="Grid Table 6 Colorful - Accent 3"/>
    <w:basedOn w:val="17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889" w:customStyle="1">
    <w:name w:val="Grid Table 6 Colorful - Accent 4"/>
    <w:basedOn w:val="17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890" w:customStyle="1">
    <w:name w:val="Grid Table 6 Colorful - Accent 5"/>
    <w:basedOn w:val="178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91" w:customStyle="1">
    <w:name w:val="Grid Table 6 Colorful - Accent 6"/>
    <w:basedOn w:val="17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92" w:customStyle="1">
    <w:name w:val="网格表 7 彩色1"/>
    <w:basedOn w:val="1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93" w:customStyle="1">
    <w:name w:val="Grid Table 7 Colorful - Accent 1"/>
    <w:basedOn w:val="178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894" w:customStyle="1">
    <w:name w:val="Grid Table 7 Colorful - Accent 2"/>
    <w:basedOn w:val="17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95" w:customStyle="1">
    <w:name w:val="Grid Table 7 Colorful - Accent 3"/>
    <w:basedOn w:val="17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896" w:customStyle="1">
    <w:name w:val="Grid Table 7 Colorful - Accent 4"/>
    <w:basedOn w:val="17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97" w:customStyle="1">
    <w:name w:val="Grid Table 7 Colorful - Accent 5"/>
    <w:basedOn w:val="178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898" w:customStyle="1">
    <w:name w:val="Grid Table 7 Colorful - Accent 6"/>
    <w:basedOn w:val="17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899" w:customStyle="1">
    <w:name w:val="清单表 1 浅色1"/>
    <w:basedOn w:val="17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00" w:customStyle="1">
    <w:name w:val="List Table 1 Light - Accent 1"/>
    <w:basedOn w:val="178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901" w:customStyle="1">
    <w:name w:val="List Table 1 Light - Accent 2"/>
    <w:basedOn w:val="17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902" w:customStyle="1">
    <w:name w:val="List Table 1 Light - Accent 3"/>
    <w:basedOn w:val="17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903" w:customStyle="1">
    <w:name w:val="List Table 1 Light - Accent 4"/>
    <w:basedOn w:val="17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904" w:customStyle="1">
    <w:name w:val="List Table 1 Light - Accent 5"/>
    <w:basedOn w:val="178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905" w:customStyle="1">
    <w:name w:val="List Table 1 Light - Accent 6"/>
    <w:basedOn w:val="17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906" w:customStyle="1">
    <w:name w:val="清单表 21"/>
    <w:basedOn w:val="1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907" w:customStyle="1">
    <w:name w:val="List Table 2 - Accent 1"/>
    <w:basedOn w:val="178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908" w:customStyle="1">
    <w:name w:val="List Table 2 - Accent 2"/>
    <w:basedOn w:val="17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909" w:customStyle="1">
    <w:name w:val="List Table 2 - Accent 3"/>
    <w:basedOn w:val="17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910" w:customStyle="1">
    <w:name w:val="List Table 2 - Accent 4"/>
    <w:basedOn w:val="17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911" w:customStyle="1">
    <w:name w:val="List Table 2 - Accent 5"/>
    <w:basedOn w:val="178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912" w:customStyle="1">
    <w:name w:val="List Table 2 - Accent 6"/>
    <w:basedOn w:val="17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913" w:customStyle="1">
    <w:name w:val="清单表 31"/>
    <w:basedOn w:val="1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14" w:customStyle="1">
    <w:name w:val="List Table 3 - Accent 1"/>
    <w:basedOn w:val="178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915" w:customStyle="1">
    <w:name w:val="List Table 3 - Accent 2"/>
    <w:basedOn w:val="17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916" w:customStyle="1">
    <w:name w:val="List Table 3 - Accent 3"/>
    <w:basedOn w:val="17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917" w:customStyle="1">
    <w:name w:val="List Table 3 - Accent 4"/>
    <w:basedOn w:val="17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918" w:customStyle="1">
    <w:name w:val="List Table 3 - Accent 5"/>
    <w:basedOn w:val="178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919" w:customStyle="1">
    <w:name w:val="List Table 3 - Accent 6"/>
    <w:basedOn w:val="17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920" w:customStyle="1">
    <w:name w:val="清单表 41"/>
    <w:basedOn w:val="1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21" w:customStyle="1">
    <w:name w:val="List Table 4 - Accent 1"/>
    <w:basedOn w:val="178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922" w:customStyle="1">
    <w:name w:val="List Table 4 - Accent 2"/>
    <w:basedOn w:val="17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923" w:customStyle="1">
    <w:name w:val="List Table 4 - Accent 3"/>
    <w:basedOn w:val="17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924" w:customStyle="1">
    <w:name w:val="List Table 4 - Accent 4"/>
    <w:basedOn w:val="17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925" w:customStyle="1">
    <w:name w:val="List Table 4 - Accent 5"/>
    <w:basedOn w:val="178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926" w:customStyle="1">
    <w:name w:val="List Table 4 - Accent 6"/>
    <w:basedOn w:val="17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927" w:customStyle="1">
    <w:name w:val="清单表 5 深色1"/>
    <w:basedOn w:val="1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28" w:customStyle="1">
    <w:name w:val="List Table 5 Dark - Accent 1"/>
    <w:basedOn w:val="178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29" w:customStyle="1">
    <w:name w:val="List Table 5 Dark - Accent 2"/>
    <w:basedOn w:val="17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0" w:customStyle="1">
    <w:name w:val="List Table 5 Dark - Accent 3"/>
    <w:basedOn w:val="17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1" w:customStyle="1">
    <w:name w:val="List Table 5 Dark - Accent 4"/>
    <w:basedOn w:val="17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2" w:customStyle="1">
    <w:name w:val="List Table 5 Dark - Accent 5"/>
    <w:basedOn w:val="178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3" w:customStyle="1">
    <w:name w:val="List Table 5 Dark - Accent 6"/>
    <w:basedOn w:val="17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34" w:customStyle="1">
    <w:name w:val="清单表 6 彩色1"/>
    <w:basedOn w:val="17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935" w:customStyle="1">
    <w:name w:val="List Table 6 Colorful - Accent 1"/>
    <w:basedOn w:val="178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936" w:customStyle="1">
    <w:name w:val="List Table 6 Colorful - Accent 2"/>
    <w:basedOn w:val="17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937" w:customStyle="1">
    <w:name w:val="List Table 6 Colorful - Accent 3"/>
    <w:basedOn w:val="17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938" w:customStyle="1">
    <w:name w:val="List Table 6 Colorful - Accent 4"/>
    <w:basedOn w:val="17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939" w:customStyle="1">
    <w:name w:val="List Table 6 Colorful - Accent 5"/>
    <w:basedOn w:val="178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940" w:customStyle="1">
    <w:name w:val="List Table 6 Colorful - Accent 6"/>
    <w:basedOn w:val="17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941" w:customStyle="1">
    <w:name w:val="清单表 7 彩色1"/>
    <w:basedOn w:val="17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42" w:customStyle="1">
    <w:name w:val="List Table 7 Colorful - Accent 1"/>
    <w:basedOn w:val="178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943" w:customStyle="1">
    <w:name w:val="List Table 7 Colorful - Accent 2"/>
    <w:basedOn w:val="17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944" w:customStyle="1">
    <w:name w:val="List Table 7 Colorful - Accent 3"/>
    <w:basedOn w:val="17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945" w:customStyle="1">
    <w:name w:val="List Table 7 Colorful - Accent 4"/>
    <w:basedOn w:val="17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946" w:customStyle="1">
    <w:name w:val="List Table 7 Colorful - Accent 5"/>
    <w:basedOn w:val="178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947" w:customStyle="1">
    <w:name w:val="List Table 7 Colorful - Accent 6"/>
    <w:basedOn w:val="17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948" w:customStyle="1">
    <w:name w:val="Lined - Accent"/>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49" w:customStyle="1">
    <w:name w:val="Lined - Accent 1"/>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950" w:customStyle="1">
    <w:name w:val="Lined - Accent 2"/>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951" w:customStyle="1">
    <w:name w:val="Lined - Accent 3"/>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952" w:customStyle="1">
    <w:name w:val="Lined - Accent 4"/>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953" w:customStyle="1">
    <w:name w:val="Lined - Accent 5"/>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954" w:customStyle="1">
    <w:name w:val="Lined - Accent 6"/>
    <w:basedOn w:val="17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955" w:customStyle="1">
    <w:name w:val="Bordered &amp; Lined - Accent"/>
    <w:basedOn w:val="17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56" w:customStyle="1">
    <w:name w:val="Bordered &amp; Lined - Accent 1"/>
    <w:basedOn w:val="178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957" w:customStyle="1">
    <w:name w:val="Bordered &amp; Lined - Accent 2"/>
    <w:basedOn w:val="17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958" w:customStyle="1">
    <w:name w:val="Bordered &amp; Lined - Accent 3"/>
    <w:basedOn w:val="17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959" w:customStyle="1">
    <w:name w:val="Bordered &amp; Lined - Accent 4"/>
    <w:basedOn w:val="17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960" w:customStyle="1">
    <w:name w:val="Bordered &amp; Lined - Accent 5"/>
    <w:basedOn w:val="178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961" w:customStyle="1">
    <w:name w:val="Bordered &amp; Lined - Accent 6"/>
    <w:basedOn w:val="17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962" w:customStyle="1">
    <w:name w:val="Bordered"/>
    <w:basedOn w:val="17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963" w:customStyle="1">
    <w:name w:val="Bordered - Accent 1"/>
    <w:basedOn w:val="178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964" w:customStyle="1">
    <w:name w:val="Bordered - Accent 2"/>
    <w:basedOn w:val="17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965" w:customStyle="1">
    <w:name w:val="Bordered - Accent 3"/>
    <w:basedOn w:val="17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966" w:customStyle="1">
    <w:name w:val="Bordered - Accent 4"/>
    <w:basedOn w:val="17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967" w:customStyle="1">
    <w:name w:val="Bordered - Accent 5"/>
    <w:basedOn w:val="178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968" w:customStyle="1">
    <w:name w:val="Bordered - Accent 6"/>
    <w:basedOn w:val="17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969">
    <w:name w:val="Hyperlink"/>
    <w:uiPriority w:val="99"/>
    <w:unhideWhenUsed/>
    <w:qFormat/>
    <w:rPr>
      <w:color w:val="0563c1" w:themeColor="hyperlink"/>
      <w:u w:val="single"/>
      <w14:textFill>
        <w14:solidFill>
          <w14:schemeClr w14:val="hlink"/>
        </w14:solidFill>
      </w14:textFill>
    </w:rPr>
  </w:style>
  <w:style w:type="paragraph" w:styleId="1970">
    <w:name w:val="footnote text"/>
    <w:basedOn w:val="1769"/>
    <w:link w:val="1971"/>
    <w:uiPriority w:val="99"/>
    <w:semiHidden/>
    <w:unhideWhenUsed/>
    <w:qFormat/>
    <w:pPr>
      <w:spacing w:after="40"/>
    </w:pPr>
    <w:rPr>
      <w:sz w:val="18"/>
    </w:rPr>
  </w:style>
  <w:style w:type="character" w:styleId="1971" w:customStyle="1">
    <w:name w:val="脚注文本 字符"/>
    <w:link w:val="1970"/>
    <w:uiPriority w:val="99"/>
    <w:qFormat/>
    <w:rPr>
      <w:sz w:val="18"/>
    </w:rPr>
  </w:style>
  <w:style w:type="character" w:styleId="1972">
    <w:name w:val="footnote reference"/>
    <w:basedOn w:val="1779"/>
    <w:uiPriority w:val="99"/>
    <w:unhideWhenUsed/>
    <w:qFormat/>
    <w:rPr>
      <w:vertAlign w:val="superscript"/>
    </w:rPr>
  </w:style>
  <w:style w:type="paragraph" w:styleId="1973">
    <w:name w:val="endnote text"/>
    <w:basedOn w:val="1769"/>
    <w:link w:val="1974"/>
    <w:uiPriority w:val="99"/>
    <w:semiHidden/>
    <w:unhideWhenUsed/>
    <w:qFormat/>
    <w:rPr>
      <w:sz w:val="20"/>
    </w:rPr>
  </w:style>
  <w:style w:type="character" w:styleId="1974" w:customStyle="1">
    <w:name w:val="尾注文本 字符"/>
    <w:link w:val="1973"/>
    <w:uiPriority w:val="99"/>
    <w:qFormat/>
    <w:rPr>
      <w:sz w:val="20"/>
    </w:rPr>
  </w:style>
  <w:style w:type="character" w:styleId="1975">
    <w:name w:val="endnote reference"/>
    <w:basedOn w:val="1779"/>
    <w:uiPriority w:val="99"/>
    <w:semiHidden/>
    <w:unhideWhenUsed/>
    <w:qFormat/>
    <w:rPr>
      <w:vertAlign w:val="superscript"/>
    </w:rPr>
  </w:style>
  <w:style w:type="paragraph" w:styleId="1976">
    <w:name w:val="toc 1"/>
    <w:basedOn w:val="1769"/>
    <w:next w:val="1769"/>
    <w:uiPriority w:val="39"/>
    <w:unhideWhenUsed/>
    <w:qFormat/>
    <w:pPr>
      <w:spacing w:after="57"/>
    </w:pPr>
  </w:style>
  <w:style w:type="paragraph" w:styleId="1977">
    <w:name w:val="toc 2"/>
    <w:basedOn w:val="1769"/>
    <w:next w:val="1769"/>
    <w:uiPriority w:val="39"/>
    <w:unhideWhenUsed/>
    <w:qFormat/>
    <w:pPr>
      <w:ind w:left="283"/>
      <w:spacing w:after="57"/>
    </w:pPr>
  </w:style>
  <w:style w:type="paragraph" w:styleId="1978">
    <w:name w:val="toc 3"/>
    <w:basedOn w:val="1769"/>
    <w:next w:val="1769"/>
    <w:uiPriority w:val="39"/>
    <w:unhideWhenUsed/>
    <w:qFormat/>
    <w:pPr>
      <w:ind w:left="567"/>
      <w:spacing w:after="57"/>
    </w:pPr>
  </w:style>
  <w:style w:type="paragraph" w:styleId="1979">
    <w:name w:val="toc 4"/>
    <w:basedOn w:val="1769"/>
    <w:next w:val="1769"/>
    <w:uiPriority w:val="39"/>
    <w:unhideWhenUsed/>
    <w:qFormat/>
    <w:pPr>
      <w:ind w:left="850"/>
      <w:spacing w:after="57"/>
    </w:pPr>
  </w:style>
  <w:style w:type="paragraph" w:styleId="1980">
    <w:name w:val="toc 5"/>
    <w:basedOn w:val="1769"/>
    <w:next w:val="1769"/>
    <w:uiPriority w:val="39"/>
    <w:unhideWhenUsed/>
    <w:qFormat/>
    <w:pPr>
      <w:ind w:left="1134"/>
      <w:spacing w:after="57"/>
    </w:pPr>
  </w:style>
  <w:style w:type="paragraph" w:styleId="1981">
    <w:name w:val="toc 6"/>
    <w:basedOn w:val="1769"/>
    <w:next w:val="1769"/>
    <w:uiPriority w:val="39"/>
    <w:unhideWhenUsed/>
    <w:qFormat/>
    <w:pPr>
      <w:ind w:left="1417"/>
      <w:spacing w:after="57"/>
    </w:pPr>
  </w:style>
  <w:style w:type="paragraph" w:styleId="1982">
    <w:name w:val="toc 7"/>
    <w:basedOn w:val="1769"/>
    <w:next w:val="1769"/>
    <w:uiPriority w:val="39"/>
    <w:unhideWhenUsed/>
    <w:qFormat/>
    <w:pPr>
      <w:ind w:left="1701"/>
      <w:spacing w:after="57"/>
    </w:pPr>
  </w:style>
  <w:style w:type="paragraph" w:styleId="1983">
    <w:name w:val="toc 8"/>
    <w:basedOn w:val="1769"/>
    <w:next w:val="1769"/>
    <w:uiPriority w:val="39"/>
    <w:unhideWhenUsed/>
    <w:qFormat/>
    <w:pPr>
      <w:ind w:left="1984"/>
      <w:spacing w:after="57"/>
    </w:pPr>
  </w:style>
  <w:style w:type="paragraph" w:styleId="1984">
    <w:name w:val="toc 9"/>
    <w:basedOn w:val="1769"/>
    <w:next w:val="1769"/>
    <w:uiPriority w:val="39"/>
    <w:unhideWhenUsed/>
    <w:qFormat/>
    <w:pPr>
      <w:ind w:left="2268"/>
      <w:spacing w:after="57"/>
    </w:pPr>
  </w:style>
  <w:style w:type="paragraph" w:styleId="1985">
    <w:name w:val="table of figures"/>
    <w:basedOn w:val="1769"/>
    <w:next w:val="1769"/>
    <w:uiPriority w:val="99"/>
    <w:unhideWhenUsed/>
    <w:qFormat/>
  </w:style>
  <w:style w:type="character" w:styleId="1986">
    <w:name w:val="Placeholder Text"/>
    <w:basedOn w:val="1779"/>
    <w:uiPriority w:val="99"/>
    <w:unhideWhenUsed/>
    <w:qFormat/>
    <w:rPr>
      <w:color w:val="808080"/>
    </w:rPr>
  </w:style>
  <w:style w:type="paragraph" w:styleId="1987"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88"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89"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90"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91"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92"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99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10</cp:revision>
  <dcterms:created xsi:type="dcterms:W3CDTF">2026-06-25T23:49:00Z</dcterms:created>
  <dcterms:modified xsi:type="dcterms:W3CDTF">2026-09-28T12:53:42Z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A7BE0B30F3AA478AA57F9B75D58F008D_13</vt:lpwstr>
  </property>
  <property fmtid="{D5CDD505-2E9C-101B-9397-08002B2CF9AE}" pid="4" name="KSOTemplateDocerSaveRecord">
    <vt:lpwstr>eyJoZGlkIjoiODQ5ZmY0MzUwMzgyYzY4YjRjMDM1ZTY0YzU0OWIxYzYiLCJ1c2VySWQiOiIxMjE0MDc0NTk5In0=</vt:lpwstr>
  </property>
</Properties>
</file>