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D7D5CB">
      <w:pPr>
        <w:jc w:val="left"/>
        <w:rPr>
          <w:color w:val="000000"/>
          <w:highlight w:val="none"/>
        </w:rPr>
      </w:pPr>
      <w:r>
        <w:rPr>
          <w:color w:val="000000"/>
          <w:highlight w:val="none"/>
        </w:rPr>
        <w:t xml:space="preserve"> </w:t>
      </w:r>
    </w:p>
    <w:p w14:paraId="4EA46F38">
      <w:pPr>
        <w:rPr>
          <w:color w:val="000000"/>
          <w:highlight w:val="none"/>
        </w:rPr>
      </w:pPr>
      <w:bookmarkStart w:id="0" w:name="EB3ace3d43b98b41779337deb808be6fa3"/>
      <w:r>
        <w:rPr>
          <w:rFonts w:hint="eastAsia"/>
          <w:color w:val="000000"/>
          <w:sz w:val="20"/>
          <w:highlight w:val="none"/>
        </w:rPr>
        <w:t xml:space="preserve"> </w:t>
      </w:r>
      <w:bookmarkEnd w:id="0"/>
      <w:bookmarkStart w:id="1" w:name="EB57dd2a69e2b54b0cb3f5c2f03a1ab7bf"/>
      <w:r>
        <w:rPr>
          <w:rFonts w:hint="eastAsia"/>
          <w:color w:val="000000"/>
          <w:sz w:val="20"/>
          <w:highlight w:val="none"/>
        </w:rPr>
        <w:t xml:space="preserve"> </w:t>
      </w:r>
      <w:bookmarkEnd w:id="1"/>
    </w:p>
    <w:p w14:paraId="13A376D0">
      <w:pPr>
        <w:rPr>
          <w:color w:val="000000"/>
          <w:highlight w:val="none"/>
        </w:rPr>
      </w:pPr>
    </w:p>
    <w:p w14:paraId="54D84760">
      <w:pPr>
        <w:spacing w:before="120" w:after="120" w:line="360" w:lineRule="auto"/>
        <w:jc w:val="center"/>
        <w:rPr>
          <w:rFonts w:hint="eastAsia" w:ascii="Arial" w:hAnsi="Arial" w:eastAsia="黑体" w:cs="黑体"/>
          <w:b/>
          <w:color w:val="000000"/>
          <w:sz w:val="84"/>
          <w:szCs w:val="24"/>
          <w:highlight w:val="none"/>
          <w:lang w:bidi="ar"/>
        </w:rPr>
      </w:pPr>
    </w:p>
    <w:p w14:paraId="5EAD9DCA">
      <w:pPr>
        <w:spacing w:before="120" w:after="120" w:line="360" w:lineRule="auto"/>
        <w:jc w:val="center"/>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招　标　文　件</w:t>
      </w:r>
    </w:p>
    <w:p w14:paraId="69342E2B">
      <w:pPr>
        <w:rPr>
          <w:rFonts w:hint="eastAsia" w:ascii="Times New Roman" w:hAnsi="Times New Roman" w:cs="宋体"/>
          <w:b/>
          <w:color w:val="000000"/>
          <w:sz w:val="30"/>
          <w:szCs w:val="30"/>
          <w:highlight w:val="none"/>
          <w:lang w:bidi="ar"/>
        </w:rPr>
      </w:pPr>
    </w:p>
    <w:p w14:paraId="2B4DA09A">
      <w:pPr>
        <w:rPr>
          <w:rFonts w:hint="eastAsia" w:ascii="Times New Roman" w:hAnsi="Times New Roman" w:cs="宋体"/>
          <w:b/>
          <w:color w:val="000000"/>
          <w:sz w:val="30"/>
          <w:szCs w:val="30"/>
          <w:highlight w:val="none"/>
          <w:lang w:bidi="ar"/>
        </w:rPr>
      </w:pPr>
    </w:p>
    <w:p w14:paraId="00E75334">
      <w:pPr>
        <w:keepNext w:val="0"/>
        <w:keepLines w:val="0"/>
        <w:pageBreakBefore w:val="0"/>
        <w:widowControl w:val="0"/>
        <w:spacing w:line="360" w:lineRule="auto"/>
        <w:ind w:firstLine="1508"/>
        <w:jc w:val="left"/>
        <w:rPr>
          <w:rFonts w:hint="eastAsia" w:eastAsia="宋体"/>
          <w:b/>
          <w:color w:val="000000"/>
          <w:sz w:val="30"/>
          <w:szCs w:val="30"/>
          <w:highlight w:val="none"/>
          <w:lang w:eastAsia="zh-CN"/>
        </w:rPr>
      </w:pPr>
      <w:r>
        <w:rPr>
          <w:rFonts w:hint="eastAsia" w:ascii="Times New Roman" w:hAnsi="Times New Roman" w:cs="宋体"/>
          <w:b/>
          <w:color w:val="000000"/>
          <w:sz w:val="30"/>
          <w:szCs w:val="30"/>
          <w:highlight w:val="none"/>
          <w:lang w:bidi="ar"/>
        </w:rPr>
        <w:t>项目名称：</w:t>
      </w:r>
      <w:r>
        <w:rPr>
          <w:rFonts w:hint="eastAsia" w:ascii="Times New Roman" w:hAnsi="Times New Roman" w:cs="宋体"/>
          <w:b/>
          <w:color w:val="000000"/>
          <w:sz w:val="30"/>
          <w:szCs w:val="30"/>
          <w:highlight w:val="none"/>
          <w:lang w:eastAsia="zh-CN" w:bidi="ar"/>
        </w:rPr>
        <w:t>泗洪县2026年度一体化调查监测项目</w:t>
      </w:r>
    </w:p>
    <w:p w14:paraId="2ABCBED1">
      <w:pPr>
        <w:ind w:firstLine="1506"/>
        <w:rPr>
          <w:rFonts w:hint="eastAsia" w:ascii="Times New Roman" w:hAnsi="Times New Roman" w:cs="宋体"/>
          <w:b/>
          <w:color w:val="000000"/>
          <w:sz w:val="30"/>
          <w:szCs w:val="30"/>
          <w:highlight w:val="none"/>
          <w:lang w:bidi="ar"/>
        </w:rPr>
      </w:pPr>
    </w:p>
    <w:p w14:paraId="7A68724A">
      <w:pPr>
        <w:ind w:firstLine="1506"/>
        <w:rPr>
          <w:rFonts w:hint="eastAsia" w:ascii="Times New Roman" w:hAnsi="Times New Roman" w:eastAsia="宋体" w:cs="宋体"/>
          <w:b/>
          <w:color w:val="000000"/>
          <w:sz w:val="30"/>
          <w:szCs w:val="30"/>
          <w:highlight w:val="none"/>
          <w:lang w:val="en-US" w:eastAsia="zh-CN" w:bidi="ar"/>
        </w:rPr>
      </w:pPr>
      <w:r>
        <w:rPr>
          <w:rFonts w:hint="eastAsia" w:ascii="Times New Roman" w:hAnsi="Times New Roman" w:cs="宋体"/>
          <w:b/>
          <w:color w:val="000000"/>
          <w:sz w:val="30"/>
          <w:szCs w:val="30"/>
          <w:highlight w:val="none"/>
          <w:lang w:bidi="ar"/>
        </w:rPr>
        <w:t>项目编号：</w:t>
      </w:r>
      <w:r>
        <w:rPr>
          <w:rFonts w:hint="eastAsia" w:ascii="Times New Roman" w:hAnsi="Times New Roman" w:cs="宋体"/>
          <w:b/>
          <w:color w:val="000000"/>
          <w:sz w:val="30"/>
          <w:szCs w:val="30"/>
          <w:highlight w:val="none"/>
        </w:rPr>
        <w:t>JSZC-321324-PHZX-G2026-001</w:t>
      </w:r>
      <w:r>
        <w:rPr>
          <w:rFonts w:hint="eastAsia" w:ascii="Times New Roman" w:hAnsi="Times New Roman" w:cs="宋体"/>
          <w:b/>
          <w:color w:val="000000"/>
          <w:sz w:val="30"/>
          <w:szCs w:val="30"/>
          <w:highlight w:val="none"/>
          <w:lang w:val="en-US" w:eastAsia="zh-CN"/>
        </w:rPr>
        <w:t>3</w:t>
      </w:r>
    </w:p>
    <w:p w14:paraId="696C5E5A">
      <w:pPr>
        <w:ind w:left="2800" w:hanging="2800"/>
        <w:rPr>
          <w:rFonts w:ascii="Times New Roman" w:hAnsi="Times New Roman"/>
          <w:color w:val="000000"/>
          <w:sz w:val="28"/>
          <w:szCs w:val="28"/>
          <w:highlight w:val="none"/>
          <w:lang w:bidi="ar"/>
        </w:rPr>
      </w:pPr>
    </w:p>
    <w:p w14:paraId="15D333F3">
      <w:pPr>
        <w:keepNext w:val="0"/>
        <w:keepLines w:val="0"/>
        <w:pageBreakBefore w:val="0"/>
        <w:widowControl w:val="0"/>
        <w:spacing w:line="360" w:lineRule="auto"/>
        <w:ind w:firstLine="1205"/>
        <w:outlineLvl w:val="0"/>
        <w:rPr>
          <w:rFonts w:hint="eastAsia" w:ascii="Times New Roman" w:hAnsi="Times New Roman"/>
          <w:b/>
          <w:caps w:val="0"/>
          <w:color w:val="000000"/>
          <w:sz w:val="30"/>
          <w:szCs w:val="30"/>
          <w:highlight w:val="none"/>
        </w:rPr>
      </w:pPr>
      <w:r>
        <w:rPr>
          <w:rFonts w:hint="eastAsia" w:ascii="Times New Roman" w:hAnsi="Times New Roman"/>
          <w:b/>
          <w:caps w:val="0"/>
          <w:color w:val="000000"/>
          <w:sz w:val="30"/>
          <w:szCs w:val="30"/>
          <w:highlight w:val="none"/>
        </w:rPr>
        <w:t>（服务类项目</w:t>
      </w:r>
      <w:r>
        <w:rPr>
          <w:rFonts w:ascii="Times New Roman" w:hAnsi="Times New Roman"/>
          <w:b/>
          <w:caps w:val="0"/>
          <w:color w:val="000000"/>
          <w:sz w:val="30"/>
          <w:szCs w:val="30"/>
          <w:highlight w:val="none"/>
        </w:rPr>
        <w:t>，</w:t>
      </w:r>
      <w:r>
        <w:rPr>
          <w:rFonts w:hint="eastAsia"/>
          <w:b/>
          <w:caps w:val="0"/>
          <w:color w:val="000000"/>
          <w:sz w:val="30"/>
          <w:szCs w:val="30"/>
          <w:highlight w:val="none"/>
          <w:u w:val="none"/>
          <w:lang w:val="en-US" w:eastAsia="zh-CN"/>
        </w:rPr>
        <w:t>本项目专</w:t>
      </w:r>
      <w:r>
        <w:rPr>
          <w:rFonts w:hint="eastAsia" w:ascii="Times New Roman" w:hAnsi="Times New Roman"/>
          <w:b/>
          <w:caps w:val="0"/>
          <w:color w:val="000000"/>
          <w:sz w:val="30"/>
          <w:szCs w:val="30"/>
          <w:highlight w:val="none"/>
        </w:rPr>
        <w:t>门面向中小企业</w:t>
      </w:r>
      <w:r>
        <w:rPr>
          <w:rFonts w:hint="eastAsia" w:ascii="Times New Roman" w:hAnsi="Times New Roman"/>
          <w:b/>
          <w:caps w:val="0"/>
          <w:color w:val="000000"/>
          <w:sz w:val="30"/>
          <w:szCs w:val="30"/>
          <w:highlight w:val="none"/>
          <w:lang w:val="en-US" w:eastAsia="zh-CN"/>
        </w:rPr>
        <w:t>采购</w:t>
      </w:r>
      <w:r>
        <w:rPr>
          <w:rFonts w:hint="eastAsia" w:ascii="Times New Roman" w:hAnsi="Times New Roman"/>
          <w:b/>
          <w:caps w:val="0"/>
          <w:color w:val="000000"/>
          <w:sz w:val="30"/>
          <w:szCs w:val="30"/>
          <w:highlight w:val="none"/>
        </w:rPr>
        <w:t>）</w:t>
      </w:r>
    </w:p>
    <w:p w14:paraId="29F43C65">
      <w:pPr>
        <w:ind w:left="2800" w:hanging="2800"/>
        <w:rPr>
          <w:b/>
          <w:color w:val="000000"/>
          <w:sz w:val="28"/>
          <w:szCs w:val="28"/>
          <w:highlight w:val="none"/>
        </w:rPr>
      </w:pPr>
    </w:p>
    <w:p w14:paraId="679CFDE9">
      <w:pPr>
        <w:spacing w:line="360" w:lineRule="auto"/>
        <w:jc w:val="left"/>
        <w:rPr>
          <w:rFonts w:ascii="宋体" w:hAnsi="宋体" w:cs="宋体"/>
          <w:color w:val="000000"/>
          <w:sz w:val="24"/>
          <w:szCs w:val="24"/>
          <w:highlight w:val="none"/>
        </w:rPr>
      </w:pPr>
    </w:p>
    <w:p w14:paraId="6B9D4401">
      <w:pPr>
        <w:spacing w:line="360" w:lineRule="auto"/>
        <w:jc w:val="left"/>
        <w:rPr>
          <w:rFonts w:ascii="宋体" w:hAnsi="宋体" w:cs="宋体"/>
          <w:color w:val="000000"/>
          <w:sz w:val="24"/>
          <w:szCs w:val="24"/>
          <w:highlight w:val="none"/>
        </w:rPr>
      </w:pPr>
    </w:p>
    <w:p w14:paraId="0351FCEF">
      <w:pPr>
        <w:spacing w:line="360" w:lineRule="auto"/>
        <w:jc w:val="left"/>
        <w:rPr>
          <w:rFonts w:ascii="宋体" w:hAnsi="宋体" w:cs="宋体"/>
          <w:color w:val="000000"/>
          <w:sz w:val="24"/>
          <w:szCs w:val="24"/>
          <w:highlight w:val="none"/>
        </w:rPr>
      </w:pPr>
    </w:p>
    <w:p w14:paraId="6B526C3E">
      <w:pPr>
        <w:spacing w:line="360" w:lineRule="auto"/>
        <w:jc w:val="left"/>
        <w:rPr>
          <w:rFonts w:ascii="宋体" w:hAnsi="宋体" w:cs="宋体"/>
          <w:color w:val="000000"/>
          <w:sz w:val="24"/>
          <w:szCs w:val="24"/>
          <w:highlight w:val="none"/>
        </w:rPr>
      </w:pPr>
    </w:p>
    <w:p w14:paraId="05DED0DD">
      <w:pPr>
        <w:spacing w:line="360" w:lineRule="auto"/>
        <w:jc w:val="left"/>
        <w:rPr>
          <w:rFonts w:ascii="宋体" w:hAnsi="宋体" w:cs="宋体"/>
          <w:color w:val="000000"/>
          <w:sz w:val="24"/>
          <w:szCs w:val="24"/>
          <w:highlight w:val="none"/>
        </w:rPr>
      </w:pPr>
    </w:p>
    <w:p w14:paraId="0D5CFF88">
      <w:pPr>
        <w:spacing w:line="360" w:lineRule="auto"/>
        <w:jc w:val="left"/>
        <w:rPr>
          <w:rFonts w:ascii="宋体" w:hAnsi="宋体" w:cs="宋体"/>
          <w:color w:val="000000"/>
          <w:sz w:val="24"/>
          <w:szCs w:val="24"/>
          <w:highlight w:val="none"/>
        </w:rPr>
      </w:pPr>
    </w:p>
    <w:tbl>
      <w:tblPr>
        <w:tblStyle w:val="33"/>
        <w:tblpPr w:leftFromText="180" w:rightFromText="180" w:vertAnchor="text" w:horzAnchor="page" w:tblpX="2413" w:tblpY="466"/>
        <w:tblW w:w="0" w:type="auto"/>
        <w:tblInd w:w="-108" w:type="dxa"/>
        <w:tblLayout w:type="autofit"/>
        <w:tblCellMar>
          <w:top w:w="0" w:type="dxa"/>
          <w:left w:w="108" w:type="dxa"/>
          <w:bottom w:w="0" w:type="dxa"/>
          <w:right w:w="108" w:type="dxa"/>
        </w:tblCellMar>
      </w:tblPr>
      <w:tblGrid>
        <w:gridCol w:w="2675"/>
        <w:gridCol w:w="4752"/>
      </w:tblGrid>
      <w:tr w14:paraId="414E8812">
        <w:tblPrEx>
          <w:tblCellMar>
            <w:top w:w="0" w:type="dxa"/>
            <w:left w:w="108" w:type="dxa"/>
            <w:bottom w:w="0" w:type="dxa"/>
            <w:right w:w="108" w:type="dxa"/>
          </w:tblCellMar>
        </w:tblPrEx>
        <w:trPr>
          <w:trHeight w:val="586" w:hRule="atLeast"/>
        </w:trPr>
        <w:tc>
          <w:tcPr>
            <w:tcW w:w="2675" w:type="dxa"/>
            <w:tcBorders>
              <w:top w:val="nil"/>
              <w:left w:val="nil"/>
              <w:bottom w:val="nil"/>
              <w:right w:val="nil"/>
            </w:tcBorders>
            <w:noWrap w:val="0"/>
            <w:vAlign w:val="center"/>
          </w:tcPr>
          <w:p w14:paraId="331D4B61">
            <w:pPr>
              <w:spacing w:line="500" w:lineRule="exact"/>
              <w:jc w:val="left"/>
              <w:rPr>
                <w:rFonts w:ascii="仿宋" w:hAnsi="仿宋" w:eastAsia="仿宋" w:cs="仿宋"/>
                <w:color w:val="000000"/>
                <w:sz w:val="24"/>
                <w:szCs w:val="24"/>
                <w:highlight w:val="none"/>
              </w:rPr>
            </w:pPr>
            <w:r>
              <w:rPr>
                <w:rFonts w:hint="eastAsia" w:ascii="Times New Roman" w:hAnsi="Times New Roman"/>
                <w:b/>
                <w:bCs/>
                <w:color w:val="000000"/>
                <w:spacing w:val="45"/>
                <w:sz w:val="32"/>
                <w:szCs w:val="24"/>
                <w:highlight w:val="none"/>
              </w:rPr>
              <w:t>采  购 人</w:t>
            </w:r>
            <w:r>
              <w:rPr>
                <w:rFonts w:hint="eastAsia" w:ascii="Times New Roman" w:hAnsi="Times New Roman"/>
                <w:b/>
                <w:bCs/>
                <w:color w:val="000000"/>
                <w:spacing w:val="1"/>
                <w:sz w:val="32"/>
                <w:szCs w:val="24"/>
                <w:highlight w:val="none"/>
              </w:rPr>
              <w:t>：</w:t>
            </w:r>
          </w:p>
        </w:tc>
        <w:tc>
          <w:tcPr>
            <w:tcW w:w="4752" w:type="dxa"/>
            <w:tcBorders>
              <w:top w:val="nil"/>
              <w:left w:val="nil"/>
              <w:bottom w:val="nil"/>
              <w:right w:val="nil"/>
            </w:tcBorders>
            <w:noWrap w:val="0"/>
            <w:vAlign w:val="center"/>
          </w:tcPr>
          <w:p w14:paraId="5C6E94C5">
            <w:pPr>
              <w:spacing w:line="500" w:lineRule="exact"/>
              <w:jc w:val="left"/>
              <w:rPr>
                <w:rFonts w:hint="eastAsia" w:ascii="仿宋" w:hAnsi="仿宋" w:cs="仿宋"/>
                <w:color w:val="000000"/>
                <w:sz w:val="24"/>
                <w:szCs w:val="24"/>
                <w:highlight w:val="none"/>
              </w:rPr>
            </w:pPr>
            <w:r>
              <w:rPr>
                <w:rFonts w:hint="eastAsia" w:ascii="仿宋" w:hAnsi="仿宋" w:cs="仿宋"/>
                <w:color w:val="000000"/>
                <w:sz w:val="24"/>
                <w:szCs w:val="24"/>
                <w:highlight w:val="none"/>
              </w:rPr>
              <w:t>泗洪县自然资源和规划局</w:t>
            </w:r>
          </w:p>
        </w:tc>
      </w:tr>
      <w:tr w14:paraId="758E3A77">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3747E05F">
            <w:pPr>
              <w:spacing w:line="500" w:lineRule="exact"/>
              <w:jc w:val="left"/>
              <w:rPr>
                <w:rFonts w:hint="eastAsia" w:ascii="Times New Roman" w:hAnsi="Times New Roman"/>
                <w:b/>
                <w:bCs/>
                <w:color w:val="000000"/>
                <w:spacing w:val="45"/>
                <w:sz w:val="32"/>
                <w:szCs w:val="24"/>
                <w:highlight w:val="none"/>
              </w:rPr>
            </w:pPr>
            <w:r>
              <w:rPr>
                <w:rFonts w:hint="eastAsia" w:ascii="Times New Roman" w:hAnsi="Times New Roman"/>
                <w:b/>
                <w:bCs/>
                <w:color w:val="000000"/>
                <w:sz w:val="32"/>
                <w:szCs w:val="24"/>
                <w:highlight w:val="none"/>
              </w:rPr>
              <w:t>采购代理机构：</w:t>
            </w:r>
          </w:p>
        </w:tc>
        <w:tc>
          <w:tcPr>
            <w:tcW w:w="4752" w:type="dxa"/>
            <w:tcBorders>
              <w:top w:val="nil"/>
              <w:left w:val="nil"/>
              <w:bottom w:val="nil"/>
              <w:right w:val="nil"/>
            </w:tcBorders>
            <w:noWrap w:val="0"/>
            <w:vAlign w:val="center"/>
          </w:tcPr>
          <w:p w14:paraId="279737B6">
            <w:pPr>
              <w:spacing w:line="500" w:lineRule="exact"/>
              <w:jc w:val="left"/>
              <w:rPr>
                <w:rFonts w:hint="eastAsia" w:ascii="仿宋" w:hAnsi="仿宋" w:cs="仿宋"/>
                <w:color w:val="000000"/>
                <w:sz w:val="24"/>
                <w:szCs w:val="24"/>
                <w:highlight w:val="yellow"/>
              </w:rPr>
            </w:pPr>
            <w:r>
              <w:rPr>
                <w:rFonts w:hint="eastAsia" w:ascii="仿宋" w:hAnsi="仿宋" w:cs="仿宋"/>
                <w:color w:val="000000"/>
                <w:sz w:val="24"/>
                <w:szCs w:val="24"/>
                <w:highlight w:val="none"/>
                <w:lang w:val="en-US" w:eastAsia="zh-CN"/>
              </w:rPr>
              <w:t>江苏普和建设项目咨询有限公司</w:t>
            </w:r>
          </w:p>
        </w:tc>
      </w:tr>
    </w:tbl>
    <w:p w14:paraId="6337348D">
      <w:pPr>
        <w:spacing w:line="360" w:lineRule="auto"/>
        <w:jc w:val="left"/>
        <w:rPr>
          <w:rFonts w:ascii="宋体" w:hAnsi="宋体" w:cs="宋体"/>
          <w:color w:val="000000"/>
          <w:sz w:val="24"/>
          <w:szCs w:val="24"/>
          <w:highlight w:val="none"/>
        </w:rPr>
      </w:pPr>
    </w:p>
    <w:p w14:paraId="727B0361">
      <w:pPr>
        <w:spacing w:before="120" w:after="120" w:line="360" w:lineRule="auto"/>
        <w:ind w:firstLine="964"/>
        <w:jc w:val="left"/>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p>
    <w:p w14:paraId="75D7F44C">
      <w:pPr>
        <w:spacing w:before="120" w:after="120" w:line="360" w:lineRule="auto"/>
        <w:jc w:val="center"/>
        <w:rPr>
          <w:rFonts w:ascii="Arial" w:hAnsi="Arial"/>
          <w:b/>
          <w:color w:val="000000"/>
          <w:sz w:val="32"/>
          <w:szCs w:val="24"/>
          <w:highlight w:val="none"/>
        </w:rPr>
      </w:pPr>
      <w:r>
        <w:rPr>
          <w:rFonts w:ascii="Arial" w:hAnsi="Arial"/>
          <w:b/>
          <w:color w:val="000000"/>
          <w:sz w:val="32"/>
          <w:szCs w:val="24"/>
          <w:highlight w:val="none"/>
          <w:lang w:bidi="ar"/>
        </w:rPr>
        <w:t>202</w:t>
      </w:r>
      <w:r>
        <w:rPr>
          <w:rFonts w:hint="eastAsia" w:ascii="Arial" w:hAnsi="Arial"/>
          <w:b/>
          <w:color w:val="000000"/>
          <w:sz w:val="32"/>
          <w:szCs w:val="24"/>
          <w:highlight w:val="none"/>
          <w:lang w:val="en-US" w:eastAsia="zh-CN" w:bidi="ar"/>
        </w:rPr>
        <w:t>6</w:t>
      </w:r>
      <w:r>
        <w:rPr>
          <w:rFonts w:hint="eastAsia" w:ascii="Arial" w:hAnsi="Arial" w:cs="宋体"/>
          <w:b/>
          <w:color w:val="000000"/>
          <w:sz w:val="32"/>
          <w:szCs w:val="24"/>
          <w:highlight w:val="none"/>
          <w:lang w:bidi="ar"/>
        </w:rPr>
        <w:t>年</w:t>
      </w:r>
      <w:r>
        <w:rPr>
          <w:rFonts w:hint="eastAsia" w:ascii="Arial" w:hAnsi="Arial" w:cs="宋体"/>
          <w:b/>
          <w:color w:val="000000"/>
          <w:sz w:val="32"/>
          <w:szCs w:val="24"/>
          <w:highlight w:val="none"/>
          <w:lang w:val="en-US" w:eastAsia="zh-CN" w:bidi="ar"/>
        </w:rPr>
        <w:t>10</w:t>
      </w:r>
      <w:r>
        <w:rPr>
          <w:rFonts w:hint="eastAsia" w:ascii="Arial" w:hAnsi="Arial" w:cs="宋体"/>
          <w:b/>
          <w:color w:val="000000"/>
          <w:sz w:val="32"/>
          <w:szCs w:val="24"/>
          <w:highlight w:val="none"/>
          <w:lang w:bidi="ar"/>
        </w:rPr>
        <w:t>月</w:t>
      </w:r>
      <w:r>
        <w:rPr>
          <w:rFonts w:hint="eastAsia" w:ascii="Arial" w:hAnsi="Arial" w:cs="宋体"/>
          <w:b/>
          <w:color w:val="000000"/>
          <w:sz w:val="32"/>
          <w:szCs w:val="24"/>
          <w:highlight w:val="none"/>
          <w:lang w:val="en-US" w:eastAsia="zh-CN" w:bidi="ar"/>
        </w:rPr>
        <w:t>22</w:t>
      </w:r>
      <w:r>
        <w:rPr>
          <w:rFonts w:hint="eastAsia" w:ascii="Arial" w:hAnsi="Arial" w:cs="宋体"/>
          <w:b/>
          <w:color w:val="000000"/>
          <w:sz w:val="32"/>
          <w:szCs w:val="24"/>
          <w:highlight w:val="none"/>
          <w:lang w:bidi="ar"/>
        </w:rPr>
        <w:t>日</w:t>
      </w:r>
    </w:p>
    <w:p w14:paraId="704042F4">
      <w:pPr>
        <w:keepNext/>
        <w:keepLines/>
        <w:pageBreakBefore/>
        <w:jc w:val="center"/>
        <w:rPr>
          <w:b/>
          <w:color w:val="000000"/>
          <w:sz w:val="44"/>
          <w:szCs w:val="44"/>
          <w:highlight w:val="none"/>
        </w:rPr>
      </w:pPr>
      <w:r>
        <w:rPr>
          <w:rFonts w:hint="eastAsia"/>
          <w:b/>
          <w:color w:val="000000"/>
          <w:sz w:val="44"/>
          <w:szCs w:val="44"/>
          <w:highlight w:val="none"/>
        </w:rPr>
        <w:t>目 录</w:t>
      </w:r>
    </w:p>
    <w:p w14:paraId="16154F8E">
      <w:pPr>
        <w:pStyle w:val="100"/>
        <w:tabs>
          <w:tab w:val="right" w:leader="dot" w:pos="9185"/>
        </w:tabs>
        <w:spacing w:line="600" w:lineRule="exact"/>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p>
    <w:p w14:paraId="7545D435">
      <w:pPr>
        <w:pStyle w:val="100"/>
        <w:tabs>
          <w:tab w:val="right" w:leader="dot" w:pos="9185"/>
        </w:tabs>
        <w:spacing w:line="600" w:lineRule="exact"/>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p>
    <w:p w14:paraId="38393BC1">
      <w:pPr>
        <w:pStyle w:val="100"/>
        <w:tabs>
          <w:tab w:val="right" w:leader="dot" w:pos="9185"/>
        </w:tabs>
        <w:spacing w:line="600" w:lineRule="exact"/>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20</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p>
    <w:p w14:paraId="7F06951F">
      <w:pPr>
        <w:pStyle w:val="100"/>
        <w:tabs>
          <w:tab w:val="right" w:leader="dot" w:pos="9185"/>
        </w:tabs>
        <w:spacing w:line="600" w:lineRule="exact"/>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22</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p>
    <w:p w14:paraId="5357143A">
      <w:pPr>
        <w:pStyle w:val="100"/>
        <w:tabs>
          <w:tab w:val="right" w:leader="dot" w:pos="9185"/>
        </w:tabs>
        <w:spacing w:line="600" w:lineRule="exact"/>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合同文本</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_Toc2513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25</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p>
    <w:p w14:paraId="28749199">
      <w:pPr>
        <w:pStyle w:val="100"/>
        <w:tabs>
          <w:tab w:val="right" w:leader="dot" w:pos="9185"/>
        </w:tabs>
        <w:spacing w:line="600" w:lineRule="exact"/>
        <w:rPr>
          <w:color w:val="000000"/>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_Toc12937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42</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p>
    <w:p w14:paraId="025A9D57">
      <w:pPr>
        <w:rPr>
          <w:color w:val="000000"/>
          <w:highlight w:val="none"/>
        </w:rPr>
      </w:pPr>
      <w:r>
        <w:rPr>
          <w:color w:val="000000"/>
          <w:highlight w:val="none"/>
        </w:rPr>
        <w:fldChar w:fldCharType="end"/>
      </w:r>
    </w:p>
    <w:p w14:paraId="0A58AB1B">
      <w:pPr>
        <w:keepNext/>
        <w:keepLines/>
        <w:pageBreakBefore/>
        <w:jc w:val="center"/>
        <w:outlineLvl w:val="9"/>
        <w:rPr>
          <w:b/>
          <w:color w:val="000000"/>
          <w:sz w:val="44"/>
          <w:szCs w:val="44"/>
          <w:highlight w:val="none"/>
        </w:rPr>
        <w:sectPr>
          <w:footerReference r:id="rId5" w:type="first"/>
          <w:headerReference r:id="rId3" w:type="default"/>
          <w:footerReference r:id="rId4" w:type="default"/>
          <w:pgSz w:w="11907" w:h="16840"/>
          <w:pgMar w:top="1474" w:right="1304" w:bottom="1474" w:left="1418" w:header="851" w:footer="851" w:gutter="0"/>
          <w:cols w:space="1701" w:num="1"/>
          <w:docGrid w:linePitch="360" w:charSpace="0"/>
        </w:sectPr>
      </w:pPr>
      <w:bookmarkStart w:id="2" w:name="_Toc81575152"/>
      <w:bookmarkStart w:id="3" w:name="_Toc81575189"/>
    </w:p>
    <w:p w14:paraId="57C5FD9A">
      <w:pPr>
        <w:pStyle w:val="43"/>
        <w:spacing w:before="200"/>
        <w:jc w:val="center"/>
        <w:rPr>
          <w:rFonts w:hint="eastAsia" w:eastAsia="黑体"/>
          <w:color w:val="000000"/>
          <w:sz w:val="44"/>
          <w:highlight w:val="none"/>
        </w:rPr>
      </w:pPr>
      <w:bookmarkStart w:id="4" w:name="_Toc10813"/>
      <w:bookmarkStart w:id="5" w:name="_Toc30943"/>
      <w:bookmarkStart w:id="6" w:name="_Toc25722"/>
      <w:r>
        <w:rPr>
          <w:rFonts w:hint="eastAsia" w:eastAsia="黑体"/>
          <w:color w:val="000000"/>
          <w:sz w:val="44"/>
          <w:highlight w:val="none"/>
        </w:rPr>
        <w:t>第一章  投标邀请</w:t>
      </w:r>
      <w:bookmarkEnd w:id="2"/>
      <w:bookmarkEnd w:id="3"/>
      <w:bookmarkEnd w:id="4"/>
      <w:bookmarkEnd w:id="5"/>
      <w:bookmarkEnd w:id="6"/>
    </w:p>
    <w:p w14:paraId="2B3C9334">
      <w:pPr>
        <w:spacing w:line="480" w:lineRule="exact"/>
        <w:ind w:firstLine="480"/>
        <w:rPr>
          <w:rFonts w:ascii="Times New Roman" w:hAnsi="Times New Roman" w:cs="方正仿宋_GBK"/>
          <w:color w:val="000000"/>
          <w:sz w:val="24"/>
          <w:szCs w:val="24"/>
          <w:highlight w:val="none"/>
        </w:rPr>
      </w:pPr>
      <w:r>
        <w:rPr>
          <w:rFonts w:hint="eastAsia" w:ascii="宋体" w:hAnsi="宋体"/>
          <w:color w:val="000000"/>
          <w:sz w:val="24"/>
          <w:szCs w:val="24"/>
          <w:highlight w:val="none"/>
        </w:rPr>
        <w:t>受</w:t>
      </w:r>
      <w:r>
        <w:rPr>
          <w:rFonts w:hint="eastAsia" w:ascii="宋体" w:hAnsi="宋体"/>
          <w:color w:val="000000"/>
          <w:sz w:val="24"/>
          <w:szCs w:val="24"/>
          <w:highlight w:val="none"/>
          <w:u w:val="single"/>
          <w:lang w:eastAsia="zh-CN"/>
        </w:rPr>
        <w:t>泗洪县自然资源和规划局</w:t>
      </w:r>
      <w:r>
        <w:rPr>
          <w:rFonts w:hint="eastAsia" w:ascii="宋体" w:hAnsi="宋体"/>
          <w:color w:val="000000"/>
          <w:sz w:val="24"/>
          <w:szCs w:val="24"/>
          <w:highlight w:val="none"/>
        </w:rPr>
        <w:t>的委托，</w:t>
      </w:r>
      <w:r>
        <w:rPr>
          <w:rFonts w:hint="eastAsia" w:ascii="宋体" w:hAnsi="宋体"/>
          <w:color w:val="000000"/>
          <w:sz w:val="24"/>
          <w:szCs w:val="24"/>
          <w:highlight w:val="none"/>
          <w:u w:val="single"/>
        </w:rPr>
        <w:t>江苏普和建设项目咨询有限公司</w:t>
      </w:r>
      <w:r>
        <w:rPr>
          <w:rFonts w:hint="eastAsia" w:ascii="Times New Roman" w:hAnsi="Times New Roman" w:cs="方正仿宋_GBK"/>
          <w:color w:val="000000"/>
          <w:sz w:val="24"/>
          <w:szCs w:val="24"/>
          <w:highlight w:val="none"/>
        </w:rPr>
        <w:t>就</w:t>
      </w:r>
      <w:r>
        <w:rPr>
          <w:rFonts w:hint="eastAsia" w:ascii="Times New Roman" w:hAnsi="Times New Roman" w:cs="方正仿宋_GBK"/>
          <w:color w:val="000000"/>
          <w:sz w:val="24"/>
          <w:szCs w:val="24"/>
          <w:highlight w:val="none"/>
          <w:u w:val="single"/>
          <w:lang w:eastAsia="zh-CN"/>
        </w:rPr>
        <w:t>泗洪县2026年度一体化调查监测项目（</w:t>
      </w:r>
      <w:r>
        <w:rPr>
          <w:rFonts w:hint="eastAsia" w:ascii="宋体" w:hAnsi="宋体"/>
          <w:color w:val="000000"/>
          <w:sz w:val="24"/>
          <w:szCs w:val="24"/>
          <w:highlight w:val="none"/>
        </w:rPr>
        <w:t>JSZC-321324-PHZX-G2026-001</w:t>
      </w:r>
      <w:r>
        <w:rPr>
          <w:rFonts w:hint="eastAsia" w:ascii="宋体" w:hAnsi="宋体"/>
          <w:color w:val="000000"/>
          <w:sz w:val="24"/>
          <w:szCs w:val="24"/>
          <w:highlight w:val="none"/>
          <w:lang w:val="en-US" w:eastAsia="zh-CN"/>
        </w:rPr>
        <w:t>3</w:t>
      </w:r>
      <w:r>
        <w:rPr>
          <w:rFonts w:hint="eastAsia" w:ascii="宋体" w:hAnsi="宋体"/>
          <w:color w:val="000000"/>
          <w:sz w:val="24"/>
          <w:szCs w:val="24"/>
          <w:highlight w:val="none"/>
          <w:lang w:eastAsia="zh-CN"/>
        </w:rPr>
        <w:t>）</w:t>
      </w:r>
      <w:r>
        <w:rPr>
          <w:rFonts w:hint="eastAsia" w:ascii="Times New Roman" w:hAnsi="Times New Roman" w:cs="方正仿宋_GBK"/>
          <w:color w:val="000000"/>
          <w:sz w:val="24"/>
          <w:szCs w:val="24"/>
          <w:highlight w:val="none"/>
        </w:rPr>
        <w:t>进行公开招标采购，欢迎符合条件的投标人投标。</w:t>
      </w:r>
    </w:p>
    <w:p w14:paraId="0A13E0AD">
      <w:pPr>
        <w:pBdr>
          <w:top w:val="single" w:color="000000" w:sz="4" w:space="1"/>
          <w:left w:val="single" w:color="000000" w:sz="4" w:space="4"/>
          <w:bottom w:val="single" w:color="000000" w:sz="4" w:space="1"/>
          <w:right w:val="single" w:color="000000" w:sz="4" w:space="4"/>
        </w:pBdr>
        <w:spacing w:line="480" w:lineRule="exact"/>
        <w:ind w:firstLine="480"/>
        <w:rPr>
          <w:rFonts w:ascii="Times New Roman" w:hAnsi="Times New Roman" w:cs="方正仿宋_GBK"/>
          <w:color w:val="000000"/>
          <w:sz w:val="24"/>
          <w:szCs w:val="24"/>
          <w:highlight w:val="none"/>
        </w:rPr>
      </w:pPr>
      <w:r>
        <w:rPr>
          <w:rFonts w:hint="eastAsia" w:ascii="Times New Roman" w:hAnsi="Times New Roman" w:cs="方正仿宋_GBK"/>
          <w:color w:val="000000"/>
          <w:sz w:val="24"/>
          <w:szCs w:val="24"/>
          <w:highlight w:val="none"/>
        </w:rPr>
        <w:t>项目概况</w:t>
      </w:r>
    </w:p>
    <w:p w14:paraId="0EEE470B">
      <w:pPr>
        <w:pBdr>
          <w:top w:val="single" w:color="000000" w:sz="4" w:space="1"/>
          <w:left w:val="single" w:color="000000" w:sz="4" w:space="4"/>
          <w:bottom w:val="single" w:color="000000" w:sz="4" w:space="1"/>
          <w:right w:val="single" w:color="000000" w:sz="4" w:space="4"/>
        </w:pBdr>
        <w:spacing w:line="480" w:lineRule="exact"/>
        <w:ind w:firstLine="480"/>
        <w:rPr>
          <w:rFonts w:ascii="方正仿宋_GBK" w:hAnsi="方正仿宋_GBK" w:eastAsia="方正仿宋_GBK" w:cs="方正仿宋_GBK"/>
          <w:color w:val="000000"/>
          <w:sz w:val="24"/>
          <w:szCs w:val="24"/>
          <w:highlight w:val="none"/>
        </w:rPr>
      </w:pPr>
      <w:r>
        <w:rPr>
          <w:rFonts w:hint="eastAsia" w:ascii="宋体" w:hAnsi="宋体"/>
          <w:color w:val="000000"/>
          <w:sz w:val="24"/>
          <w:szCs w:val="24"/>
          <w:highlight w:val="none"/>
          <w:u w:val="single"/>
          <w:lang w:eastAsia="zh-CN"/>
        </w:rPr>
        <w:t>泗洪县2026年度一体化调查监测项目</w:t>
      </w:r>
      <w:r>
        <w:rPr>
          <w:rFonts w:hint="eastAsia" w:ascii="Times New Roman" w:hAnsi="Times New Roman" w:cs="方正仿宋_GBK"/>
          <w:color w:val="000000"/>
          <w:sz w:val="24"/>
          <w:szCs w:val="24"/>
          <w:highlight w:val="none"/>
        </w:rPr>
        <w:t>招标项目的潜在投标人可在</w:t>
      </w:r>
      <w:r>
        <w:rPr>
          <w:rFonts w:hint="eastAsia" w:ascii="Times New Roman" w:hAnsi="Times New Roman" w:cs="方正仿宋_GBK"/>
          <w:color w:val="000000"/>
          <w:sz w:val="24"/>
          <w:szCs w:val="24"/>
          <w:highlight w:val="none"/>
          <w:u w:val="single"/>
        </w:rPr>
        <w:t>“江苏政府采购网”、“宿迁市政府采购网”自行免费</w:t>
      </w:r>
      <w:r>
        <w:rPr>
          <w:rFonts w:hint="eastAsia" w:ascii="Times New Roman" w:hAnsi="Times New Roman" w:cs="方正仿宋_GBK"/>
          <w:color w:val="000000"/>
          <w:sz w:val="24"/>
          <w:szCs w:val="24"/>
          <w:highlight w:val="none"/>
        </w:rPr>
        <w:t>获取招标文件，并于</w:t>
      </w:r>
      <w:r>
        <w:rPr>
          <w:rFonts w:hint="eastAsia" w:ascii="宋体" w:hAnsi="宋体"/>
          <w:color w:val="000000"/>
          <w:sz w:val="24"/>
          <w:szCs w:val="24"/>
          <w:highlight w:val="none"/>
          <w:u w:val="single"/>
        </w:rPr>
        <w:t>202</w:t>
      </w:r>
      <w:r>
        <w:rPr>
          <w:rFonts w:hint="eastAsia" w:ascii="宋体" w:hAnsi="宋体"/>
          <w:color w:val="000000"/>
          <w:sz w:val="24"/>
          <w:szCs w:val="24"/>
          <w:highlight w:val="none"/>
          <w:u w:val="single"/>
          <w:lang w:val="en-US" w:eastAsia="zh-CN"/>
        </w:rPr>
        <w:t>6</w:t>
      </w:r>
      <w:r>
        <w:rPr>
          <w:rFonts w:hint="eastAsia" w:ascii="宋体" w:hAnsi="宋体"/>
          <w:bCs/>
          <w:color w:val="000000"/>
          <w:sz w:val="24"/>
          <w:szCs w:val="24"/>
          <w:highlight w:val="none"/>
          <w:u w:val="single"/>
        </w:rPr>
        <w:t>年</w:t>
      </w:r>
      <w:r>
        <w:rPr>
          <w:rFonts w:hint="eastAsia" w:ascii="宋体" w:hAnsi="宋体"/>
          <w:bCs/>
          <w:color w:val="000000"/>
          <w:sz w:val="24"/>
          <w:szCs w:val="24"/>
          <w:highlight w:val="none"/>
          <w:u w:val="single"/>
          <w:lang w:val="en-US" w:eastAsia="zh-CN"/>
        </w:rPr>
        <w:t>11</w:t>
      </w:r>
      <w:r>
        <w:rPr>
          <w:rFonts w:hint="eastAsia" w:ascii="宋体" w:hAnsi="宋体"/>
          <w:bCs/>
          <w:color w:val="000000"/>
          <w:sz w:val="24"/>
          <w:szCs w:val="24"/>
          <w:highlight w:val="none"/>
          <w:u w:val="single"/>
        </w:rPr>
        <w:t>月</w:t>
      </w:r>
      <w:r>
        <w:rPr>
          <w:rFonts w:hint="eastAsia" w:ascii="宋体" w:hAnsi="宋体"/>
          <w:bCs/>
          <w:color w:val="000000"/>
          <w:sz w:val="24"/>
          <w:szCs w:val="24"/>
          <w:highlight w:val="none"/>
          <w:u w:val="single"/>
          <w:lang w:val="en-US" w:eastAsia="zh-CN"/>
        </w:rPr>
        <w:t>16</w:t>
      </w:r>
      <w:r>
        <w:rPr>
          <w:rFonts w:hint="eastAsia" w:ascii="宋体" w:hAnsi="宋体"/>
          <w:bCs/>
          <w:color w:val="000000"/>
          <w:sz w:val="24"/>
          <w:szCs w:val="24"/>
          <w:highlight w:val="none"/>
          <w:u w:val="single"/>
        </w:rPr>
        <w:t>日09点</w:t>
      </w:r>
      <w:r>
        <w:rPr>
          <w:rFonts w:hint="eastAsia" w:ascii="宋体" w:hAnsi="宋体"/>
          <w:bCs/>
          <w:color w:val="000000"/>
          <w:sz w:val="24"/>
          <w:szCs w:val="24"/>
          <w:highlight w:val="none"/>
          <w:u w:val="single"/>
          <w:lang w:val="en-US" w:eastAsia="zh-CN"/>
        </w:rPr>
        <w:t>0</w:t>
      </w:r>
      <w:r>
        <w:rPr>
          <w:rFonts w:hint="eastAsia" w:ascii="宋体" w:hAnsi="宋体"/>
          <w:bCs/>
          <w:color w:val="000000"/>
          <w:sz w:val="24"/>
          <w:szCs w:val="24"/>
          <w:highlight w:val="none"/>
          <w:u w:val="single"/>
        </w:rPr>
        <w:t>0分（</w:t>
      </w:r>
      <w:r>
        <w:rPr>
          <w:rFonts w:hint="eastAsia" w:ascii="宋体" w:hAnsi="宋体"/>
          <w:bCs/>
          <w:color w:val="000000"/>
          <w:sz w:val="24"/>
          <w:szCs w:val="24"/>
          <w:highlight w:val="none"/>
        </w:rPr>
        <w:t>北京时间）</w:t>
      </w:r>
      <w:r>
        <w:rPr>
          <w:rFonts w:hint="eastAsia" w:ascii="Times New Roman" w:hAnsi="Times New Roman" w:cs="方正仿宋_GBK"/>
          <w:bCs/>
          <w:color w:val="000000"/>
          <w:sz w:val="24"/>
          <w:szCs w:val="24"/>
          <w:highlight w:val="none"/>
        </w:rPr>
        <w:t>前递交投标文件</w:t>
      </w:r>
      <w:r>
        <w:rPr>
          <w:rFonts w:hint="eastAsia" w:ascii="Times New Roman" w:hAnsi="Times New Roman" w:cs="方正仿宋_GBK"/>
          <w:color w:val="000000"/>
          <w:sz w:val="24"/>
          <w:szCs w:val="24"/>
          <w:highlight w:val="none"/>
        </w:rPr>
        <w:t>。</w:t>
      </w:r>
    </w:p>
    <w:p w14:paraId="6092B5A7">
      <w:pPr>
        <w:pStyle w:val="44"/>
        <w:spacing w:before="0" w:after="0" w:line="480" w:lineRule="exact"/>
        <w:ind w:firstLine="643"/>
        <w:rPr>
          <w:rFonts w:hint="eastAsia" w:eastAsia="宋体" w:cs="Arial"/>
          <w:bCs/>
          <w:color w:val="000000"/>
          <w:szCs w:val="22"/>
          <w:highlight w:val="none"/>
        </w:rPr>
      </w:pPr>
      <w:bookmarkStart w:id="7" w:name="_Toc28359002"/>
      <w:bookmarkStart w:id="8" w:name="_Toc2584"/>
      <w:bookmarkStart w:id="9" w:name="_Toc35393790"/>
      <w:bookmarkStart w:id="10" w:name="_Toc28359079"/>
      <w:bookmarkStart w:id="11" w:name="_Toc35393621"/>
      <w:bookmarkStart w:id="12" w:name="_Toc38985263"/>
      <w:bookmarkStart w:id="13" w:name="_Hlk24379207"/>
      <w:r>
        <w:rPr>
          <w:rFonts w:hint="eastAsia" w:eastAsia="宋体" w:cs="Arial"/>
          <w:bCs/>
          <w:color w:val="000000"/>
          <w:szCs w:val="22"/>
          <w:highlight w:val="none"/>
        </w:rPr>
        <w:t>一、项目基本情况</w:t>
      </w:r>
      <w:bookmarkEnd w:id="7"/>
      <w:bookmarkEnd w:id="8"/>
      <w:bookmarkEnd w:id="9"/>
      <w:bookmarkEnd w:id="10"/>
      <w:bookmarkEnd w:id="11"/>
      <w:bookmarkEnd w:id="12"/>
    </w:p>
    <w:p w14:paraId="65014A98">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1.项目编号：JSZC-321324-PHZX-G2026-001</w:t>
      </w:r>
      <w:r>
        <w:rPr>
          <w:rFonts w:hint="eastAsia" w:ascii="Times New Roman" w:hAnsi="Times New Roman" w:cs="仿宋"/>
          <w:color w:val="000000"/>
          <w:sz w:val="24"/>
          <w:szCs w:val="24"/>
          <w:highlight w:val="none"/>
          <w:lang w:val="en-US" w:eastAsia="zh-CN"/>
        </w:rPr>
        <w:t>3</w:t>
      </w:r>
      <w:r>
        <w:rPr>
          <w:rFonts w:hint="eastAsia" w:ascii="Times New Roman" w:hAnsi="Times New Roman" w:cs="仿宋"/>
          <w:color w:val="000000"/>
          <w:sz w:val="24"/>
          <w:szCs w:val="24"/>
          <w:highlight w:val="none"/>
        </w:rPr>
        <w:t xml:space="preserve">  </w:t>
      </w:r>
    </w:p>
    <w:p w14:paraId="0B33E1E6">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2.项目名称：</w:t>
      </w:r>
      <w:bookmarkEnd w:id="13"/>
      <w:r>
        <w:rPr>
          <w:rFonts w:hint="eastAsia" w:ascii="Times New Roman" w:hAnsi="Times New Roman" w:cs="仿宋"/>
          <w:color w:val="000000"/>
          <w:sz w:val="24"/>
          <w:szCs w:val="24"/>
          <w:highlight w:val="none"/>
          <w:lang w:eastAsia="zh-CN"/>
        </w:rPr>
        <w:t>泗洪县2026年度一体化调查监测项目</w:t>
      </w:r>
    </w:p>
    <w:p w14:paraId="71537E18">
      <w:pPr>
        <w:spacing w:line="480" w:lineRule="exact"/>
        <w:ind w:firstLine="480"/>
        <w:rPr>
          <w:rFonts w:ascii="仿宋" w:hAnsi="仿宋" w:eastAsia="宋体"/>
          <w:color w:val="000000"/>
          <w:sz w:val="24"/>
          <w:szCs w:val="24"/>
          <w:highlight w:val="none"/>
          <w:lang w:val="en-US" w:eastAsia="zh-CN"/>
        </w:rPr>
      </w:pPr>
      <w:r>
        <w:rPr>
          <w:rFonts w:hint="eastAsia" w:ascii="Times New Roman" w:hAnsi="Times New Roman" w:cs="仿宋"/>
          <w:color w:val="000000"/>
          <w:sz w:val="24"/>
          <w:szCs w:val="24"/>
          <w:highlight w:val="none"/>
        </w:rPr>
        <w:t>3.预算金额：</w:t>
      </w:r>
      <w:r>
        <w:rPr>
          <w:rFonts w:hint="eastAsia" w:ascii="Times New Roman" w:hAnsi="Times New Roman" w:cs="仿宋"/>
          <w:color w:val="000000"/>
          <w:sz w:val="24"/>
          <w:szCs w:val="24"/>
          <w:highlight w:val="none"/>
          <w:lang w:val="en-US" w:eastAsia="zh-CN"/>
        </w:rPr>
        <w:t>248万元</w:t>
      </w:r>
    </w:p>
    <w:p w14:paraId="71853F12">
      <w:pPr>
        <w:spacing w:line="480" w:lineRule="exact"/>
        <w:ind w:firstLine="480"/>
        <w:rPr>
          <w:rFonts w:hint="eastAsia" w:ascii="仿宋" w:hAnsi="仿宋"/>
          <w:color w:val="000000"/>
          <w:sz w:val="24"/>
          <w:szCs w:val="24"/>
          <w:highlight w:val="none"/>
        </w:rPr>
      </w:pPr>
      <w:r>
        <w:rPr>
          <w:rFonts w:hint="eastAsia" w:ascii="Times New Roman" w:hAnsi="Times New Roman" w:cs="仿宋"/>
          <w:color w:val="000000"/>
          <w:sz w:val="24"/>
          <w:szCs w:val="24"/>
          <w:highlight w:val="none"/>
        </w:rPr>
        <w:t>4.最高限价</w:t>
      </w:r>
      <w:r>
        <w:rPr>
          <w:rFonts w:hint="eastAsia" w:ascii="仿宋_GB2312"/>
          <w:color w:val="000000"/>
          <w:sz w:val="24"/>
          <w:highlight w:val="none"/>
        </w:rPr>
        <w:t>：</w:t>
      </w:r>
      <w:bookmarkStart w:id="14" w:name="EB6c1f3d39c6914ae1bada8ccaa777b37a"/>
      <w:r>
        <w:rPr>
          <w:rFonts w:hint="eastAsia" w:ascii="Times New Roman" w:hAnsi="Times New Roman" w:cs="仿宋"/>
          <w:color w:val="000000"/>
          <w:sz w:val="24"/>
          <w:szCs w:val="24"/>
          <w:highlight w:val="none"/>
          <w:lang w:val="en-US" w:eastAsia="zh-CN"/>
        </w:rPr>
        <w:t>248万元</w:t>
      </w:r>
      <w:bookmarkEnd w:id="14"/>
    </w:p>
    <w:p w14:paraId="280F6EB5">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5.采购需求（简介）：泗洪县自然资源和规划局拟开展自然资源监测（含城市国土空间监测）、国土变更调查、林草湿地调查监测、2026年度卫片监测预警图斑核实处置等</w:t>
      </w:r>
      <w:r>
        <w:rPr>
          <w:rFonts w:hint="eastAsia" w:ascii="Times New Roman" w:hAnsi="Times New Roman" w:cs="仿宋"/>
          <w:color w:val="000000"/>
          <w:sz w:val="24"/>
          <w:szCs w:val="24"/>
          <w:highlight w:val="none"/>
          <w:lang w:val="en-US" w:eastAsia="zh-CN"/>
        </w:rPr>
        <w:t>项目。</w:t>
      </w:r>
      <w:r>
        <w:rPr>
          <w:rFonts w:hint="eastAsia" w:ascii="Times New Roman" w:hAnsi="Times New Roman" w:cs="仿宋"/>
          <w:color w:val="000000"/>
          <w:sz w:val="24"/>
          <w:szCs w:val="24"/>
          <w:highlight w:val="none"/>
          <w:lang w:eastAsia="zh-CN"/>
        </w:rPr>
        <w:t>（</w:t>
      </w:r>
      <w:r>
        <w:rPr>
          <w:rFonts w:hint="eastAsia" w:ascii="Times New Roman" w:hAnsi="Times New Roman" w:cs="仿宋"/>
          <w:color w:val="000000"/>
          <w:sz w:val="24"/>
          <w:szCs w:val="24"/>
          <w:highlight w:val="none"/>
          <w:lang w:val="en-US" w:eastAsia="zh-CN"/>
        </w:rPr>
        <w:t>具体需求详见采购文件</w:t>
      </w:r>
      <w:r>
        <w:rPr>
          <w:rFonts w:hint="eastAsia" w:ascii="Times New Roman" w:hAnsi="Times New Roman" w:cs="仿宋"/>
          <w:color w:val="000000"/>
          <w:sz w:val="24"/>
          <w:szCs w:val="24"/>
          <w:highlight w:val="none"/>
          <w:lang w:eastAsia="zh-CN"/>
        </w:rPr>
        <w:t>）</w:t>
      </w:r>
    </w:p>
    <w:p w14:paraId="3817305F">
      <w:pPr>
        <w:spacing w:line="480" w:lineRule="exact"/>
        <w:ind w:firstLine="480"/>
        <w:rPr>
          <w:rFonts w:hint="eastAsia"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rPr>
        <w:t>6.合同履行期限：</w:t>
      </w:r>
      <w:r>
        <w:rPr>
          <w:rFonts w:hint="eastAsia" w:ascii="宋体" w:hAnsi="宋体" w:eastAsia="宋体" w:cs="宋体"/>
          <w:sz w:val="24"/>
          <w:szCs w:val="24"/>
          <w:highlight w:val="none"/>
          <w:shd w:val="clear" w:color="auto" w:fill="FFFFFF"/>
        </w:rPr>
        <w:t>服务期一年，按照国家、省以及甲方要求的节点提交相关成果。</w:t>
      </w:r>
    </w:p>
    <w:p w14:paraId="0A880553">
      <w:pPr>
        <w:spacing w:line="480" w:lineRule="exact"/>
        <w:ind w:firstLine="480"/>
        <w:outlineLvl w:val="2"/>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7.本项目</w:t>
      </w:r>
      <w:r>
        <w:rPr>
          <w:rFonts w:hint="eastAsia" w:ascii="Times New Roman" w:hAnsi="Times New Roman" w:cs="仿宋"/>
          <w:color w:val="000000"/>
          <w:sz w:val="24"/>
          <w:szCs w:val="24"/>
          <w:highlight w:val="none"/>
          <w:u w:val="single"/>
        </w:rPr>
        <w:t xml:space="preserve"> 不接受 </w:t>
      </w:r>
      <w:r>
        <w:rPr>
          <w:rFonts w:hint="eastAsia" w:ascii="Times New Roman" w:hAnsi="Times New Roman" w:cs="仿宋"/>
          <w:color w:val="000000"/>
          <w:sz w:val="24"/>
          <w:szCs w:val="24"/>
          <w:highlight w:val="none"/>
        </w:rPr>
        <w:t>联合体投标。</w:t>
      </w:r>
    </w:p>
    <w:p w14:paraId="2508803A">
      <w:pPr>
        <w:pStyle w:val="44"/>
        <w:spacing w:before="0" w:after="0" w:line="480" w:lineRule="exact"/>
        <w:ind w:firstLine="643"/>
        <w:rPr>
          <w:rFonts w:hint="eastAsia" w:eastAsia="宋体" w:cs="Arial"/>
          <w:bCs/>
          <w:color w:val="000000"/>
          <w:szCs w:val="22"/>
          <w:highlight w:val="none"/>
        </w:rPr>
      </w:pPr>
      <w:bookmarkStart w:id="15" w:name="_Toc28359003"/>
      <w:bookmarkStart w:id="16" w:name="_Toc28359080"/>
      <w:bookmarkStart w:id="17" w:name="_Toc35393791"/>
      <w:bookmarkStart w:id="18" w:name="_Toc35393622"/>
      <w:bookmarkStart w:id="19" w:name="_Toc38985264"/>
      <w:bookmarkStart w:id="20" w:name="_Toc27291"/>
      <w:r>
        <w:rPr>
          <w:rFonts w:hint="eastAsia" w:eastAsia="宋体" w:cs="Arial"/>
          <w:bCs/>
          <w:color w:val="000000"/>
          <w:szCs w:val="22"/>
          <w:highlight w:val="none"/>
        </w:rPr>
        <w:t>二、申请人的资格要求</w:t>
      </w:r>
      <w:bookmarkEnd w:id="15"/>
      <w:bookmarkEnd w:id="16"/>
      <w:bookmarkEnd w:id="17"/>
      <w:bookmarkEnd w:id="18"/>
      <w:bookmarkEnd w:id="19"/>
      <w:bookmarkEnd w:id="20"/>
    </w:p>
    <w:p w14:paraId="706B151C">
      <w:pPr>
        <w:spacing w:line="480" w:lineRule="exact"/>
        <w:ind w:firstLine="480"/>
        <w:outlineLvl w:val="2"/>
        <w:rPr>
          <w:rFonts w:hint="eastAsia" w:ascii="Times New Roman" w:hAnsi="Times New Roman" w:cs="仿宋"/>
          <w:color w:val="000000"/>
          <w:sz w:val="24"/>
          <w:szCs w:val="24"/>
          <w:highlight w:val="none"/>
        </w:rPr>
      </w:pPr>
      <w:bookmarkStart w:id="21" w:name="_Toc38985265"/>
      <w:bookmarkStart w:id="22" w:name="_Toc28359004"/>
      <w:bookmarkStart w:id="23" w:name="_Toc35393623"/>
      <w:bookmarkStart w:id="24" w:name="_Toc35393792"/>
      <w:bookmarkStart w:id="25" w:name="_Toc28359081"/>
      <w:r>
        <w:rPr>
          <w:rFonts w:hint="eastAsia" w:ascii="Times New Roman" w:hAnsi="Times New Roman" w:cs="仿宋"/>
          <w:color w:val="000000"/>
          <w:sz w:val="24"/>
          <w:szCs w:val="24"/>
          <w:highlight w:val="none"/>
        </w:rPr>
        <w:t>（一）通用资格要求</w:t>
      </w:r>
    </w:p>
    <w:p w14:paraId="23A5EF83">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1.具备《中华人民共和国政府采购法》第二十二条第一款规定的6项条件（按要求提供投标函）。</w:t>
      </w:r>
    </w:p>
    <w:p w14:paraId="13BE4777">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2E0F14BD">
      <w:pPr>
        <w:spacing w:line="480" w:lineRule="exact"/>
        <w:ind w:firstLine="480"/>
        <w:rPr>
          <w:rFonts w:hint="eastAsia" w:ascii="Times New Roman" w:hAnsi="Times New Roman" w:cs="仿宋"/>
          <w:color w:val="000000"/>
          <w:sz w:val="24"/>
          <w:szCs w:val="24"/>
          <w:highlight w:val="none"/>
        </w:rPr>
      </w:pPr>
      <w:r>
        <w:rPr>
          <w:rFonts w:hint="eastAsia" w:ascii="宋体" w:hAnsi="宋体" w:eastAsia="宋体" w:cs="宋体"/>
          <w:color w:val="000000"/>
          <w:sz w:val="24"/>
          <w:highlight w:val="none"/>
        </w:rPr>
        <w:t>3.投标代理人</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rPr>
        <w:t>授权委托人</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rPr>
        <w:t>必须为本单位正式员工，并在投标文件中提供投标截止日前6个月内由本单位为其缴纳的任意1个月社会养老保险证明。</w:t>
      </w:r>
    </w:p>
    <w:p w14:paraId="115100F3">
      <w:pPr>
        <w:spacing w:line="480" w:lineRule="exact"/>
        <w:ind w:firstLine="420"/>
        <w:rPr>
          <w:rFonts w:hint="eastAsia" w:ascii="Times New Roman" w:hAnsi="Times New Roman" w:cs="仿宋"/>
          <w:color w:val="000000"/>
          <w:sz w:val="24"/>
          <w:szCs w:val="24"/>
          <w:highlight w:val="yellow"/>
        </w:rPr>
      </w:pPr>
      <w:r>
        <w:rPr>
          <w:rFonts w:hint="eastAsia" w:eastAsia="宋体" w:cs="仿宋"/>
          <w:color w:val="000000"/>
          <w:highlight w:val="none"/>
          <w:lang w:val="en-US" w:eastAsia="zh-CN"/>
        </w:rPr>
        <w:t>（二）</w:t>
      </w:r>
      <w:r>
        <w:rPr>
          <w:rFonts w:hint="eastAsia" w:ascii="Times New Roman" w:hAnsi="Times New Roman" w:cs="仿宋"/>
          <w:color w:val="000000"/>
          <w:sz w:val="24"/>
          <w:szCs w:val="24"/>
          <w:highlight w:val="none"/>
        </w:rPr>
        <w:t>落实政府采购政策需满足的资格要求：</w:t>
      </w:r>
      <w:r>
        <w:rPr>
          <w:rFonts w:hint="eastAsia" w:ascii="宋体" w:hAnsi="宋体" w:eastAsia="宋体" w:cs="宋体"/>
          <w:caps w:val="0"/>
          <w:color w:val="000000"/>
          <w:sz w:val="24"/>
          <w:szCs w:val="24"/>
          <w:highlight w:val="none"/>
          <w:lang w:val="en-US" w:eastAsia="zh-CN"/>
        </w:rPr>
        <w:t>本项目</w:t>
      </w:r>
      <w:r>
        <w:rPr>
          <w:rFonts w:hint="eastAsia" w:ascii="宋体" w:hAnsi="宋体" w:eastAsia="宋体" w:cs="宋体"/>
          <w:caps w:val="0"/>
          <w:color w:val="000000"/>
          <w:sz w:val="24"/>
          <w:szCs w:val="24"/>
          <w:highlight w:val="none"/>
        </w:rPr>
        <w:t>属于</w:t>
      </w:r>
      <w:bookmarkStart w:id="178" w:name="_GoBack"/>
      <w:bookmarkEnd w:id="178"/>
      <w:r>
        <w:rPr>
          <w:rFonts w:hint="eastAsia" w:ascii="宋体" w:hAnsi="宋体" w:eastAsia="宋体" w:cs="宋体"/>
          <w:caps w:val="0"/>
          <w:color w:val="000000"/>
          <w:sz w:val="24"/>
          <w:szCs w:val="24"/>
          <w:highlight w:val="none"/>
        </w:rPr>
        <w:t>专门面向中小企业采购</w:t>
      </w:r>
      <w:r>
        <w:rPr>
          <w:rFonts w:hint="eastAsia" w:ascii="宋体" w:hAnsi="宋体" w:cs="宋体"/>
          <w:caps w:val="0"/>
          <w:color w:val="000000"/>
          <w:sz w:val="24"/>
          <w:szCs w:val="24"/>
          <w:highlight w:val="none"/>
          <w:lang w:eastAsia="zh-CN"/>
        </w:rPr>
        <w:t>，</w:t>
      </w:r>
      <w:r>
        <w:rPr>
          <w:rFonts w:hint="eastAsia" w:ascii="宋体" w:hAnsi="宋体" w:eastAsia="宋体" w:cs="宋体"/>
          <w:caps w:val="0"/>
          <w:color w:val="000000"/>
          <w:sz w:val="24"/>
          <w:szCs w:val="24"/>
          <w:highlight w:val="none"/>
        </w:rPr>
        <w:t>投标人</w:t>
      </w:r>
      <w:r>
        <w:rPr>
          <w:rFonts w:hint="eastAsia" w:ascii="宋体" w:hAnsi="宋体" w:eastAsia="宋体" w:cs="宋体"/>
          <w:caps w:val="0"/>
          <w:color w:val="000000"/>
          <w:sz w:val="24"/>
          <w:szCs w:val="24"/>
          <w:highlight w:val="none"/>
          <w:lang w:val="en-US" w:eastAsia="zh-CN"/>
        </w:rPr>
        <w:t>须</w:t>
      </w:r>
      <w:r>
        <w:rPr>
          <w:rFonts w:hint="eastAsia" w:ascii="宋体" w:hAnsi="宋体" w:eastAsia="宋体" w:cs="宋体"/>
          <w:caps w:val="0"/>
          <w:color w:val="000000"/>
          <w:sz w:val="24"/>
          <w:szCs w:val="24"/>
          <w:highlight w:val="none"/>
        </w:rPr>
        <w:t>为中小微企业</w:t>
      </w:r>
      <w:r>
        <w:rPr>
          <w:rFonts w:hint="eastAsia" w:ascii="宋体" w:hAnsi="宋体" w:eastAsia="宋体" w:cs="宋体"/>
          <w:caps w:val="0"/>
          <w:color w:val="000000"/>
          <w:sz w:val="24"/>
          <w:szCs w:val="24"/>
          <w:highlight w:val="none"/>
          <w:lang w:val="en-US" w:eastAsia="zh-CN"/>
        </w:rPr>
        <w:t>或</w:t>
      </w:r>
      <w:r>
        <w:rPr>
          <w:rFonts w:hint="eastAsia" w:ascii="宋体" w:hAnsi="宋体" w:eastAsia="宋体" w:cs="宋体"/>
          <w:caps w:val="0"/>
          <w:color w:val="000000"/>
          <w:sz w:val="24"/>
          <w:szCs w:val="24"/>
          <w:highlight w:val="none"/>
        </w:rPr>
        <w:t>监狱企业</w:t>
      </w:r>
      <w:r>
        <w:rPr>
          <w:rFonts w:hint="eastAsia" w:ascii="宋体" w:hAnsi="宋体" w:eastAsia="宋体" w:cs="宋体"/>
          <w:caps w:val="0"/>
          <w:color w:val="000000"/>
          <w:sz w:val="24"/>
          <w:szCs w:val="24"/>
          <w:highlight w:val="none"/>
          <w:lang w:val="en-US" w:eastAsia="zh-CN"/>
        </w:rPr>
        <w:t>或</w:t>
      </w:r>
      <w:r>
        <w:rPr>
          <w:rFonts w:hint="eastAsia" w:ascii="宋体" w:hAnsi="宋体" w:eastAsia="宋体" w:cs="宋体"/>
          <w:caps w:val="0"/>
          <w:color w:val="000000"/>
          <w:sz w:val="24"/>
          <w:szCs w:val="24"/>
          <w:highlight w:val="none"/>
        </w:rPr>
        <w:t>残疾人福利性单位</w:t>
      </w:r>
      <w:r>
        <w:rPr>
          <w:rFonts w:hint="eastAsia" w:ascii="宋体" w:hAnsi="宋体" w:eastAsia="宋体" w:cs="宋体"/>
          <w:caps w:val="0"/>
          <w:color w:val="000000"/>
          <w:sz w:val="24"/>
          <w:szCs w:val="24"/>
          <w:highlight w:val="none"/>
          <w:lang w:eastAsia="zh-CN"/>
        </w:rPr>
        <w:t>，</w:t>
      </w:r>
      <w:r>
        <w:rPr>
          <w:rFonts w:hint="eastAsia" w:ascii="宋体" w:hAnsi="宋体" w:eastAsia="宋体" w:cs="宋体"/>
          <w:color w:val="000000"/>
          <w:sz w:val="24"/>
          <w:szCs w:val="24"/>
          <w:highlight w:val="none"/>
        </w:rPr>
        <w:t>投标</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须提供《中小企业声明函》或《残疾人福利性单位声明函》或由省级以上监狱管理局、戒毒管理局（含新疆生产建设兵团）出具的属于监狱企业的证明文件。</w:t>
      </w:r>
    </w:p>
    <w:p w14:paraId="6D700458">
      <w:pPr>
        <w:spacing w:line="480" w:lineRule="exact"/>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w:t>
      </w:r>
      <w:r>
        <w:rPr>
          <w:rFonts w:hint="eastAsia" w:ascii="Times New Roman" w:hAnsi="Times New Roman" w:cs="仿宋"/>
          <w:color w:val="auto"/>
          <w:sz w:val="24"/>
          <w:szCs w:val="24"/>
          <w:highlight w:val="none"/>
          <w:lang w:val="en-US" w:eastAsia="zh-CN"/>
        </w:rPr>
        <w:t>三</w:t>
      </w:r>
      <w:r>
        <w:rPr>
          <w:rFonts w:hint="eastAsia" w:ascii="Times New Roman" w:hAnsi="Times New Roman" w:cs="仿宋"/>
          <w:color w:val="auto"/>
          <w:sz w:val="24"/>
          <w:szCs w:val="24"/>
          <w:highlight w:val="none"/>
        </w:rPr>
        <w:t>）本项目的特定资格要求：</w:t>
      </w:r>
      <w:r>
        <w:rPr>
          <w:rFonts w:hint="eastAsia" w:ascii="Times New Roman" w:hAnsi="Times New Roman" w:cs="仿宋"/>
          <w:color w:val="auto"/>
          <w:sz w:val="24"/>
          <w:szCs w:val="24"/>
          <w:highlight w:val="none"/>
        </w:rPr>
        <w:t>供应商须具有行政主管部门颁发的测绘乙级及以上资质。</w:t>
      </w:r>
      <w:r>
        <w:rPr>
          <w:rFonts w:hint="eastAsia" w:ascii="Times New Roman" w:hAnsi="Times New Roman" w:cs="仿宋"/>
          <w:color w:val="auto"/>
          <w:sz w:val="24"/>
          <w:szCs w:val="24"/>
          <w:highlight w:val="none"/>
          <w:lang w:eastAsia="zh-CN"/>
        </w:rPr>
        <w:t>（</w:t>
      </w:r>
      <w:r>
        <w:rPr>
          <w:rFonts w:hint="eastAsia" w:ascii="Times New Roman" w:hAnsi="Times New Roman" w:cs="仿宋"/>
          <w:color w:val="auto"/>
          <w:sz w:val="24"/>
          <w:szCs w:val="24"/>
          <w:highlight w:val="none"/>
        </w:rPr>
        <w:t>专业范围须包含地理信息系统工程、界线与不动产测绘、摄影测量与</w:t>
      </w:r>
      <w:r>
        <w:rPr>
          <w:rFonts w:hint="eastAsia" w:ascii="Times New Roman" w:hAnsi="Times New Roman" w:cs="仿宋"/>
          <w:color w:val="auto"/>
          <w:sz w:val="24"/>
          <w:szCs w:val="24"/>
          <w:highlight w:val="none"/>
          <w:lang w:eastAsia="zh-CN"/>
        </w:rPr>
        <w:t>遥感）</w:t>
      </w:r>
    </w:p>
    <w:p w14:paraId="2576A4DA">
      <w:pPr>
        <w:pStyle w:val="44"/>
        <w:spacing w:before="0" w:after="0" w:line="480" w:lineRule="exact"/>
        <w:ind w:firstLine="643"/>
        <w:rPr>
          <w:rFonts w:hint="eastAsia" w:eastAsia="宋体" w:cs="Arial"/>
          <w:bCs/>
          <w:color w:val="000000"/>
          <w:szCs w:val="22"/>
          <w:highlight w:val="none"/>
        </w:rPr>
      </w:pPr>
      <w:bookmarkStart w:id="26" w:name="_Toc22204"/>
      <w:r>
        <w:rPr>
          <w:rFonts w:hint="eastAsia" w:eastAsia="宋体" w:cs="Arial"/>
          <w:bCs/>
          <w:color w:val="000000"/>
          <w:szCs w:val="22"/>
          <w:highlight w:val="none"/>
        </w:rPr>
        <w:t>三、获取招标文件</w:t>
      </w:r>
      <w:bookmarkEnd w:id="21"/>
      <w:bookmarkEnd w:id="22"/>
      <w:bookmarkEnd w:id="23"/>
      <w:bookmarkEnd w:id="24"/>
      <w:bookmarkEnd w:id="25"/>
      <w:bookmarkEnd w:id="26"/>
    </w:p>
    <w:p w14:paraId="28CA61EA">
      <w:pPr>
        <w:spacing w:line="480" w:lineRule="exact"/>
        <w:ind w:firstLine="480"/>
        <w:outlineLvl w:val="2"/>
        <w:rPr>
          <w:rFonts w:ascii="Times New Roman" w:hAnsi="Times New Roman" w:cs="仿宋"/>
          <w:color w:val="000000"/>
          <w:sz w:val="24"/>
          <w:szCs w:val="24"/>
          <w:highlight w:val="none"/>
        </w:rPr>
      </w:pPr>
      <w:bookmarkStart w:id="27" w:name="_Toc28359082"/>
      <w:bookmarkStart w:id="28" w:name="_Toc28359005"/>
      <w:bookmarkStart w:id="29" w:name="_Toc35393624"/>
      <w:bookmarkStart w:id="30" w:name="_Toc38985266"/>
      <w:bookmarkStart w:id="31" w:name="_Toc35393793"/>
      <w:r>
        <w:rPr>
          <w:rFonts w:hint="eastAsia" w:ascii="Times New Roman" w:hAnsi="Times New Roman" w:cs="仿宋"/>
          <w:color w:val="000000"/>
          <w:sz w:val="24"/>
          <w:szCs w:val="24"/>
          <w:highlight w:val="none"/>
        </w:rPr>
        <w:t>1.时间：招标公告发布之日起5个工作日。</w:t>
      </w:r>
    </w:p>
    <w:p w14:paraId="66A1DC90">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2.方式：投标人应在招标文件提供的时间内，通过“苏采云”系统（网址： http://jszfcg.jsczt.cn/），使用CA锁登录系统后，找到本项目获取招标文件（后缀名为“.kedt”）。</w:t>
      </w:r>
    </w:p>
    <w:p w14:paraId="1BBDFF51">
      <w:pPr>
        <w:spacing w:line="480" w:lineRule="exact"/>
        <w:ind w:firstLine="480"/>
        <w:rPr>
          <w:rFonts w:hint="eastAsia" w:ascii="Times New Roman" w:hAnsi="Times New Roman" w:cs="仿宋"/>
          <w:color w:val="000000"/>
          <w:sz w:val="24"/>
          <w:szCs w:val="24"/>
          <w:highlight w:val="none"/>
        </w:rPr>
      </w:pPr>
      <w:bookmarkStart w:id="32" w:name="EB0c44ff4da61f4af989d119fe214be450"/>
      <w:r>
        <w:rPr>
          <w:rFonts w:hint="eastAsia" w:ascii="Times New Roman" w:hAnsi="Times New Roman" w:cs="仿宋"/>
          <w:color w:val="000000"/>
          <w:sz w:val="24"/>
          <w:szCs w:val="24"/>
          <w:highlight w:val="none"/>
        </w:rPr>
        <w:t>3.本项目共分一个采购包。投标人参与多个采购包投标的，应按采购包分别获取招标文件。投标人未按要求获取招标文件，后果自负（其投标文件不予接受）。</w:t>
      </w:r>
      <w:bookmarkEnd w:id="32"/>
    </w:p>
    <w:p w14:paraId="1A9D4586">
      <w:pPr>
        <w:pStyle w:val="44"/>
        <w:spacing w:before="0" w:after="0" w:line="480" w:lineRule="exact"/>
        <w:ind w:firstLine="643"/>
        <w:rPr>
          <w:rFonts w:hint="eastAsia" w:eastAsia="宋体" w:cs="Arial"/>
          <w:bCs/>
          <w:color w:val="000000"/>
          <w:szCs w:val="22"/>
          <w:highlight w:val="none"/>
        </w:rPr>
      </w:pPr>
      <w:bookmarkStart w:id="33" w:name="_Toc19148"/>
      <w:r>
        <w:rPr>
          <w:rFonts w:hint="eastAsia" w:eastAsia="宋体" w:cs="Arial"/>
          <w:bCs/>
          <w:color w:val="000000"/>
          <w:szCs w:val="22"/>
          <w:highlight w:val="none"/>
        </w:rPr>
        <w:t>四、提交投标文件</w:t>
      </w:r>
      <w:bookmarkEnd w:id="27"/>
      <w:bookmarkEnd w:id="28"/>
      <w:r>
        <w:rPr>
          <w:rFonts w:hint="eastAsia" w:eastAsia="宋体" w:cs="Arial"/>
          <w:bCs/>
          <w:color w:val="000000"/>
          <w:szCs w:val="22"/>
          <w:highlight w:val="none"/>
        </w:rPr>
        <w:t>截止时间、开标时间和地点</w:t>
      </w:r>
      <w:bookmarkEnd w:id="29"/>
      <w:bookmarkEnd w:id="30"/>
      <w:bookmarkEnd w:id="31"/>
      <w:bookmarkEnd w:id="33"/>
    </w:p>
    <w:p w14:paraId="5220EFC0">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1.提交投标文件截止时间、开标时间：202</w:t>
      </w:r>
      <w:r>
        <w:rPr>
          <w:rFonts w:hint="eastAsia" w:ascii="Times New Roman" w:hAnsi="Times New Roman" w:cs="仿宋"/>
          <w:color w:val="000000"/>
          <w:sz w:val="24"/>
          <w:szCs w:val="24"/>
          <w:highlight w:val="none"/>
          <w:lang w:val="en-US" w:eastAsia="zh-CN"/>
        </w:rPr>
        <w:t>6</w:t>
      </w:r>
      <w:r>
        <w:rPr>
          <w:rFonts w:hint="eastAsia" w:ascii="Times New Roman" w:hAnsi="Times New Roman" w:cs="仿宋"/>
          <w:color w:val="000000"/>
          <w:sz w:val="24"/>
          <w:szCs w:val="24"/>
          <w:highlight w:val="none"/>
        </w:rPr>
        <w:t>年</w:t>
      </w:r>
      <w:r>
        <w:rPr>
          <w:rFonts w:hint="eastAsia" w:ascii="Times New Roman" w:hAnsi="Times New Roman" w:cs="仿宋"/>
          <w:color w:val="000000"/>
          <w:sz w:val="24"/>
          <w:szCs w:val="24"/>
          <w:highlight w:val="none"/>
          <w:lang w:val="en-US" w:eastAsia="zh-CN"/>
        </w:rPr>
        <w:t>11</w:t>
      </w:r>
      <w:r>
        <w:rPr>
          <w:rFonts w:hint="eastAsia" w:ascii="Times New Roman" w:hAnsi="Times New Roman" w:cs="仿宋"/>
          <w:color w:val="000000"/>
          <w:sz w:val="24"/>
          <w:szCs w:val="24"/>
          <w:highlight w:val="none"/>
        </w:rPr>
        <w:t>月</w:t>
      </w:r>
      <w:r>
        <w:rPr>
          <w:rFonts w:hint="eastAsia" w:ascii="Times New Roman" w:hAnsi="Times New Roman" w:cs="仿宋"/>
          <w:color w:val="000000"/>
          <w:sz w:val="24"/>
          <w:szCs w:val="24"/>
          <w:highlight w:val="none"/>
          <w:lang w:val="en-US" w:eastAsia="zh-CN"/>
        </w:rPr>
        <w:t>16</w:t>
      </w:r>
      <w:r>
        <w:rPr>
          <w:rFonts w:hint="eastAsia" w:ascii="Times New Roman" w:hAnsi="Times New Roman" w:cs="仿宋"/>
          <w:color w:val="000000"/>
          <w:sz w:val="24"/>
          <w:szCs w:val="24"/>
          <w:highlight w:val="none"/>
        </w:rPr>
        <w:t>日09点00分（北京时间）</w:t>
      </w:r>
    </w:p>
    <w:p w14:paraId="66BD1D24">
      <w:pPr>
        <w:spacing w:line="480" w:lineRule="exact"/>
        <w:ind w:firstLine="480"/>
        <w:outlineLvl w:val="2"/>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2.地点：“苏采云”政府采购交易系统网上开标大厅。</w:t>
      </w:r>
    </w:p>
    <w:p w14:paraId="0F99D47A">
      <w:pPr>
        <w:pStyle w:val="44"/>
        <w:spacing w:before="0" w:after="0" w:line="480" w:lineRule="exact"/>
        <w:ind w:firstLine="643"/>
        <w:rPr>
          <w:rFonts w:hint="eastAsia" w:eastAsia="宋体" w:cs="Arial"/>
          <w:bCs/>
          <w:color w:val="000000"/>
          <w:szCs w:val="22"/>
          <w:highlight w:val="none"/>
        </w:rPr>
      </w:pPr>
      <w:bookmarkStart w:id="34" w:name="_Toc35393625"/>
      <w:bookmarkStart w:id="35" w:name="_Toc28359084"/>
      <w:bookmarkStart w:id="36" w:name="_Toc35393794"/>
      <w:bookmarkStart w:id="37" w:name="_Toc24820"/>
      <w:bookmarkStart w:id="38" w:name="_Toc28359007"/>
      <w:bookmarkStart w:id="39" w:name="_Toc38985267"/>
      <w:r>
        <w:rPr>
          <w:rFonts w:hint="eastAsia" w:eastAsia="宋体" w:cs="Arial"/>
          <w:bCs/>
          <w:color w:val="000000"/>
          <w:szCs w:val="22"/>
          <w:highlight w:val="none"/>
        </w:rPr>
        <w:t>五、公告期限</w:t>
      </w:r>
      <w:bookmarkEnd w:id="34"/>
      <w:bookmarkEnd w:id="35"/>
      <w:bookmarkEnd w:id="36"/>
      <w:bookmarkEnd w:id="37"/>
      <w:bookmarkEnd w:id="38"/>
      <w:bookmarkEnd w:id="39"/>
    </w:p>
    <w:p w14:paraId="6E4A80D1">
      <w:pPr>
        <w:spacing w:line="480" w:lineRule="exact"/>
        <w:ind w:firstLine="480"/>
        <w:rPr>
          <w:rFonts w:hint="eastAsia" w:ascii="Times New Roman" w:hAnsi="Times New Roman" w:cs="仿宋"/>
          <w:color w:val="000000"/>
          <w:sz w:val="24"/>
          <w:szCs w:val="24"/>
          <w:highlight w:val="none"/>
        </w:rPr>
      </w:pPr>
      <w:bookmarkStart w:id="40" w:name="_Toc38985268"/>
      <w:bookmarkStart w:id="41" w:name="_Toc35393626"/>
      <w:bookmarkStart w:id="42" w:name="_Toc35393795"/>
      <w:r>
        <w:rPr>
          <w:rFonts w:hint="eastAsia" w:ascii="Times New Roman" w:hAnsi="Times New Roman" w:cs="仿宋"/>
          <w:color w:val="000000"/>
          <w:sz w:val="24"/>
          <w:szCs w:val="24"/>
          <w:highlight w:val="none"/>
        </w:rPr>
        <w:t>招标公告及招标文件公告期限为自本公告发布之日起5个工作日。</w:t>
      </w:r>
    </w:p>
    <w:p w14:paraId="57CB86EA">
      <w:pPr>
        <w:pStyle w:val="44"/>
        <w:spacing w:before="0" w:after="0" w:line="480" w:lineRule="exact"/>
        <w:ind w:firstLine="643"/>
        <w:rPr>
          <w:rFonts w:hint="eastAsia" w:eastAsia="宋体" w:cs="Arial"/>
          <w:bCs/>
          <w:color w:val="000000"/>
          <w:szCs w:val="22"/>
          <w:highlight w:val="none"/>
        </w:rPr>
      </w:pPr>
      <w:bookmarkStart w:id="43" w:name="_Toc13415"/>
      <w:r>
        <w:rPr>
          <w:rFonts w:hint="eastAsia" w:eastAsia="宋体" w:cs="Arial"/>
          <w:bCs/>
          <w:color w:val="000000"/>
          <w:szCs w:val="22"/>
          <w:highlight w:val="none"/>
        </w:rPr>
        <w:t>六、其他补充事宜</w:t>
      </w:r>
      <w:bookmarkEnd w:id="40"/>
      <w:bookmarkEnd w:id="41"/>
      <w:bookmarkEnd w:id="42"/>
      <w:bookmarkEnd w:id="43"/>
    </w:p>
    <w:p w14:paraId="7E49543E">
      <w:pPr>
        <w:spacing w:line="480" w:lineRule="exact"/>
        <w:ind w:firstLine="480"/>
        <w:outlineLvl w:val="2"/>
        <w:rPr>
          <w:rFonts w:hint="eastAsia" w:ascii="Times New Roman" w:hAnsi="Times New Roman" w:cs="仿宋"/>
          <w:color w:val="000000"/>
          <w:sz w:val="24"/>
          <w:szCs w:val="24"/>
          <w:highlight w:val="none"/>
        </w:rPr>
      </w:pPr>
      <w:bookmarkStart w:id="44" w:name="EB64e1f522fd8c43fcb4d3ba471386b3e7"/>
      <w:bookmarkStart w:id="45" w:name="_Toc35393796"/>
      <w:bookmarkStart w:id="46" w:name="_Toc28359085"/>
      <w:bookmarkStart w:id="47" w:name="_Toc38985269"/>
      <w:bookmarkStart w:id="48" w:name="_Toc28359008"/>
      <w:bookmarkStart w:id="49" w:name="_Toc35393627"/>
      <w:r>
        <w:rPr>
          <w:rFonts w:hint="eastAsia" w:ascii="Times New Roman" w:hAnsi="Times New Roman" w:cs="仿宋"/>
          <w:color w:val="000000"/>
          <w:sz w:val="24"/>
          <w:szCs w:val="24"/>
          <w:highlight w:val="none"/>
        </w:rPr>
        <w:t>1.招标公告发布媒体：</w:t>
      </w:r>
      <w:bookmarkStart w:id="50" w:name="OLE_LINK3"/>
      <w:r>
        <w:rPr>
          <w:rFonts w:hint="eastAsia" w:ascii="Times New Roman" w:hAnsi="Times New Roman" w:cs="仿宋"/>
          <w:color w:val="000000"/>
          <w:sz w:val="24"/>
          <w:szCs w:val="24"/>
          <w:highlight w:val="none"/>
        </w:rPr>
        <w:t>江苏政府采购网</w:t>
      </w:r>
      <w:bookmarkEnd w:id="50"/>
      <w:r>
        <w:rPr>
          <w:rFonts w:hint="eastAsia" w:ascii="Times New Roman" w:hAnsi="Times New Roman" w:cs="仿宋"/>
          <w:color w:val="000000"/>
          <w:sz w:val="24"/>
          <w:szCs w:val="24"/>
          <w:highlight w:val="none"/>
        </w:rPr>
        <w:t>、宿迁市政府采购网等。</w:t>
      </w:r>
      <w:bookmarkEnd w:id="44"/>
    </w:p>
    <w:p w14:paraId="458BECEE">
      <w:pPr>
        <w:spacing w:line="480" w:lineRule="exact"/>
        <w:ind w:firstLine="480"/>
        <w:rPr>
          <w:rFonts w:ascii="Times New Roman" w:hAnsi="Times New Roman" w:cs="仿宋"/>
          <w:color w:val="000000"/>
          <w:sz w:val="24"/>
          <w:szCs w:val="24"/>
          <w:highlight w:val="none"/>
        </w:rPr>
      </w:pPr>
      <w:bookmarkStart w:id="51" w:name="_Toc29049"/>
      <w:r>
        <w:rPr>
          <w:rFonts w:hint="eastAsia" w:ascii="Times New Roman" w:hAnsi="Times New Roman" w:cs="仿宋"/>
          <w:color w:val="000000"/>
          <w:sz w:val="24"/>
          <w:szCs w:val="24"/>
          <w:highlight w:val="none"/>
        </w:rPr>
        <w:t>2. “CA”数字证书办理：“苏采云”系统目前仅支持“苏采云”系统下的意源CA。省内各地区办理的“苏采云”系统下的意源CA全省通用。宿迁地区CA数字证书办理联系方式：18351098172。</w:t>
      </w:r>
    </w:p>
    <w:p w14:paraId="6607A329">
      <w:pPr>
        <w:spacing w:line="480" w:lineRule="exact"/>
        <w:ind w:firstLine="480"/>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3. 宿迁地区“苏采云”系统技术支持客服电话：0527-84363067、0519-86722806。</w:t>
      </w:r>
    </w:p>
    <w:p w14:paraId="0343FF5C">
      <w:pPr>
        <w:spacing w:line="480" w:lineRule="exact"/>
        <w:ind w:firstLine="480"/>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4. 质疑渠道：供应商</w:t>
      </w:r>
      <w:r>
        <w:rPr>
          <w:rFonts w:hint="eastAsia" w:ascii="Times New Roman" w:hAnsi="Times New Roman" w:cs="仿宋"/>
          <w:color w:val="000000"/>
          <w:sz w:val="24"/>
          <w:szCs w:val="24"/>
          <w:highlight w:val="none"/>
          <w:lang w:val="en-US" w:eastAsia="zh-CN"/>
        </w:rPr>
        <w:t>以书面形式</w:t>
      </w:r>
      <w:r>
        <w:rPr>
          <w:rFonts w:hint="eastAsia" w:ascii="Times New Roman" w:hAnsi="Times New Roman" w:cs="仿宋"/>
          <w:color w:val="000000"/>
          <w:sz w:val="24"/>
          <w:szCs w:val="24"/>
          <w:highlight w:val="none"/>
        </w:rPr>
        <w:t>向采购人提出，质疑处理联系方式详见“采购人信息”；财政部门投诉受理电话：0527-88359233。</w:t>
      </w:r>
    </w:p>
    <w:p w14:paraId="10AB18F7">
      <w:pPr>
        <w:pStyle w:val="44"/>
        <w:spacing w:before="0" w:after="0" w:line="480" w:lineRule="exact"/>
        <w:ind w:firstLine="643"/>
        <w:rPr>
          <w:rFonts w:hint="eastAsia" w:eastAsia="宋体" w:cs="Arial"/>
          <w:bCs/>
          <w:color w:val="000000"/>
          <w:szCs w:val="22"/>
          <w:highlight w:val="none"/>
        </w:rPr>
      </w:pPr>
      <w:r>
        <w:rPr>
          <w:rFonts w:hint="eastAsia" w:eastAsia="宋体" w:cs="Arial"/>
          <w:bCs/>
          <w:color w:val="000000"/>
          <w:szCs w:val="22"/>
          <w:highlight w:val="none"/>
        </w:rPr>
        <w:t>七、本次招标联系方式</w:t>
      </w:r>
      <w:bookmarkEnd w:id="45"/>
      <w:bookmarkEnd w:id="46"/>
      <w:bookmarkEnd w:id="47"/>
      <w:bookmarkEnd w:id="48"/>
      <w:bookmarkEnd w:id="49"/>
      <w:bookmarkEnd w:id="51"/>
    </w:p>
    <w:p w14:paraId="04194C69">
      <w:pPr>
        <w:spacing w:line="480" w:lineRule="exact"/>
        <w:ind w:firstLine="482"/>
        <w:outlineLvl w:val="2"/>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1.采购人信息</w:t>
      </w:r>
    </w:p>
    <w:p w14:paraId="709BD43D">
      <w:pPr>
        <w:spacing w:line="480" w:lineRule="exact"/>
        <w:ind w:firstLine="482"/>
        <w:rPr>
          <w:rFonts w:ascii="Times New Roman" w:hAnsi="Times New Roman" w:eastAsia="宋体" w:cs="仿宋"/>
          <w:color w:val="000000"/>
          <w:sz w:val="24"/>
          <w:szCs w:val="24"/>
          <w:highlight w:val="none"/>
          <w:u w:val="single"/>
          <w:lang w:val="en-US" w:eastAsia="zh-CN"/>
        </w:rPr>
      </w:pPr>
      <w:r>
        <w:rPr>
          <w:rFonts w:hint="eastAsia" w:ascii="Times New Roman" w:hAnsi="Times New Roman" w:cs="仿宋"/>
          <w:color w:val="000000"/>
          <w:spacing w:val="90"/>
          <w:sz w:val="24"/>
          <w:szCs w:val="24"/>
          <w:highlight w:val="none"/>
        </w:rPr>
        <w:t xml:space="preserve">名 </w:t>
      </w:r>
      <w:r>
        <w:rPr>
          <w:rFonts w:hint="eastAsia" w:ascii="Times New Roman" w:hAnsi="Times New Roman" w:cs="仿宋"/>
          <w:color w:val="000000"/>
          <w:sz w:val="24"/>
          <w:szCs w:val="24"/>
          <w:highlight w:val="none"/>
        </w:rPr>
        <w:t>称：</w:t>
      </w:r>
      <w:r>
        <w:rPr>
          <w:rFonts w:hint="eastAsia" w:ascii="Times New Roman" w:hAnsi="Times New Roman" w:cs="仿宋"/>
          <w:color w:val="000000"/>
          <w:sz w:val="24"/>
          <w:szCs w:val="24"/>
          <w:highlight w:val="none"/>
          <w:u w:val="single"/>
          <w:lang w:val="en-US" w:eastAsia="zh-CN"/>
        </w:rPr>
        <w:t xml:space="preserve"> 泗洪县自然资源和规划局 </w:t>
      </w:r>
    </w:p>
    <w:p w14:paraId="3E7378EB">
      <w:pPr>
        <w:spacing w:line="480" w:lineRule="exact"/>
        <w:ind w:firstLine="482"/>
        <w:rPr>
          <w:rFonts w:ascii="Times New Roman" w:hAnsi="Times New Roman" w:eastAsia="宋体" w:cs="仿宋"/>
          <w:color w:val="000000"/>
          <w:sz w:val="24"/>
          <w:szCs w:val="24"/>
          <w:highlight w:val="none"/>
          <w:lang w:val="en-US" w:eastAsia="zh-CN"/>
        </w:rPr>
      </w:pPr>
      <w:r>
        <w:rPr>
          <w:rFonts w:hint="eastAsia" w:ascii="Times New Roman" w:hAnsi="Times New Roman" w:cs="仿宋"/>
          <w:color w:val="000000"/>
          <w:spacing w:val="240"/>
          <w:sz w:val="24"/>
          <w:szCs w:val="24"/>
          <w:highlight w:val="none"/>
        </w:rPr>
        <w:t>地</w:t>
      </w:r>
      <w:r>
        <w:rPr>
          <w:rFonts w:hint="eastAsia" w:ascii="Times New Roman" w:hAnsi="Times New Roman" w:cs="仿宋"/>
          <w:color w:val="000000"/>
          <w:sz w:val="24"/>
          <w:szCs w:val="24"/>
          <w:highlight w:val="none"/>
        </w:rPr>
        <w:t>址：</w:t>
      </w:r>
      <w:r>
        <w:rPr>
          <w:rFonts w:hint="eastAsia" w:ascii="Times New Roman" w:hAnsi="Times New Roman" w:cs="仿宋"/>
          <w:color w:val="000000"/>
          <w:sz w:val="24"/>
          <w:szCs w:val="24"/>
          <w:highlight w:val="none"/>
          <w:u w:val="single"/>
          <w:lang w:val="en-US" w:eastAsia="zh-CN"/>
        </w:rPr>
        <w:t xml:space="preserve"> 泗洪县建设南路60号  </w:t>
      </w:r>
    </w:p>
    <w:p w14:paraId="78706F71">
      <w:pPr>
        <w:spacing w:line="480" w:lineRule="exact"/>
        <w:ind w:firstLine="482"/>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联</w:t>
      </w:r>
      <w:r>
        <w:rPr>
          <w:rFonts w:hint="eastAsia" w:ascii="Times New Roman" w:hAnsi="Times New Roman" w:cs="仿宋"/>
          <w:color w:val="000000"/>
          <w:sz w:val="24"/>
          <w:szCs w:val="24"/>
          <w:highlight w:val="none"/>
          <w:lang w:val="en-US" w:eastAsia="zh-CN"/>
        </w:rPr>
        <w:t xml:space="preserve"> </w:t>
      </w:r>
      <w:r>
        <w:rPr>
          <w:rFonts w:hint="eastAsia" w:ascii="Times New Roman" w:hAnsi="Times New Roman" w:cs="仿宋"/>
          <w:color w:val="000000"/>
          <w:sz w:val="24"/>
          <w:szCs w:val="24"/>
          <w:highlight w:val="none"/>
        </w:rPr>
        <w:t>系</w:t>
      </w:r>
      <w:r>
        <w:rPr>
          <w:rFonts w:hint="eastAsia" w:ascii="Times New Roman" w:hAnsi="Times New Roman" w:cs="仿宋"/>
          <w:color w:val="000000"/>
          <w:sz w:val="24"/>
          <w:szCs w:val="24"/>
          <w:highlight w:val="none"/>
          <w:lang w:val="en-US" w:eastAsia="zh-CN"/>
        </w:rPr>
        <w:t xml:space="preserve"> </w:t>
      </w:r>
      <w:r>
        <w:rPr>
          <w:rFonts w:hint="eastAsia" w:ascii="Times New Roman" w:hAnsi="Times New Roman" w:cs="仿宋"/>
          <w:color w:val="000000"/>
          <w:sz w:val="24"/>
          <w:szCs w:val="24"/>
          <w:highlight w:val="none"/>
        </w:rPr>
        <w:t>人：</w:t>
      </w:r>
      <w:r>
        <w:rPr>
          <w:rFonts w:hint="eastAsia" w:ascii="Times New Roman" w:hAnsi="Times New Roman" w:cs="仿宋"/>
          <w:color w:val="000000"/>
          <w:sz w:val="24"/>
          <w:szCs w:val="24"/>
          <w:highlight w:val="none"/>
          <w:u w:val="single"/>
          <w:lang w:val="en-US" w:eastAsia="zh-CN"/>
        </w:rPr>
        <w:t xml:space="preserve"> 胡慕中 </w:t>
      </w:r>
      <w:r>
        <w:rPr>
          <w:rFonts w:hint="eastAsia" w:ascii="Times New Roman" w:hAnsi="Times New Roman" w:cs="仿宋"/>
          <w:color w:val="000000"/>
          <w:sz w:val="24"/>
          <w:szCs w:val="24"/>
          <w:highlight w:val="none"/>
        </w:rPr>
        <w:t xml:space="preserve">            </w:t>
      </w:r>
    </w:p>
    <w:p w14:paraId="7F84D364">
      <w:pPr>
        <w:spacing w:line="480" w:lineRule="exact"/>
        <w:ind w:firstLine="482"/>
        <w:rPr>
          <w:rFonts w:ascii="Times New Roman" w:hAnsi="Times New Roman" w:eastAsia="宋体"/>
          <w:color w:val="000000"/>
          <w:sz w:val="24"/>
          <w:szCs w:val="24"/>
          <w:highlight w:val="none"/>
          <w:u w:val="single"/>
          <w:lang w:val="en-US" w:eastAsia="zh-CN"/>
        </w:rPr>
      </w:pPr>
      <w:r>
        <w:rPr>
          <w:rFonts w:hint="eastAsia" w:ascii="Times New Roman" w:hAnsi="Times New Roman" w:cs="仿宋"/>
          <w:color w:val="000000"/>
          <w:sz w:val="24"/>
          <w:szCs w:val="24"/>
          <w:highlight w:val="none"/>
        </w:rPr>
        <w:t>联系方式</w:t>
      </w:r>
      <w:bookmarkStart w:id="52" w:name="_Toc28359009"/>
      <w:bookmarkStart w:id="53" w:name="_Toc28359086"/>
      <w:r>
        <w:rPr>
          <w:rFonts w:hint="eastAsia" w:ascii="Times New Roman" w:hAnsi="Times New Roman" w:cs="仿宋"/>
          <w:color w:val="000000"/>
          <w:sz w:val="24"/>
          <w:szCs w:val="24"/>
          <w:highlight w:val="none"/>
        </w:rPr>
        <w:t>：</w:t>
      </w:r>
      <w:r>
        <w:rPr>
          <w:rFonts w:hint="eastAsia" w:ascii="Times New Roman" w:hAnsi="Times New Roman" w:cs="仿宋"/>
          <w:color w:val="000000"/>
          <w:sz w:val="24"/>
          <w:szCs w:val="24"/>
          <w:highlight w:val="none"/>
          <w:u w:val="single"/>
          <w:lang w:val="en-US" w:eastAsia="zh-CN"/>
        </w:rPr>
        <w:t xml:space="preserve"> 0527-86225043 </w:t>
      </w:r>
    </w:p>
    <w:p w14:paraId="16D0BEF3">
      <w:pPr>
        <w:spacing w:line="480" w:lineRule="exact"/>
        <w:ind w:firstLine="482"/>
        <w:outlineLvl w:val="2"/>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2.采购代理机构信息</w:t>
      </w:r>
      <w:bookmarkEnd w:id="52"/>
      <w:bookmarkEnd w:id="53"/>
    </w:p>
    <w:p w14:paraId="389F3C88">
      <w:pPr>
        <w:spacing w:line="480" w:lineRule="exact"/>
        <w:ind w:firstLine="482"/>
        <w:rPr>
          <w:rFonts w:ascii="Times New Roman" w:hAnsi="Times New Roman" w:eastAsia="宋体" w:cs="仿宋"/>
          <w:color w:val="000000"/>
          <w:sz w:val="24"/>
          <w:szCs w:val="24"/>
          <w:highlight w:val="none"/>
          <w:lang w:val="en-US" w:eastAsia="zh-CN"/>
        </w:rPr>
      </w:pPr>
      <w:r>
        <w:rPr>
          <w:rFonts w:hint="eastAsia" w:ascii="Times New Roman" w:hAnsi="Times New Roman" w:cs="仿宋"/>
          <w:color w:val="000000"/>
          <w:spacing w:val="240"/>
          <w:sz w:val="24"/>
          <w:szCs w:val="24"/>
          <w:highlight w:val="none"/>
        </w:rPr>
        <w:t>名</w:t>
      </w:r>
      <w:r>
        <w:rPr>
          <w:rFonts w:hint="eastAsia" w:ascii="Times New Roman" w:hAnsi="Times New Roman" w:cs="仿宋"/>
          <w:color w:val="000000"/>
          <w:sz w:val="24"/>
          <w:szCs w:val="24"/>
          <w:highlight w:val="none"/>
        </w:rPr>
        <w:t>称：</w:t>
      </w:r>
      <w:r>
        <w:rPr>
          <w:rFonts w:hint="eastAsia" w:ascii="Times New Roman" w:hAnsi="Times New Roman" w:cs="仿宋"/>
          <w:color w:val="000000"/>
          <w:sz w:val="24"/>
          <w:szCs w:val="24"/>
          <w:highlight w:val="none"/>
          <w:u w:val="single"/>
          <w:lang w:val="en-US" w:eastAsia="zh-CN"/>
        </w:rPr>
        <w:t xml:space="preserve"> </w:t>
      </w:r>
      <w:r>
        <w:rPr>
          <w:rFonts w:hint="eastAsia" w:ascii="宋体" w:hAnsi="宋体"/>
          <w:color w:val="000000"/>
          <w:sz w:val="24"/>
          <w:szCs w:val="24"/>
          <w:highlight w:val="none"/>
          <w:u w:val="single"/>
          <w:lang w:eastAsia="zh-CN"/>
        </w:rPr>
        <w:t>江苏普和建设项目咨询有限公司</w:t>
      </w:r>
      <w:r>
        <w:rPr>
          <w:rFonts w:hint="eastAsia" w:ascii="Times New Roman" w:hAnsi="Times New Roman" w:cs="仿宋"/>
          <w:color w:val="000000"/>
          <w:sz w:val="24"/>
          <w:szCs w:val="24"/>
          <w:highlight w:val="none"/>
          <w:u w:val="single"/>
          <w:lang w:val="en-US" w:eastAsia="zh-CN"/>
        </w:rPr>
        <w:t xml:space="preserve"> </w:t>
      </w:r>
    </w:p>
    <w:p w14:paraId="1AACC510">
      <w:pPr>
        <w:spacing w:line="480" w:lineRule="exact"/>
        <w:ind w:firstLine="482"/>
        <w:rPr>
          <w:rFonts w:ascii="Times New Roman" w:hAnsi="Times New Roman" w:eastAsia="宋体" w:cs="仿宋"/>
          <w:color w:val="000000"/>
          <w:sz w:val="24"/>
          <w:szCs w:val="24"/>
          <w:highlight w:val="none"/>
          <w:lang w:val="en-US" w:eastAsia="zh-CN"/>
        </w:rPr>
      </w:pPr>
      <w:r>
        <w:rPr>
          <w:rFonts w:hint="eastAsia" w:ascii="Times New Roman" w:hAnsi="Times New Roman" w:cs="仿宋"/>
          <w:color w:val="000000"/>
          <w:spacing w:val="240"/>
          <w:sz w:val="24"/>
          <w:szCs w:val="24"/>
          <w:highlight w:val="none"/>
        </w:rPr>
        <w:t>地</w:t>
      </w:r>
      <w:r>
        <w:rPr>
          <w:rFonts w:hint="eastAsia" w:ascii="Times New Roman" w:hAnsi="Times New Roman" w:cs="仿宋"/>
          <w:color w:val="000000"/>
          <w:sz w:val="24"/>
          <w:szCs w:val="24"/>
          <w:highlight w:val="none"/>
        </w:rPr>
        <w:t>址：</w:t>
      </w:r>
      <w:r>
        <w:rPr>
          <w:rFonts w:hint="eastAsia" w:ascii="Times New Roman" w:hAnsi="Times New Roman" w:cs="仿宋"/>
          <w:color w:val="000000"/>
          <w:sz w:val="24"/>
          <w:szCs w:val="24"/>
          <w:highlight w:val="none"/>
          <w:u w:val="single"/>
          <w:lang w:val="en-US" w:eastAsia="zh-CN"/>
        </w:rPr>
        <w:t xml:space="preserve"> 泗洪县和谐路永昌财富广场4008室 </w:t>
      </w:r>
    </w:p>
    <w:p w14:paraId="61ED05CC">
      <w:pPr>
        <w:spacing w:line="480" w:lineRule="exact"/>
        <w:ind w:firstLine="482"/>
        <w:rPr>
          <w:rFonts w:ascii="Times New Roman" w:hAnsi="Times New Roman" w:eastAsia="宋体" w:cs="仿宋"/>
          <w:color w:val="000000"/>
          <w:sz w:val="24"/>
          <w:szCs w:val="24"/>
          <w:highlight w:val="none"/>
          <w:u w:val="single"/>
          <w:lang w:val="en-US" w:eastAsia="zh-CN"/>
        </w:rPr>
      </w:pPr>
      <w:r>
        <w:rPr>
          <w:rFonts w:hint="eastAsia" w:ascii="Times New Roman" w:hAnsi="Times New Roman" w:cs="仿宋"/>
          <w:color w:val="000000"/>
          <w:spacing w:val="60"/>
          <w:sz w:val="24"/>
          <w:szCs w:val="24"/>
          <w:highlight w:val="none"/>
        </w:rPr>
        <w:t>联系</w:t>
      </w:r>
      <w:r>
        <w:rPr>
          <w:rFonts w:hint="eastAsia" w:ascii="Times New Roman" w:hAnsi="Times New Roman" w:cs="仿宋"/>
          <w:color w:val="000000"/>
          <w:sz w:val="24"/>
          <w:szCs w:val="24"/>
          <w:highlight w:val="none"/>
        </w:rPr>
        <w:t>人：</w:t>
      </w:r>
      <w:r>
        <w:rPr>
          <w:rFonts w:hint="eastAsia" w:ascii="Times New Roman" w:hAnsi="Times New Roman" w:cs="仿宋"/>
          <w:color w:val="000000"/>
          <w:sz w:val="24"/>
          <w:szCs w:val="24"/>
          <w:highlight w:val="none"/>
          <w:u w:val="single"/>
          <w:lang w:val="en-US" w:eastAsia="zh-CN"/>
        </w:rPr>
        <w:t xml:space="preserve"> </w:t>
      </w:r>
      <w:r>
        <w:rPr>
          <w:rFonts w:hint="eastAsia" w:ascii="宋体" w:hAnsi="宋体" w:cs="宋体"/>
          <w:color w:val="000000"/>
          <w:sz w:val="24"/>
          <w:u w:val="single"/>
          <w:lang w:eastAsia="zh-CN"/>
        </w:rPr>
        <w:t>罗浩林</w:t>
      </w:r>
      <w:r>
        <w:rPr>
          <w:rFonts w:hint="eastAsia" w:ascii="Times New Roman" w:hAnsi="Times New Roman" w:cs="仿宋"/>
          <w:color w:val="000000"/>
          <w:sz w:val="24"/>
          <w:szCs w:val="24"/>
          <w:highlight w:val="none"/>
          <w:u w:val="single"/>
          <w:lang w:val="en-US" w:eastAsia="zh-CN"/>
        </w:rPr>
        <w:t xml:space="preserve"> </w:t>
      </w:r>
    </w:p>
    <w:p w14:paraId="56CA0CA5">
      <w:pPr>
        <w:spacing w:line="480" w:lineRule="exact"/>
        <w:ind w:firstLine="480"/>
        <w:jc w:val="left"/>
        <w:outlineLvl w:val="0"/>
        <w:rPr>
          <w:rFonts w:hint="eastAsia" w:eastAsia="黑体"/>
          <w:color w:val="000000"/>
          <w:sz w:val="44"/>
          <w:highlight w:val="none"/>
        </w:rPr>
      </w:pPr>
      <w:r>
        <w:rPr>
          <w:rFonts w:hint="eastAsia" w:ascii="Times New Roman" w:hAnsi="Times New Roman" w:cs="仿宋"/>
          <w:color w:val="000000"/>
          <w:sz w:val="24"/>
          <w:szCs w:val="24"/>
          <w:highlight w:val="none"/>
        </w:rPr>
        <w:t>联系方式：</w:t>
      </w:r>
      <w:r>
        <w:rPr>
          <w:rFonts w:hint="eastAsia" w:ascii="Times New Roman" w:hAnsi="Times New Roman" w:eastAsia="宋体" w:cs="仿宋"/>
          <w:color w:val="000000"/>
          <w:sz w:val="24"/>
          <w:szCs w:val="24"/>
          <w:highlight w:val="none"/>
          <w:u w:val="single"/>
          <w:lang w:val="en-US" w:eastAsia="zh-CN"/>
        </w:rPr>
        <w:t xml:space="preserve">0527-89889298/17552661415 </w:t>
      </w:r>
      <w:r>
        <w:rPr>
          <w:rFonts w:hint="eastAsia" w:ascii="Times New Roman" w:hAnsi="Times New Roman" w:eastAsia="宋体" w:cs="仿宋"/>
          <w:color w:val="000000"/>
          <w:sz w:val="24"/>
          <w:szCs w:val="24"/>
          <w:highlight w:val="none"/>
          <w:u w:val="single"/>
          <w:lang w:val="en-US" w:eastAsia="zh-CN"/>
        </w:rPr>
        <w:br w:type="page" w:clear="all"/>
      </w:r>
      <w:bookmarkStart w:id="54" w:name="_Toc15265"/>
      <w:bookmarkStart w:id="55" w:name="_Toc11687"/>
      <w:bookmarkStart w:id="56" w:name="_Toc81575153"/>
      <w:bookmarkStart w:id="57" w:name="_Toc81575190"/>
      <w:bookmarkStart w:id="58" w:name="_Toc9425"/>
      <w:r>
        <w:rPr>
          <w:rFonts w:hint="eastAsia" w:ascii="宋体" w:hAnsi="宋体"/>
          <w:color w:val="000000"/>
          <w:sz w:val="24"/>
          <w:szCs w:val="24"/>
          <w:highlight w:val="none"/>
          <w:u w:val="none"/>
          <w:lang w:val="en-US" w:eastAsia="zh-CN"/>
        </w:rPr>
        <w:t xml:space="preserve">                </w:t>
      </w:r>
      <w:r>
        <w:rPr>
          <w:rFonts w:hint="eastAsia" w:eastAsia="黑体"/>
          <w:color w:val="000000"/>
          <w:sz w:val="44"/>
          <w:highlight w:val="none"/>
        </w:rPr>
        <w:t>第二章  投标人须知</w:t>
      </w:r>
      <w:bookmarkEnd w:id="54"/>
      <w:bookmarkEnd w:id="55"/>
      <w:bookmarkEnd w:id="56"/>
      <w:bookmarkEnd w:id="57"/>
      <w:bookmarkEnd w:id="58"/>
    </w:p>
    <w:p w14:paraId="03F5DD95">
      <w:pPr>
        <w:pStyle w:val="44"/>
        <w:spacing w:before="0" w:after="120" w:line="520" w:lineRule="exact"/>
        <w:jc w:val="center"/>
        <w:rPr>
          <w:rFonts w:hint="eastAsia" w:eastAsia="宋体" w:cs="Arial"/>
          <w:bCs/>
          <w:color w:val="000000"/>
          <w:szCs w:val="22"/>
          <w:highlight w:val="none"/>
        </w:rPr>
      </w:pPr>
      <w:bookmarkStart w:id="59" w:name="_Toc4529"/>
      <w:r>
        <w:rPr>
          <w:rFonts w:hint="eastAsia" w:eastAsia="宋体" w:cs="Arial"/>
          <w:bCs/>
          <w:color w:val="000000"/>
          <w:szCs w:val="22"/>
          <w:highlight w:val="none"/>
        </w:rPr>
        <w:t>投标人须知前附表：</w:t>
      </w:r>
      <w:bookmarkEnd w:id="59"/>
    </w:p>
    <w:tbl>
      <w:tblPr>
        <w:tblStyle w:val="33"/>
        <w:tblpPr w:leftFromText="180" w:rightFromText="180" w:vertAnchor="text" w:horzAnchor="page" w:tblpX="1530" w:tblpY="22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14:paraId="28D04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noWrap w:val="0"/>
            <w:vAlign w:val="center"/>
          </w:tcPr>
          <w:p w14:paraId="581874EB">
            <w:pPr>
              <w:jc w:val="center"/>
              <w:rPr>
                <w:rFonts w:hint="eastAsia" w:ascii="仿宋_GB2312" w:hAnsi="仿宋"/>
                <w:b/>
                <w:color w:val="000000"/>
                <w:sz w:val="24"/>
                <w:szCs w:val="24"/>
                <w:highlight w:val="none"/>
              </w:rPr>
            </w:pPr>
            <w:bookmarkStart w:id="60" w:name="_Toc81575154"/>
            <w:bookmarkStart w:id="61" w:name="_Toc81575191"/>
            <w:bookmarkStart w:id="62" w:name="_Toc29262"/>
            <w:r>
              <w:rPr>
                <w:rFonts w:hint="eastAsia" w:ascii="仿宋_GB2312" w:hAnsi="仿宋"/>
                <w:b/>
                <w:color w:val="000000"/>
                <w:sz w:val="24"/>
                <w:szCs w:val="24"/>
                <w:highlight w:val="none"/>
              </w:rPr>
              <w:t>序号</w:t>
            </w:r>
          </w:p>
        </w:tc>
        <w:tc>
          <w:tcPr>
            <w:tcW w:w="1772" w:type="dxa"/>
            <w:noWrap w:val="0"/>
            <w:vAlign w:val="center"/>
          </w:tcPr>
          <w:p w14:paraId="65FD0A3E">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内容</w:t>
            </w:r>
          </w:p>
        </w:tc>
        <w:tc>
          <w:tcPr>
            <w:tcW w:w="6579" w:type="dxa"/>
            <w:noWrap w:val="0"/>
            <w:vAlign w:val="center"/>
          </w:tcPr>
          <w:p w14:paraId="24B7E214">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说明及要求</w:t>
            </w:r>
          </w:p>
        </w:tc>
      </w:tr>
      <w:tr w14:paraId="2AA18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3F70B4A2">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w:t>
            </w:r>
          </w:p>
        </w:tc>
        <w:tc>
          <w:tcPr>
            <w:tcW w:w="1772" w:type="dxa"/>
            <w:noWrap w:val="0"/>
            <w:vAlign w:val="center"/>
          </w:tcPr>
          <w:p w14:paraId="21DF890D">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项目属性</w:t>
            </w:r>
          </w:p>
        </w:tc>
        <w:tc>
          <w:tcPr>
            <w:tcW w:w="6579" w:type="dxa"/>
            <w:noWrap w:val="0"/>
            <w:vAlign w:val="center"/>
          </w:tcPr>
          <w:p w14:paraId="6B97FC8D">
            <w:pPr>
              <w:spacing w:line="400" w:lineRule="exact"/>
              <w:jc w:val="lef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本项目</w:t>
            </w:r>
            <w:bookmarkStart w:id="63" w:name="EB9a5853ee094f4f0ea6ec3169265f6f2c"/>
            <w:r>
              <w:rPr>
                <w:rFonts w:hint="eastAsia" w:ascii="Times New Roman" w:hAnsi="Times New Roman" w:cs="仿宋"/>
                <w:color w:val="000000"/>
                <w:sz w:val="24"/>
                <w:szCs w:val="24"/>
                <w:highlight w:val="none"/>
              </w:rPr>
              <w:t>属性按以下第</w:t>
            </w:r>
            <w:bookmarkEnd w:id="63"/>
            <w:r>
              <w:rPr>
                <w:rFonts w:hint="eastAsia" w:ascii="Times New Roman" w:hAnsi="Times New Roman" w:cs="仿宋"/>
                <w:color w:val="000000"/>
                <w:sz w:val="24"/>
                <w:szCs w:val="24"/>
                <w:highlight w:val="none"/>
                <w:u w:val="single"/>
                <w:lang w:val="en-US" w:eastAsia="zh-CN"/>
              </w:rPr>
              <w:t xml:space="preserve"> 2  </w:t>
            </w:r>
            <w:r>
              <w:rPr>
                <w:rFonts w:hint="eastAsia" w:ascii="Times New Roman" w:hAnsi="Times New Roman" w:cs="仿宋"/>
                <w:color w:val="000000"/>
                <w:sz w:val="24"/>
                <w:szCs w:val="24"/>
                <w:highlight w:val="none"/>
              </w:rPr>
              <w:t>种确定：</w:t>
            </w:r>
          </w:p>
          <w:p w14:paraId="28A34A5D">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1.货物</w:t>
            </w:r>
            <w:bookmarkStart w:id="64" w:name="EBd5c6c026f9674c39b21b31ecd0c1e7fa"/>
            <w:r>
              <w:rPr>
                <w:rFonts w:hint="eastAsia" w:ascii="Times New Roman" w:hAnsi="Times New Roman" w:cs="仿宋"/>
                <w:color w:val="000000"/>
                <w:sz w:val="24"/>
                <w:szCs w:val="24"/>
                <w:highlight w:val="none"/>
              </w:rPr>
              <w:t>采购；2.</w:t>
            </w:r>
            <w:bookmarkEnd w:id="64"/>
            <w:r>
              <w:rPr>
                <w:rFonts w:hint="eastAsia" w:ascii="Times New Roman" w:hAnsi="Times New Roman" w:cs="仿宋"/>
                <w:color w:val="000000"/>
                <w:sz w:val="24"/>
                <w:szCs w:val="24"/>
                <w:highlight w:val="none"/>
              </w:rPr>
              <w:t>服务</w:t>
            </w:r>
            <w:bookmarkStart w:id="65" w:name="EBf7d2a4f44ecb4166a93ea852e73be69f"/>
            <w:r>
              <w:rPr>
                <w:rFonts w:hint="eastAsia" w:ascii="Times New Roman" w:hAnsi="Times New Roman" w:cs="仿宋"/>
                <w:color w:val="000000"/>
                <w:sz w:val="24"/>
                <w:szCs w:val="24"/>
                <w:highlight w:val="none"/>
              </w:rPr>
              <w:t>采购；3.</w:t>
            </w:r>
            <w:bookmarkEnd w:id="65"/>
            <w:r>
              <w:rPr>
                <w:rFonts w:hint="eastAsia" w:ascii="Times New Roman" w:hAnsi="Times New Roman" w:cs="仿宋"/>
                <w:color w:val="000000"/>
                <w:sz w:val="24"/>
                <w:szCs w:val="24"/>
                <w:highlight w:val="none"/>
              </w:rPr>
              <w:t>工程采购。</w:t>
            </w:r>
          </w:p>
        </w:tc>
      </w:tr>
      <w:tr w14:paraId="438C7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6F1A79A4">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w:t>
            </w:r>
          </w:p>
        </w:tc>
        <w:tc>
          <w:tcPr>
            <w:tcW w:w="1772" w:type="dxa"/>
            <w:noWrap w:val="0"/>
            <w:vAlign w:val="center"/>
          </w:tcPr>
          <w:p w14:paraId="45FA7FA0">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投标有效期</w:t>
            </w:r>
          </w:p>
        </w:tc>
        <w:tc>
          <w:tcPr>
            <w:tcW w:w="6579" w:type="dxa"/>
            <w:noWrap w:val="0"/>
            <w:vAlign w:val="center"/>
          </w:tcPr>
          <w:p w14:paraId="44D7D93E">
            <w:pPr>
              <w:spacing w:line="400" w:lineRule="exact"/>
              <w:jc w:val="left"/>
              <w:rPr>
                <w:rFonts w:hint="eastAsia" w:ascii="Times New Roman" w:hAnsi="Times New Roman" w:cs="仿宋"/>
                <w:color w:val="000000"/>
                <w:sz w:val="24"/>
                <w:szCs w:val="24"/>
                <w:highlight w:val="none"/>
              </w:rPr>
            </w:pPr>
            <w:bookmarkStart w:id="66" w:name="EBd40b5fb42f2944a3b45e579ce3941f02"/>
            <w:bookmarkEnd w:id="66"/>
            <w:r>
              <w:rPr>
                <w:rFonts w:hint="eastAsia" w:ascii="Times New Roman" w:hAnsi="Times New Roman" w:cs="仿宋"/>
                <w:color w:val="000000"/>
                <w:sz w:val="24"/>
                <w:szCs w:val="24"/>
                <w:highlight w:val="none"/>
              </w:rPr>
              <w:t>60日（从提交投标文件截止之日起算）</w:t>
            </w:r>
          </w:p>
        </w:tc>
      </w:tr>
      <w:tr w14:paraId="49EDD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36014E2D">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3</w:t>
            </w:r>
          </w:p>
        </w:tc>
        <w:tc>
          <w:tcPr>
            <w:tcW w:w="1772" w:type="dxa"/>
            <w:noWrap w:val="0"/>
            <w:vAlign w:val="center"/>
          </w:tcPr>
          <w:p w14:paraId="7C912D91">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投标文件份数</w:t>
            </w:r>
          </w:p>
        </w:tc>
        <w:tc>
          <w:tcPr>
            <w:tcW w:w="6579" w:type="dxa"/>
            <w:noWrap w:val="0"/>
            <w:vAlign w:val="center"/>
          </w:tcPr>
          <w:p w14:paraId="3BC58F95">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提交加密电子投标文件</w:t>
            </w:r>
            <w:r>
              <w:rPr>
                <w:rFonts w:hint="eastAsia" w:ascii="Times New Roman" w:hAnsi="Times New Roman" w:cs="仿宋"/>
                <w:color w:val="000000"/>
                <w:sz w:val="24"/>
                <w:szCs w:val="24"/>
                <w:highlight w:val="none"/>
                <w:u w:val="single"/>
              </w:rPr>
              <w:t>1</w:t>
            </w:r>
            <w:r>
              <w:rPr>
                <w:rFonts w:hint="eastAsia" w:ascii="Times New Roman" w:hAnsi="Times New Roman" w:cs="仿宋"/>
                <w:color w:val="000000"/>
                <w:sz w:val="24"/>
                <w:szCs w:val="24"/>
                <w:highlight w:val="none"/>
              </w:rPr>
              <w:t>份。</w:t>
            </w:r>
          </w:p>
        </w:tc>
      </w:tr>
      <w:tr w14:paraId="4300A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22C1E762">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4</w:t>
            </w:r>
          </w:p>
        </w:tc>
        <w:tc>
          <w:tcPr>
            <w:tcW w:w="1772" w:type="dxa"/>
            <w:noWrap w:val="0"/>
            <w:vAlign w:val="center"/>
          </w:tcPr>
          <w:p w14:paraId="70BF2E2A">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开标</w:t>
            </w:r>
          </w:p>
        </w:tc>
        <w:tc>
          <w:tcPr>
            <w:tcW w:w="6579" w:type="dxa"/>
            <w:noWrap w:val="0"/>
            <w:vAlign w:val="center"/>
          </w:tcPr>
          <w:p w14:paraId="37BD4DC7">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“苏采云”政府采购交易系统网上开标大厅进行不见面开标。</w:t>
            </w:r>
          </w:p>
        </w:tc>
      </w:tr>
      <w:tr w14:paraId="456A2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noWrap w:val="0"/>
            <w:vAlign w:val="center"/>
          </w:tcPr>
          <w:p w14:paraId="27B57AA2">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5</w:t>
            </w:r>
          </w:p>
        </w:tc>
        <w:tc>
          <w:tcPr>
            <w:tcW w:w="1772" w:type="dxa"/>
            <w:noWrap w:val="0"/>
            <w:vAlign w:val="center"/>
          </w:tcPr>
          <w:p w14:paraId="664FD517">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进口产品</w:t>
            </w:r>
          </w:p>
        </w:tc>
        <w:tc>
          <w:tcPr>
            <w:tcW w:w="6579" w:type="dxa"/>
            <w:noWrap w:val="0"/>
            <w:vAlign w:val="center"/>
          </w:tcPr>
          <w:p w14:paraId="75E8B2A9">
            <w:pPr>
              <w:spacing w:line="400" w:lineRule="exact"/>
              <w:jc w:val="lef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按以下第</w:t>
            </w:r>
            <w:r>
              <w:rPr>
                <w:rFonts w:hint="eastAsia" w:ascii="Times New Roman" w:hAnsi="Times New Roman" w:cs="仿宋"/>
                <w:color w:val="000000"/>
                <w:sz w:val="24"/>
                <w:szCs w:val="24"/>
                <w:highlight w:val="none"/>
                <w:u w:val="single"/>
              </w:rPr>
              <w:t>2</w:t>
            </w:r>
            <w:r>
              <w:rPr>
                <w:rFonts w:hint="eastAsia" w:ascii="Times New Roman" w:hAnsi="Times New Roman" w:cs="仿宋"/>
                <w:color w:val="000000"/>
                <w:sz w:val="24"/>
                <w:szCs w:val="24"/>
                <w:highlight w:val="none"/>
              </w:rPr>
              <w:t>种方式确定：</w:t>
            </w:r>
          </w:p>
          <w:p w14:paraId="71C19DC0">
            <w:pPr>
              <w:widowControl/>
              <w:spacing w:line="360" w:lineRule="exact"/>
              <w:jc w:val="lef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1.接受进口产品。</w:t>
            </w:r>
            <w:r>
              <w:rPr>
                <w:rFonts w:hint="eastAsia" w:ascii="Times New Roman" w:hAnsi="Times New Roman" w:cs="仿宋"/>
                <w:color w:val="000000"/>
                <w:sz w:val="24"/>
                <w:highlight w:val="none"/>
              </w:rPr>
              <w:t>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w:t>
            </w:r>
          </w:p>
          <w:p w14:paraId="3E9D55C5">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2.不接受进口产品。</w:t>
            </w:r>
          </w:p>
        </w:tc>
      </w:tr>
      <w:tr w14:paraId="3E4B2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401BCA55">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6</w:t>
            </w:r>
          </w:p>
        </w:tc>
        <w:tc>
          <w:tcPr>
            <w:tcW w:w="1772" w:type="dxa"/>
            <w:noWrap w:val="0"/>
            <w:vAlign w:val="center"/>
          </w:tcPr>
          <w:p w14:paraId="2AE85B39">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评标办法</w:t>
            </w:r>
          </w:p>
        </w:tc>
        <w:tc>
          <w:tcPr>
            <w:tcW w:w="6579" w:type="dxa"/>
            <w:noWrap w:val="0"/>
            <w:vAlign w:val="center"/>
          </w:tcPr>
          <w:p w14:paraId="5F354F63">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具体评标办法详见招标文件第三章。</w:t>
            </w:r>
          </w:p>
          <w:p w14:paraId="3959723D">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评标委员会依据招标文件规定的评标办法和标准推荐</w:t>
            </w:r>
            <w:r>
              <w:rPr>
                <w:rFonts w:hint="eastAsia" w:ascii="Times New Roman" w:hAnsi="Times New Roman" w:cs="仿宋"/>
                <w:color w:val="000000"/>
                <w:sz w:val="24"/>
                <w:szCs w:val="24"/>
                <w:highlight w:val="none"/>
                <w:u w:val="single"/>
              </w:rPr>
              <w:t>3</w:t>
            </w:r>
            <w:r>
              <w:rPr>
                <w:rFonts w:hint="eastAsia" w:ascii="Times New Roman" w:hAnsi="Times New Roman" w:cs="仿宋"/>
                <w:color w:val="000000"/>
                <w:sz w:val="24"/>
                <w:szCs w:val="24"/>
                <w:highlight w:val="none"/>
              </w:rPr>
              <w:t>名中标候选人。</w:t>
            </w:r>
          </w:p>
        </w:tc>
      </w:tr>
      <w:tr w14:paraId="6BE40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60CE2993">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7</w:t>
            </w:r>
          </w:p>
        </w:tc>
        <w:tc>
          <w:tcPr>
            <w:tcW w:w="1772" w:type="dxa"/>
            <w:noWrap w:val="0"/>
            <w:vAlign w:val="center"/>
          </w:tcPr>
          <w:p w14:paraId="673DCC9D">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确定中标人</w:t>
            </w:r>
          </w:p>
        </w:tc>
        <w:tc>
          <w:tcPr>
            <w:tcW w:w="6579" w:type="dxa"/>
            <w:noWrap w:val="0"/>
            <w:vAlign w:val="center"/>
          </w:tcPr>
          <w:p w14:paraId="38F95516">
            <w:pPr>
              <w:spacing w:line="400" w:lineRule="exact"/>
              <w:jc w:val="lef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按以下第</w:t>
            </w:r>
            <w:r>
              <w:rPr>
                <w:rFonts w:hint="eastAsia" w:ascii="Times New Roman" w:hAnsi="Times New Roman" w:cs="仿宋"/>
                <w:color w:val="000000"/>
                <w:sz w:val="24"/>
                <w:szCs w:val="24"/>
                <w:highlight w:val="none"/>
                <w:u w:val="single"/>
                <w:lang w:val="en-US" w:eastAsia="zh-CN"/>
              </w:rPr>
              <w:t>1</w:t>
            </w:r>
            <w:r>
              <w:rPr>
                <w:rFonts w:hint="eastAsia" w:ascii="Times New Roman" w:hAnsi="Times New Roman" w:cs="仿宋"/>
                <w:color w:val="000000"/>
                <w:sz w:val="24"/>
                <w:szCs w:val="24"/>
                <w:highlight w:val="none"/>
              </w:rPr>
              <w:t>种方式确定中标人：</w:t>
            </w:r>
          </w:p>
          <w:p w14:paraId="024B3AA5">
            <w:pPr>
              <w:spacing w:line="400" w:lineRule="exact"/>
              <w:jc w:val="lef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1.采购人按规定在评标委员会推荐的中标候选人中确定中标人；</w:t>
            </w:r>
          </w:p>
          <w:p w14:paraId="102F3B55">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2.采购人授权评标委员会直接确定中标人。</w:t>
            </w:r>
          </w:p>
        </w:tc>
      </w:tr>
      <w:tr w14:paraId="34B4A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172171CB">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8</w:t>
            </w:r>
          </w:p>
        </w:tc>
        <w:tc>
          <w:tcPr>
            <w:tcW w:w="1772" w:type="dxa"/>
            <w:noWrap w:val="0"/>
            <w:vAlign w:val="center"/>
          </w:tcPr>
          <w:p w14:paraId="78B9E5D3">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分包要求</w:t>
            </w:r>
          </w:p>
        </w:tc>
        <w:tc>
          <w:tcPr>
            <w:tcW w:w="6579" w:type="dxa"/>
            <w:noWrap w:val="0"/>
            <w:vAlign w:val="center"/>
          </w:tcPr>
          <w:p w14:paraId="6F0097E6">
            <w:pPr>
              <w:spacing w:line="400" w:lineRule="exact"/>
              <w:jc w:val="left"/>
              <w:rPr>
                <w:rFonts w:hint="eastAsia" w:ascii="Times New Roman" w:hAnsi="Times New Roman" w:cs="仿宋"/>
                <w:color w:val="000000"/>
                <w:sz w:val="24"/>
                <w:szCs w:val="24"/>
                <w:highlight w:val="none"/>
              </w:rPr>
            </w:pPr>
            <w:bookmarkStart w:id="67" w:name="EBebac1462c5d9459fbda8a75065c2455d"/>
            <w:r>
              <w:rPr>
                <w:rFonts w:hint="eastAsia" w:ascii="Times New Roman" w:hAnsi="Times New Roman" w:cs="仿宋"/>
                <w:color w:val="000000"/>
                <w:sz w:val="24"/>
                <w:szCs w:val="24"/>
                <w:highlight w:val="none"/>
              </w:rPr>
              <w:t>本项目的非主体、非关键性工作是否允许分包</w:t>
            </w:r>
            <w:bookmarkEnd w:id="67"/>
            <w:r>
              <w:rPr>
                <w:rFonts w:hint="eastAsia" w:ascii="Times New Roman" w:hAnsi="Times New Roman" w:cs="仿宋"/>
                <w:color w:val="000000"/>
                <w:sz w:val="24"/>
                <w:szCs w:val="24"/>
                <w:highlight w:val="none"/>
              </w:rPr>
              <w:t>按以下第</w:t>
            </w:r>
            <w:r>
              <w:rPr>
                <w:rFonts w:hint="eastAsia" w:ascii="Times New Roman" w:hAnsi="Times New Roman" w:cs="仿宋"/>
                <w:color w:val="000000"/>
                <w:sz w:val="24"/>
                <w:szCs w:val="24"/>
                <w:highlight w:val="none"/>
                <w:u w:val="single"/>
              </w:rPr>
              <w:t>  2  </w:t>
            </w:r>
            <w:r>
              <w:rPr>
                <w:rFonts w:hint="eastAsia" w:ascii="Times New Roman" w:hAnsi="Times New Roman" w:cs="仿宋"/>
                <w:color w:val="000000"/>
                <w:sz w:val="24"/>
                <w:szCs w:val="24"/>
                <w:highlight w:val="none"/>
              </w:rPr>
              <w:t>种方式确定：</w:t>
            </w:r>
          </w:p>
          <w:p w14:paraId="71998EA5">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1.允许分包，</w:t>
            </w:r>
            <w:bookmarkStart w:id="68" w:name="EB512ba06683724173802e2aae54a26079"/>
            <w:r>
              <w:rPr>
                <w:rFonts w:hint="eastAsia" w:ascii="Times New Roman" w:hAnsi="Times New Roman" w:cs="仿宋"/>
                <w:color w:val="000000"/>
                <w:sz w:val="24"/>
                <w:szCs w:val="24"/>
                <w:highlight w:val="none"/>
              </w:rPr>
              <w:t>允许大中型企业向一家或者多家小微企业分包，分包具体内容、金额或比例：</w:t>
            </w:r>
            <w:bookmarkEnd w:id="68"/>
            <w:r>
              <w:rPr>
                <w:rFonts w:hint="eastAsia" w:ascii="Times New Roman" w:hAnsi="Times New Roman" w:cs="仿宋"/>
                <w:color w:val="000000"/>
                <w:sz w:val="24"/>
                <w:szCs w:val="24"/>
                <w:highlight w:val="none"/>
              </w:rPr>
              <w:t>无</w:t>
            </w:r>
          </w:p>
          <w:p w14:paraId="6496F390">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2.不允许分包。</w:t>
            </w:r>
          </w:p>
        </w:tc>
      </w:tr>
      <w:tr w14:paraId="19DED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79A8238A">
            <w:pPr>
              <w:spacing w:line="400" w:lineRule="exact"/>
              <w:jc w:val="center"/>
              <w:rPr>
                <w:rFonts w:hint="eastAsia"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lang w:val="en-US" w:eastAsia="zh-CN"/>
              </w:rPr>
              <w:t>9</w:t>
            </w:r>
          </w:p>
        </w:tc>
        <w:tc>
          <w:tcPr>
            <w:tcW w:w="1772" w:type="dxa"/>
            <w:noWrap w:val="0"/>
            <w:vAlign w:val="center"/>
          </w:tcPr>
          <w:p w14:paraId="3301B3CC">
            <w:pPr>
              <w:spacing w:line="400" w:lineRule="exact"/>
              <w:jc w:val="center"/>
              <w:rPr>
                <w:rFonts w:hint="eastAsia" w:ascii="Times New Roman" w:hAnsi="Times New Roman" w:eastAsia="宋体" w:cs="仿宋"/>
                <w:color w:val="000000"/>
                <w:sz w:val="24"/>
                <w:szCs w:val="24"/>
                <w:highlight w:val="none"/>
                <w:lang w:val="en-US" w:eastAsia="zh-CN" w:bidi="ar-SA"/>
              </w:rPr>
            </w:pPr>
            <w:r>
              <w:rPr>
                <w:rFonts w:hint="eastAsia" w:ascii="Times New Roman" w:hAnsi="Times New Roman" w:cs="仿宋"/>
                <w:color w:val="000000"/>
                <w:sz w:val="24"/>
                <w:szCs w:val="24"/>
                <w:highlight w:val="none"/>
                <w:lang w:val="en-US" w:eastAsia="zh-CN"/>
              </w:rPr>
              <w:t>专家</w:t>
            </w:r>
            <w:r>
              <w:rPr>
                <w:rFonts w:hint="eastAsia" w:ascii="Times New Roman" w:hAnsi="Times New Roman" w:cs="仿宋"/>
                <w:color w:val="000000"/>
                <w:sz w:val="24"/>
                <w:szCs w:val="24"/>
                <w:highlight w:val="none"/>
              </w:rPr>
              <w:t>评审劳务报酬支付标准、方式及周期</w:t>
            </w:r>
          </w:p>
        </w:tc>
        <w:tc>
          <w:tcPr>
            <w:tcW w:w="6579" w:type="dxa"/>
            <w:noWrap w:val="0"/>
            <w:vAlign w:val="center"/>
          </w:tcPr>
          <w:p w14:paraId="3346DEF2">
            <w:pPr>
              <w:spacing w:line="400" w:lineRule="exact"/>
              <w:jc w:val="lef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支付标准</w:t>
            </w:r>
            <w:r>
              <w:rPr>
                <w:rFonts w:hint="eastAsia" w:ascii="Times New Roman" w:hAnsi="Times New Roman" w:eastAsia="宋体" w:cs="仿宋"/>
                <w:color w:val="000000"/>
                <w:sz w:val="24"/>
                <w:szCs w:val="24"/>
                <w:highlight w:val="none"/>
                <w:lang w:eastAsia="zh-CN"/>
              </w:rPr>
              <w:t>：</w:t>
            </w:r>
            <w:r>
              <w:rPr>
                <w:rFonts w:hint="eastAsia" w:ascii="Times New Roman" w:hAnsi="Times New Roman" w:eastAsia="宋体" w:cs="仿宋"/>
                <w:color w:val="000000"/>
                <w:sz w:val="24"/>
                <w:szCs w:val="24"/>
                <w:highlight w:val="none"/>
              </w:rPr>
              <w:t>参照《宿迁市政府采购专家评审费发放标准》宿财购</w:t>
            </w:r>
            <w:r>
              <w:rPr>
                <w:rFonts w:hint="eastAsia" w:ascii="Times New Roman" w:hAnsi="Times New Roman" w:eastAsia="宋体" w:cs="仿宋"/>
                <w:color w:val="000000"/>
                <w:sz w:val="24"/>
                <w:szCs w:val="24"/>
                <w:highlight w:val="none"/>
                <w:lang w:eastAsia="zh-CN"/>
              </w:rPr>
              <w:t>〔2018〕32号</w:t>
            </w:r>
            <w:r>
              <w:rPr>
                <w:rFonts w:hint="eastAsia" w:ascii="Times New Roman" w:hAnsi="Times New Roman" w:eastAsia="宋体" w:cs="仿宋"/>
                <w:color w:val="000000"/>
                <w:sz w:val="24"/>
                <w:szCs w:val="24"/>
                <w:highlight w:val="none"/>
              </w:rPr>
              <w:t>支付，</w:t>
            </w:r>
            <w:r>
              <w:rPr>
                <w:rFonts w:hint="eastAsia" w:ascii="Times New Roman" w:hAnsi="Times New Roman" w:eastAsia="宋体" w:cs="仿宋"/>
                <w:color w:val="000000"/>
                <w:sz w:val="24"/>
                <w:szCs w:val="24"/>
                <w:highlight w:val="none"/>
                <w:lang w:eastAsia="zh-CN"/>
              </w:rPr>
              <w:t>（</w:t>
            </w:r>
            <w:r>
              <w:rPr>
                <w:rFonts w:hint="eastAsia" w:ascii="Times New Roman" w:hAnsi="Times New Roman" w:eastAsia="宋体" w:cs="仿宋"/>
                <w:color w:val="000000"/>
                <w:sz w:val="24"/>
                <w:szCs w:val="24"/>
                <w:highlight w:val="none"/>
              </w:rPr>
              <w:t>2小时以内200元</w:t>
            </w:r>
            <w:r>
              <w:rPr>
                <w:rFonts w:hint="eastAsia" w:ascii="Times New Roman" w:hAnsi="Times New Roman" w:eastAsia="宋体" w:cs="仿宋"/>
                <w:color w:val="000000"/>
                <w:sz w:val="24"/>
                <w:szCs w:val="24"/>
                <w:highlight w:val="none"/>
                <w:lang w:val="en-US" w:eastAsia="zh-CN"/>
              </w:rPr>
              <w:t>/</w:t>
            </w:r>
            <w:r>
              <w:rPr>
                <w:rFonts w:hint="eastAsia" w:ascii="Times New Roman" w:hAnsi="Times New Roman" w:eastAsia="宋体" w:cs="仿宋"/>
                <w:color w:val="000000"/>
                <w:sz w:val="24"/>
                <w:szCs w:val="24"/>
                <w:highlight w:val="none"/>
              </w:rPr>
              <w:t>人</w:t>
            </w:r>
            <w:r>
              <w:rPr>
                <w:rFonts w:hint="eastAsia" w:ascii="Times New Roman" w:hAnsi="Times New Roman" w:eastAsia="宋体" w:cs="仿宋"/>
                <w:color w:val="000000"/>
                <w:sz w:val="24"/>
                <w:szCs w:val="24"/>
                <w:highlight w:val="none"/>
                <w:lang w:eastAsia="zh-CN"/>
              </w:rPr>
              <w:t>；</w:t>
            </w:r>
            <w:r>
              <w:rPr>
                <w:rFonts w:hint="eastAsia" w:ascii="Times New Roman" w:hAnsi="Times New Roman" w:eastAsia="宋体" w:cs="仿宋"/>
                <w:color w:val="000000"/>
                <w:sz w:val="24"/>
                <w:szCs w:val="24"/>
                <w:highlight w:val="none"/>
              </w:rPr>
              <w:t>超过2小时不足8小时的，按100元</w:t>
            </w:r>
            <w:r>
              <w:rPr>
                <w:rFonts w:hint="eastAsia" w:ascii="Times New Roman" w:hAnsi="Times New Roman" w:eastAsia="宋体" w:cs="仿宋"/>
                <w:color w:val="000000"/>
                <w:sz w:val="24"/>
                <w:szCs w:val="24"/>
                <w:highlight w:val="none"/>
                <w:lang w:val="en-US" w:eastAsia="zh-CN"/>
              </w:rPr>
              <w:t>/</w:t>
            </w:r>
            <w:r>
              <w:rPr>
                <w:rFonts w:hint="eastAsia" w:ascii="Times New Roman" w:hAnsi="Times New Roman" w:eastAsia="宋体" w:cs="仿宋"/>
                <w:color w:val="000000"/>
                <w:sz w:val="24"/>
                <w:szCs w:val="24"/>
                <w:highlight w:val="none"/>
              </w:rPr>
              <w:t>人·小时计算</w:t>
            </w:r>
            <w:r>
              <w:rPr>
                <w:rFonts w:hint="eastAsia" w:ascii="Times New Roman" w:hAnsi="Times New Roman" w:eastAsia="宋体" w:cs="仿宋"/>
                <w:color w:val="000000"/>
                <w:sz w:val="24"/>
                <w:szCs w:val="24"/>
                <w:highlight w:val="none"/>
                <w:lang w:eastAsia="zh-CN"/>
              </w:rPr>
              <w:t>；</w:t>
            </w:r>
            <w:r>
              <w:rPr>
                <w:rFonts w:hint="eastAsia" w:ascii="Times New Roman" w:hAnsi="Times New Roman" w:eastAsia="宋体" w:cs="仿宋"/>
                <w:color w:val="000000"/>
                <w:sz w:val="24"/>
                <w:szCs w:val="24"/>
                <w:highlight w:val="none"/>
              </w:rPr>
              <w:t>连续评审超过8小时，超出部分按200元/人·小时计算。</w:t>
            </w:r>
            <w:r>
              <w:rPr>
                <w:rFonts w:hint="eastAsia" w:ascii="Times New Roman" w:hAnsi="Times New Roman" w:eastAsia="宋体" w:cs="仿宋"/>
                <w:color w:val="000000"/>
                <w:sz w:val="24"/>
                <w:szCs w:val="24"/>
                <w:highlight w:val="none"/>
                <w:lang w:eastAsia="zh-CN"/>
              </w:rPr>
              <w:t>）</w:t>
            </w:r>
          </w:p>
          <w:p w14:paraId="69D0459B">
            <w:pPr>
              <w:spacing w:line="400" w:lineRule="exact"/>
              <w:jc w:val="left"/>
              <w:rPr>
                <w:rFonts w:hint="eastAsia" w:ascii="Times New Roman" w:hAnsi="Times New Roman" w:eastAsia="宋体" w:cs="仿宋"/>
                <w:color w:val="000000"/>
                <w:sz w:val="24"/>
                <w:szCs w:val="24"/>
                <w:highlight w:val="none"/>
                <w:lang w:val="en-US" w:eastAsia="zh-CN" w:bidi="ar-SA"/>
              </w:rPr>
            </w:pPr>
            <w:r>
              <w:rPr>
                <w:rFonts w:hint="eastAsia" w:ascii="Times New Roman" w:hAnsi="Times New Roman" w:eastAsia="宋体" w:cs="仿宋"/>
                <w:color w:val="000000"/>
                <w:sz w:val="24"/>
                <w:szCs w:val="24"/>
                <w:highlight w:val="none"/>
              </w:rPr>
              <w:t>支付方式及周期</w:t>
            </w:r>
            <w:r>
              <w:rPr>
                <w:rFonts w:hint="eastAsia" w:ascii="Times New Roman" w:hAnsi="Times New Roman" w:eastAsia="宋体" w:cs="仿宋"/>
                <w:color w:val="000000"/>
                <w:sz w:val="24"/>
                <w:szCs w:val="24"/>
                <w:highlight w:val="none"/>
                <w:lang w:eastAsia="zh-CN"/>
              </w:rPr>
              <w:t>：</w:t>
            </w:r>
            <w:r>
              <w:rPr>
                <w:rFonts w:hint="eastAsia" w:ascii="Times New Roman" w:hAnsi="Times New Roman" w:eastAsia="宋体" w:cs="仿宋"/>
                <w:color w:val="000000"/>
                <w:sz w:val="24"/>
                <w:szCs w:val="24"/>
                <w:highlight w:val="none"/>
              </w:rPr>
              <w:t>费用由采购人通过预算一体化系统支付评审费，支付周期不超过评审结束后</w:t>
            </w:r>
            <w:r>
              <w:rPr>
                <w:rFonts w:hint="eastAsia" w:ascii="Times New Roman" w:hAnsi="Times New Roman" w:cs="仿宋"/>
                <w:color w:val="000000"/>
                <w:sz w:val="24"/>
                <w:szCs w:val="24"/>
                <w:highlight w:val="none"/>
                <w:lang w:val="en-US" w:eastAsia="zh-CN"/>
              </w:rPr>
              <w:t>30</w:t>
            </w:r>
            <w:r>
              <w:rPr>
                <w:rFonts w:hint="eastAsia" w:ascii="Times New Roman" w:hAnsi="Times New Roman" w:eastAsia="宋体" w:cs="仿宋"/>
                <w:color w:val="000000"/>
                <w:sz w:val="24"/>
                <w:szCs w:val="24"/>
                <w:highlight w:val="none"/>
              </w:rPr>
              <w:t>个工作日</w:t>
            </w:r>
            <w:r>
              <w:rPr>
                <w:rFonts w:hint="eastAsia" w:ascii="Times New Roman" w:hAnsi="Times New Roman" w:eastAsia="宋体" w:cs="仿宋"/>
                <w:color w:val="000000"/>
                <w:sz w:val="24"/>
                <w:szCs w:val="24"/>
                <w:highlight w:val="none"/>
                <w:lang w:eastAsia="zh-CN"/>
              </w:rPr>
              <w:t>。因专家原因导致项目废标，则不需要向应当承担责任的专家支付费用。</w:t>
            </w:r>
          </w:p>
        </w:tc>
      </w:tr>
      <w:tr w14:paraId="1E45A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1561F9EA">
            <w:pPr>
              <w:spacing w:line="400" w:lineRule="exact"/>
              <w:jc w:val="center"/>
              <w:rPr>
                <w:rFonts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lang w:val="en-US" w:eastAsia="zh-CN"/>
              </w:rPr>
              <w:t>10</w:t>
            </w:r>
          </w:p>
        </w:tc>
        <w:tc>
          <w:tcPr>
            <w:tcW w:w="1772" w:type="dxa"/>
            <w:noWrap w:val="0"/>
            <w:vAlign w:val="center"/>
          </w:tcPr>
          <w:p w14:paraId="569053DE">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代理费用收取方式及标准</w:t>
            </w:r>
          </w:p>
        </w:tc>
        <w:tc>
          <w:tcPr>
            <w:tcW w:w="6579" w:type="dxa"/>
            <w:noWrap w:val="0"/>
            <w:vAlign w:val="center"/>
          </w:tcPr>
          <w:p w14:paraId="5AE06E8A">
            <w:pPr>
              <w:spacing w:line="400" w:lineRule="exact"/>
              <w:jc w:val="left"/>
              <w:rPr>
                <w:rFonts w:hint="eastAsia" w:ascii="Times New Roman" w:hAnsi="Times New Roman" w:cs="仿宋"/>
                <w:color w:val="000000"/>
                <w:sz w:val="24"/>
                <w:szCs w:val="24"/>
                <w:highlight w:val="none"/>
              </w:rPr>
            </w:pPr>
            <w:bookmarkStart w:id="69" w:name="EBfe735bb6fc4d4e5e9e350f940db98c5f"/>
            <w:bookmarkEnd w:id="69"/>
            <w:r>
              <w:rPr>
                <w:rFonts w:hint="eastAsia" w:ascii="Times New Roman" w:hAnsi="Times New Roman" w:cs="仿宋"/>
                <w:color w:val="000000"/>
                <w:sz w:val="24"/>
                <w:szCs w:val="24"/>
                <w:highlight w:val="none"/>
                <w:lang w:val="en-US" w:eastAsia="zh-CN"/>
              </w:rPr>
              <w:t>由采购人支付，</w:t>
            </w:r>
            <w:r>
              <w:rPr>
                <w:rFonts w:ascii="Times New Roman" w:hAnsi="Times New Roman" w:cs="仿宋"/>
                <w:color w:val="000000"/>
                <w:sz w:val="24"/>
                <w:szCs w:val="24"/>
                <w:highlight w:val="none"/>
                <w:lang w:val="en-US"/>
              </w:rPr>
              <w:t>代理费按《江苏省政府采购代理服务收费指导意见》苏政采协〔2024〕20号文</w:t>
            </w:r>
            <w:r>
              <w:rPr>
                <w:rFonts w:hint="eastAsia" w:ascii="Times New Roman" w:hAnsi="Times New Roman" w:cs="仿宋"/>
                <w:color w:val="000000"/>
                <w:sz w:val="24"/>
                <w:szCs w:val="24"/>
                <w:highlight w:val="none"/>
                <w:lang w:val="en-US" w:eastAsia="zh-CN"/>
              </w:rPr>
              <w:t>的75折计费收取。</w:t>
            </w:r>
          </w:p>
        </w:tc>
      </w:tr>
      <w:tr w14:paraId="0763A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56EE1145">
            <w:pPr>
              <w:spacing w:line="400" w:lineRule="exact"/>
              <w:jc w:val="center"/>
              <w:rPr>
                <w:rFonts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lang w:val="en-US" w:eastAsia="zh-CN"/>
              </w:rPr>
              <w:t>11</w:t>
            </w:r>
          </w:p>
        </w:tc>
        <w:tc>
          <w:tcPr>
            <w:tcW w:w="1772" w:type="dxa"/>
            <w:noWrap w:val="0"/>
            <w:vAlign w:val="center"/>
          </w:tcPr>
          <w:p w14:paraId="4AA6C3B3">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其他</w:t>
            </w:r>
            <w:bookmarkEnd w:id="60"/>
            <w:bookmarkEnd w:id="61"/>
            <w:bookmarkEnd w:id="62"/>
          </w:p>
        </w:tc>
        <w:tc>
          <w:tcPr>
            <w:tcW w:w="6579" w:type="dxa"/>
            <w:noWrap w:val="0"/>
            <w:vAlign w:val="center"/>
          </w:tcPr>
          <w:p w14:paraId="61237711">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信用信息查询截止时间：资格审查结束前。由采购人在资格审查现场查询信用信息，网页截屏打印，查询结果留存并归档。</w:t>
            </w:r>
          </w:p>
        </w:tc>
      </w:tr>
    </w:tbl>
    <w:p w14:paraId="19B009AC">
      <w:pPr>
        <w:rPr>
          <w:color w:val="000000"/>
          <w:sz w:val="20"/>
          <w:highlight w:val="none"/>
        </w:rPr>
      </w:pPr>
    </w:p>
    <w:p w14:paraId="304B1878">
      <w:pPr>
        <w:pStyle w:val="44"/>
        <w:spacing w:before="0" w:after="0" w:line="480" w:lineRule="exact"/>
        <w:ind w:firstLine="321"/>
        <w:rPr>
          <w:rFonts w:hint="eastAsia" w:eastAsia="宋体" w:cs="Arial"/>
          <w:bCs/>
          <w:color w:val="000000"/>
          <w:szCs w:val="22"/>
          <w:highlight w:val="none"/>
        </w:rPr>
      </w:pPr>
      <w:bookmarkStart w:id="70" w:name="EB6eaaf474639940df900ef4965d71f450"/>
      <w:bookmarkEnd w:id="70"/>
      <w:bookmarkStart w:id="71" w:name="_Toc30953"/>
      <w:bookmarkStart w:id="72" w:name="_Toc81575155"/>
      <w:bookmarkStart w:id="73" w:name="_Toc8239"/>
      <w:bookmarkStart w:id="74" w:name="_Toc81575192"/>
      <w:r>
        <w:rPr>
          <w:rFonts w:hint="eastAsia" w:eastAsia="宋体" w:cs="Arial"/>
          <w:bCs/>
          <w:color w:val="000000"/>
          <w:szCs w:val="22"/>
          <w:highlight w:val="none"/>
        </w:rPr>
        <w:t>一、总 则</w:t>
      </w:r>
      <w:bookmarkEnd w:id="71"/>
      <w:bookmarkEnd w:id="72"/>
      <w:bookmarkEnd w:id="73"/>
      <w:bookmarkEnd w:id="74"/>
    </w:p>
    <w:p w14:paraId="39E2B8EC">
      <w:pPr>
        <w:spacing w:line="48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1、招标方式</w:t>
      </w:r>
    </w:p>
    <w:p w14:paraId="4195400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本次采购采取公开招标方式。</w:t>
      </w:r>
    </w:p>
    <w:p w14:paraId="78996DF6">
      <w:pPr>
        <w:spacing w:line="48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2、合格的投标人</w:t>
      </w:r>
    </w:p>
    <w:p w14:paraId="02D6FDC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2.1合格的投标人必须符合招标文件第一章《投标邀请》第二条及投标人须知前附表相关规定，且具备完成本项目的能力，中标后不允许转包。</w:t>
      </w:r>
    </w:p>
    <w:p w14:paraId="298285A2">
      <w:pPr>
        <w:spacing w:line="480" w:lineRule="exact"/>
        <w:ind w:firstLine="480"/>
        <w:outlineLvl w:val="3"/>
        <w:rPr>
          <w:rFonts w:ascii="Times New Roman" w:hAnsi="Times New Roman" w:cs="仿宋"/>
          <w:color w:val="000000"/>
          <w:sz w:val="24"/>
          <w:highlight w:val="none"/>
        </w:rPr>
      </w:pPr>
      <w:r>
        <w:rPr>
          <w:rFonts w:hint="eastAsia" w:ascii="Times New Roman" w:hAnsi="Times New Roman" w:cs="仿宋"/>
          <w:color w:val="000000"/>
          <w:sz w:val="24"/>
          <w:highlight w:val="none"/>
        </w:rPr>
        <w:t>2.2满足本文件实质性要求的规定。</w:t>
      </w:r>
    </w:p>
    <w:p w14:paraId="416D93F9">
      <w:pPr>
        <w:spacing w:line="48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3、适用法律</w:t>
      </w:r>
    </w:p>
    <w:p w14:paraId="0C84FF5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本次招标及由招标产生的合同受中华人民共和国的相关法律、法规制约和保护。</w:t>
      </w:r>
    </w:p>
    <w:p w14:paraId="04D22C94">
      <w:pPr>
        <w:spacing w:line="48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4、投标费用</w:t>
      </w:r>
    </w:p>
    <w:p w14:paraId="50A734B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投标人应自行承担所有参加投标有关的费用。</w:t>
      </w:r>
    </w:p>
    <w:p w14:paraId="7DE00096">
      <w:pPr>
        <w:pStyle w:val="44"/>
        <w:spacing w:before="0" w:after="0" w:line="480" w:lineRule="exact"/>
        <w:ind w:firstLine="321"/>
        <w:rPr>
          <w:rFonts w:hint="eastAsia" w:eastAsia="宋体" w:cs="Arial"/>
          <w:bCs/>
          <w:color w:val="000000"/>
          <w:szCs w:val="22"/>
          <w:highlight w:val="none"/>
        </w:rPr>
      </w:pPr>
      <w:bookmarkStart w:id="75" w:name="_Toc29306"/>
      <w:bookmarkStart w:id="76" w:name="_Toc81575193"/>
      <w:bookmarkStart w:id="77" w:name="_Toc81575156"/>
      <w:bookmarkStart w:id="78" w:name="_Toc15995"/>
      <w:r>
        <w:rPr>
          <w:rFonts w:hint="eastAsia" w:eastAsia="宋体" w:cs="Arial"/>
          <w:bCs/>
          <w:color w:val="000000"/>
          <w:szCs w:val="22"/>
          <w:highlight w:val="none"/>
        </w:rPr>
        <w:t>二、招标文件</w:t>
      </w:r>
      <w:bookmarkEnd w:id="75"/>
      <w:bookmarkEnd w:id="76"/>
      <w:bookmarkEnd w:id="77"/>
      <w:bookmarkEnd w:id="78"/>
    </w:p>
    <w:p w14:paraId="548448DF">
      <w:pPr>
        <w:spacing w:line="48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5、招标文件构成</w:t>
      </w:r>
    </w:p>
    <w:p w14:paraId="1E4926F1">
      <w:pPr>
        <w:spacing w:line="480" w:lineRule="exact"/>
        <w:ind w:firstLine="480"/>
        <w:outlineLvl w:val="3"/>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5.1招标文件由以下部分组成：</w:t>
      </w:r>
    </w:p>
    <w:p w14:paraId="1E7CD61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第一章：投标邀请；</w:t>
      </w:r>
    </w:p>
    <w:p w14:paraId="666E390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第二章：投标人须知；</w:t>
      </w:r>
    </w:p>
    <w:p w14:paraId="69B7F28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第三章：资格审查及评标办法；</w:t>
      </w:r>
    </w:p>
    <w:p w14:paraId="6361028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第四章：采购需求；</w:t>
      </w:r>
    </w:p>
    <w:p w14:paraId="1D902E3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第五章：合同文本；</w:t>
      </w:r>
    </w:p>
    <w:p w14:paraId="6C892D8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第六章：投标文件格式。</w:t>
      </w:r>
    </w:p>
    <w:p w14:paraId="73EDB25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5.2投标人应认真阅读招标文件中所有的事项、格式、条款和规范等要求，按招标文件要求和规定编制投标文件，并保证所提供的全部资料的真实性，以使其投标文件对招标文件作出实质性响应，否则风险由投标人自行承担。</w:t>
      </w:r>
    </w:p>
    <w:p w14:paraId="09A179FE">
      <w:pPr>
        <w:spacing w:line="48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6、政府采购政策功能落实</w:t>
      </w:r>
    </w:p>
    <w:p w14:paraId="61F11438">
      <w:pPr>
        <w:spacing w:line="480" w:lineRule="exact"/>
        <w:ind w:firstLine="482"/>
        <w:outlineLvl w:val="3"/>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6.1</w:t>
      </w:r>
      <w:r>
        <w:rPr>
          <w:rFonts w:hint="eastAsia" w:ascii="Times New Roman" w:hAnsi="Times New Roman" w:cs="仿宋"/>
          <w:b/>
          <w:bCs/>
          <w:color w:val="000000"/>
          <w:sz w:val="24"/>
          <w:highlight w:val="none"/>
          <w:u w:val="single"/>
        </w:rPr>
        <w:t xml:space="preserve"> </w:t>
      </w:r>
    </w:p>
    <w:p w14:paraId="2DE4753F">
      <w:pPr>
        <w:spacing w:line="480" w:lineRule="exact"/>
        <w:ind w:firstLine="480"/>
        <w:outlineLvl w:val="3"/>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6.1中小企业政策</w:t>
      </w:r>
    </w:p>
    <w:p w14:paraId="713124F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本项目按第</w:t>
      </w:r>
      <w:r>
        <w:rPr>
          <w:rFonts w:hint="eastAsia" w:ascii="Times New Roman" w:hAnsi="Times New Roman" w:cs="仿宋"/>
          <w:color w:val="000000"/>
          <w:sz w:val="24"/>
          <w:highlight w:val="none"/>
          <w:u w:val="single"/>
        </w:rPr>
        <w:t>（</w:t>
      </w:r>
      <w:r>
        <w:rPr>
          <w:rFonts w:hint="eastAsia" w:ascii="Times New Roman" w:hAnsi="Times New Roman" w:cs="仿宋"/>
          <w:color w:val="000000"/>
          <w:sz w:val="24"/>
          <w:highlight w:val="none"/>
          <w:u w:val="single"/>
          <w:lang w:val="en-US" w:eastAsia="zh-CN"/>
        </w:rPr>
        <w:t>1</w:t>
      </w:r>
      <w:r>
        <w:rPr>
          <w:rFonts w:hint="eastAsia" w:ascii="Times New Roman" w:hAnsi="Times New Roman" w:cs="仿宋"/>
          <w:color w:val="000000"/>
          <w:sz w:val="24"/>
          <w:highlight w:val="none"/>
          <w:u w:val="single"/>
        </w:rPr>
        <w:t>）</w:t>
      </w:r>
      <w:r>
        <w:rPr>
          <w:rFonts w:hint="eastAsia" w:ascii="Times New Roman" w:hAnsi="Times New Roman" w:cs="仿宋"/>
          <w:color w:val="000000"/>
          <w:sz w:val="24"/>
          <w:highlight w:val="none"/>
        </w:rPr>
        <w:t>种政策落实：</w:t>
      </w:r>
    </w:p>
    <w:p w14:paraId="7809F89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（1）本项目专门面向中小企业（含监狱与戒毒企业、残疾人福利企业）采购。</w:t>
      </w:r>
    </w:p>
    <w:p w14:paraId="5B205FC1">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（2）对符合规定情形的小微企业报价</w:t>
      </w:r>
      <w:r>
        <w:rPr>
          <w:rFonts w:hint="eastAsia" w:ascii="Times New Roman" w:hAnsi="Times New Roman" w:cs="仿宋"/>
          <w:color w:val="auto"/>
          <w:sz w:val="24"/>
          <w:highlight w:val="none"/>
        </w:rPr>
        <w:t>给予</w:t>
      </w:r>
      <w:r>
        <w:rPr>
          <w:rFonts w:hint="eastAsia" w:ascii="Times New Roman" w:hAnsi="Times New Roman" w:cs="仿宋"/>
          <w:color w:val="auto"/>
          <w:sz w:val="24"/>
          <w:highlight w:val="none"/>
          <w:u w:val="single"/>
          <w:lang w:val="en-US" w:eastAsia="zh-CN"/>
        </w:rPr>
        <w:t>/</w:t>
      </w:r>
      <w:r>
        <w:rPr>
          <w:rFonts w:hint="eastAsia" w:ascii="Times New Roman" w:hAnsi="Times New Roman" w:cs="仿宋"/>
          <w:color w:val="auto"/>
          <w:sz w:val="24"/>
          <w:highlight w:val="none"/>
          <w:u w:val="single"/>
        </w:rPr>
        <w:t>%</w:t>
      </w:r>
      <w:r>
        <w:rPr>
          <w:rFonts w:hint="eastAsia" w:ascii="Times New Roman" w:hAnsi="Times New Roman" w:cs="仿宋"/>
          <w:color w:val="auto"/>
          <w:sz w:val="24"/>
          <w:highlight w:val="none"/>
        </w:rPr>
        <w:t>扣</w:t>
      </w:r>
      <w:r>
        <w:rPr>
          <w:rFonts w:hint="eastAsia" w:ascii="Times New Roman" w:hAnsi="Times New Roman" w:cs="仿宋"/>
          <w:color w:val="000000"/>
          <w:sz w:val="24"/>
          <w:highlight w:val="none"/>
        </w:rPr>
        <w:t>除，用扣除后的价格参加评审。</w:t>
      </w:r>
    </w:p>
    <w:p w14:paraId="654BA54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在服务采购项目中，服务由中小企业承接，即提供服务的人员为中小企业依照《中华人民共和国劳动合同法》订立劳动合同的从业人员。</w:t>
      </w:r>
    </w:p>
    <w:p w14:paraId="668A0C6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在货物采购项目中，货物由中小企业制造，即货物由中小企业生产且使用该中小企业商号或者注册商标。</w:t>
      </w:r>
    </w:p>
    <w:p w14:paraId="48672E3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号）。</w:t>
      </w:r>
    </w:p>
    <w:p w14:paraId="1556AFD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71A05FC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008474B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5</w:t>
      </w:r>
      <w:r>
        <w:rPr>
          <w:rFonts w:hint="eastAsia" w:ascii="Times New Roman" w:hAnsi="Times New Roman" w:cs="仿宋"/>
          <w:color w:val="000000"/>
          <w:sz w:val="24"/>
          <w:highlight w:val="none"/>
        </w:rPr>
        <w:t>%（工程项目为</w:t>
      </w:r>
      <w:r>
        <w:rPr>
          <w:rFonts w:hint="eastAsia" w:ascii="Times New Roman" w:hAnsi="Times New Roman" w:cs="仿宋"/>
          <w:color w:val="000000"/>
          <w:sz w:val="24"/>
          <w:highlight w:val="none"/>
          <w:u w:val="single"/>
        </w:rPr>
        <w:t>2</w:t>
      </w:r>
      <w:r>
        <w:rPr>
          <w:rFonts w:hint="eastAsia" w:ascii="Times New Roman" w:hAnsi="Times New Roman" w:cs="仿宋"/>
          <w:color w:val="000000"/>
          <w:sz w:val="24"/>
          <w:highlight w:val="none"/>
        </w:rPr>
        <w:t>%）的扣除，用扣除后的价格参加评审。（是否接受联合体以“项目基本情况”相关内容为准，是否允许大中型企业向一家或者多家小微企业分包以“须知前附表”、“采购需求”相关内容为准。）</w:t>
      </w:r>
    </w:p>
    <w:p w14:paraId="2710657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⑤联合体各方均为小型、微型企业（残疾人福利单位、监狱企业）的，联合体享受15%价格扣除，用扣除后的价格参与评审。</w:t>
      </w:r>
    </w:p>
    <w:p w14:paraId="2B1C2DA5">
      <w:pPr>
        <w:spacing w:line="480" w:lineRule="exact"/>
        <w:ind w:firstLine="480"/>
        <w:outlineLvl w:val="3"/>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6.2节能产品、环境标志产品</w:t>
      </w:r>
    </w:p>
    <w:p w14:paraId="53A5801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拟采购的产品属于品目清单范围的，采购人将依据国家确定的认证机构出具的、处于有效期之内的节能产品、环境标志产品认证证书，对获得证书的产品实施政府优先采购或强制采购。</w:t>
      </w:r>
    </w:p>
    <w:p w14:paraId="60175D5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6.2.1拟采购的产品属于政府强制采购的节能产品品目清单范围的，投标人须提供国家确定的认证机构出具的、处于有效期之内的节能产品认证证书，否则其投标文件作无效标处理。</w:t>
      </w:r>
    </w:p>
    <w:p w14:paraId="3BBE00BD">
      <w:pPr>
        <w:keepNext w:val="0"/>
        <w:keepLines w:val="0"/>
        <w:pageBreakBefore w:val="0"/>
        <w:widowControl w:val="0"/>
        <w:spacing w:line="480" w:lineRule="exact"/>
        <w:ind w:firstLine="480"/>
        <w:rPr>
          <w:rFonts w:hint="eastAsia" w:ascii="Times New Roman" w:hAnsi="Times New Roman" w:eastAsia="宋体" w:cs="仿宋"/>
          <w:sz w:val="24"/>
        </w:rPr>
      </w:pPr>
      <w:r>
        <w:rPr>
          <w:rFonts w:hint="eastAsia" w:ascii="Times New Roman" w:hAnsi="Times New Roman" w:eastAsia="宋体" w:cs="仿宋"/>
          <w:sz w:val="24"/>
        </w:rPr>
        <w:t>6.2.</w:t>
      </w:r>
      <w:r>
        <w:rPr>
          <w:rFonts w:hint="eastAsia" w:ascii="Times New Roman" w:hAnsi="Times New Roman" w:eastAsia="宋体" w:cs="仿宋"/>
          <w:sz w:val="24"/>
          <w:lang w:val="en-US" w:eastAsia="zh-CN"/>
        </w:rPr>
        <w:t>2</w:t>
      </w:r>
      <w:r>
        <w:rPr>
          <w:rFonts w:hint="eastAsia" w:ascii="Times New Roman" w:hAnsi="Times New Roman" w:eastAsia="宋体" w:cs="仿宋"/>
          <w:sz w:val="24"/>
        </w:rPr>
        <w:t>采购人拟采购的产品属于优先采购的节能环保品目清单范围的，按以下条件优先采购：</w:t>
      </w:r>
    </w:p>
    <w:p w14:paraId="59A8BB34">
      <w:pPr>
        <w:keepNext w:val="0"/>
        <w:keepLines w:val="0"/>
        <w:pageBreakBefore w:val="0"/>
        <w:widowControl w:val="0"/>
        <w:spacing w:line="480" w:lineRule="exact"/>
        <w:ind w:firstLine="480"/>
        <w:rPr>
          <w:rFonts w:hint="eastAsia" w:ascii="Times New Roman" w:hAnsi="Times New Roman" w:eastAsia="宋体" w:cs="仿宋"/>
          <w:sz w:val="24"/>
        </w:rPr>
      </w:pPr>
      <w:r>
        <w:rPr>
          <w:rFonts w:hint="eastAsia" w:ascii="Times New Roman" w:hAnsi="Times New Roman" w:eastAsia="宋体" w:cs="仿宋"/>
          <w:sz w:val="24"/>
        </w:rPr>
        <w:t>采用综合评分法的项目，对提供有效节能环保证书的投标人加分。</w:t>
      </w:r>
    </w:p>
    <w:p w14:paraId="278CD99F">
      <w:pPr>
        <w:keepNext w:val="0"/>
        <w:keepLines w:val="0"/>
        <w:pageBreakBefore w:val="0"/>
        <w:widowControl w:val="0"/>
        <w:spacing w:line="480" w:lineRule="exact"/>
        <w:ind w:firstLine="480"/>
        <w:rPr>
          <w:rFonts w:hint="eastAsia" w:ascii="Times New Roman" w:hAnsi="Times New Roman" w:eastAsia="宋体" w:cs="仿宋"/>
          <w:sz w:val="24"/>
        </w:rPr>
      </w:pPr>
      <w:r>
        <w:rPr>
          <w:rFonts w:hint="eastAsia" w:ascii="Times New Roman" w:hAnsi="Times New Roman" w:eastAsia="宋体" w:cs="仿宋"/>
          <w:sz w:val="24"/>
        </w:rPr>
        <w:t>采用最低评标价法的项目，同等条件下优先推荐提供有效节能环保证书多的投标人为中标人。</w:t>
      </w:r>
    </w:p>
    <w:p w14:paraId="13A4AE5C">
      <w:pPr>
        <w:spacing w:line="480" w:lineRule="exact"/>
        <w:ind w:firstLine="480"/>
        <w:outlineLvl w:val="3"/>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6.3政府采购需求标准</w:t>
      </w:r>
    </w:p>
    <w:p w14:paraId="039F598F">
      <w:pPr>
        <w:spacing w:line="480" w:lineRule="exact"/>
        <w:ind w:firstLine="480"/>
        <w:outlineLvl w:val="4"/>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6.3.1商品包装、快递包装政府采购需求标准（试行）</w:t>
      </w:r>
    </w:p>
    <w:p w14:paraId="1D3279D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按照财政部印发的《商品包装政府采购需求标准（试行）》《快递包装政府采购需求标准（试行）》要求执行，本项目商品包装和快递包装的具体需求详见第四章采购需求。</w:t>
      </w:r>
    </w:p>
    <w:p w14:paraId="5E1FEBD8">
      <w:pPr>
        <w:spacing w:line="480" w:lineRule="exact"/>
        <w:ind w:firstLine="480"/>
        <w:outlineLvl w:val="4"/>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6.3.2绿色数据中心政府采购需求标准（试行）</w:t>
      </w:r>
    </w:p>
    <w:p w14:paraId="25E712A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按照财政部 生态环境部 工业和信息化部关于印发《绿色数据中心政府采购需求标准（试行）》的通知）要求执行，本项目绿色数据中心的具体需求详见第四章采购需求。</w:t>
      </w:r>
    </w:p>
    <w:p w14:paraId="052B58FD">
      <w:pPr>
        <w:spacing w:line="480" w:lineRule="exact"/>
        <w:ind w:firstLine="480"/>
        <w:outlineLvl w:val="4"/>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6.3.3绿色建材政府采购需求标准</w:t>
      </w:r>
    </w:p>
    <w:p w14:paraId="596E186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按照财政部 住房和城乡建设部 工业和信息化部关于印发《关于扩大政府采购支持绿色建材促进建筑品质提升政策实施范围的通知》要求执行，本项目绿色建材的具体需求详见第四章采购需求。</w:t>
      </w:r>
    </w:p>
    <w:p w14:paraId="0F5CEE5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5EFEB896">
      <w:pPr>
        <w:spacing w:line="48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7、招标文件的澄清或修改</w:t>
      </w:r>
    </w:p>
    <w:p w14:paraId="3FC793F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14:paraId="20B4E4B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7.2招标文件的澄清、修改将在原公告媒体上发布更正公告，澄清、修改文件均作为招标文件的组成部分，并对投标人具有约束力。</w:t>
      </w:r>
    </w:p>
    <w:p w14:paraId="6D47392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7.3投标人应及时登录“苏采云”系统获取澄清答疑文件（修改后的招标文件），如投标人未能及时下载澄清答疑文件，造成的相关责任由投标人承担。</w:t>
      </w:r>
    </w:p>
    <w:p w14:paraId="5C71B6B4">
      <w:pPr>
        <w:pStyle w:val="44"/>
        <w:spacing w:before="0" w:after="0" w:line="480" w:lineRule="exact"/>
        <w:ind w:firstLine="321"/>
        <w:rPr>
          <w:rFonts w:hint="eastAsia" w:eastAsia="宋体" w:cs="Arial"/>
          <w:bCs/>
          <w:color w:val="000000"/>
          <w:szCs w:val="22"/>
          <w:highlight w:val="none"/>
        </w:rPr>
      </w:pPr>
      <w:bookmarkStart w:id="79" w:name="_Toc5574"/>
      <w:bookmarkStart w:id="80" w:name="_Toc81575194"/>
      <w:bookmarkStart w:id="81" w:name="_Toc81575157"/>
      <w:bookmarkStart w:id="82" w:name="_Toc11461"/>
      <w:r>
        <w:rPr>
          <w:rFonts w:hint="eastAsia" w:eastAsia="宋体" w:cs="Arial"/>
          <w:bCs/>
          <w:color w:val="000000"/>
          <w:szCs w:val="22"/>
          <w:highlight w:val="none"/>
        </w:rPr>
        <w:t>三、投标文件的编制</w:t>
      </w:r>
      <w:bookmarkEnd w:id="79"/>
      <w:bookmarkEnd w:id="80"/>
      <w:bookmarkEnd w:id="81"/>
      <w:bookmarkEnd w:id="82"/>
    </w:p>
    <w:p w14:paraId="0D042E48">
      <w:pPr>
        <w:spacing w:line="48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8、投标文件的编制要求</w:t>
      </w:r>
    </w:p>
    <w:p w14:paraId="18CDD36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8.1投标人应仔细阅读“招标文件”的所有内容，保证所提供的全部资料的真实性、完整性及有效性，以使其投标对“招标文件”作出实质性响应。</w:t>
      </w:r>
    </w:p>
    <w:p w14:paraId="713BC74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8.2投标文件要求加盖电子签章之处，应按要求加盖投标人数字证书的电子签章。其他需要盖章但未明确要求电子签章的，投标人可按要求加盖公章后上传材料电子件或直接加盖电子签章。</w:t>
      </w:r>
    </w:p>
    <w:p w14:paraId="4118502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p>
    <w:p w14:paraId="42705832">
      <w:pPr>
        <w:spacing w:line="48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9、投标文件构成</w:t>
      </w:r>
    </w:p>
    <w:p w14:paraId="5263D49D">
      <w:pPr>
        <w:spacing w:line="480" w:lineRule="exact"/>
        <w:ind w:firstLine="480"/>
        <w:rPr>
          <w:rFonts w:ascii="Times New Roman" w:hAnsi="Times New Roman" w:cs="仿宋"/>
          <w:bCs/>
          <w:color w:val="000000"/>
          <w:sz w:val="24"/>
          <w:highlight w:val="none"/>
        </w:rPr>
      </w:pPr>
      <w:r>
        <w:rPr>
          <w:rFonts w:hint="eastAsia" w:ascii="Times New Roman" w:hAnsi="Times New Roman" w:cs="仿宋"/>
          <w:color w:val="000000"/>
          <w:sz w:val="24"/>
          <w:highlight w:val="none"/>
        </w:rPr>
        <w:t>9.1投标文件包括资格证明文件、开标一览表、分项报价表、响应及偏离表、投标函、其他证明文件等部分。</w:t>
      </w:r>
      <w:r>
        <w:rPr>
          <w:rFonts w:hint="eastAsia" w:ascii="Times New Roman" w:hAnsi="Times New Roman" w:cs="仿宋"/>
          <w:bCs/>
          <w:color w:val="000000"/>
          <w:sz w:val="24"/>
          <w:highlight w:val="none"/>
        </w:rPr>
        <w:t>投标文件构成资料为非中文时应提供中文译版。</w:t>
      </w:r>
      <w:bookmarkStart w:id="83" w:name="EBc50e2bb832bb43068403b10c1cce6141"/>
    </w:p>
    <w:p w14:paraId="6234EBC8">
      <w:pPr>
        <w:spacing w:line="480" w:lineRule="exact"/>
        <w:ind w:firstLine="482"/>
        <w:rPr>
          <w:rFonts w:ascii="Times New Roman" w:hAnsi="Times New Roman" w:cs="仿宋"/>
          <w:bCs/>
          <w:color w:val="000000"/>
          <w:sz w:val="24"/>
          <w:highlight w:val="none"/>
        </w:rPr>
      </w:pPr>
      <w:r>
        <w:rPr>
          <w:rFonts w:hint="eastAsia" w:ascii="Times New Roman" w:hAnsi="Times New Roman" w:cs="仿宋"/>
          <w:b/>
          <w:color w:val="000000"/>
          <w:sz w:val="24"/>
          <w:highlight w:val="none"/>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3"/>
    </w:p>
    <w:p w14:paraId="25AB5C62">
      <w:pPr>
        <w:spacing w:line="48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10、投标报价</w:t>
      </w:r>
    </w:p>
    <w:p w14:paraId="22BB5E18">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10.1报价为一次报价，本项目不接受备选的投标方案或有选择的报价，只允许有一个报价。</w:t>
      </w:r>
    </w:p>
    <w:p w14:paraId="29E81AF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10.2报价注意事项：投标价格一律以人民币计算，以元为单位标注，最多保留至小数点后两位，招标文件有规定的按招标文件执行。</w:t>
      </w:r>
    </w:p>
    <w:p w14:paraId="7C42BD07">
      <w:pPr>
        <w:spacing w:line="48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11、投标保证金</w:t>
      </w:r>
      <w:bookmarkStart w:id="84" w:name="EB183a0bf075204c54a4ff090f1aecaaa7"/>
    </w:p>
    <w:p w14:paraId="108A21D6">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本项目不收取投标保证金。</w:t>
      </w:r>
      <w:bookmarkEnd w:id="84"/>
    </w:p>
    <w:p w14:paraId="227FF02D">
      <w:pPr>
        <w:spacing w:line="48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12、投标有效期</w:t>
      </w:r>
    </w:p>
    <w:p w14:paraId="0FB8D95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12.1在投标人须知前附表规定的投标有效期内，投标有效期从提交投标文件的截止之日起算。投标有效期比规定短的将被视为未实质性响应招标文件。</w:t>
      </w:r>
    </w:p>
    <w:p w14:paraId="2AB5CA1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3E5E4A67">
      <w:pPr>
        <w:pStyle w:val="44"/>
        <w:spacing w:before="0" w:after="0" w:line="480" w:lineRule="exact"/>
        <w:ind w:firstLine="321"/>
        <w:rPr>
          <w:rFonts w:hint="eastAsia" w:eastAsia="宋体" w:cs="Arial"/>
          <w:bCs/>
          <w:color w:val="000000"/>
          <w:szCs w:val="22"/>
          <w:highlight w:val="none"/>
        </w:rPr>
      </w:pPr>
      <w:bookmarkStart w:id="85" w:name="_Toc23443"/>
      <w:bookmarkStart w:id="86" w:name="_Toc2773"/>
      <w:bookmarkStart w:id="87" w:name="_Toc81575158"/>
      <w:bookmarkStart w:id="88" w:name="_Toc81575195"/>
      <w:r>
        <w:rPr>
          <w:rFonts w:hint="eastAsia" w:eastAsia="宋体" w:cs="Arial"/>
          <w:bCs/>
          <w:color w:val="000000"/>
          <w:szCs w:val="22"/>
          <w:highlight w:val="none"/>
        </w:rPr>
        <w:t>四、投标文件的提交</w:t>
      </w:r>
      <w:bookmarkEnd w:id="85"/>
      <w:bookmarkEnd w:id="86"/>
      <w:bookmarkEnd w:id="87"/>
      <w:bookmarkEnd w:id="88"/>
    </w:p>
    <w:p w14:paraId="4728A188">
      <w:pPr>
        <w:spacing w:line="48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13、投标文件的提交</w:t>
      </w:r>
    </w:p>
    <w:p w14:paraId="78710F5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13.1投标人应在招标文件规定的投标截止时间前提交投标文件并将电子投标文件上传至“苏采云”系统对应的本次开标采购包中。除招标文件另有规定外，投标人所提交的投标文件不予退还。</w:t>
      </w:r>
    </w:p>
    <w:p w14:paraId="4403BAA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13.2投标文件的修改和撤回：在投标截止时间前，投标人可以撤回或重新提交投标文件。投标文件以最终完成上传的为准。</w:t>
      </w:r>
    </w:p>
    <w:p w14:paraId="79D2314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13.3采购人、采购代理机构可以通过修改招标文件酌情延长投标文件接收截止日期，在此情况下，投标人的所有权利和义务以及投标人受制约的截止日期均应以延长后新的截止日期为准。</w:t>
      </w:r>
    </w:p>
    <w:p w14:paraId="644455A5">
      <w:pPr>
        <w:spacing w:line="480" w:lineRule="exact"/>
        <w:ind w:firstLine="482"/>
        <w:outlineLvl w:val="2"/>
        <w:rPr>
          <w:rFonts w:ascii="Times New Roman" w:hAnsi="Times New Roman" w:cs="仿宋"/>
          <w:b/>
          <w:color w:val="000000"/>
          <w:sz w:val="24"/>
          <w:highlight w:val="none"/>
        </w:rPr>
      </w:pPr>
      <w:r>
        <w:rPr>
          <w:rFonts w:hint="eastAsia" w:ascii="Times New Roman" w:hAnsi="Times New Roman" w:cs="仿宋"/>
          <w:b/>
          <w:color w:val="000000"/>
          <w:sz w:val="24"/>
          <w:highlight w:val="none"/>
        </w:rPr>
        <w:t>14、投标文件被拒绝接收的情形</w:t>
      </w:r>
    </w:p>
    <w:p w14:paraId="54D0B49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在招标文件规定的投标截止时间后上传的投标文件或对投标报价或其他实质性内容修正的文件。</w:t>
      </w:r>
    </w:p>
    <w:p w14:paraId="70109FCF">
      <w:pPr>
        <w:pStyle w:val="44"/>
        <w:spacing w:before="0" w:after="0" w:line="520" w:lineRule="exact"/>
        <w:ind w:firstLine="321"/>
        <w:rPr>
          <w:rFonts w:hint="eastAsia" w:eastAsia="宋体" w:cs="Arial"/>
          <w:bCs/>
          <w:color w:val="000000"/>
          <w:szCs w:val="22"/>
          <w:highlight w:val="none"/>
        </w:rPr>
      </w:pPr>
      <w:bookmarkStart w:id="89" w:name="_Toc959"/>
      <w:bookmarkStart w:id="90" w:name="_Toc81575160"/>
      <w:bookmarkStart w:id="91" w:name="_Toc20026"/>
      <w:bookmarkStart w:id="92" w:name="_Toc81575197"/>
      <w:r>
        <w:rPr>
          <w:rFonts w:hint="eastAsia" w:eastAsia="宋体" w:cs="Arial"/>
          <w:bCs/>
          <w:color w:val="000000"/>
          <w:szCs w:val="22"/>
          <w:highlight w:val="none"/>
        </w:rPr>
        <w:t>五、开标、评标程序</w:t>
      </w:r>
      <w:bookmarkEnd w:id="89"/>
      <w:bookmarkEnd w:id="90"/>
      <w:bookmarkEnd w:id="91"/>
      <w:bookmarkEnd w:id="92"/>
    </w:p>
    <w:p w14:paraId="0BA80699">
      <w:pPr>
        <w:spacing w:line="48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15、开标</w:t>
      </w:r>
    </w:p>
    <w:p w14:paraId="08974A9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15.1采购代理机构将在招标公告中规定的时间和地点组织公开开标。投标人应当按照《操作手册》规定，参加开标活动，在“苏采云”系统规定的时间内对投标文件解密。</w:t>
      </w:r>
    </w:p>
    <w:p w14:paraId="4207419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15.2开标仪式由采购代理机构组织。“苏采云”系统将自动对项目进行开标，并宣布各投标人名称和投标价格。</w:t>
      </w:r>
    </w:p>
    <w:p w14:paraId="4E4D667F">
      <w:pPr>
        <w:spacing w:line="480" w:lineRule="exact"/>
        <w:ind w:firstLine="482"/>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15.3投标人用于解密的CA证书应为该投标文件生成加密、上传的同一把CA证书。投标人应登录“苏采云”系统进入“开标大厅”，在系统约定时间内使用CA证书解密，未成功解密的视为放弃投标。</w:t>
      </w:r>
    </w:p>
    <w:p w14:paraId="28A2507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15.4投标人如果对开标过程和开标记录有疑义，应当根据《操作手册》规定提出。如“苏采云”系统中《开标记录表》宣布后5分钟内未提出的，视同认可开标结果。</w:t>
      </w:r>
    </w:p>
    <w:p w14:paraId="7A4533B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15.5投标人在开、评标全过程中应保持通讯畅通，及时登录“苏采云”系统查阅、答复相关信息。</w:t>
      </w:r>
    </w:p>
    <w:p w14:paraId="51C0527E">
      <w:pPr>
        <w:spacing w:line="48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16、评标委员会</w:t>
      </w:r>
    </w:p>
    <w:p w14:paraId="509FC0F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p>
    <w:p w14:paraId="68FFF109">
      <w:pPr>
        <w:spacing w:line="48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17、评标程序</w:t>
      </w:r>
    </w:p>
    <w:p w14:paraId="574F8C99">
      <w:pPr>
        <w:spacing w:line="480" w:lineRule="exact"/>
        <w:ind w:firstLine="480"/>
        <w:outlineLvl w:val="3"/>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17.1资格审查</w:t>
      </w:r>
      <w:bookmarkStart w:id="93" w:name="EBa9c0a2c9e523494487594c65b2a92370"/>
    </w:p>
    <w:p w14:paraId="552DCB2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开标结束后，采购人依法根据招标文件的规定对投标人的资格证明文件等进行审查。</w:t>
      </w:r>
      <w:bookmarkEnd w:id="93"/>
    </w:p>
    <w:p w14:paraId="609FEB2F">
      <w:pPr>
        <w:spacing w:line="480" w:lineRule="exact"/>
        <w:ind w:firstLine="480"/>
        <w:outlineLvl w:val="3"/>
        <w:rPr>
          <w:rFonts w:ascii="Times New Roman" w:hAnsi="Times New Roman" w:cs="仿宋"/>
          <w:color w:val="000000"/>
          <w:sz w:val="24"/>
          <w:highlight w:val="none"/>
        </w:rPr>
      </w:pPr>
      <w:r>
        <w:rPr>
          <w:rFonts w:hint="eastAsia" w:ascii="Times New Roman" w:hAnsi="Times New Roman" w:cs="仿宋"/>
          <w:color w:val="000000"/>
          <w:sz w:val="24"/>
          <w:highlight w:val="none"/>
        </w:rPr>
        <w:t>17.2符合性检查</w:t>
      </w:r>
    </w:p>
    <w:p w14:paraId="3C1B3FDB">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17.2.1依据招标文件的规定，由评标委员会从投标文件的有效性、完整性和对招标文件的响应程度进行审查，以确定是否对招标文件的实质性要求作出响应。</w:t>
      </w:r>
    </w:p>
    <w:p w14:paraId="3D59996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17.2.2在详细评标之前，评标委员会将首先审查每份投标文件是否实质性响应了招标文件的要求。实质性响应的投标应是与招标文件要求的全部条款、条件和规格相符，没有重大偏离的投标。</w:t>
      </w:r>
      <w:bookmarkStart w:id="94" w:name="EB1499356fad43416eb16398733accabf7"/>
      <w:r>
        <w:rPr>
          <w:rFonts w:hint="eastAsia" w:ascii="Times New Roman" w:hAnsi="Times New Roman" w:cs="仿宋"/>
          <w:color w:val="000000"/>
          <w:sz w:val="24"/>
          <w:highlight w:val="none"/>
        </w:rPr>
        <w:t>所谓重大偏离是指投标人投标文件中所述设备质量、技术规格、数量、交货期、服务等明显不能满足招标文件要求。</w:t>
      </w:r>
      <w:bookmarkEnd w:id="94"/>
      <w:r>
        <w:rPr>
          <w:rFonts w:hint="eastAsia" w:ascii="Times New Roman" w:hAnsi="Times New Roman" w:cs="仿宋"/>
          <w:color w:val="000000"/>
          <w:sz w:val="24"/>
          <w:highlight w:val="none"/>
        </w:rPr>
        <w:t>重大偏离的认定需经过评标委员会以少数服从多数的原则作出结论。</w:t>
      </w:r>
    </w:p>
    <w:p w14:paraId="4BC89A2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17.3未通过资格审查或符合性审查的投标人，采购代理机构将在“苏采云”系统中告知未通过资格审查或符合性审查的原因，评标结束后，采购代理机构将不再告知未通过资格审查或符合性审查的原因。</w:t>
      </w:r>
    </w:p>
    <w:p w14:paraId="1D9BB9F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17.4评标委员会判断投标文件的响应性，仅基于投标文件本身而不靠外部证据。对非实质性响应的投标文件，投标人不能通过修正或撤销不符之处，而使其成为实质性响应。</w:t>
      </w:r>
    </w:p>
    <w:p w14:paraId="26115091">
      <w:pPr>
        <w:spacing w:line="480" w:lineRule="exact"/>
        <w:ind w:firstLine="480"/>
        <w:outlineLvl w:val="3"/>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17.5相同品牌产品投标</w:t>
      </w:r>
    </w:p>
    <w:p w14:paraId="3134A9F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2AE527F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7267F3D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17.5.3非单一产品采购项目，采购人确定核心产品，并在招标文件中载明。多家投标人提供的核心产品品牌相同的，按前两款规定处理。</w:t>
      </w:r>
    </w:p>
    <w:p w14:paraId="3A04E5E5">
      <w:pPr>
        <w:spacing w:line="480" w:lineRule="exact"/>
        <w:ind w:firstLine="482"/>
        <w:outlineLvl w:val="3"/>
        <w:rPr>
          <w:rFonts w:ascii="Times New Roman" w:hAnsi="Times New Roman" w:cs="仿宋"/>
          <w:b/>
          <w:color w:val="000000"/>
          <w:sz w:val="24"/>
          <w:highlight w:val="none"/>
        </w:rPr>
      </w:pPr>
      <w:r>
        <w:rPr>
          <w:rFonts w:hint="eastAsia" w:ascii="Times New Roman" w:hAnsi="Times New Roman" w:cs="仿宋"/>
          <w:b/>
          <w:color w:val="000000"/>
          <w:sz w:val="24"/>
          <w:highlight w:val="none"/>
        </w:rPr>
        <w:t>17.6有关问题的澄清</w:t>
      </w:r>
    </w:p>
    <w:p w14:paraId="13392F2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6181B06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17.6.2投标文件报价出现前后不一致的，除招标文件另有规定外，按照下列规定修正：</w:t>
      </w:r>
    </w:p>
    <w:p w14:paraId="6CCD9B3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①投标文件中开标一览表（报价表）内容与投标文件中相应内容不一致的，以开标一览表（报价表）为准；</w:t>
      </w:r>
    </w:p>
    <w:p w14:paraId="49AD023A">
      <w:pPr>
        <w:spacing w:line="480" w:lineRule="exact"/>
        <w:ind w:firstLine="480"/>
        <w:outlineLvl w:val="4"/>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②大写金额和小写金额不一致的，以大写金额为准；</w:t>
      </w:r>
    </w:p>
    <w:p w14:paraId="1F60F22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③单价金额小数点或者百分比有明显错位的，以开标一览表的总价为准，并修改单价；</w:t>
      </w:r>
    </w:p>
    <w:p w14:paraId="5306F6E1">
      <w:pPr>
        <w:spacing w:line="480" w:lineRule="exact"/>
        <w:ind w:firstLine="480"/>
        <w:outlineLvl w:val="4"/>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④总价金额与按单价汇总金额不一致的，以单价金额计算结果为准。</w:t>
      </w:r>
    </w:p>
    <w:p w14:paraId="7182499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同时出现两种以上不一致的，按照前款规定的顺序修正。</w:t>
      </w:r>
    </w:p>
    <w:p w14:paraId="356AECC4">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17.6.3评标委员会将按上述修正错误的方法调整投标文件中的投标报价，并通过“苏采云”系统告知投标人，调整后的价格应对投标人具有约束力。投标人不接受修正后的价格，其投标将被拒绝。</w:t>
      </w:r>
    </w:p>
    <w:p w14:paraId="51EACC4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评标过程中，不得去掉报价中的最高报价和最低报价。</w:t>
      </w:r>
    </w:p>
    <w:p w14:paraId="7F6B374A">
      <w:pPr>
        <w:spacing w:line="480" w:lineRule="exact"/>
        <w:ind w:firstLine="480"/>
        <w:outlineLvl w:val="3"/>
        <w:rPr>
          <w:rFonts w:ascii="Times New Roman" w:hAnsi="Times New Roman" w:cs="仿宋"/>
          <w:color w:val="000000"/>
          <w:sz w:val="24"/>
          <w:highlight w:val="none"/>
        </w:rPr>
      </w:pPr>
      <w:r>
        <w:rPr>
          <w:rFonts w:hint="eastAsia" w:ascii="Times New Roman" w:hAnsi="Times New Roman" w:cs="仿宋"/>
          <w:color w:val="000000"/>
          <w:sz w:val="24"/>
          <w:highlight w:val="none"/>
        </w:rPr>
        <w:t>17.7比较</w:t>
      </w:r>
    </w:p>
    <w:p w14:paraId="6A03594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评标委员会将按招标文件中规定的评标方法和标准，对符合性检查合格的投标文件进行商务和技术评比。</w:t>
      </w:r>
    </w:p>
    <w:p w14:paraId="2F8AD9C3">
      <w:pPr>
        <w:spacing w:line="480" w:lineRule="exact"/>
        <w:ind w:firstLine="480"/>
        <w:outlineLvl w:val="3"/>
        <w:rPr>
          <w:rFonts w:ascii="Times New Roman" w:hAnsi="Times New Roman" w:cs="仿宋"/>
          <w:color w:val="000000"/>
          <w:sz w:val="24"/>
          <w:highlight w:val="none"/>
        </w:rPr>
      </w:pPr>
      <w:r>
        <w:rPr>
          <w:rFonts w:hint="eastAsia" w:ascii="Times New Roman" w:hAnsi="Times New Roman" w:cs="仿宋"/>
          <w:color w:val="000000"/>
          <w:sz w:val="24"/>
          <w:highlight w:val="none"/>
        </w:rPr>
        <w:t>17.8推荐中标候选人</w:t>
      </w:r>
    </w:p>
    <w:p w14:paraId="15B91F6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评标委员会按照招标文件中规定的评标方法和标准推荐中标候选人。</w:t>
      </w:r>
    </w:p>
    <w:p w14:paraId="76AA7F9D">
      <w:pPr>
        <w:pStyle w:val="44"/>
        <w:spacing w:before="0" w:after="0" w:line="480" w:lineRule="exact"/>
        <w:ind w:firstLine="321"/>
        <w:rPr>
          <w:rFonts w:hint="eastAsia" w:eastAsia="宋体" w:cs="Arial"/>
          <w:bCs/>
          <w:color w:val="000000"/>
          <w:szCs w:val="22"/>
          <w:highlight w:val="none"/>
        </w:rPr>
      </w:pPr>
      <w:bookmarkStart w:id="95" w:name="_Toc81575159"/>
      <w:bookmarkStart w:id="96" w:name="_Toc8712"/>
      <w:bookmarkStart w:id="97" w:name="_Toc81575196"/>
      <w:bookmarkStart w:id="98" w:name="_Toc8841"/>
      <w:r>
        <w:rPr>
          <w:rFonts w:hint="eastAsia" w:eastAsia="宋体" w:cs="Arial"/>
          <w:bCs/>
          <w:color w:val="000000"/>
          <w:szCs w:val="22"/>
          <w:highlight w:val="none"/>
        </w:rPr>
        <w:t>六、无效投标、废标、串通投标</w:t>
      </w:r>
      <w:bookmarkEnd w:id="95"/>
      <w:bookmarkEnd w:id="96"/>
      <w:bookmarkEnd w:id="97"/>
      <w:bookmarkEnd w:id="98"/>
      <w:r>
        <w:rPr>
          <w:rFonts w:hint="eastAsia" w:eastAsia="宋体" w:cs="Arial"/>
          <w:bCs/>
          <w:color w:val="000000"/>
          <w:szCs w:val="22"/>
          <w:highlight w:val="none"/>
        </w:rPr>
        <w:t>及取消中标候选人资格情形</w:t>
      </w:r>
    </w:p>
    <w:p w14:paraId="5226AB51">
      <w:pPr>
        <w:spacing w:line="48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18、无效投标情形</w:t>
      </w:r>
    </w:p>
    <w:p w14:paraId="7344FBDD">
      <w:pPr>
        <w:spacing w:line="480" w:lineRule="exact"/>
        <w:ind w:firstLine="480"/>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18.1投标人同一采购包提交两个（含两个）以上不同的投标报价的。</w:t>
      </w:r>
    </w:p>
    <w:p w14:paraId="259DAA0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18.2投标人不符合招标文件规定资格要求的或未按规定提交资质证件的。</w:t>
      </w:r>
    </w:p>
    <w:p w14:paraId="295E105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18.3投标人的报价超过了采购预算或最高限价的。</w:t>
      </w:r>
    </w:p>
    <w:p w14:paraId="4E88359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18.4投标文件未通过符合性审查的。</w:t>
      </w:r>
    </w:p>
    <w:p w14:paraId="2C75367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18.5投标文件出现重大偏离，不符合招标文件中规定的实质性要求的（★部分为实质性要求）。</w:t>
      </w:r>
    </w:p>
    <w:p w14:paraId="207A412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18.6评标委员会认为投标人的报价明显低于其他通过符合性审查投标人的报价，有可能影响产品质量或者不能诚信履约的，且投标人不能在合理的时间内提供说明，证明其报价合理性的。</w:t>
      </w:r>
    </w:p>
    <w:p w14:paraId="24A6B3C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18.7投标文件未按照招标文件要求加盖CA电子公章的。</w:t>
      </w:r>
    </w:p>
    <w:p w14:paraId="7B7868A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18.8投标人有本招标文件规定的恶意串通投标情形的。</w:t>
      </w:r>
    </w:p>
    <w:p w14:paraId="4ABE793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18.9投标文件含有采购人不能接受的附加条件的。</w:t>
      </w:r>
    </w:p>
    <w:p w14:paraId="6214337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18.10其他法律、法规及本招标文件规定的属无效投标的情形。</w:t>
      </w:r>
    </w:p>
    <w:p w14:paraId="47DCC281">
      <w:pPr>
        <w:spacing w:line="48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19、废标情形</w:t>
      </w:r>
    </w:p>
    <w:p w14:paraId="475811E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19.1符合专业条件的投标人或者对招标文件作实质响应的投标人不足三家的。</w:t>
      </w:r>
    </w:p>
    <w:p w14:paraId="2163547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19.2出现影响采购公正的违法、违规行为的。</w:t>
      </w:r>
    </w:p>
    <w:p w14:paraId="4E989A9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19.3因重大变故，采购任务取消的。</w:t>
      </w:r>
    </w:p>
    <w:p w14:paraId="631038E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19.4评标委员会认定招标文件存在歧义、重大缺陷导致评审工作无法进行的。</w:t>
      </w:r>
    </w:p>
    <w:p w14:paraId="4BD8722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19.5在“苏采云”系统规定时间内成功解密电子投标文件的投标人不足3家的。</w:t>
      </w:r>
    </w:p>
    <w:p w14:paraId="13D08725">
      <w:pPr>
        <w:spacing w:line="48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20、投标人不足三家情形处理</w:t>
      </w:r>
    </w:p>
    <w:p w14:paraId="57DF6B2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投标截止后投标人不足3家或者通过资格审查或符合性审查的投标人不足3家的，除采购任务取消情形外，按财政部令第87号第四十三条条款进行处理。</w:t>
      </w:r>
    </w:p>
    <w:p w14:paraId="37CCE643">
      <w:pPr>
        <w:spacing w:line="48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21、串通投标情形</w:t>
      </w:r>
    </w:p>
    <w:p w14:paraId="32DDB39A">
      <w:pPr>
        <w:spacing w:line="500" w:lineRule="exact"/>
        <w:ind w:firstLine="480"/>
        <w:rPr>
          <w:rFonts w:ascii="黑体" w:hAnsi="黑体" w:eastAsia="黑体"/>
          <w:color w:val="000000"/>
          <w:sz w:val="24"/>
          <w:highlight w:val="none"/>
        </w:rPr>
      </w:pPr>
      <w:r>
        <w:rPr>
          <w:rFonts w:hint="eastAsia" w:ascii="黑体" w:hAnsi="黑体" w:eastAsia="黑体"/>
          <w:color w:val="000000"/>
          <w:sz w:val="24"/>
          <w:highlight w:val="none"/>
        </w:rPr>
        <w:t>有下列情形之一的，属于恶意串通投标：</w:t>
      </w:r>
    </w:p>
    <w:p w14:paraId="10BA9F4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21.1供应商直接或间接从采购人或采购代理机构处获得其他供应商的投标情况，并修改其投标文件；</w:t>
      </w:r>
    </w:p>
    <w:p w14:paraId="6D97164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21.2评审活动开始前供应商直接或间接从采购人或采购代理机构处获得评标委员会组成人员情况；</w:t>
      </w:r>
    </w:p>
    <w:p w14:paraId="0163421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21.3供应商接受采购人或采购代理机构授意撤换、修改投标文件；</w:t>
      </w:r>
    </w:p>
    <w:p w14:paraId="5F48586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21.4供应商之间协商投标报价、技术方案等投标文件实质性内容；</w:t>
      </w:r>
    </w:p>
    <w:p w14:paraId="31CB45A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21.5属于同一集团、协会、商会等组织成员的供应商按照该组织要求协同投标；</w:t>
      </w:r>
    </w:p>
    <w:p w14:paraId="0F695A2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21.6供应商之间事先约定由某一特定供应商中标、成交；</w:t>
      </w:r>
    </w:p>
    <w:p w14:paraId="689EC97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21.7供应商之间商定部分供应商放弃投标或者放弃中标、成交；</w:t>
      </w:r>
    </w:p>
    <w:p w14:paraId="4461D8B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21.8供应商与采购人或采购代理机构之间、供应商相互之间为谋求特定供应商中标成交或者排斥其他供应商的其他串通行为；</w:t>
      </w:r>
    </w:p>
    <w:p w14:paraId="4697BA27">
      <w:pPr>
        <w:spacing w:line="500" w:lineRule="exact"/>
        <w:ind w:firstLine="482"/>
        <w:rPr>
          <w:rFonts w:ascii="黑体" w:hAnsi="黑体" w:eastAsia="黑体"/>
          <w:color w:val="000000"/>
          <w:sz w:val="24"/>
          <w:highlight w:val="none"/>
        </w:rPr>
      </w:pPr>
      <w:r>
        <w:rPr>
          <w:rFonts w:hint="eastAsia" w:ascii="黑体" w:hAnsi="黑体" w:eastAsia="黑体"/>
          <w:color w:val="000000"/>
          <w:sz w:val="24"/>
          <w:highlight w:val="none"/>
        </w:rPr>
        <w:t>有下列情形之一的，视为投标人串通投标，其投标无效：</w:t>
      </w:r>
    </w:p>
    <w:p w14:paraId="2362A58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21.9不同投标人的投标文件由同一单位或者个人编制；</w:t>
      </w:r>
    </w:p>
    <w:p w14:paraId="084AD0E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21.10不同投标人委托同一单位或者个人办理投标事宜；</w:t>
      </w:r>
    </w:p>
    <w:p w14:paraId="685E352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21.11不同投标人的投标文件载明的项目管理成员或者联系人员为同一人；</w:t>
      </w:r>
    </w:p>
    <w:p w14:paraId="0244DEF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21.12不同投标人的投标文件异常一致或者投标报价呈规律性差异；</w:t>
      </w:r>
    </w:p>
    <w:p w14:paraId="609AA24F">
      <w:pPr>
        <w:spacing w:line="480" w:lineRule="exact"/>
        <w:ind w:firstLine="480"/>
        <w:outlineLvl w:val="3"/>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21.13不同投标人的投标文件相互混装；</w:t>
      </w:r>
    </w:p>
    <w:p w14:paraId="24D512D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21.14不同投标人的投标保证金从同一单位或者个人的账户转出。</w:t>
      </w:r>
    </w:p>
    <w:p w14:paraId="41D51109">
      <w:pPr>
        <w:spacing w:line="48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22、</w:t>
      </w:r>
      <w:bookmarkStart w:id="99" w:name="OLE_LINK4"/>
      <w:r>
        <w:rPr>
          <w:rFonts w:hint="eastAsia" w:ascii="Times New Roman" w:hAnsi="Times New Roman" w:cs="仿宋"/>
          <w:b/>
          <w:color w:val="000000"/>
          <w:sz w:val="24"/>
          <w:highlight w:val="none"/>
        </w:rPr>
        <w:t>取消中标候选人资格情形</w:t>
      </w:r>
      <w:bookmarkEnd w:id="99"/>
    </w:p>
    <w:p w14:paraId="2F3F0D6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22.1提供虚假材料谋取中标的；</w:t>
      </w:r>
    </w:p>
    <w:p w14:paraId="3A7FD32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22.2采取不正当手段诋毁、排挤其他投标人的；</w:t>
      </w:r>
    </w:p>
    <w:p w14:paraId="763270F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22.3与采购人、其他投标人或者采购代理机构恶意串通的；</w:t>
      </w:r>
    </w:p>
    <w:p w14:paraId="62A2EEF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22.4向采购人、采购代理机构行贿或者提供其他不正当利益的；</w:t>
      </w:r>
    </w:p>
    <w:p w14:paraId="33DEDE6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22.5未在规定时间内与采购人签订采购合同的；</w:t>
      </w:r>
    </w:p>
    <w:p w14:paraId="2C8D240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22.6法律、法规规定的其它情况。</w:t>
      </w:r>
      <w:bookmarkStart w:id="100" w:name="_Toc2391"/>
      <w:bookmarkStart w:id="101" w:name="_Toc81575198"/>
      <w:bookmarkStart w:id="102" w:name="_Toc81575161"/>
      <w:bookmarkStart w:id="103" w:name="_Toc6494"/>
    </w:p>
    <w:p w14:paraId="3E97F39D">
      <w:pPr>
        <w:spacing w:line="480" w:lineRule="exact"/>
        <w:ind w:firstLine="321"/>
        <w:outlineLvl w:val="1"/>
        <w:rPr>
          <w:rFonts w:hint="eastAsia" w:ascii="Arial" w:hAnsi="Arial" w:eastAsia="宋体" w:cs="Arial"/>
          <w:b/>
          <w:bCs/>
          <w:color w:val="000000"/>
          <w:sz w:val="32"/>
          <w:szCs w:val="22"/>
          <w:highlight w:val="none"/>
          <w:lang w:val="en-US" w:eastAsia="zh-CN" w:bidi="ar-SA"/>
        </w:rPr>
      </w:pPr>
      <w:r>
        <w:rPr>
          <w:rFonts w:hint="eastAsia" w:ascii="Arial" w:hAnsi="Arial" w:eastAsia="宋体" w:cs="Arial"/>
          <w:b/>
          <w:bCs/>
          <w:color w:val="000000"/>
          <w:sz w:val="32"/>
          <w:szCs w:val="22"/>
          <w:highlight w:val="none"/>
          <w:lang w:val="en-US" w:eastAsia="zh-CN" w:bidi="ar-SA"/>
        </w:rPr>
        <w:t>七、中标及合同签订</w:t>
      </w:r>
      <w:bookmarkEnd w:id="100"/>
      <w:bookmarkEnd w:id="101"/>
      <w:bookmarkEnd w:id="102"/>
      <w:bookmarkEnd w:id="103"/>
    </w:p>
    <w:p w14:paraId="5DE75EF7">
      <w:pPr>
        <w:spacing w:line="50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23、确定中标人</w:t>
      </w:r>
    </w:p>
    <w:p w14:paraId="0967580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23.1采购人应当自收到评审报告之日起5个工作日内在评审报告推荐的中标候选人中按顺序确定中标人。</w:t>
      </w:r>
    </w:p>
    <w:p w14:paraId="1C394A5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23.2中标人确定之日起2个工作日内，采购人、采购代理机构将发布中标结果，中标公告的公告期限为1个工作日。</w:t>
      </w:r>
    </w:p>
    <w:p w14:paraId="7B317F07">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23.3采购人确定正被列为失信被执行人的投标人为中标人的，中标结果无效。</w:t>
      </w:r>
    </w:p>
    <w:p w14:paraId="34CD1FFF">
      <w:pPr>
        <w:spacing w:line="50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24、中标通知书</w:t>
      </w:r>
    </w:p>
    <w:p w14:paraId="6EE7AE5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24.1在公告中标结果的同时，采购代理机构将向中标人发出中标通知书。中标人使用CA数字证书登录“苏采云”系统及时下载中标通知书。</w:t>
      </w:r>
    </w:p>
    <w:p w14:paraId="6518A9E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24.2中标通知书发出后，采购人改变中标结果的，或者中标人放弃中标项目的，应当依法承担法律责任。</w:t>
      </w:r>
    </w:p>
    <w:p w14:paraId="2F80257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24.3采用综合评分法评审的，未中标人可于中标结果公告期限届满之日起通过“苏采云”系统查看</w:t>
      </w:r>
      <w:bookmarkStart w:id="104" w:name="OLE_LINK5"/>
      <w:r>
        <w:rPr>
          <w:rFonts w:hint="eastAsia" w:ascii="Times New Roman" w:hAnsi="Times New Roman" w:cs="仿宋"/>
          <w:color w:val="000000"/>
          <w:sz w:val="24"/>
          <w:highlight w:val="none"/>
        </w:rPr>
        <w:t>自己的评审得分及排序情况。</w:t>
      </w:r>
      <w:bookmarkEnd w:id="104"/>
    </w:p>
    <w:p w14:paraId="63C59C6D">
      <w:pPr>
        <w:spacing w:line="50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25、授予合同</w:t>
      </w:r>
    </w:p>
    <w:p w14:paraId="0BB3040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25.1采购人与中标人应当在中标通知书发出之日起15日内签订政府采购合同。招标文件、中标人的投标文件以及评标过程中有关澄清文件均作为合同附件。</w:t>
      </w:r>
    </w:p>
    <w:p w14:paraId="6B17D21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25.2采购人在自合同签订之日起2个工作日内，将合同在指定的媒体上公告。</w:t>
      </w:r>
    </w:p>
    <w:p w14:paraId="34086133">
      <w:pPr>
        <w:spacing w:line="48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26、履约保证金</w:t>
      </w:r>
    </w:p>
    <w:p w14:paraId="277CE133">
      <w:pPr>
        <w:spacing w:line="480" w:lineRule="exact"/>
        <w:ind w:firstLine="480"/>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按</w:t>
      </w:r>
      <w:r>
        <w:rPr>
          <w:rFonts w:hint="eastAsia" w:ascii="Times New Roman" w:hAnsi="Times New Roman" w:cs="仿宋"/>
          <w:color w:val="000000" w:themeColor="text1"/>
          <w:sz w:val="24"/>
          <w:highlight w:val="white"/>
          <w:lang w:val="zh-CN"/>
        </w:rPr>
        <w:t>照以下第</w:t>
      </w:r>
      <w:r>
        <w:rPr>
          <w:rFonts w:hint="eastAsia" w:ascii="Times New Roman" w:hAnsi="Times New Roman" w:cs="仿宋"/>
          <w:color w:val="000000" w:themeColor="text1"/>
          <w:sz w:val="24"/>
          <w:highlight w:val="white"/>
          <w:u w:val="single"/>
        </w:rPr>
        <w:t>（</w:t>
      </w:r>
      <w:r>
        <w:rPr>
          <w:rFonts w:hint="eastAsia" w:ascii="Times New Roman" w:hAnsi="Times New Roman" w:cs="仿宋"/>
          <w:color w:val="000000" w:themeColor="text1"/>
          <w:sz w:val="24"/>
          <w:highlight w:val="white"/>
          <w:u w:val="single"/>
          <w:lang w:val="en-US" w:eastAsia="zh-CN"/>
        </w:rPr>
        <w:t>2</w:t>
      </w:r>
      <w:r>
        <w:rPr>
          <w:rFonts w:hint="eastAsia" w:ascii="Times New Roman" w:hAnsi="Times New Roman" w:cs="仿宋"/>
          <w:color w:val="000000" w:themeColor="text1"/>
          <w:sz w:val="24"/>
          <w:highlight w:val="white"/>
          <w:u w:val="single"/>
        </w:rPr>
        <w:t>）</w:t>
      </w:r>
      <w:r>
        <w:rPr>
          <w:rFonts w:hint="eastAsia" w:ascii="Times New Roman" w:hAnsi="Times New Roman" w:cs="仿宋"/>
          <w:color w:val="000000" w:themeColor="text1"/>
          <w:sz w:val="24"/>
          <w:highlight w:val="white"/>
          <w:lang w:val="zh-CN"/>
        </w:rPr>
        <w:t>方式确定履约保证</w:t>
      </w:r>
      <w:r>
        <w:rPr>
          <w:rFonts w:hint="eastAsia" w:ascii="Times New Roman" w:hAnsi="Times New Roman" w:cs="仿宋"/>
          <w:color w:val="000000" w:themeColor="text1"/>
          <w:sz w:val="24"/>
          <w:highlight w:val="white"/>
        </w:rPr>
        <w:t>金</w:t>
      </w:r>
      <w:r>
        <w:rPr>
          <w:rFonts w:hint="eastAsia" w:ascii="Times New Roman" w:hAnsi="Times New Roman" w:cs="仿宋"/>
          <w:color w:val="000000"/>
          <w:sz w:val="24"/>
          <w:highlight w:val="none"/>
          <w:lang w:val="zh-CN"/>
        </w:rPr>
        <w:t>收取方式。</w:t>
      </w:r>
    </w:p>
    <w:p w14:paraId="2A1FEA3F">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（1）本项目不收取履约保证金。</w:t>
      </w:r>
    </w:p>
    <w:p w14:paraId="796D1EC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（2）本项目收取履约保证金。</w:t>
      </w:r>
    </w:p>
    <w:p w14:paraId="03F1AF43">
      <w:pPr>
        <w:spacing w:line="480" w:lineRule="exact"/>
        <w:ind w:firstLine="480"/>
        <w:outlineLvl w:val="3"/>
        <w:rPr>
          <w:rFonts w:ascii="Times New Roman" w:hAnsi="Times New Roman" w:cs="仿宋"/>
          <w:color w:val="000000"/>
          <w:sz w:val="24"/>
          <w:highlight w:val="none"/>
        </w:rPr>
      </w:pPr>
      <w:r>
        <w:rPr>
          <w:rFonts w:hint="eastAsia" w:ascii="Times New Roman" w:hAnsi="Times New Roman" w:cs="仿宋"/>
          <w:color w:val="000000"/>
          <w:sz w:val="24"/>
          <w:highlight w:val="none"/>
        </w:rPr>
        <w:t>2</w:t>
      </w:r>
      <w:r>
        <w:rPr>
          <w:rFonts w:hint="eastAsia" w:ascii="Times New Roman" w:hAnsi="Times New Roman" w:cs="仿宋"/>
          <w:color w:val="000000"/>
          <w:sz w:val="24"/>
          <w:highlight w:val="none"/>
          <w:lang w:val="en-US" w:eastAsia="zh-CN"/>
        </w:rPr>
        <w:t>6</w:t>
      </w:r>
      <w:r>
        <w:rPr>
          <w:rFonts w:hint="eastAsia" w:ascii="Times New Roman" w:hAnsi="Times New Roman" w:cs="仿宋"/>
          <w:color w:val="000000"/>
          <w:sz w:val="24"/>
          <w:highlight w:val="none"/>
        </w:rPr>
        <w:t>.1履约保证金提交形式</w:t>
      </w:r>
    </w:p>
    <w:p w14:paraId="23810008">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履约保证金应在采购合同签订前提交，除银行电汇、网上银行、数字人民币外，供应商还可选用银行保函、担保公司的保证担保或保险公司的保证保险等多种形式向采购人缴纳。</w:t>
      </w:r>
    </w:p>
    <w:p w14:paraId="49CFD3F6">
      <w:pPr>
        <w:spacing w:line="480" w:lineRule="exact"/>
        <w:ind w:firstLine="480"/>
        <w:outlineLvl w:val="3"/>
        <w:rPr>
          <w:rFonts w:ascii="Times New Roman" w:hAnsi="Times New Roman" w:cs="仿宋"/>
          <w:color w:val="000000"/>
          <w:sz w:val="24"/>
          <w:highlight w:val="none"/>
        </w:rPr>
      </w:pPr>
      <w:r>
        <w:rPr>
          <w:rFonts w:hint="eastAsia" w:ascii="Times New Roman" w:hAnsi="Times New Roman" w:cs="仿宋"/>
          <w:color w:val="000000"/>
          <w:sz w:val="24"/>
          <w:highlight w:val="none"/>
        </w:rPr>
        <w:t>2</w:t>
      </w:r>
      <w:r>
        <w:rPr>
          <w:rFonts w:hint="eastAsia" w:ascii="Times New Roman" w:hAnsi="Times New Roman" w:cs="仿宋"/>
          <w:color w:val="000000"/>
          <w:sz w:val="24"/>
          <w:highlight w:val="none"/>
          <w:lang w:val="en-US" w:eastAsia="zh-CN"/>
        </w:rPr>
        <w:t>6</w:t>
      </w:r>
      <w:r>
        <w:rPr>
          <w:rFonts w:hint="eastAsia" w:ascii="Times New Roman" w:hAnsi="Times New Roman" w:cs="仿宋"/>
          <w:color w:val="000000"/>
          <w:sz w:val="24"/>
          <w:highlight w:val="none"/>
        </w:rPr>
        <w:t>.2履约保证金提交金额</w:t>
      </w:r>
    </w:p>
    <w:p w14:paraId="600AE819">
      <w:pPr>
        <w:spacing w:line="480" w:lineRule="exact"/>
        <w:ind w:firstLine="480"/>
        <w:rPr>
          <w:rFonts w:hint="eastAsia" w:ascii="Times New Roman" w:hAnsi="Times New Roman" w:cs="仿宋"/>
          <w:color w:val="000000"/>
          <w:sz w:val="24"/>
          <w:highlight w:val="none"/>
        </w:rPr>
      </w:pPr>
      <w:bookmarkStart w:id="105" w:name="_Hlk187842952"/>
      <w:r>
        <w:rPr>
          <w:rFonts w:hint="eastAsia" w:ascii="Times New Roman" w:hAnsi="Times New Roman" w:cs="仿宋"/>
          <w:color w:val="000000"/>
          <w:sz w:val="24"/>
          <w:highlight w:val="none"/>
        </w:rPr>
        <w:t>按采购合同总价的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2</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rPr>
        <w:t>%提交。</w:t>
      </w:r>
    </w:p>
    <w:p w14:paraId="65138282">
      <w:pPr>
        <w:spacing w:line="480" w:lineRule="exact"/>
        <w:ind w:firstLine="480"/>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color w:val="000000"/>
          <w:sz w:val="24"/>
          <w:highlight w:val="none"/>
          <w:u w:val="single"/>
        </w:rPr>
        <w:t xml:space="preserve"> </w:t>
      </w:r>
      <w:r>
        <w:rPr>
          <w:rFonts w:hint="eastAsia" w:ascii="Times New Roman" w:hAnsi="Times New Roman" w:eastAsia="宋体" w:cs="仿宋"/>
          <w:color w:val="000000"/>
          <w:sz w:val="24"/>
          <w:highlight w:val="none"/>
          <w:u w:val="single"/>
          <w:lang w:val="en-US" w:eastAsia="zh-CN"/>
        </w:rPr>
        <w:t>1.2</w:t>
      </w:r>
      <w:r>
        <w:rPr>
          <w:rFonts w:hint="eastAsia" w:ascii="Times New Roman" w:hAnsi="Times New Roman" w:eastAsia="宋体" w:cs="仿宋"/>
          <w:color w:val="000000"/>
          <w:sz w:val="24"/>
          <w:highlight w:val="none"/>
        </w:rPr>
        <w:t xml:space="preserve"> %（履约保证金原提交金额的6折）提交。办理流程、偿付等内容见江苏</w:t>
      </w:r>
      <w:r>
        <w:rPr>
          <w:rFonts w:hint="eastAsia" w:ascii="Times New Roman" w:hAnsi="Times New Roman" w:cs="仿宋"/>
          <w:color w:val="000000"/>
          <w:sz w:val="24"/>
          <w:highlight w:val="none"/>
          <w:lang w:val="en-US" w:eastAsia="zh-CN"/>
        </w:rPr>
        <w:t>省</w:t>
      </w:r>
      <w:r>
        <w:rPr>
          <w:rFonts w:hint="eastAsia" w:ascii="Times New Roman" w:hAnsi="Times New Roman" w:eastAsia="宋体" w:cs="仿宋"/>
          <w:color w:val="000000"/>
          <w:sz w:val="24"/>
          <w:highlight w:val="none"/>
        </w:rPr>
        <w:t>政府采购网“保险保函”模块。</w:t>
      </w:r>
    </w:p>
    <w:p w14:paraId="5C209832">
      <w:pPr>
        <w:spacing w:line="480" w:lineRule="exact"/>
        <w:ind w:firstLine="480"/>
        <w:outlineLvl w:val="3"/>
        <w:rPr>
          <w:rFonts w:ascii="Times New Roman" w:hAnsi="Times New Roman" w:cs="仿宋"/>
          <w:color w:val="000000"/>
          <w:sz w:val="24"/>
          <w:highlight w:val="none"/>
        </w:rPr>
      </w:pPr>
      <w:r>
        <w:rPr>
          <w:rFonts w:hint="eastAsia" w:ascii="Times New Roman" w:hAnsi="Times New Roman" w:cs="仿宋"/>
          <w:color w:val="000000"/>
          <w:sz w:val="24"/>
          <w:highlight w:val="none"/>
        </w:rPr>
        <w:t>2</w:t>
      </w:r>
      <w:r>
        <w:rPr>
          <w:rFonts w:hint="eastAsia" w:ascii="Times New Roman" w:hAnsi="Times New Roman" w:cs="仿宋"/>
          <w:color w:val="000000"/>
          <w:sz w:val="24"/>
          <w:highlight w:val="none"/>
          <w:lang w:val="en-US" w:eastAsia="zh-CN"/>
        </w:rPr>
        <w:t>6</w:t>
      </w:r>
      <w:r>
        <w:rPr>
          <w:rFonts w:hint="eastAsia" w:ascii="Times New Roman" w:hAnsi="Times New Roman" w:cs="仿宋"/>
          <w:color w:val="000000"/>
          <w:sz w:val="24"/>
          <w:highlight w:val="none"/>
        </w:rPr>
        <w:t>.3履约保证金退还方式</w:t>
      </w:r>
    </w:p>
    <w:p w14:paraId="3129E35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以银行电汇、网上银行、数字人民币形式缴纳履约保证金的，退回至投标人存款账户或数字人民币账户；以保函、担保、保险等形式缴纳履约保证金的，在保函、担保、保险约定的保证期限届满之日起自行失效。</w:t>
      </w:r>
    </w:p>
    <w:p w14:paraId="487FADDA">
      <w:pPr>
        <w:spacing w:line="480" w:lineRule="exact"/>
        <w:ind w:firstLine="480"/>
        <w:outlineLvl w:val="3"/>
        <w:rPr>
          <w:rFonts w:ascii="Times New Roman" w:hAnsi="Times New Roman" w:cs="仿宋"/>
          <w:color w:val="000000"/>
          <w:sz w:val="24"/>
          <w:highlight w:val="none"/>
        </w:rPr>
      </w:pPr>
      <w:r>
        <w:rPr>
          <w:rFonts w:hint="eastAsia" w:ascii="Times New Roman" w:hAnsi="Times New Roman" w:cs="仿宋"/>
          <w:color w:val="000000"/>
          <w:sz w:val="24"/>
          <w:highlight w:val="none"/>
        </w:rPr>
        <w:t>2</w:t>
      </w:r>
      <w:r>
        <w:rPr>
          <w:rFonts w:hint="eastAsia" w:ascii="Times New Roman" w:hAnsi="Times New Roman" w:cs="仿宋"/>
          <w:color w:val="000000"/>
          <w:sz w:val="24"/>
          <w:highlight w:val="none"/>
          <w:lang w:val="en-US" w:eastAsia="zh-CN"/>
        </w:rPr>
        <w:t>6</w:t>
      </w:r>
      <w:r>
        <w:rPr>
          <w:rFonts w:hint="eastAsia" w:ascii="Times New Roman" w:hAnsi="Times New Roman" w:cs="仿宋"/>
          <w:color w:val="000000"/>
          <w:sz w:val="24"/>
          <w:highlight w:val="none"/>
        </w:rPr>
        <w:t>.4履约保证金退还条件</w:t>
      </w:r>
    </w:p>
    <w:p w14:paraId="7C5AD20C">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具有验收合格相关证明材料。</w:t>
      </w:r>
    </w:p>
    <w:p w14:paraId="743D1A0F">
      <w:pPr>
        <w:spacing w:line="480" w:lineRule="exact"/>
        <w:ind w:firstLine="480"/>
        <w:outlineLvl w:val="3"/>
        <w:rPr>
          <w:rFonts w:ascii="Times New Roman" w:hAnsi="Times New Roman" w:cs="仿宋"/>
          <w:color w:val="000000"/>
          <w:sz w:val="24"/>
          <w:highlight w:val="none"/>
        </w:rPr>
      </w:pPr>
      <w:r>
        <w:rPr>
          <w:rFonts w:hint="eastAsia" w:ascii="Times New Roman" w:hAnsi="Times New Roman" w:cs="仿宋"/>
          <w:color w:val="000000"/>
          <w:sz w:val="24"/>
          <w:highlight w:val="none"/>
        </w:rPr>
        <w:t>2</w:t>
      </w:r>
      <w:r>
        <w:rPr>
          <w:rFonts w:hint="eastAsia" w:ascii="Times New Roman" w:hAnsi="Times New Roman" w:cs="仿宋"/>
          <w:color w:val="000000"/>
          <w:sz w:val="24"/>
          <w:highlight w:val="none"/>
          <w:lang w:val="en-US" w:eastAsia="zh-CN"/>
        </w:rPr>
        <w:t>6</w:t>
      </w:r>
      <w:r>
        <w:rPr>
          <w:rFonts w:hint="eastAsia" w:ascii="Times New Roman" w:hAnsi="Times New Roman" w:cs="仿宋"/>
          <w:color w:val="000000"/>
          <w:sz w:val="24"/>
          <w:highlight w:val="none"/>
        </w:rPr>
        <w:t>.5履约保证金退还时间</w:t>
      </w:r>
    </w:p>
    <w:p w14:paraId="27E0F7B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采购人收到投标人退付申请后5个工作日内退还。</w:t>
      </w:r>
    </w:p>
    <w:p w14:paraId="0A1C1F90">
      <w:pPr>
        <w:spacing w:line="480" w:lineRule="exact"/>
        <w:ind w:firstLine="480"/>
        <w:outlineLvl w:val="3"/>
        <w:rPr>
          <w:rFonts w:ascii="Times New Roman" w:hAnsi="Times New Roman" w:cs="仿宋"/>
          <w:color w:val="000000"/>
          <w:sz w:val="24"/>
          <w:highlight w:val="none"/>
        </w:rPr>
      </w:pPr>
      <w:r>
        <w:rPr>
          <w:rFonts w:hint="eastAsia" w:ascii="Times New Roman" w:hAnsi="Times New Roman" w:cs="仿宋"/>
          <w:color w:val="000000"/>
          <w:sz w:val="24"/>
          <w:highlight w:val="none"/>
        </w:rPr>
        <w:t>2</w:t>
      </w:r>
      <w:r>
        <w:rPr>
          <w:rFonts w:hint="eastAsia" w:ascii="Times New Roman" w:hAnsi="Times New Roman" w:cs="仿宋"/>
          <w:color w:val="000000"/>
          <w:sz w:val="24"/>
          <w:highlight w:val="none"/>
          <w:lang w:val="en-US" w:eastAsia="zh-CN"/>
        </w:rPr>
        <w:t>6</w:t>
      </w:r>
      <w:r>
        <w:rPr>
          <w:rFonts w:hint="eastAsia" w:ascii="Times New Roman" w:hAnsi="Times New Roman" w:cs="仿宋"/>
          <w:color w:val="000000"/>
          <w:sz w:val="24"/>
          <w:highlight w:val="none"/>
        </w:rPr>
        <w:t>.6履约保证金不予退还情形</w:t>
      </w:r>
    </w:p>
    <w:p w14:paraId="7BF4115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除不可抗力外，中标人不履行与采购人订立的采购合同的，履约保证金不予退还，给采购人造成的损失超过履约保证金数额的，还应对超过部分予以赔偿。</w:t>
      </w:r>
    </w:p>
    <w:p w14:paraId="6E34B7F8">
      <w:pPr>
        <w:spacing w:line="480" w:lineRule="exact"/>
        <w:ind w:firstLine="480"/>
        <w:outlineLvl w:val="3"/>
        <w:rPr>
          <w:rFonts w:ascii="Times New Roman" w:hAnsi="Times New Roman" w:cs="仿宋"/>
          <w:color w:val="000000"/>
          <w:sz w:val="24"/>
          <w:highlight w:val="none"/>
        </w:rPr>
      </w:pPr>
      <w:r>
        <w:rPr>
          <w:rFonts w:hint="eastAsia" w:ascii="Times New Roman" w:hAnsi="Times New Roman" w:cs="仿宋"/>
          <w:color w:val="000000"/>
          <w:sz w:val="24"/>
          <w:highlight w:val="none"/>
        </w:rPr>
        <w:t>2</w:t>
      </w:r>
      <w:r>
        <w:rPr>
          <w:rFonts w:hint="eastAsia" w:ascii="Times New Roman" w:hAnsi="Times New Roman" w:cs="仿宋"/>
          <w:color w:val="000000"/>
          <w:sz w:val="24"/>
          <w:highlight w:val="none"/>
          <w:lang w:val="en-US" w:eastAsia="zh-CN"/>
        </w:rPr>
        <w:t>6</w:t>
      </w:r>
      <w:r>
        <w:rPr>
          <w:rFonts w:hint="eastAsia" w:ascii="Times New Roman" w:hAnsi="Times New Roman" w:cs="仿宋"/>
          <w:color w:val="000000"/>
          <w:sz w:val="24"/>
          <w:highlight w:val="none"/>
        </w:rPr>
        <w:t>.7逾期退还履约保证金违约责任</w:t>
      </w:r>
    </w:p>
    <w:p w14:paraId="456369F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采购人逾期退还履约保证金的，除应退还履约保证金外，还应按中国人民银行同期贷款基准利率上浮20％后的利率支付超期资金占用费，但因投标人自身原因导致无法及时退还的除外。</w:t>
      </w:r>
      <w:bookmarkEnd w:id="105"/>
    </w:p>
    <w:p w14:paraId="1D206177">
      <w:pPr>
        <w:spacing w:line="480" w:lineRule="exact"/>
        <w:ind w:firstLine="482"/>
        <w:outlineLvl w:val="2"/>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rPr>
        <w:t>27、线上融资</w:t>
      </w:r>
    </w:p>
    <w:p w14:paraId="79BD84EA">
      <w:pPr>
        <w:spacing w:line="480" w:lineRule="exact"/>
        <w:ind w:firstLine="480"/>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中标人可凭政府采购合同办理融资贷款，详情见江苏政府采购网“政采贷”专栏。</w:t>
      </w:r>
    </w:p>
    <w:p w14:paraId="7B3E77BA">
      <w:pPr>
        <w:spacing w:line="480" w:lineRule="exact"/>
        <w:ind w:firstLine="482"/>
        <w:outlineLvl w:val="2"/>
        <w:rPr>
          <w:rFonts w:hint="eastAsia" w:ascii="Times New Roman" w:hAnsi="Times New Roman" w:cs="仿宋"/>
          <w:color w:val="000000"/>
          <w:sz w:val="24"/>
          <w:highlight w:val="none"/>
        </w:rPr>
      </w:pPr>
      <w:r>
        <w:rPr>
          <w:rFonts w:hint="eastAsia" w:ascii="Times New Roman" w:hAnsi="Times New Roman" w:cs="仿宋"/>
          <w:b/>
          <w:color w:val="000000"/>
          <w:sz w:val="24"/>
          <w:highlight w:val="none"/>
        </w:rPr>
        <w:t>28、合同履行</w:t>
      </w:r>
    </w:p>
    <w:p w14:paraId="0FDADE6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28.1政府采购合同订立后，合同各方不得擅自变更、中止或者终止合同。</w:t>
      </w:r>
    </w:p>
    <w:p w14:paraId="46FCE15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28.2政府采购合同履行中，采购人需追加与合同标的相同的货物、工程或者服务的，在不改变合同其他条款的前提下，可以与中标人签订补充合同，但所补充合同的采购金额不得超过原采购金额的10%。</w:t>
      </w:r>
    </w:p>
    <w:p w14:paraId="115C1B57">
      <w:pPr>
        <w:pStyle w:val="44"/>
        <w:spacing w:before="0" w:after="0" w:line="520" w:lineRule="exact"/>
        <w:rPr>
          <w:rFonts w:hint="eastAsia" w:eastAsia="宋体" w:cs="Arial"/>
          <w:bCs/>
          <w:color w:val="000000"/>
          <w:szCs w:val="22"/>
          <w:highlight w:val="none"/>
        </w:rPr>
      </w:pPr>
      <w:bookmarkStart w:id="106" w:name="_Toc81575199"/>
      <w:bookmarkStart w:id="107" w:name="_Toc22084"/>
      <w:bookmarkStart w:id="108" w:name="_Toc7550"/>
      <w:bookmarkStart w:id="109" w:name="_Toc81575162"/>
      <w:r>
        <w:rPr>
          <w:rFonts w:hint="eastAsia" w:eastAsia="宋体" w:cs="Arial"/>
          <w:bCs/>
          <w:color w:val="000000"/>
          <w:szCs w:val="22"/>
          <w:highlight w:val="none"/>
        </w:rPr>
        <w:t>八、</w:t>
      </w:r>
      <w:bookmarkEnd w:id="106"/>
      <w:bookmarkEnd w:id="107"/>
      <w:bookmarkEnd w:id="108"/>
      <w:bookmarkEnd w:id="109"/>
      <w:bookmarkStart w:id="110" w:name="_Toc81575200"/>
      <w:bookmarkStart w:id="111" w:name="_Toc12263"/>
      <w:bookmarkStart w:id="112" w:name="_Toc81575163"/>
      <w:bookmarkStart w:id="113" w:name="_Toc31888"/>
      <w:r>
        <w:rPr>
          <w:rFonts w:hint="eastAsia" w:eastAsia="宋体" w:cs="Arial"/>
          <w:bCs/>
          <w:color w:val="000000"/>
          <w:szCs w:val="22"/>
          <w:highlight w:val="none"/>
        </w:rPr>
        <w:t>质疑与投诉</w:t>
      </w:r>
      <w:bookmarkEnd w:id="110"/>
      <w:bookmarkEnd w:id="111"/>
      <w:bookmarkEnd w:id="112"/>
      <w:bookmarkEnd w:id="113"/>
    </w:p>
    <w:p w14:paraId="1288DB0F">
      <w:pPr>
        <w:spacing w:line="48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29、质疑</w:t>
      </w:r>
    </w:p>
    <w:p w14:paraId="02B6FF54">
      <w:pPr>
        <w:spacing w:line="480" w:lineRule="exact"/>
        <w:ind w:firstLine="480"/>
        <w:rPr>
          <w:rFonts w:ascii="Times New Roman" w:hAnsi="Times New Roman" w:cs="仿宋"/>
          <w:color w:val="0000FF"/>
          <w:sz w:val="24"/>
          <w:highlight w:val="none"/>
        </w:rPr>
      </w:pPr>
      <w:r>
        <w:rPr>
          <w:rFonts w:hint="eastAsia" w:ascii="Times New Roman" w:hAnsi="Times New Roman" w:cs="仿宋"/>
          <w:color w:val="auto"/>
          <w:sz w:val="24"/>
          <w:highlight w:val="none"/>
        </w:rPr>
        <w:t>29.1供应商认为采购文件、采购过程和中标结果使自己的权益受到损害的，可以在知道或者应知其权益受到损害之日起七个工作日内，</w:t>
      </w:r>
      <w:bookmarkStart w:id="114" w:name="OLE_LINK1"/>
      <w:r>
        <w:rPr>
          <w:rFonts w:hint="eastAsia" w:ascii="宋体" w:hAnsi="宋体" w:eastAsia="宋体" w:cs="宋体"/>
          <w:color w:val="auto"/>
          <w:sz w:val="24"/>
          <w:szCs w:val="24"/>
        </w:rPr>
        <w:t>以书面形式向采购人或者其委托的采购代理机构提出质疑。</w:t>
      </w:r>
      <w:r>
        <w:rPr>
          <w:rFonts w:hint="eastAsia" w:ascii="Times New Roman" w:hAnsi="Times New Roman" w:cs="仿宋"/>
          <w:color w:val="auto"/>
          <w:sz w:val="24"/>
          <w:highlight w:val="none"/>
        </w:rPr>
        <w:t>质疑联系部门、联系电话、通讯地址详见采购公告。</w:t>
      </w:r>
      <w:bookmarkEnd w:id="114"/>
    </w:p>
    <w:p w14:paraId="065311F7">
      <w:pPr>
        <w:spacing w:line="480" w:lineRule="exact"/>
        <w:ind w:firstLine="480"/>
        <w:outlineLvl w:val="3"/>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29.2供应商应知其权益受到损害之日，是指：</w:t>
      </w:r>
    </w:p>
    <w:p w14:paraId="0A5309A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（1）对本项目采购文件提出质疑的，为获取采购文件之日或者采购文件公告期限届满之日；</w:t>
      </w:r>
    </w:p>
    <w:p w14:paraId="18A98B2E">
      <w:pPr>
        <w:spacing w:line="480" w:lineRule="exact"/>
        <w:ind w:firstLine="480"/>
        <w:outlineLvl w:val="4"/>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（2）对本项目采购过程提出质疑的，为各采购程序环节结束之日；</w:t>
      </w:r>
    </w:p>
    <w:p w14:paraId="5F8B52A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（3）对本项目中标结果提出质疑的，为中标结果公告期限届满之日。</w:t>
      </w:r>
    </w:p>
    <w:p w14:paraId="2AD1BEC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29.3质疑供应商应当是参与所质疑项目采购活动的供应商。潜在供应商已依法获取其可质疑的采购文件的，方可对该文件提出质疑。供应商在法定质疑期内应一次性提出针对同一采购程序环节的质疑。</w:t>
      </w:r>
    </w:p>
    <w:p w14:paraId="57FCE66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29.4供应商提出质疑应当提交质疑函和必要的证明材料。质疑函的必备内容：</w:t>
      </w:r>
    </w:p>
    <w:p w14:paraId="0986118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（1）供应商的姓名或者名称、地址、邮编、联系人及联系电话；</w:t>
      </w:r>
    </w:p>
    <w:p w14:paraId="34566A7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（2）质疑项目的名称、编号；</w:t>
      </w:r>
    </w:p>
    <w:p w14:paraId="18EA8AE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（3）获取采购文件的时间；</w:t>
      </w:r>
    </w:p>
    <w:p w14:paraId="2C86F11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（4）具体、明确的质疑事项和质疑事项相关的请求；</w:t>
      </w:r>
    </w:p>
    <w:p w14:paraId="16AC069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（5）事实依据；</w:t>
      </w:r>
    </w:p>
    <w:p w14:paraId="60B46C8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（6）必要的法律依据；</w:t>
      </w:r>
    </w:p>
    <w:p w14:paraId="7F888CE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（7）提出质疑的日期；</w:t>
      </w:r>
    </w:p>
    <w:p w14:paraId="101AA06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（8）供应商为自然人的，由本人签字；供应商为法人或者其他组织的，应当由法定代表人、主要负责人，或者其授权代表签字或者盖章，并加盖公章；</w:t>
      </w:r>
    </w:p>
    <w:p w14:paraId="73AB63A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3920ECD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29.5采购人在收到质疑函后7个工作日内作出答复，并以书面形式通知质疑供应商和其他有关供应商，但质疑答复的内容不涉及商业秘密。</w:t>
      </w:r>
    </w:p>
    <w:p w14:paraId="2C9B2D02">
      <w:pPr>
        <w:spacing w:line="480" w:lineRule="exact"/>
        <w:ind w:firstLine="482"/>
        <w:outlineLvl w:val="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30、投诉</w:t>
      </w:r>
    </w:p>
    <w:p w14:paraId="1803447C">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质疑供应商对答复不满意或采购人、采购代理机构未在规定时间内作出答复的，可在答复期满后15个工作日内向同级财政部门提起投诉。</w:t>
      </w:r>
    </w:p>
    <w:p w14:paraId="1A8074F1">
      <w:pPr>
        <w:pStyle w:val="43"/>
        <w:spacing w:before="200"/>
        <w:jc w:val="center"/>
        <w:rPr>
          <w:color w:val="000000"/>
          <w:highlight w:val="none"/>
        </w:rPr>
      </w:pPr>
      <w:bookmarkStart w:id="115" w:name="EB4d341233595e4bf8ad7006b4bd78d974"/>
      <w:bookmarkEnd w:id="115"/>
      <w:bookmarkStart w:id="116" w:name="_Toc81575201"/>
      <w:bookmarkStart w:id="117" w:name="_Toc81575164"/>
      <w:bookmarkStart w:id="118" w:name="_Hlk166141273"/>
      <w:r>
        <w:rPr>
          <w:rFonts w:hint="eastAsia"/>
          <w:color w:val="000000"/>
          <w:highlight w:val="none"/>
        </w:rPr>
        <w:br w:type="page" w:clear="all"/>
      </w:r>
      <w:bookmarkStart w:id="119" w:name="_Toc17996"/>
      <w:r>
        <w:rPr>
          <w:rFonts w:hint="eastAsia" w:ascii="Calibri" w:hAnsi="Calibri" w:eastAsia="宋体" w:cs="Times New Roman"/>
          <w:b/>
          <w:color w:val="000000"/>
          <w:sz w:val="44"/>
          <w:szCs w:val="44"/>
          <w:highlight w:val="none"/>
        </w:rPr>
        <w:t>第三章  资格审查及评标</w:t>
      </w:r>
      <w:bookmarkEnd w:id="116"/>
      <w:bookmarkEnd w:id="117"/>
      <w:bookmarkEnd w:id="119"/>
      <w:r>
        <w:rPr>
          <w:rFonts w:hint="eastAsia" w:ascii="Calibri" w:hAnsi="Calibri" w:eastAsia="宋体" w:cs="Times New Roman"/>
          <w:b/>
          <w:color w:val="000000"/>
          <w:sz w:val="44"/>
          <w:szCs w:val="44"/>
          <w:highlight w:val="none"/>
        </w:rPr>
        <w:t>方法</w:t>
      </w:r>
    </w:p>
    <w:p w14:paraId="58A134BB">
      <w:pPr>
        <w:spacing w:line="480" w:lineRule="exact"/>
        <w:ind w:firstLine="482"/>
        <w:jc w:val="left"/>
        <w:outlineLvl w:val="1"/>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一、资格审查</w:t>
      </w:r>
    </w:p>
    <w:p w14:paraId="25EE9480">
      <w:pPr>
        <w:spacing w:line="480" w:lineRule="exact"/>
        <w:ind w:firstLine="480"/>
        <w:jc w:val="left"/>
        <w:rPr>
          <w:rFonts w:hint="eastAsia" w:ascii="Times New Roman" w:hAnsi="Times New Roman" w:cs="仿宋"/>
          <w:color w:val="000000"/>
          <w:sz w:val="24"/>
          <w:highlight w:val="none"/>
        </w:rPr>
      </w:pPr>
      <w:r>
        <w:rPr>
          <w:rFonts w:hint="eastAsia"/>
          <w:color w:val="000000"/>
          <w:sz w:val="24"/>
          <w:szCs w:val="28"/>
          <w:highlight w:val="none"/>
        </w:rPr>
        <w:t>资格审查人员按照下列指标对各投标人的资格进行审查，未通过审查的为无效标，不参与评标。</w:t>
      </w:r>
    </w:p>
    <w:tbl>
      <w:tblPr>
        <w:tblStyle w:val="33"/>
        <w:tblW w:w="8668" w:type="dxa"/>
        <w:tblInd w:w="-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4422"/>
        <w:gridCol w:w="4246"/>
      </w:tblGrid>
      <w:tr w14:paraId="60D3C55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c>
          <w:tcPr>
            <w:tcW w:w="4422" w:type="dxa"/>
            <w:noWrap w:val="0"/>
            <w:vAlign w:val="center"/>
          </w:tcPr>
          <w:p w14:paraId="36C284F0">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资格审查因素</w:t>
            </w:r>
          </w:p>
        </w:tc>
        <w:tc>
          <w:tcPr>
            <w:tcW w:w="4246" w:type="dxa"/>
            <w:noWrap w:val="0"/>
            <w:vAlign w:val="center"/>
          </w:tcPr>
          <w:p w14:paraId="0EA5636D">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审查标准</w:t>
            </w:r>
          </w:p>
        </w:tc>
      </w:tr>
      <w:tr w14:paraId="450A974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c>
          <w:tcPr>
            <w:tcW w:w="4422" w:type="dxa"/>
            <w:noWrap w:val="0"/>
            <w:vAlign w:val="center"/>
          </w:tcPr>
          <w:p w14:paraId="441034B6">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投标声明及承诺函</w:t>
            </w:r>
          </w:p>
        </w:tc>
        <w:tc>
          <w:tcPr>
            <w:tcW w:w="4246" w:type="dxa"/>
            <w:noWrap w:val="0"/>
            <w:vAlign w:val="center"/>
          </w:tcPr>
          <w:p w14:paraId="6174EA3C">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符合招标文件要求</w:t>
            </w:r>
          </w:p>
        </w:tc>
      </w:tr>
      <w:tr w14:paraId="7F4731F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c>
          <w:tcPr>
            <w:tcW w:w="4422" w:type="dxa"/>
            <w:noWrap w:val="0"/>
            <w:vAlign w:val="center"/>
          </w:tcPr>
          <w:p w14:paraId="2A17E589">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信用信息</w:t>
            </w:r>
          </w:p>
        </w:tc>
        <w:tc>
          <w:tcPr>
            <w:tcW w:w="4246" w:type="dxa"/>
            <w:noWrap w:val="0"/>
            <w:vAlign w:val="center"/>
          </w:tcPr>
          <w:p w14:paraId="43D3049B">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符合招标文件要求</w:t>
            </w:r>
          </w:p>
        </w:tc>
      </w:tr>
      <w:tr w14:paraId="043B6EC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c>
          <w:tcPr>
            <w:tcW w:w="4422" w:type="dxa"/>
            <w:noWrap w:val="0"/>
            <w:vAlign w:val="center"/>
          </w:tcPr>
          <w:p w14:paraId="13786063">
            <w:pPr>
              <w:spacing w:line="480" w:lineRule="exact"/>
              <w:jc w:val="center"/>
              <w:rPr>
                <w:rFonts w:hint="eastAsia" w:ascii="Times New Roman" w:hAnsi="Times New Roman" w:cs="仿宋"/>
                <w:color w:val="000000"/>
                <w:sz w:val="21"/>
                <w:szCs w:val="22"/>
                <w:highlight w:val="none"/>
                <w:lang w:val="en-US" w:eastAsia="zh-CN" w:bidi="ar-SA"/>
              </w:rPr>
            </w:pPr>
            <w:r>
              <w:rPr>
                <w:rFonts w:hint="eastAsia" w:ascii="Times New Roman" w:hAnsi="Times New Roman" w:cs="仿宋"/>
                <w:color w:val="000000"/>
                <w:highlight w:val="none"/>
              </w:rPr>
              <w:t>投标代理人</w:t>
            </w:r>
            <w:r>
              <w:rPr>
                <w:rFonts w:hint="eastAsia" w:ascii="Times New Roman" w:hAnsi="Times New Roman" w:cs="仿宋"/>
                <w:color w:val="000000"/>
                <w:highlight w:val="none"/>
                <w:lang w:eastAsia="zh-CN"/>
              </w:rPr>
              <w:t>（</w:t>
            </w:r>
            <w:r>
              <w:rPr>
                <w:rFonts w:hint="eastAsia" w:ascii="Times New Roman" w:hAnsi="Times New Roman" w:cs="仿宋"/>
                <w:color w:val="000000"/>
                <w:highlight w:val="none"/>
              </w:rPr>
              <w:t>授权委托人）资格要求</w:t>
            </w:r>
          </w:p>
        </w:tc>
        <w:tc>
          <w:tcPr>
            <w:tcW w:w="4246" w:type="dxa"/>
            <w:noWrap w:val="0"/>
            <w:vAlign w:val="center"/>
          </w:tcPr>
          <w:p w14:paraId="12B4A704">
            <w:pPr>
              <w:spacing w:line="480" w:lineRule="exact"/>
              <w:jc w:val="center"/>
              <w:rPr>
                <w:rFonts w:hint="eastAsia" w:ascii="Times New Roman" w:hAnsi="Times New Roman" w:cs="仿宋"/>
                <w:color w:val="000000"/>
                <w:sz w:val="21"/>
                <w:szCs w:val="22"/>
                <w:highlight w:val="none"/>
                <w:lang w:val="en-US" w:eastAsia="zh-CN" w:bidi="ar-SA"/>
              </w:rPr>
            </w:pPr>
            <w:r>
              <w:rPr>
                <w:rFonts w:hint="eastAsia" w:ascii="Times New Roman" w:hAnsi="Times New Roman" w:cs="仿宋"/>
                <w:color w:val="000000"/>
                <w:highlight w:val="none"/>
              </w:rPr>
              <w:t>符合招标文件要求</w:t>
            </w:r>
          </w:p>
        </w:tc>
      </w:tr>
      <w:tr w14:paraId="2CAD4FF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c>
          <w:tcPr>
            <w:tcW w:w="4422" w:type="dxa"/>
            <w:noWrap w:val="0"/>
            <w:vAlign w:val="center"/>
          </w:tcPr>
          <w:p w14:paraId="669859F4">
            <w:pPr>
              <w:keepNext w:val="0"/>
              <w:keepLines w:val="0"/>
              <w:pageBreakBefore w:val="0"/>
              <w:widowControl w:val="0"/>
              <w:spacing w:line="400" w:lineRule="exact"/>
              <w:jc w:val="center"/>
              <w:rPr>
                <w:rFonts w:hint="eastAsia" w:ascii="Times New Roman" w:hAnsi="Times New Roman" w:eastAsia="宋体" w:cs="仿宋"/>
                <w:color w:val="000000"/>
                <w:highlight w:val="none"/>
                <w:lang w:val="en-US" w:eastAsia="zh-CN"/>
              </w:rPr>
            </w:pPr>
            <w:r>
              <w:rPr>
                <w:rFonts w:hint="eastAsia" w:ascii="Times New Roman" w:hAnsi="Times New Roman" w:eastAsia="宋体" w:cs="仿宋"/>
                <w:color w:val="000000"/>
                <w:highlight w:val="none"/>
              </w:rPr>
              <w:t>中小企业或残疾人福利性单位声明函，或监狱企业证明文件</w:t>
            </w:r>
          </w:p>
        </w:tc>
        <w:tc>
          <w:tcPr>
            <w:tcW w:w="4246" w:type="dxa"/>
            <w:noWrap w:val="0"/>
            <w:vAlign w:val="center"/>
          </w:tcPr>
          <w:p w14:paraId="655C7C4A">
            <w:pPr>
              <w:keepNext w:val="0"/>
              <w:keepLines w:val="0"/>
              <w:pageBreakBefore w:val="0"/>
              <w:widowControl w:val="0"/>
              <w:spacing w:line="400" w:lineRule="exact"/>
              <w:jc w:val="center"/>
              <w:rPr>
                <w:rFonts w:hint="eastAsia" w:ascii="Times New Roman" w:hAnsi="Times New Roman" w:eastAsia="宋体" w:cs="仿宋"/>
                <w:color w:val="000000"/>
                <w:highlight w:val="none"/>
                <w:lang w:val="en-US" w:eastAsia="zh-CN"/>
              </w:rPr>
            </w:pPr>
            <w:r>
              <w:rPr>
                <w:rFonts w:hint="eastAsia" w:ascii="Times New Roman" w:hAnsi="Times New Roman" w:eastAsia="宋体" w:cs="仿宋"/>
                <w:color w:val="000000"/>
                <w:highlight w:val="none"/>
              </w:rPr>
              <w:t>符合</w:t>
            </w:r>
            <w:r>
              <w:rPr>
                <w:rFonts w:hint="eastAsia" w:ascii="Times New Roman" w:hAnsi="Times New Roman" w:eastAsia="宋体" w:cs="仿宋"/>
                <w:color w:val="000000"/>
                <w:highlight w:val="none"/>
                <w:lang w:val="en-US" w:eastAsia="zh-CN"/>
              </w:rPr>
              <w:t>招标</w:t>
            </w:r>
            <w:r>
              <w:rPr>
                <w:rFonts w:hint="eastAsia" w:ascii="Times New Roman" w:hAnsi="Times New Roman" w:eastAsia="宋体" w:cs="仿宋"/>
                <w:color w:val="000000"/>
                <w:highlight w:val="none"/>
              </w:rPr>
              <w:t>文件要求</w:t>
            </w:r>
          </w:p>
        </w:tc>
      </w:tr>
    </w:tbl>
    <w:p w14:paraId="1216E03E">
      <w:pPr>
        <w:spacing w:line="480" w:lineRule="exact"/>
        <w:ind w:firstLine="482"/>
        <w:jc w:val="left"/>
        <w:outlineLvl w:val="1"/>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二、符合性审查</w:t>
      </w:r>
    </w:p>
    <w:p w14:paraId="1826C9A4">
      <w:pPr>
        <w:spacing w:line="480" w:lineRule="exact"/>
        <w:ind w:firstLine="480"/>
        <w:jc w:val="left"/>
        <w:rPr>
          <w:rFonts w:ascii="方正仿宋_GBK" w:eastAsia="方正仿宋_GBK"/>
          <w:color w:val="000000"/>
          <w:sz w:val="24"/>
          <w:highlight w:val="none"/>
        </w:rPr>
      </w:pPr>
      <w:r>
        <w:rPr>
          <w:rFonts w:hint="eastAsia"/>
          <w:color w:val="000000"/>
          <w:sz w:val="24"/>
          <w:szCs w:val="28"/>
          <w:highlight w:val="none"/>
        </w:rPr>
        <w:t>评标委员会对符合资格的投标人的投标文件进行符合性审查，未通过审查的为无效标，不再参与评审。</w:t>
      </w:r>
    </w:p>
    <w:tbl>
      <w:tblPr>
        <w:tblStyle w:val="33"/>
        <w:tblW w:w="8668" w:type="dxa"/>
        <w:tblInd w:w="-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4364"/>
        <w:gridCol w:w="4304"/>
      </w:tblGrid>
      <w:tr w14:paraId="605F73C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c>
          <w:tcPr>
            <w:tcW w:w="4364" w:type="dxa"/>
            <w:noWrap w:val="0"/>
            <w:vAlign w:val="center"/>
          </w:tcPr>
          <w:p w14:paraId="32017FB9">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符合性审查因素</w:t>
            </w:r>
          </w:p>
        </w:tc>
        <w:tc>
          <w:tcPr>
            <w:tcW w:w="4304" w:type="dxa"/>
            <w:noWrap w:val="0"/>
            <w:vAlign w:val="center"/>
          </w:tcPr>
          <w:p w14:paraId="7B2049EC">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审查标准</w:t>
            </w:r>
          </w:p>
        </w:tc>
      </w:tr>
      <w:tr w14:paraId="0485BB2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c>
          <w:tcPr>
            <w:tcW w:w="4364" w:type="dxa"/>
            <w:noWrap w:val="0"/>
            <w:vAlign w:val="center"/>
          </w:tcPr>
          <w:p w14:paraId="37299B37">
            <w:pPr>
              <w:spacing w:line="480" w:lineRule="exact"/>
              <w:jc w:val="center"/>
              <w:rPr>
                <w:rFonts w:hint="default" w:eastAsia="宋体"/>
                <w:color w:val="000000"/>
                <w:szCs w:val="22"/>
                <w:highlight w:val="none"/>
                <w:lang w:val="en-US" w:eastAsia="zh-CN"/>
              </w:rPr>
            </w:pPr>
            <w:r>
              <w:rPr>
                <w:rFonts w:hint="eastAsia"/>
                <w:color w:val="000000"/>
                <w:szCs w:val="22"/>
                <w:highlight w:val="none"/>
                <w:lang w:val="en-US" w:eastAsia="zh-CN"/>
              </w:rPr>
              <w:t>报价符合性审查</w:t>
            </w:r>
          </w:p>
        </w:tc>
        <w:tc>
          <w:tcPr>
            <w:tcW w:w="4304" w:type="dxa"/>
            <w:noWrap w:val="0"/>
            <w:vAlign w:val="center"/>
          </w:tcPr>
          <w:p w14:paraId="37207DA6">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符合招标文件要求</w:t>
            </w:r>
          </w:p>
        </w:tc>
      </w:tr>
      <w:tr w14:paraId="74CEAE6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c>
          <w:tcPr>
            <w:tcW w:w="4364" w:type="dxa"/>
            <w:noWrap w:val="0"/>
            <w:vAlign w:val="center"/>
          </w:tcPr>
          <w:p w14:paraId="2613FC65">
            <w:pPr>
              <w:spacing w:line="480" w:lineRule="exact"/>
              <w:jc w:val="center"/>
              <w:rPr>
                <w:rFonts w:ascii="Times New Roman" w:hAnsi="Times New Roman" w:cs="仿宋"/>
                <w:color w:val="000000"/>
                <w:highlight w:val="none"/>
              </w:rPr>
            </w:pPr>
            <w:r>
              <w:rPr>
                <w:color w:val="000000"/>
                <w:szCs w:val="22"/>
                <w:highlight w:val="none"/>
              </w:rPr>
              <w:t>法定代表人身份证明或授权委托书</w:t>
            </w:r>
          </w:p>
        </w:tc>
        <w:tc>
          <w:tcPr>
            <w:tcW w:w="4304" w:type="dxa"/>
            <w:noWrap w:val="0"/>
            <w:vAlign w:val="center"/>
          </w:tcPr>
          <w:p w14:paraId="6BA1187C">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符合招标文件要求</w:t>
            </w:r>
          </w:p>
        </w:tc>
      </w:tr>
      <w:tr w14:paraId="25B1E1E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c>
          <w:tcPr>
            <w:tcW w:w="4364" w:type="dxa"/>
            <w:noWrap w:val="0"/>
            <w:vAlign w:val="center"/>
          </w:tcPr>
          <w:p w14:paraId="0C73CFDD">
            <w:pPr>
              <w:spacing w:line="480" w:lineRule="exact"/>
              <w:jc w:val="center"/>
              <w:rPr>
                <w:rFonts w:hint="eastAsia" w:ascii="Calibri" w:hAnsi="Calibri" w:eastAsia="宋体" w:cs="Times New Roman"/>
                <w:color w:val="000000"/>
                <w:sz w:val="21"/>
                <w:szCs w:val="22"/>
                <w:highlight w:val="none"/>
                <w:lang w:val="en-US" w:eastAsia="zh-CN" w:bidi="ar-SA"/>
              </w:rPr>
            </w:pPr>
            <w:r>
              <w:rPr>
                <w:color w:val="000000"/>
                <w:szCs w:val="22"/>
                <w:highlight w:val="none"/>
              </w:rPr>
              <w:t>技术标准和要求</w:t>
            </w:r>
          </w:p>
        </w:tc>
        <w:tc>
          <w:tcPr>
            <w:tcW w:w="4304" w:type="dxa"/>
            <w:noWrap w:val="0"/>
            <w:vAlign w:val="center"/>
          </w:tcPr>
          <w:p w14:paraId="12324A1E">
            <w:pPr>
              <w:spacing w:line="480" w:lineRule="exact"/>
              <w:jc w:val="center"/>
              <w:rPr>
                <w:rFonts w:hint="eastAsia" w:ascii="Times New Roman" w:hAnsi="Times New Roman" w:eastAsia="宋体" w:cs="仿宋"/>
                <w:color w:val="000000"/>
                <w:sz w:val="21"/>
                <w:szCs w:val="22"/>
                <w:highlight w:val="none"/>
                <w:lang w:val="en-US" w:eastAsia="zh-CN" w:bidi="ar-SA"/>
              </w:rPr>
            </w:pPr>
            <w:r>
              <w:rPr>
                <w:rFonts w:hint="eastAsia" w:ascii="Times New Roman" w:hAnsi="Times New Roman" w:cs="仿宋"/>
                <w:color w:val="000000"/>
                <w:highlight w:val="none"/>
              </w:rPr>
              <w:t>符合招标文件要求</w:t>
            </w:r>
          </w:p>
        </w:tc>
      </w:tr>
      <w:tr w14:paraId="4123977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c>
          <w:tcPr>
            <w:tcW w:w="4364" w:type="dxa"/>
            <w:noWrap w:val="0"/>
            <w:vAlign w:val="center"/>
          </w:tcPr>
          <w:p w14:paraId="046C3328">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其他</w:t>
            </w:r>
          </w:p>
        </w:tc>
        <w:tc>
          <w:tcPr>
            <w:tcW w:w="4304" w:type="dxa"/>
            <w:noWrap w:val="0"/>
            <w:vAlign w:val="center"/>
          </w:tcPr>
          <w:p w14:paraId="59C7D042">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符合招标文件要求</w:t>
            </w:r>
          </w:p>
        </w:tc>
      </w:tr>
    </w:tbl>
    <w:p w14:paraId="535B6FC8">
      <w:pPr>
        <w:spacing w:line="480" w:lineRule="exact"/>
        <w:ind w:firstLine="482"/>
        <w:jc w:val="left"/>
        <w:outlineLvl w:val="1"/>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三、评标方法</w:t>
      </w:r>
    </w:p>
    <w:p w14:paraId="139FBA5B">
      <w:pPr>
        <w:spacing w:line="480" w:lineRule="exact"/>
        <w:ind w:firstLine="480"/>
        <w:jc w:val="left"/>
        <w:rPr>
          <w:rFonts w:ascii="Times New Roman" w:hAnsi="Times New Roman" w:cs="仿宋"/>
          <w:color w:val="000000"/>
          <w:sz w:val="24"/>
          <w:highlight w:val="none"/>
        </w:rPr>
      </w:pPr>
      <w:r>
        <w:rPr>
          <w:rFonts w:hint="eastAsia"/>
          <w:color w:val="000000"/>
          <w:sz w:val="24"/>
          <w:szCs w:val="28"/>
          <w:highlight w:val="none"/>
        </w:rPr>
        <w:t>本项目采用综合评分法，评标结果按评审后得分由高到低顺序排列。得分相同的，按投标报价由低到高顺序排序。得分且投标报价相同的并列</w:t>
      </w:r>
      <w:r>
        <w:rPr>
          <w:rFonts w:hint="eastAsia"/>
          <w:color w:val="000000"/>
          <w:sz w:val="24"/>
          <w:szCs w:val="28"/>
          <w:highlight w:val="none"/>
          <w:lang w:eastAsia="zh-CN"/>
        </w:rPr>
        <w:t>，</w:t>
      </w:r>
      <w:r>
        <w:rPr>
          <w:rFonts w:hint="eastAsia"/>
          <w:color w:val="000000"/>
          <w:sz w:val="24"/>
          <w:szCs w:val="28"/>
        </w:rPr>
        <w:t>由采购人或者采购人委托评标委员会按照招标文件规定的方式确定中标人</w:t>
      </w:r>
      <w:r>
        <w:rPr>
          <w:rFonts w:hint="eastAsia"/>
          <w:color w:val="000000"/>
          <w:sz w:val="24"/>
          <w:szCs w:val="28"/>
          <w:lang w:eastAsia="zh-CN"/>
        </w:rPr>
        <w:t>；</w:t>
      </w:r>
      <w:r>
        <w:rPr>
          <w:rFonts w:hint="eastAsia"/>
          <w:color w:val="000000"/>
          <w:sz w:val="24"/>
          <w:szCs w:val="28"/>
        </w:rPr>
        <w:t>招标文件未规定的，采取随机抽取的方式确定</w:t>
      </w:r>
      <w:r>
        <w:rPr>
          <w:rFonts w:hint="eastAsia"/>
          <w:color w:val="000000"/>
          <w:sz w:val="24"/>
          <w:szCs w:val="28"/>
          <w:highlight w:val="none"/>
        </w:rPr>
        <w:t>。</w:t>
      </w:r>
    </w:p>
    <w:p w14:paraId="39665DBB">
      <w:pPr>
        <w:spacing w:line="480" w:lineRule="exact"/>
        <w:ind w:firstLine="480"/>
        <w:jc w:val="left"/>
        <w:rPr>
          <w:rFonts w:ascii="Times New Roman" w:hAnsi="Times New Roman" w:cs="仿宋"/>
          <w:color w:val="000000"/>
          <w:sz w:val="24"/>
          <w:highlight w:val="none"/>
        </w:rPr>
      </w:pPr>
      <w:r>
        <w:rPr>
          <w:rFonts w:hint="eastAsia" w:ascii="Times New Roman" w:hAnsi="Times New Roman" w:cs="仿宋"/>
          <w:color w:val="000000"/>
          <w:sz w:val="24"/>
          <w:highlight w:val="none"/>
        </w:rPr>
        <w:t>综合评分保留至小数点后两位。</w:t>
      </w:r>
    </w:p>
    <w:p w14:paraId="611BEAF1">
      <w:pPr>
        <w:spacing w:line="480" w:lineRule="exact"/>
        <w:ind w:firstLine="480"/>
        <w:jc w:val="lef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评标委员会根据评标后投标人排序推荐中标候选人，并形成评标报告。</w:t>
      </w:r>
    </w:p>
    <w:p w14:paraId="72B5452A">
      <w:pPr>
        <w:spacing w:line="480" w:lineRule="exact"/>
        <w:ind w:firstLine="482"/>
        <w:jc w:val="left"/>
        <w:outlineLvl w:val="1"/>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四</w:t>
      </w:r>
      <w:r>
        <w:rPr>
          <w:rFonts w:hint="eastAsia" w:ascii="Times New Roman" w:hAnsi="Times New Roman" w:cs="仿宋"/>
          <w:b/>
          <w:bCs/>
          <w:color w:val="000000"/>
          <w:sz w:val="24"/>
          <w:highlight w:val="none"/>
          <w:lang w:eastAsia="zh-CN"/>
        </w:rPr>
        <w:t>、</w:t>
      </w:r>
      <w:r>
        <w:rPr>
          <w:rFonts w:hint="eastAsia" w:ascii="Times New Roman" w:hAnsi="Times New Roman" w:cs="仿宋"/>
          <w:b/>
          <w:bCs/>
          <w:color w:val="000000"/>
          <w:sz w:val="24"/>
          <w:highlight w:val="none"/>
        </w:rPr>
        <w:t>评标标准</w:t>
      </w:r>
    </w:p>
    <w:p w14:paraId="27E9C7A3">
      <w:pPr>
        <w:spacing w:line="480" w:lineRule="exact"/>
        <w:ind w:firstLine="482"/>
        <w:jc w:val="left"/>
        <w:outlineLvl w:val="1"/>
        <w:rPr>
          <w:rFonts w:hint="eastAsia" w:ascii="Times New Roman" w:hAnsi="Times New Roman" w:cs="仿宋"/>
          <w:b/>
          <w:bCs/>
          <w:color w:val="000000"/>
          <w:sz w:val="24"/>
          <w:highlight w:val="none"/>
        </w:rPr>
      </w:pPr>
    </w:p>
    <w:p w14:paraId="2CA5C71D">
      <w:pPr>
        <w:spacing w:line="480" w:lineRule="exact"/>
        <w:ind w:firstLine="482"/>
        <w:jc w:val="left"/>
        <w:outlineLvl w:val="1"/>
        <w:rPr>
          <w:rFonts w:hint="eastAsia" w:ascii="Times New Roman" w:hAnsi="Times New Roman" w:cs="仿宋"/>
          <w:b/>
          <w:bCs/>
          <w:color w:val="000000"/>
          <w:sz w:val="24"/>
          <w:highlight w:val="none"/>
        </w:rPr>
      </w:pPr>
    </w:p>
    <w:tbl>
      <w:tblPr>
        <w:tblStyle w:val="33"/>
        <w:tblW w:w="9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91"/>
        <w:gridCol w:w="1295"/>
        <w:gridCol w:w="764"/>
        <w:gridCol w:w="6186"/>
      </w:tblGrid>
      <w:tr w14:paraId="56FA9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jc w:val="center"/>
        </w:trPr>
        <w:tc>
          <w:tcPr>
            <w:tcW w:w="1291" w:type="dxa"/>
            <w:noWrap w:val="0"/>
            <w:vAlign w:val="center"/>
          </w:tcPr>
          <w:p w14:paraId="74936B06">
            <w:pPr>
              <w:widowControl/>
              <w:spacing w:line="360" w:lineRule="auto"/>
              <w:jc w:val="center"/>
              <w:rPr>
                <w:rFonts w:ascii="宋体" w:hAnsi="宋体" w:cs="仿宋"/>
                <w:b/>
                <w:bCs/>
                <w:color w:val="auto"/>
                <w:sz w:val="24"/>
                <w:szCs w:val="22"/>
              </w:rPr>
            </w:pPr>
            <w:r>
              <w:rPr>
                <w:rFonts w:hint="eastAsia" w:ascii="宋体" w:hAnsi="宋体" w:cs="仿宋"/>
                <w:b/>
                <w:bCs/>
                <w:color w:val="auto"/>
                <w:sz w:val="24"/>
                <w:szCs w:val="22"/>
              </w:rPr>
              <w:t>类别</w:t>
            </w:r>
          </w:p>
        </w:tc>
        <w:tc>
          <w:tcPr>
            <w:tcW w:w="1295" w:type="dxa"/>
            <w:noWrap w:val="0"/>
            <w:vAlign w:val="center"/>
          </w:tcPr>
          <w:p w14:paraId="23D1B68A">
            <w:pPr>
              <w:widowControl/>
              <w:spacing w:line="360" w:lineRule="auto"/>
              <w:jc w:val="center"/>
              <w:rPr>
                <w:rFonts w:ascii="宋体" w:hAnsi="宋体" w:cs="仿宋"/>
                <w:b/>
                <w:bCs/>
                <w:color w:val="auto"/>
                <w:sz w:val="24"/>
                <w:szCs w:val="22"/>
              </w:rPr>
            </w:pPr>
            <w:r>
              <w:rPr>
                <w:rFonts w:hint="eastAsia" w:ascii="宋体" w:hAnsi="宋体" w:cs="仿宋"/>
                <w:b/>
                <w:bCs/>
                <w:color w:val="auto"/>
                <w:sz w:val="24"/>
                <w:szCs w:val="22"/>
              </w:rPr>
              <w:t>评审项目</w:t>
            </w:r>
          </w:p>
        </w:tc>
        <w:tc>
          <w:tcPr>
            <w:tcW w:w="764" w:type="dxa"/>
            <w:noWrap w:val="0"/>
            <w:vAlign w:val="center"/>
          </w:tcPr>
          <w:p w14:paraId="175B6577">
            <w:pPr>
              <w:widowControl/>
              <w:spacing w:line="360" w:lineRule="auto"/>
              <w:jc w:val="center"/>
              <w:rPr>
                <w:rFonts w:ascii="宋体" w:hAnsi="宋体" w:cs="仿宋"/>
                <w:b/>
                <w:bCs/>
                <w:color w:val="auto"/>
                <w:sz w:val="24"/>
                <w:szCs w:val="22"/>
              </w:rPr>
            </w:pPr>
            <w:r>
              <w:rPr>
                <w:rFonts w:hint="eastAsia" w:ascii="宋体" w:hAnsi="宋体" w:cs="仿宋"/>
                <w:b/>
                <w:bCs/>
                <w:color w:val="auto"/>
                <w:sz w:val="24"/>
                <w:szCs w:val="22"/>
              </w:rPr>
              <w:t>分值</w:t>
            </w:r>
          </w:p>
        </w:tc>
        <w:tc>
          <w:tcPr>
            <w:tcW w:w="6186" w:type="dxa"/>
            <w:noWrap w:val="0"/>
            <w:vAlign w:val="center"/>
          </w:tcPr>
          <w:p w14:paraId="0E649778">
            <w:pPr>
              <w:widowControl/>
              <w:spacing w:line="360" w:lineRule="auto"/>
              <w:jc w:val="center"/>
              <w:rPr>
                <w:rFonts w:ascii="宋体" w:hAnsi="宋体" w:cs="仿宋"/>
                <w:b/>
                <w:bCs/>
                <w:color w:val="auto"/>
                <w:sz w:val="24"/>
                <w:szCs w:val="22"/>
              </w:rPr>
            </w:pPr>
            <w:r>
              <w:rPr>
                <w:rFonts w:hint="eastAsia" w:ascii="宋体" w:hAnsi="宋体" w:cs="仿宋"/>
                <w:b/>
                <w:bCs/>
                <w:color w:val="auto"/>
                <w:sz w:val="24"/>
                <w:szCs w:val="22"/>
              </w:rPr>
              <w:t>评分标准</w:t>
            </w:r>
          </w:p>
        </w:tc>
      </w:tr>
      <w:tr w14:paraId="6A59B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4" w:hRule="atLeast"/>
          <w:jc w:val="center"/>
        </w:trPr>
        <w:tc>
          <w:tcPr>
            <w:tcW w:w="1291" w:type="dxa"/>
            <w:noWrap w:val="0"/>
            <w:vAlign w:val="center"/>
          </w:tcPr>
          <w:p w14:paraId="48D9A062">
            <w:pPr>
              <w:widowControl/>
              <w:spacing w:line="320" w:lineRule="exact"/>
              <w:jc w:val="center"/>
              <w:rPr>
                <w:rFonts w:ascii="宋体" w:hAnsi="宋体" w:cs="仿宋"/>
                <w:color w:val="auto"/>
                <w:szCs w:val="21"/>
              </w:rPr>
            </w:pPr>
            <w:r>
              <w:rPr>
                <w:rFonts w:hint="eastAsia" w:ascii="宋体" w:hAnsi="宋体" w:cs="仿宋"/>
                <w:color w:val="auto"/>
                <w:szCs w:val="21"/>
              </w:rPr>
              <w:t>报价部分（15分）</w:t>
            </w:r>
          </w:p>
        </w:tc>
        <w:tc>
          <w:tcPr>
            <w:tcW w:w="1295" w:type="dxa"/>
            <w:noWrap w:val="0"/>
            <w:vAlign w:val="center"/>
          </w:tcPr>
          <w:p w14:paraId="0ADA6EBD">
            <w:pPr>
              <w:widowControl/>
              <w:spacing w:line="320" w:lineRule="exact"/>
              <w:jc w:val="center"/>
              <w:rPr>
                <w:rFonts w:ascii="宋体" w:hAnsi="宋体" w:cs="仿宋"/>
                <w:color w:val="auto"/>
                <w:szCs w:val="21"/>
              </w:rPr>
            </w:pPr>
            <w:r>
              <w:rPr>
                <w:rFonts w:hint="eastAsia" w:ascii="宋体" w:hAnsi="宋体" w:cs="仿宋"/>
                <w:color w:val="auto"/>
                <w:szCs w:val="21"/>
              </w:rPr>
              <w:t>投标报价</w:t>
            </w:r>
          </w:p>
        </w:tc>
        <w:tc>
          <w:tcPr>
            <w:tcW w:w="764" w:type="dxa"/>
            <w:noWrap w:val="0"/>
            <w:vAlign w:val="center"/>
          </w:tcPr>
          <w:p w14:paraId="5907FE5D">
            <w:pPr>
              <w:widowControl/>
              <w:spacing w:line="320" w:lineRule="exact"/>
              <w:jc w:val="center"/>
              <w:rPr>
                <w:rFonts w:ascii="宋体" w:hAnsi="宋体" w:cs="仿宋"/>
                <w:color w:val="auto"/>
                <w:szCs w:val="21"/>
              </w:rPr>
            </w:pPr>
            <w:r>
              <w:rPr>
                <w:rFonts w:hint="eastAsia" w:ascii="宋体" w:hAnsi="宋体" w:cs="仿宋"/>
                <w:color w:val="auto"/>
                <w:szCs w:val="21"/>
              </w:rPr>
              <w:t>15</w:t>
            </w:r>
          </w:p>
        </w:tc>
        <w:tc>
          <w:tcPr>
            <w:tcW w:w="6186" w:type="dxa"/>
            <w:noWrap w:val="0"/>
            <w:vAlign w:val="center"/>
          </w:tcPr>
          <w:p w14:paraId="631EAA7A">
            <w:pPr>
              <w:widowControl/>
              <w:spacing w:line="320" w:lineRule="exact"/>
              <w:ind w:firstLine="420"/>
              <w:rPr>
                <w:rFonts w:ascii="宋体" w:hAnsi="宋体" w:cs="仿宋"/>
                <w:color w:val="auto"/>
                <w:szCs w:val="21"/>
              </w:rPr>
            </w:pPr>
            <w:r>
              <w:rPr>
                <w:rFonts w:hint="eastAsia" w:ascii="宋体" w:hAnsi="宋体" w:cs="仿宋"/>
                <w:color w:val="auto"/>
                <w:szCs w:val="21"/>
              </w:rPr>
              <w:t>采用低价优先法计算，即满足招标文件要求且投标价格最低的投标报价为评标基准价，其价格分为满分15分。其他供应商的价格分统一按照下列公式计算：投标报价得分= (评分基准价/投标报价)×15%×100。</w:t>
            </w:r>
          </w:p>
        </w:tc>
      </w:tr>
      <w:tr w14:paraId="6A22D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 w:hRule="atLeast"/>
          <w:jc w:val="center"/>
        </w:trPr>
        <w:tc>
          <w:tcPr>
            <w:tcW w:w="1291" w:type="dxa"/>
            <w:vMerge w:val="restart"/>
            <w:noWrap w:val="0"/>
            <w:vAlign w:val="center"/>
          </w:tcPr>
          <w:p w14:paraId="215E1057">
            <w:pPr>
              <w:widowControl/>
              <w:spacing w:line="320" w:lineRule="exact"/>
              <w:jc w:val="center"/>
              <w:rPr>
                <w:rFonts w:ascii="宋体" w:hAnsi="宋体" w:cs="仿宋"/>
                <w:color w:val="auto"/>
                <w:szCs w:val="21"/>
              </w:rPr>
            </w:pPr>
            <w:r>
              <w:rPr>
                <w:rFonts w:hint="eastAsia" w:ascii="宋体" w:hAnsi="宋体" w:cs="仿宋"/>
                <w:color w:val="auto"/>
                <w:szCs w:val="21"/>
              </w:rPr>
              <w:t>商务部分（5</w:t>
            </w:r>
            <w:r>
              <w:rPr>
                <w:rFonts w:hint="eastAsia" w:ascii="宋体" w:hAnsi="宋体" w:cs="仿宋"/>
                <w:color w:val="auto"/>
                <w:szCs w:val="21"/>
                <w:lang w:val="en-US" w:eastAsia="zh-CN"/>
              </w:rPr>
              <w:t>4</w:t>
            </w:r>
            <w:r>
              <w:rPr>
                <w:rFonts w:hint="eastAsia" w:ascii="宋体" w:hAnsi="宋体" w:cs="仿宋"/>
                <w:color w:val="auto"/>
                <w:szCs w:val="21"/>
              </w:rPr>
              <w:t>分）</w:t>
            </w:r>
          </w:p>
        </w:tc>
        <w:tc>
          <w:tcPr>
            <w:tcW w:w="1295" w:type="dxa"/>
            <w:noWrap w:val="0"/>
            <w:vAlign w:val="center"/>
          </w:tcPr>
          <w:p w14:paraId="36340E64">
            <w:pPr>
              <w:widowControl/>
              <w:spacing w:line="320" w:lineRule="exact"/>
              <w:jc w:val="center"/>
              <w:rPr>
                <w:rFonts w:ascii="宋体" w:hAnsi="宋体" w:cs="仿宋"/>
                <w:color w:val="auto"/>
                <w:szCs w:val="21"/>
              </w:rPr>
            </w:pPr>
            <w:r>
              <w:rPr>
                <w:rFonts w:hint="eastAsia" w:ascii="宋体" w:hAnsi="宋体" w:cs="仿宋"/>
                <w:color w:val="auto"/>
                <w:szCs w:val="21"/>
              </w:rPr>
              <w:t xml:space="preserve"> 企业资质、信誉</w:t>
            </w:r>
          </w:p>
        </w:tc>
        <w:tc>
          <w:tcPr>
            <w:tcW w:w="764" w:type="dxa"/>
            <w:noWrap w:val="0"/>
            <w:vAlign w:val="center"/>
          </w:tcPr>
          <w:p w14:paraId="02AC65AE">
            <w:pPr>
              <w:spacing w:line="320" w:lineRule="exact"/>
              <w:jc w:val="center"/>
              <w:rPr>
                <w:rFonts w:hint="eastAsia" w:ascii="宋体" w:hAnsi="宋体" w:eastAsia="宋体" w:cs="仿宋"/>
                <w:color w:val="auto"/>
                <w:szCs w:val="21"/>
                <w:lang w:eastAsia="zh-CN"/>
              </w:rPr>
            </w:pPr>
            <w:r>
              <w:rPr>
                <w:rFonts w:hint="eastAsia" w:ascii="宋体" w:hAnsi="宋体" w:cs="仿宋"/>
                <w:color w:val="auto"/>
                <w:szCs w:val="21"/>
                <w:lang w:val="en-US" w:eastAsia="zh-CN"/>
              </w:rPr>
              <w:t>7</w:t>
            </w:r>
          </w:p>
        </w:tc>
        <w:tc>
          <w:tcPr>
            <w:tcW w:w="6186" w:type="dxa"/>
            <w:noWrap w:val="0"/>
            <w:vAlign w:val="center"/>
          </w:tcPr>
          <w:p w14:paraId="502EEE79">
            <w:pPr>
              <w:keepNext w:val="0"/>
              <w:keepLines w:val="0"/>
              <w:pageBreakBefore w:val="0"/>
              <w:widowControl/>
              <w:numPr>
                <w:ilvl w:val="0"/>
                <w:numId w:val="3"/>
              </w:numPr>
              <w:spacing w:after="0" w:line="240" w:lineRule="auto"/>
              <w:ind w:firstLine="420"/>
              <w:rPr>
                <w:rFonts w:hint="eastAsia" w:ascii="宋体" w:hAnsi="宋体" w:eastAsia="宋体" w:cs="仿宋"/>
                <w:color w:val="auto"/>
                <w:szCs w:val="21"/>
              </w:rPr>
            </w:pPr>
            <w:r>
              <w:rPr>
                <w:rFonts w:hint="eastAsia" w:ascii="宋体" w:hAnsi="宋体" w:cs="仿宋"/>
                <w:color w:val="auto"/>
                <w:szCs w:val="21"/>
              </w:rPr>
              <w:t>供应商具有有效期内的质量管理体系认证、职业健康安全管理体系认证、信息安全管理体系认证、环境管理体系认证</w:t>
            </w:r>
            <w:bookmarkStart w:id="120" w:name="OLE_LINK11"/>
            <w:r>
              <w:rPr>
                <w:rFonts w:hint="eastAsia" w:ascii="宋体" w:hAnsi="宋体" w:cs="仿宋"/>
                <w:color w:val="auto"/>
                <w:szCs w:val="21"/>
              </w:rPr>
              <w:t>的</w:t>
            </w:r>
            <w:bookmarkEnd w:id="120"/>
            <w:r>
              <w:rPr>
                <w:rFonts w:hint="eastAsia" w:ascii="宋体" w:hAnsi="宋体" w:cs="仿宋"/>
                <w:color w:val="auto"/>
                <w:szCs w:val="21"/>
              </w:rPr>
              <w:t>，有一个得1</w:t>
            </w:r>
            <w:r>
              <w:rPr>
                <w:rFonts w:hint="eastAsia" w:ascii="宋体" w:hAnsi="宋体" w:eastAsia="宋体" w:cs="仿宋"/>
                <w:color w:val="auto"/>
                <w:szCs w:val="21"/>
              </w:rPr>
              <w:t>分，最高得4分。</w:t>
            </w:r>
          </w:p>
          <w:p w14:paraId="16D4B2B5">
            <w:pPr>
              <w:keepNext w:val="0"/>
              <w:keepLines w:val="0"/>
              <w:pageBreakBefore w:val="0"/>
              <w:widowControl/>
              <w:numPr>
                <w:ilvl w:val="0"/>
                <w:numId w:val="0"/>
              </w:numPr>
              <w:spacing w:after="0" w:line="240" w:lineRule="auto"/>
              <w:rPr>
                <w:rFonts w:hint="eastAsia" w:ascii="宋体" w:hAnsi="宋体" w:eastAsia="宋体" w:cs="仿宋"/>
                <w:color w:val="auto"/>
                <w:szCs w:val="21"/>
              </w:rPr>
            </w:pPr>
            <w:r>
              <w:rPr>
                <w:rFonts w:hint="eastAsia" w:ascii="宋体" w:hAnsi="宋体" w:eastAsia="宋体" w:cs="仿宋"/>
                <w:color w:val="auto"/>
                <w:szCs w:val="21"/>
              </w:rPr>
              <w:t>注：投标时须提供国务院认证认可监督管理部门批准的认证机构出具的认证证书</w:t>
            </w:r>
            <w:r>
              <w:rPr>
                <w:rFonts w:hint="eastAsia" w:ascii="宋体" w:hAnsi="宋体" w:cs="仿宋"/>
                <w:color w:val="auto"/>
                <w:szCs w:val="21"/>
                <w:lang w:val="en-US" w:eastAsia="zh-CN"/>
              </w:rPr>
              <w:t>扫描</w:t>
            </w:r>
            <w:r>
              <w:rPr>
                <w:rFonts w:hint="eastAsia" w:ascii="宋体" w:hAnsi="宋体" w:eastAsia="宋体" w:cs="仿宋"/>
                <w:color w:val="auto"/>
                <w:szCs w:val="21"/>
              </w:rPr>
              <w:t>件及“全国认证认可信息公共服务平台(http://cx.cnca.cn)”网上查询结果截图供查询验证，查询结果中证书状态须为“有效”，未按要求提供或无效的不得分。</w:t>
            </w:r>
          </w:p>
          <w:p w14:paraId="25E434E1">
            <w:pPr>
              <w:widowControl/>
              <w:spacing w:line="320" w:lineRule="exact"/>
              <w:ind w:firstLine="420"/>
              <w:rPr>
                <w:rFonts w:ascii="宋体" w:hAnsi="宋体" w:cs="仿宋"/>
                <w:color w:val="auto"/>
                <w:szCs w:val="21"/>
              </w:rPr>
            </w:pPr>
            <w:r>
              <w:rPr>
                <w:rFonts w:hint="eastAsia" w:ascii="宋体" w:hAnsi="宋体" w:cs="仿宋"/>
                <w:color w:val="auto"/>
                <w:szCs w:val="21"/>
                <w:lang w:val="en-US" w:eastAsia="zh-CN"/>
              </w:rPr>
              <w:t>2</w:t>
            </w:r>
            <w:r>
              <w:rPr>
                <w:rFonts w:hint="eastAsia" w:ascii="宋体" w:hAnsi="宋体" w:cs="仿宋"/>
                <w:color w:val="auto"/>
                <w:szCs w:val="21"/>
              </w:rPr>
              <w:t>、供应商</w:t>
            </w:r>
            <w:r>
              <w:rPr>
                <w:rFonts w:hint="eastAsia" w:ascii="宋体" w:hAnsi="宋体" w:cs="仿宋"/>
                <w:color w:val="auto"/>
                <w:szCs w:val="21"/>
                <w:lang w:val="en-US" w:eastAsia="zh-CN"/>
              </w:rPr>
              <w:t>自2023年1月1日以来获得过自然资源调查类或执法类相关奖项的得3分。</w:t>
            </w:r>
          </w:p>
          <w:p w14:paraId="73DD2559">
            <w:pPr>
              <w:widowControl/>
              <w:spacing w:line="320" w:lineRule="exact"/>
              <w:ind w:firstLine="420"/>
              <w:rPr>
                <w:rFonts w:ascii="宋体" w:hAnsi="宋体" w:cs="仿宋"/>
                <w:color w:val="auto"/>
                <w:szCs w:val="21"/>
              </w:rPr>
            </w:pPr>
            <w:r>
              <w:rPr>
                <w:rFonts w:hint="eastAsia" w:ascii="宋体" w:hAnsi="宋体" w:cs="仿宋"/>
                <w:color w:val="auto"/>
                <w:szCs w:val="21"/>
              </w:rPr>
              <w:t>（以上须附证明材料原件扫描件加盖单位公章）</w:t>
            </w:r>
          </w:p>
        </w:tc>
      </w:tr>
      <w:tr w14:paraId="14DDC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24" w:hRule="atLeast"/>
          <w:jc w:val="center"/>
        </w:trPr>
        <w:tc>
          <w:tcPr>
            <w:tcW w:w="1291" w:type="dxa"/>
            <w:vMerge w:val="continue"/>
            <w:noWrap w:val="0"/>
            <w:vAlign w:val="center"/>
          </w:tcPr>
          <w:p w14:paraId="100B7117">
            <w:pPr>
              <w:widowControl/>
              <w:spacing w:line="320" w:lineRule="exact"/>
              <w:ind w:firstLine="420"/>
              <w:rPr>
                <w:rFonts w:ascii="宋体" w:hAnsi="宋体" w:cs="仿宋"/>
                <w:color w:val="auto"/>
                <w:szCs w:val="21"/>
              </w:rPr>
            </w:pPr>
          </w:p>
        </w:tc>
        <w:tc>
          <w:tcPr>
            <w:tcW w:w="1295" w:type="dxa"/>
            <w:noWrap w:val="0"/>
            <w:vAlign w:val="center"/>
          </w:tcPr>
          <w:p w14:paraId="60E0ED43">
            <w:pPr>
              <w:widowControl/>
              <w:spacing w:line="320" w:lineRule="exact"/>
              <w:jc w:val="center"/>
              <w:rPr>
                <w:rFonts w:ascii="宋体" w:hAnsi="宋体" w:cs="仿宋"/>
                <w:color w:val="auto"/>
                <w:szCs w:val="21"/>
              </w:rPr>
            </w:pPr>
            <w:r>
              <w:rPr>
                <w:rFonts w:hint="eastAsia" w:ascii="宋体" w:hAnsi="宋体" w:cs="仿宋"/>
                <w:color w:val="auto"/>
                <w:szCs w:val="21"/>
              </w:rPr>
              <w:t>相关业绩及类似成功案例</w:t>
            </w:r>
          </w:p>
        </w:tc>
        <w:tc>
          <w:tcPr>
            <w:tcW w:w="764" w:type="dxa"/>
            <w:noWrap w:val="0"/>
            <w:vAlign w:val="center"/>
          </w:tcPr>
          <w:p w14:paraId="1529CCE2">
            <w:pPr>
              <w:widowControl/>
              <w:spacing w:line="320" w:lineRule="exact"/>
              <w:jc w:val="center"/>
              <w:rPr>
                <w:rFonts w:hint="default" w:ascii="宋体" w:hAnsi="宋体" w:eastAsia="宋体" w:cs="仿宋"/>
                <w:color w:val="auto"/>
                <w:szCs w:val="21"/>
                <w:lang w:val="en-US" w:eastAsia="zh-CN"/>
              </w:rPr>
            </w:pPr>
            <w:r>
              <w:rPr>
                <w:rFonts w:hint="eastAsia" w:ascii="宋体" w:hAnsi="宋体" w:cs="仿宋"/>
                <w:color w:val="auto"/>
                <w:szCs w:val="21"/>
                <w:lang w:val="en-US" w:eastAsia="zh-CN"/>
              </w:rPr>
              <w:t>16</w:t>
            </w:r>
          </w:p>
        </w:tc>
        <w:tc>
          <w:tcPr>
            <w:tcW w:w="6186" w:type="dxa"/>
            <w:noWrap w:val="0"/>
            <w:vAlign w:val="center"/>
          </w:tcPr>
          <w:p w14:paraId="02A03FAB">
            <w:pPr>
              <w:widowControl/>
              <w:spacing w:line="320" w:lineRule="exact"/>
              <w:ind w:firstLine="420"/>
              <w:rPr>
                <w:rFonts w:ascii="宋体" w:hAnsi="宋体" w:cs="仿宋"/>
                <w:color w:val="auto"/>
                <w:szCs w:val="21"/>
              </w:rPr>
            </w:pPr>
            <w:r>
              <w:rPr>
                <w:rFonts w:hint="eastAsia" w:ascii="宋体" w:hAnsi="宋体" w:cs="仿宋"/>
                <w:color w:val="auto"/>
                <w:szCs w:val="21"/>
              </w:rPr>
              <w:t>1、供应商</w:t>
            </w:r>
            <w:r>
              <w:rPr>
                <w:rFonts w:hint="eastAsia" w:ascii="宋体" w:hAnsi="宋体" w:cs="仿宋"/>
                <w:color w:val="auto"/>
                <w:szCs w:val="21"/>
                <w:lang w:val="en-US" w:eastAsia="zh-CN"/>
              </w:rPr>
              <w:t>自2023年1月1日以来</w:t>
            </w:r>
            <w:r>
              <w:rPr>
                <w:rFonts w:hint="eastAsia" w:ascii="宋体" w:hAnsi="宋体" w:cs="仿宋"/>
                <w:color w:val="auto"/>
                <w:szCs w:val="21"/>
              </w:rPr>
              <w:t>承担过国土变更调查项目</w:t>
            </w:r>
            <w:r>
              <w:rPr>
                <w:rFonts w:hint="eastAsia" w:ascii="宋体" w:hAnsi="宋体" w:cs="仿宋"/>
                <w:color w:val="auto"/>
                <w:szCs w:val="21"/>
                <w:lang w:eastAsia="zh-CN"/>
              </w:rPr>
              <w:t>、</w:t>
            </w:r>
            <w:r>
              <w:rPr>
                <w:rFonts w:hint="eastAsia" w:ascii="宋体" w:hAnsi="宋体" w:cs="仿宋"/>
                <w:color w:val="auto"/>
                <w:szCs w:val="21"/>
              </w:rPr>
              <w:t>林草湿调查监测项目</w:t>
            </w:r>
            <w:r>
              <w:rPr>
                <w:rFonts w:hint="eastAsia" w:ascii="宋体" w:hAnsi="宋体" w:cs="仿宋"/>
                <w:color w:val="auto"/>
                <w:szCs w:val="21"/>
                <w:lang w:eastAsia="zh-CN"/>
              </w:rPr>
              <w:t>、</w:t>
            </w:r>
            <w:r>
              <w:rPr>
                <w:rFonts w:hint="eastAsia" w:ascii="宋体" w:hAnsi="宋体" w:cs="仿宋"/>
                <w:color w:val="auto"/>
                <w:szCs w:val="21"/>
              </w:rPr>
              <w:t>城市国土空间监测项目</w:t>
            </w:r>
            <w:r>
              <w:rPr>
                <w:rFonts w:hint="eastAsia" w:ascii="宋体" w:hAnsi="宋体" w:cs="仿宋"/>
                <w:color w:val="auto"/>
                <w:szCs w:val="21"/>
                <w:lang w:eastAsia="zh-CN"/>
              </w:rPr>
              <w:t>、</w:t>
            </w:r>
            <w:r>
              <w:rPr>
                <w:rFonts w:hint="eastAsia" w:ascii="宋体" w:hAnsi="宋体" w:cs="仿宋"/>
                <w:color w:val="auto"/>
                <w:szCs w:val="21"/>
                <w:lang w:val="en-US" w:eastAsia="zh-CN"/>
              </w:rPr>
              <w:t>卫片执法</w:t>
            </w:r>
            <w:r>
              <w:rPr>
                <w:rFonts w:hint="eastAsia" w:ascii="宋体" w:hAnsi="宋体" w:cs="仿宋"/>
                <w:color w:val="auto"/>
                <w:szCs w:val="21"/>
              </w:rPr>
              <w:t>项目</w:t>
            </w:r>
            <w:r>
              <w:rPr>
                <w:rFonts w:hint="eastAsia" w:ascii="宋体" w:hAnsi="宋体" w:cs="仿宋"/>
                <w:color w:val="auto"/>
                <w:szCs w:val="21"/>
                <w:lang w:val="en-US" w:eastAsia="zh-CN"/>
              </w:rPr>
              <w:t>或其他类似项目</w:t>
            </w:r>
            <w:r>
              <w:rPr>
                <w:rFonts w:hint="eastAsia" w:ascii="宋体" w:hAnsi="宋体" w:cs="仿宋"/>
                <w:color w:val="auto"/>
                <w:szCs w:val="21"/>
              </w:rPr>
              <w:t>，每提供一</w:t>
            </w:r>
            <w:r>
              <w:rPr>
                <w:rFonts w:hint="eastAsia" w:ascii="宋体" w:hAnsi="宋体" w:cs="仿宋"/>
                <w:color w:val="auto"/>
                <w:szCs w:val="21"/>
                <w:lang w:val="en-US" w:eastAsia="zh-CN"/>
              </w:rPr>
              <w:t>类</w:t>
            </w:r>
            <w:r>
              <w:rPr>
                <w:rFonts w:hint="eastAsia" w:ascii="宋体" w:hAnsi="宋体" w:cs="仿宋"/>
                <w:color w:val="auto"/>
                <w:szCs w:val="21"/>
              </w:rPr>
              <w:t>业绩得</w:t>
            </w:r>
            <w:r>
              <w:rPr>
                <w:rFonts w:hint="eastAsia" w:ascii="宋体" w:hAnsi="宋体" w:cs="仿宋"/>
                <w:color w:val="auto"/>
                <w:szCs w:val="21"/>
                <w:lang w:val="en-US" w:eastAsia="zh-CN"/>
              </w:rPr>
              <w:t>4</w:t>
            </w:r>
            <w:r>
              <w:rPr>
                <w:rFonts w:hint="eastAsia" w:ascii="宋体" w:hAnsi="宋体" w:cs="仿宋"/>
                <w:color w:val="auto"/>
                <w:szCs w:val="21"/>
              </w:rPr>
              <w:t>分，本项最高得</w:t>
            </w:r>
            <w:r>
              <w:rPr>
                <w:rFonts w:hint="eastAsia" w:ascii="宋体" w:hAnsi="宋体" w:cs="仿宋"/>
                <w:color w:val="auto"/>
                <w:szCs w:val="21"/>
                <w:lang w:val="en-US" w:eastAsia="zh-CN"/>
              </w:rPr>
              <w:t>16</w:t>
            </w:r>
            <w:r>
              <w:rPr>
                <w:rFonts w:hint="eastAsia" w:ascii="宋体" w:hAnsi="宋体" w:cs="仿宋"/>
                <w:color w:val="auto"/>
                <w:szCs w:val="21"/>
              </w:rPr>
              <w:t>分，未提供不得分。</w:t>
            </w:r>
          </w:p>
          <w:p w14:paraId="27FB4271">
            <w:pPr>
              <w:widowControl/>
              <w:spacing w:line="320" w:lineRule="exact"/>
              <w:ind w:firstLine="420"/>
              <w:rPr>
                <w:rFonts w:hint="eastAsia" w:ascii="宋体" w:hAnsi="宋体" w:cs="仿宋"/>
                <w:color w:val="auto"/>
                <w:szCs w:val="21"/>
              </w:rPr>
            </w:pPr>
            <w:r>
              <w:rPr>
                <w:rFonts w:hint="eastAsia" w:ascii="宋体" w:hAnsi="宋体" w:cs="仿宋"/>
                <w:color w:val="auto"/>
                <w:szCs w:val="21"/>
              </w:rPr>
              <w:t>（以上项目不重</w:t>
            </w:r>
            <w:r>
              <w:rPr>
                <w:rFonts w:hint="eastAsia" w:ascii="宋体" w:hAnsi="宋体" w:eastAsia="宋体" w:cs="仿宋"/>
                <w:color w:val="auto"/>
                <w:szCs w:val="21"/>
              </w:rPr>
              <w:t>复计分，提供合同原件扫描件</w:t>
            </w:r>
            <w:r>
              <w:rPr>
                <w:rFonts w:hint="eastAsia" w:ascii="宋体" w:hAnsi="宋体" w:eastAsia="宋体" w:cs="仿宋"/>
                <w:color w:val="auto"/>
                <w:szCs w:val="21"/>
                <w:lang w:val="en-US" w:eastAsia="zh-CN"/>
              </w:rPr>
              <w:t>和中标通知书扫描件</w:t>
            </w:r>
            <w:r>
              <w:rPr>
                <w:rFonts w:hint="eastAsia" w:ascii="宋体" w:hAnsi="宋体" w:eastAsia="宋体" w:cs="仿宋"/>
                <w:color w:val="auto"/>
                <w:szCs w:val="21"/>
              </w:rPr>
              <w:t>，并加盖公章，合同时间以合同签定的时间为准，合同内容必须包含合同首页、合同签订时间页、双方签字盖章页</w:t>
            </w:r>
            <w:r>
              <w:rPr>
                <w:rFonts w:hint="eastAsia" w:ascii="宋体" w:hAnsi="宋体" w:eastAsia="宋体" w:cs="仿宋"/>
                <w:color w:val="auto"/>
                <w:szCs w:val="21"/>
                <w:lang w:eastAsia="zh-CN"/>
              </w:rPr>
              <w:t>。</w:t>
            </w:r>
            <w:r>
              <w:rPr>
                <w:rFonts w:hint="eastAsia" w:ascii="宋体" w:hAnsi="宋体" w:eastAsia="宋体" w:cs="仿宋"/>
                <w:color w:val="auto"/>
                <w:szCs w:val="21"/>
              </w:rPr>
              <w:t>）</w:t>
            </w:r>
          </w:p>
        </w:tc>
      </w:tr>
      <w:tr w14:paraId="0B313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9" w:hRule="atLeast"/>
          <w:jc w:val="center"/>
        </w:trPr>
        <w:tc>
          <w:tcPr>
            <w:tcW w:w="1291" w:type="dxa"/>
            <w:vMerge w:val="continue"/>
            <w:noWrap w:val="0"/>
            <w:vAlign w:val="center"/>
          </w:tcPr>
          <w:p w14:paraId="031EFAEA">
            <w:pPr>
              <w:widowControl/>
              <w:spacing w:line="320" w:lineRule="exact"/>
              <w:ind w:firstLine="420"/>
              <w:rPr>
                <w:rFonts w:ascii="宋体" w:hAnsi="宋体" w:cs="仿宋"/>
                <w:color w:val="auto"/>
                <w:szCs w:val="21"/>
              </w:rPr>
            </w:pPr>
          </w:p>
        </w:tc>
        <w:tc>
          <w:tcPr>
            <w:tcW w:w="1295" w:type="dxa"/>
            <w:noWrap w:val="0"/>
            <w:vAlign w:val="center"/>
          </w:tcPr>
          <w:p w14:paraId="4F73CAEF">
            <w:pPr>
              <w:widowControl/>
              <w:spacing w:line="320" w:lineRule="exact"/>
              <w:jc w:val="center"/>
              <w:rPr>
                <w:rFonts w:hint="eastAsia" w:ascii="宋体" w:hAnsi="宋体" w:eastAsia="宋体" w:cs="仿宋"/>
                <w:color w:val="auto"/>
                <w:szCs w:val="21"/>
                <w:lang w:val="en-US" w:eastAsia="zh-CN"/>
              </w:rPr>
            </w:pPr>
            <w:r>
              <w:rPr>
                <w:rFonts w:hint="eastAsia" w:ascii="宋体" w:hAnsi="宋体" w:cs="仿宋"/>
                <w:color w:val="auto"/>
                <w:szCs w:val="21"/>
              </w:rPr>
              <w:t>人员</w:t>
            </w:r>
            <w:r>
              <w:rPr>
                <w:rFonts w:hint="eastAsia" w:ascii="宋体" w:hAnsi="宋体" w:cs="仿宋"/>
                <w:color w:val="auto"/>
                <w:szCs w:val="21"/>
                <w:lang w:val="en-US" w:eastAsia="zh-CN"/>
              </w:rPr>
              <w:t>组成</w:t>
            </w:r>
          </w:p>
        </w:tc>
        <w:tc>
          <w:tcPr>
            <w:tcW w:w="764" w:type="dxa"/>
            <w:noWrap w:val="0"/>
            <w:vAlign w:val="center"/>
          </w:tcPr>
          <w:p w14:paraId="24599B37">
            <w:pPr>
              <w:spacing w:line="320" w:lineRule="exact"/>
              <w:jc w:val="center"/>
              <w:rPr>
                <w:rFonts w:hint="default" w:ascii="宋体" w:hAnsi="宋体" w:eastAsia="宋体" w:cs="仿宋"/>
                <w:color w:val="auto"/>
                <w:szCs w:val="21"/>
                <w:lang w:val="en-US" w:eastAsia="zh-CN"/>
              </w:rPr>
            </w:pPr>
            <w:r>
              <w:rPr>
                <w:rFonts w:hint="eastAsia" w:ascii="宋体" w:hAnsi="宋体" w:cs="仿宋"/>
                <w:color w:val="auto"/>
                <w:szCs w:val="21"/>
                <w:lang w:val="en-US" w:eastAsia="zh-CN"/>
              </w:rPr>
              <w:t>31</w:t>
            </w:r>
          </w:p>
        </w:tc>
        <w:tc>
          <w:tcPr>
            <w:tcW w:w="6186" w:type="dxa"/>
            <w:noWrap w:val="0"/>
            <w:vAlign w:val="center"/>
          </w:tcPr>
          <w:p w14:paraId="5F262CA4">
            <w:pPr>
              <w:keepNext w:val="0"/>
              <w:keepLines w:val="0"/>
              <w:pageBreakBefore w:val="0"/>
              <w:widowControl/>
              <w:spacing w:after="0" w:line="320" w:lineRule="exact"/>
              <w:ind w:firstLine="420"/>
              <w:rPr>
                <w:rFonts w:hint="eastAsia" w:ascii="宋体" w:hAnsi="宋体" w:cs="仿宋"/>
                <w:color w:val="auto"/>
                <w:szCs w:val="21"/>
              </w:rPr>
            </w:pPr>
            <w:r>
              <w:rPr>
                <w:rFonts w:hint="eastAsia" w:ascii="宋体" w:hAnsi="宋体" w:cs="仿宋"/>
                <w:color w:val="auto"/>
                <w:szCs w:val="21"/>
                <w:lang w:val="en-US" w:eastAsia="zh-CN"/>
              </w:rPr>
              <w:t>1、</w:t>
            </w:r>
            <w:r>
              <w:rPr>
                <w:rFonts w:hint="eastAsia" w:ascii="宋体" w:hAnsi="宋体" w:cs="仿宋"/>
                <w:color w:val="auto"/>
                <w:szCs w:val="21"/>
              </w:rPr>
              <w:t>项目负责人</w:t>
            </w:r>
          </w:p>
          <w:p w14:paraId="78FC9BD5">
            <w:pPr>
              <w:keepNext w:val="0"/>
              <w:keepLines w:val="0"/>
              <w:pageBreakBefore w:val="0"/>
              <w:widowControl/>
              <w:spacing w:after="0" w:line="320" w:lineRule="exact"/>
              <w:ind w:firstLine="420"/>
              <w:rPr>
                <w:rFonts w:hint="eastAsia" w:ascii="宋体" w:hAnsi="宋体" w:eastAsia="宋体" w:cs="仿宋"/>
                <w:color w:val="auto"/>
                <w:szCs w:val="21"/>
              </w:rPr>
            </w:pPr>
            <w:r>
              <w:rPr>
                <w:rFonts w:hint="eastAsia" w:ascii="宋体" w:hAnsi="宋体" w:cs="仿宋"/>
                <w:color w:val="auto"/>
                <w:szCs w:val="21"/>
              </w:rPr>
              <w:t>具有测绘正高级技术职称</w:t>
            </w:r>
            <w:r>
              <w:rPr>
                <w:rFonts w:hint="eastAsia" w:ascii="宋体" w:hAnsi="宋体" w:cs="仿宋"/>
                <w:color w:val="auto"/>
                <w:szCs w:val="21"/>
                <w:lang w:eastAsia="zh-CN"/>
              </w:rPr>
              <w:t>、</w:t>
            </w:r>
            <w:r>
              <w:rPr>
                <w:rFonts w:hint="eastAsia" w:ascii="宋体" w:hAnsi="宋体" w:cs="仿宋"/>
                <w:color w:val="auto"/>
                <w:szCs w:val="21"/>
              </w:rPr>
              <w:t>林业高级职称</w:t>
            </w:r>
            <w:r>
              <w:rPr>
                <w:rFonts w:hint="eastAsia" w:ascii="宋体" w:hAnsi="宋体" w:cs="仿宋"/>
                <w:color w:val="auto"/>
                <w:szCs w:val="21"/>
                <w:lang w:eastAsia="zh-CN"/>
              </w:rPr>
              <w:t>、</w:t>
            </w:r>
            <w:r>
              <w:rPr>
                <w:rFonts w:hint="eastAsia" w:ascii="宋体" w:hAnsi="宋体" w:cs="仿宋"/>
                <w:color w:val="auto"/>
                <w:szCs w:val="21"/>
              </w:rPr>
              <w:t>注册测绘师证书</w:t>
            </w:r>
            <w:r>
              <w:rPr>
                <w:rFonts w:hint="eastAsia" w:ascii="宋体" w:hAnsi="宋体" w:cs="仿宋"/>
                <w:color w:val="auto"/>
                <w:szCs w:val="21"/>
                <w:lang w:eastAsia="zh-CN"/>
              </w:rPr>
              <w:t>，</w:t>
            </w:r>
            <w:r>
              <w:rPr>
                <w:rFonts w:hint="eastAsia" w:ascii="宋体" w:hAnsi="宋体" w:eastAsia="宋体" w:cs="仿宋"/>
                <w:color w:val="auto"/>
                <w:szCs w:val="21"/>
              </w:rPr>
              <w:t>有一个得</w:t>
            </w:r>
            <w:r>
              <w:rPr>
                <w:rFonts w:hint="eastAsia" w:ascii="宋体" w:hAnsi="宋体" w:cs="仿宋"/>
                <w:color w:val="auto"/>
                <w:szCs w:val="21"/>
                <w:lang w:val="en-US" w:eastAsia="zh-CN"/>
              </w:rPr>
              <w:t>3</w:t>
            </w:r>
            <w:r>
              <w:rPr>
                <w:rFonts w:hint="eastAsia" w:ascii="宋体" w:hAnsi="宋体" w:eastAsia="宋体" w:cs="仿宋"/>
                <w:color w:val="auto"/>
                <w:szCs w:val="21"/>
              </w:rPr>
              <w:t xml:space="preserve"> 分，最高得</w:t>
            </w:r>
            <w:r>
              <w:rPr>
                <w:rFonts w:hint="eastAsia" w:ascii="宋体" w:hAnsi="宋体" w:cs="仿宋"/>
                <w:color w:val="auto"/>
                <w:szCs w:val="21"/>
                <w:lang w:val="en-US" w:eastAsia="zh-CN"/>
              </w:rPr>
              <w:t>9</w:t>
            </w:r>
            <w:r>
              <w:rPr>
                <w:rFonts w:hint="eastAsia" w:ascii="宋体" w:hAnsi="宋体" w:eastAsia="宋体" w:cs="仿宋"/>
                <w:color w:val="auto"/>
                <w:szCs w:val="21"/>
              </w:rPr>
              <w:t>分。</w:t>
            </w:r>
          </w:p>
          <w:p w14:paraId="7677F015">
            <w:pPr>
              <w:keepNext w:val="0"/>
              <w:keepLines w:val="0"/>
              <w:pageBreakBefore w:val="0"/>
              <w:widowControl/>
              <w:spacing w:after="0" w:line="320" w:lineRule="exact"/>
              <w:ind w:firstLine="420"/>
              <w:rPr>
                <w:rFonts w:hint="eastAsia" w:ascii="宋体" w:hAnsi="宋体" w:eastAsia="宋体" w:cs="仿宋"/>
                <w:color w:val="auto"/>
                <w:szCs w:val="21"/>
              </w:rPr>
            </w:pPr>
            <w:r>
              <w:rPr>
                <w:rFonts w:hint="eastAsia" w:ascii="宋体" w:hAnsi="宋体" w:eastAsia="宋体" w:cs="仿宋"/>
                <w:color w:val="auto"/>
                <w:szCs w:val="21"/>
              </w:rPr>
              <w:t>2、技术负责人</w:t>
            </w:r>
          </w:p>
          <w:p w14:paraId="0A19800B">
            <w:pPr>
              <w:keepNext w:val="0"/>
              <w:keepLines w:val="0"/>
              <w:pageBreakBefore w:val="0"/>
              <w:widowControl/>
              <w:spacing w:after="0" w:line="320" w:lineRule="exact"/>
              <w:ind w:firstLine="420"/>
              <w:rPr>
                <w:rFonts w:hint="eastAsia" w:ascii="宋体" w:hAnsi="宋体" w:eastAsia="宋体" w:cs="仿宋"/>
                <w:color w:val="auto"/>
                <w:szCs w:val="21"/>
              </w:rPr>
            </w:pPr>
            <w:r>
              <w:rPr>
                <w:rFonts w:hint="eastAsia" w:ascii="宋体" w:hAnsi="宋体" w:eastAsia="宋体" w:cs="仿宋"/>
                <w:color w:val="auto"/>
                <w:szCs w:val="21"/>
              </w:rPr>
              <w:t>具有测绘高级技术职称</w:t>
            </w:r>
            <w:r>
              <w:rPr>
                <w:rFonts w:hint="eastAsia" w:ascii="宋体" w:hAnsi="宋体" w:cs="仿宋"/>
                <w:color w:val="auto"/>
                <w:szCs w:val="21"/>
                <w:lang w:eastAsia="zh-CN"/>
              </w:rPr>
              <w:t>、</w:t>
            </w:r>
            <w:r>
              <w:rPr>
                <w:rFonts w:hint="eastAsia" w:ascii="宋体" w:hAnsi="宋体" w:eastAsia="宋体" w:cs="仿宋"/>
                <w:color w:val="auto"/>
                <w:szCs w:val="21"/>
                <w:lang w:val="en-US" w:eastAsia="zh-CN"/>
              </w:rPr>
              <w:t>土地</w:t>
            </w:r>
            <w:r>
              <w:rPr>
                <w:rFonts w:hint="eastAsia" w:ascii="宋体" w:hAnsi="宋体" w:eastAsia="宋体" w:cs="仿宋"/>
                <w:color w:val="auto"/>
                <w:szCs w:val="21"/>
              </w:rPr>
              <w:t>高级技术职称</w:t>
            </w:r>
            <w:r>
              <w:rPr>
                <w:rFonts w:hint="eastAsia" w:ascii="宋体" w:hAnsi="宋体" w:cs="仿宋"/>
                <w:color w:val="auto"/>
                <w:szCs w:val="21"/>
                <w:lang w:eastAsia="zh-CN"/>
              </w:rPr>
              <w:t>、</w:t>
            </w:r>
            <w:r>
              <w:rPr>
                <w:rFonts w:hint="eastAsia" w:ascii="宋体" w:hAnsi="宋体" w:eastAsia="宋体" w:cs="仿宋"/>
                <w:color w:val="auto"/>
                <w:szCs w:val="21"/>
                <w:lang w:val="en-US" w:eastAsia="zh-CN"/>
              </w:rPr>
              <w:t>电子信息</w:t>
            </w:r>
            <w:r>
              <w:rPr>
                <w:rFonts w:hint="eastAsia" w:ascii="宋体" w:hAnsi="宋体" w:eastAsia="宋体" w:cs="仿宋"/>
                <w:color w:val="auto"/>
                <w:szCs w:val="21"/>
              </w:rPr>
              <w:t>高级技术职称</w:t>
            </w:r>
            <w:r>
              <w:rPr>
                <w:rFonts w:hint="eastAsia" w:ascii="宋体" w:hAnsi="宋体" w:cs="仿宋"/>
                <w:color w:val="auto"/>
                <w:szCs w:val="21"/>
                <w:lang w:eastAsia="zh-CN"/>
              </w:rPr>
              <w:t>、</w:t>
            </w:r>
            <w:r>
              <w:rPr>
                <w:rFonts w:hint="eastAsia" w:ascii="宋体" w:hAnsi="宋体" w:cs="仿宋"/>
                <w:color w:val="auto"/>
                <w:szCs w:val="21"/>
              </w:rPr>
              <w:t>注册</w:t>
            </w:r>
            <w:r>
              <w:rPr>
                <w:rFonts w:hint="eastAsia" w:ascii="宋体" w:hAnsi="宋体" w:eastAsia="宋体" w:cs="仿宋"/>
                <w:color w:val="auto"/>
                <w:szCs w:val="21"/>
              </w:rPr>
              <w:t>测绘师证书</w:t>
            </w:r>
            <w:r>
              <w:rPr>
                <w:rFonts w:hint="eastAsia" w:ascii="宋体" w:hAnsi="宋体" w:cs="仿宋"/>
                <w:color w:val="auto"/>
                <w:szCs w:val="21"/>
                <w:lang w:eastAsia="zh-CN"/>
              </w:rPr>
              <w:t>，</w:t>
            </w:r>
            <w:r>
              <w:rPr>
                <w:rFonts w:hint="eastAsia" w:ascii="宋体" w:hAnsi="宋体" w:eastAsia="宋体" w:cs="仿宋"/>
                <w:color w:val="auto"/>
                <w:szCs w:val="21"/>
              </w:rPr>
              <w:t>有一个得</w:t>
            </w:r>
            <w:r>
              <w:rPr>
                <w:rFonts w:hint="eastAsia" w:ascii="宋体" w:hAnsi="宋体" w:cs="仿宋"/>
                <w:color w:val="auto"/>
                <w:szCs w:val="21"/>
                <w:lang w:val="en-US" w:eastAsia="zh-CN"/>
              </w:rPr>
              <w:t>2</w:t>
            </w:r>
            <w:r>
              <w:rPr>
                <w:rFonts w:hint="eastAsia" w:ascii="宋体" w:hAnsi="宋体" w:eastAsia="宋体" w:cs="仿宋"/>
                <w:color w:val="auto"/>
                <w:szCs w:val="21"/>
              </w:rPr>
              <w:t>分，最高得</w:t>
            </w:r>
            <w:r>
              <w:rPr>
                <w:rFonts w:hint="eastAsia" w:ascii="宋体" w:hAnsi="宋体" w:cs="仿宋"/>
                <w:color w:val="auto"/>
                <w:szCs w:val="21"/>
                <w:lang w:val="en-US" w:eastAsia="zh-CN"/>
              </w:rPr>
              <w:t>8</w:t>
            </w:r>
            <w:r>
              <w:rPr>
                <w:rFonts w:hint="eastAsia" w:ascii="宋体" w:hAnsi="宋体" w:eastAsia="宋体" w:cs="仿宋"/>
                <w:color w:val="auto"/>
                <w:szCs w:val="21"/>
              </w:rPr>
              <w:t>分。</w:t>
            </w:r>
          </w:p>
          <w:p w14:paraId="60995610">
            <w:pPr>
              <w:keepNext w:val="0"/>
              <w:keepLines w:val="0"/>
              <w:pageBreakBefore w:val="0"/>
              <w:widowControl/>
              <w:spacing w:after="0" w:line="320" w:lineRule="exact"/>
              <w:ind w:firstLine="420"/>
              <w:rPr>
                <w:rFonts w:hint="eastAsia" w:ascii="宋体" w:hAnsi="宋体" w:eastAsia="宋体" w:cs="仿宋"/>
                <w:color w:val="auto"/>
                <w:szCs w:val="21"/>
              </w:rPr>
            </w:pPr>
            <w:r>
              <w:rPr>
                <w:rFonts w:hint="eastAsia" w:ascii="宋体" w:hAnsi="宋体" w:eastAsia="宋体" w:cs="仿宋"/>
                <w:color w:val="auto"/>
                <w:szCs w:val="21"/>
              </w:rPr>
              <w:t>3、质量负责人</w:t>
            </w:r>
          </w:p>
          <w:p w14:paraId="44758089">
            <w:pPr>
              <w:keepNext w:val="0"/>
              <w:keepLines w:val="0"/>
              <w:pageBreakBefore w:val="0"/>
              <w:widowControl/>
              <w:spacing w:after="0" w:line="320" w:lineRule="exact"/>
              <w:ind w:firstLine="420"/>
              <w:rPr>
                <w:rFonts w:hint="eastAsia" w:ascii="宋体" w:hAnsi="宋体" w:eastAsia="宋体" w:cs="仿宋"/>
                <w:color w:val="auto"/>
                <w:szCs w:val="21"/>
              </w:rPr>
            </w:pPr>
            <w:r>
              <w:rPr>
                <w:rFonts w:hint="eastAsia" w:ascii="宋体" w:hAnsi="宋体" w:eastAsia="宋体" w:cs="仿宋"/>
                <w:color w:val="auto"/>
                <w:szCs w:val="21"/>
              </w:rPr>
              <w:t>具有测绘高级技术职称</w:t>
            </w:r>
            <w:r>
              <w:rPr>
                <w:rFonts w:hint="eastAsia" w:ascii="宋体" w:hAnsi="宋体" w:cs="仿宋"/>
                <w:color w:val="auto"/>
                <w:szCs w:val="21"/>
                <w:lang w:eastAsia="zh-CN"/>
              </w:rPr>
              <w:t>、</w:t>
            </w:r>
            <w:r>
              <w:rPr>
                <w:rFonts w:hint="eastAsia" w:ascii="宋体" w:hAnsi="宋体" w:eastAsia="宋体" w:cs="仿宋"/>
                <w:color w:val="auto"/>
                <w:szCs w:val="21"/>
                <w:lang w:val="en-US" w:eastAsia="zh-CN"/>
              </w:rPr>
              <w:t>土地</w:t>
            </w:r>
            <w:r>
              <w:rPr>
                <w:rFonts w:hint="eastAsia" w:ascii="宋体" w:hAnsi="宋体" w:eastAsia="宋体" w:cs="仿宋"/>
                <w:color w:val="auto"/>
                <w:szCs w:val="21"/>
              </w:rPr>
              <w:t>高级技术职称</w:t>
            </w:r>
            <w:r>
              <w:rPr>
                <w:rFonts w:hint="eastAsia" w:ascii="宋体" w:hAnsi="宋体" w:cs="仿宋"/>
                <w:color w:val="auto"/>
                <w:szCs w:val="21"/>
                <w:lang w:eastAsia="zh-CN"/>
              </w:rPr>
              <w:t>、</w:t>
            </w:r>
            <w:r>
              <w:rPr>
                <w:rFonts w:hint="eastAsia" w:ascii="宋体" w:hAnsi="宋体" w:eastAsia="宋体" w:cs="仿宋"/>
                <w:color w:val="auto"/>
                <w:szCs w:val="21"/>
              </w:rPr>
              <w:t>注册测绘师证书</w:t>
            </w:r>
            <w:r>
              <w:rPr>
                <w:rFonts w:hint="eastAsia" w:ascii="宋体" w:hAnsi="宋体" w:cs="仿宋"/>
                <w:color w:val="auto"/>
                <w:szCs w:val="21"/>
                <w:lang w:eastAsia="zh-CN"/>
              </w:rPr>
              <w:t>、</w:t>
            </w:r>
            <w:r>
              <w:rPr>
                <w:rFonts w:hint="eastAsia" w:ascii="宋体" w:hAnsi="宋体" w:eastAsia="宋体" w:cs="仿宋"/>
                <w:color w:val="auto"/>
                <w:szCs w:val="21"/>
              </w:rPr>
              <w:t>核心涉密人员保密培训证书</w:t>
            </w:r>
            <w:r>
              <w:rPr>
                <w:rFonts w:hint="eastAsia" w:ascii="宋体" w:hAnsi="宋体" w:cs="仿宋"/>
                <w:color w:val="auto"/>
                <w:szCs w:val="21"/>
                <w:lang w:eastAsia="zh-CN"/>
              </w:rPr>
              <w:t>，</w:t>
            </w:r>
            <w:r>
              <w:rPr>
                <w:rFonts w:hint="eastAsia" w:ascii="宋体" w:hAnsi="宋体" w:eastAsia="宋体" w:cs="仿宋"/>
                <w:color w:val="auto"/>
                <w:szCs w:val="21"/>
              </w:rPr>
              <w:t>有一个得</w:t>
            </w:r>
            <w:r>
              <w:rPr>
                <w:rFonts w:hint="eastAsia" w:ascii="宋体" w:hAnsi="宋体" w:cs="仿宋"/>
                <w:color w:val="auto"/>
                <w:szCs w:val="21"/>
                <w:lang w:val="en-US" w:eastAsia="zh-CN"/>
              </w:rPr>
              <w:t>2</w:t>
            </w:r>
            <w:r>
              <w:rPr>
                <w:rFonts w:hint="eastAsia" w:ascii="宋体" w:hAnsi="宋体" w:eastAsia="宋体" w:cs="仿宋"/>
                <w:color w:val="auto"/>
                <w:szCs w:val="21"/>
              </w:rPr>
              <w:t>分，最高得</w:t>
            </w:r>
            <w:r>
              <w:rPr>
                <w:rFonts w:hint="eastAsia" w:ascii="宋体" w:hAnsi="宋体" w:cs="仿宋"/>
                <w:color w:val="auto"/>
                <w:szCs w:val="21"/>
                <w:lang w:val="en-US" w:eastAsia="zh-CN"/>
              </w:rPr>
              <w:t>8</w:t>
            </w:r>
            <w:r>
              <w:rPr>
                <w:rFonts w:hint="eastAsia" w:ascii="宋体" w:hAnsi="宋体" w:eastAsia="宋体" w:cs="仿宋"/>
                <w:color w:val="auto"/>
                <w:szCs w:val="21"/>
              </w:rPr>
              <w:t>分。</w:t>
            </w:r>
          </w:p>
          <w:p w14:paraId="51170DEC">
            <w:pPr>
              <w:keepNext w:val="0"/>
              <w:keepLines w:val="0"/>
              <w:pageBreakBefore w:val="0"/>
              <w:widowControl/>
              <w:spacing w:after="0" w:line="320" w:lineRule="exact"/>
              <w:ind w:firstLine="420"/>
              <w:rPr>
                <w:rFonts w:hint="default" w:ascii="宋体" w:hAnsi="宋体" w:eastAsia="宋体" w:cs="仿宋"/>
                <w:color w:val="auto"/>
                <w:szCs w:val="21"/>
                <w:lang w:val="en-US" w:eastAsia="zh-CN"/>
              </w:rPr>
            </w:pPr>
            <w:r>
              <w:rPr>
                <w:rFonts w:hint="eastAsia" w:ascii="宋体" w:hAnsi="宋体" w:eastAsia="宋体" w:cs="仿宋"/>
                <w:color w:val="auto"/>
                <w:szCs w:val="21"/>
                <w:lang w:val="en-US" w:eastAsia="zh-CN"/>
              </w:rPr>
              <w:t>4、项目组成员</w:t>
            </w:r>
          </w:p>
          <w:p w14:paraId="551875A2">
            <w:pPr>
              <w:keepNext w:val="0"/>
              <w:keepLines w:val="0"/>
              <w:pageBreakBefore w:val="0"/>
              <w:widowControl/>
              <w:spacing w:after="0" w:line="320" w:lineRule="exact"/>
              <w:ind w:firstLine="420"/>
              <w:rPr>
                <w:rFonts w:hint="eastAsia" w:ascii="宋体" w:hAnsi="宋体" w:eastAsia="宋体" w:cs="仿宋"/>
                <w:color w:val="auto"/>
                <w:szCs w:val="21"/>
              </w:rPr>
            </w:pPr>
            <w:r>
              <w:rPr>
                <w:rFonts w:hint="eastAsia" w:ascii="宋体" w:hAnsi="宋体" w:eastAsia="宋体" w:cs="仿宋"/>
                <w:color w:val="auto"/>
                <w:szCs w:val="21"/>
              </w:rPr>
              <w:t>①拟投入本项目的数据档案专人具有</w:t>
            </w:r>
            <w:r>
              <w:rPr>
                <w:rFonts w:hint="eastAsia" w:ascii="宋体" w:hAnsi="宋体" w:eastAsia="宋体" w:cs="仿宋"/>
                <w:color w:val="auto"/>
                <w:szCs w:val="21"/>
                <w:lang w:val="en-US" w:eastAsia="zh-CN"/>
              </w:rPr>
              <w:t>中级</w:t>
            </w:r>
            <w:r>
              <w:rPr>
                <w:rFonts w:hint="eastAsia" w:ascii="宋体" w:hAnsi="宋体" w:eastAsia="宋体" w:cs="仿宋"/>
                <w:color w:val="auto"/>
                <w:szCs w:val="21"/>
              </w:rPr>
              <w:t>及以上职称</w:t>
            </w:r>
            <w:r>
              <w:rPr>
                <w:rFonts w:hint="eastAsia" w:ascii="宋体" w:hAnsi="宋体" w:cs="仿宋"/>
                <w:color w:val="auto"/>
                <w:szCs w:val="21"/>
                <w:lang w:val="en-US" w:eastAsia="zh-CN"/>
              </w:rPr>
              <w:t>的得1分</w:t>
            </w:r>
            <w:r>
              <w:rPr>
                <w:rFonts w:hint="eastAsia" w:ascii="宋体" w:hAnsi="宋体" w:eastAsia="宋体" w:cs="仿宋"/>
                <w:color w:val="auto"/>
                <w:szCs w:val="21"/>
              </w:rPr>
              <w:t>、</w:t>
            </w:r>
            <w:r>
              <w:rPr>
                <w:rFonts w:hint="eastAsia" w:ascii="宋体" w:hAnsi="宋体" w:cs="仿宋"/>
                <w:color w:val="auto"/>
                <w:szCs w:val="21"/>
                <w:lang w:val="en-US" w:eastAsia="zh-CN"/>
              </w:rPr>
              <w:t>具有</w:t>
            </w:r>
            <w:r>
              <w:rPr>
                <w:rFonts w:hint="eastAsia" w:ascii="宋体" w:hAnsi="宋体" w:eastAsia="宋体" w:cs="仿宋"/>
                <w:color w:val="auto"/>
                <w:szCs w:val="21"/>
              </w:rPr>
              <w:t>档案人员教育上岗培训合格证书的得1 分，最高得</w:t>
            </w:r>
            <w:r>
              <w:rPr>
                <w:rFonts w:hint="eastAsia" w:ascii="宋体" w:hAnsi="宋体" w:cs="仿宋"/>
                <w:color w:val="auto"/>
                <w:szCs w:val="21"/>
                <w:lang w:val="en-US" w:eastAsia="zh-CN"/>
              </w:rPr>
              <w:t>2</w:t>
            </w:r>
            <w:r>
              <w:rPr>
                <w:rFonts w:hint="eastAsia" w:ascii="宋体" w:hAnsi="宋体" w:eastAsia="宋体" w:cs="仿宋"/>
                <w:color w:val="auto"/>
                <w:szCs w:val="21"/>
              </w:rPr>
              <w:t>分。</w:t>
            </w:r>
          </w:p>
          <w:p w14:paraId="26F5A09A">
            <w:pPr>
              <w:keepNext w:val="0"/>
              <w:keepLines w:val="0"/>
              <w:pageBreakBefore w:val="0"/>
              <w:widowControl/>
              <w:spacing w:after="0" w:line="320" w:lineRule="exact"/>
              <w:ind w:firstLine="420"/>
              <w:rPr>
                <w:rFonts w:hint="eastAsia" w:ascii="宋体" w:hAnsi="宋体" w:eastAsia="宋体" w:cs="仿宋"/>
                <w:color w:val="auto"/>
                <w:szCs w:val="21"/>
              </w:rPr>
            </w:pPr>
            <w:r>
              <w:rPr>
                <w:rFonts w:hint="eastAsia" w:ascii="宋体" w:hAnsi="宋体" w:eastAsia="宋体" w:cs="仿宋"/>
                <w:color w:val="auto"/>
                <w:szCs w:val="21"/>
              </w:rPr>
              <w:t>②拟投入本项目的其他技术人员（除项目负责人、技术负责人、</w:t>
            </w:r>
            <w:r>
              <w:rPr>
                <w:rFonts w:hint="eastAsia" w:ascii="宋体" w:hAnsi="宋体" w:eastAsia="宋体" w:cs="仿宋"/>
                <w:color w:val="auto"/>
                <w:szCs w:val="21"/>
                <w:lang w:val="en-US" w:eastAsia="zh-CN"/>
              </w:rPr>
              <w:t>质量负责人、</w:t>
            </w:r>
            <w:r>
              <w:rPr>
                <w:rFonts w:hint="eastAsia" w:ascii="宋体" w:hAnsi="宋体" w:eastAsia="宋体" w:cs="仿宋"/>
                <w:color w:val="auto"/>
                <w:szCs w:val="21"/>
              </w:rPr>
              <w:t>数据档案专人外），</w:t>
            </w:r>
            <w:r>
              <w:rPr>
                <w:rFonts w:hint="eastAsia" w:ascii="宋体" w:hAnsi="宋体" w:eastAsia="宋体" w:cs="仿宋"/>
                <w:color w:val="auto"/>
                <w:szCs w:val="21"/>
                <w:lang w:val="en-US" w:eastAsia="zh-CN"/>
              </w:rPr>
              <w:t>具有测绘中级及以上职称</w:t>
            </w:r>
            <w:r>
              <w:rPr>
                <w:rFonts w:hint="eastAsia" w:ascii="宋体" w:hAnsi="宋体" w:cs="仿宋"/>
                <w:color w:val="auto"/>
                <w:szCs w:val="21"/>
                <w:lang w:val="en-US" w:eastAsia="zh-CN"/>
              </w:rPr>
              <w:t>的，每有一人得1分；具有</w:t>
            </w:r>
            <w:r>
              <w:rPr>
                <w:rFonts w:hint="eastAsia" w:ascii="宋体" w:hAnsi="宋体" w:eastAsia="宋体" w:cs="仿宋"/>
                <w:color w:val="auto"/>
                <w:szCs w:val="21"/>
                <w:lang w:val="en-US" w:eastAsia="zh-CN"/>
              </w:rPr>
              <w:t>林业中级及以上职称</w:t>
            </w:r>
            <w:r>
              <w:rPr>
                <w:rFonts w:hint="eastAsia" w:ascii="宋体" w:hAnsi="宋体" w:cs="仿宋"/>
                <w:color w:val="auto"/>
                <w:szCs w:val="21"/>
                <w:lang w:val="en-US" w:eastAsia="zh-CN"/>
              </w:rPr>
              <w:t>的，每有一人得1分</w:t>
            </w:r>
            <w:r>
              <w:rPr>
                <w:rFonts w:hint="eastAsia" w:ascii="宋体" w:hAnsi="宋体" w:eastAsia="宋体" w:cs="仿宋"/>
                <w:color w:val="auto"/>
                <w:szCs w:val="21"/>
              </w:rPr>
              <w:t>，最高得4分。</w:t>
            </w:r>
          </w:p>
          <w:p w14:paraId="03C2F433">
            <w:pPr>
              <w:keepNext w:val="0"/>
              <w:keepLines w:val="0"/>
              <w:pageBreakBefore w:val="0"/>
              <w:widowControl/>
              <w:spacing w:after="0" w:line="320" w:lineRule="exact"/>
              <w:ind w:firstLine="420"/>
              <w:rPr>
                <w:rFonts w:ascii="宋体" w:hAnsi="宋体" w:cs="仿宋"/>
                <w:color w:val="auto"/>
                <w:szCs w:val="21"/>
              </w:rPr>
            </w:pPr>
            <w:r>
              <w:rPr>
                <w:rFonts w:hint="eastAsia" w:ascii="宋体" w:hAnsi="宋体" w:eastAsia="宋体" w:cs="仿宋"/>
                <w:color w:val="auto"/>
                <w:szCs w:val="21"/>
              </w:rPr>
              <w:t>备注：拟派项目负责人、技术负责人、质量负责人均为投标供应商在职员工，</w:t>
            </w:r>
            <w:r>
              <w:rPr>
                <w:rFonts w:hint="eastAsia" w:ascii="宋体" w:hAnsi="宋体" w:cs="仿宋"/>
                <w:color w:val="auto"/>
                <w:szCs w:val="21"/>
                <w:lang w:val="en-US" w:eastAsia="zh-CN"/>
              </w:rPr>
              <w:t>且</w:t>
            </w:r>
            <w:r>
              <w:rPr>
                <w:rFonts w:hint="eastAsia" w:ascii="宋体" w:hAnsi="宋体" w:eastAsia="宋体" w:cs="仿宋"/>
                <w:color w:val="auto"/>
                <w:szCs w:val="21"/>
              </w:rPr>
              <w:t>与</w:t>
            </w:r>
            <w:r>
              <w:rPr>
                <w:rFonts w:hint="eastAsia" w:ascii="宋体" w:hAnsi="宋体" w:cs="仿宋"/>
                <w:color w:val="auto"/>
                <w:szCs w:val="21"/>
                <w:lang w:val="en-US" w:eastAsia="zh-CN"/>
              </w:rPr>
              <w:t>项目组成员</w:t>
            </w:r>
            <w:r>
              <w:rPr>
                <w:rFonts w:hint="eastAsia" w:ascii="宋体" w:hAnsi="宋体" w:eastAsia="宋体" w:cs="仿宋"/>
                <w:color w:val="auto"/>
                <w:szCs w:val="21"/>
              </w:rPr>
              <w:t>不得</w:t>
            </w:r>
            <w:r>
              <w:rPr>
                <w:rFonts w:hint="eastAsia" w:ascii="宋体" w:hAnsi="宋体" w:cs="仿宋"/>
                <w:color w:val="auto"/>
                <w:szCs w:val="21"/>
                <w:lang w:val="en-US" w:eastAsia="zh-CN"/>
              </w:rPr>
              <w:t>重复。</w:t>
            </w:r>
            <w:r>
              <w:rPr>
                <w:rFonts w:hint="eastAsia" w:ascii="宋体" w:hAnsi="宋体" w:eastAsia="宋体" w:cs="仿宋"/>
                <w:color w:val="auto"/>
                <w:szCs w:val="21"/>
              </w:rPr>
              <w:t>提供投标单位</w:t>
            </w:r>
            <w:r>
              <w:rPr>
                <w:rFonts w:hint="eastAsia" w:ascii="宋体" w:hAnsi="宋体" w:cs="仿宋"/>
                <w:color w:val="auto"/>
                <w:szCs w:val="21"/>
                <w:lang w:val="en-US" w:eastAsia="zh-CN"/>
              </w:rPr>
              <w:t>2026年4月份（含）以来任意一个月</w:t>
            </w:r>
            <w:r>
              <w:rPr>
                <w:rFonts w:hint="eastAsia" w:ascii="宋体" w:hAnsi="宋体" w:eastAsia="宋体" w:cs="仿宋"/>
                <w:color w:val="auto"/>
                <w:szCs w:val="21"/>
              </w:rPr>
              <w:t>为其缴纳社保的证明</w:t>
            </w:r>
            <w:r>
              <w:rPr>
                <w:rFonts w:hint="eastAsia" w:ascii="宋体" w:hAnsi="宋体" w:cs="仿宋"/>
                <w:color w:val="auto"/>
                <w:szCs w:val="21"/>
                <w:lang w:val="en-US" w:eastAsia="zh-CN"/>
              </w:rPr>
              <w:t>扫描</w:t>
            </w:r>
            <w:r>
              <w:rPr>
                <w:rFonts w:hint="eastAsia" w:ascii="宋体" w:hAnsi="宋体" w:eastAsia="宋体" w:cs="仿宋"/>
                <w:color w:val="auto"/>
                <w:szCs w:val="21"/>
              </w:rPr>
              <w:t>件加盖公章，同时提供上述得分项证明材料</w:t>
            </w:r>
            <w:r>
              <w:rPr>
                <w:rFonts w:hint="eastAsia" w:ascii="宋体" w:hAnsi="宋体" w:cs="仿宋"/>
                <w:color w:val="auto"/>
                <w:szCs w:val="21"/>
                <w:lang w:val="en-US" w:eastAsia="zh-CN"/>
              </w:rPr>
              <w:t>扫描</w:t>
            </w:r>
            <w:r>
              <w:rPr>
                <w:rFonts w:hint="eastAsia" w:ascii="宋体" w:hAnsi="宋体" w:eastAsia="宋体" w:cs="仿宋"/>
                <w:color w:val="auto"/>
                <w:szCs w:val="21"/>
              </w:rPr>
              <w:t>件加盖公章，制作进入投标文件，未提供或未按要求提供的均不得分。</w:t>
            </w:r>
          </w:p>
        </w:tc>
      </w:tr>
      <w:tr w14:paraId="2A0D1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50" w:hRule="atLeast"/>
          <w:jc w:val="center"/>
        </w:trPr>
        <w:tc>
          <w:tcPr>
            <w:tcW w:w="1291" w:type="dxa"/>
            <w:vMerge w:val="restart"/>
            <w:noWrap w:val="0"/>
            <w:vAlign w:val="center"/>
          </w:tcPr>
          <w:p w14:paraId="53B7C2A1">
            <w:pPr>
              <w:widowControl/>
              <w:spacing w:line="320" w:lineRule="exact"/>
              <w:jc w:val="center"/>
              <w:rPr>
                <w:rFonts w:ascii="宋体" w:hAnsi="宋体" w:cs="仿宋"/>
                <w:color w:val="auto"/>
                <w:szCs w:val="21"/>
              </w:rPr>
            </w:pPr>
            <w:r>
              <w:rPr>
                <w:rFonts w:hint="eastAsia" w:ascii="宋体" w:hAnsi="宋体" w:cs="仿宋"/>
                <w:color w:val="auto"/>
                <w:szCs w:val="21"/>
              </w:rPr>
              <w:t>技术部分（3</w:t>
            </w:r>
            <w:r>
              <w:rPr>
                <w:rFonts w:hint="eastAsia" w:ascii="宋体" w:hAnsi="宋体" w:cs="仿宋"/>
                <w:color w:val="auto"/>
                <w:szCs w:val="21"/>
                <w:lang w:val="en-US" w:eastAsia="zh-CN"/>
              </w:rPr>
              <w:t>1</w:t>
            </w:r>
            <w:r>
              <w:rPr>
                <w:rFonts w:hint="eastAsia" w:ascii="宋体" w:hAnsi="宋体" w:cs="仿宋"/>
                <w:color w:val="auto"/>
                <w:szCs w:val="21"/>
              </w:rPr>
              <w:t>分）</w:t>
            </w:r>
          </w:p>
        </w:tc>
        <w:tc>
          <w:tcPr>
            <w:tcW w:w="1295" w:type="dxa"/>
            <w:vMerge w:val="restart"/>
            <w:noWrap w:val="0"/>
            <w:vAlign w:val="center"/>
          </w:tcPr>
          <w:p w14:paraId="0F2DBFE3">
            <w:pPr>
              <w:widowControl/>
              <w:spacing w:line="320" w:lineRule="exact"/>
              <w:jc w:val="center"/>
              <w:rPr>
                <w:rFonts w:ascii="宋体" w:hAnsi="宋体" w:cs="仿宋"/>
                <w:color w:val="auto"/>
                <w:szCs w:val="21"/>
              </w:rPr>
            </w:pPr>
            <w:r>
              <w:rPr>
                <w:rFonts w:hint="eastAsia" w:ascii="宋体" w:hAnsi="宋体" w:cs="仿宋"/>
                <w:color w:val="auto"/>
                <w:szCs w:val="21"/>
              </w:rPr>
              <w:t>工作内容及技术方案评价</w:t>
            </w:r>
          </w:p>
        </w:tc>
        <w:tc>
          <w:tcPr>
            <w:tcW w:w="764" w:type="dxa"/>
            <w:vMerge w:val="restart"/>
            <w:noWrap w:val="0"/>
            <w:vAlign w:val="center"/>
          </w:tcPr>
          <w:p w14:paraId="13C1754C">
            <w:pPr>
              <w:widowControl/>
              <w:spacing w:line="320" w:lineRule="exact"/>
              <w:jc w:val="center"/>
              <w:rPr>
                <w:rFonts w:hint="eastAsia" w:ascii="宋体" w:hAnsi="宋体" w:eastAsia="宋体" w:cs="仿宋"/>
                <w:color w:val="auto"/>
                <w:szCs w:val="21"/>
                <w:lang w:eastAsia="zh-CN"/>
              </w:rPr>
            </w:pPr>
            <w:r>
              <w:rPr>
                <w:rFonts w:hint="eastAsia" w:ascii="宋体" w:hAnsi="宋体" w:cs="仿宋"/>
                <w:color w:val="auto"/>
                <w:szCs w:val="21"/>
              </w:rPr>
              <w:t>2</w:t>
            </w:r>
            <w:r>
              <w:rPr>
                <w:rFonts w:hint="eastAsia" w:ascii="宋体" w:hAnsi="宋体" w:cs="仿宋"/>
                <w:color w:val="auto"/>
                <w:szCs w:val="21"/>
                <w:lang w:val="en-US" w:eastAsia="zh-CN"/>
              </w:rPr>
              <w:t>7</w:t>
            </w:r>
          </w:p>
        </w:tc>
        <w:tc>
          <w:tcPr>
            <w:tcW w:w="6186" w:type="dxa"/>
            <w:noWrap w:val="0"/>
            <w:vAlign w:val="center"/>
          </w:tcPr>
          <w:p w14:paraId="4AF678DA">
            <w:pPr>
              <w:keepNext w:val="0"/>
              <w:keepLines w:val="0"/>
              <w:pageBreakBefore w:val="0"/>
              <w:widowControl/>
              <w:spacing w:after="0" w:line="320" w:lineRule="exact"/>
              <w:ind w:firstLine="420"/>
              <w:rPr>
                <w:rFonts w:hint="eastAsia" w:ascii="宋体" w:hAnsi="宋体" w:cs="仿宋"/>
                <w:color w:val="auto"/>
                <w:szCs w:val="21"/>
              </w:rPr>
            </w:pPr>
            <w:r>
              <w:rPr>
                <w:rFonts w:hint="eastAsia" w:ascii="宋体" w:hAnsi="宋体" w:cs="仿宋"/>
                <w:color w:val="auto"/>
                <w:szCs w:val="21"/>
                <w:lang w:val="en-US" w:eastAsia="zh-CN"/>
              </w:rPr>
              <w:t>1.</w:t>
            </w:r>
            <w:r>
              <w:rPr>
                <w:rFonts w:hint="eastAsia" w:ascii="宋体" w:hAnsi="宋体" w:cs="仿宋"/>
                <w:color w:val="auto"/>
                <w:szCs w:val="21"/>
              </w:rPr>
              <w:t>工作内容全面、工作任务明确。</w:t>
            </w:r>
          </w:p>
          <w:p w14:paraId="2F117A96">
            <w:pPr>
              <w:keepNext w:val="0"/>
              <w:keepLines w:val="0"/>
              <w:pageBreakBefore w:val="0"/>
              <w:widowControl/>
              <w:spacing w:after="0" w:line="320" w:lineRule="exact"/>
              <w:ind w:firstLine="420"/>
              <w:rPr>
                <w:rFonts w:ascii="宋体" w:hAnsi="宋体" w:cs="仿宋"/>
                <w:color w:val="auto"/>
                <w:szCs w:val="21"/>
              </w:rPr>
            </w:pPr>
            <w:r>
              <w:rPr>
                <w:rFonts w:hint="eastAsia" w:ascii="宋体" w:hAnsi="宋体" w:cs="仿宋"/>
                <w:color w:val="auto"/>
                <w:szCs w:val="21"/>
              </w:rPr>
              <w:t>工作内容全面、工作任务明确</w:t>
            </w:r>
            <w:r>
              <w:rPr>
                <w:rFonts w:hint="eastAsia" w:ascii="宋体" w:hAnsi="宋体" w:cs="仿宋"/>
                <w:color w:val="auto"/>
                <w:szCs w:val="21"/>
                <w:lang w:eastAsia="zh-CN"/>
              </w:rPr>
              <w:t>，</w:t>
            </w:r>
            <w:r>
              <w:rPr>
                <w:rFonts w:hint="eastAsia"/>
                <w:color w:val="auto"/>
                <w:lang w:val="en-US" w:eastAsia="zh-CN"/>
              </w:rPr>
              <w:t>优于采购需求</w:t>
            </w:r>
            <w:r>
              <w:rPr>
                <w:rFonts w:hint="eastAsia" w:ascii="宋体" w:hAnsi="宋体" w:cs="仿宋"/>
                <w:color w:val="auto"/>
                <w:szCs w:val="21"/>
              </w:rPr>
              <w:t>的，得5分；工作内容及工作任务</w:t>
            </w:r>
            <w:r>
              <w:rPr>
                <w:rFonts w:hint="eastAsia"/>
                <w:color w:val="auto"/>
                <w:lang w:val="en-US" w:eastAsia="zh-CN"/>
              </w:rPr>
              <w:t>满足采购需求的</w:t>
            </w:r>
            <w:r>
              <w:rPr>
                <w:rFonts w:hint="eastAsia" w:ascii="宋体" w:hAnsi="宋体" w:cs="仿宋"/>
                <w:color w:val="auto"/>
                <w:szCs w:val="21"/>
              </w:rPr>
              <w:t>，得3分；工作内容及工作任务</w:t>
            </w:r>
            <w:r>
              <w:rPr>
                <w:rFonts w:hint="eastAsia"/>
                <w:color w:val="auto"/>
                <w:lang w:val="en-US" w:eastAsia="zh-CN"/>
              </w:rPr>
              <w:t>有缺失但经过优化可以满足采购需求的</w:t>
            </w:r>
            <w:r>
              <w:rPr>
                <w:rFonts w:hint="eastAsia" w:ascii="宋体" w:hAnsi="宋体" w:cs="仿宋"/>
                <w:color w:val="auto"/>
                <w:szCs w:val="21"/>
              </w:rPr>
              <w:t>，得1分。</w:t>
            </w:r>
          </w:p>
        </w:tc>
      </w:tr>
      <w:tr w14:paraId="6ECDB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50" w:hRule="atLeast"/>
          <w:jc w:val="center"/>
        </w:trPr>
        <w:tc>
          <w:tcPr>
            <w:tcW w:w="1291" w:type="dxa"/>
            <w:vMerge w:val="continue"/>
            <w:noWrap w:val="0"/>
            <w:vAlign w:val="center"/>
          </w:tcPr>
          <w:p w14:paraId="5D279462">
            <w:pPr>
              <w:widowControl/>
              <w:spacing w:line="320" w:lineRule="exact"/>
              <w:ind w:firstLine="420"/>
              <w:rPr>
                <w:rFonts w:ascii="Calibri" w:hAnsi="Calibri"/>
                <w:color w:val="auto"/>
                <w:szCs w:val="22"/>
              </w:rPr>
            </w:pPr>
          </w:p>
        </w:tc>
        <w:tc>
          <w:tcPr>
            <w:tcW w:w="1295" w:type="dxa"/>
            <w:vMerge w:val="continue"/>
            <w:noWrap w:val="0"/>
            <w:vAlign w:val="center"/>
          </w:tcPr>
          <w:p w14:paraId="2FFCEF2B">
            <w:pPr>
              <w:widowControl/>
              <w:spacing w:line="320" w:lineRule="exact"/>
              <w:ind w:firstLine="420"/>
              <w:rPr>
                <w:rFonts w:ascii="Calibri" w:hAnsi="Calibri"/>
                <w:color w:val="auto"/>
                <w:szCs w:val="22"/>
              </w:rPr>
            </w:pPr>
          </w:p>
        </w:tc>
        <w:tc>
          <w:tcPr>
            <w:tcW w:w="764" w:type="dxa"/>
            <w:vMerge w:val="continue"/>
            <w:noWrap w:val="0"/>
            <w:vAlign w:val="center"/>
          </w:tcPr>
          <w:p w14:paraId="41D31C36">
            <w:pPr>
              <w:widowControl/>
              <w:spacing w:line="320" w:lineRule="exact"/>
              <w:ind w:firstLine="420"/>
              <w:rPr>
                <w:rFonts w:ascii="Calibri" w:hAnsi="Calibri"/>
                <w:color w:val="auto"/>
                <w:szCs w:val="22"/>
              </w:rPr>
            </w:pPr>
          </w:p>
        </w:tc>
        <w:tc>
          <w:tcPr>
            <w:tcW w:w="6186" w:type="dxa"/>
            <w:noWrap w:val="0"/>
            <w:vAlign w:val="center"/>
          </w:tcPr>
          <w:p w14:paraId="34ACFBB0">
            <w:pPr>
              <w:widowControl/>
              <w:spacing w:line="320" w:lineRule="exact"/>
              <w:ind w:firstLine="422"/>
              <w:rPr>
                <w:rFonts w:ascii="宋体" w:hAnsi="宋体" w:cs="仿宋"/>
                <w:color w:val="auto"/>
                <w:szCs w:val="21"/>
              </w:rPr>
            </w:pPr>
            <w:r>
              <w:rPr>
                <w:rFonts w:hint="eastAsia" w:ascii="宋体" w:hAnsi="宋体" w:cs="仿宋"/>
                <w:color w:val="auto"/>
                <w:szCs w:val="21"/>
              </w:rPr>
              <w:t>2.技术方案应切实可行。对项目服务内容、标准、要求及作业环境理解全面，技术方案对现有资料进行深入分析、作业流程清楚、作业依据和预期成果齐全、技术方案切实可行、合理，得5分；技术方案对现有资料分析、作业流程清楚、作业依据和预期成果齐全，得3分；技术方案分析、作业流程、作业依据和预期成果一般，得1分；未提供的不得分。</w:t>
            </w:r>
          </w:p>
        </w:tc>
      </w:tr>
      <w:tr w14:paraId="31F97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50" w:hRule="atLeast"/>
          <w:jc w:val="center"/>
        </w:trPr>
        <w:tc>
          <w:tcPr>
            <w:tcW w:w="1291" w:type="dxa"/>
            <w:vMerge w:val="continue"/>
            <w:noWrap w:val="0"/>
            <w:vAlign w:val="center"/>
          </w:tcPr>
          <w:p w14:paraId="0264CC54">
            <w:pPr>
              <w:widowControl/>
              <w:spacing w:line="320" w:lineRule="exact"/>
              <w:ind w:firstLine="420"/>
              <w:rPr>
                <w:rFonts w:ascii="宋体" w:hAnsi="宋体" w:cs="仿宋"/>
                <w:color w:val="auto"/>
                <w:szCs w:val="21"/>
              </w:rPr>
            </w:pPr>
          </w:p>
        </w:tc>
        <w:tc>
          <w:tcPr>
            <w:tcW w:w="1295" w:type="dxa"/>
            <w:vMerge w:val="continue"/>
            <w:noWrap w:val="0"/>
            <w:vAlign w:val="center"/>
          </w:tcPr>
          <w:p w14:paraId="4C4AE46B">
            <w:pPr>
              <w:widowControl/>
              <w:spacing w:line="320" w:lineRule="exact"/>
              <w:ind w:firstLine="420"/>
              <w:rPr>
                <w:rFonts w:ascii="宋体" w:hAnsi="宋体" w:cs="仿宋"/>
                <w:color w:val="auto"/>
                <w:szCs w:val="21"/>
              </w:rPr>
            </w:pPr>
          </w:p>
        </w:tc>
        <w:tc>
          <w:tcPr>
            <w:tcW w:w="764" w:type="dxa"/>
            <w:vMerge w:val="continue"/>
            <w:noWrap w:val="0"/>
            <w:vAlign w:val="center"/>
          </w:tcPr>
          <w:p w14:paraId="7CDB462A">
            <w:pPr>
              <w:widowControl/>
              <w:spacing w:line="320" w:lineRule="exact"/>
              <w:ind w:firstLine="420"/>
              <w:rPr>
                <w:rFonts w:ascii="宋体" w:hAnsi="宋体" w:cs="仿宋"/>
                <w:color w:val="auto"/>
                <w:szCs w:val="21"/>
              </w:rPr>
            </w:pPr>
          </w:p>
        </w:tc>
        <w:tc>
          <w:tcPr>
            <w:tcW w:w="6186" w:type="dxa"/>
            <w:noWrap w:val="0"/>
            <w:vAlign w:val="center"/>
          </w:tcPr>
          <w:p w14:paraId="53C57322">
            <w:pPr>
              <w:widowControl/>
              <w:shd w:val="clear" w:color="auto" w:fill="FFFFFF"/>
              <w:spacing w:line="320" w:lineRule="exact"/>
              <w:ind w:firstLine="422"/>
              <w:rPr>
                <w:rFonts w:ascii="宋体" w:hAnsi="宋体" w:cs="仿宋"/>
                <w:color w:val="auto"/>
                <w:szCs w:val="21"/>
              </w:rPr>
            </w:pPr>
            <w:r>
              <w:rPr>
                <w:rFonts w:hint="eastAsia" w:ascii="宋体" w:hAnsi="宋体" w:cs="仿宋"/>
                <w:b/>
                <w:bCs/>
                <w:color w:val="auto"/>
                <w:szCs w:val="21"/>
                <w:lang w:val="en-US" w:eastAsia="zh-CN"/>
              </w:rPr>
              <w:t>3.</w:t>
            </w:r>
            <w:r>
              <w:rPr>
                <w:rFonts w:hint="eastAsia" w:ascii="宋体" w:hAnsi="宋体" w:cs="仿宋"/>
                <w:color w:val="auto"/>
                <w:szCs w:val="21"/>
              </w:rPr>
              <w:t>质量保证措施全面、可行，质量检查内容全面，</w:t>
            </w:r>
            <w:r>
              <w:rPr>
                <w:rFonts w:hint="eastAsia"/>
                <w:color w:val="auto"/>
                <w:lang w:val="en-US" w:eastAsia="zh-CN"/>
              </w:rPr>
              <w:t>优于采购需求</w:t>
            </w:r>
            <w:r>
              <w:rPr>
                <w:rFonts w:hint="eastAsia" w:ascii="宋体" w:hAnsi="宋体" w:cs="仿宋"/>
                <w:color w:val="auto"/>
                <w:szCs w:val="21"/>
              </w:rPr>
              <w:t>的，得3分；质量保障措施、质量检查内容</w:t>
            </w:r>
            <w:r>
              <w:rPr>
                <w:rFonts w:hint="eastAsia"/>
                <w:color w:val="auto"/>
                <w:lang w:val="en-US" w:eastAsia="zh-CN"/>
              </w:rPr>
              <w:t>满足采购需求的</w:t>
            </w:r>
            <w:r>
              <w:rPr>
                <w:rFonts w:hint="eastAsia" w:ascii="宋体" w:hAnsi="宋体" w:cs="仿宋"/>
                <w:color w:val="auto"/>
                <w:szCs w:val="21"/>
              </w:rPr>
              <w:t>得2分；质量保障措施、质量检查内容</w:t>
            </w:r>
            <w:r>
              <w:rPr>
                <w:rFonts w:hint="eastAsia"/>
                <w:color w:val="auto"/>
                <w:lang w:val="en-US" w:eastAsia="zh-CN"/>
              </w:rPr>
              <w:t>有缺失但经过优化可以满足采购需求的</w:t>
            </w:r>
            <w:r>
              <w:rPr>
                <w:rFonts w:hint="eastAsia" w:ascii="宋体" w:hAnsi="宋体" w:cs="仿宋"/>
                <w:color w:val="auto"/>
                <w:szCs w:val="21"/>
              </w:rPr>
              <w:t>，得1分。</w:t>
            </w:r>
          </w:p>
        </w:tc>
      </w:tr>
      <w:tr w14:paraId="75394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50" w:hRule="atLeast"/>
          <w:jc w:val="center"/>
        </w:trPr>
        <w:tc>
          <w:tcPr>
            <w:tcW w:w="1291" w:type="dxa"/>
            <w:vMerge w:val="continue"/>
            <w:noWrap w:val="0"/>
            <w:vAlign w:val="center"/>
          </w:tcPr>
          <w:p w14:paraId="54097219">
            <w:pPr>
              <w:widowControl/>
              <w:spacing w:line="320" w:lineRule="exact"/>
              <w:ind w:firstLine="420"/>
              <w:rPr>
                <w:rFonts w:ascii="宋体" w:hAnsi="宋体" w:cs="仿宋"/>
                <w:color w:val="auto"/>
                <w:szCs w:val="21"/>
              </w:rPr>
            </w:pPr>
          </w:p>
        </w:tc>
        <w:tc>
          <w:tcPr>
            <w:tcW w:w="1295" w:type="dxa"/>
            <w:vMerge w:val="continue"/>
            <w:noWrap w:val="0"/>
            <w:vAlign w:val="center"/>
          </w:tcPr>
          <w:p w14:paraId="7CB417F1">
            <w:pPr>
              <w:widowControl/>
              <w:spacing w:line="320" w:lineRule="exact"/>
              <w:ind w:firstLine="420"/>
              <w:rPr>
                <w:rFonts w:ascii="宋体" w:hAnsi="宋体" w:cs="仿宋"/>
                <w:color w:val="auto"/>
                <w:szCs w:val="21"/>
              </w:rPr>
            </w:pPr>
          </w:p>
        </w:tc>
        <w:tc>
          <w:tcPr>
            <w:tcW w:w="764" w:type="dxa"/>
            <w:vMerge w:val="continue"/>
            <w:noWrap w:val="0"/>
            <w:vAlign w:val="center"/>
          </w:tcPr>
          <w:p w14:paraId="25185934">
            <w:pPr>
              <w:widowControl/>
              <w:spacing w:line="320" w:lineRule="exact"/>
              <w:ind w:firstLine="420"/>
              <w:rPr>
                <w:rFonts w:ascii="宋体" w:hAnsi="宋体" w:cs="仿宋"/>
                <w:color w:val="auto"/>
                <w:szCs w:val="21"/>
              </w:rPr>
            </w:pPr>
          </w:p>
        </w:tc>
        <w:tc>
          <w:tcPr>
            <w:tcW w:w="6186" w:type="dxa"/>
            <w:noWrap w:val="0"/>
            <w:vAlign w:val="center"/>
          </w:tcPr>
          <w:p w14:paraId="7A6FD200">
            <w:pPr>
              <w:keepNext w:val="0"/>
              <w:keepLines w:val="0"/>
              <w:pageBreakBefore w:val="0"/>
              <w:widowControl/>
              <w:spacing w:after="0" w:line="320" w:lineRule="exact"/>
              <w:ind w:firstLine="422"/>
              <w:rPr>
                <w:rFonts w:ascii="宋体" w:hAnsi="宋体" w:cs="仿宋"/>
                <w:color w:val="auto"/>
                <w:szCs w:val="21"/>
              </w:rPr>
            </w:pPr>
            <w:r>
              <w:rPr>
                <w:rFonts w:hint="eastAsia" w:ascii="宋体" w:hAnsi="宋体" w:cs="仿宋"/>
                <w:b/>
                <w:bCs/>
                <w:color w:val="auto"/>
                <w:szCs w:val="21"/>
                <w:lang w:val="en-US" w:eastAsia="zh-CN"/>
              </w:rPr>
              <w:t>4.</w:t>
            </w:r>
            <w:r>
              <w:rPr>
                <w:rFonts w:hint="eastAsia" w:ascii="宋体" w:hAnsi="宋体" w:cs="仿宋"/>
                <w:color w:val="auto"/>
                <w:szCs w:val="21"/>
              </w:rPr>
              <w:t xml:space="preserve">项目重点难点分析突出 </w:t>
            </w:r>
          </w:p>
          <w:p w14:paraId="7BDFFE0C">
            <w:pPr>
              <w:keepNext w:val="0"/>
              <w:keepLines w:val="0"/>
              <w:pageBreakBefore w:val="0"/>
              <w:widowControl/>
              <w:spacing w:after="0" w:line="320" w:lineRule="exact"/>
              <w:ind w:firstLine="420"/>
              <w:rPr>
                <w:rFonts w:ascii="宋体" w:hAnsi="宋体" w:cs="仿宋"/>
                <w:color w:val="auto"/>
                <w:szCs w:val="21"/>
              </w:rPr>
            </w:pPr>
            <w:r>
              <w:rPr>
                <w:rFonts w:hint="eastAsia" w:ascii="宋体" w:hAnsi="宋体" w:cs="仿宋"/>
                <w:color w:val="auto"/>
                <w:szCs w:val="21"/>
              </w:rPr>
              <w:t>重点、分析准确，重点难点分析应结合</w:t>
            </w:r>
            <w:r>
              <w:rPr>
                <w:rFonts w:hint="eastAsia" w:ascii="宋体" w:hAnsi="宋体" w:cs="仿宋"/>
                <w:color w:val="auto"/>
                <w:szCs w:val="21"/>
                <w:lang w:val="en-US" w:eastAsia="zh-CN"/>
              </w:rPr>
              <w:t>泗洪</w:t>
            </w:r>
            <w:r>
              <w:rPr>
                <w:rFonts w:hint="eastAsia" w:ascii="宋体" w:hAnsi="宋体" w:cs="仿宋"/>
                <w:color w:val="auto"/>
                <w:szCs w:val="21"/>
              </w:rPr>
              <w:t>实际情况，切实可行，得3分；项目重点难点</w:t>
            </w:r>
            <w:r>
              <w:rPr>
                <w:rFonts w:hint="eastAsia" w:ascii="宋体" w:hAnsi="宋体" w:cs="仿宋"/>
                <w:color w:val="auto"/>
                <w:szCs w:val="21"/>
                <w:lang w:eastAsia="zh-CN"/>
              </w:rPr>
              <w:t>分析</w:t>
            </w:r>
            <w:r>
              <w:rPr>
                <w:rFonts w:hint="eastAsia" w:ascii="宋体" w:hAnsi="宋体" w:cs="仿宋"/>
                <w:color w:val="auto"/>
                <w:szCs w:val="21"/>
              </w:rPr>
              <w:t>较突出，得2分；项目重点难点分析一般，得1分。</w:t>
            </w:r>
          </w:p>
        </w:tc>
      </w:tr>
      <w:tr w14:paraId="0C01B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5" w:hRule="atLeast"/>
          <w:jc w:val="center"/>
        </w:trPr>
        <w:tc>
          <w:tcPr>
            <w:tcW w:w="1291" w:type="dxa"/>
            <w:vMerge w:val="continue"/>
            <w:noWrap w:val="0"/>
            <w:vAlign w:val="center"/>
          </w:tcPr>
          <w:p w14:paraId="1319D155">
            <w:pPr>
              <w:widowControl/>
              <w:spacing w:line="320" w:lineRule="exact"/>
              <w:ind w:firstLine="420"/>
              <w:rPr>
                <w:rFonts w:ascii="宋体" w:hAnsi="宋体" w:cs="仿宋"/>
                <w:color w:val="auto"/>
                <w:szCs w:val="21"/>
              </w:rPr>
            </w:pPr>
          </w:p>
        </w:tc>
        <w:tc>
          <w:tcPr>
            <w:tcW w:w="1295" w:type="dxa"/>
            <w:vMerge w:val="continue"/>
            <w:noWrap w:val="0"/>
            <w:vAlign w:val="center"/>
          </w:tcPr>
          <w:p w14:paraId="6CB89092">
            <w:pPr>
              <w:widowControl/>
              <w:spacing w:line="320" w:lineRule="exact"/>
              <w:ind w:firstLine="420"/>
              <w:rPr>
                <w:rFonts w:ascii="宋体" w:hAnsi="宋体" w:cs="仿宋"/>
                <w:color w:val="auto"/>
                <w:szCs w:val="21"/>
              </w:rPr>
            </w:pPr>
          </w:p>
        </w:tc>
        <w:tc>
          <w:tcPr>
            <w:tcW w:w="764" w:type="dxa"/>
            <w:vMerge w:val="continue"/>
            <w:noWrap w:val="0"/>
            <w:vAlign w:val="center"/>
          </w:tcPr>
          <w:p w14:paraId="0DCB449A">
            <w:pPr>
              <w:widowControl/>
              <w:spacing w:line="320" w:lineRule="exact"/>
              <w:ind w:firstLine="420"/>
              <w:rPr>
                <w:rFonts w:ascii="宋体" w:hAnsi="宋体" w:cs="仿宋"/>
                <w:color w:val="auto"/>
                <w:szCs w:val="21"/>
              </w:rPr>
            </w:pPr>
          </w:p>
        </w:tc>
        <w:tc>
          <w:tcPr>
            <w:tcW w:w="6186" w:type="dxa"/>
            <w:noWrap w:val="0"/>
            <w:vAlign w:val="center"/>
          </w:tcPr>
          <w:p w14:paraId="792E9D84">
            <w:pPr>
              <w:keepNext w:val="0"/>
              <w:keepLines w:val="0"/>
              <w:pageBreakBefore w:val="0"/>
              <w:widowControl/>
              <w:spacing w:after="0" w:line="320" w:lineRule="exact"/>
              <w:ind w:firstLine="422"/>
              <w:rPr>
                <w:rFonts w:ascii="宋体" w:hAnsi="宋体" w:cs="仿宋"/>
                <w:color w:val="auto"/>
                <w:szCs w:val="21"/>
              </w:rPr>
            </w:pPr>
            <w:r>
              <w:rPr>
                <w:rFonts w:hint="eastAsia" w:ascii="宋体" w:hAnsi="宋体" w:cs="仿宋"/>
                <w:b/>
                <w:bCs/>
                <w:color w:val="auto"/>
                <w:szCs w:val="21"/>
                <w:lang w:val="en-US" w:eastAsia="zh-CN"/>
              </w:rPr>
              <w:t>5.</w:t>
            </w:r>
            <w:r>
              <w:rPr>
                <w:rFonts w:hint="eastAsia" w:ascii="宋体" w:hAnsi="宋体" w:cs="仿宋"/>
                <w:color w:val="auto"/>
                <w:szCs w:val="21"/>
              </w:rPr>
              <w:t>项目建议可行、全面并符合</w:t>
            </w:r>
            <w:r>
              <w:rPr>
                <w:rFonts w:hint="eastAsia" w:ascii="宋体" w:hAnsi="宋体" w:cs="仿宋"/>
                <w:color w:val="auto"/>
                <w:szCs w:val="21"/>
                <w:lang w:val="en-US" w:eastAsia="zh-CN"/>
              </w:rPr>
              <w:t>泗洪县</w:t>
            </w:r>
            <w:r>
              <w:rPr>
                <w:rFonts w:hint="eastAsia" w:ascii="宋体" w:hAnsi="宋体" w:cs="仿宋"/>
                <w:color w:val="auto"/>
                <w:szCs w:val="21"/>
              </w:rPr>
              <w:t>实际情况，得3分；项目建议可行、较全面，得1分。</w:t>
            </w:r>
          </w:p>
        </w:tc>
      </w:tr>
      <w:tr w14:paraId="5E227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3" w:hRule="atLeast"/>
          <w:jc w:val="center"/>
        </w:trPr>
        <w:tc>
          <w:tcPr>
            <w:tcW w:w="1291" w:type="dxa"/>
            <w:vMerge w:val="continue"/>
            <w:noWrap w:val="0"/>
            <w:vAlign w:val="center"/>
          </w:tcPr>
          <w:p w14:paraId="4D8B3684">
            <w:pPr>
              <w:widowControl/>
              <w:spacing w:line="320" w:lineRule="exact"/>
              <w:ind w:firstLine="420"/>
              <w:rPr>
                <w:rFonts w:ascii="宋体" w:hAnsi="宋体" w:cs="仿宋"/>
                <w:color w:val="auto"/>
                <w:szCs w:val="21"/>
              </w:rPr>
            </w:pPr>
          </w:p>
        </w:tc>
        <w:tc>
          <w:tcPr>
            <w:tcW w:w="1295" w:type="dxa"/>
            <w:vMerge w:val="continue"/>
            <w:noWrap w:val="0"/>
            <w:vAlign w:val="center"/>
          </w:tcPr>
          <w:p w14:paraId="0C5EF558">
            <w:pPr>
              <w:widowControl/>
              <w:spacing w:line="320" w:lineRule="exact"/>
              <w:ind w:firstLine="420"/>
              <w:rPr>
                <w:rFonts w:ascii="宋体" w:hAnsi="宋体" w:cs="仿宋"/>
                <w:color w:val="auto"/>
                <w:szCs w:val="21"/>
              </w:rPr>
            </w:pPr>
          </w:p>
        </w:tc>
        <w:tc>
          <w:tcPr>
            <w:tcW w:w="764" w:type="dxa"/>
            <w:vMerge w:val="continue"/>
            <w:noWrap w:val="0"/>
            <w:vAlign w:val="center"/>
          </w:tcPr>
          <w:p w14:paraId="15B3A060">
            <w:pPr>
              <w:widowControl/>
              <w:spacing w:line="320" w:lineRule="exact"/>
              <w:ind w:firstLine="420"/>
              <w:rPr>
                <w:rFonts w:ascii="宋体" w:hAnsi="宋体" w:cs="仿宋"/>
                <w:color w:val="auto"/>
                <w:szCs w:val="21"/>
              </w:rPr>
            </w:pPr>
          </w:p>
        </w:tc>
        <w:tc>
          <w:tcPr>
            <w:tcW w:w="6186" w:type="dxa"/>
            <w:noWrap w:val="0"/>
            <w:vAlign w:val="center"/>
          </w:tcPr>
          <w:p w14:paraId="01DE00A1">
            <w:pPr>
              <w:keepNext w:val="0"/>
              <w:keepLines w:val="0"/>
              <w:pageBreakBefore w:val="0"/>
              <w:widowControl/>
              <w:spacing w:after="0" w:line="320" w:lineRule="exact"/>
              <w:ind w:firstLine="422"/>
              <w:rPr>
                <w:rFonts w:ascii="宋体" w:hAnsi="宋体" w:cs="仿宋"/>
                <w:color w:val="auto"/>
                <w:szCs w:val="21"/>
              </w:rPr>
            </w:pPr>
            <w:r>
              <w:rPr>
                <w:rFonts w:hint="eastAsia" w:ascii="宋体" w:hAnsi="宋体" w:cs="仿宋"/>
                <w:b/>
                <w:bCs/>
                <w:color w:val="auto"/>
                <w:szCs w:val="21"/>
                <w:lang w:val="en-US" w:eastAsia="zh-CN"/>
              </w:rPr>
              <w:t>6.</w:t>
            </w:r>
            <w:r>
              <w:rPr>
                <w:rFonts w:hint="eastAsia" w:ascii="宋体" w:hAnsi="宋体" w:cs="仿宋"/>
                <w:color w:val="auto"/>
                <w:szCs w:val="21"/>
              </w:rPr>
              <w:t>项目实施方案考虑全面、切实可行，工作流程合理，得3分；项目实施方案考虑较全面，工作流程合理，得1分。</w:t>
            </w:r>
          </w:p>
        </w:tc>
      </w:tr>
      <w:tr w14:paraId="6E264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29" w:hRule="atLeast"/>
          <w:jc w:val="center"/>
        </w:trPr>
        <w:tc>
          <w:tcPr>
            <w:tcW w:w="1291" w:type="dxa"/>
            <w:vMerge w:val="continue"/>
            <w:noWrap w:val="0"/>
            <w:vAlign w:val="center"/>
          </w:tcPr>
          <w:p w14:paraId="1BA7621C">
            <w:pPr>
              <w:widowControl/>
              <w:spacing w:line="320" w:lineRule="exact"/>
              <w:ind w:firstLine="420"/>
              <w:rPr>
                <w:rFonts w:ascii="宋体" w:hAnsi="宋体" w:cs="仿宋"/>
                <w:color w:val="auto"/>
                <w:szCs w:val="21"/>
              </w:rPr>
            </w:pPr>
          </w:p>
        </w:tc>
        <w:tc>
          <w:tcPr>
            <w:tcW w:w="1295" w:type="dxa"/>
            <w:vMerge w:val="continue"/>
            <w:noWrap w:val="0"/>
            <w:vAlign w:val="center"/>
          </w:tcPr>
          <w:p w14:paraId="351418EE">
            <w:pPr>
              <w:widowControl/>
              <w:spacing w:line="320" w:lineRule="exact"/>
              <w:ind w:firstLine="420"/>
              <w:rPr>
                <w:rFonts w:ascii="宋体" w:hAnsi="宋体" w:cs="仿宋"/>
                <w:color w:val="auto"/>
                <w:szCs w:val="21"/>
              </w:rPr>
            </w:pPr>
          </w:p>
        </w:tc>
        <w:tc>
          <w:tcPr>
            <w:tcW w:w="764" w:type="dxa"/>
            <w:vMerge w:val="continue"/>
            <w:noWrap w:val="0"/>
            <w:vAlign w:val="center"/>
          </w:tcPr>
          <w:p w14:paraId="385A59F8">
            <w:pPr>
              <w:widowControl/>
              <w:spacing w:line="320" w:lineRule="exact"/>
              <w:ind w:firstLine="420"/>
              <w:rPr>
                <w:rFonts w:ascii="宋体" w:hAnsi="宋体" w:cs="仿宋"/>
                <w:color w:val="auto"/>
                <w:szCs w:val="21"/>
              </w:rPr>
            </w:pPr>
          </w:p>
        </w:tc>
        <w:tc>
          <w:tcPr>
            <w:tcW w:w="6186" w:type="dxa"/>
            <w:noWrap w:val="0"/>
            <w:vAlign w:val="center"/>
          </w:tcPr>
          <w:p w14:paraId="4A5525FD">
            <w:pPr>
              <w:keepNext w:val="0"/>
              <w:keepLines w:val="0"/>
              <w:pageBreakBefore w:val="0"/>
              <w:widowControl/>
              <w:spacing w:after="0" w:line="320" w:lineRule="exact"/>
              <w:ind w:firstLine="422"/>
              <w:rPr>
                <w:rFonts w:ascii="宋体" w:hAnsi="宋体" w:cs="仿宋"/>
                <w:color w:val="auto"/>
                <w:szCs w:val="21"/>
              </w:rPr>
            </w:pPr>
            <w:r>
              <w:rPr>
                <w:rFonts w:hint="eastAsia" w:ascii="宋体" w:hAnsi="宋体" w:cs="仿宋"/>
                <w:b/>
                <w:bCs/>
                <w:color w:val="auto"/>
                <w:szCs w:val="21"/>
                <w:lang w:val="en-US" w:eastAsia="zh-CN"/>
              </w:rPr>
              <w:t>7.</w:t>
            </w:r>
            <w:r>
              <w:rPr>
                <w:rFonts w:hint="eastAsia" w:ascii="宋体" w:hAnsi="宋体" w:cs="仿宋"/>
                <w:color w:val="auto"/>
                <w:szCs w:val="21"/>
              </w:rPr>
              <w:t>项目进度安排及进度控制科学合理、工期保障措施健全，得3分。项目进度安排及进度控制一般、工期保障措施较完善，得1分。</w:t>
            </w:r>
          </w:p>
        </w:tc>
      </w:tr>
      <w:tr w14:paraId="2C4F15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50" w:hRule="atLeast"/>
          <w:jc w:val="center"/>
        </w:trPr>
        <w:tc>
          <w:tcPr>
            <w:tcW w:w="1291" w:type="dxa"/>
            <w:vMerge w:val="continue"/>
            <w:noWrap w:val="0"/>
            <w:vAlign w:val="center"/>
          </w:tcPr>
          <w:p w14:paraId="248D4B2B">
            <w:pPr>
              <w:widowControl/>
              <w:spacing w:line="320" w:lineRule="exact"/>
              <w:ind w:firstLine="420"/>
              <w:rPr>
                <w:rFonts w:ascii="宋体" w:hAnsi="宋体" w:cs="仿宋"/>
                <w:color w:val="auto"/>
                <w:szCs w:val="21"/>
              </w:rPr>
            </w:pPr>
          </w:p>
        </w:tc>
        <w:tc>
          <w:tcPr>
            <w:tcW w:w="1295" w:type="dxa"/>
            <w:vMerge w:val="continue"/>
            <w:noWrap w:val="0"/>
            <w:vAlign w:val="center"/>
          </w:tcPr>
          <w:p w14:paraId="363D50D7">
            <w:pPr>
              <w:widowControl/>
              <w:spacing w:line="320" w:lineRule="exact"/>
              <w:ind w:firstLine="420"/>
              <w:rPr>
                <w:rFonts w:ascii="宋体" w:hAnsi="宋体" w:cs="仿宋"/>
                <w:color w:val="auto"/>
                <w:szCs w:val="21"/>
              </w:rPr>
            </w:pPr>
          </w:p>
        </w:tc>
        <w:tc>
          <w:tcPr>
            <w:tcW w:w="764" w:type="dxa"/>
            <w:vMerge w:val="continue"/>
            <w:noWrap w:val="0"/>
            <w:vAlign w:val="center"/>
          </w:tcPr>
          <w:p w14:paraId="16F05E5C">
            <w:pPr>
              <w:widowControl/>
              <w:spacing w:line="320" w:lineRule="exact"/>
              <w:ind w:firstLine="420"/>
              <w:rPr>
                <w:rFonts w:ascii="宋体" w:hAnsi="宋体" w:cs="仿宋"/>
                <w:color w:val="auto"/>
                <w:szCs w:val="21"/>
              </w:rPr>
            </w:pPr>
          </w:p>
        </w:tc>
        <w:tc>
          <w:tcPr>
            <w:tcW w:w="6186" w:type="dxa"/>
            <w:noWrap w:val="0"/>
            <w:vAlign w:val="center"/>
          </w:tcPr>
          <w:p w14:paraId="51966F14">
            <w:pPr>
              <w:widowControl/>
              <w:spacing w:line="320" w:lineRule="exact"/>
              <w:ind w:firstLine="422"/>
              <w:rPr>
                <w:rFonts w:ascii="宋体" w:hAnsi="宋体" w:cs="仿宋"/>
                <w:color w:val="auto"/>
                <w:szCs w:val="21"/>
              </w:rPr>
            </w:pPr>
            <w:r>
              <w:rPr>
                <w:rFonts w:hint="eastAsia" w:ascii="宋体" w:hAnsi="宋体" w:cs="仿宋"/>
                <w:b/>
                <w:bCs/>
                <w:color w:val="auto"/>
                <w:szCs w:val="21"/>
                <w:lang w:val="en-US" w:eastAsia="zh-CN"/>
              </w:rPr>
              <w:t>8.</w:t>
            </w:r>
            <w:r>
              <w:rPr>
                <w:rFonts w:hint="eastAsia" w:ascii="宋体" w:hAnsi="宋体" w:cs="仿宋"/>
                <w:color w:val="auto"/>
                <w:szCs w:val="21"/>
              </w:rPr>
              <w:t>项目组织管理体系的架构及项目的运作规划科学、合理，考察岗位设置及岗位职责完整、得当，得2分；项目组织管理体系的架构及项目的运作规划一般，考察岗位设置及岗位职责较完善，得1分。</w:t>
            </w:r>
          </w:p>
        </w:tc>
      </w:tr>
      <w:tr w14:paraId="31B1B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1" w:hRule="atLeast"/>
          <w:jc w:val="center"/>
        </w:trPr>
        <w:tc>
          <w:tcPr>
            <w:tcW w:w="1291" w:type="dxa"/>
            <w:vMerge w:val="continue"/>
            <w:noWrap w:val="0"/>
            <w:vAlign w:val="center"/>
          </w:tcPr>
          <w:p w14:paraId="0BB364EC">
            <w:pPr>
              <w:spacing w:line="320" w:lineRule="exact"/>
              <w:rPr>
                <w:rFonts w:ascii="宋体" w:hAnsi="宋体" w:cs="仿宋"/>
                <w:color w:val="auto"/>
                <w:szCs w:val="21"/>
              </w:rPr>
            </w:pPr>
          </w:p>
        </w:tc>
        <w:tc>
          <w:tcPr>
            <w:tcW w:w="1295" w:type="dxa"/>
            <w:noWrap w:val="0"/>
            <w:vAlign w:val="center"/>
          </w:tcPr>
          <w:p w14:paraId="3B9058F4">
            <w:pPr>
              <w:widowControl/>
              <w:spacing w:line="320" w:lineRule="exact"/>
              <w:jc w:val="center"/>
              <w:rPr>
                <w:rFonts w:ascii="宋体" w:hAnsi="宋体" w:cs="仿宋"/>
                <w:color w:val="auto"/>
                <w:szCs w:val="21"/>
              </w:rPr>
            </w:pPr>
            <w:r>
              <w:rPr>
                <w:rFonts w:hint="eastAsia" w:ascii="宋体" w:hAnsi="宋体" w:cs="仿宋"/>
                <w:color w:val="auto"/>
                <w:szCs w:val="21"/>
              </w:rPr>
              <w:t>服务承诺及合理化建议</w:t>
            </w:r>
          </w:p>
        </w:tc>
        <w:tc>
          <w:tcPr>
            <w:tcW w:w="764" w:type="dxa"/>
            <w:noWrap w:val="0"/>
            <w:vAlign w:val="center"/>
          </w:tcPr>
          <w:p w14:paraId="1B8B149F">
            <w:pPr>
              <w:widowControl/>
              <w:spacing w:line="320" w:lineRule="exact"/>
              <w:jc w:val="center"/>
              <w:rPr>
                <w:rFonts w:hint="eastAsia" w:ascii="宋体" w:hAnsi="宋体" w:eastAsia="宋体" w:cs="仿宋"/>
                <w:color w:val="auto"/>
                <w:szCs w:val="21"/>
                <w:lang w:eastAsia="zh-CN"/>
              </w:rPr>
            </w:pPr>
            <w:r>
              <w:rPr>
                <w:rFonts w:hint="eastAsia" w:ascii="宋体" w:hAnsi="宋体" w:cs="仿宋"/>
                <w:color w:val="auto"/>
                <w:szCs w:val="21"/>
                <w:lang w:val="en-US" w:eastAsia="zh-CN"/>
              </w:rPr>
              <w:t>4</w:t>
            </w:r>
          </w:p>
        </w:tc>
        <w:tc>
          <w:tcPr>
            <w:tcW w:w="6186" w:type="dxa"/>
            <w:noWrap w:val="0"/>
            <w:vAlign w:val="center"/>
          </w:tcPr>
          <w:p w14:paraId="7BED0B11">
            <w:pPr>
              <w:widowControl/>
              <w:spacing w:line="320" w:lineRule="exact"/>
              <w:rPr>
                <w:rFonts w:ascii="宋体" w:hAnsi="宋体" w:cs="仿宋"/>
                <w:color w:val="auto"/>
                <w:szCs w:val="21"/>
              </w:rPr>
            </w:pPr>
            <w:r>
              <w:rPr>
                <w:rFonts w:hint="eastAsia" w:ascii="宋体" w:hAnsi="宋体" w:cs="仿宋"/>
                <w:color w:val="auto"/>
                <w:szCs w:val="21"/>
              </w:rPr>
              <w:t>服务承诺全面，包括工期、工作质量、工作成果、误期赔偿等方面具体承诺，并提出合理化建议，得</w:t>
            </w:r>
            <w:r>
              <w:rPr>
                <w:rFonts w:hint="eastAsia" w:ascii="宋体" w:hAnsi="宋体" w:cs="仿宋"/>
                <w:color w:val="auto"/>
                <w:szCs w:val="21"/>
                <w:lang w:val="en-US" w:eastAsia="zh-CN"/>
              </w:rPr>
              <w:t>4</w:t>
            </w:r>
            <w:r>
              <w:rPr>
                <w:rFonts w:hint="eastAsia" w:ascii="宋体" w:hAnsi="宋体" w:cs="仿宋"/>
                <w:color w:val="auto"/>
                <w:szCs w:val="21"/>
              </w:rPr>
              <w:t>分；服务承诺相对全面、合理，并提出相关建议，得</w:t>
            </w:r>
            <w:r>
              <w:rPr>
                <w:rFonts w:hint="eastAsia" w:ascii="宋体" w:hAnsi="宋体" w:cs="仿宋"/>
                <w:color w:val="auto"/>
                <w:szCs w:val="21"/>
                <w:lang w:val="en-US" w:eastAsia="zh-CN"/>
              </w:rPr>
              <w:t>2</w:t>
            </w:r>
            <w:r>
              <w:rPr>
                <w:rFonts w:hint="eastAsia" w:ascii="宋体" w:hAnsi="宋体" w:cs="仿宋"/>
                <w:color w:val="auto"/>
                <w:szCs w:val="21"/>
              </w:rPr>
              <w:t>分</w:t>
            </w:r>
            <w:r>
              <w:rPr>
                <w:rFonts w:hint="eastAsia" w:ascii="宋体" w:hAnsi="宋体" w:cs="仿宋"/>
                <w:color w:val="auto"/>
                <w:szCs w:val="21"/>
                <w:lang w:eastAsia="zh-CN"/>
              </w:rPr>
              <w:t>；</w:t>
            </w:r>
            <w:r>
              <w:rPr>
                <w:rFonts w:hint="eastAsia" w:ascii="宋体" w:hAnsi="宋体" w:cs="仿宋"/>
                <w:color w:val="auto"/>
                <w:szCs w:val="21"/>
                <w:lang w:val="en-US" w:eastAsia="zh-CN"/>
              </w:rPr>
              <w:t>不提供不得分</w:t>
            </w:r>
            <w:r>
              <w:rPr>
                <w:rFonts w:hint="eastAsia" w:ascii="宋体" w:hAnsi="宋体" w:cs="仿宋"/>
                <w:color w:val="auto"/>
                <w:szCs w:val="21"/>
              </w:rPr>
              <w:t>。</w:t>
            </w:r>
          </w:p>
        </w:tc>
      </w:tr>
    </w:tbl>
    <w:p w14:paraId="1BDE0888">
      <w:pPr>
        <w:keepNext w:val="0"/>
        <w:keepLines w:val="0"/>
        <w:pageBreakBefore w:val="0"/>
        <w:widowControl w:val="0"/>
        <w:numPr>
          <w:ilvl w:val="0"/>
          <w:numId w:val="0"/>
        </w:numPr>
        <w:spacing w:line="360" w:lineRule="auto"/>
        <w:ind w:firstLine="480"/>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lang w:val="en-US" w:eastAsia="zh-CN"/>
        </w:rPr>
        <w:t>一</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评审过程中出现下列情形之一的，评审委员会应当启动异常低价投标（响应）审查程序：</w:t>
      </w:r>
    </w:p>
    <w:p w14:paraId="061D5DD5">
      <w:pPr>
        <w:keepNext w:val="0"/>
        <w:keepLines w:val="0"/>
        <w:pageBreakBefore w:val="0"/>
        <w:widowControl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（1）投标(响应)报价低于全部通过符合性审查供应商投标(响应)报价平均值</w:t>
      </w:r>
      <w:r>
        <w:rPr>
          <w:rFonts w:hint="eastAsia" w:ascii="宋体" w:hAnsi="宋体" w:eastAsia="宋体" w:cs="宋体"/>
          <w:b w:val="0"/>
          <w:bCs w:val="0"/>
          <w:color w:val="000000"/>
          <w:sz w:val="24"/>
          <w:szCs w:val="24"/>
          <w:highlight w:val="none"/>
          <w:lang w:val="en-US" w:eastAsia="zh-CN"/>
        </w:rPr>
        <w:t>65</w:t>
      </w:r>
      <w:r>
        <w:rPr>
          <w:rFonts w:hint="eastAsia" w:ascii="宋体" w:hAnsi="宋体" w:eastAsia="宋体" w:cs="宋体"/>
          <w:b w:val="0"/>
          <w:bCs w:val="0"/>
          <w:color w:val="000000"/>
          <w:sz w:val="24"/>
          <w:szCs w:val="24"/>
          <w:highlight w:val="none"/>
        </w:rPr>
        <w:t>%的，即投标(响应)报价</w:t>
      </w:r>
      <w:r>
        <w:rPr>
          <w:rFonts w:hint="eastAsia" w:ascii="宋体" w:hAnsi="宋体" w:cs="宋体"/>
          <w:b w:val="0"/>
          <w:bCs w:val="0"/>
          <w:color w:val="000000"/>
          <w:sz w:val="24"/>
          <w:szCs w:val="24"/>
          <w:highlight w:val="none"/>
          <w:lang w:val="en-US" w:eastAsia="zh-CN"/>
        </w:rPr>
        <w:t>＜</w:t>
      </w:r>
      <w:r>
        <w:rPr>
          <w:rFonts w:hint="eastAsia" w:ascii="宋体" w:hAnsi="宋体" w:eastAsia="宋体" w:cs="宋体"/>
          <w:b w:val="0"/>
          <w:bCs w:val="0"/>
          <w:color w:val="000000"/>
          <w:sz w:val="24"/>
          <w:szCs w:val="24"/>
          <w:highlight w:val="none"/>
        </w:rPr>
        <w:t>全部通过符合性审查供应商投标(响应)报价平均值×</w:t>
      </w:r>
      <w:r>
        <w:rPr>
          <w:rFonts w:hint="eastAsia" w:ascii="宋体" w:hAnsi="宋体" w:eastAsia="宋体" w:cs="宋体"/>
          <w:b w:val="0"/>
          <w:bCs w:val="0"/>
          <w:color w:val="000000"/>
          <w:sz w:val="24"/>
          <w:szCs w:val="24"/>
          <w:highlight w:val="none"/>
          <w:lang w:val="en-US" w:eastAsia="zh-CN"/>
        </w:rPr>
        <w:t>65</w:t>
      </w:r>
      <w:r>
        <w:rPr>
          <w:rFonts w:hint="eastAsia" w:ascii="宋体" w:hAnsi="宋体" w:eastAsia="宋体" w:cs="宋体"/>
          <w:b w:val="0"/>
          <w:bCs w:val="0"/>
          <w:color w:val="000000"/>
          <w:sz w:val="24"/>
          <w:szCs w:val="24"/>
          <w:highlight w:val="none"/>
        </w:rPr>
        <w:t>%；</w:t>
      </w:r>
    </w:p>
    <w:p w14:paraId="624F92A1">
      <w:pPr>
        <w:keepNext w:val="0"/>
        <w:keepLines w:val="0"/>
        <w:pageBreakBefore w:val="0"/>
        <w:widowControl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（2）投标(响应)报价低于通过符合性审查的次低报价供应商投标(响应)报价</w:t>
      </w:r>
      <w:r>
        <w:rPr>
          <w:rFonts w:hint="eastAsia" w:ascii="宋体" w:hAnsi="宋体" w:eastAsia="宋体" w:cs="宋体"/>
          <w:b w:val="0"/>
          <w:bCs w:val="0"/>
          <w:color w:val="000000"/>
          <w:sz w:val="24"/>
          <w:szCs w:val="24"/>
          <w:highlight w:val="none"/>
          <w:lang w:val="en-US" w:eastAsia="zh-CN"/>
        </w:rPr>
        <w:t>65</w:t>
      </w:r>
      <w:r>
        <w:rPr>
          <w:rFonts w:hint="eastAsia" w:ascii="宋体" w:hAnsi="宋体" w:eastAsia="宋体" w:cs="宋体"/>
          <w:b w:val="0"/>
          <w:bCs w:val="0"/>
          <w:color w:val="000000"/>
          <w:sz w:val="24"/>
          <w:szCs w:val="24"/>
          <w:highlight w:val="none"/>
        </w:rPr>
        <w:t>%的，即投标(响应)报价</w:t>
      </w:r>
      <w:r>
        <w:rPr>
          <w:rFonts w:hint="eastAsia" w:ascii="宋体" w:hAnsi="宋体" w:cs="宋体"/>
          <w:b w:val="0"/>
          <w:bCs w:val="0"/>
          <w:color w:val="000000"/>
          <w:sz w:val="24"/>
          <w:szCs w:val="24"/>
          <w:highlight w:val="none"/>
          <w:lang w:val="en-US" w:eastAsia="zh-CN"/>
        </w:rPr>
        <w:t>＜</w:t>
      </w:r>
      <w:r>
        <w:rPr>
          <w:rFonts w:hint="eastAsia" w:ascii="宋体" w:hAnsi="宋体" w:eastAsia="宋体" w:cs="宋体"/>
          <w:b w:val="0"/>
          <w:bCs w:val="0"/>
          <w:color w:val="000000"/>
          <w:sz w:val="24"/>
          <w:szCs w:val="24"/>
          <w:highlight w:val="none"/>
        </w:rPr>
        <w:t>通过符合性审查的次低报价供应商投标(响应)报价×</w:t>
      </w:r>
      <w:r>
        <w:rPr>
          <w:rFonts w:hint="eastAsia" w:ascii="宋体" w:hAnsi="宋体" w:eastAsia="宋体" w:cs="宋体"/>
          <w:b w:val="0"/>
          <w:bCs w:val="0"/>
          <w:color w:val="000000"/>
          <w:sz w:val="24"/>
          <w:szCs w:val="24"/>
          <w:highlight w:val="none"/>
          <w:lang w:val="en-US" w:eastAsia="zh-CN"/>
        </w:rPr>
        <w:t>65</w:t>
      </w:r>
      <w:r>
        <w:rPr>
          <w:rFonts w:hint="eastAsia" w:ascii="宋体" w:hAnsi="宋体" w:eastAsia="宋体" w:cs="宋体"/>
          <w:b w:val="0"/>
          <w:bCs w:val="0"/>
          <w:color w:val="000000"/>
          <w:sz w:val="24"/>
          <w:szCs w:val="24"/>
          <w:highlight w:val="none"/>
        </w:rPr>
        <w:t>%；</w:t>
      </w:r>
    </w:p>
    <w:p w14:paraId="12F711F2">
      <w:pPr>
        <w:keepNext w:val="0"/>
        <w:keepLines w:val="0"/>
        <w:pageBreakBefore w:val="0"/>
        <w:widowControl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（3）投标(响应)报价低于采购项目最高限价</w:t>
      </w:r>
      <w:r>
        <w:rPr>
          <w:rFonts w:hint="eastAsia" w:ascii="宋体" w:hAnsi="宋体" w:eastAsia="宋体" w:cs="宋体"/>
          <w:b w:val="0"/>
          <w:bCs w:val="0"/>
          <w:color w:val="000000"/>
          <w:sz w:val="24"/>
          <w:szCs w:val="24"/>
          <w:highlight w:val="none"/>
          <w:lang w:val="en-US" w:eastAsia="zh-CN"/>
        </w:rPr>
        <w:t>6</w:t>
      </w:r>
      <w:r>
        <w:rPr>
          <w:rFonts w:hint="eastAsia" w:ascii="宋体" w:hAnsi="宋体" w:eastAsia="宋体" w:cs="宋体"/>
          <w:b w:val="0"/>
          <w:bCs w:val="0"/>
          <w:color w:val="000000"/>
          <w:sz w:val="24"/>
          <w:szCs w:val="24"/>
          <w:highlight w:val="none"/>
        </w:rPr>
        <w:t>5%的，即投标(响应)报价</w:t>
      </w:r>
      <w:r>
        <w:rPr>
          <w:rFonts w:hint="eastAsia" w:ascii="宋体" w:hAnsi="宋体" w:cs="宋体"/>
          <w:b w:val="0"/>
          <w:bCs w:val="0"/>
          <w:color w:val="000000"/>
          <w:sz w:val="24"/>
          <w:szCs w:val="24"/>
          <w:highlight w:val="none"/>
          <w:lang w:val="en-US" w:eastAsia="zh-CN"/>
        </w:rPr>
        <w:t>＜</w:t>
      </w:r>
      <w:r>
        <w:rPr>
          <w:rFonts w:hint="eastAsia" w:ascii="宋体" w:hAnsi="宋体" w:eastAsia="宋体" w:cs="宋体"/>
          <w:b w:val="0"/>
          <w:bCs w:val="0"/>
          <w:color w:val="000000"/>
          <w:sz w:val="24"/>
          <w:szCs w:val="24"/>
          <w:highlight w:val="none"/>
        </w:rPr>
        <w:t>采购项目最高限价×</w:t>
      </w:r>
      <w:r>
        <w:rPr>
          <w:rFonts w:hint="eastAsia" w:ascii="宋体" w:hAnsi="宋体" w:eastAsia="宋体" w:cs="宋体"/>
          <w:b w:val="0"/>
          <w:bCs w:val="0"/>
          <w:color w:val="000000"/>
          <w:sz w:val="24"/>
          <w:szCs w:val="24"/>
          <w:highlight w:val="none"/>
          <w:lang w:val="en-US" w:eastAsia="zh-CN"/>
        </w:rPr>
        <w:t>65</w:t>
      </w:r>
      <w:r>
        <w:rPr>
          <w:rFonts w:hint="eastAsia" w:ascii="宋体" w:hAnsi="宋体" w:eastAsia="宋体" w:cs="宋体"/>
          <w:b w:val="0"/>
          <w:bCs w:val="0"/>
          <w:color w:val="000000"/>
          <w:sz w:val="24"/>
          <w:szCs w:val="24"/>
          <w:highlight w:val="none"/>
        </w:rPr>
        <w:t>%；</w:t>
      </w:r>
    </w:p>
    <w:p w14:paraId="1DE9DA08">
      <w:pPr>
        <w:keepNext w:val="0"/>
        <w:keepLines w:val="0"/>
        <w:pageBreakBefore w:val="0"/>
        <w:widowControl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（4）评审委员会基于专业判断，认为供应商报价过低，有可能影响产品质量或者不能诚信履约的其他情形。</w:t>
      </w:r>
    </w:p>
    <w:p w14:paraId="36947EA8">
      <w:pPr>
        <w:keepNext w:val="0"/>
        <w:keepLines w:val="0"/>
        <w:pageBreakBefore w:val="0"/>
        <w:widowControl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相关法律法规对供应商报价有规定的，从其规定。</w:t>
      </w:r>
    </w:p>
    <w:p w14:paraId="3C74A84E">
      <w:pPr>
        <w:keepNext w:val="0"/>
        <w:keepLines w:val="0"/>
        <w:pageBreakBefore w:val="0"/>
        <w:widowControl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w:t>
      </w:r>
      <w:r>
        <w:rPr>
          <w:rFonts w:hint="eastAsia" w:ascii="宋体" w:hAnsi="宋体" w:eastAsia="宋体" w:cs="宋体"/>
          <w:b w:val="0"/>
          <w:bCs w:val="0"/>
          <w:color w:val="000000"/>
          <w:sz w:val="24"/>
          <w:szCs w:val="24"/>
          <w:highlight w:val="none"/>
          <w:lang w:val="en-US" w:eastAsia="zh-CN"/>
        </w:rPr>
        <w:t>二</w:t>
      </w:r>
      <w:r>
        <w:rPr>
          <w:rFonts w:hint="eastAsia" w:ascii="宋体" w:hAnsi="宋体" w:eastAsia="宋体" w:cs="宋体"/>
          <w:b w:val="0"/>
          <w:bCs w:val="0"/>
          <w:color w:val="000000"/>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393E3A2">
      <w:pPr>
        <w:spacing w:line="480" w:lineRule="exact"/>
        <w:ind w:firstLine="480"/>
        <w:jc w:val="left"/>
        <w:rPr>
          <w:rFonts w:hint="eastAsia" w:ascii="Times New Roman" w:hAnsi="Times New Roman" w:cs="仿宋"/>
          <w:b/>
          <w:bCs/>
          <w:color w:val="000000"/>
          <w:sz w:val="24"/>
          <w:highlight w:val="none"/>
        </w:rPr>
      </w:pPr>
      <w:r>
        <w:rPr>
          <w:rFonts w:hint="eastAsia" w:ascii="宋体" w:hAnsi="宋体" w:eastAsia="宋体" w:cs="宋体"/>
          <w:b w:val="0"/>
          <w:bCs w:val="0"/>
          <w:color w:val="000000"/>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3E73ECF">
      <w:pPr>
        <w:keepNext/>
        <w:keepLines/>
        <w:pageBreakBefore/>
        <w:jc w:val="center"/>
        <w:outlineLvl w:val="0"/>
        <w:rPr>
          <w:rFonts w:hint="eastAsia"/>
          <w:b/>
          <w:color w:val="000000"/>
          <w:sz w:val="44"/>
          <w:szCs w:val="44"/>
          <w:highlight w:val="none"/>
        </w:rPr>
      </w:pPr>
      <w:bookmarkStart w:id="121" w:name="_Toc12255"/>
      <w:bookmarkStart w:id="122" w:name="_Toc2916"/>
      <w:bookmarkStart w:id="123" w:name="_Toc81575205"/>
      <w:bookmarkStart w:id="124" w:name="_Toc81575168"/>
      <w:bookmarkStart w:id="125" w:name="_Toc22314"/>
      <w:r>
        <w:rPr>
          <w:rFonts w:hint="eastAsia"/>
          <w:b/>
          <w:color w:val="000000"/>
          <w:sz w:val="44"/>
          <w:szCs w:val="44"/>
          <w:highlight w:val="none"/>
        </w:rPr>
        <w:t>第四章</w:t>
      </w:r>
      <w:r>
        <w:rPr>
          <w:b/>
          <w:color w:val="000000"/>
          <w:sz w:val="44"/>
          <w:szCs w:val="44"/>
          <w:highlight w:val="none"/>
        </w:rPr>
        <w:t xml:space="preserve">  </w:t>
      </w:r>
      <w:r>
        <w:rPr>
          <w:rFonts w:hint="eastAsia"/>
          <w:b/>
          <w:color w:val="000000"/>
          <w:sz w:val="44"/>
          <w:szCs w:val="44"/>
          <w:highlight w:val="none"/>
        </w:rPr>
        <w:t>采购需求</w:t>
      </w:r>
      <w:bookmarkEnd w:id="118"/>
      <w:bookmarkEnd w:id="121"/>
      <w:bookmarkEnd w:id="122"/>
      <w:bookmarkEnd w:id="123"/>
      <w:bookmarkEnd w:id="124"/>
      <w:bookmarkEnd w:id="125"/>
    </w:p>
    <w:p w14:paraId="50EFBC27">
      <w:pPr>
        <w:pStyle w:val="137"/>
        <w:numPr>
          <w:ilvl w:val="0"/>
          <w:numId w:val="0"/>
        </w:numPr>
        <w:spacing w:line="360" w:lineRule="auto"/>
        <w:ind w:firstLine="301"/>
        <w:outlineLvl w:val="1"/>
        <w:rPr>
          <w:rFonts w:hint="eastAsia" w:ascii="Calibri" w:hAnsi="Calibri" w:eastAsia="宋体" w:cs="Times New Roman"/>
          <w:sz w:val="30"/>
          <w:szCs w:val="30"/>
          <w:highlight w:val="none"/>
        </w:rPr>
      </w:pPr>
      <w:r>
        <w:rPr>
          <w:rFonts w:hint="eastAsia" w:ascii="Calibri" w:hAnsi="Calibri" w:eastAsia="宋体" w:cs="Times New Roman"/>
          <w:sz w:val="30"/>
          <w:szCs w:val="30"/>
          <w:highlight w:val="none"/>
        </w:rPr>
        <w:t>采购标的清单</w:t>
      </w:r>
    </w:p>
    <w:tbl>
      <w:tblPr>
        <w:tblStyle w:val="33"/>
        <w:tblW w:w="51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422"/>
        <w:gridCol w:w="850"/>
        <w:gridCol w:w="2585"/>
      </w:tblGrid>
      <w:tr w14:paraId="0E02B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0" w:type="dxa"/>
            <w:noWrap w:val="0"/>
            <w:vAlign w:val="center"/>
          </w:tcPr>
          <w:p w14:paraId="3402F07D">
            <w:pPr>
              <w:spacing w:line="360" w:lineRule="exact"/>
              <w:jc w:val="center"/>
              <w:rPr>
                <w:rFonts w:ascii="宋体" w:hAnsi="宋体"/>
                <w:sz w:val="24"/>
                <w:szCs w:val="24"/>
              </w:rPr>
            </w:pPr>
            <w:r>
              <w:rPr>
                <w:rFonts w:hint="eastAsia" w:ascii="宋体" w:hAnsi="宋体"/>
                <w:sz w:val="24"/>
                <w:szCs w:val="24"/>
              </w:rPr>
              <w:t>序号</w:t>
            </w:r>
          </w:p>
        </w:tc>
        <w:tc>
          <w:tcPr>
            <w:tcW w:w="4422" w:type="dxa"/>
            <w:noWrap w:val="0"/>
            <w:vAlign w:val="center"/>
          </w:tcPr>
          <w:p w14:paraId="2FF61227">
            <w:pPr>
              <w:spacing w:line="360" w:lineRule="exact"/>
              <w:jc w:val="center"/>
              <w:rPr>
                <w:rFonts w:ascii="宋体" w:hAnsi="宋体" w:eastAsia="宋体"/>
                <w:sz w:val="24"/>
                <w:szCs w:val="24"/>
                <w:lang w:val="en-US" w:eastAsia="zh-CN"/>
              </w:rPr>
            </w:pPr>
            <w:r>
              <w:rPr>
                <w:rFonts w:hint="eastAsia" w:ascii="宋体" w:hAnsi="宋体"/>
                <w:sz w:val="24"/>
                <w:szCs w:val="24"/>
                <w:lang w:val="en-US" w:eastAsia="zh-CN"/>
              </w:rPr>
              <w:t>标的名称</w:t>
            </w:r>
          </w:p>
        </w:tc>
        <w:tc>
          <w:tcPr>
            <w:tcW w:w="850" w:type="dxa"/>
            <w:noWrap w:val="0"/>
            <w:vAlign w:val="center"/>
          </w:tcPr>
          <w:p w14:paraId="4D64FD39">
            <w:pPr>
              <w:tabs>
                <w:tab w:val="left" w:pos="2020"/>
              </w:tabs>
              <w:spacing w:line="480" w:lineRule="exact"/>
              <w:jc w:val="center"/>
              <w:rPr>
                <w:rFonts w:hint="eastAsia" w:ascii="宋体" w:hAnsi="宋体" w:eastAsia="宋体"/>
                <w:sz w:val="24"/>
                <w:szCs w:val="24"/>
                <w:lang w:val="en-US" w:eastAsia="zh-CN"/>
              </w:rPr>
            </w:pPr>
            <w:r>
              <w:rPr>
                <w:rFonts w:hint="eastAsia" w:ascii="宋体" w:hAnsi="宋体"/>
                <w:sz w:val="24"/>
                <w:szCs w:val="24"/>
                <w:lang w:val="en-US" w:eastAsia="zh-CN"/>
              </w:rPr>
              <w:t>数量</w:t>
            </w:r>
          </w:p>
        </w:tc>
        <w:tc>
          <w:tcPr>
            <w:tcW w:w="2585" w:type="dxa"/>
            <w:noWrap w:val="0"/>
            <w:vAlign w:val="center"/>
          </w:tcPr>
          <w:p w14:paraId="273D2244">
            <w:pPr>
              <w:tabs>
                <w:tab w:val="left" w:pos="2020"/>
              </w:tabs>
              <w:spacing w:line="480" w:lineRule="exact"/>
              <w:jc w:val="center"/>
              <w:rPr>
                <w:rFonts w:ascii="宋体" w:hAnsi="宋体"/>
                <w:sz w:val="24"/>
                <w:szCs w:val="24"/>
              </w:rPr>
            </w:pPr>
            <w:r>
              <w:rPr>
                <w:rFonts w:hint="eastAsia" w:ascii="宋体" w:hAnsi="宋体"/>
                <w:sz w:val="24"/>
                <w:szCs w:val="24"/>
              </w:rPr>
              <w:t>对应中</w:t>
            </w:r>
            <w:r>
              <w:rPr>
                <w:rFonts w:ascii="宋体" w:hAnsi="宋体"/>
                <w:sz w:val="24"/>
                <w:szCs w:val="24"/>
              </w:rPr>
              <w:t>小企业划分标准所属行业</w:t>
            </w:r>
          </w:p>
        </w:tc>
      </w:tr>
      <w:tr w14:paraId="29BD8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950" w:type="dxa"/>
            <w:noWrap w:val="0"/>
            <w:vAlign w:val="center"/>
          </w:tcPr>
          <w:p w14:paraId="37BD0C8A">
            <w:pPr>
              <w:tabs>
                <w:tab w:val="left" w:pos="2020"/>
              </w:tabs>
              <w:spacing w:line="480" w:lineRule="exact"/>
              <w:jc w:val="center"/>
              <w:rPr>
                <w:rFonts w:ascii="宋体" w:hAnsi="宋体"/>
                <w:sz w:val="24"/>
                <w:szCs w:val="24"/>
              </w:rPr>
            </w:pPr>
            <w:r>
              <w:rPr>
                <w:rFonts w:hint="eastAsia" w:ascii="宋体" w:hAnsi="宋体"/>
                <w:sz w:val="24"/>
                <w:szCs w:val="24"/>
              </w:rPr>
              <w:t>1</w:t>
            </w:r>
          </w:p>
        </w:tc>
        <w:tc>
          <w:tcPr>
            <w:tcW w:w="4422" w:type="dxa"/>
            <w:noWrap w:val="0"/>
            <w:vAlign w:val="center"/>
          </w:tcPr>
          <w:p w14:paraId="3637FBD0">
            <w:pPr>
              <w:spacing w:line="480" w:lineRule="exact"/>
              <w:jc w:val="center"/>
              <w:rPr>
                <w:rFonts w:hint="eastAsia" w:ascii="宋体" w:hAnsi="宋体" w:eastAsia="宋体"/>
                <w:sz w:val="24"/>
                <w:szCs w:val="24"/>
                <w:lang w:eastAsia="zh-CN"/>
              </w:rPr>
            </w:pPr>
            <w:r>
              <w:rPr>
                <w:rFonts w:hint="eastAsia" w:ascii="宋体" w:hAnsi="宋体"/>
                <w:sz w:val="24"/>
                <w:szCs w:val="24"/>
                <w:lang w:eastAsia="zh-CN"/>
              </w:rPr>
              <w:t>泗洪县2026年度一体化调查监测项目</w:t>
            </w:r>
          </w:p>
        </w:tc>
        <w:tc>
          <w:tcPr>
            <w:tcW w:w="850" w:type="dxa"/>
            <w:noWrap w:val="0"/>
            <w:vAlign w:val="center"/>
          </w:tcPr>
          <w:p w14:paraId="7849FCFF">
            <w:pPr>
              <w:tabs>
                <w:tab w:val="left" w:pos="2020"/>
              </w:tabs>
              <w:spacing w:line="480" w:lineRule="exact"/>
              <w:jc w:val="center"/>
              <w:rPr>
                <w:rFonts w:ascii="宋体" w:hAnsi="宋体" w:eastAsia="宋体"/>
                <w:sz w:val="24"/>
                <w:szCs w:val="24"/>
                <w:lang w:val="en-US" w:eastAsia="zh-CN"/>
              </w:rPr>
            </w:pPr>
            <w:r>
              <w:rPr>
                <w:rFonts w:hint="eastAsia" w:ascii="宋体" w:hAnsi="宋体"/>
                <w:sz w:val="24"/>
                <w:szCs w:val="24"/>
                <w:lang w:val="en-US" w:eastAsia="zh-CN"/>
              </w:rPr>
              <w:t>1项</w:t>
            </w:r>
          </w:p>
        </w:tc>
        <w:tc>
          <w:tcPr>
            <w:tcW w:w="2585" w:type="dxa"/>
            <w:noWrap w:val="0"/>
            <w:vAlign w:val="center"/>
          </w:tcPr>
          <w:p w14:paraId="6E4D1E5A">
            <w:pPr>
              <w:tabs>
                <w:tab w:val="left" w:pos="2020"/>
              </w:tabs>
              <w:spacing w:line="480" w:lineRule="exact"/>
              <w:jc w:val="center"/>
              <w:rPr>
                <w:rFonts w:ascii="宋体" w:hAnsi="宋体"/>
                <w:sz w:val="24"/>
                <w:szCs w:val="24"/>
              </w:rPr>
            </w:pPr>
            <w:r>
              <w:rPr>
                <w:rFonts w:ascii="宋体" w:hAnsi="宋体"/>
                <w:sz w:val="24"/>
                <w:szCs w:val="24"/>
              </w:rPr>
              <w:t>其他未列明行业</w:t>
            </w:r>
          </w:p>
        </w:tc>
      </w:tr>
    </w:tbl>
    <w:p w14:paraId="550384B3">
      <w:pPr>
        <w:spacing w:line="0" w:lineRule="atLeast"/>
        <w:ind w:firstLine="482"/>
        <w:rPr>
          <w:rFonts w:ascii="宋体" w:hAnsi="宋体"/>
          <w:b/>
          <w:sz w:val="24"/>
          <w:szCs w:val="24"/>
        </w:rPr>
      </w:pPr>
    </w:p>
    <w:p w14:paraId="6861AFF4">
      <w:pPr>
        <w:keepNext w:val="0"/>
        <w:keepLines w:val="0"/>
        <w:pageBreakBefore w:val="0"/>
        <w:spacing w:line="480" w:lineRule="exact"/>
        <w:ind w:left="0" w:firstLine="482"/>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一、项目概述</w:t>
      </w:r>
    </w:p>
    <w:p w14:paraId="3353850E">
      <w:pPr>
        <w:keepNext w:val="0"/>
        <w:keepLines w:val="0"/>
        <w:pageBreakBefore w:val="0"/>
        <w:spacing w:line="480" w:lineRule="exact"/>
        <w:ind w:left="0" w:firstLine="482"/>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（一）项目背景</w:t>
      </w:r>
    </w:p>
    <w:p w14:paraId="16446C67">
      <w:pPr>
        <w:keepNext w:val="0"/>
        <w:keepLines w:val="0"/>
        <w:pageBreakBefore w:val="0"/>
        <w:spacing w:line="480" w:lineRule="exact"/>
        <w:ind w:left="0" w:firstLine="480"/>
        <w:rPr>
          <w:rFonts w:ascii="Segoe UI" w:hAnsi="Segoe UI" w:eastAsia="Segoe UI" w:cs="Segoe UI"/>
          <w:i w:val="0"/>
          <w:iCs w:val="0"/>
          <w:caps w:val="0"/>
          <w:color w:val="auto"/>
          <w:spacing w:val="0"/>
          <w:sz w:val="24"/>
          <w:szCs w:val="24"/>
          <w:shd w:val="clear" w:color="auto" w:fill="FFFFFF"/>
        </w:rPr>
      </w:pPr>
      <w:r>
        <w:rPr>
          <w:rFonts w:hint="eastAsia" w:ascii="宋体" w:hAnsi="宋体" w:eastAsia="宋体" w:cs="宋体"/>
          <w:b w:val="0"/>
          <w:bCs w:val="0"/>
          <w:color w:val="auto"/>
          <w:sz w:val="24"/>
          <w:szCs w:val="24"/>
          <w:highlight w:val="none"/>
          <w:lang w:val="en-US" w:eastAsia="zh-CN"/>
        </w:rPr>
        <w:t>为贯彻落实《自然资源部办公厅 国家林业和草原局办公室关于开展2026年度一体化调查监测工作的通知》（自然资办函〔2026〕1038号）要求，持续深化自然资源业务协同联动，实现数据互联互通、成果共建共享，2026年度全国自然资源调查监测工作已全面转向“一体化”推进模式。</w:t>
      </w:r>
      <w:r>
        <w:rPr>
          <w:rFonts w:ascii="Segoe UI" w:hAnsi="Segoe UI" w:eastAsia="Segoe UI" w:cs="Segoe UI"/>
          <w:i w:val="0"/>
          <w:iCs w:val="0"/>
          <w:caps w:val="0"/>
          <w:color w:val="auto"/>
          <w:spacing w:val="0"/>
          <w:sz w:val="24"/>
          <w:szCs w:val="24"/>
          <w:shd w:val="clear" w:color="auto" w:fill="FFFFFF"/>
        </w:rPr>
        <w:t>汇总掌握本县年度国土利用现状及变化情况，有效支撑自然资源管理和国土空间规划“一张图”建设，为高质量发展和国土空间治理、统筹推进山水林田湖草沙一体化保护和系统治理、促进生态文明建设提供基础数据保障。</w:t>
      </w:r>
    </w:p>
    <w:p w14:paraId="0B06B724">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与往年相比，2026年度工作模式发生重大变化：</w:t>
      </w:r>
    </w:p>
    <w:p w14:paraId="10B79364">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一体化推进：将自然资源监测、国土变更调查、林草湿荒调查监测统一部署、协同开展，实现“统一平台、统一时点、统一标准”，避免重复调查、重复举证。</w:t>
      </w:r>
    </w:p>
    <w:p w14:paraId="39CB4C5F">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常态化日常变更：转变以年底集中调查为主的工作模式，全年常态化开展日常调查监测，不再开展集中调查，实现“随时发现变化，随时可以变更”。</w:t>
      </w:r>
    </w:p>
    <w:p w14:paraId="26B5AF88">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精简优化调查内容：重点关注农用地、建设用地、未利用地“三大类”间变化及耕地变化情况；图斑监测指标由125项精简为22项，样地调查指标由164项精简为70项，不再年度统一更新光伏板区、拆除未尽等图层及耕地种植属性等内容。</w:t>
      </w:r>
    </w:p>
    <w:p w14:paraId="7A3C4BB1">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en-US" w:eastAsia="zh-CN"/>
        </w:rPr>
        <w:t>明确调查分工：按专项规划划定的林草空间，范围内由林草部门负责调查，范围外由自然资源部门负责调查，涉及林草湿地类变化的推送林草部门开展资源属性调查。</w:t>
      </w:r>
    </w:p>
    <w:p w14:paraId="0C71BDB6">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我县需根据国家和省统一部署，将2026年一体化调查监测（含自然资源监测、国土变更调查、林草湿荒调查监测）和卫片监测预警图斑核实处置工作统筹安排</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一体化推进2026年度调查监测工作。</w:t>
      </w:r>
    </w:p>
    <w:p w14:paraId="2327A768">
      <w:pPr>
        <w:keepNext w:val="0"/>
        <w:keepLines w:val="0"/>
        <w:pageBreakBefore w:val="0"/>
        <w:numPr>
          <w:ilvl w:val="0"/>
          <w:numId w:val="0"/>
        </w:numPr>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eastAsia="zh-CN"/>
        </w:rPr>
        <w:t>项目名称</w:t>
      </w:r>
      <w:r>
        <w:rPr>
          <w:rFonts w:hint="eastAsia" w:ascii="宋体" w:hAnsi="宋体" w:eastAsia="宋体" w:cs="宋体"/>
          <w:b w:val="0"/>
          <w:bCs w:val="0"/>
          <w:color w:val="auto"/>
          <w:sz w:val="24"/>
          <w:szCs w:val="24"/>
          <w:highlight w:val="none"/>
          <w:lang w:val="en-US" w:eastAsia="zh-CN"/>
        </w:rPr>
        <w:t>：泗洪县2026年度一体化调查监测项目</w:t>
      </w:r>
    </w:p>
    <w:p w14:paraId="13F1EBF9">
      <w:pPr>
        <w:keepNext w:val="0"/>
        <w:keepLines w:val="0"/>
        <w:pageBreakBefore w:val="0"/>
        <w:numPr>
          <w:ilvl w:val="0"/>
          <w:numId w:val="0"/>
        </w:numPr>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（三）项目最高限价</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248万元</w:t>
      </w:r>
      <w:r>
        <w:rPr>
          <w:rFonts w:hint="eastAsia" w:ascii="宋体" w:hAnsi="宋体" w:eastAsia="宋体" w:cs="宋体"/>
          <w:b w:val="0"/>
          <w:bCs w:val="0"/>
          <w:color w:val="auto"/>
          <w:sz w:val="24"/>
          <w:szCs w:val="24"/>
          <w:highlight w:val="none"/>
          <w:lang w:val="en-US" w:eastAsia="zh-CN"/>
        </w:rPr>
        <w:t xml:space="preserve">； </w:t>
      </w:r>
    </w:p>
    <w:p w14:paraId="161C278F">
      <w:pPr>
        <w:keepNext w:val="0"/>
        <w:keepLines w:val="0"/>
        <w:pageBreakBefore w:val="0"/>
        <w:spacing w:line="480" w:lineRule="exact"/>
        <w:ind w:left="0"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（四）付款方式</w:t>
      </w:r>
      <w:r>
        <w:rPr>
          <w:rFonts w:hint="eastAsia" w:ascii="宋体" w:hAnsi="宋体" w:eastAsia="宋体" w:cs="宋体"/>
          <w:b w:val="0"/>
          <w:bCs w:val="0"/>
          <w:color w:val="auto"/>
          <w:sz w:val="24"/>
          <w:szCs w:val="24"/>
          <w:highlight w:val="none"/>
          <w:lang w:val="en-US" w:eastAsia="zh-CN"/>
        </w:rPr>
        <w:t>：预付款：合同金额的10%，合同签订后按规定支付；</w:t>
      </w:r>
    </w:p>
    <w:p w14:paraId="4C3F22D0">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进度款：完成上级部署工作内容，待全部成果经省级检查、国家检查合格后甲方向乙方付清余款。可采用数字人民币支付。</w:t>
      </w:r>
    </w:p>
    <w:p w14:paraId="65C8EE6C">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注:在签订合同时，中标人明确表示无需预付款或者主动要求降低</w:t>
      </w:r>
      <w:r>
        <w:rPr>
          <w:rFonts w:hint="eastAsia" w:ascii="宋体" w:hAnsi="宋体" w:cs="宋体"/>
          <w:b w:val="0"/>
          <w:bCs w:val="0"/>
          <w:color w:val="auto"/>
          <w:sz w:val="24"/>
          <w:szCs w:val="24"/>
          <w:highlight w:val="none"/>
          <w:lang w:val="en-US" w:eastAsia="zh-CN"/>
        </w:rPr>
        <w:t>预付</w:t>
      </w:r>
      <w:r>
        <w:rPr>
          <w:rFonts w:hint="eastAsia" w:ascii="宋体" w:hAnsi="宋体" w:eastAsia="宋体" w:cs="宋体"/>
          <w:b w:val="0"/>
          <w:bCs w:val="0"/>
          <w:color w:val="auto"/>
          <w:sz w:val="24"/>
          <w:szCs w:val="24"/>
          <w:highlight w:val="none"/>
          <w:lang w:val="en-US" w:eastAsia="zh-CN"/>
        </w:rPr>
        <w:t>款比例的金额，采购人可不适用预付款规定。</w:t>
      </w:r>
    </w:p>
    <w:p w14:paraId="1E108141">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资金支付的时间:收到乙方发票10个工作日内</w:t>
      </w:r>
      <w:r>
        <w:rPr>
          <w:rFonts w:hint="eastAsia" w:ascii="宋体" w:hAnsi="宋体" w:cs="宋体"/>
          <w:b w:val="0"/>
          <w:bCs w:val="0"/>
          <w:color w:val="auto"/>
          <w:sz w:val="24"/>
          <w:szCs w:val="24"/>
          <w:highlight w:val="none"/>
          <w:lang w:val="en-US" w:eastAsia="zh-CN"/>
        </w:rPr>
        <w:t>；</w:t>
      </w:r>
    </w:p>
    <w:p w14:paraId="14C2D1EA">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资金支付的条件:满足相应阶段的要求且收到乙方发票。</w:t>
      </w:r>
    </w:p>
    <w:p w14:paraId="30D2B5B2">
      <w:pPr>
        <w:keepNext w:val="0"/>
        <w:keepLines w:val="0"/>
        <w:pageBreakBefore w:val="0"/>
        <w:spacing w:line="480" w:lineRule="exact"/>
        <w:ind w:left="0" w:firstLine="480"/>
        <w:outlineLvl w:val="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五）服务范围</w:t>
      </w:r>
      <w:r>
        <w:rPr>
          <w:rFonts w:hint="eastAsia" w:ascii="宋体" w:hAnsi="宋体" w:eastAsia="宋体" w:cs="宋体"/>
          <w:b w:val="0"/>
          <w:bCs w:val="0"/>
          <w:color w:val="auto"/>
          <w:sz w:val="24"/>
          <w:szCs w:val="24"/>
          <w:highlight w:val="none"/>
          <w:lang w:val="en-US" w:eastAsia="zh-CN"/>
        </w:rPr>
        <w:t>：泗洪县全域。</w:t>
      </w:r>
    </w:p>
    <w:p w14:paraId="0D2328D0">
      <w:pPr>
        <w:keepNext w:val="0"/>
        <w:keepLines w:val="0"/>
        <w:pageBreakBefore w:val="0"/>
        <w:spacing w:line="480" w:lineRule="exact"/>
        <w:ind w:left="0"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（六）服务期限</w:t>
      </w:r>
      <w:r>
        <w:rPr>
          <w:rFonts w:hint="eastAsia" w:ascii="宋体" w:hAnsi="宋体" w:eastAsia="宋体" w:cs="宋体"/>
          <w:b w:val="0"/>
          <w:bCs w:val="0"/>
          <w:color w:val="auto"/>
          <w:sz w:val="24"/>
          <w:szCs w:val="24"/>
          <w:highlight w:val="none"/>
          <w:lang w:val="en-US" w:eastAsia="zh-CN"/>
        </w:rPr>
        <w:t>：服务期1年，按照国家、省以及甲方要求的节点提交相关成果。</w:t>
      </w:r>
    </w:p>
    <w:p w14:paraId="5886C11F">
      <w:pPr>
        <w:keepNext w:val="0"/>
        <w:keepLines w:val="0"/>
        <w:pageBreakBefore w:val="0"/>
        <w:spacing w:line="480" w:lineRule="exact"/>
        <w:ind w:left="0" w:firstLine="482"/>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二、服务目的与服务内容</w:t>
      </w:r>
    </w:p>
    <w:p w14:paraId="64A55070">
      <w:pPr>
        <w:keepNext w:val="0"/>
        <w:keepLines w:val="0"/>
        <w:pageBreakBefore w:val="0"/>
        <w:spacing w:line="480" w:lineRule="exact"/>
        <w:ind w:left="0" w:firstLine="482"/>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（一）服务目的</w:t>
      </w:r>
    </w:p>
    <w:p w14:paraId="22B3C2B6">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一体化推进泗洪县2026年一体化调查监测工作（含自然资源监测、国土变更调查、林草湿荒调查监测），全面掌握县域国土利用现状及林草湿荒资源变化情况，重点掌握“三区三线”等空间底线落实情况。常态化开展</w:t>
      </w:r>
      <w:r>
        <w:rPr>
          <w:rFonts w:hint="eastAsia" w:ascii="宋体" w:hAnsi="宋体" w:cs="宋体"/>
          <w:b w:val="0"/>
          <w:bCs w:val="0"/>
          <w:color w:val="auto"/>
          <w:sz w:val="24"/>
          <w:szCs w:val="24"/>
          <w:highlight w:val="none"/>
          <w:lang w:val="en-US" w:eastAsia="zh-CN"/>
        </w:rPr>
        <w:t>国土</w:t>
      </w:r>
      <w:r>
        <w:rPr>
          <w:rFonts w:hint="eastAsia" w:ascii="宋体" w:hAnsi="宋体" w:eastAsia="宋体" w:cs="宋体"/>
          <w:b w:val="0"/>
          <w:bCs w:val="0"/>
          <w:color w:val="auto"/>
          <w:sz w:val="24"/>
          <w:szCs w:val="24"/>
          <w:highlight w:val="none"/>
          <w:lang w:val="en-US" w:eastAsia="zh-CN"/>
        </w:rPr>
        <w:t>变更调查，动态更新县级国土调查数据库和林草湿荒调查监测数据库，保持第三次全国国土调查及其变更调查成果的现势性。</w:t>
      </w:r>
    </w:p>
    <w:p w14:paraId="5F00B991">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同时，围绕城市国土空间治理中公共服务配置、生活宜居品质、交通便捷程度、安全韧性水平等重点领域，以最新年度国土变更调查成果为底图，扎实开展卫片监测预警图斑的核实与处置工作，为泗洪县自然资源管理、城市规划建设及可持续发展提供准确、及时的数据支撑与决策依据。</w:t>
      </w:r>
    </w:p>
    <w:p w14:paraId="313E75D9">
      <w:pPr>
        <w:keepNext w:val="0"/>
        <w:keepLines w:val="0"/>
        <w:pageBreakBefore w:val="0"/>
        <w:spacing w:line="480" w:lineRule="exact"/>
        <w:ind w:left="0" w:firstLine="482"/>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rPr>
        <w:t>（</w:t>
      </w:r>
      <w:r>
        <w:rPr>
          <w:rFonts w:hint="eastAsia" w:ascii="宋体" w:hAnsi="宋体" w:cs="宋体"/>
          <w:b/>
          <w:bCs/>
          <w:color w:val="auto"/>
          <w:sz w:val="24"/>
          <w:szCs w:val="24"/>
          <w:lang w:val="en-US" w:eastAsia="zh-CN"/>
        </w:rPr>
        <w:t>二</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highlight w:val="none"/>
          <w:lang w:val="en-US" w:eastAsia="zh-CN"/>
        </w:rPr>
        <w:t>服务</w:t>
      </w:r>
      <w:r>
        <w:rPr>
          <w:rFonts w:hint="eastAsia" w:ascii="宋体" w:hAnsi="宋体" w:cs="宋体"/>
          <w:b/>
          <w:bCs/>
          <w:color w:val="auto"/>
          <w:sz w:val="24"/>
          <w:szCs w:val="24"/>
          <w:highlight w:val="none"/>
          <w:lang w:val="en-US" w:eastAsia="zh-CN"/>
        </w:rPr>
        <w:t>清单</w:t>
      </w:r>
    </w:p>
    <w:tbl>
      <w:tblPr>
        <w:tblStyle w:val="34"/>
        <w:tblW w:w="38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5"/>
        <w:gridCol w:w="1282"/>
        <w:gridCol w:w="1986"/>
      </w:tblGrid>
      <w:tr w14:paraId="57281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498" w:type="pct"/>
            <w:tcBorders>
              <w:top w:val="single" w:color="auto" w:sz="4" w:space="0"/>
              <w:left w:val="single" w:color="auto" w:sz="4" w:space="0"/>
              <w:bottom w:val="single" w:color="auto" w:sz="4" w:space="0"/>
              <w:right w:val="single" w:color="auto" w:sz="4" w:space="0"/>
            </w:tcBorders>
            <w:noWrap w:val="0"/>
            <w:vAlign w:val="center"/>
          </w:tcPr>
          <w:p w14:paraId="22F4F5EA">
            <w:pPr>
              <w:keepNext w:val="0"/>
              <w:keepLines w:val="0"/>
              <w:pageBreakBefore w:val="0"/>
              <w:widowControl w:val="0"/>
              <w:spacing w:after="0" w:line="480" w:lineRule="exact"/>
              <w:ind w:lef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项目</w:t>
            </w:r>
          </w:p>
        </w:tc>
        <w:tc>
          <w:tcPr>
            <w:tcW w:w="981" w:type="pct"/>
            <w:tcBorders>
              <w:top w:val="single" w:color="auto" w:sz="4" w:space="0"/>
              <w:left w:val="single" w:color="auto" w:sz="4" w:space="0"/>
              <w:bottom w:val="single" w:color="auto" w:sz="4" w:space="0"/>
              <w:right w:val="single" w:color="auto" w:sz="4" w:space="0"/>
            </w:tcBorders>
            <w:noWrap w:val="0"/>
            <w:vAlign w:val="center"/>
          </w:tcPr>
          <w:p w14:paraId="43A48CFB">
            <w:pPr>
              <w:keepNext w:val="0"/>
              <w:keepLines w:val="0"/>
              <w:pageBreakBefore w:val="0"/>
              <w:widowControl w:val="0"/>
              <w:spacing w:after="0" w:line="480" w:lineRule="exact"/>
              <w:ind w:lef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数量</w:t>
            </w:r>
          </w:p>
        </w:tc>
        <w:tc>
          <w:tcPr>
            <w:tcW w:w="1519" w:type="pct"/>
            <w:tcBorders>
              <w:top w:val="single" w:color="auto" w:sz="4" w:space="0"/>
              <w:left w:val="single" w:color="auto" w:sz="4" w:space="0"/>
              <w:bottom w:val="single" w:color="auto" w:sz="4" w:space="0"/>
              <w:right w:val="single" w:color="auto" w:sz="4" w:space="0"/>
            </w:tcBorders>
            <w:noWrap w:val="0"/>
            <w:vAlign w:val="center"/>
          </w:tcPr>
          <w:p w14:paraId="552C8CA5">
            <w:pPr>
              <w:keepNext w:val="0"/>
              <w:keepLines w:val="0"/>
              <w:pageBreakBefore w:val="0"/>
              <w:widowControl w:val="0"/>
              <w:spacing w:after="0" w:line="480" w:lineRule="exact"/>
              <w:ind w:lef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单位</w:t>
            </w:r>
          </w:p>
        </w:tc>
      </w:tr>
      <w:tr w14:paraId="114AA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2498" w:type="pct"/>
            <w:tcBorders>
              <w:top w:val="single" w:color="auto" w:sz="4" w:space="0"/>
              <w:left w:val="single" w:color="auto" w:sz="4" w:space="0"/>
              <w:bottom w:val="single" w:color="auto" w:sz="4" w:space="0"/>
              <w:right w:val="single" w:color="auto" w:sz="4" w:space="0"/>
            </w:tcBorders>
            <w:noWrap w:val="0"/>
            <w:vAlign w:val="center"/>
          </w:tcPr>
          <w:p w14:paraId="62BDD7B1">
            <w:pPr>
              <w:keepNext w:val="0"/>
              <w:keepLines w:val="0"/>
              <w:pageBreakBefore w:val="0"/>
              <w:widowControl w:val="0"/>
              <w:spacing w:after="0" w:line="480" w:lineRule="exact"/>
              <w:ind w:left="0" w:firstLine="0"/>
              <w:jc w:val="center"/>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自然资源监测</w:t>
            </w:r>
          </w:p>
        </w:tc>
        <w:tc>
          <w:tcPr>
            <w:tcW w:w="981" w:type="pct"/>
            <w:tcBorders>
              <w:top w:val="single" w:color="auto" w:sz="4" w:space="0"/>
              <w:left w:val="single" w:color="auto" w:sz="4" w:space="0"/>
              <w:bottom w:val="single" w:color="auto" w:sz="4" w:space="0"/>
              <w:right w:val="single" w:color="auto" w:sz="4" w:space="0"/>
            </w:tcBorders>
            <w:noWrap w:val="0"/>
            <w:vAlign w:val="center"/>
          </w:tcPr>
          <w:p w14:paraId="3BAABF76">
            <w:pPr>
              <w:keepNext w:val="0"/>
              <w:keepLines w:val="0"/>
              <w:pageBreakBefore w:val="0"/>
              <w:widowControl w:val="0"/>
              <w:spacing w:after="0" w:line="480" w:lineRule="exact"/>
              <w:ind w:left="0" w:firstLine="0"/>
              <w:jc w:val="center"/>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1</w:t>
            </w:r>
          </w:p>
        </w:tc>
        <w:tc>
          <w:tcPr>
            <w:tcW w:w="1519" w:type="pct"/>
            <w:tcBorders>
              <w:top w:val="single" w:color="auto" w:sz="4" w:space="0"/>
              <w:left w:val="single" w:color="auto" w:sz="4" w:space="0"/>
              <w:bottom w:val="single" w:color="auto" w:sz="4" w:space="0"/>
              <w:right w:val="single" w:color="auto" w:sz="4" w:space="0"/>
            </w:tcBorders>
            <w:noWrap w:val="0"/>
            <w:vAlign w:val="center"/>
          </w:tcPr>
          <w:p w14:paraId="73B0AA57">
            <w:pPr>
              <w:keepNext w:val="0"/>
              <w:keepLines w:val="0"/>
              <w:pageBreakBefore w:val="0"/>
              <w:widowControl w:val="0"/>
              <w:spacing w:after="0" w:line="480" w:lineRule="exact"/>
              <w:ind w:left="0" w:firstLine="0"/>
              <w:jc w:val="center"/>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项</w:t>
            </w:r>
          </w:p>
        </w:tc>
      </w:tr>
      <w:tr w14:paraId="3366E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2498" w:type="pct"/>
            <w:tcBorders>
              <w:top w:val="single" w:color="auto" w:sz="4" w:space="0"/>
              <w:left w:val="single" w:color="auto" w:sz="4" w:space="0"/>
              <w:bottom w:val="single" w:color="auto" w:sz="4" w:space="0"/>
              <w:right w:val="single" w:color="auto" w:sz="4" w:space="0"/>
            </w:tcBorders>
            <w:noWrap w:val="0"/>
            <w:vAlign w:val="center"/>
          </w:tcPr>
          <w:p w14:paraId="30E77538">
            <w:pPr>
              <w:keepNext w:val="0"/>
              <w:keepLines w:val="0"/>
              <w:pageBreakBefore w:val="0"/>
              <w:widowControl w:val="0"/>
              <w:spacing w:after="0" w:line="480" w:lineRule="exact"/>
              <w:ind w:left="0" w:firstLine="0"/>
              <w:jc w:val="center"/>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国土变更调查</w:t>
            </w:r>
          </w:p>
        </w:tc>
        <w:tc>
          <w:tcPr>
            <w:tcW w:w="981" w:type="pct"/>
            <w:tcBorders>
              <w:top w:val="single" w:color="auto" w:sz="4" w:space="0"/>
              <w:left w:val="single" w:color="auto" w:sz="4" w:space="0"/>
              <w:bottom w:val="single" w:color="auto" w:sz="4" w:space="0"/>
              <w:right w:val="single" w:color="auto" w:sz="4" w:space="0"/>
            </w:tcBorders>
            <w:noWrap w:val="0"/>
            <w:vAlign w:val="center"/>
          </w:tcPr>
          <w:p w14:paraId="5AC5FE91">
            <w:pPr>
              <w:keepNext w:val="0"/>
              <w:keepLines w:val="0"/>
              <w:pageBreakBefore w:val="0"/>
              <w:widowControl w:val="0"/>
              <w:spacing w:after="0" w:line="480" w:lineRule="exact"/>
              <w:ind w:lef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p>
        </w:tc>
        <w:tc>
          <w:tcPr>
            <w:tcW w:w="1519" w:type="pct"/>
            <w:tcBorders>
              <w:top w:val="single" w:color="auto" w:sz="4" w:space="0"/>
              <w:left w:val="single" w:color="auto" w:sz="4" w:space="0"/>
              <w:bottom w:val="single" w:color="auto" w:sz="4" w:space="0"/>
              <w:right w:val="single" w:color="auto" w:sz="4" w:space="0"/>
            </w:tcBorders>
            <w:noWrap w:val="0"/>
            <w:vAlign w:val="center"/>
          </w:tcPr>
          <w:p w14:paraId="6103CFC4">
            <w:pPr>
              <w:keepNext w:val="0"/>
              <w:keepLines w:val="0"/>
              <w:pageBreakBefore w:val="0"/>
              <w:widowControl w:val="0"/>
              <w:spacing w:after="0" w:line="480" w:lineRule="exact"/>
              <w:ind w:lef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项</w:t>
            </w:r>
          </w:p>
        </w:tc>
      </w:tr>
      <w:tr w14:paraId="7FF36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2498" w:type="pct"/>
            <w:tcBorders>
              <w:top w:val="single" w:color="auto" w:sz="4" w:space="0"/>
              <w:left w:val="single" w:color="auto" w:sz="4" w:space="0"/>
              <w:bottom w:val="single" w:color="auto" w:sz="4" w:space="0"/>
              <w:right w:val="single" w:color="auto" w:sz="4" w:space="0"/>
            </w:tcBorders>
            <w:noWrap w:val="0"/>
            <w:vAlign w:val="center"/>
          </w:tcPr>
          <w:p w14:paraId="123CB931">
            <w:pPr>
              <w:keepNext w:val="0"/>
              <w:keepLines w:val="0"/>
              <w:pageBreakBefore w:val="0"/>
              <w:widowControl w:val="0"/>
              <w:spacing w:after="0" w:line="480" w:lineRule="exact"/>
              <w:ind w:left="0" w:firstLine="0"/>
              <w:jc w:val="center"/>
              <w:rPr>
                <w:rFonts w:hint="eastAsia" w:ascii="宋体" w:hAnsi="宋体" w:eastAsia="宋体" w:cs="宋体"/>
                <w:b w:val="0"/>
                <w:bCs w:val="0"/>
                <w:color w:val="auto"/>
                <w:sz w:val="24"/>
                <w:szCs w:val="24"/>
                <w:highlight w:val="green"/>
                <w:lang w:val="en-US" w:eastAsia="zh-CN"/>
              </w:rPr>
            </w:pPr>
            <w:r>
              <w:rPr>
                <w:rFonts w:hint="default" w:ascii="Times New Roman" w:hAnsi="Times New Roman" w:cs="Times New Roman"/>
                <w:sz w:val="24"/>
                <w:highlight w:val="none"/>
              </w:rPr>
              <w:t>森林草原湿地调查监测</w:t>
            </w:r>
          </w:p>
        </w:tc>
        <w:tc>
          <w:tcPr>
            <w:tcW w:w="981" w:type="pct"/>
            <w:tcBorders>
              <w:top w:val="single" w:color="auto" w:sz="4" w:space="0"/>
              <w:left w:val="single" w:color="auto" w:sz="4" w:space="0"/>
              <w:bottom w:val="single" w:color="auto" w:sz="4" w:space="0"/>
              <w:right w:val="single" w:color="auto" w:sz="4" w:space="0"/>
            </w:tcBorders>
            <w:noWrap w:val="0"/>
            <w:vAlign w:val="center"/>
          </w:tcPr>
          <w:p w14:paraId="3DF7DEA0">
            <w:pPr>
              <w:keepNext w:val="0"/>
              <w:keepLines w:val="0"/>
              <w:pageBreakBefore w:val="0"/>
              <w:widowControl w:val="0"/>
              <w:spacing w:after="0" w:line="480" w:lineRule="exact"/>
              <w:ind w:left="0" w:firstLine="0"/>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1</w:t>
            </w:r>
          </w:p>
        </w:tc>
        <w:tc>
          <w:tcPr>
            <w:tcW w:w="1519" w:type="pct"/>
            <w:tcBorders>
              <w:top w:val="single" w:color="auto" w:sz="4" w:space="0"/>
              <w:left w:val="single" w:color="auto" w:sz="4" w:space="0"/>
              <w:bottom w:val="single" w:color="auto" w:sz="4" w:space="0"/>
              <w:right w:val="single" w:color="auto" w:sz="4" w:space="0"/>
            </w:tcBorders>
            <w:noWrap w:val="0"/>
            <w:vAlign w:val="center"/>
          </w:tcPr>
          <w:p w14:paraId="7B392196">
            <w:pPr>
              <w:keepNext w:val="0"/>
              <w:keepLines w:val="0"/>
              <w:pageBreakBefore w:val="0"/>
              <w:widowControl w:val="0"/>
              <w:spacing w:after="0" w:line="480" w:lineRule="exact"/>
              <w:ind w:left="0" w:firstLine="0"/>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项</w:t>
            </w:r>
          </w:p>
        </w:tc>
      </w:tr>
      <w:tr w14:paraId="7AC08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2498" w:type="pct"/>
            <w:tcBorders>
              <w:top w:val="single" w:color="auto" w:sz="4" w:space="0"/>
              <w:left w:val="single" w:color="auto" w:sz="4" w:space="0"/>
              <w:bottom w:val="single" w:color="auto" w:sz="4" w:space="0"/>
              <w:right w:val="single" w:color="auto" w:sz="4" w:space="0"/>
            </w:tcBorders>
            <w:noWrap w:val="0"/>
            <w:vAlign w:val="center"/>
          </w:tcPr>
          <w:p w14:paraId="269629E7">
            <w:pPr>
              <w:keepNext w:val="0"/>
              <w:keepLines w:val="0"/>
              <w:pageBreakBefore w:val="0"/>
              <w:widowControl w:val="0"/>
              <w:spacing w:after="0" w:line="480" w:lineRule="exact"/>
              <w:ind w:left="0" w:firstLine="0"/>
              <w:jc w:val="center"/>
              <w:rPr>
                <w:rFonts w:hint="eastAsia" w:ascii="宋体" w:hAnsi="宋体" w:eastAsia="宋体" w:cs="宋体"/>
                <w:b w:val="0"/>
                <w:bCs w:val="0"/>
                <w:color w:val="auto"/>
                <w:sz w:val="24"/>
                <w:szCs w:val="24"/>
                <w:highlight w:val="green"/>
                <w:lang w:val="en-US" w:eastAsia="zh-CN"/>
              </w:rPr>
            </w:pPr>
            <w:r>
              <w:rPr>
                <w:rFonts w:hint="eastAsia" w:ascii="Times New Roman" w:hAnsi="Times New Roman" w:cs="Times New Roman"/>
                <w:sz w:val="24"/>
                <w:highlight w:val="none"/>
                <w:lang w:val="en-US" w:eastAsia="zh-CN"/>
              </w:rPr>
              <w:t>卫片监测预警图斑核实处置</w:t>
            </w:r>
          </w:p>
        </w:tc>
        <w:tc>
          <w:tcPr>
            <w:tcW w:w="981" w:type="pct"/>
            <w:tcBorders>
              <w:top w:val="single" w:color="auto" w:sz="4" w:space="0"/>
              <w:left w:val="single" w:color="auto" w:sz="4" w:space="0"/>
              <w:bottom w:val="single" w:color="auto" w:sz="4" w:space="0"/>
              <w:right w:val="single" w:color="auto" w:sz="4" w:space="0"/>
            </w:tcBorders>
            <w:noWrap w:val="0"/>
            <w:vAlign w:val="center"/>
          </w:tcPr>
          <w:p w14:paraId="7155F940">
            <w:pPr>
              <w:keepNext w:val="0"/>
              <w:keepLines w:val="0"/>
              <w:pageBreakBefore w:val="0"/>
              <w:widowControl w:val="0"/>
              <w:spacing w:after="0" w:line="480" w:lineRule="exact"/>
              <w:ind w:left="0" w:firstLine="0"/>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1</w:t>
            </w:r>
          </w:p>
        </w:tc>
        <w:tc>
          <w:tcPr>
            <w:tcW w:w="1519" w:type="pct"/>
            <w:tcBorders>
              <w:top w:val="single" w:color="auto" w:sz="4" w:space="0"/>
              <w:left w:val="single" w:color="auto" w:sz="4" w:space="0"/>
              <w:bottom w:val="single" w:color="auto" w:sz="4" w:space="0"/>
              <w:right w:val="single" w:color="auto" w:sz="4" w:space="0"/>
            </w:tcBorders>
            <w:noWrap w:val="0"/>
            <w:vAlign w:val="center"/>
          </w:tcPr>
          <w:p w14:paraId="6580ED95">
            <w:pPr>
              <w:keepNext w:val="0"/>
              <w:keepLines w:val="0"/>
              <w:pageBreakBefore w:val="0"/>
              <w:widowControl w:val="0"/>
              <w:spacing w:after="0" w:line="480" w:lineRule="exact"/>
              <w:ind w:left="0" w:firstLine="0"/>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项</w:t>
            </w:r>
          </w:p>
        </w:tc>
      </w:tr>
    </w:tbl>
    <w:p w14:paraId="397F0229">
      <w:pPr>
        <w:keepNext w:val="0"/>
        <w:keepLines w:val="0"/>
        <w:pageBreakBefore w:val="0"/>
        <w:spacing w:line="480" w:lineRule="exact"/>
        <w:ind w:left="0" w:firstLine="482"/>
        <w:outlineLvl w:val="1"/>
        <w:rPr>
          <w:rFonts w:hint="eastAsia"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三、主要工作内容与技术要点</w:t>
      </w:r>
    </w:p>
    <w:p w14:paraId="30A97A32">
      <w:pPr>
        <w:keepNext w:val="0"/>
        <w:keepLines w:val="0"/>
        <w:pageBreakBefore w:val="0"/>
        <w:spacing w:line="480" w:lineRule="exact"/>
        <w:ind w:left="0" w:firstLine="482"/>
        <w:outlineLvl w:val="2"/>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（一）2026年一体化调查监测</w:t>
      </w:r>
    </w:p>
    <w:p w14:paraId="2A15326B">
      <w:pPr>
        <w:keepNext w:val="0"/>
        <w:keepLines w:val="0"/>
        <w:pageBreakBefore w:val="0"/>
        <w:spacing w:line="480" w:lineRule="exact"/>
        <w:ind w:left="0" w:firstLine="482"/>
        <w:outlineLvl w:val="3"/>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 自然资源监测</w:t>
      </w:r>
    </w:p>
    <w:p w14:paraId="1FE0A71E">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自然资源监测是2026年一体化调查监测的重要组成部分，聚焦土地利用与植被覆盖类型年度变化信息监测，依托国家共享或自主获取的最新高分遥感影像提取变化信息，依据县级林草经营和工程建设数字档案材料获取变化信息，通过"一张图"平台共享参考使用部自然资源监测成果和局林草预警遥感判读成果。城市国土空间监测作为自然资源监测的专项内容同步开展。</w:t>
      </w:r>
    </w:p>
    <w:p w14:paraId="6F2D90CE">
      <w:pPr>
        <w:keepNext w:val="0"/>
        <w:keepLines w:val="0"/>
        <w:pageBreakBefore w:val="0"/>
        <w:spacing w:line="480" w:lineRule="exact"/>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（1）城市国土空间监测</w:t>
      </w:r>
    </w:p>
    <w:p w14:paraId="094D6A5F">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①</w:t>
      </w:r>
      <w:r>
        <w:rPr>
          <w:rFonts w:hint="eastAsia" w:ascii="宋体" w:hAnsi="宋体" w:eastAsia="宋体" w:cs="宋体"/>
          <w:b w:val="0"/>
          <w:bCs w:val="0"/>
          <w:color w:val="auto"/>
          <w:sz w:val="24"/>
          <w:szCs w:val="24"/>
          <w:highlight w:val="none"/>
          <w:lang w:val="en-US" w:eastAsia="zh-CN"/>
        </w:rPr>
        <w:t>遥感影像收集</w:t>
      </w:r>
    </w:p>
    <w:p w14:paraId="5A034D4D">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统一采用部省下发的卫星遥感影像数据，也可收集时相为2025年、1米分辨率或者更高分辨率的正射影像数据，选择其中时相较新、分辨率更优的用于城市国土空间监测。</w:t>
      </w:r>
    </w:p>
    <w:p w14:paraId="03C7E010">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②</w:t>
      </w:r>
      <w:r>
        <w:rPr>
          <w:rFonts w:hint="eastAsia" w:ascii="宋体" w:hAnsi="宋体" w:eastAsia="宋体" w:cs="宋体"/>
          <w:b w:val="0"/>
          <w:bCs w:val="0"/>
          <w:color w:val="auto"/>
          <w:sz w:val="24"/>
          <w:szCs w:val="24"/>
          <w:highlight w:val="none"/>
          <w:lang w:val="en-US" w:eastAsia="zh-CN"/>
        </w:rPr>
        <w:t>资料收集与整理</w:t>
      </w:r>
    </w:p>
    <w:p w14:paraId="102B2E2A">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利用地籍调查和不动产登记、城市大比例尺基础测绘、数字城市、智慧城市等工作成果，收集教育、公安、民政、生态环境、住建、交通、水利、文化旅游、卫生健康、应急、市场监管、体育、统计、能源管理、邮政等行业，现势性为202</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en-US" w:eastAsia="zh-CN"/>
        </w:rPr>
        <w:t>年1月1日之后的专题资料、POI数据，为确定各类监测对象空间位置、范围和属性做参考和指引。</w:t>
      </w:r>
    </w:p>
    <w:p w14:paraId="5697B099">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③</w:t>
      </w:r>
      <w:r>
        <w:rPr>
          <w:rFonts w:hint="eastAsia" w:ascii="宋体" w:hAnsi="宋体" w:eastAsia="宋体" w:cs="宋体"/>
          <w:b w:val="0"/>
          <w:bCs w:val="0"/>
          <w:color w:val="auto"/>
          <w:sz w:val="24"/>
          <w:szCs w:val="24"/>
          <w:highlight w:val="none"/>
          <w:lang w:val="en-US" w:eastAsia="zh-CN"/>
        </w:rPr>
        <w:t>监测内容</w:t>
      </w:r>
    </w:p>
    <w:p w14:paraId="05DF34BB">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以2025年城市国土空间监测成果为底图，结合国家下发的2025年城市国土空间监测数据，以2026年遥感影像和专题资料为指引，利用多种技术手段，结合实地调查，通过细化采集、补充采集（更新）、变化提取等方式，确定相关监测要素的位置、占地范围和相关属性等。2026年保持数据总体稳定，除新建、拆除、废弃、用途变化等重大变化以及新增监测要素情况外，对于其它非重大变化，根据实际需求可不作更新。</w:t>
      </w:r>
    </w:p>
    <w:p w14:paraId="7B2BD347">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监测工作以土地利用现状为依据，在变更调查成果地类基础上进一步细化地类，并确定监测要素的空间位置、占地范围、面积(长度)、相关属性等。主要包括以下监测要素：</w:t>
      </w:r>
    </w:p>
    <w:tbl>
      <w:tblPr>
        <w:tblStyle w:val="3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
        <w:gridCol w:w="2129"/>
        <w:gridCol w:w="5532"/>
      </w:tblGrid>
      <w:tr w14:paraId="6487A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Header/>
        </w:trPr>
        <w:tc>
          <w:tcPr>
            <w:tcW w:w="861" w:type="dxa"/>
            <w:shd w:val="clear" w:color="auto" w:fill="BEBEBE"/>
            <w:noWrap w:val="0"/>
            <w:vAlign w:val="center"/>
          </w:tcPr>
          <w:p w14:paraId="52D378B0">
            <w:pPr>
              <w:keepNext w:val="0"/>
              <w:keepLines w:val="0"/>
              <w:widowControl/>
              <w:suppressLineNumbers w:val="0"/>
              <w:ind w:left="0" w:right="0" w:firstLine="0"/>
              <w:jc w:val="center"/>
              <w:rPr>
                <w:b/>
                <w:bCs/>
                <w:i w:val="0"/>
                <w:iCs w:val="0"/>
                <w:color w:val="auto"/>
                <w:sz w:val="21"/>
                <w:szCs w:val="21"/>
                <w:u w:val="none"/>
              </w:rPr>
            </w:pPr>
            <w:r>
              <w:rPr>
                <w:rFonts w:hint="default"/>
                <w:b/>
                <w:bCs/>
                <w:i w:val="0"/>
                <w:iCs w:val="0"/>
                <w:color w:val="auto"/>
                <w:sz w:val="21"/>
                <w:szCs w:val="21"/>
                <w:u w:val="none"/>
                <w:lang w:val="en-US" w:eastAsia="zh-CN" w:bidi="ar"/>
              </w:rPr>
              <w:t>序号</w:t>
            </w:r>
          </w:p>
        </w:tc>
        <w:tc>
          <w:tcPr>
            <w:tcW w:w="0" w:type="auto"/>
            <w:shd w:val="clear" w:color="auto" w:fill="BEBEBE"/>
            <w:noWrap w:val="0"/>
            <w:vAlign w:val="center"/>
          </w:tcPr>
          <w:p w14:paraId="5EE6357E">
            <w:pPr>
              <w:keepNext w:val="0"/>
              <w:keepLines w:val="0"/>
              <w:widowControl/>
              <w:suppressLineNumbers w:val="0"/>
              <w:ind w:left="0" w:right="0" w:firstLine="0"/>
              <w:jc w:val="center"/>
              <w:rPr>
                <w:rFonts w:hint="default"/>
                <w:b/>
                <w:bCs/>
                <w:i w:val="0"/>
                <w:iCs w:val="0"/>
                <w:color w:val="auto"/>
                <w:sz w:val="21"/>
                <w:szCs w:val="21"/>
                <w:u w:val="none"/>
              </w:rPr>
            </w:pPr>
            <w:r>
              <w:rPr>
                <w:rFonts w:hint="default"/>
                <w:b/>
                <w:bCs/>
                <w:i w:val="0"/>
                <w:iCs w:val="0"/>
                <w:color w:val="auto"/>
                <w:sz w:val="21"/>
                <w:szCs w:val="21"/>
                <w:u w:val="none"/>
                <w:lang w:val="en-US" w:eastAsia="zh-CN" w:bidi="ar"/>
              </w:rPr>
              <w:t>目标</w:t>
            </w:r>
          </w:p>
        </w:tc>
        <w:tc>
          <w:tcPr>
            <w:tcW w:w="5532" w:type="dxa"/>
            <w:shd w:val="clear" w:color="auto" w:fill="BEBEBE"/>
            <w:noWrap w:val="0"/>
            <w:vAlign w:val="center"/>
          </w:tcPr>
          <w:p w14:paraId="1FA89382">
            <w:pPr>
              <w:keepNext w:val="0"/>
              <w:keepLines w:val="0"/>
              <w:widowControl/>
              <w:suppressLineNumbers w:val="0"/>
              <w:ind w:left="0" w:right="0" w:firstLine="0"/>
              <w:jc w:val="center"/>
              <w:rPr>
                <w:rFonts w:hint="default"/>
                <w:b/>
                <w:bCs/>
                <w:i w:val="0"/>
                <w:iCs w:val="0"/>
                <w:color w:val="auto"/>
                <w:sz w:val="21"/>
                <w:szCs w:val="21"/>
                <w:u w:val="none"/>
              </w:rPr>
            </w:pPr>
            <w:r>
              <w:rPr>
                <w:rFonts w:hint="default"/>
                <w:b/>
                <w:bCs/>
                <w:i w:val="0"/>
                <w:iCs w:val="0"/>
                <w:color w:val="auto"/>
                <w:sz w:val="21"/>
                <w:szCs w:val="21"/>
                <w:u w:val="none"/>
                <w:lang w:val="en-US" w:eastAsia="zh-CN" w:bidi="ar"/>
              </w:rPr>
              <w:t>监测要素</w:t>
            </w:r>
          </w:p>
        </w:tc>
      </w:tr>
      <w:tr w14:paraId="50617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1" w:type="dxa"/>
            <w:shd w:val="clear" w:color="auto" w:fill="auto"/>
            <w:noWrap/>
            <w:vAlign w:val="center"/>
          </w:tcPr>
          <w:p w14:paraId="3C79E46D">
            <w:pPr>
              <w:keepNext w:val="0"/>
              <w:keepLines w:val="0"/>
              <w:widowControl/>
              <w:suppressLineNumbers w:val="0"/>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0" w:type="auto"/>
            <w:shd w:val="clear" w:color="auto" w:fill="auto"/>
            <w:noWrap/>
            <w:vAlign w:val="center"/>
          </w:tcPr>
          <w:p w14:paraId="08648B08">
            <w:pPr>
              <w:keepNext w:val="0"/>
              <w:keepLines w:val="0"/>
              <w:widowControl/>
              <w:suppressLineNumbers w:val="0"/>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住宅情况</w:t>
            </w:r>
          </w:p>
        </w:tc>
        <w:tc>
          <w:tcPr>
            <w:tcW w:w="5532" w:type="dxa"/>
            <w:shd w:val="clear" w:color="auto" w:fill="FFFFFF"/>
            <w:noWrap w:val="0"/>
            <w:vAlign w:val="center"/>
          </w:tcPr>
          <w:p w14:paraId="4B9E5456">
            <w:pPr>
              <w:keepNext w:val="0"/>
              <w:keepLines w:val="0"/>
              <w:widowControl/>
              <w:suppressLineNumbers w:val="0"/>
              <w:ind w:left="0" w:right="0" w:firstLine="0"/>
              <w:jc w:val="left"/>
              <w:rPr>
                <w:i w:val="0"/>
                <w:iCs w:val="0"/>
                <w:color w:val="auto"/>
                <w:sz w:val="21"/>
                <w:szCs w:val="21"/>
                <w:u w:val="none"/>
              </w:rPr>
            </w:pPr>
            <w:r>
              <w:rPr>
                <w:rFonts w:hint="default"/>
                <w:i w:val="0"/>
                <w:iCs w:val="0"/>
                <w:color w:val="auto"/>
                <w:sz w:val="21"/>
                <w:szCs w:val="21"/>
                <w:u w:val="none"/>
                <w:lang w:val="en-US" w:eastAsia="zh-CN" w:bidi="ar"/>
              </w:rPr>
              <w:t>商品住房（地上）、保障性住房（地上）</w:t>
            </w:r>
          </w:p>
        </w:tc>
      </w:tr>
      <w:tr w14:paraId="344AC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861" w:type="dxa"/>
            <w:shd w:val="clear" w:color="auto" w:fill="auto"/>
            <w:noWrap/>
            <w:vAlign w:val="center"/>
          </w:tcPr>
          <w:p w14:paraId="6519342B">
            <w:pPr>
              <w:keepNext w:val="0"/>
              <w:keepLines w:val="0"/>
              <w:widowControl/>
              <w:suppressLineNumbers w:val="0"/>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0" w:type="auto"/>
            <w:shd w:val="clear" w:color="auto" w:fill="auto"/>
            <w:noWrap/>
            <w:vAlign w:val="center"/>
          </w:tcPr>
          <w:p w14:paraId="7A49942C">
            <w:pPr>
              <w:keepNext w:val="0"/>
              <w:keepLines w:val="0"/>
              <w:widowControl/>
              <w:suppressLineNumbers w:val="0"/>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就学教育情况</w:t>
            </w:r>
          </w:p>
        </w:tc>
        <w:tc>
          <w:tcPr>
            <w:tcW w:w="5532" w:type="dxa"/>
            <w:shd w:val="clear" w:color="auto" w:fill="FFFFFF"/>
            <w:noWrap w:val="0"/>
            <w:vAlign w:val="center"/>
          </w:tcPr>
          <w:p w14:paraId="4F4784F4">
            <w:pPr>
              <w:keepNext w:val="0"/>
              <w:keepLines w:val="0"/>
              <w:widowControl/>
              <w:suppressLineNumbers w:val="0"/>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高等院校（含军事院校）、中等职业学校、特殊教育学校、中小学、幼托机构、专门学校（工读学校）</w:t>
            </w:r>
          </w:p>
        </w:tc>
      </w:tr>
      <w:tr w14:paraId="464E0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1" w:type="dxa"/>
            <w:shd w:val="clear" w:color="auto" w:fill="auto"/>
            <w:noWrap/>
            <w:vAlign w:val="center"/>
          </w:tcPr>
          <w:p w14:paraId="5FDD3614">
            <w:pPr>
              <w:keepNext w:val="0"/>
              <w:keepLines w:val="0"/>
              <w:widowControl/>
              <w:suppressLineNumbers w:val="0"/>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0" w:type="auto"/>
            <w:shd w:val="clear" w:color="auto" w:fill="auto"/>
            <w:noWrap/>
            <w:vAlign w:val="center"/>
          </w:tcPr>
          <w:p w14:paraId="7094DE83">
            <w:pPr>
              <w:keepNext w:val="0"/>
              <w:keepLines w:val="0"/>
              <w:widowControl/>
              <w:suppressLineNumbers w:val="0"/>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医疗情况</w:t>
            </w:r>
          </w:p>
        </w:tc>
        <w:tc>
          <w:tcPr>
            <w:tcW w:w="5532" w:type="dxa"/>
            <w:shd w:val="clear" w:color="auto" w:fill="FFFFFF"/>
            <w:noWrap w:val="0"/>
            <w:vAlign w:val="center"/>
          </w:tcPr>
          <w:p w14:paraId="1EE9B7F7">
            <w:pPr>
              <w:keepNext w:val="0"/>
              <w:keepLines w:val="0"/>
              <w:widowControl/>
              <w:suppressLineNumbers w:val="0"/>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医院、社区卫生服务设施</w:t>
            </w:r>
          </w:p>
        </w:tc>
      </w:tr>
      <w:tr w14:paraId="6B6EB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61" w:type="dxa"/>
            <w:shd w:val="clear" w:color="auto" w:fill="auto"/>
            <w:noWrap/>
            <w:vAlign w:val="center"/>
          </w:tcPr>
          <w:p w14:paraId="71D60BAB">
            <w:pPr>
              <w:keepNext w:val="0"/>
              <w:keepLines w:val="0"/>
              <w:widowControl/>
              <w:suppressLineNumbers w:val="0"/>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0" w:type="auto"/>
            <w:shd w:val="clear" w:color="auto" w:fill="auto"/>
            <w:noWrap/>
            <w:vAlign w:val="center"/>
          </w:tcPr>
          <w:p w14:paraId="199A067B">
            <w:pPr>
              <w:keepNext w:val="0"/>
              <w:keepLines w:val="0"/>
              <w:widowControl/>
              <w:suppressLineNumbers w:val="0"/>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社会福利情况</w:t>
            </w:r>
          </w:p>
        </w:tc>
        <w:tc>
          <w:tcPr>
            <w:tcW w:w="5532" w:type="dxa"/>
            <w:shd w:val="clear" w:color="auto" w:fill="FFFFFF"/>
            <w:noWrap w:val="0"/>
            <w:vAlign w:val="center"/>
          </w:tcPr>
          <w:p w14:paraId="72607F03">
            <w:pPr>
              <w:keepNext w:val="0"/>
              <w:keepLines w:val="0"/>
              <w:widowControl/>
              <w:suppressLineNumbers w:val="0"/>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养老设施、儿童社会福利设施、残疾人福利设施</w:t>
            </w:r>
          </w:p>
        </w:tc>
      </w:tr>
      <w:tr w14:paraId="38AE7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61" w:type="dxa"/>
            <w:shd w:val="clear" w:color="auto" w:fill="auto"/>
            <w:noWrap/>
            <w:vAlign w:val="center"/>
          </w:tcPr>
          <w:p w14:paraId="4ED3D181">
            <w:pPr>
              <w:keepNext w:val="0"/>
              <w:keepLines w:val="0"/>
              <w:widowControl/>
              <w:suppressLineNumbers w:val="0"/>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c>
          <w:tcPr>
            <w:tcW w:w="0" w:type="auto"/>
            <w:shd w:val="clear" w:color="auto" w:fill="auto"/>
            <w:noWrap/>
            <w:vAlign w:val="center"/>
          </w:tcPr>
          <w:p w14:paraId="3FC16EF1">
            <w:pPr>
              <w:keepNext w:val="0"/>
              <w:keepLines w:val="0"/>
              <w:widowControl/>
              <w:suppressLineNumbers w:val="0"/>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文体活动情况</w:t>
            </w:r>
          </w:p>
        </w:tc>
        <w:tc>
          <w:tcPr>
            <w:tcW w:w="5532" w:type="dxa"/>
            <w:shd w:val="clear" w:color="auto" w:fill="FFFFFF"/>
            <w:noWrap w:val="0"/>
            <w:vAlign w:val="center"/>
          </w:tcPr>
          <w:p w14:paraId="6F039EB2">
            <w:pPr>
              <w:keepNext w:val="0"/>
              <w:keepLines w:val="0"/>
              <w:widowControl/>
              <w:suppressLineNumbers w:val="0"/>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文化艺术场馆、社区文化活动设施、体育场馆（含独立足球场）</w:t>
            </w:r>
          </w:p>
        </w:tc>
      </w:tr>
      <w:tr w14:paraId="2F301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861" w:type="dxa"/>
            <w:shd w:val="clear" w:color="auto" w:fill="auto"/>
            <w:noWrap/>
            <w:vAlign w:val="center"/>
          </w:tcPr>
          <w:p w14:paraId="07723A45">
            <w:pPr>
              <w:keepNext w:val="0"/>
              <w:keepLines w:val="0"/>
              <w:widowControl/>
              <w:suppressLineNumbers w:val="0"/>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6</w:t>
            </w:r>
          </w:p>
        </w:tc>
        <w:tc>
          <w:tcPr>
            <w:tcW w:w="0" w:type="auto"/>
            <w:shd w:val="clear" w:color="auto" w:fill="auto"/>
            <w:noWrap/>
            <w:vAlign w:val="center"/>
          </w:tcPr>
          <w:p w14:paraId="3EDD2A7F">
            <w:pPr>
              <w:keepNext w:val="0"/>
              <w:keepLines w:val="0"/>
              <w:widowControl/>
              <w:suppressLineNumbers w:val="0"/>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交通情况</w:t>
            </w:r>
          </w:p>
        </w:tc>
        <w:tc>
          <w:tcPr>
            <w:tcW w:w="5532" w:type="dxa"/>
            <w:shd w:val="clear" w:color="auto" w:fill="FFFFFF"/>
            <w:noWrap w:val="0"/>
            <w:vAlign w:val="center"/>
          </w:tcPr>
          <w:p w14:paraId="74D48256">
            <w:pPr>
              <w:keepNext w:val="0"/>
              <w:keepLines w:val="0"/>
              <w:widowControl/>
              <w:suppressLineNumbers w:val="0"/>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高速公路服务区、轨道交通站点（地铁站）、对外交通场站、公共交通场站、地上公共停车场（停车楼）、机场</w:t>
            </w:r>
          </w:p>
        </w:tc>
      </w:tr>
      <w:tr w14:paraId="0565A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61" w:type="dxa"/>
            <w:shd w:val="clear" w:color="auto" w:fill="auto"/>
            <w:noWrap/>
            <w:vAlign w:val="center"/>
          </w:tcPr>
          <w:p w14:paraId="7EE46E5F">
            <w:pPr>
              <w:keepNext w:val="0"/>
              <w:keepLines w:val="0"/>
              <w:widowControl/>
              <w:suppressLineNumbers w:val="0"/>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c>
          <w:tcPr>
            <w:tcW w:w="0" w:type="auto"/>
            <w:shd w:val="clear" w:color="auto" w:fill="auto"/>
            <w:noWrap/>
            <w:vAlign w:val="center"/>
          </w:tcPr>
          <w:p w14:paraId="135A8A54">
            <w:pPr>
              <w:keepNext w:val="0"/>
              <w:keepLines w:val="0"/>
              <w:widowControl/>
              <w:suppressLineNumbers w:val="0"/>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公用设施情况</w:t>
            </w:r>
          </w:p>
        </w:tc>
        <w:tc>
          <w:tcPr>
            <w:tcW w:w="5532" w:type="dxa"/>
            <w:shd w:val="clear" w:color="auto" w:fill="FFFFFF"/>
            <w:noWrap w:val="0"/>
            <w:vAlign w:val="center"/>
          </w:tcPr>
          <w:p w14:paraId="0DB12ADC">
            <w:pPr>
              <w:keepNext w:val="0"/>
              <w:keepLines w:val="0"/>
              <w:widowControl/>
              <w:suppressLineNumbers w:val="0"/>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自来水厂、污水处理厂、垃圾集中处理设施、消防站、邮政局（所）、供热厂</w:t>
            </w:r>
          </w:p>
        </w:tc>
      </w:tr>
      <w:tr w14:paraId="70D89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1" w:type="dxa"/>
            <w:shd w:val="clear" w:color="auto" w:fill="auto"/>
            <w:noWrap/>
            <w:vAlign w:val="center"/>
          </w:tcPr>
          <w:p w14:paraId="7BE0A7F0">
            <w:pPr>
              <w:keepNext w:val="0"/>
              <w:keepLines w:val="0"/>
              <w:widowControl/>
              <w:suppressLineNumbers w:val="0"/>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w:t>
            </w:r>
          </w:p>
        </w:tc>
        <w:tc>
          <w:tcPr>
            <w:tcW w:w="0" w:type="auto"/>
            <w:shd w:val="clear" w:color="auto" w:fill="auto"/>
            <w:noWrap/>
            <w:vAlign w:val="center"/>
          </w:tcPr>
          <w:p w14:paraId="5D16237B">
            <w:pPr>
              <w:keepNext w:val="0"/>
              <w:keepLines w:val="0"/>
              <w:widowControl/>
              <w:suppressLineNumbers w:val="0"/>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公园与绿地情况</w:t>
            </w:r>
          </w:p>
        </w:tc>
        <w:tc>
          <w:tcPr>
            <w:tcW w:w="5532" w:type="dxa"/>
            <w:shd w:val="clear" w:color="auto" w:fill="FFFFFF"/>
            <w:noWrap w:val="0"/>
            <w:vAlign w:val="center"/>
          </w:tcPr>
          <w:p w14:paraId="4F6809A3">
            <w:pPr>
              <w:keepNext w:val="0"/>
              <w:keepLines w:val="0"/>
              <w:widowControl/>
              <w:suppressLineNumbers w:val="0"/>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公园、绿地、广场</w:t>
            </w:r>
          </w:p>
        </w:tc>
      </w:tr>
      <w:tr w14:paraId="74F19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1" w:type="dxa"/>
            <w:shd w:val="clear" w:color="auto" w:fill="auto"/>
            <w:noWrap/>
            <w:vAlign w:val="center"/>
          </w:tcPr>
          <w:p w14:paraId="71761278">
            <w:pPr>
              <w:keepNext w:val="0"/>
              <w:keepLines w:val="0"/>
              <w:widowControl/>
              <w:suppressLineNumbers w:val="0"/>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9</w:t>
            </w:r>
          </w:p>
        </w:tc>
        <w:tc>
          <w:tcPr>
            <w:tcW w:w="0" w:type="auto"/>
            <w:shd w:val="clear" w:color="auto" w:fill="auto"/>
            <w:noWrap/>
            <w:vAlign w:val="center"/>
          </w:tcPr>
          <w:p w14:paraId="7427420F">
            <w:pPr>
              <w:keepNext w:val="0"/>
              <w:keepLines w:val="0"/>
              <w:widowControl/>
              <w:suppressLineNumbers w:val="0"/>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殡葬设施情况</w:t>
            </w:r>
          </w:p>
        </w:tc>
        <w:tc>
          <w:tcPr>
            <w:tcW w:w="5532" w:type="dxa"/>
            <w:shd w:val="clear" w:color="auto" w:fill="FFFFFF"/>
            <w:noWrap w:val="0"/>
            <w:vAlign w:val="center"/>
          </w:tcPr>
          <w:p w14:paraId="5011A5A8">
            <w:pPr>
              <w:keepNext w:val="0"/>
              <w:keepLines w:val="0"/>
              <w:widowControl/>
              <w:suppressLineNumbers w:val="0"/>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殡葬设施</w:t>
            </w:r>
          </w:p>
        </w:tc>
      </w:tr>
      <w:tr w14:paraId="3C5E0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1" w:type="dxa"/>
            <w:shd w:val="clear" w:color="auto" w:fill="auto"/>
            <w:noWrap/>
            <w:vAlign w:val="center"/>
          </w:tcPr>
          <w:p w14:paraId="4E7DFDD4">
            <w:pPr>
              <w:keepNext w:val="0"/>
              <w:keepLines w:val="0"/>
              <w:widowControl/>
              <w:suppressLineNumbers w:val="0"/>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10</w:t>
            </w:r>
          </w:p>
        </w:tc>
        <w:tc>
          <w:tcPr>
            <w:tcW w:w="0" w:type="auto"/>
            <w:shd w:val="clear" w:color="auto" w:fill="auto"/>
            <w:noWrap/>
            <w:vAlign w:val="center"/>
          </w:tcPr>
          <w:p w14:paraId="27DA8632">
            <w:pPr>
              <w:keepNext w:val="0"/>
              <w:keepLines w:val="0"/>
              <w:widowControl/>
              <w:suppressLineNumbers w:val="0"/>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水利设施情况</w:t>
            </w:r>
          </w:p>
        </w:tc>
        <w:tc>
          <w:tcPr>
            <w:tcW w:w="5532" w:type="dxa"/>
            <w:shd w:val="clear" w:color="auto" w:fill="FFFFFF"/>
            <w:noWrap w:val="0"/>
            <w:vAlign w:val="center"/>
          </w:tcPr>
          <w:p w14:paraId="0FF41D26">
            <w:pPr>
              <w:keepNext w:val="0"/>
              <w:keepLines w:val="0"/>
              <w:widowControl/>
              <w:suppressLineNumbers w:val="0"/>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水电站</w:t>
            </w:r>
          </w:p>
        </w:tc>
      </w:tr>
      <w:tr w14:paraId="1DE7B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1" w:type="dxa"/>
            <w:shd w:val="clear" w:color="auto" w:fill="auto"/>
            <w:noWrap/>
            <w:vAlign w:val="center"/>
          </w:tcPr>
          <w:p w14:paraId="0054D7BA">
            <w:pPr>
              <w:keepNext w:val="0"/>
              <w:keepLines w:val="0"/>
              <w:widowControl/>
              <w:suppressLineNumbers w:val="0"/>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11</w:t>
            </w:r>
          </w:p>
        </w:tc>
        <w:tc>
          <w:tcPr>
            <w:tcW w:w="0" w:type="auto"/>
            <w:shd w:val="clear" w:color="auto" w:fill="auto"/>
            <w:noWrap/>
            <w:vAlign w:val="center"/>
          </w:tcPr>
          <w:p w14:paraId="098FFE71">
            <w:pPr>
              <w:keepNext w:val="0"/>
              <w:keepLines w:val="0"/>
              <w:widowControl/>
              <w:suppressLineNumbers w:val="0"/>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商业服务业设施情况</w:t>
            </w:r>
          </w:p>
        </w:tc>
        <w:tc>
          <w:tcPr>
            <w:tcW w:w="5532" w:type="dxa"/>
            <w:shd w:val="clear" w:color="auto" w:fill="FFFFFF"/>
            <w:noWrap w:val="0"/>
            <w:vAlign w:val="center"/>
          </w:tcPr>
          <w:p w14:paraId="10E1213B">
            <w:pPr>
              <w:keepNext w:val="0"/>
              <w:keepLines w:val="0"/>
              <w:widowControl/>
              <w:suppressLineNumbers w:val="0"/>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零售商业场所、旅馆、商务办公场所</w:t>
            </w:r>
          </w:p>
        </w:tc>
      </w:tr>
      <w:tr w14:paraId="16F18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61" w:type="dxa"/>
            <w:shd w:val="clear" w:color="auto" w:fill="auto"/>
            <w:noWrap/>
            <w:vAlign w:val="center"/>
          </w:tcPr>
          <w:p w14:paraId="7C7EE21F">
            <w:pPr>
              <w:keepNext w:val="0"/>
              <w:keepLines w:val="0"/>
              <w:widowControl/>
              <w:suppressLineNumbers w:val="0"/>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12</w:t>
            </w:r>
          </w:p>
        </w:tc>
        <w:tc>
          <w:tcPr>
            <w:tcW w:w="0" w:type="auto"/>
            <w:shd w:val="clear" w:color="auto" w:fill="auto"/>
            <w:noWrap/>
            <w:vAlign w:val="center"/>
          </w:tcPr>
          <w:p w14:paraId="04BCF668">
            <w:pPr>
              <w:keepNext w:val="0"/>
              <w:keepLines w:val="0"/>
              <w:widowControl/>
              <w:suppressLineNumbers w:val="0"/>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产业空间情况</w:t>
            </w:r>
          </w:p>
        </w:tc>
        <w:tc>
          <w:tcPr>
            <w:tcW w:w="5532" w:type="dxa"/>
            <w:shd w:val="clear" w:color="auto" w:fill="FFFFFF"/>
            <w:noWrap w:val="0"/>
            <w:vAlign w:val="center"/>
          </w:tcPr>
          <w:p w14:paraId="567DEF16">
            <w:pPr>
              <w:keepNext w:val="0"/>
              <w:keepLines w:val="0"/>
              <w:widowControl/>
              <w:suppressLineNumbers w:val="0"/>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工业、仓储、研发设计等产业空间情况（探索性监测）</w:t>
            </w:r>
          </w:p>
        </w:tc>
      </w:tr>
      <w:tr w14:paraId="1F782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1" w:type="dxa"/>
            <w:shd w:val="clear" w:color="auto" w:fill="auto"/>
            <w:noWrap/>
            <w:vAlign w:val="center"/>
          </w:tcPr>
          <w:p w14:paraId="1C48EA34">
            <w:pPr>
              <w:keepNext w:val="0"/>
              <w:keepLines w:val="0"/>
              <w:widowControl/>
              <w:suppressLineNumbers w:val="0"/>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13</w:t>
            </w:r>
          </w:p>
        </w:tc>
        <w:tc>
          <w:tcPr>
            <w:tcW w:w="0" w:type="auto"/>
            <w:shd w:val="clear" w:color="auto" w:fill="auto"/>
            <w:noWrap/>
            <w:vAlign w:val="center"/>
          </w:tcPr>
          <w:p w14:paraId="497E50E7">
            <w:pPr>
              <w:keepNext w:val="0"/>
              <w:keepLines w:val="0"/>
              <w:widowControl/>
              <w:suppressLineNumbers w:val="0"/>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城市安全韧性情况</w:t>
            </w:r>
          </w:p>
        </w:tc>
        <w:tc>
          <w:tcPr>
            <w:tcW w:w="5532" w:type="dxa"/>
            <w:shd w:val="clear" w:color="auto" w:fill="FFFFFF"/>
            <w:noWrap w:val="0"/>
            <w:vAlign w:val="center"/>
          </w:tcPr>
          <w:p w14:paraId="773768B6">
            <w:pPr>
              <w:keepNext w:val="0"/>
              <w:keepLines w:val="0"/>
              <w:widowControl/>
              <w:suppressLineNumbers w:val="0"/>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城市内涝积水点、应急避难场所（地上）</w:t>
            </w:r>
          </w:p>
        </w:tc>
      </w:tr>
      <w:tr w14:paraId="78A2A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1" w:type="dxa"/>
            <w:shd w:val="clear" w:color="auto" w:fill="auto"/>
            <w:noWrap/>
            <w:vAlign w:val="center"/>
          </w:tcPr>
          <w:p w14:paraId="22C9B7C5">
            <w:pPr>
              <w:keepNext w:val="0"/>
              <w:keepLines w:val="0"/>
              <w:widowControl/>
              <w:suppressLineNumbers w:val="0"/>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14</w:t>
            </w:r>
          </w:p>
        </w:tc>
        <w:tc>
          <w:tcPr>
            <w:tcW w:w="0" w:type="auto"/>
            <w:shd w:val="clear" w:color="auto" w:fill="auto"/>
            <w:noWrap/>
            <w:vAlign w:val="center"/>
          </w:tcPr>
          <w:p w14:paraId="61488070">
            <w:pPr>
              <w:keepNext w:val="0"/>
              <w:keepLines w:val="0"/>
              <w:widowControl/>
              <w:suppressLineNumbers w:val="0"/>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建筑情况</w:t>
            </w:r>
          </w:p>
        </w:tc>
        <w:tc>
          <w:tcPr>
            <w:tcW w:w="5532" w:type="dxa"/>
            <w:shd w:val="clear" w:color="auto" w:fill="FFFFFF"/>
            <w:noWrap w:val="0"/>
            <w:vAlign w:val="center"/>
          </w:tcPr>
          <w:p w14:paraId="69A6AE6C">
            <w:pPr>
              <w:keepNext w:val="0"/>
              <w:keepLines w:val="0"/>
              <w:widowControl/>
              <w:suppressLineNumbers w:val="0"/>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单体建筑的高度、占地面积、建筑总面积</w:t>
            </w:r>
          </w:p>
        </w:tc>
      </w:tr>
      <w:tr w14:paraId="38D29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1" w:type="dxa"/>
            <w:shd w:val="clear" w:color="auto" w:fill="auto"/>
            <w:noWrap/>
            <w:vAlign w:val="center"/>
          </w:tcPr>
          <w:p w14:paraId="6B735879">
            <w:pPr>
              <w:keepNext w:val="0"/>
              <w:keepLines w:val="0"/>
              <w:widowControl/>
              <w:suppressLineNumbers w:val="0"/>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15</w:t>
            </w:r>
          </w:p>
        </w:tc>
        <w:tc>
          <w:tcPr>
            <w:tcW w:w="0" w:type="auto"/>
            <w:shd w:val="clear" w:color="auto" w:fill="auto"/>
            <w:noWrap/>
            <w:vAlign w:val="center"/>
          </w:tcPr>
          <w:p w14:paraId="084D710A">
            <w:pPr>
              <w:keepNext w:val="0"/>
              <w:keepLines w:val="0"/>
              <w:widowControl/>
              <w:suppressLineNumbers w:val="0"/>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城市更新情况</w:t>
            </w:r>
          </w:p>
        </w:tc>
        <w:tc>
          <w:tcPr>
            <w:tcW w:w="5532" w:type="dxa"/>
            <w:shd w:val="clear" w:color="auto" w:fill="FFFFFF"/>
            <w:noWrap w:val="0"/>
            <w:vAlign w:val="center"/>
          </w:tcPr>
          <w:p w14:paraId="5A18F54B">
            <w:pPr>
              <w:keepNext w:val="0"/>
              <w:keepLines w:val="0"/>
              <w:widowControl/>
              <w:suppressLineNumbers w:val="0"/>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新增城市更新改造用地</w:t>
            </w:r>
          </w:p>
        </w:tc>
      </w:tr>
      <w:tr w14:paraId="0D22E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861" w:type="dxa"/>
            <w:shd w:val="clear" w:color="auto" w:fill="auto"/>
            <w:noWrap/>
            <w:vAlign w:val="center"/>
          </w:tcPr>
          <w:p w14:paraId="5DF9F08C">
            <w:pPr>
              <w:keepNext w:val="0"/>
              <w:keepLines w:val="0"/>
              <w:widowControl/>
              <w:suppressLineNumbers w:val="0"/>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16</w:t>
            </w:r>
          </w:p>
        </w:tc>
        <w:tc>
          <w:tcPr>
            <w:tcW w:w="0" w:type="auto"/>
            <w:shd w:val="clear" w:color="auto" w:fill="auto"/>
            <w:noWrap/>
            <w:vAlign w:val="center"/>
          </w:tcPr>
          <w:p w14:paraId="266F2BB4">
            <w:pPr>
              <w:keepNext w:val="0"/>
              <w:keepLines w:val="0"/>
              <w:widowControl/>
              <w:suppressLineNumbers w:val="0"/>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水域、交通网络情况</w:t>
            </w:r>
          </w:p>
        </w:tc>
        <w:tc>
          <w:tcPr>
            <w:tcW w:w="5532" w:type="dxa"/>
            <w:shd w:val="clear" w:color="auto" w:fill="FFFFFF"/>
            <w:noWrap w:val="0"/>
            <w:vAlign w:val="center"/>
          </w:tcPr>
          <w:p w14:paraId="1E506D25">
            <w:pPr>
              <w:keepNext w:val="0"/>
              <w:keepLines w:val="0"/>
              <w:widowControl/>
              <w:suppressLineNumbers w:val="0"/>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河渠结构线，铁路（含高速铁路）、公路（含高速公路）、城市道路、乡村道路、匝道中心线，高速公路出入口</w:t>
            </w:r>
          </w:p>
        </w:tc>
      </w:tr>
      <w:tr w14:paraId="4480C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1" w:type="dxa"/>
            <w:shd w:val="clear" w:color="auto" w:fill="auto"/>
            <w:noWrap/>
            <w:vAlign w:val="center"/>
          </w:tcPr>
          <w:p w14:paraId="4BC8DEFA">
            <w:pPr>
              <w:keepNext w:val="0"/>
              <w:keepLines w:val="0"/>
              <w:widowControl/>
              <w:suppressLineNumbers w:val="0"/>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17</w:t>
            </w:r>
          </w:p>
        </w:tc>
        <w:tc>
          <w:tcPr>
            <w:tcW w:w="2129" w:type="dxa"/>
            <w:shd w:val="clear" w:color="auto" w:fill="auto"/>
            <w:noWrap/>
            <w:vAlign w:val="center"/>
          </w:tcPr>
          <w:p w14:paraId="3DDB7A0E">
            <w:pPr>
              <w:keepNext w:val="0"/>
              <w:keepLines w:val="0"/>
              <w:widowControl/>
              <w:suppressLineNumbers w:val="0"/>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城市地下空间情况</w:t>
            </w:r>
          </w:p>
        </w:tc>
        <w:tc>
          <w:tcPr>
            <w:tcW w:w="5532" w:type="dxa"/>
            <w:shd w:val="clear" w:color="auto" w:fill="FFFFFF"/>
            <w:noWrap w:val="0"/>
            <w:vAlign w:val="center"/>
          </w:tcPr>
          <w:p w14:paraId="495C50BE">
            <w:pPr>
              <w:keepNext w:val="0"/>
              <w:keepLines w:val="0"/>
              <w:widowControl/>
              <w:suppressLineNumbers w:val="0"/>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地下建（构）筑物、地下交通（探索性监测）</w:t>
            </w:r>
          </w:p>
        </w:tc>
      </w:tr>
    </w:tbl>
    <w:p w14:paraId="2A8E3F57">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监测要素总计：40类细化要素、13类补充要素；</w:t>
      </w:r>
    </w:p>
    <w:p w14:paraId="6630920F">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④</w:t>
      </w:r>
      <w:r>
        <w:rPr>
          <w:rFonts w:hint="eastAsia" w:ascii="宋体" w:hAnsi="宋体" w:eastAsia="宋体" w:cs="宋体"/>
          <w:b w:val="0"/>
          <w:bCs w:val="0"/>
          <w:color w:val="auto"/>
          <w:sz w:val="24"/>
          <w:szCs w:val="24"/>
          <w:highlight w:val="none"/>
          <w:lang w:val="en-US" w:eastAsia="zh-CN"/>
        </w:rPr>
        <w:t>监测方式</w:t>
      </w:r>
    </w:p>
    <w:p w14:paraId="23BAA55F">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a.</w:t>
      </w:r>
      <w:r>
        <w:rPr>
          <w:rFonts w:hint="eastAsia" w:ascii="宋体" w:hAnsi="宋体" w:eastAsia="宋体" w:cs="宋体"/>
          <w:b w:val="0"/>
          <w:bCs w:val="0"/>
          <w:color w:val="auto"/>
          <w:sz w:val="24"/>
          <w:szCs w:val="24"/>
          <w:highlight w:val="none"/>
          <w:lang w:val="en-US" w:eastAsia="zh-CN"/>
        </w:rPr>
        <w:t>细化采集（第1-12项）：在变更调查地类二级类下，依据监测要素进一步细分三级地类，以监测要素名称命名，同时确定其空间位置、占地范围、面积、相关属性等，并对变化情况和相关属性进行更新和完善。其中第12项产业空间为探索性监测内容，鼓励有条件有需求的小范围区域开展监测。</w:t>
      </w:r>
    </w:p>
    <w:p w14:paraId="1A310F15">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b.</w:t>
      </w:r>
      <w:r>
        <w:rPr>
          <w:rFonts w:hint="eastAsia" w:ascii="宋体" w:hAnsi="宋体" w:eastAsia="宋体" w:cs="宋体"/>
          <w:b w:val="0"/>
          <w:bCs w:val="0"/>
          <w:color w:val="auto"/>
          <w:sz w:val="24"/>
          <w:szCs w:val="24"/>
          <w:highlight w:val="none"/>
          <w:lang w:val="en-US" w:eastAsia="zh-CN"/>
        </w:rPr>
        <w:t>补充采集（第13-17项）：此类要素无法通过地类细化手段表征，作为独立要素直接采集其空间位置（范围）、面积（长度）、相关属性等，并对其变化情况和相关属性进行更新和完善。其中第17项城市地下空间为探索性监测内容。</w:t>
      </w:r>
    </w:p>
    <w:p w14:paraId="3D71A965">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c.</w:t>
      </w:r>
      <w:r>
        <w:rPr>
          <w:rFonts w:hint="eastAsia" w:ascii="宋体" w:hAnsi="宋体" w:eastAsia="宋体" w:cs="宋体"/>
          <w:b w:val="0"/>
          <w:bCs w:val="0"/>
          <w:color w:val="auto"/>
          <w:sz w:val="24"/>
          <w:szCs w:val="24"/>
          <w:highlight w:val="none"/>
          <w:lang w:val="en-US" w:eastAsia="zh-CN"/>
        </w:rPr>
        <w:t>变化情况提取（第1-15、17项）：相对于2025年度城市国土空间监测数据库，监测要素改变为其他要素，或者监测要素的范围缩小且连片面积达到采集指标的，均应对其变化范围或位置进行标注，以单独图层表示。2026年新增监测要素类型（产业空间、地下空间），本年度无需提取变化情况。</w:t>
      </w:r>
    </w:p>
    <w:p w14:paraId="15BC6C7C">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d.</w:t>
      </w:r>
      <w:r>
        <w:rPr>
          <w:rFonts w:hint="eastAsia" w:ascii="宋体" w:hAnsi="宋体" w:eastAsia="宋体" w:cs="宋体"/>
          <w:b w:val="0"/>
          <w:bCs w:val="0"/>
          <w:color w:val="auto"/>
          <w:sz w:val="24"/>
          <w:szCs w:val="24"/>
          <w:highlight w:val="none"/>
          <w:lang w:val="en-US" w:eastAsia="zh-CN"/>
        </w:rPr>
        <w:t>第12项和第17项，根据实际情况和工作需要，选择小范围区域进行探索。</w:t>
      </w:r>
    </w:p>
    <w:p w14:paraId="28C81378">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⑤</w:t>
      </w:r>
      <w:r>
        <w:rPr>
          <w:rFonts w:hint="eastAsia" w:ascii="宋体" w:hAnsi="宋体" w:eastAsia="宋体" w:cs="宋体"/>
          <w:b w:val="0"/>
          <w:bCs w:val="0"/>
          <w:color w:val="auto"/>
          <w:sz w:val="24"/>
          <w:szCs w:val="24"/>
          <w:highlight w:val="none"/>
          <w:lang w:val="en-US" w:eastAsia="zh-CN"/>
        </w:rPr>
        <w:t>监测范围</w:t>
      </w:r>
    </w:p>
    <w:p w14:paraId="580C8192">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次监测范围为泗洪县行政区域范围。全域范围采集：高等院校（含军事院校）、中等职业学校、特殊教育学校、专门学校（工读学校），自来水厂、污水处理厂、供热厂，殡葬设施，轨道交通站点（地铁站）、高速公路服务区、机场，水电站，河渠结构线，铁路（含高速铁路）、公路（含高速公路）、城市道路、乡村道路中心线，高速公路出入口。</w:t>
      </w:r>
    </w:p>
    <w:p w14:paraId="3FEF86DD">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其余监测要素在城区监测范围内采集。城区监测范围指部反馈的“城区范围”和2025年度国土变更调查确定的城市（201，不含县级市和县）范围的并集。</w:t>
      </w:r>
    </w:p>
    <w:p w14:paraId="4E21EE1E">
      <w:pPr>
        <w:keepNext w:val="0"/>
        <w:keepLines w:val="0"/>
        <w:pageBreakBefore w:val="0"/>
        <w:spacing w:line="480" w:lineRule="exact"/>
        <w:ind w:left="0"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⑥采集精度要求</w:t>
      </w:r>
    </w:p>
    <w:p w14:paraId="705A8E5D">
      <w:pPr>
        <w:keepNext w:val="0"/>
        <w:keepLines w:val="0"/>
        <w:pageBreakBefore w:val="0"/>
        <w:spacing w:line="480" w:lineRule="exact"/>
        <w:ind w:left="0"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空间信息细化与补充时，依据精度符合要求的正射影像确定地物边界或定位点，分界明显时采集精度一般控制在5个像素以内，阴影、遮挡等特殊情况下控制在10个像素以内。有准确宗地边界的可直接参考使用。各监测要素最小上图面积为200m²，我县可采用年度国土变更中建设用地最小面积上图指标替代；如果有专题资料支持，最小图斑面积不受200m²限制。</w:t>
      </w:r>
    </w:p>
    <w:p w14:paraId="71DF7B23">
      <w:pPr>
        <w:keepNext w:val="0"/>
        <w:keepLines w:val="0"/>
        <w:pageBreakBefore w:val="0"/>
        <w:spacing w:line="480" w:lineRule="exact"/>
        <w:ind w:left="0"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⑦外业调查</w:t>
      </w:r>
    </w:p>
    <w:p w14:paraId="6D4653F3">
      <w:pPr>
        <w:keepNext w:val="0"/>
        <w:keepLines w:val="0"/>
        <w:pageBreakBefore w:val="0"/>
        <w:spacing w:line="480" w:lineRule="exact"/>
        <w:ind w:left="0"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对于有独立用地的细化采集要素，监测时实地与最新国土变更调查成果地类二级类不一致的（IFCON属性项标注“否”的要素），应按照国土变更调查要求进行举证。往年已举证且监测时实地没有新变化的不再重复举证。举证以监测要素为对象，以确定要素类型及其他相关属性为目的。对于内业难以准确判定监测内容的图斑，也无法通过影像特征、专题资料确定属性信息的监测要素，应开展外业调查。</w:t>
      </w:r>
    </w:p>
    <w:p w14:paraId="3181CEFD">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⑧</w:t>
      </w:r>
      <w:r>
        <w:rPr>
          <w:rFonts w:hint="eastAsia" w:ascii="宋体" w:hAnsi="宋体" w:eastAsia="宋体" w:cs="宋体"/>
          <w:b w:val="0"/>
          <w:bCs w:val="0"/>
          <w:color w:val="auto"/>
          <w:sz w:val="24"/>
          <w:szCs w:val="24"/>
          <w:highlight w:val="none"/>
          <w:lang w:val="en-US" w:eastAsia="zh-CN"/>
        </w:rPr>
        <w:t>监测成果汇交</w:t>
      </w:r>
    </w:p>
    <w:p w14:paraId="0F1D7DD5">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根据国家和省级要求，完成数据成果汇交，建立泗洪县城市国土空间监测数据库。</w:t>
      </w:r>
    </w:p>
    <w:p w14:paraId="558F08BE">
      <w:pPr>
        <w:keepNext w:val="0"/>
        <w:keepLines w:val="0"/>
        <w:pageBreakBefore w:val="0"/>
        <w:spacing w:line="480" w:lineRule="exact"/>
        <w:ind w:left="0" w:firstLine="482"/>
        <w:outlineLvl w:val="5"/>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w:t>
      </w:r>
      <w:r>
        <w:rPr>
          <w:rFonts w:hint="default" w:ascii="宋体" w:hAnsi="宋体" w:eastAsia="宋体" w:cs="宋体"/>
          <w:b/>
          <w:bCs/>
          <w:color w:val="auto"/>
          <w:sz w:val="24"/>
          <w:szCs w:val="24"/>
          <w:highlight w:val="none"/>
          <w:lang w:val="en-US" w:eastAsia="zh-CN"/>
        </w:rPr>
        <w:t>2026年度国土变更调查</w:t>
      </w:r>
    </w:p>
    <w:p w14:paraId="0CF37919">
      <w:pPr>
        <w:keepNext w:val="0"/>
        <w:keepLines w:val="0"/>
        <w:pageBreakBefore w:val="0"/>
        <w:spacing w:line="480" w:lineRule="exact"/>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w:t>
      </w:r>
      <w:r>
        <w:rPr>
          <w:rFonts w:hint="default" w:ascii="宋体" w:hAnsi="宋体" w:eastAsia="宋体" w:cs="宋体"/>
          <w:b w:val="0"/>
          <w:bCs w:val="0"/>
          <w:color w:val="auto"/>
          <w:sz w:val="24"/>
          <w:szCs w:val="24"/>
          <w:highlight w:val="none"/>
          <w:lang w:val="en-US" w:eastAsia="zh-CN"/>
        </w:rPr>
        <w:t>调查范围与分工</w:t>
      </w:r>
    </w:p>
    <w:p w14:paraId="6BB18F94">
      <w:pPr>
        <w:keepNext w:val="0"/>
        <w:keepLines w:val="0"/>
        <w:pageBreakBefore w:val="0"/>
        <w:spacing w:line="480" w:lineRule="exact"/>
        <w:ind w:left="0" w:firstLine="480"/>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按专项规划划定的林草空间，范围内由林草部门负责国土变更调查和林草湿荒资源属性调查；范围外由自然资源部门负责国土变更调查，涉及林草湿地类变化的推送林草部门开展资源属性调查。</w:t>
      </w:r>
    </w:p>
    <w:p w14:paraId="3D4840F2">
      <w:pPr>
        <w:keepNext w:val="0"/>
        <w:keepLines w:val="0"/>
        <w:pageBreakBefore w:val="0"/>
        <w:spacing w:line="480" w:lineRule="exact"/>
        <w:ind w:left="0" w:firstLine="480"/>
        <w:outlineLvl w:val="4"/>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w:t>
      </w:r>
      <w:r>
        <w:rPr>
          <w:rFonts w:hint="default" w:ascii="宋体" w:hAnsi="宋体" w:eastAsia="宋体" w:cs="宋体"/>
          <w:b w:val="0"/>
          <w:bCs w:val="0"/>
          <w:color w:val="auto"/>
          <w:sz w:val="24"/>
          <w:szCs w:val="24"/>
          <w:highlight w:val="none"/>
          <w:lang w:val="en-US" w:eastAsia="zh-CN"/>
        </w:rPr>
        <w:t>重点关注内容</w:t>
      </w:r>
    </w:p>
    <w:p w14:paraId="4B54F58A">
      <w:pPr>
        <w:keepNext w:val="0"/>
        <w:keepLines w:val="0"/>
        <w:pageBreakBefore w:val="0"/>
        <w:spacing w:line="480" w:lineRule="exact"/>
        <w:ind w:left="0" w:firstLine="480"/>
        <w:rPr>
          <w:rFonts w:hint="eastAsia" w:ascii="Segoe UI" w:hAnsi="Segoe UI" w:eastAsia="宋体" w:cs="Segoe UI"/>
          <w:i w:val="0"/>
          <w:iCs w:val="0"/>
          <w:caps w:val="0"/>
          <w:color w:val="auto"/>
          <w:spacing w:val="0"/>
          <w:sz w:val="24"/>
          <w:szCs w:val="24"/>
          <w:shd w:val="clear" w:color="auto" w:fill="FFFFFF"/>
          <w:lang w:eastAsia="zh-CN"/>
        </w:rPr>
      </w:pPr>
      <w:r>
        <w:rPr>
          <w:rFonts w:hint="default" w:ascii="宋体" w:hAnsi="宋体" w:eastAsia="宋体" w:cs="宋体"/>
          <w:b w:val="0"/>
          <w:bCs w:val="0"/>
          <w:color w:val="auto"/>
          <w:sz w:val="24"/>
          <w:szCs w:val="24"/>
          <w:highlight w:val="none"/>
          <w:lang w:val="en-US" w:eastAsia="zh-CN"/>
        </w:rPr>
        <w:t>部重点关注三类内容：</w:t>
      </w:r>
      <w:r>
        <w:rPr>
          <w:rFonts w:hint="eastAsia" w:ascii="宋体" w:hAnsi="宋体" w:cs="宋体"/>
          <w:b w:val="0"/>
          <w:bCs w:val="0"/>
          <w:color w:val="auto"/>
          <w:sz w:val="24"/>
          <w:szCs w:val="24"/>
          <w:highlight w:val="none"/>
          <w:lang w:val="en-US" w:eastAsia="zh-CN"/>
        </w:rPr>
        <w:t>（1）</w:t>
      </w:r>
      <w:r>
        <w:rPr>
          <w:rFonts w:hint="default" w:ascii="Segoe UI" w:hAnsi="Segoe UI" w:eastAsia="Segoe UI" w:cs="Segoe UI"/>
          <w:i w:val="0"/>
          <w:iCs w:val="0"/>
          <w:caps w:val="0"/>
          <w:color w:val="auto"/>
          <w:spacing w:val="0"/>
          <w:sz w:val="24"/>
          <w:szCs w:val="24"/>
          <w:shd w:val="clear" w:color="auto" w:fill="FFFFFF"/>
        </w:rPr>
        <w:t>农用地、建设用地、未利用地“三大类”间的变化情况及耕地变化情况</w:t>
      </w:r>
      <w:r>
        <w:rPr>
          <w:rFonts w:hint="eastAsia" w:ascii="Segoe UI" w:hAnsi="Segoe UI" w:eastAsia="宋体" w:cs="Segoe UI"/>
          <w:i w:val="0"/>
          <w:iCs w:val="0"/>
          <w:caps w:val="0"/>
          <w:color w:val="auto"/>
          <w:spacing w:val="0"/>
          <w:sz w:val="24"/>
          <w:szCs w:val="24"/>
          <w:shd w:val="clear" w:color="auto" w:fill="FFFFFF"/>
          <w:lang w:eastAsia="zh-CN"/>
        </w:rPr>
        <w:t>；（</w:t>
      </w:r>
      <w:r>
        <w:rPr>
          <w:rFonts w:hint="eastAsia" w:ascii="Segoe UI" w:hAnsi="Segoe UI" w:eastAsia="宋体" w:cs="Segoe UI"/>
          <w:i w:val="0"/>
          <w:iCs w:val="0"/>
          <w:caps w:val="0"/>
          <w:color w:val="auto"/>
          <w:spacing w:val="0"/>
          <w:sz w:val="24"/>
          <w:szCs w:val="24"/>
          <w:shd w:val="clear" w:color="auto" w:fill="FFFFFF"/>
          <w:lang w:val="en-US" w:eastAsia="zh-CN"/>
        </w:rPr>
        <w:t>2</w:t>
      </w:r>
      <w:r>
        <w:rPr>
          <w:rFonts w:hint="eastAsia" w:ascii="Segoe UI" w:hAnsi="Segoe UI" w:eastAsia="宋体" w:cs="Segoe UI"/>
          <w:i w:val="0"/>
          <w:iCs w:val="0"/>
          <w:caps w:val="0"/>
          <w:color w:val="auto"/>
          <w:spacing w:val="0"/>
          <w:sz w:val="24"/>
          <w:szCs w:val="24"/>
          <w:shd w:val="clear" w:color="auto" w:fill="FFFFFF"/>
          <w:lang w:eastAsia="zh-CN"/>
        </w:rPr>
        <w:t>）</w:t>
      </w:r>
      <w:r>
        <w:rPr>
          <w:rFonts w:hint="default" w:ascii="Segoe UI" w:hAnsi="Segoe UI" w:eastAsia="Segoe UI" w:cs="Segoe UI"/>
          <w:i w:val="0"/>
          <w:iCs w:val="0"/>
          <w:caps w:val="0"/>
          <w:color w:val="auto"/>
          <w:spacing w:val="0"/>
          <w:sz w:val="24"/>
          <w:szCs w:val="24"/>
          <w:shd w:val="clear" w:color="auto" w:fill="FFFFFF"/>
        </w:rPr>
        <w:t>住宅用地、商业服务业用地、工矿用地、公共管理与公共服务用地、交通运输用地等二级地类变化情况</w:t>
      </w:r>
      <w:r>
        <w:rPr>
          <w:rFonts w:hint="eastAsia" w:ascii="Segoe UI" w:hAnsi="Segoe UI" w:eastAsia="宋体" w:cs="Segoe UI"/>
          <w:i w:val="0"/>
          <w:iCs w:val="0"/>
          <w:caps w:val="0"/>
          <w:color w:val="auto"/>
          <w:spacing w:val="0"/>
          <w:sz w:val="24"/>
          <w:szCs w:val="24"/>
          <w:shd w:val="clear" w:color="auto" w:fill="FFFFFF"/>
          <w:lang w:eastAsia="zh-CN"/>
        </w:rPr>
        <w:t>；（</w:t>
      </w:r>
      <w:r>
        <w:rPr>
          <w:rFonts w:hint="eastAsia" w:ascii="Segoe UI" w:hAnsi="Segoe UI" w:eastAsia="宋体" w:cs="Segoe UI"/>
          <w:i w:val="0"/>
          <w:iCs w:val="0"/>
          <w:caps w:val="0"/>
          <w:color w:val="auto"/>
          <w:spacing w:val="0"/>
          <w:sz w:val="24"/>
          <w:szCs w:val="24"/>
          <w:shd w:val="clear" w:color="auto" w:fill="FFFFFF"/>
          <w:lang w:val="en-US" w:eastAsia="zh-CN"/>
        </w:rPr>
        <w:t>3</w:t>
      </w:r>
      <w:r>
        <w:rPr>
          <w:rFonts w:hint="eastAsia" w:ascii="Segoe UI" w:hAnsi="Segoe UI" w:eastAsia="宋体" w:cs="Segoe UI"/>
          <w:i w:val="0"/>
          <w:iCs w:val="0"/>
          <w:caps w:val="0"/>
          <w:color w:val="auto"/>
          <w:spacing w:val="0"/>
          <w:sz w:val="24"/>
          <w:szCs w:val="24"/>
          <w:shd w:val="clear" w:color="auto" w:fill="FFFFFF"/>
          <w:lang w:eastAsia="zh-CN"/>
        </w:rPr>
        <w:t>）</w:t>
      </w:r>
      <w:r>
        <w:rPr>
          <w:rFonts w:hint="default" w:ascii="Segoe UI" w:hAnsi="Segoe UI" w:eastAsia="Segoe UI" w:cs="Segoe UI"/>
          <w:i w:val="0"/>
          <w:iCs w:val="0"/>
          <w:caps w:val="0"/>
          <w:color w:val="auto"/>
          <w:spacing w:val="0"/>
          <w:sz w:val="24"/>
          <w:szCs w:val="24"/>
          <w:shd w:val="clear" w:color="auto" w:fill="FFFFFF"/>
        </w:rPr>
        <w:t>林草湿荒资源变化情况</w:t>
      </w:r>
      <w:r>
        <w:rPr>
          <w:rFonts w:hint="eastAsia" w:ascii="Segoe UI" w:hAnsi="Segoe UI" w:eastAsia="宋体" w:cs="Segoe UI"/>
          <w:i w:val="0"/>
          <w:iCs w:val="0"/>
          <w:caps w:val="0"/>
          <w:color w:val="auto"/>
          <w:spacing w:val="0"/>
          <w:sz w:val="24"/>
          <w:szCs w:val="24"/>
          <w:shd w:val="clear" w:color="auto" w:fill="FFFFFF"/>
          <w:lang w:eastAsia="zh-CN"/>
        </w:rPr>
        <w:t>。</w:t>
      </w:r>
    </w:p>
    <w:p w14:paraId="59871586">
      <w:pPr>
        <w:keepNext w:val="0"/>
        <w:keepLines w:val="0"/>
        <w:pageBreakBefore w:val="0"/>
        <w:spacing w:line="480" w:lineRule="exact"/>
        <w:ind w:left="0" w:firstLine="480"/>
        <w:outlineLvl w:val="4"/>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w:t>
      </w:r>
      <w:r>
        <w:rPr>
          <w:rFonts w:hint="default" w:ascii="宋体" w:hAnsi="宋体" w:eastAsia="宋体" w:cs="宋体"/>
          <w:b w:val="0"/>
          <w:bCs w:val="0"/>
          <w:color w:val="auto"/>
          <w:sz w:val="24"/>
          <w:szCs w:val="24"/>
          <w:highlight w:val="none"/>
          <w:lang w:val="en-US" w:eastAsia="zh-CN"/>
        </w:rPr>
        <w:t>最小上图面积</w:t>
      </w:r>
    </w:p>
    <w:p w14:paraId="3717DA1E">
      <w:pPr>
        <w:pStyle w:val="30"/>
        <w:keepNext w:val="0"/>
        <w:keepLines w:val="0"/>
        <w:pageBreakBefore w:val="0"/>
        <w:widowControl/>
        <w:suppressLineNumbers w:val="0"/>
        <w:shd w:val="clear" w:color="auto" w:fill="FFFFFF"/>
        <w:spacing w:beforeAutospacing="0" w:afterAutospacing="0" w:line="480" w:lineRule="exact"/>
        <w:ind w:left="0" w:right="0" w:firstLine="480"/>
        <w:rPr>
          <w:rFonts w:hint="default" w:ascii="Segoe UI" w:hAnsi="Segoe UI" w:eastAsia="Segoe UI" w:cs="Segoe UI"/>
          <w:i w:val="0"/>
          <w:iCs w:val="0"/>
          <w:caps w:val="0"/>
          <w:color w:val="auto"/>
          <w:spacing w:val="0"/>
          <w:sz w:val="24"/>
          <w:szCs w:val="24"/>
          <w:shd w:val="clear" w:color="auto" w:fill="FFFFFF"/>
          <w:lang w:val="en-US" w:eastAsia="zh-CN" w:bidi="ar-SA"/>
        </w:rPr>
      </w:pPr>
      <w:r>
        <w:rPr>
          <w:rFonts w:hint="default" w:ascii="Segoe UI" w:hAnsi="Segoe UI" w:eastAsia="Segoe UI" w:cs="Segoe UI"/>
          <w:i w:val="0"/>
          <w:iCs w:val="0"/>
          <w:caps w:val="0"/>
          <w:color w:val="auto"/>
          <w:spacing w:val="0"/>
          <w:sz w:val="24"/>
          <w:szCs w:val="24"/>
          <w:shd w:val="clear" w:color="auto" w:fill="FFFFFF"/>
          <w:lang w:val="en-US" w:eastAsia="zh-CN" w:bidi="ar-SA"/>
        </w:rPr>
        <w:t>重点对2亩（含）以上农用地与未利用地间变化及耕地变化开展调查；对200m²（含）以上建设用地、设施农用地变化开展调查。国土调查最小上图面积标准不变（建设用地和设施农用地200㎡、农用地400㎡、其他地类600㎡），但部级重点关注的最小上图面积调整为上述标准，我县应在省级实施方案框架下按统一标准执行。</w:t>
      </w:r>
    </w:p>
    <w:p w14:paraId="4DA0D009">
      <w:pPr>
        <w:keepNext w:val="0"/>
        <w:keepLines w:val="0"/>
        <w:pageBreakBefore w:val="0"/>
        <w:spacing w:line="480" w:lineRule="exact"/>
        <w:ind w:left="0" w:firstLine="480"/>
        <w:outlineLvl w:val="4"/>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w:t>
      </w:r>
      <w:r>
        <w:rPr>
          <w:rFonts w:hint="default" w:ascii="宋体" w:hAnsi="宋体" w:eastAsia="宋体" w:cs="宋体"/>
          <w:b w:val="0"/>
          <w:bCs w:val="0"/>
          <w:color w:val="auto"/>
          <w:sz w:val="24"/>
          <w:szCs w:val="24"/>
          <w:highlight w:val="none"/>
          <w:lang w:val="en-US" w:eastAsia="zh-CN"/>
        </w:rPr>
        <w:t>优化调查内容</w:t>
      </w:r>
    </w:p>
    <w:p w14:paraId="562A9497">
      <w:pPr>
        <w:keepNext w:val="0"/>
        <w:keepLines w:val="0"/>
        <w:pageBreakBefore w:val="0"/>
        <w:spacing w:line="480" w:lineRule="exact"/>
        <w:ind w:left="0" w:firstLine="480"/>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①</w:t>
      </w:r>
      <w:r>
        <w:rPr>
          <w:rFonts w:hint="default" w:ascii="宋体" w:hAnsi="宋体" w:eastAsia="宋体" w:cs="宋体"/>
          <w:b w:val="0"/>
          <w:bCs w:val="0"/>
          <w:color w:val="auto"/>
          <w:sz w:val="24"/>
          <w:szCs w:val="24"/>
          <w:highlight w:val="none"/>
          <w:lang w:val="en-US" w:eastAsia="zh-CN"/>
        </w:rPr>
        <w:t>按部要求，做好“摸排”和“推（堆）土区”“20X图层”单独图层更新工作。结合规划城镇建设用地范围（含城镇开发边界、独立城镇建设用地），对城市、建制镇和村庄用地范围进行更新。地方须按部、省相关要求，整理证明材料，及时完成市级审核，在相关节点前提交省级检查。</w:t>
      </w:r>
      <w:r>
        <w:rPr>
          <w:rFonts w:hint="eastAsia" w:ascii="宋体" w:hAnsi="宋体" w:cs="宋体"/>
          <w:b w:val="0"/>
          <w:bCs w:val="0"/>
          <w:color w:val="auto"/>
          <w:sz w:val="24"/>
          <w:szCs w:val="24"/>
          <w:highlight w:val="none"/>
          <w:lang w:val="en-US" w:eastAsia="zh-CN"/>
        </w:rPr>
        <w:t>按省级要求</w:t>
      </w:r>
      <w:r>
        <w:rPr>
          <w:rFonts w:hint="default" w:ascii="宋体" w:hAnsi="宋体" w:eastAsia="宋体" w:cs="宋体"/>
          <w:b w:val="0"/>
          <w:bCs w:val="0"/>
          <w:color w:val="auto"/>
          <w:sz w:val="24"/>
          <w:szCs w:val="24"/>
          <w:highlight w:val="none"/>
          <w:lang w:val="en-US" w:eastAsia="zh-CN"/>
        </w:rPr>
        <w:t>做好“光伏板区”单独图层更新工作。</w:t>
      </w:r>
    </w:p>
    <w:p w14:paraId="3071D9D4">
      <w:pPr>
        <w:keepNext w:val="0"/>
        <w:keepLines w:val="0"/>
        <w:pageBreakBefore w:val="0"/>
        <w:spacing w:line="480" w:lineRule="exact"/>
        <w:ind w:left="0" w:firstLine="480"/>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②</w:t>
      </w:r>
      <w:r>
        <w:rPr>
          <w:rFonts w:hint="default" w:ascii="宋体" w:hAnsi="宋体" w:eastAsia="宋体" w:cs="宋体"/>
          <w:b w:val="0"/>
          <w:bCs w:val="0"/>
          <w:color w:val="auto"/>
          <w:sz w:val="24"/>
          <w:szCs w:val="24"/>
          <w:highlight w:val="none"/>
          <w:lang w:val="en-US" w:eastAsia="zh-CN"/>
        </w:rPr>
        <w:t>不再年度统一更新：拆除未尽、工厂化种植、耕地等别、批而未建等图层及耕地种植属性、耕地等别属性、耕地退出属性、灌丛草地属性、细化树种类型属性、工业用地细化属性、废弃属性、垃圾填埋属性等。</w:t>
      </w:r>
    </w:p>
    <w:p w14:paraId="0914C056">
      <w:pPr>
        <w:keepNext w:val="0"/>
        <w:keepLines w:val="0"/>
        <w:pageBreakBefore w:val="0"/>
        <w:spacing w:line="480" w:lineRule="exact"/>
        <w:ind w:left="0" w:firstLine="480"/>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按部要求，做好耕地坡度级别、林区耕地、沙化耕地的属性标注更新。</w:t>
      </w:r>
      <w:r>
        <w:rPr>
          <w:rFonts w:hint="eastAsia" w:ascii="宋体" w:hAnsi="宋体" w:cs="宋体"/>
          <w:b w:val="0"/>
          <w:bCs w:val="0"/>
          <w:color w:val="auto"/>
          <w:sz w:val="24"/>
          <w:szCs w:val="24"/>
          <w:highlight w:val="none"/>
          <w:lang w:val="en-US" w:eastAsia="zh-CN"/>
        </w:rPr>
        <w:t>按省级要求</w:t>
      </w:r>
      <w:r>
        <w:rPr>
          <w:rFonts w:hint="default" w:ascii="宋体" w:hAnsi="宋体" w:eastAsia="宋体" w:cs="宋体"/>
          <w:b w:val="0"/>
          <w:bCs w:val="0"/>
          <w:color w:val="auto"/>
          <w:sz w:val="24"/>
          <w:szCs w:val="24"/>
          <w:highlight w:val="none"/>
          <w:lang w:val="en-US" w:eastAsia="zh-CN"/>
        </w:rPr>
        <w:t>做好地类恢复属性（即可恢复、工程恢复）的标注更新。</w:t>
      </w:r>
    </w:p>
    <w:p w14:paraId="0660E043">
      <w:pPr>
        <w:keepNext w:val="0"/>
        <w:keepLines w:val="0"/>
        <w:pageBreakBefore w:val="0"/>
        <w:spacing w:line="480" w:lineRule="exact"/>
        <w:ind w:left="0" w:firstLine="480"/>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③</w:t>
      </w:r>
      <w:r>
        <w:rPr>
          <w:rFonts w:hint="default" w:ascii="宋体" w:hAnsi="宋体" w:eastAsia="宋体" w:cs="宋体"/>
          <w:b w:val="0"/>
          <w:bCs w:val="0"/>
          <w:color w:val="auto"/>
          <w:sz w:val="24"/>
          <w:szCs w:val="24"/>
          <w:highlight w:val="none"/>
          <w:lang w:val="en-US" w:eastAsia="zh-CN"/>
        </w:rPr>
        <w:t>不再开展权属信息更新工作，权属信息以“一张图”产权底板为准</w:t>
      </w:r>
      <w:r>
        <w:rPr>
          <w:rFonts w:hint="eastAsia" w:ascii="宋体" w:hAnsi="宋体" w:cs="宋体"/>
          <w:b w:val="0"/>
          <w:bCs w:val="0"/>
          <w:color w:val="auto"/>
          <w:sz w:val="24"/>
          <w:szCs w:val="24"/>
          <w:highlight w:val="none"/>
          <w:lang w:val="en-US" w:eastAsia="zh-CN"/>
        </w:rPr>
        <w:t>。</w:t>
      </w:r>
    </w:p>
    <w:p w14:paraId="285297BA">
      <w:pPr>
        <w:keepNext w:val="0"/>
        <w:keepLines w:val="0"/>
        <w:pageBreakBefore w:val="0"/>
        <w:spacing w:line="480" w:lineRule="exact"/>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地类调查规则</w:t>
      </w:r>
    </w:p>
    <w:p w14:paraId="0D5894F5">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①</w:t>
      </w:r>
      <w:r>
        <w:rPr>
          <w:rFonts w:hint="eastAsia" w:ascii="宋体" w:hAnsi="宋体" w:eastAsia="宋体" w:cs="宋体"/>
          <w:b w:val="0"/>
          <w:bCs w:val="0"/>
          <w:color w:val="auto"/>
          <w:sz w:val="24"/>
          <w:szCs w:val="24"/>
          <w:highlight w:val="none"/>
          <w:lang w:val="en-US" w:eastAsia="zh-CN"/>
        </w:rPr>
        <w:t>耕地上以棚架等方式培植食用菌菇、种植浅根系中药材及花卉等，耕作层未破坏的，继续按耕地调查</w:t>
      </w:r>
      <w:r>
        <w:rPr>
          <w:rFonts w:hint="eastAsia" w:ascii="宋体" w:hAnsi="宋体" w:cs="宋体"/>
          <w:b w:val="0"/>
          <w:bCs w:val="0"/>
          <w:color w:val="auto"/>
          <w:sz w:val="24"/>
          <w:szCs w:val="24"/>
          <w:highlight w:val="none"/>
          <w:lang w:val="en-US" w:eastAsia="zh-CN"/>
        </w:rPr>
        <w:t>。</w:t>
      </w:r>
    </w:p>
    <w:p w14:paraId="16745CDB">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②</w:t>
      </w:r>
      <w:r>
        <w:rPr>
          <w:rFonts w:hint="eastAsia" w:ascii="宋体" w:hAnsi="宋体" w:eastAsia="宋体" w:cs="宋体"/>
          <w:b w:val="0"/>
          <w:bCs w:val="0"/>
          <w:color w:val="auto"/>
          <w:sz w:val="24"/>
          <w:szCs w:val="24"/>
          <w:highlight w:val="none"/>
          <w:lang w:val="en-US" w:eastAsia="zh-CN"/>
        </w:rPr>
        <w:t>2025年报部备案作物清单继续有效，新增清单以部审查结果为准</w:t>
      </w:r>
      <w:r>
        <w:rPr>
          <w:rFonts w:hint="eastAsia" w:ascii="宋体" w:hAnsi="宋体" w:cs="宋体"/>
          <w:b w:val="0"/>
          <w:bCs w:val="0"/>
          <w:color w:val="auto"/>
          <w:sz w:val="24"/>
          <w:szCs w:val="24"/>
          <w:highlight w:val="none"/>
          <w:lang w:val="en-US" w:eastAsia="zh-CN"/>
        </w:rPr>
        <w:t>。</w:t>
      </w:r>
    </w:p>
    <w:p w14:paraId="2D06C3DC">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③</w:t>
      </w:r>
      <w:r>
        <w:rPr>
          <w:rFonts w:hint="eastAsia" w:ascii="宋体" w:hAnsi="宋体" w:eastAsia="宋体" w:cs="宋体"/>
          <w:b w:val="0"/>
          <w:bCs w:val="0"/>
          <w:color w:val="auto"/>
          <w:sz w:val="24"/>
          <w:szCs w:val="24"/>
          <w:highlight w:val="none"/>
          <w:lang w:val="en-US" w:eastAsia="zh-CN"/>
        </w:rPr>
        <w:t>对耕作层严重破坏、基本耕种条件已丧失的，按实地现状调查</w:t>
      </w:r>
      <w:r>
        <w:rPr>
          <w:rFonts w:hint="eastAsia" w:ascii="宋体" w:hAnsi="宋体" w:cs="宋体"/>
          <w:b w:val="0"/>
          <w:bCs w:val="0"/>
          <w:color w:val="auto"/>
          <w:sz w:val="24"/>
          <w:szCs w:val="24"/>
          <w:highlight w:val="none"/>
          <w:lang w:val="en-US" w:eastAsia="zh-CN"/>
        </w:rPr>
        <w:t>。</w:t>
      </w:r>
    </w:p>
    <w:p w14:paraId="63DC645C">
      <w:pPr>
        <w:keepNext w:val="0"/>
        <w:keepLines w:val="0"/>
        <w:pageBreakBefore w:val="0"/>
        <w:spacing w:line="480" w:lineRule="exact"/>
        <w:ind w:left="0"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④因灾毁等导致农用地变未利用地的，须待灾毁情形稳定后，按照实地现状认定地类和范围，提交县级核实情况报告和相关灾毁媒体报道、实地举证照片等证明材料。其中，因灾毁导致耕地变为未利用地且难以复耕的，标注“2026灾毁”（ZH）属性。</w:t>
      </w:r>
    </w:p>
    <w:p w14:paraId="0C0B4E05">
      <w:pPr>
        <w:keepNext w:val="0"/>
        <w:keepLines w:val="0"/>
        <w:pageBreakBefore w:val="0"/>
        <w:spacing w:line="480" w:lineRule="exact"/>
        <w:ind w:left="0"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⑤</w:t>
      </w:r>
      <w:r>
        <w:rPr>
          <w:rFonts w:hint="eastAsia" w:ascii="宋体" w:hAnsi="宋体" w:eastAsia="宋体" w:cs="宋体"/>
          <w:b w:val="0"/>
          <w:bCs w:val="0"/>
          <w:color w:val="auto"/>
          <w:sz w:val="24"/>
          <w:szCs w:val="24"/>
          <w:highlight w:val="none"/>
          <w:lang w:val="en-US" w:eastAsia="zh-CN"/>
        </w:rPr>
        <w:t>农用地变未利用地需提交省级核实情况报告和相关证明材料</w:t>
      </w:r>
      <w:r>
        <w:rPr>
          <w:rFonts w:hint="eastAsia" w:ascii="宋体" w:hAnsi="宋体" w:cs="宋体"/>
          <w:b w:val="0"/>
          <w:bCs w:val="0"/>
          <w:color w:val="auto"/>
          <w:sz w:val="24"/>
          <w:szCs w:val="24"/>
          <w:highlight w:val="none"/>
          <w:lang w:val="en-US" w:eastAsia="zh-CN"/>
        </w:rPr>
        <w:t>。</w:t>
      </w:r>
    </w:p>
    <w:p w14:paraId="4B74D262">
      <w:pPr>
        <w:keepNext w:val="0"/>
        <w:keepLines w:val="0"/>
        <w:pageBreakBefore w:val="0"/>
        <w:spacing w:line="480" w:lineRule="exact"/>
        <w:ind w:left="0"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⑥</w:t>
      </w:r>
      <w:r>
        <w:rPr>
          <w:rFonts w:hint="eastAsia" w:ascii="宋体" w:hAnsi="宋体" w:eastAsia="宋体" w:cs="宋体"/>
          <w:b w:val="0"/>
          <w:bCs w:val="0"/>
          <w:color w:val="auto"/>
          <w:sz w:val="24"/>
          <w:szCs w:val="24"/>
          <w:highlight w:val="none"/>
          <w:lang w:val="en-US" w:eastAsia="zh-CN"/>
        </w:rPr>
        <w:t>“采矿用地”调整为“矿业用地”，细分为“矿产资源勘查用地”和“矿产资源开采用地”</w:t>
      </w:r>
      <w:r>
        <w:rPr>
          <w:rFonts w:hint="eastAsia" w:ascii="宋体" w:hAnsi="宋体" w:cs="宋体"/>
          <w:b w:val="0"/>
          <w:bCs w:val="0"/>
          <w:color w:val="auto"/>
          <w:sz w:val="24"/>
          <w:szCs w:val="24"/>
          <w:highlight w:val="none"/>
          <w:lang w:val="en-US" w:eastAsia="zh-CN"/>
        </w:rPr>
        <w:t>。</w:t>
      </w:r>
    </w:p>
    <w:p w14:paraId="2EEEF8EE">
      <w:pPr>
        <w:keepNext w:val="0"/>
        <w:keepLines w:val="0"/>
        <w:pageBreakBefore w:val="0"/>
        <w:spacing w:line="480" w:lineRule="exact"/>
        <w:ind w:left="0"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⑦对“批而未用”土地按实地现状认定地类，衔接建设用地审批备案信息及批而未用批文清理结果，纳入“一张图”，按建设用地管理。</w:t>
      </w:r>
    </w:p>
    <w:p w14:paraId="0A311AE7">
      <w:pPr>
        <w:keepNext w:val="0"/>
        <w:keepLines w:val="0"/>
        <w:pageBreakBefore w:val="0"/>
        <w:spacing w:line="480" w:lineRule="exact"/>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en-US" w:eastAsia="zh-CN"/>
        </w:rPr>
        <w:t>成果上报</w:t>
      </w:r>
    </w:p>
    <w:p w14:paraId="09D05C6A">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根据部省要求</w:t>
      </w:r>
      <w:r>
        <w:rPr>
          <w:rFonts w:hint="eastAsia" w:ascii="宋体" w:hAnsi="宋体" w:eastAsia="宋体" w:cs="宋体"/>
          <w:b w:val="0"/>
          <w:bCs w:val="0"/>
          <w:color w:val="auto"/>
          <w:sz w:val="24"/>
          <w:szCs w:val="24"/>
          <w:highlight w:val="none"/>
          <w:lang w:val="en-US" w:eastAsia="zh-CN"/>
        </w:rPr>
        <w:t>通过“一张图”国土调查云2026年变更调查专项任务模块在线报送，减轻基层工作压力。</w:t>
      </w:r>
    </w:p>
    <w:p w14:paraId="24195558">
      <w:pPr>
        <w:keepNext w:val="0"/>
        <w:keepLines w:val="0"/>
        <w:pageBreakBefore w:val="0"/>
        <w:spacing w:line="480" w:lineRule="exact"/>
        <w:ind w:left="0" w:firstLine="482"/>
        <w:outlineLvl w:val="3"/>
        <w:rPr>
          <w:rFonts w:hint="eastAsia" w:ascii="宋体" w:hAnsi="宋体" w:eastAsia="宋体" w:cs="宋体"/>
          <w:b/>
          <w:bCs/>
          <w:color w:val="auto"/>
          <w:sz w:val="24"/>
          <w:szCs w:val="24"/>
          <w:highlight w:val="none"/>
          <w:lang w:val="en-US" w:eastAsia="zh-CN"/>
        </w:rPr>
      </w:pPr>
      <w:bookmarkStart w:id="126" w:name="OLE_LINK67"/>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森林草原湿地调查</w:t>
      </w:r>
      <w:bookmarkEnd w:id="126"/>
    </w:p>
    <w:p w14:paraId="6FEDAD7A">
      <w:pPr>
        <w:keepNext w:val="0"/>
        <w:keepLines w:val="0"/>
        <w:pageBreakBefore w:val="0"/>
        <w:spacing w:line="480" w:lineRule="exact"/>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主要变化</w:t>
      </w:r>
    </w:p>
    <w:p w14:paraId="003F2E54">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2026年度林草湿荒调查监测有以下优化：</w:t>
      </w:r>
    </w:p>
    <w:p w14:paraId="688F39F8">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①</w:t>
      </w:r>
      <w:r>
        <w:rPr>
          <w:rFonts w:hint="eastAsia" w:ascii="宋体" w:hAnsi="宋体" w:eastAsia="宋体" w:cs="宋体"/>
          <w:b w:val="0"/>
          <w:bCs w:val="0"/>
          <w:color w:val="auto"/>
          <w:sz w:val="24"/>
          <w:szCs w:val="24"/>
          <w:highlight w:val="none"/>
          <w:lang w:val="en-US" w:eastAsia="zh-CN"/>
        </w:rPr>
        <w:t>图斑监测指标由125项精简为22项，样地调查指标由164项精简为70项</w:t>
      </w:r>
      <w:r>
        <w:rPr>
          <w:rFonts w:hint="eastAsia" w:ascii="宋体" w:hAnsi="宋体" w:cs="宋体"/>
          <w:b w:val="0"/>
          <w:bCs w:val="0"/>
          <w:color w:val="auto"/>
          <w:sz w:val="24"/>
          <w:szCs w:val="24"/>
          <w:highlight w:val="none"/>
          <w:lang w:val="en-US" w:eastAsia="zh-CN"/>
        </w:rPr>
        <w:t>。</w:t>
      </w:r>
    </w:p>
    <w:p w14:paraId="6D17E976">
      <w:pPr>
        <w:keepNext w:val="0"/>
        <w:keepLines w:val="0"/>
        <w:pageBreakBefore w:val="0"/>
        <w:spacing w:line="480" w:lineRule="exact"/>
        <w:ind w:left="0" w:firstLine="480"/>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②</w:t>
      </w:r>
      <w:r>
        <w:rPr>
          <w:rFonts w:hint="eastAsia" w:ascii="宋体" w:hAnsi="宋体" w:eastAsia="宋体" w:cs="宋体"/>
          <w:b w:val="0"/>
          <w:bCs w:val="0"/>
          <w:color w:val="auto"/>
          <w:sz w:val="24"/>
          <w:szCs w:val="24"/>
          <w:highlight w:val="none"/>
          <w:lang w:val="en-US" w:eastAsia="zh-CN"/>
        </w:rPr>
        <w:t>不再延续2025年“疑似违法违规”标注做法，改由调查完成后依托“一张图”组织合法合规性核实</w:t>
      </w:r>
      <w:r>
        <w:rPr>
          <w:rFonts w:hint="eastAsia" w:ascii="宋体" w:hAnsi="宋体" w:cs="宋体"/>
          <w:b w:val="0"/>
          <w:bCs w:val="0"/>
          <w:color w:val="auto"/>
          <w:sz w:val="24"/>
          <w:szCs w:val="24"/>
          <w:highlight w:val="none"/>
          <w:lang w:val="en-US" w:eastAsia="zh-CN"/>
        </w:rPr>
        <w:t>。</w:t>
      </w:r>
    </w:p>
    <w:p w14:paraId="5745703E">
      <w:pPr>
        <w:keepNext w:val="0"/>
        <w:keepLines w:val="0"/>
        <w:pageBreakBefore w:val="0"/>
        <w:spacing w:line="480" w:lineRule="exact"/>
        <w:ind w:left="0"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③</w:t>
      </w:r>
      <w:r>
        <w:rPr>
          <w:rFonts w:hint="eastAsia" w:ascii="宋体" w:hAnsi="宋体" w:eastAsia="宋体" w:cs="宋体"/>
          <w:b w:val="0"/>
          <w:bCs w:val="0"/>
          <w:color w:val="auto"/>
          <w:sz w:val="24"/>
          <w:szCs w:val="24"/>
          <w:highlight w:val="none"/>
          <w:lang w:val="en-US" w:eastAsia="zh-CN"/>
        </w:rPr>
        <w:t>不再开展荒漠调查试点和草原超载率监测预警</w:t>
      </w:r>
      <w:r>
        <w:rPr>
          <w:rFonts w:hint="eastAsia" w:ascii="宋体" w:hAnsi="宋体" w:cs="宋体"/>
          <w:b w:val="0"/>
          <w:bCs w:val="0"/>
          <w:color w:val="auto"/>
          <w:sz w:val="24"/>
          <w:szCs w:val="24"/>
          <w:highlight w:val="none"/>
          <w:lang w:val="en-US" w:eastAsia="zh-CN"/>
        </w:rPr>
        <w:t>。</w:t>
      </w:r>
    </w:p>
    <w:p w14:paraId="79A3C8C0">
      <w:pPr>
        <w:keepNext w:val="0"/>
        <w:keepLines w:val="0"/>
        <w:pageBreakBefore w:val="0"/>
        <w:spacing w:line="480" w:lineRule="exact"/>
        <w:ind w:left="0" w:firstLine="480"/>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④新增加小班边界及属性优化工作。</w:t>
      </w:r>
    </w:p>
    <w:p w14:paraId="4C7B3339">
      <w:pPr>
        <w:keepNext w:val="0"/>
        <w:keepLines w:val="0"/>
        <w:pageBreakBefore w:val="0"/>
        <w:spacing w:line="480" w:lineRule="exact"/>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变化信息监测</w:t>
      </w:r>
    </w:p>
    <w:p w14:paraId="3B81B618">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以县级为基本调查单元，聚焦土地利用与植被覆盖类型年度变化信息监测。变化信息获取路径为：依托国家共享或自主获取的最新高分遥感影像提取变化信息；依据县级林草经营和工程建设数字档案材料获取变化信息；通过“一张图”平台共享参考使用部自然资源监测成果和局林草预警遥感判读成果。针对不同类型的变化信息，调查记载相应的指标（因子）属性。</w:t>
      </w:r>
    </w:p>
    <w:p w14:paraId="62E5425F">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根据林业经营管理的需要，我县其他林地应细化到三级地类：疏林地、未成林地、苗圃地、采伐迹地、火烧迹地、林业直服设施用地。</w:t>
      </w:r>
    </w:p>
    <w:p w14:paraId="1F084C89">
      <w:pPr>
        <w:keepNext w:val="0"/>
        <w:keepLines w:val="0"/>
        <w:pageBreakBefore w:val="0"/>
        <w:spacing w:line="480" w:lineRule="exact"/>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固定样地调查</w:t>
      </w:r>
    </w:p>
    <w:p w14:paraId="57B7B383">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由省级统一开展，县级做好配合工作</w:t>
      </w:r>
      <w:r>
        <w:rPr>
          <w:rFonts w:hint="eastAsia" w:ascii="宋体" w:hAnsi="宋体" w:eastAsia="宋体" w:cs="宋体"/>
          <w:b w:val="0"/>
          <w:bCs w:val="0"/>
          <w:color w:val="auto"/>
          <w:sz w:val="24"/>
          <w:szCs w:val="24"/>
          <w:highlight w:val="none"/>
          <w:lang w:val="en-US" w:eastAsia="zh-CN"/>
        </w:rPr>
        <w:t>。</w:t>
      </w:r>
    </w:p>
    <w:p w14:paraId="1C9707A4">
      <w:pPr>
        <w:keepNext w:val="0"/>
        <w:keepLines w:val="0"/>
        <w:pageBreakBefore w:val="0"/>
        <w:spacing w:line="480" w:lineRule="exact"/>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en-US" w:eastAsia="zh-CN"/>
        </w:rPr>
        <w:t>林草经营数字档案建设</w:t>
      </w:r>
    </w:p>
    <w:p w14:paraId="6925AE69">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推进县级林草经营和工程建设数字档案建设，纳入“一张图”国土调查云平台，为变化信息比对与合法合规性审核提供数据支撑。</w:t>
      </w:r>
    </w:p>
    <w:p w14:paraId="71E3A07F">
      <w:pPr>
        <w:keepNext w:val="0"/>
        <w:keepLines w:val="0"/>
        <w:pageBreakBefore w:val="0"/>
        <w:spacing w:line="480" w:lineRule="exact"/>
        <w:ind w:left="0" w:firstLine="482"/>
        <w:outlineLvl w:val="4"/>
        <w:rPr>
          <w:rFonts w:hint="eastAsia" w:ascii="宋体" w:hAnsi="宋体" w:eastAsia="宋体" w:cs="宋体"/>
          <w:b/>
          <w:bCs/>
          <w:color w:val="auto"/>
          <w:sz w:val="24"/>
          <w:szCs w:val="24"/>
          <w:highlight w:val="none"/>
          <w:lang w:val="en-US" w:eastAsia="zh-CN"/>
        </w:rPr>
      </w:pPr>
      <w:bookmarkStart w:id="127" w:name="OLE_LINK68"/>
      <w:bookmarkStart w:id="128" w:name="_Hlk187793867"/>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val="en-US" w:eastAsia="zh-CN"/>
        </w:rPr>
        <w:t>）卫片监测预警核实处置</w:t>
      </w:r>
      <w:bookmarkEnd w:id="127"/>
    </w:p>
    <w:p w14:paraId="051222C1">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①</w:t>
      </w:r>
      <w:r>
        <w:rPr>
          <w:rFonts w:hint="eastAsia" w:ascii="宋体" w:hAnsi="宋体" w:eastAsia="宋体" w:cs="宋体"/>
          <w:b w:val="0"/>
          <w:bCs w:val="0"/>
          <w:color w:val="auto"/>
          <w:sz w:val="24"/>
          <w:szCs w:val="24"/>
          <w:highlight w:val="none"/>
          <w:lang w:val="en-US" w:eastAsia="zh-CN"/>
        </w:rPr>
        <w:t>遥感影像收集</w:t>
      </w:r>
    </w:p>
    <w:p w14:paraId="6E4B3966">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统一采用部，省下发的</w:t>
      </w:r>
      <w:r>
        <w:rPr>
          <w:rFonts w:hint="eastAsia" w:ascii="宋体" w:hAnsi="宋体" w:cs="宋体"/>
          <w:b w:val="0"/>
          <w:bCs w:val="0"/>
          <w:color w:val="auto"/>
          <w:sz w:val="24"/>
          <w:szCs w:val="24"/>
          <w:highlight w:val="none"/>
          <w:lang w:val="en-US" w:eastAsia="zh-CN"/>
        </w:rPr>
        <w:t>2026</w:t>
      </w:r>
      <w:r>
        <w:rPr>
          <w:rFonts w:hint="eastAsia" w:ascii="宋体" w:hAnsi="宋体" w:eastAsia="宋体" w:cs="宋体"/>
          <w:b w:val="0"/>
          <w:bCs w:val="0"/>
          <w:color w:val="auto"/>
          <w:sz w:val="24"/>
          <w:szCs w:val="24"/>
          <w:highlight w:val="none"/>
          <w:lang w:val="en-US" w:eastAsia="zh-CN"/>
        </w:rPr>
        <w:t>年</w:t>
      </w:r>
      <w:r>
        <w:rPr>
          <w:rFonts w:hint="eastAsia" w:ascii="宋体" w:hAnsi="宋体" w:cs="宋体"/>
          <w:b w:val="0"/>
          <w:bCs w:val="0"/>
          <w:color w:val="auto"/>
          <w:sz w:val="24"/>
          <w:szCs w:val="24"/>
          <w:highlight w:val="none"/>
          <w:lang w:val="en-US" w:eastAsia="zh-CN"/>
        </w:rPr>
        <w:t>季度</w:t>
      </w:r>
      <w:r>
        <w:rPr>
          <w:rFonts w:hint="eastAsia" w:ascii="宋体" w:hAnsi="宋体" w:eastAsia="宋体" w:cs="宋体"/>
          <w:b w:val="0"/>
          <w:bCs w:val="0"/>
          <w:color w:val="auto"/>
          <w:sz w:val="24"/>
          <w:szCs w:val="24"/>
          <w:highlight w:val="none"/>
          <w:lang w:val="en-US" w:eastAsia="zh-CN"/>
        </w:rPr>
        <w:t>卫星遥感影像数据，同时收集往年历史影像。以</w:t>
      </w:r>
      <w:r>
        <w:rPr>
          <w:rFonts w:hint="eastAsia" w:ascii="宋体" w:hAnsi="宋体" w:cs="宋体"/>
          <w:b w:val="0"/>
          <w:bCs w:val="0"/>
          <w:color w:val="auto"/>
          <w:sz w:val="24"/>
          <w:szCs w:val="24"/>
          <w:highlight w:val="none"/>
          <w:lang w:val="en-US" w:eastAsia="zh-CN"/>
        </w:rPr>
        <w:t>2026季度</w:t>
      </w:r>
      <w:r>
        <w:rPr>
          <w:rFonts w:hint="eastAsia" w:ascii="宋体" w:hAnsi="宋体" w:eastAsia="宋体" w:cs="宋体"/>
          <w:b w:val="0"/>
          <w:bCs w:val="0"/>
          <w:color w:val="auto"/>
          <w:sz w:val="24"/>
          <w:szCs w:val="24"/>
          <w:highlight w:val="none"/>
          <w:lang w:val="en-US" w:eastAsia="zh-CN"/>
        </w:rPr>
        <w:t>影像为主，往年历史影像为辅助核实。</w:t>
      </w:r>
    </w:p>
    <w:p w14:paraId="37CAAAB7">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②</w:t>
      </w:r>
      <w:r>
        <w:rPr>
          <w:rFonts w:hint="eastAsia" w:ascii="宋体" w:hAnsi="宋体" w:eastAsia="宋体" w:cs="宋体"/>
          <w:b w:val="0"/>
          <w:bCs w:val="0"/>
          <w:color w:val="auto"/>
          <w:sz w:val="24"/>
          <w:szCs w:val="24"/>
          <w:highlight w:val="none"/>
          <w:lang w:val="en-US" w:eastAsia="zh-CN"/>
        </w:rPr>
        <w:t>资料收集与整理</w:t>
      </w:r>
    </w:p>
    <w:p w14:paraId="1CF11002">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系统收集并更新历年现状图层、历年规划图层、各时期永久基本农田图层、最新时点报批图层、供地图层及相关专题图层，同步整理农业农村、水利等相关部门涉及新增建设用地的审批文件，在此基础上综合叠加形成卫片监测预警核实处置核查底图。</w:t>
      </w:r>
    </w:p>
    <w:p w14:paraId="40A30196">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③</w:t>
      </w:r>
      <w:r>
        <w:rPr>
          <w:rFonts w:hint="eastAsia" w:ascii="宋体" w:hAnsi="宋体" w:eastAsia="宋体" w:cs="宋体"/>
          <w:b w:val="0"/>
          <w:bCs w:val="0"/>
          <w:color w:val="auto"/>
          <w:sz w:val="24"/>
          <w:szCs w:val="24"/>
          <w:highlight w:val="none"/>
          <w:lang w:val="en-US" w:eastAsia="zh-CN"/>
        </w:rPr>
        <w:t>监测内容</w:t>
      </w:r>
    </w:p>
    <w:p w14:paraId="04E39DA9">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a.</w:t>
      </w:r>
      <w:r>
        <w:rPr>
          <w:rFonts w:hint="eastAsia" w:ascii="宋体" w:hAnsi="宋体" w:eastAsia="宋体" w:cs="宋体"/>
          <w:b w:val="0"/>
          <w:bCs w:val="0"/>
          <w:color w:val="auto"/>
          <w:sz w:val="24"/>
          <w:szCs w:val="24"/>
          <w:highlight w:val="none"/>
          <w:lang w:val="en-US" w:eastAsia="zh-CN"/>
        </w:rPr>
        <w:t>监测范围</w:t>
      </w:r>
    </w:p>
    <w:p w14:paraId="030D5DE3">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本次监测范围为泗洪县行政区域范围。</w:t>
      </w:r>
    </w:p>
    <w:p w14:paraId="63820561">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b.</w:t>
      </w:r>
      <w:r>
        <w:rPr>
          <w:rFonts w:hint="eastAsia" w:ascii="宋体" w:hAnsi="宋体" w:eastAsia="宋体" w:cs="宋体"/>
          <w:b w:val="0"/>
          <w:bCs w:val="0"/>
          <w:color w:val="auto"/>
          <w:sz w:val="24"/>
          <w:szCs w:val="24"/>
          <w:highlight w:val="none"/>
          <w:lang w:val="en-US" w:eastAsia="zh-CN"/>
        </w:rPr>
        <w:t>监测内容采集</w:t>
      </w:r>
    </w:p>
    <w:p w14:paraId="435A44DB">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对</w:t>
      </w:r>
      <w:r>
        <w:rPr>
          <w:rFonts w:hint="eastAsia" w:ascii="宋体" w:hAnsi="宋体" w:cs="宋体"/>
          <w:b w:val="0"/>
          <w:bCs w:val="0"/>
          <w:color w:val="auto"/>
          <w:sz w:val="24"/>
          <w:szCs w:val="24"/>
          <w:highlight w:val="none"/>
          <w:lang w:val="en-US" w:eastAsia="zh-CN"/>
        </w:rPr>
        <w:t>泗洪</w:t>
      </w:r>
      <w:r>
        <w:rPr>
          <w:rFonts w:hint="eastAsia" w:ascii="宋体" w:hAnsi="宋体" w:eastAsia="宋体" w:cs="宋体"/>
          <w:b w:val="0"/>
          <w:bCs w:val="0"/>
          <w:color w:val="auto"/>
          <w:sz w:val="24"/>
          <w:szCs w:val="24"/>
          <w:highlight w:val="none"/>
          <w:lang w:val="en-US" w:eastAsia="zh-CN"/>
        </w:rPr>
        <w:t>县全域范围内变更调查涉及的新增建设用地图斑，以及执法自主巡查发现的新增建设用地图斑，依据《</w:t>
      </w:r>
      <w:r>
        <w:rPr>
          <w:rFonts w:hint="eastAsia" w:ascii="宋体" w:hAnsi="宋体" w:cs="宋体"/>
          <w:b w:val="0"/>
          <w:bCs w:val="0"/>
          <w:color w:val="auto"/>
          <w:sz w:val="24"/>
          <w:szCs w:val="24"/>
          <w:highlight w:val="none"/>
          <w:lang w:val="en-US" w:eastAsia="zh-CN"/>
        </w:rPr>
        <w:t>中华人民共和国土地管理法</w:t>
      </w:r>
      <w:r>
        <w:rPr>
          <w:rFonts w:hint="eastAsia" w:ascii="宋体" w:hAnsi="宋体" w:eastAsia="宋体" w:cs="宋体"/>
          <w:b w:val="0"/>
          <w:bCs w:val="0"/>
          <w:color w:val="auto"/>
          <w:sz w:val="24"/>
          <w:szCs w:val="24"/>
          <w:highlight w:val="none"/>
          <w:lang w:val="en-US" w:eastAsia="zh-CN"/>
        </w:rPr>
        <w:t>》、《土地矿产卫片执法检查工作规范（试行）》开展合法性判定。</w:t>
      </w:r>
    </w:p>
    <w:p w14:paraId="717DE8F1">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c.</w:t>
      </w:r>
      <w:r>
        <w:rPr>
          <w:rFonts w:hint="eastAsia" w:ascii="宋体" w:hAnsi="宋体" w:eastAsia="宋体" w:cs="宋体"/>
          <w:b w:val="0"/>
          <w:bCs w:val="0"/>
          <w:color w:val="auto"/>
          <w:sz w:val="24"/>
          <w:szCs w:val="24"/>
          <w:highlight w:val="none"/>
          <w:lang w:val="en-US" w:eastAsia="zh-CN"/>
        </w:rPr>
        <w:t>监测成果</w:t>
      </w:r>
    </w:p>
    <w:p w14:paraId="2B4F4FA2">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严格对照《</w:t>
      </w:r>
      <w:r>
        <w:rPr>
          <w:rFonts w:hint="eastAsia" w:ascii="宋体" w:hAnsi="宋体" w:cs="宋体"/>
          <w:b w:val="0"/>
          <w:bCs w:val="0"/>
          <w:color w:val="auto"/>
          <w:sz w:val="24"/>
          <w:szCs w:val="24"/>
          <w:highlight w:val="none"/>
          <w:lang w:val="en-US" w:eastAsia="zh-CN"/>
        </w:rPr>
        <w:t>中华人民共和国土地管理法</w:t>
      </w:r>
      <w:r>
        <w:rPr>
          <w:rFonts w:hint="eastAsia" w:ascii="宋体" w:hAnsi="宋体" w:eastAsia="宋体" w:cs="宋体"/>
          <w:b w:val="0"/>
          <w:bCs w:val="0"/>
          <w:color w:val="auto"/>
          <w:sz w:val="24"/>
          <w:szCs w:val="24"/>
          <w:highlight w:val="none"/>
          <w:lang w:val="en-US" w:eastAsia="zh-CN"/>
        </w:rPr>
        <w:t>》、《土地矿产卫片执法检查工作规范（试行）》等相关法律法规</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并</w:t>
      </w:r>
      <w:r>
        <w:rPr>
          <w:rFonts w:hint="default" w:ascii="Times New Roman" w:hAnsi="Times New Roman" w:cs="Times New Roman"/>
          <w:color w:val="auto"/>
          <w:sz w:val="24"/>
        </w:rPr>
        <w:t>依托逻辑运算、空间叠加分析等</w:t>
      </w:r>
      <w:r>
        <w:rPr>
          <w:rFonts w:hint="eastAsia" w:ascii="Times New Roman" w:hAnsi="Times New Roman" w:cs="Times New Roman"/>
          <w:color w:val="auto"/>
          <w:sz w:val="24"/>
          <w:lang w:val="en-US" w:eastAsia="zh-CN"/>
        </w:rPr>
        <w:t>计算机专业软件</w:t>
      </w:r>
      <w:r>
        <w:rPr>
          <w:rFonts w:hint="default" w:ascii="Times New Roman" w:hAnsi="Times New Roman" w:cs="Times New Roman"/>
          <w:color w:val="auto"/>
          <w:sz w:val="24"/>
        </w:rPr>
        <w:t>技术手段</w:t>
      </w:r>
      <w:r>
        <w:rPr>
          <w:rFonts w:hint="eastAsia" w:ascii="宋体" w:hAnsi="宋体" w:cs="宋体"/>
          <w:b w:val="0"/>
          <w:bCs w:val="0"/>
          <w:color w:val="auto"/>
          <w:sz w:val="24"/>
          <w:szCs w:val="24"/>
          <w:highlight w:val="none"/>
          <w:lang w:val="en-US" w:eastAsia="zh-CN"/>
        </w:rPr>
        <w:t>，对</w:t>
      </w:r>
      <w:r>
        <w:rPr>
          <w:rFonts w:hint="eastAsia" w:ascii="宋体" w:hAnsi="宋体" w:eastAsia="宋体" w:cs="宋体"/>
          <w:b w:val="0"/>
          <w:bCs w:val="0"/>
          <w:color w:val="auto"/>
          <w:sz w:val="24"/>
          <w:szCs w:val="24"/>
          <w:highlight w:val="none"/>
          <w:lang w:val="en-US" w:eastAsia="zh-CN"/>
        </w:rPr>
        <w:t>变更调查新增建设用地和执法自主巡查发现的新增建设用地图斑进行合法性综合判定。最终将全量核实结果同步至相关业务科室，同步形成相关核实台账，对最终判定为违法用地的地块，严格依照法定程序依法依规开展后续立案查处工作。</w:t>
      </w:r>
    </w:p>
    <w:p w14:paraId="427C54EA">
      <w:pPr>
        <w:keepNext w:val="0"/>
        <w:keepLines w:val="0"/>
        <w:pageBreakBefore w:val="0"/>
        <w:spacing w:line="480" w:lineRule="exact"/>
        <w:ind w:left="0" w:firstLine="482"/>
        <w:outlineLvl w:val="1"/>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val="en-US" w:eastAsia="zh-CN"/>
        </w:rPr>
        <w:t>、工作依据</w:t>
      </w:r>
    </w:p>
    <w:p w14:paraId="33229836">
      <w:pPr>
        <w:keepNext w:val="0"/>
        <w:keepLines w:val="0"/>
        <w:pageBreakBefore w:val="0"/>
        <w:spacing w:line="480" w:lineRule="exact"/>
        <w:ind w:left="0" w:firstLine="482"/>
        <w:outlineLvl w:val="2"/>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（一）法律法规</w:t>
      </w:r>
    </w:p>
    <w:p w14:paraId="761EF3B4">
      <w:pPr>
        <w:keepNext w:val="0"/>
        <w:keepLines w:val="0"/>
        <w:pageBreakBefore w:val="0"/>
        <w:widowControl w:val="0"/>
        <w:numPr>
          <w:ilvl w:val="0"/>
          <w:numId w:val="4"/>
        </w:numPr>
        <w:spacing w:line="480" w:lineRule="exact"/>
        <w:ind w:left="0"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《中华人民共和国土地管理法》</w:t>
      </w:r>
    </w:p>
    <w:p w14:paraId="3D262A22">
      <w:pPr>
        <w:keepNext w:val="0"/>
        <w:keepLines w:val="0"/>
        <w:pageBreakBefore w:val="0"/>
        <w:widowControl w:val="0"/>
        <w:numPr>
          <w:ilvl w:val="0"/>
          <w:numId w:val="4"/>
        </w:numPr>
        <w:spacing w:line="480" w:lineRule="exact"/>
        <w:ind w:left="0"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《土地调查条例》</w:t>
      </w:r>
    </w:p>
    <w:p w14:paraId="0D02D3FC">
      <w:pPr>
        <w:keepNext w:val="0"/>
        <w:keepLines w:val="0"/>
        <w:pageBreakBefore w:val="0"/>
        <w:widowControl w:val="0"/>
        <w:numPr>
          <w:ilvl w:val="0"/>
          <w:numId w:val="4"/>
        </w:numPr>
        <w:spacing w:line="480" w:lineRule="exact"/>
        <w:ind w:left="0"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《土地调查条例实施办法》</w:t>
      </w:r>
    </w:p>
    <w:p w14:paraId="79D98DC3">
      <w:pPr>
        <w:keepNext w:val="0"/>
        <w:keepLines w:val="0"/>
        <w:pageBreakBefore w:val="0"/>
        <w:spacing w:line="480" w:lineRule="exact"/>
        <w:ind w:left="0" w:firstLine="482"/>
        <w:outlineLvl w:val="2"/>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eastAsia="zh-CN"/>
        </w:rPr>
        <w:t>技术标准与规范</w:t>
      </w:r>
    </w:p>
    <w:p w14:paraId="53DE189D">
      <w:pPr>
        <w:keepNext w:val="0"/>
        <w:keepLines w:val="0"/>
        <w:pageBreakBefore w:val="0"/>
        <w:widowControl w:val="0"/>
        <w:numPr>
          <w:ilvl w:val="0"/>
          <w:numId w:val="5"/>
        </w:numPr>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GB/T 21010-2017 土地利用现状分类</w:t>
      </w:r>
    </w:p>
    <w:p w14:paraId="1EF3C11E">
      <w:pPr>
        <w:keepNext w:val="0"/>
        <w:keepLines w:val="0"/>
        <w:pageBreakBefore w:val="0"/>
        <w:widowControl w:val="0"/>
        <w:numPr>
          <w:ilvl w:val="0"/>
          <w:numId w:val="5"/>
        </w:numPr>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TD/T 1055-2019 第三次全国国土调查技术规程</w:t>
      </w:r>
    </w:p>
    <w:p w14:paraId="2146CAF6">
      <w:pPr>
        <w:keepNext w:val="0"/>
        <w:keepLines w:val="0"/>
        <w:pageBreakBefore w:val="0"/>
        <w:widowControl w:val="0"/>
        <w:numPr>
          <w:ilvl w:val="0"/>
          <w:numId w:val="5"/>
        </w:numPr>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TD/T 1057-2022 国土调查数据库标准</w:t>
      </w:r>
    </w:p>
    <w:p w14:paraId="33F36207">
      <w:pPr>
        <w:keepNext w:val="0"/>
        <w:keepLines w:val="0"/>
        <w:pageBreakBefore w:val="0"/>
        <w:widowControl w:val="0"/>
        <w:numPr>
          <w:ilvl w:val="0"/>
          <w:numId w:val="5"/>
        </w:numPr>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TD/T 1058-2022 第三次全国国土调查县级数据库建设技术规范</w:t>
      </w:r>
    </w:p>
    <w:p w14:paraId="1E03D033">
      <w:pPr>
        <w:keepNext w:val="0"/>
        <w:keepLines w:val="0"/>
        <w:pageBreakBefore w:val="0"/>
        <w:widowControl w:val="0"/>
        <w:numPr>
          <w:ilvl w:val="0"/>
          <w:numId w:val="5"/>
        </w:numPr>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GB/T 42547-2023 地籍调查规程</w:t>
      </w:r>
    </w:p>
    <w:p w14:paraId="54CFFF94">
      <w:pPr>
        <w:keepNext w:val="0"/>
        <w:keepLines w:val="0"/>
        <w:pageBreakBefore w:val="0"/>
        <w:widowControl w:val="0"/>
        <w:numPr>
          <w:ilvl w:val="0"/>
          <w:numId w:val="5"/>
        </w:numPr>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GB/T 38590-2020 森林资源连续清查技术规程</w:t>
      </w:r>
    </w:p>
    <w:p w14:paraId="024FD649">
      <w:pPr>
        <w:keepNext w:val="0"/>
        <w:keepLines w:val="0"/>
        <w:pageBreakBefore w:val="0"/>
        <w:widowControl w:val="0"/>
        <w:numPr>
          <w:ilvl w:val="0"/>
          <w:numId w:val="5"/>
        </w:numPr>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《国土空间调查、规划、用途管制用地用海分类指南》（自然资发〔2023〕234号）</w:t>
      </w:r>
    </w:p>
    <w:p w14:paraId="244A7DBF">
      <w:pPr>
        <w:keepNext w:val="0"/>
        <w:keepLines w:val="0"/>
        <w:pageBreakBefore w:val="0"/>
        <w:widowControl w:val="0"/>
        <w:numPr>
          <w:ilvl w:val="0"/>
          <w:numId w:val="5"/>
        </w:numPr>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《全国森林草原湿地荒漠化普查技术规程》（办资字〔2024〕128号）</w:t>
      </w:r>
    </w:p>
    <w:p w14:paraId="77707EBF">
      <w:pPr>
        <w:keepNext w:val="0"/>
        <w:keepLines w:val="0"/>
        <w:pageBreakBefore w:val="0"/>
        <w:spacing w:line="480" w:lineRule="exact"/>
        <w:ind w:left="0" w:firstLine="482"/>
        <w:outlineLvl w:val="2"/>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val="en-US" w:eastAsia="zh-CN"/>
        </w:rPr>
        <w:t>2026年度专项文件</w:t>
      </w:r>
    </w:p>
    <w:p w14:paraId="0B4F15BF">
      <w:pPr>
        <w:keepNext w:val="0"/>
        <w:keepLines w:val="0"/>
        <w:pageBreakBefore w:val="0"/>
        <w:widowControl w:val="0"/>
        <w:numPr>
          <w:ilvl w:val="0"/>
          <w:numId w:val="6"/>
        </w:numPr>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《自然资源部办公厅 国家林业和草原局办公室关于开展2026年度一体化调查监测工作的通知》（自然资办函〔2026〕1038号）</w:t>
      </w:r>
    </w:p>
    <w:p w14:paraId="6D50D333">
      <w:pPr>
        <w:keepNext w:val="0"/>
        <w:keepLines w:val="0"/>
        <w:pageBreakBefore w:val="0"/>
        <w:widowControl w:val="0"/>
        <w:numPr>
          <w:ilvl w:val="0"/>
          <w:numId w:val="6"/>
        </w:numPr>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《2026年度一体化调查监测实施方案》</w:t>
      </w:r>
    </w:p>
    <w:p w14:paraId="134657C0">
      <w:pPr>
        <w:keepNext w:val="0"/>
        <w:keepLines w:val="0"/>
        <w:pageBreakBefore w:val="0"/>
        <w:widowControl w:val="0"/>
        <w:numPr>
          <w:ilvl w:val="0"/>
          <w:numId w:val="6"/>
        </w:numPr>
        <w:spacing w:line="480" w:lineRule="exact"/>
        <w:ind w:left="0" w:firstLine="480"/>
        <w:outlineLvl w:val="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《国土变更调查技术要求（2026年度适用）》</w:t>
      </w:r>
    </w:p>
    <w:p w14:paraId="44ADBDCF">
      <w:pPr>
        <w:keepNext w:val="0"/>
        <w:keepLines w:val="0"/>
        <w:pageBreakBefore w:val="0"/>
        <w:widowControl w:val="0"/>
        <w:numPr>
          <w:ilvl w:val="0"/>
          <w:numId w:val="6"/>
        </w:numPr>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《2026年自然资源监测技术方案》</w:t>
      </w:r>
    </w:p>
    <w:p w14:paraId="14DE7430">
      <w:pPr>
        <w:keepNext w:val="0"/>
        <w:keepLines w:val="0"/>
        <w:pageBreakBefore w:val="0"/>
        <w:widowControl w:val="0"/>
        <w:numPr>
          <w:ilvl w:val="0"/>
          <w:numId w:val="6"/>
        </w:numPr>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《林草湿荒调查监测技术要求（2026年度适用）》</w:t>
      </w:r>
    </w:p>
    <w:p w14:paraId="3D372A77">
      <w:pPr>
        <w:keepNext w:val="0"/>
        <w:keepLines w:val="0"/>
        <w:pageBreakBefore w:val="0"/>
        <w:widowControl w:val="0"/>
        <w:numPr>
          <w:ilvl w:val="0"/>
          <w:numId w:val="6"/>
        </w:numPr>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江苏省2026年度国土变更调查有关要求</w:t>
      </w:r>
    </w:p>
    <w:p w14:paraId="33AA2A9D">
      <w:pPr>
        <w:keepNext w:val="0"/>
        <w:keepLines w:val="0"/>
        <w:pageBreakBefore w:val="0"/>
        <w:widowControl w:val="0"/>
        <w:numPr>
          <w:ilvl w:val="0"/>
          <w:numId w:val="6"/>
        </w:numPr>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《2026年城市国土空间监测技术方案》</w:t>
      </w:r>
    </w:p>
    <w:p w14:paraId="64FFFB49">
      <w:pPr>
        <w:keepNext w:val="0"/>
        <w:keepLines w:val="0"/>
        <w:pageBreakBefore w:val="0"/>
        <w:spacing w:line="480" w:lineRule="exact"/>
        <w:ind w:left="0" w:firstLine="482"/>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val="en-US" w:eastAsia="zh-CN"/>
        </w:rPr>
        <w:t>）数学基础</w:t>
      </w:r>
    </w:p>
    <w:p w14:paraId="7905B9FA">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坐标系统：采用“2000 国家大地坐标系”；</w:t>
      </w:r>
    </w:p>
    <w:p w14:paraId="70640C6B">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投影方式：采用高斯-克吕格投影，3°分带；</w:t>
      </w:r>
    </w:p>
    <w:p w14:paraId="71DF74D3">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高程基准：1985国家高程基准。</w:t>
      </w:r>
      <w:bookmarkEnd w:id="128"/>
    </w:p>
    <w:p w14:paraId="58B1FB5E">
      <w:pPr>
        <w:keepNext w:val="0"/>
        <w:keepLines w:val="0"/>
        <w:pageBreakBefore w:val="0"/>
        <w:spacing w:line="480" w:lineRule="exact"/>
        <w:ind w:left="0" w:firstLine="482"/>
        <w:outlineLvl w:val="1"/>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lang w:val="en-US" w:eastAsia="zh-CN"/>
        </w:rPr>
        <w:t>、工作成果</w:t>
      </w:r>
    </w:p>
    <w:p w14:paraId="5D2AD660">
      <w:pPr>
        <w:keepNext w:val="0"/>
        <w:keepLines w:val="0"/>
        <w:pageBreakBefore w:val="0"/>
        <w:spacing w:line="480" w:lineRule="exact"/>
        <w:ind w:left="0" w:firstLine="482"/>
        <w:outlineLvl w:val="2"/>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（一）2026年一体化调查监测成果</w:t>
      </w:r>
    </w:p>
    <w:p w14:paraId="63821B8F">
      <w:pPr>
        <w:keepNext w:val="0"/>
        <w:keepLines w:val="0"/>
        <w:pageBreakBefore w:val="0"/>
        <w:spacing w:line="480" w:lineRule="exact"/>
        <w:ind w:left="0" w:firstLine="482"/>
        <w:outlineLvl w:val="3"/>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1.国土变更调查成果</w:t>
      </w:r>
    </w:p>
    <w:p w14:paraId="6A7D8592">
      <w:pPr>
        <w:keepNext w:val="0"/>
        <w:keepLines w:val="0"/>
        <w:pageBreakBefore w:val="0"/>
        <w:spacing w:line="480" w:lineRule="exact"/>
        <w:ind w:left="0" w:firstLine="480"/>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成果目录与要求按省级最新要求开展。</w:t>
      </w:r>
    </w:p>
    <w:p w14:paraId="34C0A569">
      <w:pPr>
        <w:keepNext w:val="0"/>
        <w:keepLines w:val="0"/>
        <w:pageBreakBefore w:val="0"/>
        <w:widowControl w:val="0"/>
        <w:numPr>
          <w:ilvl w:val="0"/>
          <w:numId w:val="7"/>
        </w:numPr>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202</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en-US" w:eastAsia="zh-CN"/>
        </w:rPr>
        <w:t>年度变更调查更新数据包；</w:t>
      </w:r>
    </w:p>
    <w:p w14:paraId="4DF1F78B">
      <w:pPr>
        <w:keepNext w:val="0"/>
        <w:keepLines w:val="0"/>
        <w:pageBreakBefore w:val="0"/>
        <w:widowControl w:val="0"/>
        <w:numPr>
          <w:ilvl w:val="0"/>
          <w:numId w:val="7"/>
        </w:numPr>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“互联网+”举证成果数据；</w:t>
      </w:r>
    </w:p>
    <w:p w14:paraId="7865089C">
      <w:pPr>
        <w:keepNext w:val="0"/>
        <w:keepLines w:val="0"/>
        <w:pageBreakBefore w:val="0"/>
        <w:widowControl w:val="0"/>
        <w:numPr>
          <w:ilvl w:val="0"/>
          <w:numId w:val="7"/>
        </w:numPr>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举证信息表；</w:t>
      </w:r>
    </w:p>
    <w:p w14:paraId="63179BDE">
      <w:pPr>
        <w:keepNext w:val="0"/>
        <w:keepLines w:val="0"/>
        <w:pageBreakBefore w:val="0"/>
        <w:widowControl w:val="0"/>
        <w:numPr>
          <w:ilvl w:val="0"/>
          <w:numId w:val="7"/>
        </w:numPr>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《遥感监测图斑信息核实记录表》；</w:t>
      </w:r>
    </w:p>
    <w:p w14:paraId="65E08F51">
      <w:pPr>
        <w:keepNext w:val="0"/>
        <w:keepLines w:val="0"/>
        <w:pageBreakBefore w:val="0"/>
        <w:widowControl w:val="0"/>
        <w:numPr>
          <w:ilvl w:val="0"/>
          <w:numId w:val="7"/>
        </w:numPr>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更新调查面积表。</w:t>
      </w:r>
    </w:p>
    <w:p w14:paraId="23C2F2FE">
      <w:pPr>
        <w:keepNext w:val="0"/>
        <w:keepLines w:val="0"/>
        <w:pageBreakBefore w:val="0"/>
        <w:spacing w:line="480" w:lineRule="exact"/>
        <w:ind w:left="0" w:firstLine="482"/>
        <w:outlineLvl w:val="3"/>
        <w:rPr>
          <w:rFonts w:hint="eastAsia" w:ascii="宋体" w:hAnsi="宋体" w:eastAsia="宋体" w:cs="宋体"/>
          <w:b/>
          <w:bCs/>
          <w:color w:val="auto"/>
          <w:sz w:val="24"/>
          <w:szCs w:val="24"/>
          <w:highlight w:val="none"/>
          <w:lang w:val="en-US" w:eastAsia="zh-CN"/>
        </w:rPr>
      </w:pPr>
      <w:bookmarkStart w:id="129" w:name="OLE_LINK65"/>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森林草原湿地调查监测</w:t>
      </w:r>
      <w:bookmarkEnd w:id="129"/>
    </w:p>
    <w:p w14:paraId="60294338">
      <w:pPr>
        <w:keepNext w:val="0"/>
        <w:keepLines w:val="0"/>
        <w:pageBreakBefore w:val="0"/>
        <w:spacing w:line="480" w:lineRule="exact"/>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1)数据库成果</w:t>
      </w:r>
    </w:p>
    <w:p w14:paraId="6A1700B8">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①森林草原湿地普查和荒漠化沙化、石漠化调查监测数据库。包括遥感影像数据库以及森林草原湿地普查和荒漠化沙化、石漠化调查监测成果数据库。</w:t>
      </w:r>
    </w:p>
    <w:p w14:paraId="2DB25A3E">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②森林草原湿地普查和荒漠化沙化、石漠化调查监测基础支撑数据库。包括基础数表、计量模型及参数数据库。</w:t>
      </w:r>
    </w:p>
    <w:p w14:paraId="3A298A6B">
      <w:pPr>
        <w:keepNext w:val="0"/>
        <w:keepLines w:val="0"/>
        <w:pageBreakBefore w:val="0"/>
        <w:spacing w:line="480" w:lineRule="exact"/>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2)统计成果</w:t>
      </w:r>
    </w:p>
    <w:p w14:paraId="7BECF214">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森林草原湿地普查和荒漠化沙化、石漠化调查监测成果统计表。包括反映森林草原湿地保护利用状况、林草植被状况、森林草原湿地生产力，以及荒漠化沙化、石漠化状况、可治理沙化土地及沙化、石漠化土地治理情况等一系列成果统计表。</w:t>
      </w:r>
    </w:p>
    <w:p w14:paraId="18B28F0D">
      <w:pPr>
        <w:keepNext w:val="0"/>
        <w:keepLines w:val="0"/>
        <w:pageBreakBefore w:val="0"/>
        <w:spacing w:line="480" w:lineRule="exact"/>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3)图件成果</w:t>
      </w:r>
    </w:p>
    <w:p w14:paraId="484F699E">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①林草资源分布图。包括林草植被分布图、森林分布图、草原分布图、湿地分布图。</w:t>
      </w:r>
    </w:p>
    <w:p w14:paraId="5DE11AFF">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②荒漠化沙化、石漠化土地分布图。包括荒漠化类型和程度分布图、沙化类型分布图、沙化程度分布图、沙化土地治理分布图、石漠化状况和程度分布图等。</w:t>
      </w:r>
    </w:p>
    <w:p w14:paraId="5D3D23BC">
      <w:pPr>
        <w:keepNext w:val="0"/>
        <w:keepLines w:val="0"/>
        <w:pageBreakBefore w:val="0"/>
        <w:spacing w:line="480" w:lineRule="exact"/>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4)文档成果</w:t>
      </w:r>
    </w:p>
    <w:p w14:paraId="65FC796F">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森林草原湿地荒漠调查监测成果报告。</w:t>
      </w:r>
    </w:p>
    <w:p w14:paraId="260EEB4F">
      <w:pPr>
        <w:keepNext w:val="0"/>
        <w:keepLines w:val="0"/>
        <w:pageBreakBefore w:val="0"/>
        <w:spacing w:line="480" w:lineRule="exact"/>
        <w:ind w:left="0" w:firstLine="482"/>
        <w:outlineLvl w:val="3"/>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自然资源监测（含城市国土空间监测）成果</w:t>
      </w:r>
    </w:p>
    <w:p w14:paraId="475CB197">
      <w:pPr>
        <w:keepNext w:val="0"/>
        <w:keepLines w:val="0"/>
        <w:pageBreakBefore w:val="0"/>
        <w:spacing w:line="480" w:lineRule="exact"/>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1)基础成果</w:t>
      </w:r>
    </w:p>
    <w:p w14:paraId="2E9ACB04">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按照统一要求，通过整合、采集、细化形成的空间数据成果。各地制作的正射纠正影像数据。</w:t>
      </w:r>
    </w:p>
    <w:p w14:paraId="4C2F807C">
      <w:pPr>
        <w:keepNext w:val="0"/>
        <w:keepLines w:val="0"/>
        <w:pageBreakBefore w:val="0"/>
        <w:spacing w:line="480" w:lineRule="exact"/>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2)统计成果</w:t>
      </w:r>
    </w:p>
    <w:p w14:paraId="1001A5F0">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基于基础成果进行汇总统计形成的数据成果。</w:t>
      </w:r>
    </w:p>
    <w:p w14:paraId="7972966B">
      <w:pPr>
        <w:keepNext w:val="0"/>
        <w:keepLines w:val="0"/>
        <w:pageBreakBefore w:val="0"/>
        <w:spacing w:line="480" w:lineRule="exact"/>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3)分析成果</w:t>
      </w:r>
    </w:p>
    <w:p w14:paraId="36A50A83">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提交城市国土空间监测统计成果。</w:t>
      </w:r>
    </w:p>
    <w:p w14:paraId="7E025E61">
      <w:pPr>
        <w:keepNext w:val="0"/>
        <w:keepLines w:val="0"/>
        <w:pageBreakBefore w:val="0"/>
        <w:spacing w:line="480" w:lineRule="exact"/>
        <w:ind w:left="0" w:firstLine="482"/>
        <w:outlineLvl w:val="2"/>
        <w:rPr>
          <w:rFonts w:hint="eastAsia" w:ascii="宋体" w:hAnsi="宋体" w:eastAsia="宋体" w:cs="宋体"/>
          <w:b/>
          <w:bCs/>
          <w:color w:val="auto"/>
          <w:sz w:val="24"/>
          <w:szCs w:val="24"/>
          <w:highlight w:val="none"/>
          <w:lang w:val="en-US" w:eastAsia="zh-CN"/>
        </w:rPr>
      </w:pPr>
      <w:bookmarkStart w:id="130" w:name="OLE_LINK66"/>
      <w:r>
        <w:rPr>
          <w:rFonts w:hint="eastAsia" w:ascii="宋体"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eastAsia="zh-CN"/>
        </w:rPr>
        <w:t>卫片监测预警核实处置</w:t>
      </w:r>
      <w:bookmarkEnd w:id="130"/>
    </w:p>
    <w:p w14:paraId="43E25B4B">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1)新增建设用地核实台账和疑似违法用地台账</w:t>
      </w:r>
    </w:p>
    <w:p w14:paraId="596C7EBB">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lang w:val="en-US" w:eastAsia="zh-CN"/>
        </w:rPr>
        <w:t>各级执法条线下发核实图斑</w:t>
      </w:r>
      <w:r>
        <w:rPr>
          <w:rFonts w:hint="eastAsia" w:ascii="宋体" w:hAnsi="宋体" w:eastAsia="宋体" w:cs="宋体"/>
          <w:b w:val="0"/>
          <w:bCs w:val="0"/>
          <w:color w:val="auto"/>
          <w:sz w:val="24"/>
          <w:szCs w:val="24"/>
          <w:highlight w:val="none"/>
          <w:lang w:val="en-US" w:eastAsia="zh-CN"/>
        </w:rPr>
        <w:t>举证材料包</w:t>
      </w:r>
    </w:p>
    <w:p w14:paraId="6D859751">
      <w:pPr>
        <w:keepNext w:val="0"/>
        <w:keepLines w:val="0"/>
        <w:pageBreakBefore w:val="0"/>
        <w:spacing w:line="480" w:lineRule="exact"/>
        <w:ind w:left="0" w:firstLine="482"/>
        <w:outlineLvl w:val="1"/>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lang w:val="en-US" w:eastAsia="zh-CN"/>
        </w:rPr>
        <w:t>、成果质量及验收要求</w:t>
      </w:r>
    </w:p>
    <w:p w14:paraId="7BF91B41">
      <w:pPr>
        <w:keepNext w:val="0"/>
        <w:keepLines w:val="0"/>
        <w:pageBreakBefore w:val="0"/>
        <w:spacing w:line="480" w:lineRule="exact"/>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按照国家和省有关技术要求，完成泗洪县2026年度一体化调查监测各项工作。成果需符合国家、省、市有关技术要求，通过省级检查和国家核查。常态化日常变更成果按月度或按需动态汇交，10月31日前完成阶段性成果汇总，12月31日前完成年度调查监测成果数据汇总。</w:t>
      </w:r>
    </w:p>
    <w:p w14:paraId="6235C7BE">
      <w:pPr>
        <w:keepNext w:val="0"/>
        <w:keepLines w:val="0"/>
        <w:pageBreakBefore w:val="0"/>
        <w:spacing w:line="480" w:lineRule="exact"/>
        <w:ind w:left="0" w:firstLine="482"/>
        <w:outlineLvl w:val="1"/>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lang w:val="en-US" w:eastAsia="zh-CN"/>
        </w:rPr>
        <w:t>、项目实施方案</w:t>
      </w:r>
    </w:p>
    <w:p w14:paraId="03703C94">
      <w:pPr>
        <w:spacing w:line="48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投标人应针对本项目编制实施方案，应包括以下内容：</w:t>
      </w:r>
    </w:p>
    <w:p w14:paraId="6890368B">
      <w:pPr>
        <w:spacing w:line="48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一）目标任务与需求分析：针对2026年度一体化调查监测新要求进行项目分析，包含项目背景、范围、编制依据、编制原则、内容、成果要求等的总体理解，目标任务明确、思路清晰，内容切合泗洪当地实际情况，具有一定深度。</w:t>
      </w:r>
    </w:p>
    <w:p w14:paraId="4CD32615">
      <w:pPr>
        <w:spacing w:line="48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（二）技术方案：根据2026年度一体化调查监测技术路线，梳理自然资源监测、国土变更调查、林草湿荒调查监测</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卫片监测预警核实处置等技术思路，体现统一平台、协同调查、精简优化、常态化变更等新要求，内容切合泗洪当地实际，具有可行性。</w:t>
      </w:r>
    </w:p>
    <w:p w14:paraId="23470CA9">
      <w:pPr>
        <w:spacing w:line="48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（三）项目组织管理：制定组织方案，包含组织管理体系架构和项目运作规划，岗位设置及职责详细介绍，符合项目实际工作需要，确保项目组织有条不紊。</w:t>
      </w:r>
    </w:p>
    <w:p w14:paraId="7693520A">
      <w:pPr>
        <w:spacing w:line="48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（四）项目质量管理保障措施：针对成果通过省级检查和国家核查，制定具体保障措施，符合政策规定及切合泗洪当地实际，方案内容全面、细致、具体可行。</w:t>
      </w:r>
    </w:p>
    <w:p w14:paraId="28CD3586">
      <w:pPr>
        <w:spacing w:line="48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（五）项目进度安排：按照2026年度一体化调查监测进度要求，合理安排各环节时间节点，包含进度安排、工序管理措施、政策性时间问题应对等内容，符合政策规定及切合当地实际。</w:t>
      </w:r>
    </w:p>
    <w:p w14:paraId="70E8837A">
      <w:pPr>
        <w:spacing w:line="48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（六）安全保密：编制安全责任制度、应急预案、保密措施方案，包含项目安全、突发事件处理、保密制度等内容，保障体系齐全。</w:t>
      </w:r>
    </w:p>
    <w:p w14:paraId="33BB434C">
      <w:pPr>
        <w:spacing w:line="48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（七）合理化建议：提出全面具体、具有可操作性的合理化建议，符合政策规定及切合泗洪当地实际。</w:t>
      </w:r>
    </w:p>
    <w:p w14:paraId="49A4E5E8">
      <w:pPr>
        <w:spacing w:line="48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（八）售后服务：制定后续服务方案，明确问题响应时间（半小时内电话、微信技术支持，特殊情况积极现场配合）及解决办法，内容完整详实，有利于采购人实际工作。</w:t>
      </w:r>
    </w:p>
    <w:p w14:paraId="751C120C">
      <w:pPr>
        <w:keepNext w:val="0"/>
        <w:keepLines w:val="0"/>
        <w:pageBreakBefore w:val="0"/>
        <w:spacing w:line="480" w:lineRule="exact"/>
        <w:ind w:left="0" w:firstLine="482"/>
        <w:outlineLvl w:val="1"/>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报价要求及</w:t>
      </w:r>
      <w:r>
        <w:rPr>
          <w:rFonts w:hint="eastAsia" w:ascii="宋体" w:hAnsi="宋体" w:eastAsia="宋体" w:cs="宋体"/>
          <w:b/>
          <w:bCs/>
          <w:color w:val="auto"/>
          <w:sz w:val="24"/>
          <w:szCs w:val="24"/>
          <w:highlight w:val="none"/>
        </w:rPr>
        <w:t>注意事项</w:t>
      </w:r>
    </w:p>
    <w:p w14:paraId="3CBB5A78">
      <w:pPr>
        <w:keepNext w:val="0"/>
        <w:keepLines w:val="0"/>
        <w:pageBreakBefore w:val="0"/>
        <w:spacing w:line="480" w:lineRule="exact"/>
        <w:ind w:left="0" w:firstLine="480"/>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rPr>
        <w:t>（1）</w:t>
      </w:r>
      <w:r>
        <w:rPr>
          <w:rFonts w:hint="eastAsia" w:ascii="宋体" w:hAnsi="宋体" w:eastAsia="宋体" w:cs="宋体"/>
          <w:color w:val="auto"/>
          <w:sz w:val="24"/>
          <w:szCs w:val="24"/>
          <w:highlight w:val="none"/>
        </w:rPr>
        <w:t>报价内容包括:项目完成过程中的</w:t>
      </w:r>
      <w:r>
        <w:rPr>
          <w:rFonts w:hint="eastAsia" w:ascii="宋体" w:hAnsi="宋体" w:eastAsia="宋体" w:cs="宋体"/>
          <w:color w:val="auto"/>
          <w:sz w:val="24"/>
          <w:szCs w:val="24"/>
          <w:highlight w:val="none"/>
          <w:lang w:val="zh-CN"/>
        </w:rPr>
        <w:t>服务本身价格、服务人员工资福利、服务技能培训、售后服务、利润</w:t>
      </w:r>
      <w:r>
        <w:rPr>
          <w:rFonts w:hint="eastAsia" w:ascii="宋体" w:hAnsi="宋体" w:eastAsia="宋体" w:cs="宋体"/>
          <w:color w:val="auto"/>
          <w:sz w:val="24"/>
          <w:szCs w:val="24"/>
          <w:highlight w:val="none"/>
        </w:rPr>
        <w:t>、资料费、会议费、交通费、税费以及</w:t>
      </w:r>
      <w:r>
        <w:rPr>
          <w:rFonts w:hint="eastAsia" w:ascii="宋体" w:hAnsi="宋体" w:eastAsia="宋体" w:cs="宋体"/>
          <w:color w:val="auto"/>
          <w:sz w:val="24"/>
          <w:szCs w:val="24"/>
          <w:highlight w:val="none"/>
          <w:lang w:val="zh-CN"/>
        </w:rPr>
        <w:t>服务过程中涉及到的其他一切费用</w:t>
      </w:r>
      <w:r>
        <w:rPr>
          <w:rFonts w:hint="eastAsia" w:ascii="宋体" w:hAnsi="宋体" w:eastAsia="宋体" w:cs="宋体"/>
          <w:color w:val="auto"/>
          <w:sz w:val="24"/>
          <w:szCs w:val="24"/>
          <w:highlight w:val="none"/>
        </w:rPr>
        <w:t>。</w:t>
      </w:r>
    </w:p>
    <w:p w14:paraId="3C8BCDA5">
      <w:pPr>
        <w:pStyle w:val="506"/>
        <w:keepNext w:val="0"/>
        <w:keepLines w:val="0"/>
        <w:pageBreakBefore w:val="0"/>
        <w:spacing w:line="480" w:lineRule="exact"/>
        <w:ind w:left="0" w:firstLine="480"/>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rPr>
        <w:t>（</w:t>
      </w:r>
      <w:r>
        <w:rPr>
          <w:rFonts w:hint="eastAsia" w:ascii="宋体" w:hAnsi="宋体" w:eastAsia="宋体" w:cs="宋体"/>
          <w:bCs/>
          <w:color w:val="auto"/>
          <w:sz w:val="24"/>
          <w:szCs w:val="24"/>
          <w:highlight w:val="none"/>
          <w:lang w:val="en-US" w:eastAsia="zh-CN"/>
        </w:rPr>
        <w:t>2</w:t>
      </w:r>
      <w:r>
        <w:rPr>
          <w:rFonts w:hint="eastAsia" w:ascii="宋体" w:hAnsi="宋体" w:cs="宋体"/>
          <w:bCs/>
          <w:color w:val="auto"/>
          <w:sz w:val="24"/>
          <w:szCs w:val="24"/>
          <w:highlight w:val="none"/>
        </w:rPr>
        <w:t>）</w:t>
      </w:r>
      <w:r>
        <w:rPr>
          <w:rFonts w:hint="eastAsia" w:ascii="宋体" w:hAnsi="宋体" w:eastAsia="宋体" w:cs="宋体"/>
          <w:color w:val="auto"/>
          <w:sz w:val="24"/>
          <w:szCs w:val="24"/>
          <w:highlight w:val="none"/>
        </w:rPr>
        <w:t>报价注意事项：供应商报价时应充分考虑所有可能影响到报价的因素，一旦评标结束最终成交，</w:t>
      </w:r>
      <w:r>
        <w:rPr>
          <w:rFonts w:hint="eastAsia" w:ascii="宋体" w:hAnsi="宋体" w:eastAsia="宋体" w:cs="宋体"/>
          <w:color w:val="auto"/>
          <w:sz w:val="24"/>
          <w:szCs w:val="24"/>
          <w:highlight w:val="none"/>
          <w:lang w:val="en-US" w:eastAsia="zh-CN"/>
        </w:rPr>
        <w:t>中标价</w:t>
      </w:r>
      <w:r>
        <w:rPr>
          <w:rFonts w:hint="eastAsia" w:ascii="宋体" w:hAnsi="宋体" w:eastAsia="宋体" w:cs="宋体"/>
          <w:color w:val="auto"/>
          <w:sz w:val="24"/>
          <w:szCs w:val="24"/>
          <w:highlight w:val="none"/>
        </w:rPr>
        <w:t>，不予调整。如发生漏、缺、少项，都将被认为是成交人的报价让利行为，损失自负。</w:t>
      </w:r>
    </w:p>
    <w:p w14:paraId="38A5F958">
      <w:pPr>
        <w:keepNext w:val="0"/>
        <w:keepLines w:val="0"/>
        <w:pageBreakBefore w:val="0"/>
        <w:widowControl w:val="0"/>
        <w:spacing w:line="580" w:lineRule="exact"/>
        <w:ind w:firstLine="0"/>
        <w:jc w:val="center"/>
        <w:outlineLvl w:val="0"/>
        <w:rPr>
          <w:rFonts w:hint="eastAsia" w:ascii="Times New Roman" w:hAnsi="Times New Roman"/>
          <w:b/>
          <w:color w:val="auto"/>
          <w:sz w:val="28"/>
          <w:szCs w:val="28"/>
          <w:lang w:eastAsia="zh-CN"/>
        </w:rPr>
      </w:pPr>
      <w:r>
        <w:rPr>
          <w:rFonts w:hint="eastAsia" w:ascii="Times New Roman" w:hAnsi="Times New Roman"/>
          <w:b/>
          <w:color w:val="auto"/>
          <w:sz w:val="28"/>
          <w:szCs w:val="28"/>
          <w:lang w:eastAsia="zh-CN"/>
        </w:rPr>
        <w:t>2026年度一体化调查监测</w:t>
      </w:r>
      <w:r>
        <w:rPr>
          <w:rFonts w:hint="eastAsia" w:ascii="Times New Roman" w:hAnsi="Times New Roman"/>
          <w:b/>
          <w:color w:val="auto"/>
          <w:sz w:val="28"/>
          <w:szCs w:val="28"/>
          <w:lang w:val="en-US" w:eastAsia="zh-CN"/>
        </w:rPr>
        <w:t>项</w:t>
      </w:r>
      <w:r>
        <w:rPr>
          <w:rFonts w:hint="eastAsia" w:ascii="Times New Roman" w:hAnsi="Times New Roman"/>
          <w:b/>
          <w:color w:val="auto"/>
          <w:sz w:val="28"/>
          <w:szCs w:val="28"/>
          <w:lang w:eastAsia="zh-CN"/>
        </w:rPr>
        <w:t>目</w:t>
      </w:r>
    </w:p>
    <w:p w14:paraId="26595694">
      <w:pPr>
        <w:keepNext w:val="0"/>
        <w:keepLines w:val="0"/>
        <w:pageBreakBefore w:val="0"/>
        <w:widowControl w:val="0"/>
        <w:spacing w:line="580" w:lineRule="exact"/>
        <w:ind w:firstLine="0"/>
        <w:jc w:val="center"/>
        <w:rPr>
          <w:rFonts w:ascii="Times New Roman" w:hAnsi="Times New Roman"/>
          <w:b/>
          <w:color w:val="auto"/>
          <w:sz w:val="28"/>
          <w:szCs w:val="28"/>
        </w:rPr>
      </w:pPr>
      <w:r>
        <w:rPr>
          <w:rFonts w:hint="eastAsia" w:ascii="Times New Roman" w:hAnsi="Times New Roman"/>
          <w:b/>
          <w:color w:val="auto"/>
          <w:sz w:val="28"/>
          <w:szCs w:val="28"/>
        </w:rPr>
        <w:t>绩效考核评价</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9"/>
        <w:gridCol w:w="3000"/>
        <w:gridCol w:w="3150"/>
        <w:gridCol w:w="1101"/>
      </w:tblGrid>
      <w:tr w14:paraId="0F81F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269" w:type="dxa"/>
            <w:noWrap w:val="0"/>
            <w:vAlign w:val="center"/>
          </w:tcPr>
          <w:p w14:paraId="785F2119">
            <w:pPr>
              <w:keepNext w:val="0"/>
              <w:keepLines w:val="0"/>
              <w:pageBreakBefore w:val="0"/>
              <w:widowControl w:val="0"/>
              <w:spacing w:after="0" w:line="360" w:lineRule="exact"/>
              <w:ind w:firstLine="0"/>
              <w:jc w:val="center"/>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考核项目</w:t>
            </w:r>
          </w:p>
        </w:tc>
        <w:tc>
          <w:tcPr>
            <w:tcW w:w="3000" w:type="dxa"/>
            <w:noWrap w:val="0"/>
            <w:vAlign w:val="center"/>
          </w:tcPr>
          <w:p w14:paraId="2B0751AF">
            <w:pPr>
              <w:keepNext w:val="0"/>
              <w:keepLines w:val="0"/>
              <w:pageBreakBefore w:val="0"/>
              <w:widowControl w:val="0"/>
              <w:spacing w:after="0" w:line="360" w:lineRule="exact"/>
              <w:ind w:firstLine="0"/>
              <w:jc w:val="center"/>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考核内容</w:t>
            </w:r>
          </w:p>
        </w:tc>
        <w:tc>
          <w:tcPr>
            <w:tcW w:w="3150" w:type="dxa"/>
            <w:noWrap w:val="0"/>
            <w:vAlign w:val="center"/>
          </w:tcPr>
          <w:p w14:paraId="0CDC015E">
            <w:pPr>
              <w:keepNext w:val="0"/>
              <w:keepLines w:val="0"/>
              <w:pageBreakBefore w:val="0"/>
              <w:widowControl w:val="0"/>
              <w:spacing w:after="0" w:line="360" w:lineRule="exact"/>
              <w:ind w:firstLine="0"/>
              <w:jc w:val="center"/>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考核标准</w:t>
            </w:r>
          </w:p>
        </w:tc>
        <w:tc>
          <w:tcPr>
            <w:tcW w:w="1101" w:type="dxa"/>
            <w:noWrap w:val="0"/>
            <w:vAlign w:val="center"/>
          </w:tcPr>
          <w:p w14:paraId="7012E47A">
            <w:pPr>
              <w:keepNext w:val="0"/>
              <w:keepLines w:val="0"/>
              <w:pageBreakBefore w:val="0"/>
              <w:widowControl w:val="0"/>
              <w:spacing w:after="0" w:line="360" w:lineRule="exact"/>
              <w:ind w:firstLine="0"/>
              <w:jc w:val="center"/>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分值</w:t>
            </w:r>
          </w:p>
        </w:tc>
      </w:tr>
      <w:tr w14:paraId="482D2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419" w:type="dxa"/>
            <w:gridSpan w:val="3"/>
            <w:noWrap w:val="0"/>
            <w:vAlign w:val="center"/>
          </w:tcPr>
          <w:p w14:paraId="570AC5F1">
            <w:pPr>
              <w:keepNext w:val="0"/>
              <w:keepLines w:val="0"/>
              <w:pageBreakBefore w:val="0"/>
              <w:widowControl w:val="0"/>
              <w:spacing w:after="0" w:line="360" w:lineRule="exact"/>
              <w:ind w:firstLine="0"/>
              <w:jc w:val="both"/>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一、进度服务响应</w:t>
            </w:r>
          </w:p>
        </w:tc>
        <w:tc>
          <w:tcPr>
            <w:tcW w:w="1101" w:type="dxa"/>
            <w:noWrap w:val="0"/>
            <w:vAlign w:val="center"/>
          </w:tcPr>
          <w:p w14:paraId="0F5D83A8">
            <w:pPr>
              <w:keepNext w:val="0"/>
              <w:keepLines w:val="0"/>
              <w:pageBreakBefore w:val="0"/>
              <w:widowControl w:val="0"/>
              <w:spacing w:after="0" w:line="360" w:lineRule="exact"/>
              <w:ind w:firstLine="0"/>
              <w:jc w:val="both"/>
              <w:rPr>
                <w:rFonts w:hint="eastAsia" w:ascii="宋体" w:hAnsi="宋体" w:eastAsia="宋体" w:cs="宋体"/>
                <w:b/>
                <w:bCs/>
                <w:color w:val="auto"/>
                <w:sz w:val="24"/>
                <w:szCs w:val="24"/>
                <w:vertAlign w:val="baseline"/>
                <w:lang w:val="en-US" w:eastAsia="zh-CN"/>
              </w:rPr>
            </w:pPr>
          </w:p>
        </w:tc>
      </w:tr>
      <w:tr w14:paraId="5B477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9" w:type="dxa"/>
            <w:noWrap w:val="0"/>
            <w:vAlign w:val="center"/>
          </w:tcPr>
          <w:p w14:paraId="2FA414B5">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服务响应</w:t>
            </w:r>
          </w:p>
        </w:tc>
        <w:tc>
          <w:tcPr>
            <w:tcW w:w="3000" w:type="dxa"/>
            <w:noWrap w:val="0"/>
            <w:vAlign w:val="center"/>
          </w:tcPr>
          <w:p w14:paraId="745B6780">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指定</w:t>
            </w:r>
            <w:r>
              <w:rPr>
                <w:rFonts w:hint="eastAsia" w:ascii="宋体" w:hAnsi="宋体" w:eastAsia="宋体" w:cs="宋体"/>
                <w:color w:val="auto"/>
                <w:sz w:val="24"/>
                <w:szCs w:val="24"/>
                <w:vertAlign w:val="baseline"/>
                <w:lang w:val="en-US" w:eastAsia="zh-CN"/>
              </w:rPr>
              <w:t>负责人，确定信息沟通渠道，提供沟通平台，保证服务热线畅通。</w:t>
            </w:r>
          </w:p>
        </w:tc>
        <w:tc>
          <w:tcPr>
            <w:tcW w:w="3150" w:type="dxa"/>
            <w:noWrap w:val="0"/>
            <w:vAlign w:val="center"/>
          </w:tcPr>
          <w:p w14:paraId="77AD6278">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在收到采购人咨询后于1-2个工作日内响应。响应不及时，每次扣除1分。</w:t>
            </w:r>
          </w:p>
        </w:tc>
        <w:tc>
          <w:tcPr>
            <w:tcW w:w="1101" w:type="dxa"/>
            <w:noWrap w:val="0"/>
            <w:vAlign w:val="center"/>
          </w:tcPr>
          <w:p w14:paraId="65571B2F">
            <w:pPr>
              <w:keepNext w:val="0"/>
              <w:keepLines w:val="0"/>
              <w:pageBreakBefore w:val="0"/>
              <w:widowControl w:val="0"/>
              <w:spacing w:after="0" w:line="360" w:lineRule="exact"/>
              <w:ind w:firstLine="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20</w:t>
            </w:r>
          </w:p>
        </w:tc>
      </w:tr>
      <w:tr w14:paraId="4D282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9" w:type="dxa"/>
            <w:noWrap w:val="0"/>
            <w:vAlign w:val="center"/>
          </w:tcPr>
          <w:p w14:paraId="6360CAF3">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进度保证</w:t>
            </w:r>
          </w:p>
        </w:tc>
        <w:tc>
          <w:tcPr>
            <w:tcW w:w="3000" w:type="dxa"/>
            <w:noWrap w:val="0"/>
            <w:vAlign w:val="center"/>
          </w:tcPr>
          <w:p w14:paraId="4A801214">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中标人应与采购人紧密配合，按照合同进度计划完成工作。</w:t>
            </w:r>
          </w:p>
        </w:tc>
        <w:tc>
          <w:tcPr>
            <w:tcW w:w="3150" w:type="dxa"/>
            <w:noWrap w:val="0"/>
            <w:vAlign w:val="center"/>
          </w:tcPr>
          <w:p w14:paraId="1BA4E58B">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由于中标人原因，未能按合同进度计划完成工作，或采购人认为中标人工作进度不能满足合同工期要求的，中标人应采取措施加快进度，每推迟1天，扣除1分。</w:t>
            </w:r>
          </w:p>
        </w:tc>
        <w:tc>
          <w:tcPr>
            <w:tcW w:w="1101" w:type="dxa"/>
            <w:noWrap w:val="0"/>
            <w:vAlign w:val="center"/>
          </w:tcPr>
          <w:p w14:paraId="783E0D3D">
            <w:pPr>
              <w:keepNext w:val="0"/>
              <w:keepLines w:val="0"/>
              <w:pageBreakBefore w:val="0"/>
              <w:widowControl w:val="0"/>
              <w:spacing w:after="0" w:line="360" w:lineRule="exact"/>
              <w:ind w:firstLine="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20</w:t>
            </w:r>
          </w:p>
        </w:tc>
      </w:tr>
      <w:tr w14:paraId="517DB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419" w:type="dxa"/>
            <w:gridSpan w:val="3"/>
            <w:noWrap w:val="0"/>
            <w:vAlign w:val="center"/>
          </w:tcPr>
          <w:p w14:paraId="055CA93E">
            <w:pPr>
              <w:keepNext w:val="0"/>
              <w:keepLines w:val="0"/>
              <w:pageBreakBefore w:val="0"/>
              <w:widowControl w:val="0"/>
              <w:spacing w:after="0" w:line="360" w:lineRule="exact"/>
              <w:ind w:firstLine="0"/>
              <w:jc w:val="both"/>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二、项目成果质量</w:t>
            </w:r>
          </w:p>
        </w:tc>
        <w:tc>
          <w:tcPr>
            <w:tcW w:w="1101" w:type="dxa"/>
            <w:noWrap w:val="0"/>
            <w:vAlign w:val="center"/>
          </w:tcPr>
          <w:p w14:paraId="38532295">
            <w:pPr>
              <w:keepNext w:val="0"/>
              <w:keepLines w:val="0"/>
              <w:pageBreakBefore w:val="0"/>
              <w:widowControl w:val="0"/>
              <w:spacing w:after="0" w:line="360" w:lineRule="exact"/>
              <w:ind w:firstLine="0"/>
              <w:jc w:val="both"/>
              <w:rPr>
                <w:rFonts w:hint="eastAsia" w:ascii="宋体" w:hAnsi="宋体" w:eastAsia="宋体" w:cs="宋体"/>
                <w:b/>
                <w:bCs/>
                <w:color w:val="auto"/>
                <w:sz w:val="24"/>
                <w:szCs w:val="24"/>
                <w:vertAlign w:val="baseline"/>
                <w:lang w:val="en-US" w:eastAsia="zh-CN"/>
              </w:rPr>
            </w:pPr>
          </w:p>
        </w:tc>
      </w:tr>
      <w:tr w14:paraId="6178C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9" w:type="dxa"/>
            <w:noWrap w:val="0"/>
            <w:vAlign w:val="center"/>
          </w:tcPr>
          <w:p w14:paraId="20258948">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项目编制</w:t>
            </w:r>
          </w:p>
        </w:tc>
        <w:tc>
          <w:tcPr>
            <w:tcW w:w="3000" w:type="dxa"/>
            <w:noWrap w:val="0"/>
            <w:vAlign w:val="center"/>
          </w:tcPr>
          <w:p w14:paraId="4AB21BEA">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中标人应按照项目的实际要求开展工作，确保项目顺利通过审批、并积极配合结合公告意见、评审意见修改方案。</w:t>
            </w:r>
          </w:p>
        </w:tc>
        <w:tc>
          <w:tcPr>
            <w:tcW w:w="3150" w:type="dxa"/>
            <w:noWrap w:val="0"/>
            <w:vAlign w:val="center"/>
          </w:tcPr>
          <w:p w14:paraId="7D01240A">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因中标人工作失误，造成工作成果不合格的，采购人可以随时发出指示，要求中标人立即采取措施进行补救，直至达到设计要求的质量标准。设计失误，每次扣除2分。</w:t>
            </w:r>
          </w:p>
        </w:tc>
        <w:tc>
          <w:tcPr>
            <w:tcW w:w="1101" w:type="dxa"/>
            <w:noWrap w:val="0"/>
            <w:vAlign w:val="center"/>
          </w:tcPr>
          <w:p w14:paraId="17667290">
            <w:pPr>
              <w:keepNext w:val="0"/>
              <w:keepLines w:val="0"/>
              <w:pageBreakBefore w:val="0"/>
              <w:widowControl w:val="0"/>
              <w:spacing w:after="0" w:line="360" w:lineRule="exact"/>
              <w:ind w:firstLine="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20</w:t>
            </w:r>
          </w:p>
        </w:tc>
      </w:tr>
      <w:tr w14:paraId="577A5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9" w:type="dxa"/>
            <w:noWrap w:val="0"/>
            <w:vAlign w:val="center"/>
          </w:tcPr>
          <w:p w14:paraId="0BF555E5">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汇报协调</w:t>
            </w:r>
          </w:p>
        </w:tc>
        <w:tc>
          <w:tcPr>
            <w:tcW w:w="3000" w:type="dxa"/>
            <w:noWrap w:val="0"/>
            <w:vAlign w:val="center"/>
          </w:tcPr>
          <w:p w14:paraId="0AB3E4BB">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中标人需保证中标后汇报次数、积极协调各方需求、处理各种问题。保证不少于5次的项目汇报，汇报项目进展情况和成果内容，处理项目编制中出现的各种问题。保证主动参与上下层次的项目协调会，配合有关部门工作需要，提供技术协调服务。</w:t>
            </w:r>
          </w:p>
        </w:tc>
        <w:tc>
          <w:tcPr>
            <w:tcW w:w="3150" w:type="dxa"/>
            <w:noWrap w:val="0"/>
            <w:vAlign w:val="center"/>
          </w:tcPr>
          <w:p w14:paraId="0FEDFB64">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中标人由于主观原因无法及时到场沟通，汇报数量和质量无法达到采购人要求，每次扣除2分。</w:t>
            </w:r>
          </w:p>
        </w:tc>
        <w:tc>
          <w:tcPr>
            <w:tcW w:w="1101" w:type="dxa"/>
            <w:noWrap w:val="0"/>
            <w:vAlign w:val="center"/>
          </w:tcPr>
          <w:p w14:paraId="64520BDF">
            <w:pPr>
              <w:keepNext w:val="0"/>
              <w:keepLines w:val="0"/>
              <w:pageBreakBefore w:val="0"/>
              <w:widowControl w:val="0"/>
              <w:spacing w:after="0" w:line="360" w:lineRule="exact"/>
              <w:ind w:firstLine="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20</w:t>
            </w:r>
          </w:p>
        </w:tc>
      </w:tr>
      <w:tr w14:paraId="503B0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419" w:type="dxa"/>
            <w:gridSpan w:val="3"/>
            <w:noWrap w:val="0"/>
            <w:vAlign w:val="center"/>
          </w:tcPr>
          <w:p w14:paraId="4B89C9C4">
            <w:pPr>
              <w:keepNext w:val="0"/>
              <w:keepLines w:val="0"/>
              <w:pageBreakBefore w:val="0"/>
              <w:widowControl w:val="0"/>
              <w:spacing w:after="0" w:line="360" w:lineRule="exact"/>
              <w:ind w:firstLine="0"/>
              <w:jc w:val="both"/>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三、后续服务保障</w:t>
            </w:r>
          </w:p>
        </w:tc>
        <w:tc>
          <w:tcPr>
            <w:tcW w:w="1101" w:type="dxa"/>
            <w:noWrap w:val="0"/>
            <w:vAlign w:val="center"/>
          </w:tcPr>
          <w:p w14:paraId="7437E655">
            <w:pPr>
              <w:keepNext w:val="0"/>
              <w:keepLines w:val="0"/>
              <w:pageBreakBefore w:val="0"/>
              <w:widowControl w:val="0"/>
              <w:spacing w:after="0" w:line="360" w:lineRule="exact"/>
              <w:ind w:firstLine="0"/>
              <w:jc w:val="both"/>
              <w:rPr>
                <w:rFonts w:hint="eastAsia" w:ascii="宋体" w:hAnsi="宋体" w:eastAsia="宋体" w:cs="宋体"/>
                <w:b/>
                <w:bCs/>
                <w:color w:val="auto"/>
                <w:sz w:val="24"/>
                <w:szCs w:val="24"/>
                <w:vertAlign w:val="baseline"/>
                <w:lang w:val="en-US" w:eastAsia="zh-CN"/>
              </w:rPr>
            </w:pPr>
          </w:p>
        </w:tc>
      </w:tr>
      <w:tr w14:paraId="7E5F9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9" w:type="dxa"/>
            <w:noWrap w:val="0"/>
            <w:vAlign w:val="center"/>
          </w:tcPr>
          <w:p w14:paraId="10093ED8">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highlight w:val="none"/>
                <w:vertAlign w:val="baseline"/>
                <w:lang w:val="en-US" w:eastAsia="zh-CN"/>
              </w:rPr>
              <w:t>报批归档</w:t>
            </w:r>
          </w:p>
        </w:tc>
        <w:tc>
          <w:tcPr>
            <w:tcW w:w="3000" w:type="dxa"/>
            <w:noWrap w:val="0"/>
            <w:vAlign w:val="center"/>
          </w:tcPr>
          <w:p w14:paraId="5C47EC80">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保证归档成果、协助成果展示、提供后续服务。根据行政主管部门对于详细规划公告、公示的相关规定制作成果展示与公告公示材料电子数据成果。保证协助行政主管部门进行正式成果的归档。成果归档后，中标人需要对规划成果质量全面负责，并提供相关后续服务。</w:t>
            </w:r>
          </w:p>
        </w:tc>
        <w:tc>
          <w:tcPr>
            <w:tcW w:w="3150" w:type="dxa"/>
            <w:noWrap w:val="0"/>
            <w:vAlign w:val="center"/>
          </w:tcPr>
          <w:p w14:paraId="3A2A2D1F">
            <w:pPr>
              <w:keepNext w:val="0"/>
              <w:keepLines w:val="0"/>
              <w:pageBreakBefore w:val="0"/>
              <w:widowControl w:val="0"/>
              <w:spacing w:after="0" w:line="360" w:lineRule="exact"/>
              <w:ind w:firstLine="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工作响应不及时，每次扣1分，未按要求做好服务工作或配合不到位，每次扣2分。</w:t>
            </w:r>
          </w:p>
        </w:tc>
        <w:tc>
          <w:tcPr>
            <w:tcW w:w="1101" w:type="dxa"/>
            <w:noWrap w:val="0"/>
            <w:vAlign w:val="center"/>
          </w:tcPr>
          <w:p w14:paraId="4580272D">
            <w:pPr>
              <w:keepNext w:val="0"/>
              <w:keepLines w:val="0"/>
              <w:pageBreakBefore w:val="0"/>
              <w:widowControl w:val="0"/>
              <w:spacing w:after="0" w:line="360" w:lineRule="exact"/>
              <w:ind w:firstLine="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10</w:t>
            </w:r>
          </w:p>
        </w:tc>
      </w:tr>
      <w:tr w14:paraId="0C57F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9" w:type="dxa"/>
            <w:noWrap w:val="0"/>
            <w:vAlign w:val="center"/>
          </w:tcPr>
          <w:p w14:paraId="3F13AFD7">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临时事项</w:t>
            </w:r>
          </w:p>
        </w:tc>
        <w:tc>
          <w:tcPr>
            <w:tcW w:w="3000" w:type="dxa"/>
            <w:noWrap w:val="0"/>
            <w:vAlign w:val="center"/>
          </w:tcPr>
          <w:p w14:paraId="136AD8C4">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按采购人要求做好故障处理的管控。采购人要求须做好临时事项的服务保障工作。</w:t>
            </w:r>
          </w:p>
        </w:tc>
        <w:tc>
          <w:tcPr>
            <w:tcW w:w="3150" w:type="dxa"/>
            <w:noWrap w:val="0"/>
            <w:vAlign w:val="center"/>
          </w:tcPr>
          <w:p w14:paraId="33F329AA">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工作响应不及时，每次扣1分，未按要求做好服务工作或配合不到位，每次扣2分。</w:t>
            </w:r>
          </w:p>
        </w:tc>
        <w:tc>
          <w:tcPr>
            <w:tcW w:w="1101" w:type="dxa"/>
            <w:noWrap w:val="0"/>
            <w:vAlign w:val="center"/>
          </w:tcPr>
          <w:p w14:paraId="3110272B">
            <w:pPr>
              <w:keepNext w:val="0"/>
              <w:keepLines w:val="0"/>
              <w:pageBreakBefore w:val="0"/>
              <w:widowControl w:val="0"/>
              <w:spacing w:after="0" w:line="360" w:lineRule="exact"/>
              <w:ind w:firstLine="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10</w:t>
            </w:r>
          </w:p>
        </w:tc>
      </w:tr>
      <w:tr w14:paraId="0D868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419" w:type="dxa"/>
            <w:gridSpan w:val="3"/>
            <w:noWrap w:val="0"/>
            <w:vAlign w:val="center"/>
          </w:tcPr>
          <w:p w14:paraId="7CB5DAE1">
            <w:pPr>
              <w:keepNext w:val="0"/>
              <w:keepLines w:val="0"/>
              <w:pageBreakBefore w:val="0"/>
              <w:widowControl w:val="0"/>
              <w:spacing w:after="0" w:line="360" w:lineRule="exact"/>
              <w:ind w:firstLine="0"/>
              <w:jc w:val="both"/>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四、评价标准与等级</w:t>
            </w:r>
          </w:p>
        </w:tc>
        <w:tc>
          <w:tcPr>
            <w:tcW w:w="1101" w:type="dxa"/>
            <w:noWrap w:val="0"/>
            <w:vAlign w:val="center"/>
          </w:tcPr>
          <w:p w14:paraId="486209AC">
            <w:pPr>
              <w:keepNext w:val="0"/>
              <w:keepLines w:val="0"/>
              <w:pageBreakBefore w:val="0"/>
              <w:widowControl w:val="0"/>
              <w:spacing w:after="0" w:line="360" w:lineRule="exact"/>
              <w:ind w:firstLine="0"/>
              <w:jc w:val="both"/>
              <w:rPr>
                <w:rFonts w:hint="eastAsia" w:ascii="宋体" w:hAnsi="宋体" w:eastAsia="宋体" w:cs="宋体"/>
                <w:b/>
                <w:bCs/>
                <w:color w:val="auto"/>
                <w:sz w:val="24"/>
                <w:szCs w:val="24"/>
                <w:vertAlign w:val="baseline"/>
                <w:lang w:val="en-US" w:eastAsia="zh-CN"/>
              </w:rPr>
            </w:pPr>
          </w:p>
        </w:tc>
      </w:tr>
      <w:tr w14:paraId="622B5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9" w:type="dxa"/>
            <w:noWrap w:val="0"/>
            <w:vAlign w:val="center"/>
          </w:tcPr>
          <w:p w14:paraId="32445A96">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评价标准与等级</w:t>
            </w:r>
          </w:p>
        </w:tc>
        <w:tc>
          <w:tcPr>
            <w:tcW w:w="7251" w:type="dxa"/>
            <w:gridSpan w:val="3"/>
            <w:noWrap w:val="0"/>
            <w:vAlign w:val="center"/>
          </w:tcPr>
          <w:p w14:paraId="663BD599">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分为优、合格、不合格三个等级。得分 70分以下为不合格; 90 分以上为优。</w:t>
            </w:r>
          </w:p>
          <w:p w14:paraId="7CAA3EEA">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费用结算明细表，经采购人考核后，按以下方式拨付:</w:t>
            </w:r>
            <w:r>
              <w:rPr>
                <w:rFonts w:hint="eastAsia" w:ascii="宋体" w:hAnsi="宋体" w:eastAsia="宋体" w:cs="宋体"/>
                <w:color w:val="auto"/>
                <w:sz w:val="24"/>
                <w:szCs w:val="24"/>
                <w:vertAlign w:val="baseline"/>
                <w:lang w:val="en-US" w:eastAsia="zh-CN"/>
              </w:rPr>
              <w:tab/>
            </w:r>
          </w:p>
          <w:p w14:paraId="789A6A61">
            <w:pPr>
              <w:keepNext w:val="0"/>
              <w:keepLines w:val="0"/>
              <w:pageBreakBefore w:val="0"/>
              <w:widowControl w:val="0"/>
              <w:numPr>
                <w:ilvl w:val="0"/>
                <w:numId w:val="8"/>
              </w:numPr>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项目考核成绩在90分以上(不含90)全额支付尾款费用;</w:t>
            </w:r>
          </w:p>
          <w:p w14:paraId="2FA673C0">
            <w:pPr>
              <w:keepNext w:val="0"/>
              <w:keepLines w:val="0"/>
              <w:pageBreakBefore w:val="0"/>
              <w:widowControl w:val="0"/>
              <w:numPr>
                <w:ilvl w:val="0"/>
                <w:numId w:val="8"/>
              </w:numPr>
              <w:spacing w:after="0" w:line="360" w:lineRule="exact"/>
              <w:ind w:left="0"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项目考核成绩在90-80分(含90分)之间的，支付尾款费用标准的 90%;</w:t>
            </w:r>
          </w:p>
          <w:p w14:paraId="4C07BE0C">
            <w:pPr>
              <w:keepNext w:val="0"/>
              <w:keepLines w:val="0"/>
              <w:pageBreakBefore w:val="0"/>
              <w:widowControl w:val="0"/>
              <w:numPr>
                <w:ilvl w:val="0"/>
                <w:numId w:val="8"/>
              </w:numPr>
              <w:spacing w:after="0" w:line="360" w:lineRule="exact"/>
              <w:ind w:left="0"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项目考核成绩在80-70分(含80分)之间的，支付尾款费用标准的80%;</w:t>
            </w:r>
          </w:p>
          <w:p w14:paraId="0400253A">
            <w:pPr>
              <w:keepNext w:val="0"/>
              <w:keepLines w:val="0"/>
              <w:pageBreakBefore w:val="0"/>
              <w:widowControl w:val="0"/>
              <w:numPr>
                <w:ilvl w:val="0"/>
                <w:numId w:val="0"/>
              </w:numPr>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(4)项目考核成绩在70分以下的，不支付尾款费用。</w:t>
            </w:r>
          </w:p>
        </w:tc>
      </w:tr>
      <w:tr w14:paraId="59B39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exact"/>
        </w:trPr>
        <w:tc>
          <w:tcPr>
            <w:tcW w:w="1269" w:type="dxa"/>
            <w:noWrap w:val="0"/>
            <w:vAlign w:val="center"/>
          </w:tcPr>
          <w:p w14:paraId="64945549">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考核组织与实施</w:t>
            </w:r>
          </w:p>
        </w:tc>
        <w:tc>
          <w:tcPr>
            <w:tcW w:w="7251" w:type="dxa"/>
            <w:gridSpan w:val="3"/>
            <w:noWrap w:val="0"/>
            <w:vAlign w:val="center"/>
          </w:tcPr>
          <w:p w14:paraId="2EDC3B50">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采购人负责组织实施，服务期满对项目进行考核评分，≤70分甲方有权利拒绝支付尾款。</w:t>
            </w:r>
          </w:p>
        </w:tc>
      </w:tr>
    </w:tbl>
    <w:p w14:paraId="2BE9534F">
      <w:pPr>
        <w:pStyle w:val="501"/>
        <w:widowControl w:val="0"/>
        <w:spacing w:before="0" w:beforeAutospacing="0" w:after="0" w:afterAutospacing="0" w:line="400" w:lineRule="exact"/>
        <w:ind w:firstLine="480"/>
        <w:jc w:val="both"/>
        <w:rPr>
          <w:rFonts w:ascii="Times New Roman" w:hAnsi="Times New Roman" w:eastAsia="等线" w:cs="仿宋"/>
          <w:color w:val="000000"/>
          <w:highlight w:val="yellow"/>
        </w:rPr>
      </w:pPr>
    </w:p>
    <w:p w14:paraId="08A21751">
      <w:pPr>
        <w:pStyle w:val="501"/>
        <w:widowControl w:val="0"/>
        <w:spacing w:before="0" w:beforeAutospacing="0" w:after="0" w:afterAutospacing="0" w:line="400" w:lineRule="exact"/>
        <w:ind w:firstLine="480"/>
        <w:jc w:val="both"/>
        <w:rPr>
          <w:rFonts w:ascii="Times New Roman" w:hAnsi="Times New Roman" w:eastAsia="等线" w:cs="仿宋"/>
          <w:color w:val="000000"/>
          <w:highlight w:val="none"/>
        </w:rPr>
      </w:pPr>
    </w:p>
    <w:p w14:paraId="4A64369F">
      <w:pPr>
        <w:pStyle w:val="501"/>
        <w:widowControl w:val="0"/>
        <w:spacing w:before="0" w:beforeAutospacing="0" w:after="0" w:afterAutospacing="0" w:line="500" w:lineRule="exact"/>
        <w:ind w:firstLine="480"/>
        <w:jc w:val="both"/>
        <w:rPr>
          <w:rFonts w:ascii="Times New Roman" w:hAnsi="Times New Roman" w:eastAsia="等线" w:cs="仿宋"/>
          <w:color w:val="000000"/>
          <w:highlight w:val="none"/>
        </w:rPr>
      </w:pPr>
    </w:p>
    <w:p w14:paraId="0DDDD6D0">
      <w:pPr>
        <w:pStyle w:val="501"/>
        <w:widowControl w:val="0"/>
        <w:spacing w:before="0" w:beforeAutospacing="0" w:after="0" w:afterAutospacing="0" w:line="500" w:lineRule="exact"/>
        <w:ind w:firstLine="480"/>
        <w:jc w:val="both"/>
        <w:rPr>
          <w:rFonts w:ascii="Times New Roman" w:hAnsi="Times New Roman" w:eastAsia="等线" w:cs="仿宋"/>
          <w:color w:val="000000"/>
          <w:highlight w:val="none"/>
        </w:rPr>
      </w:pPr>
    </w:p>
    <w:p w14:paraId="1F86D724">
      <w:pPr>
        <w:pStyle w:val="501"/>
        <w:widowControl w:val="0"/>
        <w:spacing w:before="0" w:beforeAutospacing="0" w:after="0" w:afterAutospacing="0" w:line="500" w:lineRule="exact"/>
        <w:ind w:firstLine="480"/>
        <w:jc w:val="both"/>
        <w:rPr>
          <w:rFonts w:ascii="Times New Roman" w:hAnsi="Times New Roman" w:eastAsia="等线" w:cs="仿宋"/>
          <w:color w:val="000000"/>
          <w:highlight w:val="none"/>
        </w:rPr>
      </w:pPr>
    </w:p>
    <w:p w14:paraId="6C13A02F">
      <w:pPr>
        <w:pStyle w:val="43"/>
        <w:spacing w:before="200"/>
        <w:jc w:val="center"/>
        <w:outlineLvl w:val="9"/>
        <w:rPr>
          <w:rFonts w:hint="eastAsia" w:ascii="Calibri" w:hAnsi="Calibri" w:eastAsia="宋体" w:cs="Times New Roman"/>
          <w:b/>
          <w:color w:val="000000"/>
          <w:sz w:val="44"/>
          <w:szCs w:val="44"/>
          <w:highlight w:val="none"/>
        </w:rPr>
      </w:pPr>
      <w:bookmarkStart w:id="131" w:name="_Toc81575206"/>
      <w:bookmarkStart w:id="132" w:name="_Toc81575169"/>
      <w:bookmarkStart w:id="133" w:name="_Toc2513"/>
      <w:bookmarkStart w:id="134" w:name="_Toc22098"/>
      <w:bookmarkStart w:id="135" w:name="_Toc31499"/>
    </w:p>
    <w:p w14:paraId="11D6CA48">
      <w:pPr>
        <w:pStyle w:val="43"/>
        <w:spacing w:before="200"/>
        <w:jc w:val="center"/>
        <w:rPr>
          <w:rFonts w:hint="eastAsia" w:ascii="Calibri" w:hAnsi="Calibri" w:eastAsia="宋体" w:cs="Times New Roman"/>
          <w:b/>
          <w:color w:val="000000"/>
          <w:sz w:val="44"/>
          <w:szCs w:val="44"/>
          <w:highlight w:val="none"/>
        </w:rPr>
      </w:pPr>
      <w:r>
        <w:rPr>
          <w:rFonts w:hint="eastAsia" w:ascii="Calibri" w:hAnsi="Calibri" w:eastAsia="宋体" w:cs="Times New Roman"/>
          <w:b/>
          <w:color w:val="000000"/>
          <w:sz w:val="44"/>
          <w:szCs w:val="44"/>
          <w:highlight w:val="none"/>
        </w:rPr>
        <w:t>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合同文本</w:t>
      </w:r>
      <w:bookmarkEnd w:id="131"/>
      <w:bookmarkEnd w:id="132"/>
      <w:bookmarkEnd w:id="133"/>
      <w:bookmarkEnd w:id="134"/>
      <w:bookmarkEnd w:id="135"/>
      <w:bookmarkStart w:id="136" w:name="_Toc16938559"/>
      <w:bookmarkStart w:id="137" w:name="_Toc20823315"/>
      <w:bookmarkStart w:id="138" w:name="_Toc513029243"/>
    </w:p>
    <w:p w14:paraId="63F074B2">
      <w:pPr>
        <w:jc w:val="center"/>
        <w:rPr>
          <w:rFonts w:hint="eastAsia"/>
          <w:color w:val="000000"/>
          <w:sz w:val="72"/>
          <w:szCs w:val="72"/>
          <w:highlight w:val="none"/>
        </w:rPr>
      </w:pPr>
    </w:p>
    <w:p w14:paraId="2DC1A0AF">
      <w:pPr>
        <w:jc w:val="center"/>
        <w:rPr>
          <w:rFonts w:hint="eastAsia"/>
          <w:color w:val="000000"/>
          <w:sz w:val="72"/>
          <w:szCs w:val="72"/>
          <w:highlight w:val="none"/>
        </w:rPr>
      </w:pPr>
    </w:p>
    <w:p w14:paraId="609D930C">
      <w:pPr>
        <w:jc w:val="center"/>
        <w:rPr>
          <w:color w:val="000000"/>
          <w:sz w:val="32"/>
          <w:szCs w:val="32"/>
          <w:highlight w:val="none"/>
        </w:rPr>
      </w:pPr>
      <w:r>
        <w:rPr>
          <w:rFonts w:hint="eastAsia"/>
          <w:color w:val="000000"/>
          <w:sz w:val="72"/>
          <w:szCs w:val="72"/>
          <w:highlight w:val="none"/>
        </w:rPr>
        <w:t>政府采购合同</w:t>
      </w:r>
    </w:p>
    <w:p w14:paraId="128B58B1">
      <w:pPr>
        <w:jc w:val="center"/>
        <w:rPr>
          <w:color w:val="000000"/>
          <w:sz w:val="32"/>
          <w:szCs w:val="32"/>
          <w:highlight w:val="none"/>
        </w:rPr>
      </w:pPr>
    </w:p>
    <w:p w14:paraId="2D9A415E">
      <w:pPr>
        <w:rPr>
          <w:rFonts w:hint="eastAsia" w:ascii="宋体" w:hAnsi="宋体" w:cs="宋体"/>
          <w:b/>
          <w:bCs/>
          <w:color w:val="000000"/>
          <w:spacing w:val="-20"/>
          <w:sz w:val="40"/>
          <w:szCs w:val="40"/>
          <w:highlight w:val="none"/>
        </w:rPr>
      </w:pPr>
    </w:p>
    <w:p w14:paraId="1E1DE369">
      <w:pPr>
        <w:rPr>
          <w:rFonts w:hint="eastAsia" w:ascii="宋体" w:hAnsi="宋体" w:cs="宋体"/>
          <w:b/>
          <w:bCs/>
          <w:color w:val="000000"/>
          <w:spacing w:val="-20"/>
          <w:sz w:val="40"/>
          <w:szCs w:val="40"/>
          <w:highlight w:val="none"/>
        </w:rPr>
      </w:pPr>
    </w:p>
    <w:p w14:paraId="0DDC5B23">
      <w:pPr>
        <w:rPr>
          <w:rFonts w:hint="eastAsia" w:ascii="宋体" w:hAnsi="宋体" w:cs="宋体"/>
          <w:b/>
          <w:bCs/>
          <w:color w:val="000000"/>
          <w:spacing w:val="-20"/>
          <w:sz w:val="40"/>
          <w:szCs w:val="40"/>
          <w:highlight w:val="none"/>
        </w:rPr>
      </w:pPr>
    </w:p>
    <w:p w14:paraId="572BEF05">
      <w:pPr>
        <w:spacing w:line="360" w:lineRule="auto"/>
        <w:ind w:left="1820" w:hanging="1400"/>
        <w:rPr>
          <w:color w:val="000000"/>
          <w:sz w:val="28"/>
          <w:szCs w:val="28"/>
          <w:highlight w:val="none"/>
        </w:rPr>
      </w:pPr>
      <w:r>
        <w:rPr>
          <w:rFonts w:hint="eastAsia" w:ascii="宋体" w:hAnsi="宋体" w:cs="宋体"/>
          <w:color w:val="000000"/>
          <w:sz w:val="28"/>
          <w:szCs w:val="28"/>
          <w:highlight w:val="none"/>
        </w:rPr>
        <w:t>项目名称：</w:t>
      </w:r>
      <w:r>
        <w:rPr>
          <w:rFonts w:hint="eastAsia"/>
          <w:sz w:val="30"/>
          <w:szCs w:val="30"/>
          <w:u w:val="single"/>
          <w:lang w:eastAsia="zh-CN"/>
        </w:rPr>
        <w:t>泗洪县2026年度一体化调查监测项目</w:t>
      </w:r>
      <w:r>
        <w:rPr>
          <w:rFonts w:hint="eastAsia"/>
          <w:color w:val="000000"/>
          <w:sz w:val="28"/>
          <w:szCs w:val="28"/>
          <w:highlight w:val="none"/>
          <w:u w:val="single"/>
        </w:rPr>
        <w:t xml:space="preserve">  </w:t>
      </w:r>
    </w:p>
    <w:p w14:paraId="5256CDFD">
      <w:pPr>
        <w:spacing w:line="360" w:lineRule="auto"/>
        <w:ind w:left="420"/>
        <w:rPr>
          <w:color w:val="000000"/>
          <w:sz w:val="28"/>
          <w:szCs w:val="28"/>
          <w:highlight w:val="none"/>
          <w:u w:val="single"/>
        </w:rPr>
      </w:pPr>
      <w:r>
        <w:rPr>
          <w:rFonts w:hint="eastAsia"/>
          <w:color w:val="000000"/>
          <w:sz w:val="28"/>
          <w:szCs w:val="28"/>
          <w:highlight w:val="none"/>
        </w:rPr>
        <w:t>合同编号：</w:t>
      </w:r>
      <w:r>
        <w:rPr>
          <w:rFonts w:hint="eastAsia"/>
          <w:color w:val="000000"/>
          <w:sz w:val="28"/>
          <w:szCs w:val="28"/>
          <w:highlight w:val="none"/>
          <w:u w:val="single"/>
        </w:rPr>
        <w:t xml:space="preserve">                             </w:t>
      </w:r>
    </w:p>
    <w:p w14:paraId="750591FC">
      <w:pPr>
        <w:spacing w:line="360" w:lineRule="auto"/>
        <w:ind w:left="420"/>
        <w:rPr>
          <w:color w:val="000000"/>
          <w:sz w:val="28"/>
          <w:szCs w:val="28"/>
          <w:highlight w:val="none"/>
        </w:rPr>
      </w:pPr>
      <w:r>
        <w:rPr>
          <w:rFonts w:hint="eastAsia"/>
          <w:color w:val="000000"/>
          <w:sz w:val="28"/>
          <w:szCs w:val="28"/>
          <w:highlight w:val="none"/>
        </w:rPr>
        <w:t>甲    方：</w:t>
      </w:r>
      <w:r>
        <w:rPr>
          <w:rFonts w:hint="eastAsia"/>
          <w:color w:val="000000"/>
          <w:sz w:val="28"/>
          <w:szCs w:val="28"/>
          <w:highlight w:val="none"/>
          <w:u w:val="single"/>
          <w:lang w:eastAsia="zh-CN"/>
        </w:rPr>
        <w:t>泗洪县自然资源和规划局</w:t>
      </w:r>
      <w:r>
        <w:rPr>
          <w:rFonts w:hint="eastAsia"/>
          <w:color w:val="000000"/>
          <w:sz w:val="28"/>
          <w:szCs w:val="28"/>
          <w:highlight w:val="none"/>
          <w:u w:val="single"/>
        </w:rPr>
        <w:t xml:space="preserve">   </w:t>
      </w:r>
    </w:p>
    <w:p w14:paraId="588F9DEA">
      <w:pPr>
        <w:spacing w:line="360" w:lineRule="auto"/>
        <w:ind w:left="420"/>
        <w:rPr>
          <w:color w:val="000000"/>
          <w:sz w:val="28"/>
          <w:szCs w:val="28"/>
          <w:highlight w:val="none"/>
          <w:u w:val="single"/>
        </w:rPr>
      </w:pPr>
      <w:r>
        <w:rPr>
          <w:rFonts w:hint="eastAsia"/>
          <w:color w:val="000000"/>
          <w:sz w:val="28"/>
          <w:szCs w:val="28"/>
          <w:highlight w:val="none"/>
        </w:rPr>
        <w:t>乙    方：</w:t>
      </w:r>
      <w:r>
        <w:rPr>
          <w:rFonts w:hint="eastAsia"/>
          <w:color w:val="000000"/>
          <w:sz w:val="28"/>
          <w:szCs w:val="28"/>
          <w:highlight w:val="none"/>
          <w:u w:val="single"/>
        </w:rPr>
        <w:t xml:space="preserve">                             </w:t>
      </w:r>
    </w:p>
    <w:p w14:paraId="0C6082CD">
      <w:pPr>
        <w:spacing w:line="360" w:lineRule="auto"/>
        <w:ind w:left="420"/>
        <w:rPr>
          <w:color w:val="000000"/>
          <w:sz w:val="28"/>
          <w:szCs w:val="28"/>
          <w:highlight w:val="none"/>
        </w:rPr>
      </w:pPr>
      <w:r>
        <w:rPr>
          <w:rFonts w:hint="eastAsia"/>
          <w:color w:val="000000"/>
          <w:sz w:val="28"/>
          <w:szCs w:val="28"/>
          <w:highlight w:val="none"/>
        </w:rPr>
        <w:t>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p>
    <w:p w14:paraId="50E4D478">
      <w:pPr>
        <w:jc w:val="center"/>
        <w:rPr>
          <w:color w:val="000000"/>
          <w:sz w:val="32"/>
          <w:szCs w:val="32"/>
          <w:highlight w:val="none"/>
        </w:rPr>
      </w:pPr>
    </w:p>
    <w:p w14:paraId="308E1EAA">
      <w:pPr>
        <w:jc w:val="center"/>
        <w:rPr>
          <w:color w:val="000000"/>
          <w:sz w:val="32"/>
          <w:szCs w:val="32"/>
          <w:highlight w:val="none"/>
        </w:rPr>
      </w:pPr>
    </w:p>
    <w:p w14:paraId="27B9B389">
      <w:pPr>
        <w:jc w:val="center"/>
        <w:rPr>
          <w:color w:val="000000"/>
          <w:sz w:val="32"/>
          <w:szCs w:val="32"/>
          <w:highlight w:val="none"/>
        </w:rPr>
      </w:pPr>
    </w:p>
    <w:p w14:paraId="4AB68AA5">
      <w:pPr>
        <w:jc w:val="center"/>
        <w:rPr>
          <w:color w:val="000000"/>
          <w:sz w:val="32"/>
          <w:szCs w:val="32"/>
          <w:highlight w:val="none"/>
        </w:rPr>
      </w:pPr>
    </w:p>
    <w:p w14:paraId="5F097154">
      <w:pPr>
        <w:jc w:val="center"/>
        <w:rPr>
          <w:color w:val="000000"/>
          <w:sz w:val="32"/>
          <w:szCs w:val="32"/>
          <w:highlight w:val="none"/>
        </w:rPr>
      </w:pPr>
    </w:p>
    <w:p w14:paraId="0B865AE3">
      <w:pPr>
        <w:jc w:val="center"/>
        <w:rPr>
          <w:color w:val="000000"/>
          <w:sz w:val="32"/>
          <w:szCs w:val="32"/>
          <w:highlight w:val="none"/>
        </w:rPr>
      </w:pPr>
    </w:p>
    <w:p w14:paraId="3B059731">
      <w:pPr>
        <w:spacing w:line="400" w:lineRule="exact"/>
        <w:ind w:firstLine="480"/>
        <w:rPr>
          <w:rFonts w:ascii="宋体" w:hAnsi="宋体" w:cs="Courier New"/>
          <w:color w:val="000000"/>
          <w:sz w:val="24"/>
          <w:szCs w:val="24"/>
          <w:highlight w:val="none"/>
        </w:rPr>
        <w:sectPr>
          <w:footerReference r:id="rId6" w:type="default"/>
          <w:type w:val="continuous"/>
          <w:pgSz w:w="11906" w:h="16838"/>
          <w:pgMar w:top="1440" w:right="1800" w:bottom="1440" w:left="1800" w:header="851" w:footer="992" w:gutter="0"/>
          <w:pgNumType w:start="1"/>
          <w:cols w:space="1701" w:num="1"/>
          <w:docGrid w:linePitch="360" w:charSpace="0"/>
        </w:sectPr>
      </w:pPr>
      <w:r>
        <w:rPr>
          <w:rFonts w:ascii="宋体" w:hAnsi="宋体" w:cs="Courier New"/>
          <w:color w:val="000000"/>
          <w:sz w:val="24"/>
          <w:szCs w:val="24"/>
          <w:highlight w:val="none"/>
        </w:rPr>
        <w:br w:type="page" w:clear="all"/>
      </w:r>
    </w:p>
    <w:p w14:paraId="3CE2C919">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甲方（</w:t>
      </w:r>
      <w:r>
        <w:rPr>
          <w:rFonts w:hint="eastAsia" w:ascii="宋体" w:hAnsi="宋体" w:cs="Courier New"/>
          <w:color w:val="auto"/>
          <w:sz w:val="24"/>
          <w:szCs w:val="24"/>
          <w:highlight w:val="none"/>
          <w:lang w:val="en-US" w:eastAsia="zh-CN"/>
        </w:rPr>
        <w:t>采购人</w:t>
      </w:r>
      <w:r>
        <w:rPr>
          <w:rFonts w:ascii="宋体" w:hAnsi="宋体" w:cs="Courier New"/>
          <w:color w:val="auto"/>
          <w:sz w:val="24"/>
          <w:szCs w:val="24"/>
          <w:highlight w:val="none"/>
        </w:rPr>
        <w:t>）</w:t>
      </w:r>
      <w:r>
        <w:rPr>
          <w:rFonts w:hint="eastAsia" w:ascii="宋体" w:hAnsi="宋体" w:cs="Courier New"/>
          <w:color w:val="auto"/>
          <w:sz w:val="24"/>
          <w:szCs w:val="24"/>
          <w:highlight w:val="none"/>
        </w:rPr>
        <w:t>：</w:t>
      </w:r>
      <w:r>
        <w:rPr>
          <w:rFonts w:ascii="宋体" w:hAnsi="宋体" w:cs="Courier New"/>
          <w:color w:val="auto"/>
          <w:sz w:val="24"/>
          <w:szCs w:val="24"/>
          <w:highlight w:val="none"/>
        </w:rPr>
        <w:t>_________</w:t>
      </w:r>
    </w:p>
    <w:p w14:paraId="1127E1EF">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乙方（</w:t>
      </w:r>
      <w:r>
        <w:rPr>
          <w:rFonts w:hint="eastAsia" w:ascii="宋体" w:hAnsi="宋体" w:cs="Courier New"/>
          <w:color w:val="auto"/>
          <w:sz w:val="24"/>
          <w:szCs w:val="24"/>
          <w:highlight w:val="none"/>
        </w:rPr>
        <w:t>成交</w:t>
      </w:r>
      <w:r>
        <w:rPr>
          <w:rFonts w:hint="eastAsia" w:ascii="宋体" w:hAnsi="宋体" w:cs="Courier New"/>
          <w:color w:val="auto"/>
          <w:sz w:val="24"/>
          <w:szCs w:val="24"/>
          <w:highlight w:val="none"/>
          <w:lang w:val="en-US" w:eastAsia="zh-CN"/>
        </w:rPr>
        <w:t>供应商</w:t>
      </w:r>
      <w:r>
        <w:rPr>
          <w:rFonts w:ascii="宋体" w:hAnsi="宋体" w:cs="Courier New"/>
          <w:color w:val="auto"/>
          <w:sz w:val="24"/>
          <w:szCs w:val="24"/>
          <w:highlight w:val="none"/>
        </w:rPr>
        <w:t>）</w:t>
      </w:r>
      <w:r>
        <w:rPr>
          <w:rFonts w:hint="eastAsia" w:ascii="宋体" w:hAnsi="宋体" w:cs="Courier New"/>
          <w:color w:val="auto"/>
          <w:sz w:val="24"/>
          <w:szCs w:val="24"/>
          <w:highlight w:val="none"/>
        </w:rPr>
        <w:t>：</w:t>
      </w:r>
      <w:r>
        <w:rPr>
          <w:rFonts w:ascii="宋体" w:hAnsi="宋体" w:cs="Courier New"/>
          <w:color w:val="auto"/>
          <w:sz w:val="24"/>
          <w:szCs w:val="24"/>
          <w:highlight w:val="none"/>
        </w:rPr>
        <w:t>_________</w:t>
      </w:r>
    </w:p>
    <w:p w14:paraId="347D8DD7">
      <w:pPr>
        <w:spacing w:line="400" w:lineRule="exact"/>
        <w:ind w:firstLine="480"/>
        <w:rPr>
          <w:rFonts w:hint="eastAsia" w:ascii="宋体" w:hAnsi="宋体"/>
          <w:color w:val="auto"/>
          <w:sz w:val="24"/>
          <w:szCs w:val="24"/>
          <w:highlight w:val="none"/>
        </w:rPr>
      </w:pPr>
    </w:p>
    <w:p w14:paraId="50BC0AA0">
      <w:pPr>
        <w:keepNext w:val="0"/>
        <w:keepLines w:val="0"/>
        <w:pageBreakBefore w:val="0"/>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依据《中华人民共和国民法典》、《中华人民共和国政府采购法》等有关的法律法规，以及本采购项目采购文件、乙方的《响应文件》及《成交通知书》，甲乙双方同意签订本合同。具体情况及要求如下：</w:t>
      </w:r>
    </w:p>
    <w:p w14:paraId="54B0E716">
      <w:pPr>
        <w:keepNext w:val="0"/>
        <w:keepLines w:val="0"/>
        <w:pageBreakBefore w:val="0"/>
        <w:spacing w:line="360" w:lineRule="auto"/>
        <w:ind w:firstLine="482"/>
        <w:outlineLvl w:val="1"/>
        <w:rPr>
          <w:rFonts w:ascii="Times New Roman" w:hAnsi="Times New Roman"/>
          <w:color w:val="auto"/>
          <w:sz w:val="24"/>
          <w:szCs w:val="24"/>
          <w:highlight w:val="none"/>
        </w:rPr>
      </w:pPr>
      <w:r>
        <w:rPr>
          <w:rFonts w:ascii="Times New Roman" w:hAnsi="Times New Roman"/>
          <w:b/>
          <w:color w:val="auto"/>
          <w:sz w:val="24"/>
          <w:szCs w:val="24"/>
          <w:highlight w:val="none"/>
        </w:rPr>
        <w:t>一、项目信息</w:t>
      </w:r>
    </w:p>
    <w:p w14:paraId="23455F4A">
      <w:pPr>
        <w:keepNext w:val="0"/>
        <w:keepLines w:val="0"/>
        <w:pageBreakBefore w:val="0"/>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1.采购项目名称：</w:t>
      </w:r>
      <w:r>
        <w:rPr>
          <w:rFonts w:ascii="Times New Roman" w:hAnsi="Times New Roman"/>
          <w:color w:val="auto"/>
          <w:sz w:val="24"/>
          <w:szCs w:val="24"/>
          <w:highlight w:val="none"/>
          <w:u w:val="single"/>
        </w:rPr>
        <w:t xml:space="preserve">                                   </w:t>
      </w:r>
    </w:p>
    <w:p w14:paraId="7165BBC7">
      <w:pPr>
        <w:keepNext w:val="0"/>
        <w:keepLines w:val="0"/>
        <w:pageBreakBefore w:val="0"/>
        <w:spacing w:line="360" w:lineRule="auto"/>
        <w:ind w:left="480"/>
        <w:rPr>
          <w:rFonts w:ascii="Times New Roman" w:hAnsi="Times New Roman"/>
          <w:color w:val="auto"/>
          <w:sz w:val="24"/>
          <w:szCs w:val="24"/>
          <w:highlight w:val="none"/>
        </w:rPr>
      </w:pPr>
      <w:r>
        <w:rPr>
          <w:rFonts w:ascii="Times New Roman" w:hAnsi="Times New Roman"/>
          <w:color w:val="auto"/>
          <w:sz w:val="24"/>
          <w:szCs w:val="24"/>
          <w:highlight w:val="none"/>
        </w:rPr>
        <w:t>采购项目编号：</w:t>
      </w:r>
      <w:r>
        <w:rPr>
          <w:rFonts w:ascii="Times New Roman" w:hAnsi="Times New Roman"/>
          <w:color w:val="auto"/>
          <w:sz w:val="24"/>
          <w:szCs w:val="24"/>
          <w:highlight w:val="none"/>
          <w:u w:val="single"/>
        </w:rPr>
        <w:t xml:space="preserve">                                          </w:t>
      </w:r>
    </w:p>
    <w:p w14:paraId="79097761">
      <w:pPr>
        <w:keepNext w:val="0"/>
        <w:keepLines w:val="0"/>
        <w:pageBreakBefore w:val="0"/>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2.项目内容：</w:t>
      </w:r>
    </w:p>
    <w:p w14:paraId="17AB41D1">
      <w:pPr>
        <w:keepNext w:val="0"/>
        <w:keepLines w:val="0"/>
        <w:pageBreakBefore w:val="0"/>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u w:val="single"/>
        </w:rPr>
        <w:t xml:space="preserve">                                         </w:t>
      </w:r>
    </w:p>
    <w:p w14:paraId="5E35307C">
      <w:pPr>
        <w:keepNext w:val="0"/>
        <w:keepLines w:val="0"/>
        <w:pageBreakBefore w:val="0"/>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3.政府采购组织形式：</w:t>
      </w:r>
      <w:r>
        <w:rPr>
          <w:rFonts w:hint="eastAsia" w:ascii="Times New Roman" w:hAnsi="Times New Roman"/>
          <w:color w:val="auto"/>
          <w:sz w:val="24"/>
          <w:szCs w:val="24"/>
          <w:highlight w:val="none"/>
          <w:lang w:val="en-US" w:eastAsia="zh-CN"/>
        </w:rPr>
        <w:t>分散</w:t>
      </w:r>
      <w:r>
        <w:rPr>
          <w:rFonts w:ascii="Times New Roman" w:hAnsi="Times New Roman"/>
          <w:color w:val="auto"/>
          <w:sz w:val="24"/>
          <w:szCs w:val="24"/>
          <w:highlight w:val="none"/>
        </w:rPr>
        <w:t>采购</w:t>
      </w:r>
    </w:p>
    <w:p w14:paraId="6ACD68DE">
      <w:pPr>
        <w:keepNext w:val="0"/>
        <w:keepLines w:val="0"/>
        <w:pageBreakBefore w:val="0"/>
        <w:spacing w:line="360" w:lineRule="auto"/>
        <w:ind w:firstLine="480"/>
        <w:rPr>
          <w:rFonts w:hint="default" w:ascii="Times New Roman" w:hAnsi="Times New Roman" w:eastAsia="宋体"/>
          <w:color w:val="auto"/>
          <w:sz w:val="24"/>
          <w:szCs w:val="24"/>
          <w:highlight w:val="none"/>
          <w:lang w:val="en-US" w:eastAsia="zh-CN"/>
        </w:rPr>
      </w:pPr>
      <w:r>
        <w:rPr>
          <w:rFonts w:ascii="Times New Roman" w:hAnsi="Times New Roman"/>
          <w:color w:val="auto"/>
          <w:sz w:val="24"/>
          <w:szCs w:val="24"/>
          <w:highlight w:val="none"/>
        </w:rPr>
        <w:t>4.政府采购方式：</w:t>
      </w:r>
      <w:r>
        <w:rPr>
          <w:rFonts w:hint="eastAsia" w:ascii="Times New Roman" w:hAnsi="Times New Roman"/>
          <w:color w:val="auto"/>
          <w:sz w:val="24"/>
          <w:szCs w:val="24"/>
          <w:highlight w:val="none"/>
          <w:lang w:val="en-US" w:eastAsia="zh-CN"/>
        </w:rPr>
        <w:t>公开招标</w:t>
      </w:r>
    </w:p>
    <w:p w14:paraId="2A3D464F">
      <w:pPr>
        <w:pStyle w:val="504"/>
        <w:keepNext w:val="0"/>
        <w:keepLines w:val="0"/>
        <w:pageBreakBefore w:val="0"/>
        <w:spacing w:line="360" w:lineRule="auto"/>
        <w:ind w:firstLine="480"/>
        <w:rPr>
          <w:rFonts w:ascii="Times New Roman" w:hAnsi="Times New Roman" w:eastAsia="宋体" w:cs="Times New Roman"/>
          <w:color w:val="auto"/>
          <w:sz w:val="24"/>
          <w:szCs w:val="24"/>
          <w:highlight w:val="none"/>
        </w:rPr>
      </w:pPr>
      <w:r>
        <w:rPr>
          <w:rFonts w:ascii="Times New Roman" w:hAnsi="Times New Roman" w:cs="Times New Roman"/>
          <w:color w:val="auto"/>
          <w:sz w:val="24"/>
          <w:szCs w:val="24"/>
          <w:highlight w:val="none"/>
        </w:rPr>
        <w:t>5.</w:t>
      </w:r>
      <w:r>
        <w:rPr>
          <w:rFonts w:ascii="Times New Roman" w:hAnsi="Times New Roman" w:eastAsia="宋体" w:cs="Times New Roman"/>
          <w:color w:val="auto"/>
          <w:sz w:val="24"/>
          <w:szCs w:val="24"/>
          <w:highlight w:val="none"/>
        </w:rPr>
        <w:t>成交</w:t>
      </w:r>
      <w:r>
        <w:rPr>
          <w:rFonts w:hint="eastAsia" w:ascii="Times New Roman" w:hAnsi="Times New Roman" w:eastAsia="宋体" w:cs="Times New Roman"/>
          <w:color w:val="auto"/>
          <w:sz w:val="24"/>
          <w:szCs w:val="24"/>
          <w:highlight w:val="none"/>
          <w:lang w:eastAsia="zh-CN"/>
        </w:rPr>
        <w:t>乙方</w:t>
      </w:r>
      <w:r>
        <w:rPr>
          <w:rFonts w:ascii="Times New Roman" w:hAnsi="Times New Roman" w:eastAsia="宋体" w:cs="Times New Roman"/>
          <w:color w:val="auto"/>
          <w:sz w:val="24"/>
          <w:szCs w:val="24"/>
          <w:highlight w:val="none"/>
        </w:rPr>
        <w:t>是否为中小企业：</w:t>
      </w:r>
      <w:r>
        <w:rPr>
          <w:rFonts w:ascii="Wingdings" w:hAnsi="Wingdings" w:eastAsia="Wingdings" w:cs="Wingdings"/>
          <w:color w:val="auto"/>
          <w:sz w:val="24"/>
          <w:szCs w:val="24"/>
          <w:highlight w:val="none"/>
        </w:rPr>
        <w:t>¨</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eastAsia="宋体" w:cs="Times New Roman"/>
          <w:color w:val="auto"/>
          <w:sz w:val="24"/>
          <w:szCs w:val="24"/>
          <w:highlight w:val="none"/>
        </w:rPr>
        <w:t>否</w:t>
      </w:r>
    </w:p>
    <w:p w14:paraId="05B90694">
      <w:pPr>
        <w:pStyle w:val="504"/>
        <w:keepNext w:val="0"/>
        <w:keepLines w:val="0"/>
        <w:pageBreakBefore w:val="0"/>
        <w:spacing w:line="360" w:lineRule="auto"/>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本合同是否为专门面向中小企业的采购合同（中小企业预留合同）：</w:t>
      </w:r>
      <w:r>
        <w:rPr>
          <w:rFonts w:ascii="Wingdings" w:hAnsi="Wingdings" w:eastAsia="Wingdings" w:cs="Wingdings"/>
          <w:color w:val="auto"/>
          <w:sz w:val="24"/>
          <w:szCs w:val="24"/>
          <w:highlight w:val="none"/>
        </w:rPr>
        <w:t>¨</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eastAsia="宋体" w:cs="Times New Roman"/>
          <w:color w:val="auto"/>
          <w:sz w:val="24"/>
          <w:szCs w:val="24"/>
          <w:highlight w:val="none"/>
        </w:rPr>
        <w:t>否</w:t>
      </w:r>
    </w:p>
    <w:p w14:paraId="657CA5CD">
      <w:pPr>
        <w:pStyle w:val="504"/>
        <w:keepNext w:val="0"/>
        <w:keepLines w:val="0"/>
        <w:pageBreakBefore w:val="0"/>
        <w:spacing w:line="360" w:lineRule="auto"/>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若本项目不专门面向中小企业采购，是否给予小微企业评审优惠：</w:t>
      </w:r>
      <w:r>
        <w:rPr>
          <w:rFonts w:ascii="Wingdings" w:hAnsi="Wingdings" w:eastAsia="Wingdings" w:cs="Wingdings"/>
          <w:color w:val="auto"/>
          <w:sz w:val="24"/>
          <w:szCs w:val="24"/>
          <w:highlight w:val="none"/>
        </w:rPr>
        <w:t>¨</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eastAsia="宋体" w:cs="Times New Roman"/>
          <w:color w:val="auto"/>
          <w:sz w:val="24"/>
          <w:szCs w:val="24"/>
          <w:highlight w:val="none"/>
        </w:rPr>
        <w:t>否</w:t>
      </w:r>
    </w:p>
    <w:p w14:paraId="3DCB5CD1">
      <w:pPr>
        <w:pStyle w:val="504"/>
        <w:keepNext w:val="0"/>
        <w:keepLines w:val="0"/>
        <w:pageBreakBefore w:val="0"/>
        <w:spacing w:line="360" w:lineRule="auto"/>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成交</w:t>
      </w:r>
      <w:r>
        <w:rPr>
          <w:rFonts w:hint="eastAsia" w:ascii="Times New Roman" w:hAnsi="Times New Roman" w:eastAsia="宋体" w:cs="Times New Roman"/>
          <w:color w:val="auto"/>
          <w:sz w:val="24"/>
          <w:szCs w:val="24"/>
          <w:highlight w:val="none"/>
          <w:lang w:eastAsia="zh-CN"/>
        </w:rPr>
        <w:t>乙方</w:t>
      </w:r>
      <w:r>
        <w:rPr>
          <w:rFonts w:ascii="Times New Roman" w:hAnsi="Times New Roman" w:eastAsia="宋体" w:cs="Times New Roman"/>
          <w:color w:val="auto"/>
          <w:sz w:val="24"/>
          <w:szCs w:val="24"/>
          <w:highlight w:val="none"/>
        </w:rPr>
        <w:t>是否为残疾人福利性单位：</w:t>
      </w:r>
      <w:r>
        <w:rPr>
          <w:rFonts w:ascii="Wingdings" w:hAnsi="Wingdings" w:eastAsia="Wingdings" w:cs="Wingdings"/>
          <w:color w:val="auto"/>
          <w:sz w:val="24"/>
          <w:szCs w:val="24"/>
          <w:highlight w:val="none"/>
        </w:rPr>
        <w:t>¨</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eastAsia="宋体" w:cs="Times New Roman"/>
          <w:color w:val="auto"/>
          <w:sz w:val="24"/>
          <w:szCs w:val="24"/>
          <w:highlight w:val="none"/>
        </w:rPr>
        <w:t>否</w:t>
      </w:r>
    </w:p>
    <w:p w14:paraId="18A00047">
      <w:pPr>
        <w:pStyle w:val="504"/>
        <w:keepNext w:val="0"/>
        <w:keepLines w:val="0"/>
        <w:pageBreakBefore w:val="0"/>
        <w:spacing w:line="360" w:lineRule="auto"/>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成交</w:t>
      </w:r>
      <w:r>
        <w:rPr>
          <w:rFonts w:hint="eastAsia" w:ascii="Times New Roman" w:hAnsi="Times New Roman" w:eastAsia="宋体" w:cs="Times New Roman"/>
          <w:color w:val="auto"/>
          <w:sz w:val="24"/>
          <w:szCs w:val="24"/>
          <w:highlight w:val="none"/>
          <w:lang w:eastAsia="zh-CN"/>
        </w:rPr>
        <w:t>乙方</w:t>
      </w:r>
      <w:r>
        <w:rPr>
          <w:rFonts w:ascii="Times New Roman" w:hAnsi="Times New Roman" w:eastAsia="宋体" w:cs="Times New Roman"/>
          <w:color w:val="auto"/>
          <w:sz w:val="24"/>
          <w:szCs w:val="24"/>
          <w:highlight w:val="none"/>
        </w:rPr>
        <w:t>是否为监狱企业：</w:t>
      </w:r>
      <w:r>
        <w:rPr>
          <w:rFonts w:ascii="Wingdings" w:hAnsi="Wingdings" w:eastAsia="Wingdings" w:cs="Wingdings"/>
          <w:color w:val="auto"/>
          <w:sz w:val="24"/>
          <w:szCs w:val="24"/>
          <w:highlight w:val="none"/>
        </w:rPr>
        <w:t>¨</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eastAsia="宋体" w:cs="Times New Roman"/>
          <w:color w:val="auto"/>
          <w:sz w:val="24"/>
          <w:szCs w:val="24"/>
          <w:highlight w:val="none"/>
        </w:rPr>
        <w:t>否</w:t>
      </w:r>
    </w:p>
    <w:p w14:paraId="7E725EAB">
      <w:pPr>
        <w:keepNext w:val="0"/>
        <w:keepLines w:val="0"/>
        <w:pageBreakBefore w:val="0"/>
        <w:spacing w:line="360" w:lineRule="auto"/>
        <w:ind w:firstLine="480"/>
        <w:rPr>
          <w:rFonts w:hint="eastAsia" w:ascii="宋体" w:hAnsi="宋体" w:cs="宋体"/>
          <w:color w:val="auto"/>
          <w:sz w:val="24"/>
          <w:szCs w:val="24"/>
          <w:highlight w:val="none"/>
        </w:rPr>
      </w:pPr>
      <w:r>
        <w:rPr>
          <w:rFonts w:ascii="Times New Roman" w:hAnsi="Times New Roman"/>
          <w:color w:val="auto"/>
          <w:sz w:val="24"/>
          <w:szCs w:val="24"/>
          <w:highlight w:val="none"/>
        </w:rPr>
        <w:t>6.合同是否分包：</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否</w:t>
      </w:r>
      <w:r>
        <w:rPr>
          <w:rFonts w:hint="eastAsia" w:ascii="Times New Roman" w:hAnsi="Times New Roman"/>
          <w:color w:val="auto"/>
          <w:sz w:val="24"/>
          <w:szCs w:val="24"/>
          <w:highlight w:val="none"/>
        </w:rPr>
        <w:t>（</w:t>
      </w:r>
      <w:r>
        <w:rPr>
          <w:rFonts w:hint="eastAsia" w:ascii="宋体" w:hAnsi="宋体" w:cs="宋体"/>
          <w:color w:val="auto"/>
          <w:sz w:val="24"/>
          <w:szCs w:val="24"/>
          <w:highlight w:val="none"/>
        </w:rPr>
        <w:t>备注：选择否删除以下相关条款，磋商文件定稿后该备注删除。）</w:t>
      </w:r>
    </w:p>
    <w:p w14:paraId="6C840FD7">
      <w:pPr>
        <w:pStyle w:val="504"/>
        <w:keepNext w:val="0"/>
        <w:keepLines w:val="0"/>
        <w:pageBreakBefore w:val="0"/>
        <w:spacing w:line="360" w:lineRule="auto"/>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分包主要内容：                                            </w:t>
      </w:r>
    </w:p>
    <w:p w14:paraId="31BDEB4B">
      <w:pPr>
        <w:pStyle w:val="504"/>
        <w:keepNext w:val="0"/>
        <w:keepLines w:val="0"/>
        <w:pageBreakBefore w:val="0"/>
        <w:spacing w:line="360" w:lineRule="auto"/>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分包</w:t>
      </w:r>
      <w:r>
        <w:rPr>
          <w:rFonts w:hint="eastAsia" w:ascii="Times New Roman" w:hAnsi="Times New Roman" w:eastAsia="宋体" w:cs="Times New Roman"/>
          <w:color w:val="auto"/>
          <w:sz w:val="24"/>
          <w:szCs w:val="24"/>
          <w:highlight w:val="none"/>
          <w:lang w:eastAsia="zh-CN"/>
        </w:rPr>
        <w:t>乙方</w:t>
      </w:r>
      <w:r>
        <w:rPr>
          <w:rFonts w:ascii="Times New Roman" w:hAnsi="Times New Roman" w:eastAsia="宋体" w:cs="Times New Roman"/>
          <w:color w:val="auto"/>
          <w:sz w:val="24"/>
          <w:szCs w:val="24"/>
          <w:highlight w:val="none"/>
        </w:rPr>
        <w:t>名称</w:t>
      </w:r>
      <w:r>
        <w:rPr>
          <w:rFonts w:hint="eastAsia" w:ascii="Times New Roman" w:hAnsi="Times New Roman" w:eastAsia="宋体" w:cs="Times New Roman"/>
          <w:color w:val="auto"/>
          <w:sz w:val="24"/>
          <w:szCs w:val="24"/>
          <w:highlight w:val="none"/>
        </w:rPr>
        <w:t>：</w:t>
      </w:r>
    </w:p>
    <w:p w14:paraId="5EC30589">
      <w:pPr>
        <w:keepNext w:val="0"/>
        <w:keepLines w:val="0"/>
        <w:pageBreakBefore w:val="0"/>
        <w:spacing w:line="360" w:lineRule="auto"/>
        <w:ind w:firstLine="480"/>
        <w:rPr>
          <w:rFonts w:ascii="Times New Roman" w:hAnsi="Times New Roman"/>
          <w:iCs/>
          <w:color w:val="auto"/>
          <w:sz w:val="24"/>
          <w:szCs w:val="24"/>
          <w:highlight w:val="none"/>
        </w:rPr>
      </w:pPr>
      <w:r>
        <w:rPr>
          <w:rFonts w:ascii="Times New Roman" w:hAnsi="Times New Roman"/>
          <w:color w:val="auto"/>
          <w:sz w:val="24"/>
          <w:szCs w:val="24"/>
          <w:highlight w:val="none"/>
        </w:rPr>
        <w:t>分包</w:t>
      </w:r>
      <w:r>
        <w:rPr>
          <w:rFonts w:hint="eastAsia" w:ascii="Times New Roman" w:hAnsi="Times New Roman"/>
          <w:color w:val="auto"/>
          <w:sz w:val="24"/>
          <w:szCs w:val="24"/>
          <w:highlight w:val="none"/>
          <w:lang w:eastAsia="zh-CN"/>
        </w:rPr>
        <w:t>乙方</w:t>
      </w:r>
      <w:r>
        <w:rPr>
          <w:rFonts w:ascii="Times New Roman" w:hAnsi="Times New Roman"/>
          <w:color w:val="auto"/>
          <w:sz w:val="24"/>
          <w:szCs w:val="24"/>
          <w:highlight w:val="none"/>
        </w:rPr>
        <w:t>类型</w:t>
      </w:r>
      <w:r>
        <w:rPr>
          <w:rFonts w:hint="eastAsia" w:ascii="Times New Roman" w:hAnsi="Times New Roman"/>
          <w:color w:val="auto"/>
          <w:sz w:val="24"/>
          <w:szCs w:val="24"/>
          <w:highlight w:val="none"/>
        </w:rPr>
        <w:t>：</w:t>
      </w:r>
      <w:r>
        <w:rPr>
          <w:rFonts w:ascii="Wingdings" w:hAnsi="Wingdings" w:eastAsia="Wingdings" w:cs="Wingdings"/>
          <w:iCs/>
          <w:color w:val="auto"/>
          <w:sz w:val="24"/>
          <w:szCs w:val="24"/>
          <w:highlight w:val="none"/>
        </w:rPr>
        <w:t>¨</w:t>
      </w:r>
      <w:r>
        <w:rPr>
          <w:rFonts w:ascii="Times New Roman" w:hAnsi="Times New Roman"/>
          <w:iCs/>
          <w:color w:val="auto"/>
          <w:sz w:val="24"/>
          <w:szCs w:val="24"/>
          <w:highlight w:val="none"/>
        </w:rPr>
        <w:t xml:space="preserve">大型企业  </w:t>
      </w:r>
      <w:r>
        <w:rPr>
          <w:rFonts w:ascii="Wingdings" w:hAnsi="Wingdings" w:eastAsia="Wingdings" w:cs="Wingdings"/>
          <w:iCs/>
          <w:color w:val="auto"/>
          <w:sz w:val="24"/>
          <w:szCs w:val="24"/>
          <w:highlight w:val="none"/>
        </w:rPr>
        <w:t>¨</w:t>
      </w:r>
      <w:r>
        <w:rPr>
          <w:rFonts w:ascii="Times New Roman" w:hAnsi="Times New Roman"/>
          <w:iCs/>
          <w:color w:val="auto"/>
          <w:sz w:val="24"/>
          <w:szCs w:val="24"/>
          <w:highlight w:val="none"/>
        </w:rPr>
        <w:t xml:space="preserve">中型企业  </w:t>
      </w:r>
      <w:r>
        <w:rPr>
          <w:rFonts w:ascii="Wingdings" w:hAnsi="Wingdings" w:eastAsia="Wingdings" w:cs="Wingdings"/>
          <w:iCs/>
          <w:color w:val="auto"/>
          <w:sz w:val="24"/>
          <w:szCs w:val="24"/>
          <w:highlight w:val="none"/>
        </w:rPr>
        <w:t>¨</w:t>
      </w:r>
      <w:r>
        <w:rPr>
          <w:rFonts w:ascii="Times New Roman" w:hAnsi="Times New Roman"/>
          <w:iCs/>
          <w:color w:val="auto"/>
          <w:sz w:val="24"/>
          <w:szCs w:val="24"/>
          <w:highlight w:val="none"/>
        </w:rPr>
        <w:t xml:space="preserve">小微型企业  </w:t>
      </w:r>
      <w:r>
        <w:rPr>
          <w:rFonts w:ascii="Wingdings" w:hAnsi="Wingdings" w:eastAsia="Wingdings" w:cs="Wingdings"/>
          <w:iCs/>
          <w:color w:val="auto"/>
          <w:sz w:val="24"/>
          <w:szCs w:val="24"/>
          <w:highlight w:val="none"/>
        </w:rPr>
        <w:t>¨</w:t>
      </w:r>
      <w:r>
        <w:rPr>
          <w:rFonts w:ascii="Times New Roman" w:hAnsi="Times New Roman"/>
          <w:iCs/>
          <w:color w:val="auto"/>
          <w:sz w:val="24"/>
          <w:szCs w:val="24"/>
          <w:highlight w:val="none"/>
        </w:rPr>
        <w:t xml:space="preserve">残疾人福利性单位 </w:t>
      </w:r>
      <w:r>
        <w:rPr>
          <w:rFonts w:ascii="Wingdings" w:hAnsi="Wingdings" w:eastAsia="Wingdings" w:cs="Wingdings"/>
          <w:iCs/>
          <w:color w:val="auto"/>
          <w:sz w:val="24"/>
          <w:szCs w:val="24"/>
          <w:highlight w:val="none"/>
        </w:rPr>
        <w:t>¨</w:t>
      </w:r>
      <w:r>
        <w:rPr>
          <w:rFonts w:ascii="Times New Roman" w:hAnsi="Times New Roman"/>
          <w:iCs/>
          <w:color w:val="auto"/>
          <w:sz w:val="24"/>
          <w:szCs w:val="24"/>
          <w:highlight w:val="none"/>
        </w:rPr>
        <w:t xml:space="preserve">监狱企业 </w:t>
      </w:r>
      <w:r>
        <w:rPr>
          <w:rFonts w:ascii="Wingdings" w:hAnsi="Wingdings" w:eastAsia="Wingdings" w:cs="Wingdings"/>
          <w:iCs/>
          <w:color w:val="auto"/>
          <w:sz w:val="24"/>
          <w:szCs w:val="24"/>
          <w:highlight w:val="none"/>
        </w:rPr>
        <w:t>¨</w:t>
      </w:r>
      <w:r>
        <w:rPr>
          <w:rFonts w:ascii="Times New Roman" w:hAnsi="Times New Roman"/>
          <w:iCs/>
          <w:color w:val="auto"/>
          <w:sz w:val="24"/>
          <w:szCs w:val="24"/>
          <w:highlight w:val="none"/>
        </w:rPr>
        <w:t>其他</w:t>
      </w:r>
    </w:p>
    <w:p w14:paraId="13E10224">
      <w:pPr>
        <w:keepNext w:val="0"/>
        <w:keepLines w:val="0"/>
        <w:pageBreakBefore w:val="0"/>
        <w:spacing w:line="360" w:lineRule="auto"/>
        <w:ind w:firstLine="480"/>
        <w:outlineLvl w:val="2"/>
        <w:rPr>
          <w:rFonts w:ascii="Times New Roman" w:hAnsi="Times New Roman"/>
          <w:color w:val="auto"/>
          <w:sz w:val="24"/>
          <w:szCs w:val="24"/>
          <w:highlight w:val="none"/>
        </w:rPr>
      </w:pPr>
      <w:r>
        <w:rPr>
          <w:rFonts w:ascii="Times New Roman" w:hAnsi="Times New Roman"/>
          <w:color w:val="auto"/>
          <w:sz w:val="24"/>
          <w:szCs w:val="24"/>
          <w:highlight w:val="none"/>
        </w:rPr>
        <w:t>7.是否涉及节能产品：</w:t>
      </w:r>
    </w:p>
    <w:p w14:paraId="18DA695C">
      <w:pPr>
        <w:keepNext w:val="0"/>
        <w:keepLines w:val="0"/>
        <w:pageBreakBefore w:val="0"/>
        <w:spacing w:line="360" w:lineRule="auto"/>
        <w:ind w:firstLine="480"/>
        <w:rPr>
          <w:rFonts w:hint="eastAsia" w:ascii="宋体" w:hAnsi="宋体"/>
          <w:color w:val="auto"/>
          <w:sz w:val="24"/>
          <w:szCs w:val="24"/>
          <w:highlight w:val="none"/>
        </w:rPr>
      </w:pPr>
      <w:r>
        <w:rPr>
          <w:rFonts w:ascii="Wingdings" w:hAnsi="Wingdings" w:eastAsia="Wingdings" w:cs="Wingdings"/>
          <w:color w:val="auto"/>
          <w:sz w:val="24"/>
          <w:szCs w:val="24"/>
          <w:highlight w:val="none"/>
        </w:rPr>
        <w:t>¨</w:t>
      </w:r>
      <w:r>
        <w:rPr>
          <w:rFonts w:hint="eastAsia" w:ascii="宋体" w:hAnsi="宋体"/>
          <w:color w:val="auto"/>
          <w:sz w:val="24"/>
          <w:szCs w:val="24"/>
          <w:highlight w:val="none"/>
        </w:rPr>
        <w:t>是，《节能产品政府采购品目清单》的底级品目名称：</w:t>
      </w:r>
      <w:r>
        <w:rPr>
          <w:rFonts w:hint="eastAsia" w:ascii="宋体" w:hAnsi="宋体"/>
          <w:color w:val="auto"/>
          <w:sz w:val="24"/>
          <w:szCs w:val="24"/>
          <w:highlight w:val="none"/>
          <w:u w:val="single"/>
        </w:rPr>
        <w:t xml:space="preserve">         </w:t>
      </w:r>
      <w:r>
        <w:rPr>
          <w:rFonts w:hint="eastAsia" w:ascii="宋体" w:hAnsi="宋体"/>
          <w:iCs/>
          <w:color w:val="auto"/>
          <w:sz w:val="24"/>
          <w:szCs w:val="24"/>
          <w:highlight w:val="none"/>
        </w:rPr>
        <w:t xml:space="preserve">     </w:t>
      </w:r>
    </w:p>
    <w:p w14:paraId="02A1F0C2">
      <w:pPr>
        <w:keepNext w:val="0"/>
        <w:keepLines w:val="0"/>
        <w:pageBreakBefore w:val="0"/>
        <w:spacing w:line="360" w:lineRule="auto"/>
        <w:ind w:firstLine="480"/>
        <w:rPr>
          <w:rFonts w:hint="eastAsia" w:ascii="宋体" w:hAnsi="宋体"/>
          <w:color w:val="auto"/>
          <w:sz w:val="24"/>
          <w:szCs w:val="24"/>
          <w:highlight w:val="none"/>
        </w:rPr>
      </w:pPr>
      <w:r>
        <w:rPr>
          <w:rFonts w:ascii="Wingdings" w:hAnsi="Wingdings" w:eastAsia="Wingdings" w:cs="Wingdings"/>
          <w:iCs/>
          <w:color w:val="auto"/>
          <w:sz w:val="24"/>
          <w:szCs w:val="24"/>
          <w:highlight w:val="none"/>
        </w:rPr>
        <w:t>¨</w:t>
      </w:r>
      <w:r>
        <w:rPr>
          <w:rFonts w:hint="eastAsia" w:ascii="宋体" w:hAnsi="宋体"/>
          <w:iCs/>
          <w:color w:val="auto"/>
          <w:sz w:val="24"/>
          <w:szCs w:val="24"/>
          <w:highlight w:val="none"/>
        </w:rPr>
        <w:t xml:space="preserve">强制采购       </w:t>
      </w:r>
      <w:r>
        <w:rPr>
          <w:rFonts w:ascii="Wingdings" w:hAnsi="Wingdings" w:eastAsia="Wingdings" w:cs="Wingdings"/>
          <w:iCs/>
          <w:color w:val="auto"/>
          <w:sz w:val="24"/>
          <w:szCs w:val="24"/>
          <w:highlight w:val="none"/>
        </w:rPr>
        <w:t>¨</w:t>
      </w:r>
      <w:r>
        <w:rPr>
          <w:rFonts w:hint="eastAsia" w:ascii="宋体" w:hAnsi="宋体"/>
          <w:iCs/>
          <w:color w:val="auto"/>
          <w:sz w:val="24"/>
          <w:szCs w:val="24"/>
          <w:highlight w:val="none"/>
        </w:rPr>
        <w:t xml:space="preserve">优先采购    </w:t>
      </w:r>
    </w:p>
    <w:p w14:paraId="21E02A0F">
      <w:pPr>
        <w:keepNext w:val="0"/>
        <w:keepLines w:val="0"/>
        <w:pageBreakBefore w:val="0"/>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是否涉及环境标志产品：</w:t>
      </w:r>
    </w:p>
    <w:p w14:paraId="39F11465">
      <w:pPr>
        <w:keepNext w:val="0"/>
        <w:keepLines w:val="0"/>
        <w:pageBreakBefore w:val="0"/>
        <w:spacing w:line="360" w:lineRule="auto"/>
        <w:ind w:firstLine="480"/>
        <w:rPr>
          <w:rFonts w:hint="eastAsia" w:ascii="宋体" w:hAnsi="宋体"/>
          <w:color w:val="auto"/>
          <w:sz w:val="24"/>
          <w:szCs w:val="24"/>
          <w:highlight w:val="none"/>
        </w:rPr>
      </w:pPr>
      <w:r>
        <w:rPr>
          <w:rFonts w:ascii="Wingdings" w:hAnsi="Wingdings" w:eastAsia="Wingdings" w:cs="Wingdings"/>
          <w:color w:val="auto"/>
          <w:sz w:val="24"/>
          <w:szCs w:val="24"/>
          <w:highlight w:val="none"/>
        </w:rPr>
        <w:t>¨</w:t>
      </w:r>
      <w:r>
        <w:rPr>
          <w:rFonts w:hint="eastAsia" w:ascii="宋体" w:hAnsi="宋体"/>
          <w:color w:val="auto"/>
          <w:sz w:val="24"/>
          <w:szCs w:val="24"/>
          <w:highlight w:val="none"/>
        </w:rPr>
        <w:t>是，《环境标志产品政府采购品目清单》的底级品目名称：</w:t>
      </w:r>
      <w:r>
        <w:rPr>
          <w:rFonts w:hint="eastAsia" w:ascii="宋体" w:hAnsi="宋体"/>
          <w:color w:val="auto"/>
          <w:sz w:val="24"/>
          <w:szCs w:val="24"/>
          <w:highlight w:val="none"/>
          <w:u w:val="single"/>
        </w:rPr>
        <w:t xml:space="preserve">         </w:t>
      </w:r>
      <w:r>
        <w:rPr>
          <w:rFonts w:hint="eastAsia" w:ascii="宋体" w:hAnsi="宋体"/>
          <w:iCs/>
          <w:color w:val="auto"/>
          <w:sz w:val="24"/>
          <w:szCs w:val="24"/>
          <w:highlight w:val="none"/>
        </w:rPr>
        <w:t xml:space="preserve"> </w:t>
      </w:r>
    </w:p>
    <w:p w14:paraId="3F0EDCA6">
      <w:pPr>
        <w:keepNext w:val="0"/>
        <w:keepLines w:val="0"/>
        <w:pageBreakBefore w:val="0"/>
        <w:spacing w:line="360" w:lineRule="auto"/>
        <w:ind w:firstLine="480"/>
        <w:rPr>
          <w:rFonts w:hint="eastAsia" w:ascii="宋体" w:hAnsi="宋体"/>
          <w:color w:val="auto"/>
          <w:sz w:val="24"/>
          <w:szCs w:val="24"/>
          <w:highlight w:val="none"/>
        </w:rPr>
      </w:pPr>
      <w:r>
        <w:rPr>
          <w:rFonts w:ascii="Wingdings" w:hAnsi="Wingdings" w:eastAsia="Wingdings" w:cs="Wingdings"/>
          <w:iCs/>
          <w:color w:val="auto"/>
          <w:sz w:val="24"/>
          <w:szCs w:val="24"/>
          <w:highlight w:val="none"/>
        </w:rPr>
        <w:t>¨</w:t>
      </w:r>
      <w:r>
        <w:rPr>
          <w:rFonts w:hint="eastAsia" w:ascii="宋体" w:hAnsi="宋体"/>
          <w:iCs/>
          <w:color w:val="auto"/>
          <w:sz w:val="24"/>
          <w:szCs w:val="24"/>
          <w:highlight w:val="none"/>
        </w:rPr>
        <w:t xml:space="preserve">强制采购       </w:t>
      </w:r>
      <w:r>
        <w:rPr>
          <w:rFonts w:ascii="Wingdings" w:hAnsi="Wingdings" w:eastAsia="Wingdings" w:cs="Wingdings"/>
          <w:iCs/>
          <w:color w:val="auto"/>
          <w:sz w:val="24"/>
          <w:szCs w:val="24"/>
          <w:highlight w:val="none"/>
        </w:rPr>
        <w:t>¨</w:t>
      </w:r>
      <w:r>
        <w:rPr>
          <w:rFonts w:hint="eastAsia" w:ascii="宋体" w:hAnsi="宋体"/>
          <w:iCs/>
          <w:color w:val="auto"/>
          <w:sz w:val="24"/>
          <w:szCs w:val="24"/>
          <w:highlight w:val="none"/>
        </w:rPr>
        <w:t xml:space="preserve">优先采购    </w:t>
      </w:r>
    </w:p>
    <w:p w14:paraId="67ED1BA2">
      <w:pPr>
        <w:keepNext w:val="0"/>
        <w:keepLines w:val="0"/>
        <w:pageBreakBefore w:val="0"/>
        <w:spacing w:line="360" w:lineRule="auto"/>
        <w:ind w:firstLine="480"/>
        <w:rPr>
          <w:rFonts w:hint="eastAsia" w:ascii="宋体" w:hAnsi="宋体"/>
          <w:color w:val="auto"/>
          <w:sz w:val="24"/>
          <w:szCs w:val="24"/>
          <w:highlight w:val="none"/>
        </w:rPr>
      </w:pPr>
      <w:r>
        <w:rPr>
          <w:rFonts w:ascii="Wingdings" w:hAnsi="Wingdings" w:eastAsia="Wingdings" w:cs="Wingdings"/>
          <w:color w:val="auto"/>
          <w:sz w:val="24"/>
          <w:szCs w:val="24"/>
          <w:highlight w:val="none"/>
        </w:rPr>
        <w:t>¨</w:t>
      </w:r>
      <w:r>
        <w:rPr>
          <w:rFonts w:hint="eastAsia" w:ascii="宋体" w:hAnsi="宋体"/>
          <w:color w:val="auto"/>
          <w:sz w:val="24"/>
          <w:szCs w:val="24"/>
          <w:highlight w:val="none"/>
        </w:rPr>
        <w:t>否</w:t>
      </w:r>
    </w:p>
    <w:p w14:paraId="62320DA1">
      <w:pPr>
        <w:keepNext w:val="0"/>
        <w:keepLines w:val="0"/>
        <w:pageBreakBefore w:val="0"/>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是否涉及绿色产品：</w:t>
      </w:r>
    </w:p>
    <w:p w14:paraId="7916B674">
      <w:pPr>
        <w:keepNext w:val="0"/>
        <w:keepLines w:val="0"/>
        <w:pageBreakBefore w:val="0"/>
        <w:spacing w:line="360" w:lineRule="auto"/>
        <w:ind w:firstLine="480"/>
        <w:rPr>
          <w:rFonts w:hint="eastAsia" w:ascii="宋体" w:hAnsi="宋体"/>
          <w:color w:val="auto"/>
          <w:sz w:val="24"/>
          <w:szCs w:val="24"/>
          <w:highlight w:val="none"/>
        </w:rPr>
      </w:pPr>
      <w:r>
        <w:rPr>
          <w:rFonts w:ascii="Wingdings" w:hAnsi="Wingdings" w:eastAsia="Wingdings" w:cs="Wingdings"/>
          <w:color w:val="auto"/>
          <w:sz w:val="24"/>
          <w:szCs w:val="24"/>
          <w:highlight w:val="none"/>
        </w:rPr>
        <w:t>¨</w:t>
      </w:r>
      <w:r>
        <w:rPr>
          <w:rFonts w:hint="eastAsia" w:ascii="宋体" w:hAnsi="宋体"/>
          <w:color w:val="auto"/>
          <w:sz w:val="24"/>
          <w:szCs w:val="24"/>
          <w:highlight w:val="none"/>
        </w:rPr>
        <w:t>是，绿色产品政府采购相关政策确定的底级品目名称：</w:t>
      </w:r>
      <w:r>
        <w:rPr>
          <w:rFonts w:hint="eastAsia" w:ascii="宋体" w:hAnsi="宋体"/>
          <w:color w:val="auto"/>
          <w:sz w:val="24"/>
          <w:szCs w:val="24"/>
          <w:highlight w:val="none"/>
          <w:u w:val="single"/>
        </w:rPr>
        <w:t xml:space="preserve">         </w:t>
      </w:r>
    </w:p>
    <w:p w14:paraId="25DEF58F">
      <w:pPr>
        <w:keepNext w:val="0"/>
        <w:keepLines w:val="0"/>
        <w:pageBreakBefore w:val="0"/>
        <w:spacing w:line="360" w:lineRule="auto"/>
        <w:ind w:firstLine="480"/>
        <w:rPr>
          <w:rFonts w:hint="eastAsia" w:ascii="宋体" w:hAnsi="宋体"/>
          <w:iCs/>
          <w:color w:val="auto"/>
          <w:sz w:val="24"/>
          <w:szCs w:val="24"/>
          <w:highlight w:val="none"/>
        </w:rPr>
      </w:pPr>
      <w:r>
        <w:rPr>
          <w:rFonts w:ascii="Wingdings" w:hAnsi="Wingdings" w:eastAsia="Wingdings" w:cs="Wingdings"/>
          <w:iCs/>
          <w:color w:val="auto"/>
          <w:sz w:val="24"/>
          <w:szCs w:val="24"/>
          <w:highlight w:val="none"/>
        </w:rPr>
        <w:t>¨</w:t>
      </w:r>
      <w:r>
        <w:rPr>
          <w:rFonts w:hint="eastAsia" w:ascii="宋体" w:hAnsi="宋体"/>
          <w:iCs/>
          <w:color w:val="auto"/>
          <w:sz w:val="24"/>
          <w:szCs w:val="24"/>
          <w:highlight w:val="none"/>
        </w:rPr>
        <w:t xml:space="preserve">强制采购       </w:t>
      </w:r>
      <w:r>
        <w:rPr>
          <w:rFonts w:ascii="Wingdings" w:hAnsi="Wingdings" w:eastAsia="Wingdings" w:cs="Wingdings"/>
          <w:iCs/>
          <w:color w:val="auto"/>
          <w:sz w:val="24"/>
          <w:szCs w:val="24"/>
          <w:highlight w:val="none"/>
        </w:rPr>
        <w:t>¨</w:t>
      </w:r>
      <w:r>
        <w:rPr>
          <w:rFonts w:hint="eastAsia" w:ascii="宋体" w:hAnsi="宋体"/>
          <w:iCs/>
          <w:color w:val="auto"/>
          <w:sz w:val="24"/>
          <w:szCs w:val="24"/>
          <w:highlight w:val="none"/>
        </w:rPr>
        <w:t xml:space="preserve">优先采购    </w:t>
      </w:r>
    </w:p>
    <w:p w14:paraId="675AFE22">
      <w:pPr>
        <w:keepNext w:val="0"/>
        <w:keepLines w:val="0"/>
        <w:pageBreakBefore w:val="0"/>
        <w:spacing w:line="360" w:lineRule="auto"/>
        <w:ind w:firstLine="480"/>
        <w:rPr>
          <w:rFonts w:hint="eastAsia" w:ascii="宋体" w:hAnsi="宋体"/>
          <w:color w:val="auto"/>
          <w:sz w:val="24"/>
          <w:szCs w:val="24"/>
          <w:highlight w:val="none"/>
        </w:rPr>
      </w:pPr>
      <w:r>
        <w:rPr>
          <w:rFonts w:ascii="Wingdings" w:hAnsi="Wingdings" w:eastAsia="Wingdings" w:cs="Wingdings"/>
          <w:color w:val="auto"/>
          <w:sz w:val="24"/>
          <w:szCs w:val="24"/>
          <w:highlight w:val="none"/>
        </w:rPr>
        <w:t>¨</w:t>
      </w:r>
      <w:r>
        <w:rPr>
          <w:rFonts w:hint="eastAsia" w:ascii="宋体" w:hAnsi="宋体"/>
          <w:color w:val="auto"/>
          <w:sz w:val="24"/>
          <w:szCs w:val="24"/>
          <w:highlight w:val="none"/>
        </w:rPr>
        <w:t>否</w:t>
      </w:r>
    </w:p>
    <w:p w14:paraId="7B9C37F7">
      <w:pPr>
        <w:keepNext w:val="0"/>
        <w:keepLines w:val="0"/>
        <w:pageBreakBefore w:val="0"/>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8.涉及商品包装和快递包装的，是否参考《商品包装政府采购需求标准（试行）》、《快递包装政府采购需求标准（试行）》明确产品及相关快递服务的具体包装要求：</w:t>
      </w:r>
    </w:p>
    <w:p w14:paraId="18A5159C">
      <w:pPr>
        <w:keepNext w:val="0"/>
        <w:keepLines w:val="0"/>
        <w:pageBreakBefore w:val="0"/>
        <w:spacing w:line="360" w:lineRule="auto"/>
        <w:ind w:firstLine="480"/>
        <w:rPr>
          <w:rFonts w:hint="eastAsia" w:ascii="宋体" w:hAnsi="宋体"/>
          <w:color w:val="auto"/>
          <w:sz w:val="24"/>
          <w:szCs w:val="24"/>
          <w:highlight w:val="none"/>
        </w:rPr>
      </w:pP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是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否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不涉及</w:t>
      </w:r>
    </w:p>
    <w:p w14:paraId="45EB2961">
      <w:pPr>
        <w:keepNext w:val="0"/>
        <w:keepLines w:val="0"/>
        <w:pageBreakBefore w:val="0"/>
        <w:spacing w:line="360" w:lineRule="auto"/>
        <w:ind w:firstLine="482"/>
        <w:outlineLvl w:val="1"/>
        <w:rPr>
          <w:rFonts w:hint="eastAsia" w:ascii="宋体" w:hAnsi="宋体" w:cs="Courier New"/>
          <w:b/>
          <w:color w:val="auto"/>
          <w:sz w:val="24"/>
          <w:szCs w:val="24"/>
          <w:highlight w:val="none"/>
        </w:rPr>
      </w:pPr>
      <w:r>
        <w:rPr>
          <w:rFonts w:ascii="宋体" w:hAnsi="宋体" w:cs="Courier New"/>
          <w:b/>
          <w:color w:val="auto"/>
          <w:sz w:val="24"/>
          <w:szCs w:val="24"/>
          <w:highlight w:val="none"/>
        </w:rPr>
        <w:t>二、合同金额</w:t>
      </w:r>
    </w:p>
    <w:p w14:paraId="46F7884F">
      <w:pPr>
        <w:keepNext w:val="0"/>
        <w:keepLines w:val="0"/>
        <w:pageBreakBefore w:val="0"/>
        <w:spacing w:line="360" w:lineRule="auto"/>
        <w:ind w:firstLine="480"/>
        <w:rPr>
          <w:rFonts w:hint="eastAsia" w:ascii="宋体" w:hAnsi="宋体"/>
          <w:color w:val="auto"/>
          <w:sz w:val="24"/>
          <w:szCs w:val="24"/>
          <w:highlight w:val="none"/>
          <w:u w:val="single"/>
        </w:rPr>
      </w:pPr>
      <w:r>
        <w:rPr>
          <w:rFonts w:hint="eastAsia" w:ascii="宋体" w:hAnsi="宋体"/>
          <w:color w:val="auto"/>
          <w:sz w:val="24"/>
          <w:szCs w:val="24"/>
          <w:highlight w:val="none"/>
        </w:rPr>
        <w:t>1.合同金额小写：</w:t>
      </w:r>
      <w:r>
        <w:rPr>
          <w:rFonts w:hint="eastAsia" w:ascii="宋体" w:hAnsi="宋体"/>
          <w:color w:val="auto"/>
          <w:sz w:val="24"/>
          <w:szCs w:val="24"/>
          <w:highlight w:val="none"/>
          <w:u w:val="single"/>
        </w:rPr>
        <w:t xml:space="preserve">                           </w:t>
      </w:r>
    </w:p>
    <w:p w14:paraId="7EFD4FDA">
      <w:pPr>
        <w:keepNext w:val="0"/>
        <w:keepLines w:val="0"/>
        <w:pageBreakBefore w:val="0"/>
        <w:spacing w:line="360" w:lineRule="auto"/>
        <w:ind w:firstLine="480"/>
        <w:rPr>
          <w:rFonts w:hint="eastAsia" w:ascii="宋体" w:hAnsi="宋体"/>
          <w:color w:val="auto"/>
          <w:sz w:val="24"/>
          <w:szCs w:val="24"/>
          <w:highlight w:val="none"/>
          <w:u w:val="single"/>
        </w:rPr>
      </w:pPr>
      <w:r>
        <w:rPr>
          <w:rFonts w:hint="eastAsia" w:ascii="宋体" w:hAnsi="宋体"/>
          <w:color w:val="auto"/>
          <w:sz w:val="24"/>
          <w:szCs w:val="24"/>
          <w:highlight w:val="none"/>
        </w:rPr>
        <w:t>大写：</w:t>
      </w:r>
      <w:r>
        <w:rPr>
          <w:rFonts w:hint="eastAsia" w:ascii="宋体" w:hAnsi="宋体"/>
          <w:color w:val="auto"/>
          <w:sz w:val="24"/>
          <w:szCs w:val="24"/>
          <w:highlight w:val="none"/>
          <w:u w:val="single"/>
        </w:rPr>
        <w:t xml:space="preserve">                           </w:t>
      </w:r>
    </w:p>
    <w:p w14:paraId="7D3D2881">
      <w:pPr>
        <w:keepNext w:val="0"/>
        <w:keepLines w:val="0"/>
        <w:pageBreakBefore w:val="0"/>
        <w:spacing w:line="360" w:lineRule="auto"/>
        <w:ind w:firstLine="482"/>
        <w:outlineLvl w:val="2"/>
        <w:rPr>
          <w:rFonts w:hint="eastAsia" w:ascii="宋体" w:hAnsi="宋体"/>
          <w:color w:val="auto"/>
          <w:sz w:val="24"/>
          <w:szCs w:val="24"/>
          <w:highlight w:val="none"/>
          <w:u w:val="single"/>
        </w:rPr>
      </w:pPr>
      <w:r>
        <w:rPr>
          <w:rFonts w:hint="eastAsia" w:ascii="宋体" w:hAnsi="宋体" w:cs="Courier New"/>
          <w:b/>
          <w:color w:val="auto"/>
          <w:sz w:val="24"/>
          <w:szCs w:val="24"/>
          <w:highlight w:val="none"/>
        </w:rPr>
        <w:t>2.付款方式</w:t>
      </w:r>
    </w:p>
    <w:p w14:paraId="074734DA">
      <w:pPr>
        <w:keepNext w:val="0"/>
        <w:keepLines w:val="0"/>
        <w:pageBreakBefore w:val="0"/>
        <w:widowControl w:val="0"/>
        <w:spacing w:line="360" w:lineRule="auto"/>
        <w:ind w:firstLine="480"/>
        <w:rPr>
          <w:rFonts w:ascii="Times New Roman" w:hAnsi="Times New Roman"/>
          <w:color w:val="auto"/>
          <w:sz w:val="24"/>
          <w:szCs w:val="24"/>
          <w:highlight w:val="none"/>
        </w:rPr>
      </w:pPr>
      <w:bookmarkStart w:id="139" w:name="_Hlk187852770"/>
      <w:r>
        <w:rPr>
          <w:rFonts w:hint="eastAsia" w:ascii="宋体" w:hAnsi="宋体" w:cs="Courier New"/>
          <w:color w:val="auto"/>
          <w:sz w:val="24"/>
          <w:szCs w:val="24"/>
          <w:highlight w:val="none"/>
        </w:rPr>
        <w:t>分期付款：（应明确分期支付合同款项的各期比例和支付条件，各期支付条件应与</w:t>
      </w:r>
      <w:r>
        <w:rPr>
          <w:rFonts w:ascii="Times New Roman" w:hAnsi="Times New Roman"/>
          <w:color w:val="auto"/>
          <w:sz w:val="24"/>
          <w:szCs w:val="24"/>
          <w:highlight w:val="none"/>
        </w:rPr>
        <w:t>分期履约验收情况挂钩）</w:t>
      </w:r>
      <w:bookmarkEnd w:id="139"/>
    </w:p>
    <w:p w14:paraId="2AD3AC5A">
      <w:pPr>
        <w:pStyle w:val="17"/>
        <w:keepNext w:val="0"/>
        <w:keepLines w:val="0"/>
        <w:pageBreakBefore w:val="0"/>
        <w:widowControl w:val="0"/>
        <w:spacing w:line="360" w:lineRule="auto"/>
        <w:ind w:left="0" w:firstLine="482"/>
        <w:rPr>
          <w:rFonts w:hint="eastAsia" w:ascii="宋体" w:hAnsi="宋体" w:eastAsia="宋体" w:cs="宋体"/>
          <w:caps w:val="0"/>
          <w:color w:val="auto"/>
          <w:sz w:val="24"/>
          <w:szCs w:val="24"/>
          <w:highlight w:val="none"/>
        </w:rPr>
      </w:pPr>
      <w:r>
        <w:rPr>
          <w:rStyle w:val="58"/>
          <w:rFonts w:hint="eastAsia" w:ascii="宋体" w:hAnsi="宋体" w:eastAsia="宋体" w:cs="宋体"/>
          <w:b/>
          <w:bCs/>
          <w:color w:val="000000"/>
          <w:sz w:val="24"/>
          <w:szCs w:val="24"/>
          <w:highlight w:val="none"/>
        </w:rPr>
        <w:t>预付款：</w:t>
      </w:r>
      <w:r>
        <w:rPr>
          <w:rFonts w:hint="eastAsia" w:ascii="宋体" w:hAnsi="宋体" w:eastAsia="宋体" w:cs="宋体"/>
          <w:caps w:val="0"/>
          <w:color w:val="auto"/>
          <w:sz w:val="24"/>
          <w:szCs w:val="24"/>
          <w:highlight w:val="none"/>
        </w:rPr>
        <w:t>合同金额的</w:t>
      </w:r>
      <w:r>
        <w:rPr>
          <w:rFonts w:hint="eastAsia" w:ascii="宋体" w:hAnsi="宋体" w:eastAsia="宋体" w:cs="宋体"/>
          <w:caps w:val="0"/>
          <w:color w:val="auto"/>
          <w:sz w:val="24"/>
          <w:szCs w:val="24"/>
          <w:highlight w:val="none"/>
          <w:lang w:val="en-US" w:eastAsia="zh-CN"/>
        </w:rPr>
        <w:t>10</w:t>
      </w:r>
      <w:r>
        <w:rPr>
          <w:rFonts w:hint="eastAsia" w:ascii="宋体" w:hAnsi="宋体" w:eastAsia="宋体" w:cs="宋体"/>
          <w:caps w:val="0"/>
          <w:color w:val="auto"/>
          <w:sz w:val="24"/>
          <w:szCs w:val="24"/>
          <w:highlight w:val="none"/>
        </w:rPr>
        <w:t>%，合同签订后按规定支付；</w:t>
      </w:r>
    </w:p>
    <w:p w14:paraId="4AA5AE14">
      <w:pPr>
        <w:pStyle w:val="17"/>
        <w:keepNext w:val="0"/>
        <w:keepLines w:val="0"/>
        <w:pageBreakBefore w:val="0"/>
        <w:widowControl w:val="0"/>
        <w:spacing w:line="360" w:lineRule="auto"/>
        <w:ind w:left="0" w:firstLine="480"/>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进度款：完成</w:t>
      </w:r>
      <w:r>
        <w:rPr>
          <w:rFonts w:hint="eastAsia" w:ascii="宋体" w:hAnsi="宋体" w:eastAsia="宋体" w:cs="宋体"/>
          <w:caps w:val="0"/>
          <w:color w:val="auto"/>
          <w:sz w:val="24"/>
          <w:szCs w:val="24"/>
          <w:highlight w:val="none"/>
          <w:lang w:val="en-US" w:eastAsia="zh-CN"/>
        </w:rPr>
        <w:t>上级</w:t>
      </w:r>
      <w:r>
        <w:rPr>
          <w:rFonts w:hint="eastAsia" w:ascii="宋体" w:hAnsi="宋体" w:eastAsia="宋体" w:cs="宋体"/>
          <w:caps w:val="0"/>
          <w:color w:val="auto"/>
          <w:sz w:val="24"/>
          <w:szCs w:val="24"/>
          <w:highlight w:val="none"/>
        </w:rPr>
        <w:t>部署工作内容，待全部成果经省级检查、国家检查合格后</w:t>
      </w:r>
      <w:r>
        <w:rPr>
          <w:rFonts w:hint="eastAsia" w:ascii="宋体" w:hAnsi="宋体" w:eastAsia="宋体" w:cs="宋体"/>
          <w:caps w:val="0"/>
          <w:color w:val="auto"/>
          <w:sz w:val="24"/>
          <w:szCs w:val="24"/>
          <w:highlight w:val="none"/>
          <w:lang w:val="en-US" w:eastAsia="zh-CN"/>
        </w:rPr>
        <w:t>甲</w:t>
      </w:r>
      <w:r>
        <w:rPr>
          <w:rFonts w:hint="eastAsia" w:ascii="宋体" w:hAnsi="宋体" w:eastAsia="宋体" w:cs="宋体"/>
          <w:caps w:val="0"/>
          <w:color w:val="auto"/>
          <w:sz w:val="24"/>
          <w:szCs w:val="24"/>
          <w:highlight w:val="none"/>
        </w:rPr>
        <w:t>方向乙方付清余款</w:t>
      </w:r>
      <w:r>
        <w:rPr>
          <w:rFonts w:hint="eastAsia" w:ascii="宋体" w:hAnsi="宋体" w:eastAsia="宋体" w:cs="宋体"/>
          <w:b w:val="0"/>
          <w:bCs w:val="0"/>
          <w:sz w:val="24"/>
          <w:szCs w:val="24"/>
          <w:highlight w:val="none"/>
          <w:lang w:val="en-US" w:eastAsia="zh-CN"/>
        </w:rPr>
        <w:t>。可采用数字人民币支付</w:t>
      </w:r>
      <w:r>
        <w:rPr>
          <w:rFonts w:hint="eastAsia" w:ascii="宋体" w:hAnsi="宋体" w:eastAsia="宋体" w:cs="宋体"/>
          <w:caps w:val="0"/>
          <w:color w:val="auto"/>
          <w:sz w:val="24"/>
          <w:szCs w:val="24"/>
          <w:highlight w:val="none"/>
        </w:rPr>
        <w:t>。</w:t>
      </w:r>
    </w:p>
    <w:p w14:paraId="39BA5258">
      <w:pPr>
        <w:pStyle w:val="17"/>
        <w:keepNext w:val="0"/>
        <w:keepLines w:val="0"/>
        <w:pageBreakBefore w:val="0"/>
        <w:widowControl w:val="0"/>
        <w:spacing w:line="360" w:lineRule="auto"/>
        <w:ind w:left="0" w:firstLine="480"/>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注:在签订合同时，中标人明确表示无需预付款或者主动要求降低</w:t>
      </w:r>
      <w:r>
        <w:rPr>
          <w:rFonts w:hint="eastAsia" w:hAnsi="宋体" w:cs="宋体"/>
          <w:caps w:val="0"/>
          <w:color w:val="auto"/>
          <w:sz w:val="24"/>
          <w:szCs w:val="24"/>
          <w:highlight w:val="none"/>
          <w:lang w:eastAsia="zh-CN"/>
        </w:rPr>
        <w:t>预付</w:t>
      </w:r>
      <w:r>
        <w:rPr>
          <w:rFonts w:hint="eastAsia" w:ascii="宋体" w:hAnsi="宋体" w:eastAsia="宋体" w:cs="宋体"/>
          <w:caps w:val="0"/>
          <w:color w:val="auto"/>
          <w:sz w:val="24"/>
          <w:szCs w:val="24"/>
          <w:highlight w:val="none"/>
        </w:rPr>
        <w:t>款比例的金额，采购人可不适用预付款规定。</w:t>
      </w:r>
    </w:p>
    <w:p w14:paraId="120FBCE5">
      <w:pPr>
        <w:pStyle w:val="17"/>
        <w:keepNext w:val="0"/>
        <w:keepLines w:val="0"/>
        <w:pageBreakBefore w:val="0"/>
        <w:widowControl w:val="0"/>
        <w:spacing w:line="360" w:lineRule="auto"/>
        <w:ind w:left="0" w:firstLine="480"/>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资金支付的时间:收到乙方发票10个工作日内:</w:t>
      </w:r>
    </w:p>
    <w:p w14:paraId="347F8BB5">
      <w:pPr>
        <w:pStyle w:val="17"/>
        <w:keepNext w:val="0"/>
        <w:keepLines w:val="0"/>
        <w:pageBreakBefore w:val="0"/>
        <w:widowControl w:val="0"/>
        <w:spacing w:line="360" w:lineRule="auto"/>
        <w:ind w:left="0" w:firstLine="480"/>
        <w:rPr>
          <w:rFonts w:hint="eastAsia" w:ascii="宋体" w:hAnsi="宋体" w:cs="Courier New"/>
          <w:b w:val="0"/>
          <w:bCs/>
          <w:color w:val="auto"/>
          <w:sz w:val="24"/>
          <w:szCs w:val="24"/>
          <w:highlight w:val="none"/>
        </w:rPr>
      </w:pPr>
      <w:r>
        <w:rPr>
          <w:rFonts w:hint="eastAsia" w:ascii="宋体" w:hAnsi="宋体" w:eastAsia="宋体" w:cs="宋体"/>
          <w:caps w:val="0"/>
          <w:color w:val="auto"/>
          <w:sz w:val="24"/>
          <w:szCs w:val="24"/>
          <w:highlight w:val="none"/>
        </w:rPr>
        <w:t>资金支付的条件:满足相应阶段的要求且收到乙方发票。</w:t>
      </w:r>
    </w:p>
    <w:p w14:paraId="1E23BFEF">
      <w:pPr>
        <w:keepNext w:val="0"/>
        <w:keepLines w:val="0"/>
        <w:pageBreakBefore w:val="0"/>
        <w:spacing w:line="360" w:lineRule="auto"/>
        <w:ind w:firstLine="482"/>
        <w:outlineLvl w:val="1"/>
        <w:rPr>
          <w:rFonts w:hint="eastAsia" w:ascii="宋体" w:hAnsi="宋体" w:cs="Courier New"/>
          <w:bCs/>
          <w:color w:val="auto"/>
          <w:sz w:val="24"/>
          <w:szCs w:val="24"/>
          <w:highlight w:val="none"/>
        </w:rPr>
      </w:pPr>
      <w:r>
        <w:rPr>
          <w:rFonts w:hint="eastAsia" w:ascii="宋体" w:hAnsi="宋体" w:cs="Courier New"/>
          <w:b/>
          <w:color w:val="auto"/>
          <w:sz w:val="24"/>
          <w:szCs w:val="24"/>
          <w:highlight w:val="none"/>
        </w:rPr>
        <w:t>三、合同履行</w:t>
      </w:r>
    </w:p>
    <w:p w14:paraId="648EB903">
      <w:pPr>
        <w:keepNext w:val="0"/>
        <w:keepLines w:val="0"/>
        <w:pageBreakBefore w:val="0"/>
        <w:spacing w:line="360" w:lineRule="auto"/>
        <w:ind w:firstLine="480"/>
        <w:outlineLvl w:val="2"/>
        <w:rPr>
          <w:rFonts w:hint="eastAsia" w:ascii="宋体" w:hAnsi="宋体" w:cs="Courier New"/>
          <w:color w:val="auto"/>
          <w:sz w:val="24"/>
          <w:szCs w:val="24"/>
          <w:highlight w:val="none"/>
        </w:rPr>
      </w:pPr>
      <w:r>
        <w:rPr>
          <w:rFonts w:hint="eastAsia" w:ascii="宋体" w:hAnsi="宋体" w:cs="Courier New"/>
          <w:color w:val="auto"/>
          <w:sz w:val="24"/>
          <w:szCs w:val="24"/>
          <w:highlight w:val="none"/>
        </w:rPr>
        <w:t>1.起始日期：自合同签订之日起</w:t>
      </w:r>
      <w:r>
        <w:rPr>
          <w:rFonts w:hint="eastAsia" w:ascii="宋体" w:hAnsi="宋体" w:cs="Courier New"/>
          <w:color w:val="auto"/>
          <w:sz w:val="24"/>
          <w:szCs w:val="24"/>
          <w:highlight w:val="none"/>
          <w:u w:val="single"/>
          <w:lang w:val="en-US" w:eastAsia="zh-CN"/>
        </w:rPr>
        <w:t>1</w:t>
      </w:r>
      <w:r>
        <w:rPr>
          <w:rFonts w:hint="eastAsia" w:ascii="宋体" w:hAnsi="宋体" w:cs="Courier New"/>
          <w:color w:val="auto"/>
          <w:sz w:val="24"/>
          <w:szCs w:val="24"/>
          <w:highlight w:val="none"/>
          <w:u w:val="single"/>
        </w:rPr>
        <w:t>年</w:t>
      </w:r>
      <w:r>
        <w:rPr>
          <w:rFonts w:hint="eastAsia" w:ascii="宋体" w:hAnsi="宋体" w:cs="Courier New"/>
          <w:color w:val="auto"/>
          <w:sz w:val="24"/>
          <w:szCs w:val="24"/>
          <w:highlight w:val="none"/>
        </w:rPr>
        <w:t>，并满足</w:t>
      </w:r>
      <w:r>
        <w:rPr>
          <w:rFonts w:hint="eastAsia" w:ascii="宋体" w:hAnsi="宋体" w:cs="Courier New"/>
          <w:color w:val="auto"/>
          <w:sz w:val="24"/>
          <w:szCs w:val="24"/>
          <w:highlight w:val="none"/>
          <w:lang w:eastAsia="zh-CN"/>
        </w:rPr>
        <w:t>甲方</w:t>
      </w:r>
      <w:r>
        <w:rPr>
          <w:rFonts w:hint="eastAsia" w:ascii="宋体" w:hAnsi="宋体" w:cs="Courier New"/>
          <w:color w:val="auto"/>
          <w:sz w:val="24"/>
          <w:szCs w:val="24"/>
          <w:highlight w:val="none"/>
        </w:rPr>
        <w:t>进度要求。</w:t>
      </w:r>
    </w:p>
    <w:p w14:paraId="5F7B0E4B">
      <w:pPr>
        <w:keepNext w:val="0"/>
        <w:keepLines w:val="0"/>
        <w:pageBreakBefore w:val="0"/>
        <w:spacing w:line="360" w:lineRule="auto"/>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2.履约地点：                             </w:t>
      </w:r>
    </w:p>
    <w:p w14:paraId="45CCBCD9">
      <w:pPr>
        <w:keepNext w:val="0"/>
        <w:keepLines w:val="0"/>
        <w:pageBreakBefore w:val="0"/>
        <w:spacing w:line="360" w:lineRule="auto"/>
        <w:ind w:firstLine="480"/>
        <w:outlineLvl w:val="2"/>
        <w:rPr>
          <w:rFonts w:hint="eastAsia" w:ascii="宋体" w:hAnsi="宋体" w:cs="Courier New"/>
          <w:color w:val="auto"/>
          <w:sz w:val="24"/>
          <w:szCs w:val="24"/>
          <w:highlight w:val="none"/>
        </w:rPr>
      </w:pPr>
      <w:r>
        <w:rPr>
          <w:rFonts w:hint="eastAsia" w:ascii="宋体" w:hAnsi="宋体" w:cs="Courier New"/>
          <w:color w:val="auto"/>
          <w:sz w:val="24"/>
          <w:szCs w:val="24"/>
          <w:highlight w:val="none"/>
        </w:rPr>
        <w:t>3.履约担保</w:t>
      </w:r>
    </w:p>
    <w:p w14:paraId="3F560B22">
      <w:pPr>
        <w:keepNext w:val="0"/>
        <w:keepLines w:val="0"/>
        <w:pageBreakBefore w:val="0"/>
        <w:spacing w:line="360" w:lineRule="auto"/>
        <w:ind w:firstLine="480"/>
        <w:rPr>
          <w:rFonts w:hint="eastAsia" w:ascii="宋体" w:hAnsi="宋体" w:cs="宋体"/>
          <w:color w:val="auto"/>
          <w:sz w:val="24"/>
          <w:szCs w:val="24"/>
          <w:highlight w:val="none"/>
        </w:rPr>
      </w:pPr>
      <w:r>
        <w:rPr>
          <w:rFonts w:hint="eastAsia" w:ascii="宋体" w:hAnsi="宋体" w:cs="Courier New"/>
          <w:color w:val="auto"/>
          <w:sz w:val="24"/>
          <w:szCs w:val="24"/>
          <w:highlight w:val="none"/>
        </w:rPr>
        <w:t>（1）</w:t>
      </w:r>
      <w:r>
        <w:rPr>
          <w:rFonts w:hint="eastAsia" w:ascii="宋体" w:hAnsi="宋体" w:cs="宋体"/>
          <w:color w:val="auto"/>
          <w:sz w:val="24"/>
          <w:szCs w:val="24"/>
          <w:highlight w:val="none"/>
        </w:rPr>
        <w:t>是否收取履约保证金：</w:t>
      </w:r>
      <w:r>
        <w:rPr>
          <w:rFonts w:ascii="Wingdings" w:hAnsi="Wingdings" w:eastAsia="Wingdings" w:cs="Wingdings"/>
          <w:color w:val="auto"/>
          <w:sz w:val="24"/>
          <w:szCs w:val="24"/>
          <w:highlight w:val="none"/>
        </w:rPr>
        <w:t>¨</w:t>
      </w:r>
      <w:r>
        <w:rPr>
          <w:rFonts w:hint="eastAsia" w:ascii="宋体" w:hAnsi="宋体" w:cs="宋体"/>
          <w:color w:val="auto"/>
          <w:sz w:val="24"/>
          <w:szCs w:val="24"/>
          <w:highlight w:val="none"/>
        </w:rPr>
        <w:t xml:space="preserve">是    </w:t>
      </w:r>
      <w:r>
        <w:rPr>
          <w:rFonts w:ascii="Wingdings" w:hAnsi="Wingdings" w:eastAsia="Wingdings" w:cs="Wingdings"/>
          <w:color w:val="auto"/>
          <w:sz w:val="24"/>
          <w:szCs w:val="24"/>
          <w:highlight w:val="none"/>
        </w:rPr>
        <w:t>¨</w:t>
      </w:r>
      <w:r>
        <w:rPr>
          <w:rFonts w:hint="eastAsia" w:ascii="宋体" w:hAnsi="宋体" w:cs="宋体"/>
          <w:color w:val="auto"/>
          <w:sz w:val="24"/>
          <w:szCs w:val="24"/>
          <w:highlight w:val="none"/>
        </w:rPr>
        <w:t>否</w:t>
      </w:r>
      <w:bookmarkStart w:id="140" w:name="OLE_LINK7"/>
      <w:r>
        <w:rPr>
          <w:rFonts w:hint="eastAsia" w:ascii="宋体" w:hAnsi="宋体" w:cs="宋体"/>
          <w:color w:val="auto"/>
          <w:sz w:val="24"/>
          <w:szCs w:val="24"/>
          <w:highlight w:val="none"/>
        </w:rPr>
        <w:t>(备注：选择否，删除以下相关条款，磋商文件定稿后该备注删除。）</w:t>
      </w:r>
      <w:bookmarkEnd w:id="140"/>
    </w:p>
    <w:p w14:paraId="2774AE19">
      <w:pPr>
        <w:keepNext w:val="0"/>
        <w:keepLines w:val="0"/>
        <w:pageBreakBefore w:val="0"/>
        <w:spacing w:line="360" w:lineRule="auto"/>
        <w:ind w:firstLine="480"/>
        <w:outlineLvl w:val="3"/>
        <w:rPr>
          <w:rFonts w:hint="eastAsia" w:ascii="宋体" w:hAnsi="宋体" w:cs="Courier New"/>
          <w:color w:val="auto"/>
          <w:sz w:val="24"/>
          <w:szCs w:val="24"/>
          <w:highlight w:val="none"/>
        </w:rPr>
      </w:pPr>
      <w:r>
        <w:rPr>
          <w:rFonts w:hint="eastAsia" w:ascii="宋体" w:hAnsi="宋体" w:cs="Courier New"/>
          <w:color w:val="auto"/>
          <w:sz w:val="24"/>
          <w:szCs w:val="24"/>
          <w:highlight w:val="none"/>
        </w:rPr>
        <w:t>（2）履约保证金提交要求</w:t>
      </w:r>
    </w:p>
    <w:p w14:paraId="10AA20BE">
      <w:pPr>
        <w:keepNext w:val="0"/>
        <w:keepLines w:val="0"/>
        <w:pageBreakBefore w:val="0"/>
        <w:spacing w:line="360" w:lineRule="auto"/>
        <w:ind w:firstLine="480"/>
        <w:outlineLvl w:val="2"/>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1.</w:t>
      </w:r>
      <w:r>
        <w:rPr>
          <w:rFonts w:hint="eastAsia" w:ascii="Times New Roman" w:hAnsi="Times New Roman"/>
          <w:color w:val="auto"/>
          <w:sz w:val="24"/>
          <w:szCs w:val="24"/>
          <w:highlight w:val="none"/>
        </w:rPr>
        <w:t>履约保证金提交形式</w:t>
      </w:r>
    </w:p>
    <w:p w14:paraId="4C65861B">
      <w:pPr>
        <w:keepNext w:val="0"/>
        <w:keepLines w:val="0"/>
        <w:pageBreakBefore w:val="0"/>
        <w:spacing w:line="360" w:lineRule="auto"/>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履约保证金应在采购合同签订前提交，除银行电汇、网上银行、数字人民币外，</w:t>
      </w:r>
      <w:r>
        <w:rPr>
          <w:rFonts w:hint="eastAsia" w:ascii="Times New Roman" w:hAnsi="Times New Roman"/>
          <w:color w:val="auto"/>
          <w:sz w:val="24"/>
          <w:szCs w:val="24"/>
          <w:highlight w:val="none"/>
          <w:lang w:eastAsia="zh-CN"/>
        </w:rPr>
        <w:t>乙方</w:t>
      </w:r>
      <w:r>
        <w:rPr>
          <w:rFonts w:hint="eastAsia" w:ascii="Times New Roman" w:hAnsi="Times New Roman"/>
          <w:color w:val="auto"/>
          <w:sz w:val="24"/>
          <w:szCs w:val="24"/>
          <w:highlight w:val="none"/>
        </w:rPr>
        <w:t>还可选用银行保函、担保公司的保证担保或保险公司的保证保险等多种形式向</w:t>
      </w:r>
      <w:r>
        <w:rPr>
          <w:rFonts w:hint="eastAsia" w:ascii="Times New Roman" w:hAnsi="Times New Roman"/>
          <w:color w:val="auto"/>
          <w:sz w:val="24"/>
          <w:szCs w:val="24"/>
          <w:highlight w:val="none"/>
          <w:lang w:eastAsia="zh-CN"/>
        </w:rPr>
        <w:t>甲方</w:t>
      </w:r>
      <w:r>
        <w:rPr>
          <w:rFonts w:hint="eastAsia" w:ascii="Times New Roman" w:hAnsi="Times New Roman"/>
          <w:color w:val="auto"/>
          <w:sz w:val="24"/>
          <w:szCs w:val="24"/>
          <w:highlight w:val="none"/>
        </w:rPr>
        <w:t>缴纳。</w:t>
      </w:r>
    </w:p>
    <w:p w14:paraId="259F564A">
      <w:pPr>
        <w:keepNext w:val="0"/>
        <w:keepLines w:val="0"/>
        <w:pageBreakBefore w:val="0"/>
        <w:spacing w:line="360" w:lineRule="auto"/>
        <w:ind w:firstLine="480"/>
        <w:outlineLvl w:val="2"/>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2.</w:t>
      </w:r>
      <w:r>
        <w:rPr>
          <w:rFonts w:hint="eastAsia" w:ascii="Times New Roman" w:hAnsi="Times New Roman"/>
          <w:color w:val="auto"/>
          <w:sz w:val="24"/>
          <w:szCs w:val="24"/>
          <w:highlight w:val="none"/>
        </w:rPr>
        <w:t>履约保证金提交金额</w:t>
      </w:r>
    </w:p>
    <w:p w14:paraId="1237CC50">
      <w:pPr>
        <w:keepNext w:val="0"/>
        <w:keepLines w:val="0"/>
        <w:pageBreakBefore w:val="0"/>
        <w:spacing w:line="360" w:lineRule="auto"/>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按采购合同总价的 2 %提交。</w:t>
      </w:r>
    </w:p>
    <w:p w14:paraId="66B0C946">
      <w:pPr>
        <w:keepNext w:val="0"/>
        <w:keepLines w:val="0"/>
        <w:pageBreakBefore w:val="0"/>
        <w:spacing w:line="360" w:lineRule="auto"/>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支持和鼓励投标人使用江苏政府采购电子履约保函（保险）代替缴纳履约保证金，投标人如使用江苏政府采购电子履约保函（保险）的，可按采购合同总价的 1.2 %（履约保证金原提交金额的6折）提交。办理流程、偿付等内容见江苏政府采购网“保险保函”模块。</w:t>
      </w:r>
    </w:p>
    <w:p w14:paraId="20F9DF13">
      <w:pPr>
        <w:keepNext w:val="0"/>
        <w:keepLines w:val="0"/>
        <w:pageBreakBefore w:val="0"/>
        <w:spacing w:line="360" w:lineRule="auto"/>
        <w:ind w:firstLine="480"/>
        <w:outlineLvl w:val="2"/>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3.</w:t>
      </w:r>
      <w:r>
        <w:rPr>
          <w:rFonts w:hint="eastAsia" w:ascii="Times New Roman" w:hAnsi="Times New Roman"/>
          <w:color w:val="auto"/>
          <w:sz w:val="24"/>
          <w:szCs w:val="24"/>
          <w:highlight w:val="none"/>
        </w:rPr>
        <w:t>履约保证金退还方式</w:t>
      </w:r>
    </w:p>
    <w:p w14:paraId="727B8F01">
      <w:pPr>
        <w:keepNext w:val="0"/>
        <w:keepLines w:val="0"/>
        <w:pageBreakBefore w:val="0"/>
        <w:spacing w:line="360" w:lineRule="auto"/>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以银行电汇、网上银行、数字人民币形式缴纳履约保证金的，退回至投标人存款账户或数字人民币账户；以保函、担保、保险等形式缴纳履约保证金的，在保函、担保、保险约定的保证期限届满之日起自行失效。</w:t>
      </w:r>
    </w:p>
    <w:p w14:paraId="59323C6A">
      <w:pPr>
        <w:keepNext w:val="0"/>
        <w:keepLines w:val="0"/>
        <w:pageBreakBefore w:val="0"/>
        <w:spacing w:line="360" w:lineRule="auto"/>
        <w:ind w:firstLine="480"/>
        <w:outlineLvl w:val="2"/>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4.</w:t>
      </w:r>
      <w:r>
        <w:rPr>
          <w:rFonts w:hint="eastAsia" w:ascii="Times New Roman" w:hAnsi="Times New Roman"/>
          <w:color w:val="auto"/>
          <w:sz w:val="24"/>
          <w:szCs w:val="24"/>
          <w:highlight w:val="none"/>
        </w:rPr>
        <w:t>履约保证金退还条件</w:t>
      </w:r>
    </w:p>
    <w:p w14:paraId="256FC5AC">
      <w:pPr>
        <w:keepNext w:val="0"/>
        <w:keepLines w:val="0"/>
        <w:pageBreakBefore w:val="0"/>
        <w:spacing w:line="360" w:lineRule="auto"/>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具有验收合格相关证明材料。</w:t>
      </w:r>
    </w:p>
    <w:p w14:paraId="4AFF64C1">
      <w:pPr>
        <w:keepNext w:val="0"/>
        <w:keepLines w:val="0"/>
        <w:pageBreakBefore w:val="0"/>
        <w:spacing w:line="360" w:lineRule="auto"/>
        <w:ind w:firstLine="480"/>
        <w:outlineLvl w:val="2"/>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5.</w:t>
      </w:r>
      <w:r>
        <w:rPr>
          <w:rFonts w:hint="eastAsia" w:ascii="Times New Roman" w:hAnsi="Times New Roman"/>
          <w:color w:val="auto"/>
          <w:sz w:val="24"/>
          <w:szCs w:val="24"/>
          <w:highlight w:val="none"/>
        </w:rPr>
        <w:t>履约保证金退还时间</w:t>
      </w:r>
    </w:p>
    <w:p w14:paraId="2916F721">
      <w:pPr>
        <w:keepNext w:val="0"/>
        <w:keepLines w:val="0"/>
        <w:pageBreakBefore w:val="0"/>
        <w:spacing w:line="360" w:lineRule="auto"/>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eastAsia="zh-CN"/>
        </w:rPr>
        <w:t>甲方</w:t>
      </w:r>
      <w:r>
        <w:rPr>
          <w:rFonts w:hint="eastAsia" w:ascii="Times New Roman" w:hAnsi="Times New Roman"/>
          <w:color w:val="auto"/>
          <w:sz w:val="24"/>
          <w:szCs w:val="24"/>
          <w:highlight w:val="none"/>
        </w:rPr>
        <w:t>收到投标人退付申请后5个工作日内退还。</w:t>
      </w:r>
    </w:p>
    <w:p w14:paraId="18660197">
      <w:pPr>
        <w:keepNext w:val="0"/>
        <w:keepLines w:val="0"/>
        <w:pageBreakBefore w:val="0"/>
        <w:spacing w:line="360" w:lineRule="auto"/>
        <w:ind w:firstLine="480"/>
        <w:outlineLvl w:val="2"/>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6.</w:t>
      </w:r>
      <w:r>
        <w:rPr>
          <w:rFonts w:hint="eastAsia" w:ascii="Times New Roman" w:hAnsi="Times New Roman"/>
          <w:color w:val="auto"/>
          <w:sz w:val="24"/>
          <w:szCs w:val="24"/>
          <w:highlight w:val="none"/>
        </w:rPr>
        <w:t>履约保证金不予退还情形</w:t>
      </w:r>
    </w:p>
    <w:p w14:paraId="663E34F9">
      <w:pPr>
        <w:keepNext w:val="0"/>
        <w:keepLines w:val="0"/>
        <w:pageBreakBefore w:val="0"/>
        <w:spacing w:line="360" w:lineRule="auto"/>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除不可抗力外，中标人不履行与</w:t>
      </w:r>
      <w:r>
        <w:rPr>
          <w:rFonts w:hint="eastAsia" w:ascii="Times New Roman" w:hAnsi="Times New Roman"/>
          <w:color w:val="auto"/>
          <w:sz w:val="24"/>
          <w:szCs w:val="24"/>
          <w:highlight w:val="none"/>
          <w:lang w:eastAsia="zh-CN"/>
        </w:rPr>
        <w:t>甲方</w:t>
      </w:r>
      <w:r>
        <w:rPr>
          <w:rFonts w:hint="eastAsia" w:ascii="Times New Roman" w:hAnsi="Times New Roman"/>
          <w:color w:val="auto"/>
          <w:sz w:val="24"/>
          <w:szCs w:val="24"/>
          <w:highlight w:val="none"/>
        </w:rPr>
        <w:t>订立的采购合同的，履约保证金不予退还，给</w:t>
      </w:r>
      <w:r>
        <w:rPr>
          <w:rFonts w:hint="eastAsia" w:ascii="Times New Roman" w:hAnsi="Times New Roman"/>
          <w:color w:val="auto"/>
          <w:sz w:val="24"/>
          <w:szCs w:val="24"/>
          <w:highlight w:val="none"/>
          <w:lang w:eastAsia="zh-CN"/>
        </w:rPr>
        <w:t>甲方</w:t>
      </w:r>
      <w:r>
        <w:rPr>
          <w:rFonts w:hint="eastAsia" w:ascii="Times New Roman" w:hAnsi="Times New Roman"/>
          <w:color w:val="auto"/>
          <w:sz w:val="24"/>
          <w:szCs w:val="24"/>
          <w:highlight w:val="none"/>
        </w:rPr>
        <w:t>造成的损失超过履约保证金数额的，还应对超过部分予以赔偿。</w:t>
      </w:r>
    </w:p>
    <w:p w14:paraId="04776514">
      <w:pPr>
        <w:keepNext w:val="0"/>
        <w:keepLines w:val="0"/>
        <w:pageBreakBefore w:val="0"/>
        <w:spacing w:line="360" w:lineRule="auto"/>
        <w:ind w:firstLine="480"/>
        <w:outlineLvl w:val="2"/>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7.</w:t>
      </w:r>
      <w:r>
        <w:rPr>
          <w:rFonts w:hint="eastAsia" w:ascii="Times New Roman" w:hAnsi="Times New Roman"/>
          <w:color w:val="auto"/>
          <w:sz w:val="24"/>
          <w:szCs w:val="24"/>
          <w:highlight w:val="none"/>
        </w:rPr>
        <w:t>逾期退还履约保证金违约责任</w:t>
      </w:r>
    </w:p>
    <w:p w14:paraId="1909D07E">
      <w:pPr>
        <w:keepNext w:val="0"/>
        <w:keepLines w:val="0"/>
        <w:pageBreakBefore w:val="0"/>
        <w:spacing w:line="360" w:lineRule="auto"/>
        <w:ind w:firstLine="480"/>
        <w:rPr>
          <w:rFonts w:ascii="Times New Roman" w:hAnsi="Times New Roman"/>
          <w:color w:val="auto"/>
          <w:sz w:val="24"/>
          <w:szCs w:val="24"/>
          <w:highlight w:val="none"/>
        </w:rPr>
      </w:pPr>
      <w:r>
        <w:rPr>
          <w:rFonts w:hint="eastAsia" w:ascii="Times New Roman" w:hAnsi="Times New Roman"/>
          <w:color w:val="auto"/>
          <w:sz w:val="24"/>
          <w:szCs w:val="24"/>
          <w:highlight w:val="none"/>
          <w:lang w:eastAsia="zh-CN"/>
        </w:rPr>
        <w:t>甲方</w:t>
      </w:r>
      <w:r>
        <w:rPr>
          <w:rFonts w:hint="eastAsia" w:ascii="Times New Roman" w:hAnsi="Times New Roman"/>
          <w:color w:val="auto"/>
          <w:sz w:val="24"/>
          <w:szCs w:val="24"/>
          <w:highlight w:val="none"/>
        </w:rPr>
        <w:t>逾期退还履约保证金的，除应退还履约保证金外，还应按中国人民银行同期贷款基准利率上浮20％后的利率支付超期资金占用费，但因投标人自身原因导致无法及时退还的除外。</w:t>
      </w:r>
    </w:p>
    <w:p w14:paraId="6BA76A22">
      <w:pPr>
        <w:keepNext w:val="0"/>
        <w:keepLines w:val="0"/>
        <w:pageBreakBefore w:val="0"/>
        <w:spacing w:line="360" w:lineRule="auto"/>
        <w:ind w:firstLine="482"/>
        <w:outlineLvl w:val="1"/>
        <w:rPr>
          <w:rStyle w:val="35"/>
          <w:rFonts w:hint="eastAsia" w:ascii="宋体" w:hAnsi="宋体" w:eastAsia="宋体" w:cs="宋体"/>
          <w:b/>
          <w:color w:val="auto"/>
          <w:sz w:val="24"/>
          <w:szCs w:val="24"/>
          <w:highlight w:val="none"/>
          <w:lang w:val="en-US" w:eastAsia="zh-CN"/>
        </w:rPr>
      </w:pPr>
      <w:r>
        <w:rPr>
          <w:rFonts w:hint="eastAsia" w:ascii="宋体" w:hAnsi="宋体" w:eastAsia="宋体" w:cs="Courier New"/>
          <w:b/>
          <w:color w:val="auto"/>
          <w:sz w:val="24"/>
          <w:szCs w:val="24"/>
          <w:highlight w:val="none"/>
          <w:lang w:val="en-US" w:eastAsia="zh-CN"/>
        </w:rPr>
        <w:t>四、服务内容</w:t>
      </w:r>
    </w:p>
    <w:p w14:paraId="5693D500">
      <w:pPr>
        <w:keepNext w:val="0"/>
        <w:keepLines w:val="0"/>
        <w:pageBreakBefore w:val="0"/>
        <w:spacing w:line="360" w:lineRule="auto"/>
        <w:ind w:left="0" w:firstLine="482"/>
        <w:outlineLvl w:val="2"/>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（一）2026年一体化调查监测</w:t>
      </w:r>
    </w:p>
    <w:p w14:paraId="4E950C8B">
      <w:pPr>
        <w:keepNext w:val="0"/>
        <w:keepLines w:val="0"/>
        <w:pageBreakBefore w:val="0"/>
        <w:spacing w:line="360" w:lineRule="auto"/>
        <w:ind w:left="0" w:firstLine="482"/>
        <w:outlineLvl w:val="3"/>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 自然资源监测</w:t>
      </w:r>
    </w:p>
    <w:p w14:paraId="2DEBE3EE">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自然资源监测是2026年一体化调查监测的重要组成部分，聚焦土地利用与植被覆盖类型年度变化信息监测，依托国家共享或自主获取的最新高分遥感影像提取变化信息，依据县级林草经营和工程建设数字档案材料获取变化信息，通过"一张图"平台共享参考使用部自然资源监测成果和局林草预警遥感判读成果。城市国土空间监测作为自然资源监测的专项内容同步开展。</w:t>
      </w:r>
    </w:p>
    <w:p w14:paraId="5586CF47">
      <w:pPr>
        <w:keepNext w:val="0"/>
        <w:keepLines w:val="0"/>
        <w:pageBreakBefore w:val="0"/>
        <w:spacing w:line="360" w:lineRule="auto"/>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（1）城市国土空间监测</w:t>
      </w:r>
    </w:p>
    <w:p w14:paraId="243174B2">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①</w:t>
      </w:r>
      <w:r>
        <w:rPr>
          <w:rFonts w:hint="eastAsia" w:ascii="宋体" w:hAnsi="宋体" w:eastAsia="宋体" w:cs="宋体"/>
          <w:b w:val="0"/>
          <w:bCs w:val="0"/>
          <w:color w:val="auto"/>
          <w:sz w:val="24"/>
          <w:szCs w:val="24"/>
          <w:highlight w:val="none"/>
          <w:lang w:val="en-US" w:eastAsia="zh-CN"/>
        </w:rPr>
        <w:t>遥感影像收集</w:t>
      </w:r>
    </w:p>
    <w:p w14:paraId="4BF7DFA3">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统一采用部省下发的卫星遥感影像数据，也可收集时相为2025年、1米分辨率或者更高分辨率的正射影像数据，选择其中时相较新、分辨率更优的用于城市国土空间监测。</w:t>
      </w:r>
    </w:p>
    <w:p w14:paraId="3B1A11D9">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②</w:t>
      </w:r>
      <w:r>
        <w:rPr>
          <w:rFonts w:hint="eastAsia" w:ascii="宋体" w:hAnsi="宋体" w:eastAsia="宋体" w:cs="宋体"/>
          <w:b w:val="0"/>
          <w:bCs w:val="0"/>
          <w:color w:val="auto"/>
          <w:sz w:val="24"/>
          <w:szCs w:val="24"/>
          <w:highlight w:val="none"/>
          <w:lang w:val="en-US" w:eastAsia="zh-CN"/>
        </w:rPr>
        <w:t>资料收集与整理</w:t>
      </w:r>
    </w:p>
    <w:p w14:paraId="126A0EA8">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利用地籍调查和不动产登记、城市大比例尺基础测绘、数字城市、智慧城市等工作成果，收集教育、公安、民政、生态环境、住建、交通、水利、文化旅游、卫生健康、应急、市场监管、体育、统计、能源管理、邮政等行业，现势性为202</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en-US" w:eastAsia="zh-CN"/>
        </w:rPr>
        <w:t>年1月1日之后的专题资料、POI数据，为确定各类监测对象空间位置、范围和属性做参考和指引。</w:t>
      </w:r>
    </w:p>
    <w:p w14:paraId="7031DC04">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③</w:t>
      </w:r>
      <w:r>
        <w:rPr>
          <w:rFonts w:hint="eastAsia" w:ascii="宋体" w:hAnsi="宋体" w:eastAsia="宋体" w:cs="宋体"/>
          <w:b w:val="0"/>
          <w:bCs w:val="0"/>
          <w:color w:val="auto"/>
          <w:sz w:val="24"/>
          <w:szCs w:val="24"/>
          <w:highlight w:val="none"/>
          <w:lang w:val="en-US" w:eastAsia="zh-CN"/>
        </w:rPr>
        <w:t>监测内容</w:t>
      </w:r>
    </w:p>
    <w:p w14:paraId="03A8B50A">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以2025年城市国土空间监测成果为底图，结合国家下发的2025年城市国土空间监测数据，以2026年遥感影像和专题资料为指引，利用多种技术手段，结合实地调查，通过细化采集、补充采集（更新）、变化提取等方式，确定相关监测要素的位置、占地范围和相关属性等。2026年保持数据总体稳定，除新建、拆除、废弃、用途变化等重大变化以及新增监测要素情况外，对于其它非重大变化，根据实际需求可不作更新。</w:t>
      </w:r>
    </w:p>
    <w:p w14:paraId="64C7E3F9">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监测工作以土地利用现状为依据，在变更调查成果地类基础上进一步细化地类，并确定监测要素的空间位置、占地范围、面积(长度)、相关属性等。主要包括以下监测要素：</w:t>
      </w:r>
    </w:p>
    <w:tbl>
      <w:tblPr>
        <w:tblStyle w:val="3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
        <w:gridCol w:w="2129"/>
        <w:gridCol w:w="5532"/>
      </w:tblGrid>
      <w:tr w14:paraId="3F838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Header/>
        </w:trPr>
        <w:tc>
          <w:tcPr>
            <w:tcW w:w="861" w:type="dxa"/>
            <w:shd w:val="clear" w:color="auto" w:fill="BEBEBE"/>
            <w:noWrap w:val="0"/>
            <w:vAlign w:val="center"/>
          </w:tcPr>
          <w:p w14:paraId="60FDCD90">
            <w:pPr>
              <w:keepNext w:val="0"/>
              <w:keepLines w:val="0"/>
              <w:pageBreakBefore w:val="0"/>
              <w:widowControl/>
              <w:suppressLineNumbers w:val="0"/>
              <w:spacing w:line="360" w:lineRule="auto"/>
              <w:ind w:left="0" w:right="0" w:firstLine="0"/>
              <w:jc w:val="center"/>
              <w:rPr>
                <w:b/>
                <w:bCs/>
                <w:i w:val="0"/>
                <w:iCs w:val="0"/>
                <w:color w:val="auto"/>
                <w:sz w:val="21"/>
                <w:szCs w:val="21"/>
                <w:u w:val="none"/>
              </w:rPr>
            </w:pPr>
            <w:r>
              <w:rPr>
                <w:rFonts w:hint="default"/>
                <w:b/>
                <w:bCs/>
                <w:i w:val="0"/>
                <w:iCs w:val="0"/>
                <w:color w:val="auto"/>
                <w:sz w:val="21"/>
                <w:szCs w:val="21"/>
                <w:u w:val="none"/>
                <w:lang w:val="en-US" w:eastAsia="zh-CN" w:bidi="ar"/>
              </w:rPr>
              <w:t>序号</w:t>
            </w:r>
          </w:p>
        </w:tc>
        <w:tc>
          <w:tcPr>
            <w:tcW w:w="0" w:type="auto"/>
            <w:shd w:val="clear" w:color="auto" w:fill="BEBEBE"/>
            <w:noWrap w:val="0"/>
            <w:vAlign w:val="center"/>
          </w:tcPr>
          <w:p w14:paraId="2592BF38">
            <w:pPr>
              <w:keepNext w:val="0"/>
              <w:keepLines w:val="0"/>
              <w:pageBreakBefore w:val="0"/>
              <w:widowControl/>
              <w:suppressLineNumbers w:val="0"/>
              <w:spacing w:line="360" w:lineRule="auto"/>
              <w:ind w:left="0" w:right="0" w:firstLine="0"/>
              <w:jc w:val="center"/>
              <w:rPr>
                <w:rFonts w:hint="default"/>
                <w:b/>
                <w:bCs/>
                <w:i w:val="0"/>
                <w:iCs w:val="0"/>
                <w:color w:val="auto"/>
                <w:sz w:val="21"/>
                <w:szCs w:val="21"/>
                <w:u w:val="none"/>
              </w:rPr>
            </w:pPr>
            <w:r>
              <w:rPr>
                <w:rFonts w:hint="default"/>
                <w:b/>
                <w:bCs/>
                <w:i w:val="0"/>
                <w:iCs w:val="0"/>
                <w:color w:val="auto"/>
                <w:sz w:val="21"/>
                <w:szCs w:val="21"/>
                <w:u w:val="none"/>
                <w:lang w:val="en-US" w:eastAsia="zh-CN" w:bidi="ar"/>
              </w:rPr>
              <w:t>目标</w:t>
            </w:r>
          </w:p>
        </w:tc>
        <w:tc>
          <w:tcPr>
            <w:tcW w:w="5532" w:type="dxa"/>
            <w:shd w:val="clear" w:color="auto" w:fill="BEBEBE"/>
            <w:noWrap w:val="0"/>
            <w:vAlign w:val="center"/>
          </w:tcPr>
          <w:p w14:paraId="4A264AC4">
            <w:pPr>
              <w:keepNext w:val="0"/>
              <w:keepLines w:val="0"/>
              <w:pageBreakBefore w:val="0"/>
              <w:widowControl/>
              <w:suppressLineNumbers w:val="0"/>
              <w:spacing w:line="360" w:lineRule="auto"/>
              <w:ind w:left="0" w:right="0" w:firstLine="0"/>
              <w:jc w:val="center"/>
              <w:rPr>
                <w:rFonts w:hint="default"/>
                <w:b/>
                <w:bCs/>
                <w:i w:val="0"/>
                <w:iCs w:val="0"/>
                <w:color w:val="auto"/>
                <w:sz w:val="21"/>
                <w:szCs w:val="21"/>
                <w:u w:val="none"/>
              </w:rPr>
            </w:pPr>
            <w:r>
              <w:rPr>
                <w:rFonts w:hint="default"/>
                <w:b/>
                <w:bCs/>
                <w:i w:val="0"/>
                <w:iCs w:val="0"/>
                <w:color w:val="auto"/>
                <w:sz w:val="21"/>
                <w:szCs w:val="21"/>
                <w:u w:val="none"/>
                <w:lang w:val="en-US" w:eastAsia="zh-CN" w:bidi="ar"/>
              </w:rPr>
              <w:t>监测要素</w:t>
            </w:r>
          </w:p>
        </w:tc>
      </w:tr>
      <w:tr w14:paraId="776C7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1" w:type="dxa"/>
            <w:shd w:val="clear" w:color="auto" w:fill="auto"/>
            <w:noWrap/>
            <w:vAlign w:val="center"/>
          </w:tcPr>
          <w:p w14:paraId="1D51FE8F">
            <w:pPr>
              <w:keepNext w:val="0"/>
              <w:keepLines w:val="0"/>
              <w:pageBreakBefore w:val="0"/>
              <w:widowControl/>
              <w:suppressLineNumbers w:val="0"/>
              <w:spacing w:line="360" w:lineRule="auto"/>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0" w:type="auto"/>
            <w:shd w:val="clear" w:color="auto" w:fill="auto"/>
            <w:noWrap/>
            <w:vAlign w:val="center"/>
          </w:tcPr>
          <w:p w14:paraId="5017A4F4">
            <w:pPr>
              <w:keepNext w:val="0"/>
              <w:keepLines w:val="0"/>
              <w:pageBreakBefore w:val="0"/>
              <w:widowControl/>
              <w:suppressLineNumbers w:val="0"/>
              <w:spacing w:line="360" w:lineRule="auto"/>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住宅情况</w:t>
            </w:r>
          </w:p>
        </w:tc>
        <w:tc>
          <w:tcPr>
            <w:tcW w:w="5532" w:type="dxa"/>
            <w:shd w:val="clear" w:color="auto" w:fill="FFFFFF"/>
            <w:noWrap w:val="0"/>
            <w:vAlign w:val="center"/>
          </w:tcPr>
          <w:p w14:paraId="08A5FD9F">
            <w:pPr>
              <w:keepNext w:val="0"/>
              <w:keepLines w:val="0"/>
              <w:pageBreakBefore w:val="0"/>
              <w:widowControl/>
              <w:suppressLineNumbers w:val="0"/>
              <w:spacing w:line="360" w:lineRule="auto"/>
              <w:ind w:left="0" w:right="0" w:firstLine="0"/>
              <w:jc w:val="left"/>
              <w:rPr>
                <w:i w:val="0"/>
                <w:iCs w:val="0"/>
                <w:color w:val="auto"/>
                <w:sz w:val="21"/>
                <w:szCs w:val="21"/>
                <w:u w:val="none"/>
              </w:rPr>
            </w:pPr>
            <w:r>
              <w:rPr>
                <w:rFonts w:hint="default"/>
                <w:i w:val="0"/>
                <w:iCs w:val="0"/>
                <w:color w:val="auto"/>
                <w:sz w:val="21"/>
                <w:szCs w:val="21"/>
                <w:u w:val="none"/>
                <w:lang w:val="en-US" w:eastAsia="zh-CN" w:bidi="ar"/>
              </w:rPr>
              <w:t>商品住房（地上）、保障性住房（地上）</w:t>
            </w:r>
          </w:p>
        </w:tc>
      </w:tr>
      <w:tr w14:paraId="166D9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861" w:type="dxa"/>
            <w:shd w:val="clear" w:color="auto" w:fill="auto"/>
            <w:noWrap/>
            <w:vAlign w:val="center"/>
          </w:tcPr>
          <w:p w14:paraId="02651CB8">
            <w:pPr>
              <w:keepNext w:val="0"/>
              <w:keepLines w:val="0"/>
              <w:pageBreakBefore w:val="0"/>
              <w:widowControl/>
              <w:suppressLineNumbers w:val="0"/>
              <w:spacing w:line="360" w:lineRule="auto"/>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0" w:type="auto"/>
            <w:shd w:val="clear" w:color="auto" w:fill="auto"/>
            <w:noWrap/>
            <w:vAlign w:val="center"/>
          </w:tcPr>
          <w:p w14:paraId="32478322">
            <w:pPr>
              <w:keepNext w:val="0"/>
              <w:keepLines w:val="0"/>
              <w:pageBreakBefore w:val="0"/>
              <w:widowControl/>
              <w:suppressLineNumbers w:val="0"/>
              <w:spacing w:line="360" w:lineRule="auto"/>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就学教育情况</w:t>
            </w:r>
          </w:p>
        </w:tc>
        <w:tc>
          <w:tcPr>
            <w:tcW w:w="5532" w:type="dxa"/>
            <w:shd w:val="clear" w:color="auto" w:fill="FFFFFF"/>
            <w:noWrap w:val="0"/>
            <w:vAlign w:val="center"/>
          </w:tcPr>
          <w:p w14:paraId="1293B2E1">
            <w:pPr>
              <w:keepNext w:val="0"/>
              <w:keepLines w:val="0"/>
              <w:pageBreakBefore w:val="0"/>
              <w:widowControl/>
              <w:suppressLineNumbers w:val="0"/>
              <w:spacing w:line="360" w:lineRule="auto"/>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高等院校（含军事院校）、中等职业学校、特殊教育学校、中小学、幼托机构、专门学校（工读学校）</w:t>
            </w:r>
          </w:p>
        </w:tc>
      </w:tr>
      <w:tr w14:paraId="2C4AD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1" w:type="dxa"/>
            <w:shd w:val="clear" w:color="auto" w:fill="auto"/>
            <w:noWrap/>
            <w:vAlign w:val="center"/>
          </w:tcPr>
          <w:p w14:paraId="0C301886">
            <w:pPr>
              <w:keepNext w:val="0"/>
              <w:keepLines w:val="0"/>
              <w:pageBreakBefore w:val="0"/>
              <w:widowControl/>
              <w:suppressLineNumbers w:val="0"/>
              <w:spacing w:line="360" w:lineRule="auto"/>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0" w:type="auto"/>
            <w:shd w:val="clear" w:color="auto" w:fill="auto"/>
            <w:noWrap/>
            <w:vAlign w:val="center"/>
          </w:tcPr>
          <w:p w14:paraId="744278DA">
            <w:pPr>
              <w:keepNext w:val="0"/>
              <w:keepLines w:val="0"/>
              <w:pageBreakBefore w:val="0"/>
              <w:widowControl/>
              <w:suppressLineNumbers w:val="0"/>
              <w:spacing w:line="360" w:lineRule="auto"/>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医疗情况</w:t>
            </w:r>
          </w:p>
        </w:tc>
        <w:tc>
          <w:tcPr>
            <w:tcW w:w="5532" w:type="dxa"/>
            <w:shd w:val="clear" w:color="auto" w:fill="FFFFFF"/>
            <w:noWrap w:val="0"/>
            <w:vAlign w:val="center"/>
          </w:tcPr>
          <w:p w14:paraId="377D31EE">
            <w:pPr>
              <w:keepNext w:val="0"/>
              <w:keepLines w:val="0"/>
              <w:pageBreakBefore w:val="0"/>
              <w:widowControl/>
              <w:suppressLineNumbers w:val="0"/>
              <w:spacing w:line="360" w:lineRule="auto"/>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医院、社区卫生服务设施</w:t>
            </w:r>
          </w:p>
        </w:tc>
      </w:tr>
      <w:tr w14:paraId="544B8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61" w:type="dxa"/>
            <w:shd w:val="clear" w:color="auto" w:fill="auto"/>
            <w:noWrap/>
            <w:vAlign w:val="center"/>
          </w:tcPr>
          <w:p w14:paraId="40CE74AF">
            <w:pPr>
              <w:keepNext w:val="0"/>
              <w:keepLines w:val="0"/>
              <w:pageBreakBefore w:val="0"/>
              <w:widowControl/>
              <w:suppressLineNumbers w:val="0"/>
              <w:spacing w:line="360" w:lineRule="auto"/>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0" w:type="auto"/>
            <w:shd w:val="clear" w:color="auto" w:fill="auto"/>
            <w:noWrap/>
            <w:vAlign w:val="center"/>
          </w:tcPr>
          <w:p w14:paraId="3C526C80">
            <w:pPr>
              <w:keepNext w:val="0"/>
              <w:keepLines w:val="0"/>
              <w:pageBreakBefore w:val="0"/>
              <w:widowControl/>
              <w:suppressLineNumbers w:val="0"/>
              <w:spacing w:line="360" w:lineRule="auto"/>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社会福利情况</w:t>
            </w:r>
          </w:p>
        </w:tc>
        <w:tc>
          <w:tcPr>
            <w:tcW w:w="5532" w:type="dxa"/>
            <w:shd w:val="clear" w:color="auto" w:fill="FFFFFF"/>
            <w:noWrap w:val="0"/>
            <w:vAlign w:val="center"/>
          </w:tcPr>
          <w:p w14:paraId="54FF0B69">
            <w:pPr>
              <w:keepNext w:val="0"/>
              <w:keepLines w:val="0"/>
              <w:pageBreakBefore w:val="0"/>
              <w:widowControl/>
              <w:suppressLineNumbers w:val="0"/>
              <w:spacing w:line="360" w:lineRule="auto"/>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养老设施、儿童社会福利设施、残疾人福利设施</w:t>
            </w:r>
          </w:p>
        </w:tc>
      </w:tr>
      <w:tr w14:paraId="02E8D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61" w:type="dxa"/>
            <w:shd w:val="clear" w:color="auto" w:fill="auto"/>
            <w:noWrap/>
            <w:vAlign w:val="center"/>
          </w:tcPr>
          <w:p w14:paraId="576A7C88">
            <w:pPr>
              <w:keepNext w:val="0"/>
              <w:keepLines w:val="0"/>
              <w:pageBreakBefore w:val="0"/>
              <w:widowControl/>
              <w:suppressLineNumbers w:val="0"/>
              <w:spacing w:line="360" w:lineRule="auto"/>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c>
          <w:tcPr>
            <w:tcW w:w="0" w:type="auto"/>
            <w:shd w:val="clear" w:color="auto" w:fill="auto"/>
            <w:noWrap/>
            <w:vAlign w:val="center"/>
          </w:tcPr>
          <w:p w14:paraId="7152E534">
            <w:pPr>
              <w:keepNext w:val="0"/>
              <w:keepLines w:val="0"/>
              <w:pageBreakBefore w:val="0"/>
              <w:widowControl/>
              <w:suppressLineNumbers w:val="0"/>
              <w:spacing w:line="360" w:lineRule="auto"/>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文体活动情况</w:t>
            </w:r>
          </w:p>
        </w:tc>
        <w:tc>
          <w:tcPr>
            <w:tcW w:w="5532" w:type="dxa"/>
            <w:shd w:val="clear" w:color="auto" w:fill="FFFFFF"/>
            <w:noWrap w:val="0"/>
            <w:vAlign w:val="center"/>
          </w:tcPr>
          <w:p w14:paraId="24B0D92F">
            <w:pPr>
              <w:keepNext w:val="0"/>
              <w:keepLines w:val="0"/>
              <w:pageBreakBefore w:val="0"/>
              <w:widowControl/>
              <w:suppressLineNumbers w:val="0"/>
              <w:spacing w:line="360" w:lineRule="auto"/>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文化艺术场馆、社区文化活动设施、体育场馆（含独立足球场）</w:t>
            </w:r>
          </w:p>
        </w:tc>
      </w:tr>
      <w:tr w14:paraId="1343A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861" w:type="dxa"/>
            <w:shd w:val="clear" w:color="auto" w:fill="auto"/>
            <w:noWrap/>
            <w:vAlign w:val="center"/>
          </w:tcPr>
          <w:p w14:paraId="1C2F08BB">
            <w:pPr>
              <w:keepNext w:val="0"/>
              <w:keepLines w:val="0"/>
              <w:pageBreakBefore w:val="0"/>
              <w:widowControl/>
              <w:suppressLineNumbers w:val="0"/>
              <w:spacing w:line="360" w:lineRule="auto"/>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6</w:t>
            </w:r>
          </w:p>
        </w:tc>
        <w:tc>
          <w:tcPr>
            <w:tcW w:w="0" w:type="auto"/>
            <w:shd w:val="clear" w:color="auto" w:fill="auto"/>
            <w:noWrap/>
            <w:vAlign w:val="center"/>
          </w:tcPr>
          <w:p w14:paraId="51C687A9">
            <w:pPr>
              <w:keepNext w:val="0"/>
              <w:keepLines w:val="0"/>
              <w:pageBreakBefore w:val="0"/>
              <w:widowControl/>
              <w:suppressLineNumbers w:val="0"/>
              <w:spacing w:line="360" w:lineRule="auto"/>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交通情况</w:t>
            </w:r>
          </w:p>
        </w:tc>
        <w:tc>
          <w:tcPr>
            <w:tcW w:w="5532" w:type="dxa"/>
            <w:shd w:val="clear" w:color="auto" w:fill="FFFFFF"/>
            <w:noWrap w:val="0"/>
            <w:vAlign w:val="center"/>
          </w:tcPr>
          <w:p w14:paraId="6DB32436">
            <w:pPr>
              <w:keepNext w:val="0"/>
              <w:keepLines w:val="0"/>
              <w:pageBreakBefore w:val="0"/>
              <w:widowControl/>
              <w:suppressLineNumbers w:val="0"/>
              <w:spacing w:line="360" w:lineRule="auto"/>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高速公路服务区、轨道交通站点（地铁站）、对外交通场站、公共交通场站、地上公共停车场（停车楼）、机场</w:t>
            </w:r>
          </w:p>
        </w:tc>
      </w:tr>
      <w:tr w14:paraId="61B70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61" w:type="dxa"/>
            <w:shd w:val="clear" w:color="auto" w:fill="auto"/>
            <w:noWrap/>
            <w:vAlign w:val="center"/>
          </w:tcPr>
          <w:p w14:paraId="19E9C7DE">
            <w:pPr>
              <w:keepNext w:val="0"/>
              <w:keepLines w:val="0"/>
              <w:pageBreakBefore w:val="0"/>
              <w:widowControl/>
              <w:suppressLineNumbers w:val="0"/>
              <w:spacing w:line="360" w:lineRule="auto"/>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c>
          <w:tcPr>
            <w:tcW w:w="0" w:type="auto"/>
            <w:shd w:val="clear" w:color="auto" w:fill="auto"/>
            <w:noWrap/>
            <w:vAlign w:val="center"/>
          </w:tcPr>
          <w:p w14:paraId="6A73C5D6">
            <w:pPr>
              <w:keepNext w:val="0"/>
              <w:keepLines w:val="0"/>
              <w:pageBreakBefore w:val="0"/>
              <w:widowControl/>
              <w:suppressLineNumbers w:val="0"/>
              <w:spacing w:line="360" w:lineRule="auto"/>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公用设施情况</w:t>
            </w:r>
          </w:p>
        </w:tc>
        <w:tc>
          <w:tcPr>
            <w:tcW w:w="5532" w:type="dxa"/>
            <w:shd w:val="clear" w:color="auto" w:fill="FFFFFF"/>
            <w:noWrap w:val="0"/>
            <w:vAlign w:val="center"/>
          </w:tcPr>
          <w:p w14:paraId="122A1442">
            <w:pPr>
              <w:keepNext w:val="0"/>
              <w:keepLines w:val="0"/>
              <w:pageBreakBefore w:val="0"/>
              <w:widowControl/>
              <w:suppressLineNumbers w:val="0"/>
              <w:spacing w:line="360" w:lineRule="auto"/>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自来水厂、污水处理厂、垃圾集中处理设施、消防站、邮政局（所）、供热厂</w:t>
            </w:r>
          </w:p>
        </w:tc>
      </w:tr>
      <w:tr w14:paraId="5BBAB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1" w:type="dxa"/>
            <w:shd w:val="clear" w:color="auto" w:fill="auto"/>
            <w:noWrap/>
            <w:vAlign w:val="center"/>
          </w:tcPr>
          <w:p w14:paraId="16AC55C4">
            <w:pPr>
              <w:keepNext w:val="0"/>
              <w:keepLines w:val="0"/>
              <w:pageBreakBefore w:val="0"/>
              <w:widowControl/>
              <w:suppressLineNumbers w:val="0"/>
              <w:spacing w:line="360" w:lineRule="auto"/>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w:t>
            </w:r>
          </w:p>
        </w:tc>
        <w:tc>
          <w:tcPr>
            <w:tcW w:w="0" w:type="auto"/>
            <w:shd w:val="clear" w:color="auto" w:fill="auto"/>
            <w:noWrap/>
            <w:vAlign w:val="center"/>
          </w:tcPr>
          <w:p w14:paraId="38660A60">
            <w:pPr>
              <w:keepNext w:val="0"/>
              <w:keepLines w:val="0"/>
              <w:pageBreakBefore w:val="0"/>
              <w:widowControl/>
              <w:suppressLineNumbers w:val="0"/>
              <w:spacing w:line="360" w:lineRule="auto"/>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公园与绿地情况</w:t>
            </w:r>
          </w:p>
        </w:tc>
        <w:tc>
          <w:tcPr>
            <w:tcW w:w="5532" w:type="dxa"/>
            <w:shd w:val="clear" w:color="auto" w:fill="FFFFFF"/>
            <w:noWrap w:val="0"/>
            <w:vAlign w:val="center"/>
          </w:tcPr>
          <w:p w14:paraId="32B38BF6">
            <w:pPr>
              <w:keepNext w:val="0"/>
              <w:keepLines w:val="0"/>
              <w:pageBreakBefore w:val="0"/>
              <w:widowControl/>
              <w:suppressLineNumbers w:val="0"/>
              <w:spacing w:line="360" w:lineRule="auto"/>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公园、绿地、广场</w:t>
            </w:r>
          </w:p>
        </w:tc>
      </w:tr>
      <w:tr w14:paraId="134E1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1" w:type="dxa"/>
            <w:shd w:val="clear" w:color="auto" w:fill="auto"/>
            <w:noWrap/>
            <w:vAlign w:val="center"/>
          </w:tcPr>
          <w:p w14:paraId="2E9455EF">
            <w:pPr>
              <w:keepNext w:val="0"/>
              <w:keepLines w:val="0"/>
              <w:pageBreakBefore w:val="0"/>
              <w:widowControl/>
              <w:suppressLineNumbers w:val="0"/>
              <w:spacing w:line="360" w:lineRule="auto"/>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9</w:t>
            </w:r>
          </w:p>
        </w:tc>
        <w:tc>
          <w:tcPr>
            <w:tcW w:w="0" w:type="auto"/>
            <w:shd w:val="clear" w:color="auto" w:fill="auto"/>
            <w:noWrap/>
            <w:vAlign w:val="center"/>
          </w:tcPr>
          <w:p w14:paraId="02CF19C8">
            <w:pPr>
              <w:keepNext w:val="0"/>
              <w:keepLines w:val="0"/>
              <w:pageBreakBefore w:val="0"/>
              <w:widowControl/>
              <w:suppressLineNumbers w:val="0"/>
              <w:spacing w:line="360" w:lineRule="auto"/>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殡葬设施情况</w:t>
            </w:r>
          </w:p>
        </w:tc>
        <w:tc>
          <w:tcPr>
            <w:tcW w:w="5532" w:type="dxa"/>
            <w:shd w:val="clear" w:color="auto" w:fill="FFFFFF"/>
            <w:noWrap w:val="0"/>
            <w:vAlign w:val="center"/>
          </w:tcPr>
          <w:p w14:paraId="34194343">
            <w:pPr>
              <w:keepNext w:val="0"/>
              <w:keepLines w:val="0"/>
              <w:pageBreakBefore w:val="0"/>
              <w:widowControl/>
              <w:suppressLineNumbers w:val="0"/>
              <w:spacing w:line="360" w:lineRule="auto"/>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殡葬设施</w:t>
            </w:r>
          </w:p>
        </w:tc>
      </w:tr>
      <w:tr w14:paraId="191E8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1" w:type="dxa"/>
            <w:shd w:val="clear" w:color="auto" w:fill="auto"/>
            <w:noWrap/>
            <w:vAlign w:val="center"/>
          </w:tcPr>
          <w:p w14:paraId="5FE8C776">
            <w:pPr>
              <w:keepNext w:val="0"/>
              <w:keepLines w:val="0"/>
              <w:pageBreakBefore w:val="0"/>
              <w:widowControl/>
              <w:suppressLineNumbers w:val="0"/>
              <w:spacing w:line="360" w:lineRule="auto"/>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10</w:t>
            </w:r>
          </w:p>
        </w:tc>
        <w:tc>
          <w:tcPr>
            <w:tcW w:w="0" w:type="auto"/>
            <w:shd w:val="clear" w:color="auto" w:fill="auto"/>
            <w:noWrap/>
            <w:vAlign w:val="center"/>
          </w:tcPr>
          <w:p w14:paraId="7A71FBD4">
            <w:pPr>
              <w:keepNext w:val="0"/>
              <w:keepLines w:val="0"/>
              <w:pageBreakBefore w:val="0"/>
              <w:widowControl/>
              <w:suppressLineNumbers w:val="0"/>
              <w:spacing w:line="360" w:lineRule="auto"/>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水利设施情况</w:t>
            </w:r>
          </w:p>
        </w:tc>
        <w:tc>
          <w:tcPr>
            <w:tcW w:w="5532" w:type="dxa"/>
            <w:shd w:val="clear" w:color="auto" w:fill="FFFFFF"/>
            <w:noWrap w:val="0"/>
            <w:vAlign w:val="center"/>
          </w:tcPr>
          <w:p w14:paraId="6EFF0B17">
            <w:pPr>
              <w:keepNext w:val="0"/>
              <w:keepLines w:val="0"/>
              <w:pageBreakBefore w:val="0"/>
              <w:widowControl/>
              <w:suppressLineNumbers w:val="0"/>
              <w:spacing w:line="360" w:lineRule="auto"/>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水电站</w:t>
            </w:r>
          </w:p>
        </w:tc>
      </w:tr>
      <w:tr w14:paraId="173E4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1" w:type="dxa"/>
            <w:shd w:val="clear" w:color="auto" w:fill="auto"/>
            <w:noWrap/>
            <w:vAlign w:val="center"/>
          </w:tcPr>
          <w:p w14:paraId="7D1ADE91">
            <w:pPr>
              <w:keepNext w:val="0"/>
              <w:keepLines w:val="0"/>
              <w:pageBreakBefore w:val="0"/>
              <w:widowControl/>
              <w:suppressLineNumbers w:val="0"/>
              <w:spacing w:line="360" w:lineRule="auto"/>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11</w:t>
            </w:r>
          </w:p>
        </w:tc>
        <w:tc>
          <w:tcPr>
            <w:tcW w:w="0" w:type="auto"/>
            <w:shd w:val="clear" w:color="auto" w:fill="auto"/>
            <w:noWrap/>
            <w:vAlign w:val="center"/>
          </w:tcPr>
          <w:p w14:paraId="7B768669">
            <w:pPr>
              <w:keepNext w:val="0"/>
              <w:keepLines w:val="0"/>
              <w:pageBreakBefore w:val="0"/>
              <w:widowControl/>
              <w:suppressLineNumbers w:val="0"/>
              <w:spacing w:line="360" w:lineRule="auto"/>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商业服务业设施情况</w:t>
            </w:r>
          </w:p>
        </w:tc>
        <w:tc>
          <w:tcPr>
            <w:tcW w:w="5532" w:type="dxa"/>
            <w:shd w:val="clear" w:color="auto" w:fill="FFFFFF"/>
            <w:noWrap w:val="0"/>
            <w:vAlign w:val="center"/>
          </w:tcPr>
          <w:p w14:paraId="39C8EB7A">
            <w:pPr>
              <w:keepNext w:val="0"/>
              <w:keepLines w:val="0"/>
              <w:pageBreakBefore w:val="0"/>
              <w:widowControl/>
              <w:suppressLineNumbers w:val="0"/>
              <w:spacing w:line="360" w:lineRule="auto"/>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零售商业场所、旅馆、商务办公场所</w:t>
            </w:r>
          </w:p>
        </w:tc>
      </w:tr>
      <w:tr w14:paraId="197AC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61" w:type="dxa"/>
            <w:shd w:val="clear" w:color="auto" w:fill="auto"/>
            <w:noWrap/>
            <w:vAlign w:val="center"/>
          </w:tcPr>
          <w:p w14:paraId="6EEA7AF7">
            <w:pPr>
              <w:keepNext w:val="0"/>
              <w:keepLines w:val="0"/>
              <w:pageBreakBefore w:val="0"/>
              <w:widowControl/>
              <w:suppressLineNumbers w:val="0"/>
              <w:spacing w:line="360" w:lineRule="auto"/>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12</w:t>
            </w:r>
          </w:p>
        </w:tc>
        <w:tc>
          <w:tcPr>
            <w:tcW w:w="0" w:type="auto"/>
            <w:shd w:val="clear" w:color="auto" w:fill="auto"/>
            <w:noWrap/>
            <w:vAlign w:val="center"/>
          </w:tcPr>
          <w:p w14:paraId="430DA522">
            <w:pPr>
              <w:keepNext w:val="0"/>
              <w:keepLines w:val="0"/>
              <w:pageBreakBefore w:val="0"/>
              <w:widowControl/>
              <w:suppressLineNumbers w:val="0"/>
              <w:spacing w:line="360" w:lineRule="auto"/>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产业空间情况</w:t>
            </w:r>
          </w:p>
        </w:tc>
        <w:tc>
          <w:tcPr>
            <w:tcW w:w="5532" w:type="dxa"/>
            <w:shd w:val="clear" w:color="auto" w:fill="FFFFFF"/>
            <w:noWrap w:val="0"/>
            <w:vAlign w:val="center"/>
          </w:tcPr>
          <w:p w14:paraId="282FFE0B">
            <w:pPr>
              <w:keepNext w:val="0"/>
              <w:keepLines w:val="0"/>
              <w:pageBreakBefore w:val="0"/>
              <w:widowControl/>
              <w:suppressLineNumbers w:val="0"/>
              <w:spacing w:line="360" w:lineRule="auto"/>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工业、仓储、研发设计等产业空间情况（探索性监测）</w:t>
            </w:r>
          </w:p>
        </w:tc>
      </w:tr>
      <w:tr w14:paraId="02A53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1" w:type="dxa"/>
            <w:shd w:val="clear" w:color="auto" w:fill="auto"/>
            <w:noWrap/>
            <w:vAlign w:val="center"/>
          </w:tcPr>
          <w:p w14:paraId="6D244886">
            <w:pPr>
              <w:keepNext w:val="0"/>
              <w:keepLines w:val="0"/>
              <w:pageBreakBefore w:val="0"/>
              <w:widowControl/>
              <w:suppressLineNumbers w:val="0"/>
              <w:spacing w:line="360" w:lineRule="auto"/>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13</w:t>
            </w:r>
          </w:p>
        </w:tc>
        <w:tc>
          <w:tcPr>
            <w:tcW w:w="0" w:type="auto"/>
            <w:shd w:val="clear" w:color="auto" w:fill="auto"/>
            <w:noWrap/>
            <w:vAlign w:val="center"/>
          </w:tcPr>
          <w:p w14:paraId="15EE498D">
            <w:pPr>
              <w:keepNext w:val="0"/>
              <w:keepLines w:val="0"/>
              <w:pageBreakBefore w:val="0"/>
              <w:widowControl/>
              <w:suppressLineNumbers w:val="0"/>
              <w:spacing w:line="360" w:lineRule="auto"/>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城市安全韧性情况</w:t>
            </w:r>
          </w:p>
        </w:tc>
        <w:tc>
          <w:tcPr>
            <w:tcW w:w="5532" w:type="dxa"/>
            <w:shd w:val="clear" w:color="auto" w:fill="FFFFFF"/>
            <w:noWrap w:val="0"/>
            <w:vAlign w:val="center"/>
          </w:tcPr>
          <w:p w14:paraId="2502F081">
            <w:pPr>
              <w:keepNext w:val="0"/>
              <w:keepLines w:val="0"/>
              <w:pageBreakBefore w:val="0"/>
              <w:widowControl/>
              <w:suppressLineNumbers w:val="0"/>
              <w:spacing w:line="360" w:lineRule="auto"/>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城市内涝积水点、应急避难场所（地上）</w:t>
            </w:r>
          </w:p>
        </w:tc>
      </w:tr>
      <w:tr w14:paraId="76017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1" w:type="dxa"/>
            <w:shd w:val="clear" w:color="auto" w:fill="auto"/>
            <w:noWrap/>
            <w:vAlign w:val="center"/>
          </w:tcPr>
          <w:p w14:paraId="4A3DABAC">
            <w:pPr>
              <w:keepNext w:val="0"/>
              <w:keepLines w:val="0"/>
              <w:pageBreakBefore w:val="0"/>
              <w:widowControl/>
              <w:suppressLineNumbers w:val="0"/>
              <w:spacing w:line="360" w:lineRule="auto"/>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14</w:t>
            </w:r>
          </w:p>
        </w:tc>
        <w:tc>
          <w:tcPr>
            <w:tcW w:w="0" w:type="auto"/>
            <w:shd w:val="clear" w:color="auto" w:fill="auto"/>
            <w:noWrap/>
            <w:vAlign w:val="center"/>
          </w:tcPr>
          <w:p w14:paraId="2380725E">
            <w:pPr>
              <w:keepNext w:val="0"/>
              <w:keepLines w:val="0"/>
              <w:pageBreakBefore w:val="0"/>
              <w:widowControl/>
              <w:suppressLineNumbers w:val="0"/>
              <w:spacing w:line="360" w:lineRule="auto"/>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建筑情况</w:t>
            </w:r>
          </w:p>
        </w:tc>
        <w:tc>
          <w:tcPr>
            <w:tcW w:w="5532" w:type="dxa"/>
            <w:shd w:val="clear" w:color="auto" w:fill="FFFFFF"/>
            <w:noWrap w:val="0"/>
            <w:vAlign w:val="center"/>
          </w:tcPr>
          <w:p w14:paraId="674EBBFA">
            <w:pPr>
              <w:keepNext w:val="0"/>
              <w:keepLines w:val="0"/>
              <w:pageBreakBefore w:val="0"/>
              <w:widowControl/>
              <w:suppressLineNumbers w:val="0"/>
              <w:spacing w:line="360" w:lineRule="auto"/>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单体建筑的高度、占地面积、建筑总面积</w:t>
            </w:r>
          </w:p>
        </w:tc>
      </w:tr>
      <w:tr w14:paraId="13E32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1" w:type="dxa"/>
            <w:shd w:val="clear" w:color="auto" w:fill="auto"/>
            <w:noWrap/>
            <w:vAlign w:val="center"/>
          </w:tcPr>
          <w:p w14:paraId="1DE29207">
            <w:pPr>
              <w:keepNext w:val="0"/>
              <w:keepLines w:val="0"/>
              <w:pageBreakBefore w:val="0"/>
              <w:widowControl/>
              <w:suppressLineNumbers w:val="0"/>
              <w:spacing w:line="360" w:lineRule="auto"/>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15</w:t>
            </w:r>
          </w:p>
        </w:tc>
        <w:tc>
          <w:tcPr>
            <w:tcW w:w="0" w:type="auto"/>
            <w:shd w:val="clear" w:color="auto" w:fill="auto"/>
            <w:noWrap/>
            <w:vAlign w:val="center"/>
          </w:tcPr>
          <w:p w14:paraId="53AD7A1B">
            <w:pPr>
              <w:keepNext w:val="0"/>
              <w:keepLines w:val="0"/>
              <w:pageBreakBefore w:val="0"/>
              <w:widowControl/>
              <w:suppressLineNumbers w:val="0"/>
              <w:spacing w:line="360" w:lineRule="auto"/>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城市更新情况</w:t>
            </w:r>
          </w:p>
        </w:tc>
        <w:tc>
          <w:tcPr>
            <w:tcW w:w="5532" w:type="dxa"/>
            <w:shd w:val="clear" w:color="auto" w:fill="FFFFFF"/>
            <w:noWrap w:val="0"/>
            <w:vAlign w:val="center"/>
          </w:tcPr>
          <w:p w14:paraId="6DC92EAC">
            <w:pPr>
              <w:keepNext w:val="0"/>
              <w:keepLines w:val="0"/>
              <w:pageBreakBefore w:val="0"/>
              <w:widowControl/>
              <w:suppressLineNumbers w:val="0"/>
              <w:spacing w:line="360" w:lineRule="auto"/>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新增城市更新改造用地</w:t>
            </w:r>
          </w:p>
        </w:tc>
      </w:tr>
      <w:tr w14:paraId="50283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861" w:type="dxa"/>
            <w:shd w:val="clear" w:color="auto" w:fill="auto"/>
            <w:noWrap/>
            <w:vAlign w:val="center"/>
          </w:tcPr>
          <w:p w14:paraId="05CD687D">
            <w:pPr>
              <w:keepNext w:val="0"/>
              <w:keepLines w:val="0"/>
              <w:pageBreakBefore w:val="0"/>
              <w:widowControl/>
              <w:suppressLineNumbers w:val="0"/>
              <w:spacing w:line="360" w:lineRule="auto"/>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16</w:t>
            </w:r>
          </w:p>
        </w:tc>
        <w:tc>
          <w:tcPr>
            <w:tcW w:w="0" w:type="auto"/>
            <w:shd w:val="clear" w:color="auto" w:fill="auto"/>
            <w:noWrap/>
            <w:vAlign w:val="center"/>
          </w:tcPr>
          <w:p w14:paraId="44214BE9">
            <w:pPr>
              <w:keepNext w:val="0"/>
              <w:keepLines w:val="0"/>
              <w:pageBreakBefore w:val="0"/>
              <w:widowControl/>
              <w:suppressLineNumbers w:val="0"/>
              <w:spacing w:line="360" w:lineRule="auto"/>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水域、交通网络情况</w:t>
            </w:r>
          </w:p>
        </w:tc>
        <w:tc>
          <w:tcPr>
            <w:tcW w:w="5532" w:type="dxa"/>
            <w:shd w:val="clear" w:color="auto" w:fill="FFFFFF"/>
            <w:noWrap w:val="0"/>
            <w:vAlign w:val="center"/>
          </w:tcPr>
          <w:p w14:paraId="112F98CA">
            <w:pPr>
              <w:keepNext w:val="0"/>
              <w:keepLines w:val="0"/>
              <w:pageBreakBefore w:val="0"/>
              <w:widowControl/>
              <w:suppressLineNumbers w:val="0"/>
              <w:spacing w:line="360" w:lineRule="auto"/>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河渠结构线，铁路（含高速铁路）、公路（含高速公路）、城市道路、乡村道路、匝道中心线，高速公路出入口</w:t>
            </w:r>
          </w:p>
        </w:tc>
      </w:tr>
      <w:tr w14:paraId="64F69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1" w:type="dxa"/>
            <w:shd w:val="clear" w:color="auto" w:fill="auto"/>
            <w:noWrap/>
            <w:vAlign w:val="center"/>
          </w:tcPr>
          <w:p w14:paraId="7DBD8AF7">
            <w:pPr>
              <w:keepNext w:val="0"/>
              <w:keepLines w:val="0"/>
              <w:pageBreakBefore w:val="0"/>
              <w:widowControl/>
              <w:suppressLineNumbers w:val="0"/>
              <w:spacing w:line="360" w:lineRule="auto"/>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17</w:t>
            </w:r>
          </w:p>
        </w:tc>
        <w:tc>
          <w:tcPr>
            <w:tcW w:w="2129" w:type="dxa"/>
            <w:shd w:val="clear" w:color="auto" w:fill="auto"/>
            <w:noWrap/>
            <w:vAlign w:val="center"/>
          </w:tcPr>
          <w:p w14:paraId="5F54AC9D">
            <w:pPr>
              <w:keepNext w:val="0"/>
              <w:keepLines w:val="0"/>
              <w:pageBreakBefore w:val="0"/>
              <w:widowControl/>
              <w:suppressLineNumbers w:val="0"/>
              <w:spacing w:line="360" w:lineRule="auto"/>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城市地下空间情况</w:t>
            </w:r>
          </w:p>
        </w:tc>
        <w:tc>
          <w:tcPr>
            <w:tcW w:w="5532" w:type="dxa"/>
            <w:shd w:val="clear" w:color="auto" w:fill="FFFFFF"/>
            <w:noWrap w:val="0"/>
            <w:vAlign w:val="center"/>
          </w:tcPr>
          <w:p w14:paraId="63EAA5F0">
            <w:pPr>
              <w:keepNext w:val="0"/>
              <w:keepLines w:val="0"/>
              <w:pageBreakBefore w:val="0"/>
              <w:widowControl/>
              <w:suppressLineNumbers w:val="0"/>
              <w:spacing w:line="360" w:lineRule="auto"/>
              <w:ind w:left="0" w:right="0" w:firstLine="0"/>
              <w:jc w:val="left"/>
              <w:rPr>
                <w:rFonts w:hint="default"/>
                <w:i w:val="0"/>
                <w:iCs w:val="0"/>
                <w:color w:val="auto"/>
                <w:sz w:val="21"/>
                <w:szCs w:val="21"/>
                <w:u w:val="none"/>
              </w:rPr>
            </w:pPr>
            <w:r>
              <w:rPr>
                <w:rFonts w:hint="default"/>
                <w:i w:val="0"/>
                <w:iCs w:val="0"/>
                <w:color w:val="auto"/>
                <w:sz w:val="21"/>
                <w:szCs w:val="21"/>
                <w:u w:val="none"/>
                <w:lang w:val="en-US" w:eastAsia="zh-CN" w:bidi="ar"/>
              </w:rPr>
              <w:t>地下建（构）筑物、地下交通（探索性监测）</w:t>
            </w:r>
          </w:p>
        </w:tc>
      </w:tr>
    </w:tbl>
    <w:p w14:paraId="05C9A62C">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监测要素总计：40类细化要素、13类补充要素；</w:t>
      </w:r>
    </w:p>
    <w:p w14:paraId="5AC63B20">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④</w:t>
      </w:r>
      <w:r>
        <w:rPr>
          <w:rFonts w:hint="eastAsia" w:ascii="宋体" w:hAnsi="宋体" w:eastAsia="宋体" w:cs="宋体"/>
          <w:b w:val="0"/>
          <w:bCs w:val="0"/>
          <w:color w:val="auto"/>
          <w:sz w:val="24"/>
          <w:szCs w:val="24"/>
          <w:highlight w:val="none"/>
          <w:lang w:val="en-US" w:eastAsia="zh-CN"/>
        </w:rPr>
        <w:t>监测方式</w:t>
      </w:r>
    </w:p>
    <w:p w14:paraId="1F8947B7">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a.</w:t>
      </w:r>
      <w:r>
        <w:rPr>
          <w:rFonts w:hint="eastAsia" w:ascii="宋体" w:hAnsi="宋体" w:eastAsia="宋体" w:cs="宋体"/>
          <w:b w:val="0"/>
          <w:bCs w:val="0"/>
          <w:color w:val="auto"/>
          <w:sz w:val="24"/>
          <w:szCs w:val="24"/>
          <w:highlight w:val="none"/>
          <w:lang w:val="en-US" w:eastAsia="zh-CN"/>
        </w:rPr>
        <w:t>细化采集（第1-12项）：在变更调查地类二级类下，依据监测要素进一步细分三级地类，以监测要素名称命名，同时确定其空间位置、占地范围、面积、相关属性等，并对变化情况和相关属性进行更新和完善。其中第12项产业空间为探索性监测内容，鼓励有条件有需求的小范围区域开展监测。</w:t>
      </w:r>
    </w:p>
    <w:p w14:paraId="4A81D4AD">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b.</w:t>
      </w:r>
      <w:r>
        <w:rPr>
          <w:rFonts w:hint="eastAsia" w:ascii="宋体" w:hAnsi="宋体" w:eastAsia="宋体" w:cs="宋体"/>
          <w:b w:val="0"/>
          <w:bCs w:val="0"/>
          <w:color w:val="auto"/>
          <w:sz w:val="24"/>
          <w:szCs w:val="24"/>
          <w:highlight w:val="none"/>
          <w:lang w:val="en-US" w:eastAsia="zh-CN"/>
        </w:rPr>
        <w:t>补充采集（第13-17项）：此类要素无法通过地类细化手段表征，作为独立要素直接采集其空间位置（范围）、面积（长度）、相关属性等，并对其变化情况和相关属性进行更新和完善。其中第17项城市地下空间为探索性监测内容。</w:t>
      </w:r>
    </w:p>
    <w:p w14:paraId="40252F61">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c.</w:t>
      </w:r>
      <w:r>
        <w:rPr>
          <w:rFonts w:hint="eastAsia" w:ascii="宋体" w:hAnsi="宋体" w:eastAsia="宋体" w:cs="宋体"/>
          <w:b w:val="0"/>
          <w:bCs w:val="0"/>
          <w:color w:val="auto"/>
          <w:sz w:val="24"/>
          <w:szCs w:val="24"/>
          <w:highlight w:val="none"/>
          <w:lang w:val="en-US" w:eastAsia="zh-CN"/>
        </w:rPr>
        <w:t>变化情况提取（第1-15、17项）：相对于2025年度城市国土空间监测数据库，监测要素改变为其他要素，或者监测要素的范围缩小且连片面积达到采集指标的，均应对其变化范围或位置进行标注，以单独图层表示。2026年新增监测要素类型（产业空间、地下空间），本年度无需提取变化情况。</w:t>
      </w:r>
    </w:p>
    <w:p w14:paraId="33365CA0">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d.</w:t>
      </w:r>
      <w:r>
        <w:rPr>
          <w:rFonts w:hint="eastAsia" w:ascii="宋体" w:hAnsi="宋体" w:eastAsia="宋体" w:cs="宋体"/>
          <w:b w:val="0"/>
          <w:bCs w:val="0"/>
          <w:color w:val="auto"/>
          <w:sz w:val="24"/>
          <w:szCs w:val="24"/>
          <w:highlight w:val="none"/>
          <w:lang w:val="en-US" w:eastAsia="zh-CN"/>
        </w:rPr>
        <w:t>第12项和第17项，根据实际情况和工作需要，选择小范围区域进行探索。</w:t>
      </w:r>
    </w:p>
    <w:p w14:paraId="58CC4BFA">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⑤</w:t>
      </w:r>
      <w:r>
        <w:rPr>
          <w:rFonts w:hint="eastAsia" w:ascii="宋体" w:hAnsi="宋体" w:eastAsia="宋体" w:cs="宋体"/>
          <w:b w:val="0"/>
          <w:bCs w:val="0"/>
          <w:color w:val="auto"/>
          <w:sz w:val="24"/>
          <w:szCs w:val="24"/>
          <w:highlight w:val="none"/>
          <w:lang w:val="en-US" w:eastAsia="zh-CN"/>
        </w:rPr>
        <w:t>监测范围</w:t>
      </w:r>
    </w:p>
    <w:p w14:paraId="10C6C1DA">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次监测范围为泗洪县行政区域范围。全域范围采集：高等院校（含军事院校）、中等职业学校、特殊教育学校、专门学校（工读学校），自来水厂、污水处理厂、供热厂，殡葬设施，轨道交通站点（地铁站）、高速公路服务区、机场，水电站，河渠结构线，铁路（含高速铁路）、公路（含高速公路）、城市道路、乡村道路中心线，高速公路出入口。</w:t>
      </w:r>
    </w:p>
    <w:p w14:paraId="20F5A3C0">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其余监测要素在城区监测范围内采集。城区监测范围指部反馈的“城区范围”和2025年度国土变更调查确定的城市（201，不含县级市和县）范围的并集。</w:t>
      </w:r>
    </w:p>
    <w:p w14:paraId="6EAC09F8">
      <w:pPr>
        <w:keepNext w:val="0"/>
        <w:keepLines w:val="0"/>
        <w:pageBreakBefore w:val="0"/>
        <w:spacing w:line="360" w:lineRule="auto"/>
        <w:ind w:left="0"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⑥采集精度要求</w:t>
      </w:r>
    </w:p>
    <w:p w14:paraId="4963FF7E">
      <w:pPr>
        <w:keepNext w:val="0"/>
        <w:keepLines w:val="0"/>
        <w:pageBreakBefore w:val="0"/>
        <w:spacing w:line="360" w:lineRule="auto"/>
        <w:ind w:left="0"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空间信息细化与补充时，依据精度符合要求的正射影像确定地物边界或定位点，分界明显时采集精度一般控制在5个像素以内，阴影、遮挡等特殊情况下控制在10个像素以内。有准确宗地边界的可直接参考使用。各监测要素最小上图面积为200m²，我县可采用年度国土变更中建设用地最小面积上图指标替代；如果有专题资料支持，最小图斑面积不受200m²限制。</w:t>
      </w:r>
    </w:p>
    <w:p w14:paraId="686FD654">
      <w:pPr>
        <w:keepNext w:val="0"/>
        <w:keepLines w:val="0"/>
        <w:pageBreakBefore w:val="0"/>
        <w:spacing w:line="360" w:lineRule="auto"/>
        <w:ind w:left="0"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⑦外业调查</w:t>
      </w:r>
    </w:p>
    <w:p w14:paraId="294C4AD1">
      <w:pPr>
        <w:keepNext w:val="0"/>
        <w:keepLines w:val="0"/>
        <w:pageBreakBefore w:val="0"/>
        <w:spacing w:line="360" w:lineRule="auto"/>
        <w:ind w:left="0"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对于有独立用地的细化采集要素，监测时实地与最新国土变更调查成果地类二级类不一致的（IFCON属性项标注“否”的要素），应按照国土变更调查要求进行举证。往年已举证且监测时实地没有新变化的不再重复举证。举证以监测要素为对象，以确定要素类型及其他相关属性为目的。对于内业难以准确判定监测内容的图斑，也无法通过影像特征、专题资料确定属性信息的监测要素，应开展外业调查。</w:t>
      </w:r>
    </w:p>
    <w:p w14:paraId="48CDFFB6">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⑧</w:t>
      </w:r>
      <w:r>
        <w:rPr>
          <w:rFonts w:hint="eastAsia" w:ascii="宋体" w:hAnsi="宋体" w:eastAsia="宋体" w:cs="宋体"/>
          <w:b w:val="0"/>
          <w:bCs w:val="0"/>
          <w:color w:val="auto"/>
          <w:sz w:val="24"/>
          <w:szCs w:val="24"/>
          <w:highlight w:val="none"/>
          <w:lang w:val="en-US" w:eastAsia="zh-CN"/>
        </w:rPr>
        <w:t>监测成果汇交</w:t>
      </w:r>
    </w:p>
    <w:p w14:paraId="1613D6C8">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根据国家和省级要求，完成数据成果汇交，建立泗洪县城市国土空间监测数据库。</w:t>
      </w:r>
    </w:p>
    <w:p w14:paraId="1152A63D">
      <w:pPr>
        <w:keepNext w:val="0"/>
        <w:keepLines w:val="0"/>
        <w:pageBreakBefore w:val="0"/>
        <w:spacing w:line="360" w:lineRule="auto"/>
        <w:ind w:left="0" w:firstLine="482"/>
        <w:outlineLvl w:val="5"/>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w:t>
      </w:r>
      <w:r>
        <w:rPr>
          <w:rFonts w:hint="default" w:ascii="宋体" w:hAnsi="宋体" w:eastAsia="宋体" w:cs="宋体"/>
          <w:b/>
          <w:bCs/>
          <w:color w:val="auto"/>
          <w:sz w:val="24"/>
          <w:szCs w:val="24"/>
          <w:highlight w:val="none"/>
          <w:lang w:val="en-US" w:eastAsia="zh-CN"/>
        </w:rPr>
        <w:t>2026年度国土变更调查</w:t>
      </w:r>
    </w:p>
    <w:p w14:paraId="43D4EC7F">
      <w:pPr>
        <w:keepNext w:val="0"/>
        <w:keepLines w:val="0"/>
        <w:pageBreakBefore w:val="0"/>
        <w:spacing w:line="360" w:lineRule="auto"/>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w:t>
      </w:r>
      <w:r>
        <w:rPr>
          <w:rFonts w:hint="default" w:ascii="宋体" w:hAnsi="宋体" w:eastAsia="宋体" w:cs="宋体"/>
          <w:b w:val="0"/>
          <w:bCs w:val="0"/>
          <w:color w:val="auto"/>
          <w:sz w:val="24"/>
          <w:szCs w:val="24"/>
          <w:highlight w:val="none"/>
          <w:lang w:val="en-US" w:eastAsia="zh-CN"/>
        </w:rPr>
        <w:t>调查范围与分工</w:t>
      </w:r>
    </w:p>
    <w:p w14:paraId="4E90D2BF">
      <w:pPr>
        <w:keepNext w:val="0"/>
        <w:keepLines w:val="0"/>
        <w:pageBreakBefore w:val="0"/>
        <w:spacing w:line="360" w:lineRule="auto"/>
        <w:ind w:left="0" w:firstLine="480"/>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按专项规划划定的林草空间，范围内由林草部门负责国土变更调查和林草湿荒资源属性调查；范围外由自然资源部门负责国土变更调查，涉及林草湿地类变化的推送林草部门开展资源属性调查。</w:t>
      </w:r>
    </w:p>
    <w:p w14:paraId="4F876EC1">
      <w:pPr>
        <w:keepNext w:val="0"/>
        <w:keepLines w:val="0"/>
        <w:pageBreakBefore w:val="0"/>
        <w:spacing w:line="360" w:lineRule="auto"/>
        <w:ind w:left="0" w:firstLine="480"/>
        <w:outlineLvl w:val="4"/>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w:t>
      </w:r>
      <w:r>
        <w:rPr>
          <w:rFonts w:hint="default" w:ascii="宋体" w:hAnsi="宋体" w:eastAsia="宋体" w:cs="宋体"/>
          <w:b w:val="0"/>
          <w:bCs w:val="0"/>
          <w:color w:val="auto"/>
          <w:sz w:val="24"/>
          <w:szCs w:val="24"/>
          <w:highlight w:val="none"/>
          <w:lang w:val="en-US" w:eastAsia="zh-CN"/>
        </w:rPr>
        <w:t>重点关注内容</w:t>
      </w:r>
    </w:p>
    <w:p w14:paraId="66D7C22B">
      <w:pPr>
        <w:keepNext w:val="0"/>
        <w:keepLines w:val="0"/>
        <w:pageBreakBefore w:val="0"/>
        <w:spacing w:line="360" w:lineRule="auto"/>
        <w:ind w:left="0" w:firstLine="480"/>
        <w:rPr>
          <w:rFonts w:hint="eastAsia" w:ascii="Segoe UI" w:hAnsi="Segoe UI" w:eastAsia="宋体" w:cs="Segoe UI"/>
          <w:i w:val="0"/>
          <w:iCs w:val="0"/>
          <w:caps w:val="0"/>
          <w:color w:val="auto"/>
          <w:spacing w:val="0"/>
          <w:sz w:val="24"/>
          <w:szCs w:val="24"/>
          <w:shd w:val="clear" w:color="auto" w:fill="FFFFFF"/>
          <w:lang w:eastAsia="zh-CN"/>
        </w:rPr>
      </w:pPr>
      <w:r>
        <w:rPr>
          <w:rFonts w:hint="default" w:ascii="宋体" w:hAnsi="宋体" w:eastAsia="宋体" w:cs="宋体"/>
          <w:b w:val="0"/>
          <w:bCs w:val="0"/>
          <w:color w:val="auto"/>
          <w:sz w:val="24"/>
          <w:szCs w:val="24"/>
          <w:highlight w:val="none"/>
          <w:lang w:val="en-US" w:eastAsia="zh-CN"/>
        </w:rPr>
        <w:t>部重点关注三类内容：</w:t>
      </w:r>
      <w:r>
        <w:rPr>
          <w:rFonts w:hint="eastAsia" w:ascii="宋体" w:hAnsi="宋体" w:cs="宋体"/>
          <w:b w:val="0"/>
          <w:bCs w:val="0"/>
          <w:color w:val="auto"/>
          <w:sz w:val="24"/>
          <w:szCs w:val="24"/>
          <w:highlight w:val="none"/>
          <w:lang w:val="en-US" w:eastAsia="zh-CN"/>
        </w:rPr>
        <w:t>（1）</w:t>
      </w:r>
      <w:r>
        <w:rPr>
          <w:rFonts w:hint="default" w:ascii="Segoe UI" w:hAnsi="Segoe UI" w:eastAsia="Segoe UI" w:cs="Segoe UI"/>
          <w:i w:val="0"/>
          <w:iCs w:val="0"/>
          <w:caps w:val="0"/>
          <w:color w:val="auto"/>
          <w:spacing w:val="0"/>
          <w:sz w:val="24"/>
          <w:szCs w:val="24"/>
          <w:shd w:val="clear" w:color="auto" w:fill="FFFFFF"/>
        </w:rPr>
        <w:t>农用地、建设用地、未利用地“三大类”间的变化情况及耕地变化情况</w:t>
      </w:r>
      <w:r>
        <w:rPr>
          <w:rFonts w:hint="eastAsia" w:ascii="Segoe UI" w:hAnsi="Segoe UI" w:eastAsia="宋体" w:cs="Segoe UI"/>
          <w:i w:val="0"/>
          <w:iCs w:val="0"/>
          <w:caps w:val="0"/>
          <w:color w:val="auto"/>
          <w:spacing w:val="0"/>
          <w:sz w:val="24"/>
          <w:szCs w:val="24"/>
          <w:shd w:val="clear" w:color="auto" w:fill="FFFFFF"/>
          <w:lang w:eastAsia="zh-CN"/>
        </w:rPr>
        <w:t>；（</w:t>
      </w:r>
      <w:r>
        <w:rPr>
          <w:rFonts w:hint="eastAsia" w:ascii="Segoe UI" w:hAnsi="Segoe UI" w:eastAsia="宋体" w:cs="Segoe UI"/>
          <w:i w:val="0"/>
          <w:iCs w:val="0"/>
          <w:caps w:val="0"/>
          <w:color w:val="auto"/>
          <w:spacing w:val="0"/>
          <w:sz w:val="24"/>
          <w:szCs w:val="24"/>
          <w:shd w:val="clear" w:color="auto" w:fill="FFFFFF"/>
          <w:lang w:val="en-US" w:eastAsia="zh-CN"/>
        </w:rPr>
        <w:t>2</w:t>
      </w:r>
      <w:r>
        <w:rPr>
          <w:rFonts w:hint="eastAsia" w:ascii="Segoe UI" w:hAnsi="Segoe UI" w:eastAsia="宋体" w:cs="Segoe UI"/>
          <w:i w:val="0"/>
          <w:iCs w:val="0"/>
          <w:caps w:val="0"/>
          <w:color w:val="auto"/>
          <w:spacing w:val="0"/>
          <w:sz w:val="24"/>
          <w:szCs w:val="24"/>
          <w:shd w:val="clear" w:color="auto" w:fill="FFFFFF"/>
          <w:lang w:eastAsia="zh-CN"/>
        </w:rPr>
        <w:t>）</w:t>
      </w:r>
      <w:r>
        <w:rPr>
          <w:rFonts w:hint="default" w:ascii="Segoe UI" w:hAnsi="Segoe UI" w:eastAsia="Segoe UI" w:cs="Segoe UI"/>
          <w:i w:val="0"/>
          <w:iCs w:val="0"/>
          <w:caps w:val="0"/>
          <w:color w:val="auto"/>
          <w:spacing w:val="0"/>
          <w:sz w:val="24"/>
          <w:szCs w:val="24"/>
          <w:shd w:val="clear" w:color="auto" w:fill="FFFFFF"/>
        </w:rPr>
        <w:t>住宅用地、商业服务业用地、工矿用地、公共管理与公共服务用地、交通运输用地等二级地类变化情况</w:t>
      </w:r>
      <w:r>
        <w:rPr>
          <w:rFonts w:hint="eastAsia" w:ascii="Segoe UI" w:hAnsi="Segoe UI" w:eastAsia="宋体" w:cs="Segoe UI"/>
          <w:i w:val="0"/>
          <w:iCs w:val="0"/>
          <w:caps w:val="0"/>
          <w:color w:val="auto"/>
          <w:spacing w:val="0"/>
          <w:sz w:val="24"/>
          <w:szCs w:val="24"/>
          <w:shd w:val="clear" w:color="auto" w:fill="FFFFFF"/>
          <w:lang w:eastAsia="zh-CN"/>
        </w:rPr>
        <w:t>；（</w:t>
      </w:r>
      <w:r>
        <w:rPr>
          <w:rFonts w:hint="eastAsia" w:ascii="Segoe UI" w:hAnsi="Segoe UI" w:eastAsia="宋体" w:cs="Segoe UI"/>
          <w:i w:val="0"/>
          <w:iCs w:val="0"/>
          <w:caps w:val="0"/>
          <w:color w:val="auto"/>
          <w:spacing w:val="0"/>
          <w:sz w:val="24"/>
          <w:szCs w:val="24"/>
          <w:shd w:val="clear" w:color="auto" w:fill="FFFFFF"/>
          <w:lang w:val="en-US" w:eastAsia="zh-CN"/>
        </w:rPr>
        <w:t>3</w:t>
      </w:r>
      <w:r>
        <w:rPr>
          <w:rFonts w:hint="eastAsia" w:ascii="Segoe UI" w:hAnsi="Segoe UI" w:eastAsia="宋体" w:cs="Segoe UI"/>
          <w:i w:val="0"/>
          <w:iCs w:val="0"/>
          <w:caps w:val="0"/>
          <w:color w:val="auto"/>
          <w:spacing w:val="0"/>
          <w:sz w:val="24"/>
          <w:szCs w:val="24"/>
          <w:shd w:val="clear" w:color="auto" w:fill="FFFFFF"/>
          <w:lang w:eastAsia="zh-CN"/>
        </w:rPr>
        <w:t>）</w:t>
      </w:r>
      <w:r>
        <w:rPr>
          <w:rFonts w:hint="default" w:ascii="Segoe UI" w:hAnsi="Segoe UI" w:eastAsia="Segoe UI" w:cs="Segoe UI"/>
          <w:i w:val="0"/>
          <w:iCs w:val="0"/>
          <w:caps w:val="0"/>
          <w:color w:val="auto"/>
          <w:spacing w:val="0"/>
          <w:sz w:val="24"/>
          <w:szCs w:val="24"/>
          <w:shd w:val="clear" w:color="auto" w:fill="FFFFFF"/>
        </w:rPr>
        <w:t>林草湿荒资源变化情况</w:t>
      </w:r>
      <w:r>
        <w:rPr>
          <w:rFonts w:hint="eastAsia" w:ascii="Segoe UI" w:hAnsi="Segoe UI" w:eastAsia="宋体" w:cs="Segoe UI"/>
          <w:i w:val="0"/>
          <w:iCs w:val="0"/>
          <w:caps w:val="0"/>
          <w:color w:val="auto"/>
          <w:spacing w:val="0"/>
          <w:sz w:val="24"/>
          <w:szCs w:val="24"/>
          <w:shd w:val="clear" w:color="auto" w:fill="FFFFFF"/>
          <w:lang w:eastAsia="zh-CN"/>
        </w:rPr>
        <w:t>。</w:t>
      </w:r>
    </w:p>
    <w:p w14:paraId="586197AB">
      <w:pPr>
        <w:keepNext w:val="0"/>
        <w:keepLines w:val="0"/>
        <w:pageBreakBefore w:val="0"/>
        <w:spacing w:line="360" w:lineRule="auto"/>
        <w:ind w:left="0" w:firstLine="480"/>
        <w:outlineLvl w:val="4"/>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w:t>
      </w:r>
      <w:r>
        <w:rPr>
          <w:rFonts w:hint="default" w:ascii="宋体" w:hAnsi="宋体" w:eastAsia="宋体" w:cs="宋体"/>
          <w:b w:val="0"/>
          <w:bCs w:val="0"/>
          <w:color w:val="auto"/>
          <w:sz w:val="24"/>
          <w:szCs w:val="24"/>
          <w:highlight w:val="none"/>
          <w:lang w:val="en-US" w:eastAsia="zh-CN"/>
        </w:rPr>
        <w:t>最小上图面积</w:t>
      </w:r>
    </w:p>
    <w:p w14:paraId="0210BF78">
      <w:pPr>
        <w:pStyle w:val="30"/>
        <w:keepNext w:val="0"/>
        <w:keepLines w:val="0"/>
        <w:pageBreakBefore w:val="0"/>
        <w:widowControl/>
        <w:suppressLineNumbers w:val="0"/>
        <w:shd w:val="clear" w:color="auto" w:fill="FFFFFF"/>
        <w:spacing w:beforeAutospacing="0" w:afterAutospacing="0" w:line="360" w:lineRule="auto"/>
        <w:ind w:left="0" w:right="0" w:firstLine="480"/>
        <w:rPr>
          <w:rFonts w:hint="default" w:ascii="Segoe UI" w:hAnsi="Segoe UI" w:eastAsia="Segoe UI" w:cs="Segoe UI"/>
          <w:i w:val="0"/>
          <w:iCs w:val="0"/>
          <w:caps w:val="0"/>
          <w:color w:val="auto"/>
          <w:spacing w:val="0"/>
          <w:sz w:val="24"/>
          <w:szCs w:val="24"/>
          <w:shd w:val="clear" w:color="auto" w:fill="FFFFFF"/>
          <w:lang w:val="en-US" w:eastAsia="zh-CN" w:bidi="ar-SA"/>
        </w:rPr>
      </w:pPr>
      <w:r>
        <w:rPr>
          <w:rFonts w:hint="default" w:ascii="Segoe UI" w:hAnsi="Segoe UI" w:eastAsia="Segoe UI" w:cs="Segoe UI"/>
          <w:i w:val="0"/>
          <w:iCs w:val="0"/>
          <w:caps w:val="0"/>
          <w:color w:val="auto"/>
          <w:spacing w:val="0"/>
          <w:sz w:val="24"/>
          <w:szCs w:val="24"/>
          <w:shd w:val="clear" w:color="auto" w:fill="FFFFFF"/>
          <w:lang w:val="en-US" w:eastAsia="zh-CN" w:bidi="ar-SA"/>
        </w:rPr>
        <w:t>重点对2亩（含）以上农用地与未利用地间变化及耕地变化开展调查；对200m²（含）以上建设用地、设施农用地变化开展调查。国土调查最小上图面积标准不变（建设用地和设施农用地200㎡、农用地400㎡、其他地类600㎡），但部级重点关注的最小上图面积调整为上述标准，我县应在省级实施方案框架下按统一标准执行。</w:t>
      </w:r>
    </w:p>
    <w:p w14:paraId="5C1D82ED">
      <w:pPr>
        <w:keepNext w:val="0"/>
        <w:keepLines w:val="0"/>
        <w:pageBreakBefore w:val="0"/>
        <w:spacing w:line="360" w:lineRule="auto"/>
        <w:ind w:left="0" w:firstLine="480"/>
        <w:outlineLvl w:val="4"/>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w:t>
      </w:r>
      <w:r>
        <w:rPr>
          <w:rFonts w:hint="default" w:ascii="宋体" w:hAnsi="宋体" w:eastAsia="宋体" w:cs="宋体"/>
          <w:b w:val="0"/>
          <w:bCs w:val="0"/>
          <w:color w:val="auto"/>
          <w:sz w:val="24"/>
          <w:szCs w:val="24"/>
          <w:highlight w:val="none"/>
          <w:lang w:val="en-US" w:eastAsia="zh-CN"/>
        </w:rPr>
        <w:t>优化调查内容</w:t>
      </w:r>
    </w:p>
    <w:p w14:paraId="2AEFBF75">
      <w:pPr>
        <w:keepNext w:val="0"/>
        <w:keepLines w:val="0"/>
        <w:pageBreakBefore w:val="0"/>
        <w:spacing w:line="360" w:lineRule="auto"/>
        <w:ind w:left="0" w:firstLine="480"/>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①</w:t>
      </w:r>
      <w:r>
        <w:rPr>
          <w:rFonts w:hint="default" w:ascii="宋体" w:hAnsi="宋体" w:eastAsia="宋体" w:cs="宋体"/>
          <w:b w:val="0"/>
          <w:bCs w:val="0"/>
          <w:color w:val="auto"/>
          <w:sz w:val="24"/>
          <w:szCs w:val="24"/>
          <w:highlight w:val="none"/>
          <w:lang w:val="en-US" w:eastAsia="zh-CN"/>
        </w:rPr>
        <w:t>按部要求，做好“摸排”和“推（堆）土区”“20X图层”单独图层更新工作。结合规划城镇建设用地范围（含城镇开发边界、独立城镇建设用地），对城市、建制镇和村庄用地范围进行更新。地方须按部、省相关要求，整理证明材料，及时完成市级审核，在相关节点前提交省级检查。</w:t>
      </w:r>
      <w:r>
        <w:rPr>
          <w:rFonts w:hint="eastAsia" w:ascii="宋体" w:hAnsi="宋体" w:cs="宋体"/>
          <w:b w:val="0"/>
          <w:bCs w:val="0"/>
          <w:color w:val="auto"/>
          <w:sz w:val="24"/>
          <w:szCs w:val="24"/>
          <w:highlight w:val="none"/>
          <w:lang w:val="en-US" w:eastAsia="zh-CN"/>
        </w:rPr>
        <w:t>按省级要求</w:t>
      </w:r>
      <w:r>
        <w:rPr>
          <w:rFonts w:hint="default" w:ascii="宋体" w:hAnsi="宋体" w:eastAsia="宋体" w:cs="宋体"/>
          <w:b w:val="0"/>
          <w:bCs w:val="0"/>
          <w:color w:val="auto"/>
          <w:sz w:val="24"/>
          <w:szCs w:val="24"/>
          <w:highlight w:val="none"/>
          <w:lang w:val="en-US" w:eastAsia="zh-CN"/>
        </w:rPr>
        <w:t>做好“光伏板区”单独图层更新工作。</w:t>
      </w:r>
    </w:p>
    <w:p w14:paraId="53051208">
      <w:pPr>
        <w:keepNext w:val="0"/>
        <w:keepLines w:val="0"/>
        <w:pageBreakBefore w:val="0"/>
        <w:spacing w:line="360" w:lineRule="auto"/>
        <w:ind w:left="0" w:firstLine="480"/>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②</w:t>
      </w:r>
      <w:r>
        <w:rPr>
          <w:rFonts w:hint="default" w:ascii="宋体" w:hAnsi="宋体" w:eastAsia="宋体" w:cs="宋体"/>
          <w:b w:val="0"/>
          <w:bCs w:val="0"/>
          <w:color w:val="auto"/>
          <w:sz w:val="24"/>
          <w:szCs w:val="24"/>
          <w:highlight w:val="none"/>
          <w:lang w:val="en-US" w:eastAsia="zh-CN"/>
        </w:rPr>
        <w:t>不再年度统一更新：拆除未尽、工厂化种植、耕地等别、批而未建等图层及耕地种植属性、耕地等别属性、耕地退出属性、灌丛草地属性、细化树种类型属性、工业用地细化属性、废弃属性、垃圾填埋属性等。</w:t>
      </w:r>
    </w:p>
    <w:p w14:paraId="67BD4AB1">
      <w:pPr>
        <w:keepNext w:val="0"/>
        <w:keepLines w:val="0"/>
        <w:pageBreakBefore w:val="0"/>
        <w:spacing w:line="360" w:lineRule="auto"/>
        <w:ind w:left="0" w:firstLine="480"/>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按部要求，做好耕地坡度级别、林区耕地、沙化耕地的属性标注更新。</w:t>
      </w:r>
      <w:r>
        <w:rPr>
          <w:rFonts w:hint="eastAsia" w:ascii="宋体" w:hAnsi="宋体" w:cs="宋体"/>
          <w:b w:val="0"/>
          <w:bCs w:val="0"/>
          <w:color w:val="auto"/>
          <w:sz w:val="24"/>
          <w:szCs w:val="24"/>
          <w:highlight w:val="none"/>
          <w:lang w:val="en-US" w:eastAsia="zh-CN"/>
        </w:rPr>
        <w:t>按省级要求</w:t>
      </w:r>
      <w:r>
        <w:rPr>
          <w:rFonts w:hint="default" w:ascii="宋体" w:hAnsi="宋体" w:eastAsia="宋体" w:cs="宋体"/>
          <w:b w:val="0"/>
          <w:bCs w:val="0"/>
          <w:color w:val="auto"/>
          <w:sz w:val="24"/>
          <w:szCs w:val="24"/>
          <w:highlight w:val="none"/>
          <w:lang w:val="en-US" w:eastAsia="zh-CN"/>
        </w:rPr>
        <w:t>做好地类恢复属性（即可恢复、工程恢复）的标注更新。</w:t>
      </w:r>
    </w:p>
    <w:p w14:paraId="7946F5BB">
      <w:pPr>
        <w:keepNext w:val="0"/>
        <w:keepLines w:val="0"/>
        <w:pageBreakBefore w:val="0"/>
        <w:spacing w:line="360" w:lineRule="auto"/>
        <w:ind w:left="0" w:firstLine="480"/>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③</w:t>
      </w:r>
      <w:r>
        <w:rPr>
          <w:rFonts w:hint="default" w:ascii="宋体" w:hAnsi="宋体" w:eastAsia="宋体" w:cs="宋体"/>
          <w:b w:val="0"/>
          <w:bCs w:val="0"/>
          <w:color w:val="auto"/>
          <w:sz w:val="24"/>
          <w:szCs w:val="24"/>
          <w:highlight w:val="none"/>
          <w:lang w:val="en-US" w:eastAsia="zh-CN"/>
        </w:rPr>
        <w:t>不再开展权属信息更新工作，权属信息以“一张图”产权底板为准</w:t>
      </w:r>
      <w:r>
        <w:rPr>
          <w:rFonts w:hint="eastAsia" w:ascii="宋体" w:hAnsi="宋体" w:cs="宋体"/>
          <w:b w:val="0"/>
          <w:bCs w:val="0"/>
          <w:color w:val="auto"/>
          <w:sz w:val="24"/>
          <w:szCs w:val="24"/>
          <w:highlight w:val="none"/>
          <w:lang w:val="en-US" w:eastAsia="zh-CN"/>
        </w:rPr>
        <w:t>。</w:t>
      </w:r>
    </w:p>
    <w:p w14:paraId="4DAFFD6D">
      <w:pPr>
        <w:keepNext w:val="0"/>
        <w:keepLines w:val="0"/>
        <w:pageBreakBefore w:val="0"/>
        <w:spacing w:line="360" w:lineRule="auto"/>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地类调查规则</w:t>
      </w:r>
    </w:p>
    <w:p w14:paraId="62D4E8F2">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①</w:t>
      </w:r>
      <w:r>
        <w:rPr>
          <w:rFonts w:hint="eastAsia" w:ascii="宋体" w:hAnsi="宋体" w:eastAsia="宋体" w:cs="宋体"/>
          <w:b w:val="0"/>
          <w:bCs w:val="0"/>
          <w:color w:val="auto"/>
          <w:sz w:val="24"/>
          <w:szCs w:val="24"/>
          <w:highlight w:val="none"/>
          <w:lang w:val="en-US" w:eastAsia="zh-CN"/>
        </w:rPr>
        <w:t>耕地上以棚架等方式培植食用菌菇、种植浅根系中药材及花卉等，耕作层未破坏的，继续按耕地调查</w:t>
      </w:r>
      <w:r>
        <w:rPr>
          <w:rFonts w:hint="eastAsia" w:ascii="宋体" w:hAnsi="宋体" w:cs="宋体"/>
          <w:b w:val="0"/>
          <w:bCs w:val="0"/>
          <w:color w:val="auto"/>
          <w:sz w:val="24"/>
          <w:szCs w:val="24"/>
          <w:highlight w:val="none"/>
          <w:lang w:val="en-US" w:eastAsia="zh-CN"/>
        </w:rPr>
        <w:t>。</w:t>
      </w:r>
    </w:p>
    <w:p w14:paraId="55D7205F">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②</w:t>
      </w:r>
      <w:r>
        <w:rPr>
          <w:rFonts w:hint="eastAsia" w:ascii="宋体" w:hAnsi="宋体" w:eastAsia="宋体" w:cs="宋体"/>
          <w:b w:val="0"/>
          <w:bCs w:val="0"/>
          <w:color w:val="auto"/>
          <w:sz w:val="24"/>
          <w:szCs w:val="24"/>
          <w:highlight w:val="none"/>
          <w:lang w:val="en-US" w:eastAsia="zh-CN"/>
        </w:rPr>
        <w:t>2025年报部备案作物清单继续有效，新增清单以部审查结果为准</w:t>
      </w:r>
      <w:r>
        <w:rPr>
          <w:rFonts w:hint="eastAsia" w:ascii="宋体" w:hAnsi="宋体" w:cs="宋体"/>
          <w:b w:val="0"/>
          <w:bCs w:val="0"/>
          <w:color w:val="auto"/>
          <w:sz w:val="24"/>
          <w:szCs w:val="24"/>
          <w:highlight w:val="none"/>
          <w:lang w:val="en-US" w:eastAsia="zh-CN"/>
        </w:rPr>
        <w:t>。</w:t>
      </w:r>
    </w:p>
    <w:p w14:paraId="260077E5">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③</w:t>
      </w:r>
      <w:r>
        <w:rPr>
          <w:rFonts w:hint="eastAsia" w:ascii="宋体" w:hAnsi="宋体" w:eastAsia="宋体" w:cs="宋体"/>
          <w:b w:val="0"/>
          <w:bCs w:val="0"/>
          <w:color w:val="auto"/>
          <w:sz w:val="24"/>
          <w:szCs w:val="24"/>
          <w:highlight w:val="none"/>
          <w:lang w:val="en-US" w:eastAsia="zh-CN"/>
        </w:rPr>
        <w:t>对耕作层严重破坏、基本耕种条件已丧失的，按实地现状调查</w:t>
      </w:r>
      <w:r>
        <w:rPr>
          <w:rFonts w:hint="eastAsia" w:ascii="宋体" w:hAnsi="宋体" w:cs="宋体"/>
          <w:b w:val="0"/>
          <w:bCs w:val="0"/>
          <w:color w:val="auto"/>
          <w:sz w:val="24"/>
          <w:szCs w:val="24"/>
          <w:highlight w:val="none"/>
          <w:lang w:val="en-US" w:eastAsia="zh-CN"/>
        </w:rPr>
        <w:t>。</w:t>
      </w:r>
    </w:p>
    <w:p w14:paraId="5B537157">
      <w:pPr>
        <w:keepNext w:val="0"/>
        <w:keepLines w:val="0"/>
        <w:pageBreakBefore w:val="0"/>
        <w:spacing w:line="360" w:lineRule="auto"/>
        <w:ind w:left="0"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④因灾毁等导致农用地变未利用地的，须待灾毁情形稳定后，按照实地现状认定地类和范围，提交县级核实情况报告和相关灾毁媒体报道、实地举证照片等证明材料。其中，因灾毁导致耕地变为未利用地且难以复耕的，标注“2026灾毁”（ZH）属性。</w:t>
      </w:r>
    </w:p>
    <w:p w14:paraId="6316088C">
      <w:pPr>
        <w:keepNext w:val="0"/>
        <w:keepLines w:val="0"/>
        <w:pageBreakBefore w:val="0"/>
        <w:spacing w:line="360" w:lineRule="auto"/>
        <w:ind w:left="0"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⑤</w:t>
      </w:r>
      <w:r>
        <w:rPr>
          <w:rFonts w:hint="eastAsia" w:ascii="宋体" w:hAnsi="宋体" w:eastAsia="宋体" w:cs="宋体"/>
          <w:b w:val="0"/>
          <w:bCs w:val="0"/>
          <w:color w:val="auto"/>
          <w:sz w:val="24"/>
          <w:szCs w:val="24"/>
          <w:highlight w:val="none"/>
          <w:lang w:val="en-US" w:eastAsia="zh-CN"/>
        </w:rPr>
        <w:t>农用地变未利用地需提交省级核实情况报告和相关证明材料</w:t>
      </w:r>
      <w:r>
        <w:rPr>
          <w:rFonts w:hint="eastAsia" w:ascii="宋体" w:hAnsi="宋体" w:cs="宋体"/>
          <w:b w:val="0"/>
          <w:bCs w:val="0"/>
          <w:color w:val="auto"/>
          <w:sz w:val="24"/>
          <w:szCs w:val="24"/>
          <w:highlight w:val="none"/>
          <w:lang w:val="en-US" w:eastAsia="zh-CN"/>
        </w:rPr>
        <w:t>。</w:t>
      </w:r>
    </w:p>
    <w:p w14:paraId="05127664">
      <w:pPr>
        <w:keepNext w:val="0"/>
        <w:keepLines w:val="0"/>
        <w:pageBreakBefore w:val="0"/>
        <w:spacing w:line="360" w:lineRule="auto"/>
        <w:ind w:left="0"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⑥</w:t>
      </w:r>
      <w:r>
        <w:rPr>
          <w:rFonts w:hint="eastAsia" w:ascii="宋体" w:hAnsi="宋体" w:eastAsia="宋体" w:cs="宋体"/>
          <w:b w:val="0"/>
          <w:bCs w:val="0"/>
          <w:color w:val="auto"/>
          <w:sz w:val="24"/>
          <w:szCs w:val="24"/>
          <w:highlight w:val="none"/>
          <w:lang w:val="en-US" w:eastAsia="zh-CN"/>
        </w:rPr>
        <w:t>“采矿用地”调整为“矿业用地”，细分为“矿产资源勘查用地”和“矿产资源开采用地”</w:t>
      </w:r>
      <w:r>
        <w:rPr>
          <w:rFonts w:hint="eastAsia" w:ascii="宋体" w:hAnsi="宋体" w:cs="宋体"/>
          <w:b w:val="0"/>
          <w:bCs w:val="0"/>
          <w:color w:val="auto"/>
          <w:sz w:val="24"/>
          <w:szCs w:val="24"/>
          <w:highlight w:val="none"/>
          <w:lang w:val="en-US" w:eastAsia="zh-CN"/>
        </w:rPr>
        <w:t>。</w:t>
      </w:r>
    </w:p>
    <w:p w14:paraId="22E0CAE5">
      <w:pPr>
        <w:keepNext w:val="0"/>
        <w:keepLines w:val="0"/>
        <w:pageBreakBefore w:val="0"/>
        <w:spacing w:line="360" w:lineRule="auto"/>
        <w:ind w:left="0"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⑦对“批而未用”土地按实地现状认定地类，衔接建设用地审批备案信息及批而未用批文清理结果，纳入“一张图”，按建设用地管理。</w:t>
      </w:r>
    </w:p>
    <w:p w14:paraId="41D315AC">
      <w:pPr>
        <w:keepNext w:val="0"/>
        <w:keepLines w:val="0"/>
        <w:pageBreakBefore w:val="0"/>
        <w:spacing w:line="360" w:lineRule="auto"/>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en-US" w:eastAsia="zh-CN"/>
        </w:rPr>
        <w:t>成果上报</w:t>
      </w:r>
    </w:p>
    <w:p w14:paraId="6BC6A2A7">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根据部省要求</w:t>
      </w:r>
      <w:r>
        <w:rPr>
          <w:rFonts w:hint="eastAsia" w:ascii="宋体" w:hAnsi="宋体" w:eastAsia="宋体" w:cs="宋体"/>
          <w:b w:val="0"/>
          <w:bCs w:val="0"/>
          <w:color w:val="auto"/>
          <w:sz w:val="24"/>
          <w:szCs w:val="24"/>
          <w:highlight w:val="none"/>
          <w:lang w:val="en-US" w:eastAsia="zh-CN"/>
        </w:rPr>
        <w:t>通过“一张图”国土调查云2026年变更调查专项任务模块在线报送，减轻基层工作压力。</w:t>
      </w:r>
    </w:p>
    <w:p w14:paraId="7F2E71CA">
      <w:pPr>
        <w:keepNext w:val="0"/>
        <w:keepLines w:val="0"/>
        <w:pageBreakBefore w:val="0"/>
        <w:spacing w:line="360" w:lineRule="auto"/>
        <w:ind w:left="0" w:firstLine="482"/>
        <w:outlineLvl w:val="3"/>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森林草原湿地调查</w:t>
      </w:r>
    </w:p>
    <w:p w14:paraId="6EEC4812">
      <w:pPr>
        <w:keepNext w:val="0"/>
        <w:keepLines w:val="0"/>
        <w:pageBreakBefore w:val="0"/>
        <w:spacing w:line="360" w:lineRule="auto"/>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主要变化</w:t>
      </w:r>
    </w:p>
    <w:p w14:paraId="48F87CD7">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2026年度林草湿荒调查监测有以下优化：</w:t>
      </w:r>
    </w:p>
    <w:p w14:paraId="3F9401C2">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①</w:t>
      </w:r>
      <w:r>
        <w:rPr>
          <w:rFonts w:hint="eastAsia" w:ascii="宋体" w:hAnsi="宋体" w:eastAsia="宋体" w:cs="宋体"/>
          <w:b w:val="0"/>
          <w:bCs w:val="0"/>
          <w:color w:val="auto"/>
          <w:sz w:val="24"/>
          <w:szCs w:val="24"/>
          <w:highlight w:val="none"/>
          <w:lang w:val="en-US" w:eastAsia="zh-CN"/>
        </w:rPr>
        <w:t>图斑监测指标由125项精简为22项，样地调查指标由164项精简为70项</w:t>
      </w:r>
      <w:r>
        <w:rPr>
          <w:rFonts w:hint="eastAsia" w:ascii="宋体" w:hAnsi="宋体" w:cs="宋体"/>
          <w:b w:val="0"/>
          <w:bCs w:val="0"/>
          <w:color w:val="auto"/>
          <w:sz w:val="24"/>
          <w:szCs w:val="24"/>
          <w:highlight w:val="none"/>
          <w:lang w:val="en-US" w:eastAsia="zh-CN"/>
        </w:rPr>
        <w:t>。</w:t>
      </w:r>
    </w:p>
    <w:p w14:paraId="5F87C6B9">
      <w:pPr>
        <w:keepNext w:val="0"/>
        <w:keepLines w:val="0"/>
        <w:pageBreakBefore w:val="0"/>
        <w:spacing w:line="360" w:lineRule="auto"/>
        <w:ind w:left="0" w:firstLine="480"/>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②</w:t>
      </w:r>
      <w:r>
        <w:rPr>
          <w:rFonts w:hint="eastAsia" w:ascii="宋体" w:hAnsi="宋体" w:eastAsia="宋体" w:cs="宋体"/>
          <w:b w:val="0"/>
          <w:bCs w:val="0"/>
          <w:color w:val="auto"/>
          <w:sz w:val="24"/>
          <w:szCs w:val="24"/>
          <w:highlight w:val="none"/>
          <w:lang w:val="en-US" w:eastAsia="zh-CN"/>
        </w:rPr>
        <w:t>不再延续2025年“疑似违法违规”标注做法，改由调查完成后依托“一张图”组织合法合规性核实</w:t>
      </w:r>
      <w:r>
        <w:rPr>
          <w:rFonts w:hint="eastAsia" w:ascii="宋体" w:hAnsi="宋体" w:cs="宋体"/>
          <w:b w:val="0"/>
          <w:bCs w:val="0"/>
          <w:color w:val="auto"/>
          <w:sz w:val="24"/>
          <w:szCs w:val="24"/>
          <w:highlight w:val="none"/>
          <w:lang w:val="en-US" w:eastAsia="zh-CN"/>
        </w:rPr>
        <w:t>。</w:t>
      </w:r>
    </w:p>
    <w:p w14:paraId="033728CA">
      <w:pPr>
        <w:keepNext w:val="0"/>
        <w:keepLines w:val="0"/>
        <w:pageBreakBefore w:val="0"/>
        <w:spacing w:line="360" w:lineRule="auto"/>
        <w:ind w:left="0"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③</w:t>
      </w:r>
      <w:r>
        <w:rPr>
          <w:rFonts w:hint="eastAsia" w:ascii="宋体" w:hAnsi="宋体" w:eastAsia="宋体" w:cs="宋体"/>
          <w:b w:val="0"/>
          <w:bCs w:val="0"/>
          <w:color w:val="auto"/>
          <w:sz w:val="24"/>
          <w:szCs w:val="24"/>
          <w:highlight w:val="none"/>
          <w:lang w:val="en-US" w:eastAsia="zh-CN"/>
        </w:rPr>
        <w:t>不再开展荒漠调查试点和草原超载率监测预警</w:t>
      </w:r>
      <w:r>
        <w:rPr>
          <w:rFonts w:hint="eastAsia" w:ascii="宋体" w:hAnsi="宋体" w:cs="宋体"/>
          <w:b w:val="0"/>
          <w:bCs w:val="0"/>
          <w:color w:val="auto"/>
          <w:sz w:val="24"/>
          <w:szCs w:val="24"/>
          <w:highlight w:val="none"/>
          <w:lang w:val="en-US" w:eastAsia="zh-CN"/>
        </w:rPr>
        <w:t>。</w:t>
      </w:r>
    </w:p>
    <w:p w14:paraId="6C629426">
      <w:pPr>
        <w:keepNext w:val="0"/>
        <w:keepLines w:val="0"/>
        <w:pageBreakBefore w:val="0"/>
        <w:spacing w:line="360" w:lineRule="auto"/>
        <w:ind w:left="0" w:firstLine="480"/>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④新增加小班边界及属性优化工作。</w:t>
      </w:r>
    </w:p>
    <w:p w14:paraId="508135C3">
      <w:pPr>
        <w:keepNext w:val="0"/>
        <w:keepLines w:val="0"/>
        <w:pageBreakBefore w:val="0"/>
        <w:spacing w:line="360" w:lineRule="auto"/>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变化信息监测</w:t>
      </w:r>
    </w:p>
    <w:p w14:paraId="5C10E06A">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以县级为基本调查单元，聚焦土地利用与植被覆盖类型年度变化信息监测。变化信息获取路径为：依托国家共享或自主获取的最新高分遥感影像提取变化信息；依据县级林草经营和工程建设数字档案材料获取变化信息；通过“一张图”平台共享参考使用部自然资源监测成果和局林草预警遥感判读成果。针对不同类型的变化信息，调查记载相应的指标（因子）属性。</w:t>
      </w:r>
    </w:p>
    <w:p w14:paraId="3DBC0F35">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根据林业经营管理的需要，我县其他林地应细化到三级地类：疏林地、未成林地、苗圃地、采伐迹地、火烧迹地、林业直服设施用地。</w:t>
      </w:r>
    </w:p>
    <w:p w14:paraId="53F9B0AF">
      <w:pPr>
        <w:keepNext w:val="0"/>
        <w:keepLines w:val="0"/>
        <w:pageBreakBefore w:val="0"/>
        <w:spacing w:line="360" w:lineRule="auto"/>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固定样地调查</w:t>
      </w:r>
    </w:p>
    <w:p w14:paraId="1A1AC9F4">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由省级统一开展，县级做好配合工作</w:t>
      </w:r>
      <w:r>
        <w:rPr>
          <w:rFonts w:hint="eastAsia" w:ascii="宋体" w:hAnsi="宋体" w:eastAsia="宋体" w:cs="宋体"/>
          <w:b w:val="0"/>
          <w:bCs w:val="0"/>
          <w:color w:val="auto"/>
          <w:sz w:val="24"/>
          <w:szCs w:val="24"/>
          <w:highlight w:val="none"/>
          <w:lang w:val="en-US" w:eastAsia="zh-CN"/>
        </w:rPr>
        <w:t>。</w:t>
      </w:r>
    </w:p>
    <w:p w14:paraId="51C3ED69">
      <w:pPr>
        <w:keepNext w:val="0"/>
        <w:keepLines w:val="0"/>
        <w:pageBreakBefore w:val="0"/>
        <w:spacing w:line="360" w:lineRule="auto"/>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en-US" w:eastAsia="zh-CN"/>
        </w:rPr>
        <w:t>林草经营数字档案建设</w:t>
      </w:r>
    </w:p>
    <w:p w14:paraId="5726AC96">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推进县级林草经营和工程建设数字档案建设，纳入“一张图”国土调查云平台，为变化信息比对与合法合规性审核提供数据支撑。</w:t>
      </w:r>
    </w:p>
    <w:p w14:paraId="4D1EF7BC">
      <w:pPr>
        <w:keepNext w:val="0"/>
        <w:keepLines w:val="0"/>
        <w:pageBreakBefore w:val="0"/>
        <w:spacing w:line="360" w:lineRule="auto"/>
        <w:ind w:left="0" w:firstLine="482"/>
        <w:outlineLvl w:val="4"/>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val="en-US" w:eastAsia="zh-CN"/>
        </w:rPr>
        <w:t>）卫片监测预警核实处置</w:t>
      </w:r>
    </w:p>
    <w:p w14:paraId="5092B7FD">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①</w:t>
      </w:r>
      <w:r>
        <w:rPr>
          <w:rFonts w:hint="eastAsia" w:ascii="宋体" w:hAnsi="宋体" w:eastAsia="宋体" w:cs="宋体"/>
          <w:b w:val="0"/>
          <w:bCs w:val="0"/>
          <w:color w:val="auto"/>
          <w:sz w:val="24"/>
          <w:szCs w:val="24"/>
          <w:highlight w:val="none"/>
          <w:lang w:val="en-US" w:eastAsia="zh-CN"/>
        </w:rPr>
        <w:t>遥感影像收集</w:t>
      </w:r>
    </w:p>
    <w:p w14:paraId="45E8DD90">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统一采用部，省下发的</w:t>
      </w:r>
      <w:r>
        <w:rPr>
          <w:rFonts w:hint="eastAsia" w:ascii="宋体" w:hAnsi="宋体" w:cs="宋体"/>
          <w:b w:val="0"/>
          <w:bCs w:val="0"/>
          <w:color w:val="auto"/>
          <w:sz w:val="24"/>
          <w:szCs w:val="24"/>
          <w:highlight w:val="none"/>
          <w:lang w:val="en-US" w:eastAsia="zh-CN"/>
        </w:rPr>
        <w:t>2026</w:t>
      </w:r>
      <w:r>
        <w:rPr>
          <w:rFonts w:hint="eastAsia" w:ascii="宋体" w:hAnsi="宋体" w:eastAsia="宋体" w:cs="宋体"/>
          <w:b w:val="0"/>
          <w:bCs w:val="0"/>
          <w:color w:val="auto"/>
          <w:sz w:val="24"/>
          <w:szCs w:val="24"/>
          <w:highlight w:val="none"/>
          <w:lang w:val="en-US" w:eastAsia="zh-CN"/>
        </w:rPr>
        <w:t>年</w:t>
      </w:r>
      <w:r>
        <w:rPr>
          <w:rFonts w:hint="eastAsia" w:ascii="宋体" w:hAnsi="宋体" w:cs="宋体"/>
          <w:b w:val="0"/>
          <w:bCs w:val="0"/>
          <w:color w:val="auto"/>
          <w:sz w:val="24"/>
          <w:szCs w:val="24"/>
          <w:highlight w:val="none"/>
          <w:lang w:val="en-US" w:eastAsia="zh-CN"/>
        </w:rPr>
        <w:t>季度</w:t>
      </w:r>
      <w:r>
        <w:rPr>
          <w:rFonts w:hint="eastAsia" w:ascii="宋体" w:hAnsi="宋体" w:eastAsia="宋体" w:cs="宋体"/>
          <w:b w:val="0"/>
          <w:bCs w:val="0"/>
          <w:color w:val="auto"/>
          <w:sz w:val="24"/>
          <w:szCs w:val="24"/>
          <w:highlight w:val="none"/>
          <w:lang w:val="en-US" w:eastAsia="zh-CN"/>
        </w:rPr>
        <w:t>卫星遥感影像数据，同时收集往年历史影像。以</w:t>
      </w:r>
      <w:r>
        <w:rPr>
          <w:rFonts w:hint="eastAsia" w:ascii="宋体" w:hAnsi="宋体" w:cs="宋体"/>
          <w:b w:val="0"/>
          <w:bCs w:val="0"/>
          <w:color w:val="auto"/>
          <w:sz w:val="24"/>
          <w:szCs w:val="24"/>
          <w:highlight w:val="none"/>
          <w:lang w:val="en-US" w:eastAsia="zh-CN"/>
        </w:rPr>
        <w:t>2026季度</w:t>
      </w:r>
      <w:r>
        <w:rPr>
          <w:rFonts w:hint="eastAsia" w:ascii="宋体" w:hAnsi="宋体" w:eastAsia="宋体" w:cs="宋体"/>
          <w:b w:val="0"/>
          <w:bCs w:val="0"/>
          <w:color w:val="auto"/>
          <w:sz w:val="24"/>
          <w:szCs w:val="24"/>
          <w:highlight w:val="none"/>
          <w:lang w:val="en-US" w:eastAsia="zh-CN"/>
        </w:rPr>
        <w:t>影像为主，往年历史影像为辅助核实。</w:t>
      </w:r>
    </w:p>
    <w:p w14:paraId="2853D163">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②</w:t>
      </w:r>
      <w:r>
        <w:rPr>
          <w:rFonts w:hint="eastAsia" w:ascii="宋体" w:hAnsi="宋体" w:eastAsia="宋体" w:cs="宋体"/>
          <w:b w:val="0"/>
          <w:bCs w:val="0"/>
          <w:color w:val="auto"/>
          <w:sz w:val="24"/>
          <w:szCs w:val="24"/>
          <w:highlight w:val="none"/>
          <w:lang w:val="en-US" w:eastAsia="zh-CN"/>
        </w:rPr>
        <w:t>资料收集与整理</w:t>
      </w:r>
    </w:p>
    <w:p w14:paraId="73720CD9">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系统收集并更新历年现状图层、历年规划图层、各时期永久基本农田图层、最新时点报批图层、供地图层及相关专题图层，同步整理农业农村、水利等相关部门涉及新增建设用地的审批文件，在此基础上综合叠加形成卫片监测预警核实处置核查底图。</w:t>
      </w:r>
    </w:p>
    <w:p w14:paraId="1499524E">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③</w:t>
      </w:r>
      <w:r>
        <w:rPr>
          <w:rFonts w:hint="eastAsia" w:ascii="宋体" w:hAnsi="宋体" w:eastAsia="宋体" w:cs="宋体"/>
          <w:b w:val="0"/>
          <w:bCs w:val="0"/>
          <w:color w:val="auto"/>
          <w:sz w:val="24"/>
          <w:szCs w:val="24"/>
          <w:highlight w:val="none"/>
          <w:lang w:val="en-US" w:eastAsia="zh-CN"/>
        </w:rPr>
        <w:t>监测内容</w:t>
      </w:r>
    </w:p>
    <w:p w14:paraId="19C862E2">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a.</w:t>
      </w:r>
      <w:r>
        <w:rPr>
          <w:rFonts w:hint="eastAsia" w:ascii="宋体" w:hAnsi="宋体" w:eastAsia="宋体" w:cs="宋体"/>
          <w:b w:val="0"/>
          <w:bCs w:val="0"/>
          <w:color w:val="auto"/>
          <w:sz w:val="24"/>
          <w:szCs w:val="24"/>
          <w:highlight w:val="none"/>
          <w:lang w:val="en-US" w:eastAsia="zh-CN"/>
        </w:rPr>
        <w:t>监测范围</w:t>
      </w:r>
    </w:p>
    <w:p w14:paraId="488EE86D">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本次监测范围为泗洪县行政区域范围。</w:t>
      </w:r>
    </w:p>
    <w:p w14:paraId="44936A67">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b.</w:t>
      </w:r>
      <w:r>
        <w:rPr>
          <w:rFonts w:hint="eastAsia" w:ascii="宋体" w:hAnsi="宋体" w:eastAsia="宋体" w:cs="宋体"/>
          <w:b w:val="0"/>
          <w:bCs w:val="0"/>
          <w:color w:val="auto"/>
          <w:sz w:val="24"/>
          <w:szCs w:val="24"/>
          <w:highlight w:val="none"/>
          <w:lang w:val="en-US" w:eastAsia="zh-CN"/>
        </w:rPr>
        <w:t>监测内容采集</w:t>
      </w:r>
    </w:p>
    <w:p w14:paraId="15C9C986">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对</w:t>
      </w:r>
      <w:r>
        <w:rPr>
          <w:rFonts w:hint="eastAsia" w:ascii="宋体" w:hAnsi="宋体" w:cs="宋体"/>
          <w:b w:val="0"/>
          <w:bCs w:val="0"/>
          <w:color w:val="auto"/>
          <w:sz w:val="24"/>
          <w:szCs w:val="24"/>
          <w:highlight w:val="none"/>
          <w:lang w:val="en-US" w:eastAsia="zh-CN"/>
        </w:rPr>
        <w:t>泗洪</w:t>
      </w:r>
      <w:r>
        <w:rPr>
          <w:rFonts w:hint="eastAsia" w:ascii="宋体" w:hAnsi="宋体" w:eastAsia="宋体" w:cs="宋体"/>
          <w:b w:val="0"/>
          <w:bCs w:val="0"/>
          <w:color w:val="auto"/>
          <w:sz w:val="24"/>
          <w:szCs w:val="24"/>
          <w:highlight w:val="none"/>
          <w:lang w:val="en-US" w:eastAsia="zh-CN"/>
        </w:rPr>
        <w:t>县全域范围内变更调查涉及的新增建设用地图斑，以及执法自主巡查发现的新增建设用地图斑，依据《</w:t>
      </w:r>
      <w:r>
        <w:rPr>
          <w:rFonts w:hint="eastAsia" w:ascii="宋体" w:hAnsi="宋体" w:cs="宋体"/>
          <w:b w:val="0"/>
          <w:bCs w:val="0"/>
          <w:color w:val="auto"/>
          <w:sz w:val="24"/>
          <w:szCs w:val="24"/>
          <w:highlight w:val="none"/>
          <w:lang w:val="en-US" w:eastAsia="zh-CN"/>
        </w:rPr>
        <w:t>中华人民共和国土地管理法</w:t>
      </w:r>
      <w:r>
        <w:rPr>
          <w:rFonts w:hint="eastAsia" w:ascii="宋体" w:hAnsi="宋体" w:eastAsia="宋体" w:cs="宋体"/>
          <w:b w:val="0"/>
          <w:bCs w:val="0"/>
          <w:color w:val="auto"/>
          <w:sz w:val="24"/>
          <w:szCs w:val="24"/>
          <w:highlight w:val="none"/>
          <w:lang w:val="en-US" w:eastAsia="zh-CN"/>
        </w:rPr>
        <w:t>》、《土地矿产卫片执法检查工作规范（试行）》开展合法性判定。</w:t>
      </w:r>
    </w:p>
    <w:p w14:paraId="660E192C">
      <w:pPr>
        <w:keepNext w:val="0"/>
        <w:keepLines w:val="0"/>
        <w:pageBreakBefore w:val="0"/>
        <w:spacing w:line="360" w:lineRule="auto"/>
        <w:ind w:left="0" w:firstLine="480"/>
        <w:outlineLvl w:val="1"/>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c.</w:t>
      </w:r>
      <w:r>
        <w:rPr>
          <w:rFonts w:hint="eastAsia" w:ascii="宋体" w:hAnsi="宋体" w:eastAsia="宋体" w:cs="宋体"/>
          <w:b w:val="0"/>
          <w:bCs w:val="0"/>
          <w:color w:val="auto"/>
          <w:sz w:val="24"/>
          <w:szCs w:val="24"/>
          <w:highlight w:val="none"/>
          <w:lang w:val="en-US" w:eastAsia="zh-CN"/>
        </w:rPr>
        <w:t>监测成果</w:t>
      </w:r>
    </w:p>
    <w:p w14:paraId="22F0EDC5">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严格对照《</w:t>
      </w:r>
      <w:r>
        <w:rPr>
          <w:rFonts w:hint="eastAsia" w:ascii="宋体" w:hAnsi="宋体" w:cs="宋体"/>
          <w:b w:val="0"/>
          <w:bCs w:val="0"/>
          <w:color w:val="auto"/>
          <w:sz w:val="24"/>
          <w:szCs w:val="24"/>
          <w:highlight w:val="none"/>
          <w:lang w:val="en-US" w:eastAsia="zh-CN"/>
        </w:rPr>
        <w:t>中华人民共和国土地管理法</w:t>
      </w:r>
      <w:r>
        <w:rPr>
          <w:rFonts w:hint="eastAsia" w:ascii="宋体" w:hAnsi="宋体" w:eastAsia="宋体" w:cs="宋体"/>
          <w:b w:val="0"/>
          <w:bCs w:val="0"/>
          <w:color w:val="auto"/>
          <w:sz w:val="24"/>
          <w:szCs w:val="24"/>
          <w:highlight w:val="none"/>
          <w:lang w:val="en-US" w:eastAsia="zh-CN"/>
        </w:rPr>
        <w:t>》、《土地矿产卫片执法检查工作规范（试行）》等相关法律法规</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并</w:t>
      </w:r>
      <w:r>
        <w:rPr>
          <w:rFonts w:hint="default" w:ascii="Times New Roman" w:hAnsi="Times New Roman" w:cs="Times New Roman"/>
          <w:color w:val="auto"/>
          <w:sz w:val="24"/>
        </w:rPr>
        <w:t>依托逻辑运算、空间叠加分析等</w:t>
      </w:r>
      <w:r>
        <w:rPr>
          <w:rFonts w:hint="eastAsia" w:ascii="Times New Roman" w:hAnsi="Times New Roman" w:cs="Times New Roman"/>
          <w:color w:val="auto"/>
          <w:sz w:val="24"/>
          <w:lang w:val="en-US" w:eastAsia="zh-CN"/>
        </w:rPr>
        <w:t>计算机专业软件</w:t>
      </w:r>
      <w:r>
        <w:rPr>
          <w:rFonts w:hint="default" w:ascii="Times New Roman" w:hAnsi="Times New Roman" w:cs="Times New Roman"/>
          <w:color w:val="auto"/>
          <w:sz w:val="24"/>
        </w:rPr>
        <w:t>技术手段</w:t>
      </w:r>
      <w:r>
        <w:rPr>
          <w:rFonts w:hint="eastAsia" w:ascii="宋体" w:hAnsi="宋体" w:cs="宋体"/>
          <w:b w:val="0"/>
          <w:bCs w:val="0"/>
          <w:color w:val="auto"/>
          <w:sz w:val="24"/>
          <w:szCs w:val="24"/>
          <w:highlight w:val="none"/>
          <w:lang w:val="en-US" w:eastAsia="zh-CN"/>
        </w:rPr>
        <w:t>，对</w:t>
      </w:r>
      <w:r>
        <w:rPr>
          <w:rFonts w:hint="eastAsia" w:ascii="宋体" w:hAnsi="宋体" w:eastAsia="宋体" w:cs="宋体"/>
          <w:b w:val="0"/>
          <w:bCs w:val="0"/>
          <w:color w:val="auto"/>
          <w:sz w:val="24"/>
          <w:szCs w:val="24"/>
          <w:highlight w:val="none"/>
          <w:lang w:val="en-US" w:eastAsia="zh-CN"/>
        </w:rPr>
        <w:t>变更调查新增建设用地和执法自主巡查发现的新增建设用地图斑进行合法性综合判定。最终将全量核实结果同步至相关业务科室，同步形成相关核实台账，对最终判定为违法用地的地块，严格依照法定程序依法依规开展后续立案查处工作。</w:t>
      </w:r>
    </w:p>
    <w:p w14:paraId="50F729E9">
      <w:pPr>
        <w:pStyle w:val="322"/>
        <w:keepNext w:val="0"/>
        <w:keepLines w:val="0"/>
        <w:pageBreakBefore w:val="0"/>
        <w:spacing w:line="360" w:lineRule="auto"/>
        <w:ind w:right="105" w:firstLine="480"/>
        <w:jc w:val="left"/>
        <w:rPr>
          <w:rStyle w:val="35"/>
          <w:rFonts w:hint="eastAsia" w:ascii="宋体" w:hAnsi="宋体" w:eastAsia="宋体" w:cs="宋体"/>
          <w:color w:val="auto"/>
          <w:sz w:val="24"/>
          <w:szCs w:val="24"/>
          <w:highlight w:val="none"/>
          <w:lang w:val="en-US" w:eastAsia="zh-CN"/>
        </w:rPr>
      </w:pPr>
    </w:p>
    <w:p w14:paraId="633A3E6A">
      <w:pPr>
        <w:keepNext w:val="0"/>
        <w:keepLines w:val="0"/>
        <w:pageBreakBefore w:val="0"/>
        <w:spacing w:line="360" w:lineRule="auto"/>
        <w:ind w:firstLine="482"/>
        <w:outlineLvl w:val="1"/>
        <w:rPr>
          <w:rFonts w:hint="default" w:ascii="Calibri" w:hAnsi="Calibri" w:eastAsia="宋体" w:cs="Times New Roman"/>
          <w:color w:val="auto"/>
          <w:sz w:val="30"/>
          <w:szCs w:val="30"/>
          <w:highlight w:val="none"/>
          <w:lang w:val="en-US" w:eastAsia="zh-CN"/>
        </w:rPr>
      </w:pPr>
      <w:r>
        <w:rPr>
          <w:rFonts w:hint="eastAsia" w:ascii="宋体" w:hAnsi="宋体" w:eastAsia="宋体" w:cs="Courier New"/>
          <w:b/>
          <w:color w:val="auto"/>
          <w:sz w:val="24"/>
          <w:szCs w:val="24"/>
          <w:highlight w:val="none"/>
          <w:lang w:val="en-US" w:eastAsia="zh-CN"/>
        </w:rPr>
        <w:t>五、工作依据</w:t>
      </w:r>
    </w:p>
    <w:p w14:paraId="2AA078B2">
      <w:pPr>
        <w:keepNext w:val="0"/>
        <w:keepLines w:val="0"/>
        <w:pageBreakBefore w:val="0"/>
        <w:spacing w:line="360" w:lineRule="auto"/>
        <w:ind w:left="0" w:firstLine="482"/>
        <w:outlineLvl w:val="2"/>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（一）法律法规</w:t>
      </w:r>
    </w:p>
    <w:p w14:paraId="64AC9E2D">
      <w:pPr>
        <w:keepNext w:val="0"/>
        <w:keepLines w:val="0"/>
        <w:pageBreakBefore w:val="0"/>
        <w:widowControl w:val="0"/>
        <w:numPr>
          <w:ilvl w:val="0"/>
          <w:numId w:val="9"/>
        </w:numPr>
        <w:spacing w:line="360" w:lineRule="auto"/>
        <w:ind w:left="0"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《中华人民共和国土地管理法》</w:t>
      </w:r>
    </w:p>
    <w:p w14:paraId="6250FCF4">
      <w:pPr>
        <w:keepNext w:val="0"/>
        <w:keepLines w:val="0"/>
        <w:pageBreakBefore w:val="0"/>
        <w:widowControl w:val="0"/>
        <w:numPr>
          <w:ilvl w:val="0"/>
          <w:numId w:val="9"/>
        </w:numPr>
        <w:spacing w:line="360" w:lineRule="auto"/>
        <w:ind w:left="0"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《土地调查条例》</w:t>
      </w:r>
    </w:p>
    <w:p w14:paraId="32A93090">
      <w:pPr>
        <w:keepNext w:val="0"/>
        <w:keepLines w:val="0"/>
        <w:pageBreakBefore w:val="0"/>
        <w:widowControl w:val="0"/>
        <w:numPr>
          <w:ilvl w:val="0"/>
          <w:numId w:val="9"/>
        </w:numPr>
        <w:spacing w:line="360" w:lineRule="auto"/>
        <w:ind w:left="0"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《土地调查条例实施办法》</w:t>
      </w:r>
    </w:p>
    <w:p w14:paraId="72056EA0">
      <w:pPr>
        <w:keepNext w:val="0"/>
        <w:keepLines w:val="0"/>
        <w:pageBreakBefore w:val="0"/>
        <w:spacing w:line="360" w:lineRule="auto"/>
        <w:ind w:left="0" w:firstLine="482"/>
        <w:outlineLvl w:val="2"/>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eastAsia="zh-CN"/>
        </w:rPr>
        <w:t>技术标准与规范</w:t>
      </w:r>
    </w:p>
    <w:p w14:paraId="53451A80">
      <w:pPr>
        <w:keepNext w:val="0"/>
        <w:keepLines w:val="0"/>
        <w:pageBreakBefore w:val="0"/>
        <w:widowControl w:val="0"/>
        <w:numPr>
          <w:ilvl w:val="0"/>
          <w:numId w:val="10"/>
        </w:numPr>
        <w:spacing w:line="360" w:lineRule="auto"/>
        <w:ind w:left="0" w:firstLine="480"/>
        <w:outlineLvl w:val="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GB/T 21010-2017 土地利用现状分类</w:t>
      </w:r>
    </w:p>
    <w:p w14:paraId="510AD057">
      <w:pPr>
        <w:keepNext w:val="0"/>
        <w:keepLines w:val="0"/>
        <w:pageBreakBefore w:val="0"/>
        <w:widowControl w:val="0"/>
        <w:numPr>
          <w:ilvl w:val="0"/>
          <w:numId w:val="10"/>
        </w:numPr>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TD/T 1055-2019 第三次全国国土调查技术规程</w:t>
      </w:r>
    </w:p>
    <w:p w14:paraId="4D2D2596">
      <w:pPr>
        <w:keepNext w:val="0"/>
        <w:keepLines w:val="0"/>
        <w:pageBreakBefore w:val="0"/>
        <w:widowControl w:val="0"/>
        <w:numPr>
          <w:ilvl w:val="0"/>
          <w:numId w:val="10"/>
        </w:numPr>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TD/T 1057-2022 国土调查数据库标准</w:t>
      </w:r>
    </w:p>
    <w:p w14:paraId="0A877AB2">
      <w:pPr>
        <w:keepNext w:val="0"/>
        <w:keepLines w:val="0"/>
        <w:pageBreakBefore w:val="0"/>
        <w:widowControl w:val="0"/>
        <w:numPr>
          <w:ilvl w:val="0"/>
          <w:numId w:val="10"/>
        </w:numPr>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TD/T 1058-2022 第三次全国国土调查县级数据库建设技术规范</w:t>
      </w:r>
    </w:p>
    <w:p w14:paraId="43BDB1A5">
      <w:pPr>
        <w:keepNext w:val="0"/>
        <w:keepLines w:val="0"/>
        <w:pageBreakBefore w:val="0"/>
        <w:widowControl w:val="0"/>
        <w:numPr>
          <w:ilvl w:val="0"/>
          <w:numId w:val="10"/>
        </w:numPr>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GB/T 42547-2023 地籍调查规程</w:t>
      </w:r>
    </w:p>
    <w:p w14:paraId="47EB8D55">
      <w:pPr>
        <w:keepNext w:val="0"/>
        <w:keepLines w:val="0"/>
        <w:pageBreakBefore w:val="0"/>
        <w:widowControl w:val="0"/>
        <w:numPr>
          <w:ilvl w:val="0"/>
          <w:numId w:val="10"/>
        </w:numPr>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GB/T 38590-2020 森林资源连续清查技术规程</w:t>
      </w:r>
    </w:p>
    <w:p w14:paraId="2D12E37F">
      <w:pPr>
        <w:keepNext w:val="0"/>
        <w:keepLines w:val="0"/>
        <w:pageBreakBefore w:val="0"/>
        <w:widowControl w:val="0"/>
        <w:numPr>
          <w:ilvl w:val="0"/>
          <w:numId w:val="10"/>
        </w:numPr>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《国土空间调查、规划、用途管制用地用海分类指南》（自然资发〔2023〕234号）</w:t>
      </w:r>
    </w:p>
    <w:p w14:paraId="7865C9DF">
      <w:pPr>
        <w:keepNext w:val="0"/>
        <w:keepLines w:val="0"/>
        <w:pageBreakBefore w:val="0"/>
        <w:widowControl w:val="0"/>
        <w:numPr>
          <w:ilvl w:val="0"/>
          <w:numId w:val="10"/>
        </w:numPr>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《全国森林草原湿地荒漠化普查技术规程》（办资字〔2024〕128号）</w:t>
      </w:r>
    </w:p>
    <w:p w14:paraId="4513AA96">
      <w:pPr>
        <w:keepNext w:val="0"/>
        <w:keepLines w:val="0"/>
        <w:pageBreakBefore w:val="0"/>
        <w:spacing w:line="360" w:lineRule="auto"/>
        <w:ind w:left="0" w:firstLine="482"/>
        <w:outlineLvl w:val="2"/>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val="en-US" w:eastAsia="zh-CN"/>
        </w:rPr>
        <w:t>2026年度专项文件</w:t>
      </w:r>
    </w:p>
    <w:p w14:paraId="4385A837">
      <w:pPr>
        <w:keepNext w:val="0"/>
        <w:keepLines w:val="0"/>
        <w:pageBreakBefore w:val="0"/>
        <w:widowControl w:val="0"/>
        <w:numPr>
          <w:ilvl w:val="0"/>
          <w:numId w:val="11"/>
        </w:numPr>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《自然资源部办公厅 国家林业和草原局办公室关于开展2026年度一体化调查监测工作的通知》（自然资办函〔2026〕1038号）</w:t>
      </w:r>
    </w:p>
    <w:p w14:paraId="797E6E72">
      <w:pPr>
        <w:keepNext w:val="0"/>
        <w:keepLines w:val="0"/>
        <w:pageBreakBefore w:val="0"/>
        <w:widowControl w:val="0"/>
        <w:numPr>
          <w:ilvl w:val="0"/>
          <w:numId w:val="11"/>
        </w:numPr>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《2026年度一体化调查监测实施方案》</w:t>
      </w:r>
    </w:p>
    <w:p w14:paraId="7E6F01D3">
      <w:pPr>
        <w:keepNext w:val="0"/>
        <w:keepLines w:val="0"/>
        <w:pageBreakBefore w:val="0"/>
        <w:widowControl w:val="0"/>
        <w:numPr>
          <w:ilvl w:val="0"/>
          <w:numId w:val="11"/>
        </w:numPr>
        <w:spacing w:line="360" w:lineRule="auto"/>
        <w:ind w:left="0" w:firstLine="480"/>
        <w:outlineLvl w:val="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《国土变更调查技术要求（2026年度适用）》</w:t>
      </w:r>
    </w:p>
    <w:p w14:paraId="0F72F76B">
      <w:pPr>
        <w:keepNext w:val="0"/>
        <w:keepLines w:val="0"/>
        <w:pageBreakBefore w:val="0"/>
        <w:widowControl w:val="0"/>
        <w:numPr>
          <w:ilvl w:val="0"/>
          <w:numId w:val="11"/>
        </w:numPr>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《2026年自然资源监测技术方案》</w:t>
      </w:r>
    </w:p>
    <w:p w14:paraId="43FC02D8">
      <w:pPr>
        <w:keepNext w:val="0"/>
        <w:keepLines w:val="0"/>
        <w:pageBreakBefore w:val="0"/>
        <w:widowControl w:val="0"/>
        <w:numPr>
          <w:ilvl w:val="0"/>
          <w:numId w:val="11"/>
        </w:numPr>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《林草湿荒调查监测技术要求（2026年度适用）》</w:t>
      </w:r>
    </w:p>
    <w:p w14:paraId="4E6063FA">
      <w:pPr>
        <w:keepNext w:val="0"/>
        <w:keepLines w:val="0"/>
        <w:pageBreakBefore w:val="0"/>
        <w:widowControl w:val="0"/>
        <w:numPr>
          <w:ilvl w:val="0"/>
          <w:numId w:val="11"/>
        </w:numPr>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江苏省2026年度国土变更调查有关要求</w:t>
      </w:r>
    </w:p>
    <w:p w14:paraId="3304AB91">
      <w:pPr>
        <w:keepNext w:val="0"/>
        <w:keepLines w:val="0"/>
        <w:pageBreakBefore w:val="0"/>
        <w:widowControl w:val="0"/>
        <w:numPr>
          <w:ilvl w:val="0"/>
          <w:numId w:val="11"/>
        </w:numPr>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《2026年城市国土空间监测技术方案》</w:t>
      </w:r>
    </w:p>
    <w:p w14:paraId="4746D706">
      <w:pPr>
        <w:keepNext w:val="0"/>
        <w:keepLines w:val="0"/>
        <w:pageBreakBefore w:val="0"/>
        <w:spacing w:line="360" w:lineRule="auto"/>
        <w:ind w:left="0" w:firstLine="482"/>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val="en-US" w:eastAsia="zh-CN"/>
        </w:rPr>
        <w:t>）数学基础</w:t>
      </w:r>
    </w:p>
    <w:p w14:paraId="58BC8049">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坐标系统：采用“2000 国家大地坐标系”；</w:t>
      </w:r>
    </w:p>
    <w:p w14:paraId="6150B6DA">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投影方式：采用高斯-克吕格投影，3°分带；</w:t>
      </w:r>
    </w:p>
    <w:p w14:paraId="04F871BE">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高程基准：1985国家高程基准。</w:t>
      </w:r>
    </w:p>
    <w:p w14:paraId="4033A4C8">
      <w:pPr>
        <w:keepNext w:val="0"/>
        <w:keepLines w:val="0"/>
        <w:pageBreakBefore w:val="0"/>
        <w:spacing w:line="360" w:lineRule="auto"/>
        <w:ind w:firstLine="482"/>
        <w:rPr>
          <w:rFonts w:hint="eastAsia" w:ascii="宋体" w:hAnsi="宋体" w:eastAsia="宋体" w:cs="Courier New"/>
          <w:b/>
          <w:color w:val="auto"/>
          <w:sz w:val="24"/>
          <w:szCs w:val="24"/>
          <w:highlight w:val="none"/>
          <w:lang w:val="en-US" w:eastAsia="zh-CN"/>
        </w:rPr>
      </w:pPr>
    </w:p>
    <w:p w14:paraId="7759DD6A">
      <w:pPr>
        <w:keepNext w:val="0"/>
        <w:keepLines w:val="0"/>
        <w:pageBreakBefore w:val="0"/>
        <w:spacing w:line="360" w:lineRule="auto"/>
        <w:ind w:firstLine="482"/>
        <w:outlineLvl w:val="1"/>
        <w:rPr>
          <w:rStyle w:val="35"/>
          <w:rFonts w:hint="eastAsia" w:ascii="宋体" w:hAnsi="宋体" w:eastAsia="宋体" w:cs="宋体"/>
          <w:color w:val="auto"/>
          <w:sz w:val="24"/>
          <w:szCs w:val="24"/>
          <w:highlight w:val="none"/>
          <w:lang w:val="en-US" w:eastAsia="zh-CN"/>
        </w:rPr>
      </w:pPr>
      <w:r>
        <w:rPr>
          <w:rFonts w:hint="eastAsia" w:ascii="宋体" w:hAnsi="宋体" w:eastAsia="宋体" w:cs="Courier New"/>
          <w:b/>
          <w:color w:val="auto"/>
          <w:sz w:val="24"/>
          <w:szCs w:val="24"/>
          <w:highlight w:val="none"/>
          <w:lang w:val="en-US" w:eastAsia="zh-CN"/>
        </w:rPr>
        <w:t>六、成果提交</w:t>
      </w:r>
    </w:p>
    <w:p w14:paraId="45B12321">
      <w:pPr>
        <w:keepNext w:val="0"/>
        <w:keepLines w:val="0"/>
        <w:pageBreakBefore w:val="0"/>
        <w:spacing w:line="360" w:lineRule="auto"/>
        <w:ind w:left="0" w:firstLine="482"/>
        <w:outlineLvl w:val="2"/>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（一）2026年一体化调查监测成果</w:t>
      </w:r>
    </w:p>
    <w:p w14:paraId="200AE920">
      <w:pPr>
        <w:keepNext w:val="0"/>
        <w:keepLines w:val="0"/>
        <w:pageBreakBefore w:val="0"/>
        <w:spacing w:line="360" w:lineRule="auto"/>
        <w:ind w:left="0" w:firstLine="482"/>
        <w:outlineLvl w:val="3"/>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1.国土变更调查成果</w:t>
      </w:r>
    </w:p>
    <w:p w14:paraId="30EB405A">
      <w:pPr>
        <w:keepNext w:val="0"/>
        <w:keepLines w:val="0"/>
        <w:pageBreakBefore w:val="0"/>
        <w:spacing w:line="360" w:lineRule="auto"/>
        <w:ind w:left="0" w:firstLine="480"/>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成果目录与要求按省级最新要求开展。</w:t>
      </w:r>
    </w:p>
    <w:p w14:paraId="75151C6E">
      <w:pPr>
        <w:keepNext w:val="0"/>
        <w:keepLines w:val="0"/>
        <w:pageBreakBefore w:val="0"/>
        <w:widowControl w:val="0"/>
        <w:numPr>
          <w:ilvl w:val="0"/>
          <w:numId w:val="12"/>
        </w:numPr>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202</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en-US" w:eastAsia="zh-CN"/>
        </w:rPr>
        <w:t>年度变更调查更新数据包；</w:t>
      </w:r>
    </w:p>
    <w:p w14:paraId="53AC96C5">
      <w:pPr>
        <w:keepNext w:val="0"/>
        <w:keepLines w:val="0"/>
        <w:pageBreakBefore w:val="0"/>
        <w:widowControl w:val="0"/>
        <w:numPr>
          <w:ilvl w:val="0"/>
          <w:numId w:val="12"/>
        </w:numPr>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“互联网+”举证成果数据；</w:t>
      </w:r>
    </w:p>
    <w:p w14:paraId="13038689">
      <w:pPr>
        <w:keepNext w:val="0"/>
        <w:keepLines w:val="0"/>
        <w:pageBreakBefore w:val="0"/>
        <w:widowControl w:val="0"/>
        <w:numPr>
          <w:ilvl w:val="0"/>
          <w:numId w:val="12"/>
        </w:numPr>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举证信息表；</w:t>
      </w:r>
    </w:p>
    <w:p w14:paraId="5DF70979">
      <w:pPr>
        <w:keepNext w:val="0"/>
        <w:keepLines w:val="0"/>
        <w:pageBreakBefore w:val="0"/>
        <w:widowControl w:val="0"/>
        <w:numPr>
          <w:ilvl w:val="0"/>
          <w:numId w:val="12"/>
        </w:numPr>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《遥感监测图斑信息核实记录表》；</w:t>
      </w:r>
    </w:p>
    <w:p w14:paraId="3CE0E16C">
      <w:pPr>
        <w:keepNext w:val="0"/>
        <w:keepLines w:val="0"/>
        <w:pageBreakBefore w:val="0"/>
        <w:widowControl w:val="0"/>
        <w:numPr>
          <w:ilvl w:val="0"/>
          <w:numId w:val="12"/>
        </w:numPr>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更新调查面积表。</w:t>
      </w:r>
    </w:p>
    <w:p w14:paraId="47C7E523">
      <w:pPr>
        <w:keepNext w:val="0"/>
        <w:keepLines w:val="0"/>
        <w:pageBreakBefore w:val="0"/>
        <w:spacing w:line="360" w:lineRule="auto"/>
        <w:ind w:left="0" w:firstLine="482"/>
        <w:outlineLvl w:val="3"/>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森林草原湿地调查监测</w:t>
      </w:r>
    </w:p>
    <w:p w14:paraId="4BBAB531">
      <w:pPr>
        <w:keepNext w:val="0"/>
        <w:keepLines w:val="0"/>
        <w:pageBreakBefore w:val="0"/>
        <w:spacing w:line="360" w:lineRule="auto"/>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1)数据库成果</w:t>
      </w:r>
    </w:p>
    <w:p w14:paraId="157B8816">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①森林草原湿地普查和荒漠化沙化、石漠化调查监测数据库。包括遥感影像数据库以及森林草原湿地普查和荒漠化沙化、石漠化调查监测成果数据库。</w:t>
      </w:r>
    </w:p>
    <w:p w14:paraId="0400B55D">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②森林草原湿地普查和荒漠化沙化、石漠化调查监测基础支撑数据库。包括基础数表、计量模型及参数数据库。</w:t>
      </w:r>
    </w:p>
    <w:p w14:paraId="0FA3C211">
      <w:pPr>
        <w:keepNext w:val="0"/>
        <w:keepLines w:val="0"/>
        <w:pageBreakBefore w:val="0"/>
        <w:spacing w:line="360" w:lineRule="auto"/>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2)统计成果</w:t>
      </w:r>
    </w:p>
    <w:p w14:paraId="4018EF6A">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森林草原湿地普查和荒漠化沙化、石漠化调查监测成果统计表。包括反映森林草原湿地保护利用状况、林草植被状况、森林草原湿地生产力，以及荒漠化沙化、石漠化状况、可治理沙化土地及沙化、石漠化土地治理情况等一系列成果统计表。</w:t>
      </w:r>
    </w:p>
    <w:p w14:paraId="4E0A9F39">
      <w:pPr>
        <w:keepNext w:val="0"/>
        <w:keepLines w:val="0"/>
        <w:pageBreakBefore w:val="0"/>
        <w:spacing w:line="360" w:lineRule="auto"/>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3)图件成果</w:t>
      </w:r>
    </w:p>
    <w:p w14:paraId="3319308B">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①林草资源分布图。包括林草植被分布图、森林分布图、草原分布图、湿地分布图。</w:t>
      </w:r>
    </w:p>
    <w:p w14:paraId="51182939">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②荒漠化沙化、石漠化土地分布图。包括荒漠化类型和程度分布图、沙化类型分布图、沙化程度分布图、沙化土地治理分布图、石漠化状况和程度分布图等。</w:t>
      </w:r>
    </w:p>
    <w:p w14:paraId="440B5AC6">
      <w:pPr>
        <w:keepNext w:val="0"/>
        <w:keepLines w:val="0"/>
        <w:pageBreakBefore w:val="0"/>
        <w:spacing w:line="360" w:lineRule="auto"/>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4)文档成果</w:t>
      </w:r>
    </w:p>
    <w:p w14:paraId="67A871CF">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森林草原湿地荒漠调查监测成果报告。</w:t>
      </w:r>
    </w:p>
    <w:p w14:paraId="7349E634">
      <w:pPr>
        <w:keepNext w:val="0"/>
        <w:keepLines w:val="0"/>
        <w:pageBreakBefore w:val="0"/>
        <w:spacing w:line="360" w:lineRule="auto"/>
        <w:ind w:left="0" w:firstLine="482"/>
        <w:outlineLvl w:val="3"/>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自然资源监测（含城市国土空间监测）成果</w:t>
      </w:r>
    </w:p>
    <w:p w14:paraId="0FDF9773">
      <w:pPr>
        <w:keepNext w:val="0"/>
        <w:keepLines w:val="0"/>
        <w:pageBreakBefore w:val="0"/>
        <w:spacing w:line="360" w:lineRule="auto"/>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1)基础成果</w:t>
      </w:r>
    </w:p>
    <w:p w14:paraId="3F7F298C">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按照统一要求，通过整合、采集、细化形成的空间数据成果。各地制作的正射纠正影像数据。</w:t>
      </w:r>
    </w:p>
    <w:p w14:paraId="68FD1ABB">
      <w:pPr>
        <w:keepNext w:val="0"/>
        <w:keepLines w:val="0"/>
        <w:pageBreakBefore w:val="0"/>
        <w:spacing w:line="360" w:lineRule="auto"/>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2)统计成果</w:t>
      </w:r>
    </w:p>
    <w:p w14:paraId="238471BD">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基于基础成果进行汇总统计形成的数据成果。</w:t>
      </w:r>
    </w:p>
    <w:p w14:paraId="0EBC9932">
      <w:pPr>
        <w:keepNext w:val="0"/>
        <w:keepLines w:val="0"/>
        <w:pageBreakBefore w:val="0"/>
        <w:spacing w:line="360" w:lineRule="auto"/>
        <w:ind w:left="0" w:firstLine="480"/>
        <w:outlineLvl w:val="4"/>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3)分析成果</w:t>
      </w:r>
    </w:p>
    <w:p w14:paraId="023ACFC0">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提交城市国土空间监测统计成果。</w:t>
      </w:r>
    </w:p>
    <w:p w14:paraId="6B0EAD0D">
      <w:pPr>
        <w:keepNext w:val="0"/>
        <w:keepLines w:val="0"/>
        <w:pageBreakBefore w:val="0"/>
        <w:spacing w:line="360" w:lineRule="auto"/>
        <w:ind w:left="0" w:firstLine="482"/>
        <w:outlineLvl w:val="2"/>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eastAsia="zh-CN"/>
        </w:rPr>
        <w:t>卫片监测预警核实处置</w:t>
      </w:r>
    </w:p>
    <w:p w14:paraId="07C186D9">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1)新增建设用地核实台账和疑似违法用地台账</w:t>
      </w:r>
    </w:p>
    <w:p w14:paraId="7271112F">
      <w:pPr>
        <w:keepNext w:val="0"/>
        <w:keepLines w:val="0"/>
        <w:pageBreakBefore w:val="0"/>
        <w:spacing w:line="360" w:lineRule="auto"/>
        <w:ind w:left="0"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lang w:val="en-US" w:eastAsia="zh-CN"/>
        </w:rPr>
        <w:t>各级执法条线下发核实图斑</w:t>
      </w:r>
      <w:r>
        <w:rPr>
          <w:rFonts w:hint="eastAsia" w:ascii="宋体" w:hAnsi="宋体" w:eastAsia="宋体" w:cs="宋体"/>
          <w:b w:val="0"/>
          <w:bCs w:val="0"/>
          <w:color w:val="auto"/>
          <w:sz w:val="24"/>
          <w:szCs w:val="24"/>
          <w:highlight w:val="none"/>
          <w:lang w:val="en-US" w:eastAsia="zh-CN"/>
        </w:rPr>
        <w:t>举证材料包</w:t>
      </w:r>
    </w:p>
    <w:p w14:paraId="1847C668">
      <w:pPr>
        <w:keepNext w:val="0"/>
        <w:keepLines w:val="0"/>
        <w:pageBreakBefore w:val="0"/>
        <w:spacing w:line="360" w:lineRule="auto"/>
        <w:ind w:firstLine="482"/>
        <w:rPr>
          <w:rFonts w:hint="eastAsia" w:ascii="宋体" w:hAnsi="宋体" w:cs="Courier New"/>
          <w:b/>
          <w:color w:val="auto"/>
          <w:sz w:val="24"/>
          <w:szCs w:val="24"/>
          <w:highlight w:val="none"/>
          <w:lang w:val="en-US" w:eastAsia="zh-CN"/>
        </w:rPr>
      </w:pPr>
    </w:p>
    <w:p w14:paraId="734A65A2">
      <w:pPr>
        <w:keepNext w:val="0"/>
        <w:keepLines w:val="0"/>
        <w:pageBreakBefore w:val="0"/>
        <w:spacing w:line="360" w:lineRule="auto"/>
        <w:ind w:firstLine="482"/>
        <w:outlineLvl w:val="1"/>
        <w:rPr>
          <w:rFonts w:hint="eastAsia" w:ascii="宋体" w:hAnsi="宋体" w:cs="Courier New"/>
          <w:b/>
          <w:color w:val="auto"/>
          <w:sz w:val="24"/>
          <w:szCs w:val="24"/>
          <w:highlight w:val="none"/>
        </w:rPr>
      </w:pPr>
      <w:r>
        <w:rPr>
          <w:rFonts w:hint="eastAsia" w:ascii="宋体" w:hAnsi="宋体" w:cs="Courier New"/>
          <w:b/>
          <w:color w:val="auto"/>
          <w:sz w:val="24"/>
          <w:szCs w:val="24"/>
          <w:highlight w:val="none"/>
          <w:lang w:val="en-US" w:eastAsia="zh-CN"/>
        </w:rPr>
        <w:t>七</w:t>
      </w:r>
      <w:r>
        <w:rPr>
          <w:rFonts w:hint="eastAsia" w:ascii="宋体" w:hAnsi="宋体" w:cs="Courier New"/>
          <w:b/>
          <w:color w:val="auto"/>
          <w:sz w:val="24"/>
          <w:szCs w:val="24"/>
          <w:highlight w:val="none"/>
        </w:rPr>
        <w:t>、履约验收</w:t>
      </w:r>
    </w:p>
    <w:p w14:paraId="0373BADE">
      <w:pPr>
        <w:keepNext w:val="0"/>
        <w:keepLines w:val="0"/>
        <w:pageBreakBefore w:val="0"/>
        <w:spacing w:line="360" w:lineRule="auto"/>
        <w:ind w:firstLine="480"/>
        <w:outlineLvl w:val="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验收方法和标准</w:t>
      </w:r>
    </w:p>
    <w:p w14:paraId="2BB5F4E1">
      <w:pPr>
        <w:keepNext w:val="0"/>
        <w:keepLines w:val="0"/>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验收标准：</w:t>
      </w:r>
      <w:r>
        <w:rPr>
          <w:rFonts w:hint="eastAsia" w:ascii="宋体" w:hAnsi="宋体" w:eastAsia="宋体" w:cs="宋体"/>
          <w:b w:val="0"/>
          <w:bCs w:val="0"/>
          <w:color w:val="auto"/>
          <w:sz w:val="24"/>
          <w:szCs w:val="24"/>
          <w:highlight w:val="none"/>
          <w:lang w:val="en-US" w:eastAsia="zh-CN"/>
        </w:rPr>
        <w:t>按照国家和省有关技术要求，完成泗洪县2026年度一体化调查监测各项工作。成果需符合国家、省、市有关技术要求，通过省级检查和国家核查。常态化日常变更成果按月度或按需动态汇交，10月31日前完成阶段性成果汇总，12月31日前完成年度调查监测成果数据汇总。</w:t>
      </w:r>
    </w:p>
    <w:p w14:paraId="722FBA90">
      <w:pPr>
        <w:keepNext w:val="0"/>
        <w:keepLines w:val="0"/>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1.2</w:t>
      </w:r>
      <w:r>
        <w:rPr>
          <w:rFonts w:hint="eastAsia" w:ascii="宋体" w:hAnsi="宋体" w:eastAsia="宋体" w:cs="宋体"/>
          <w:sz w:val="24"/>
          <w:szCs w:val="24"/>
        </w:rPr>
        <w:t>验收要求：服务期结束后3个工作日内依法组织履约验收。甲方根据项目特点进行验收。履约验收程序按甲方要求。甲方以磋商文件、乙方的响应文件、合同为依据，乙方提交最终成果并通过相关部门审查后完成最终验收。最终验收时间以相关部门审查备案通过时间为准，各项资料存档备查。若因成交人原因造成无法验收通过的，</w:t>
      </w:r>
      <w:r>
        <w:rPr>
          <w:rFonts w:hint="eastAsia" w:ascii="宋体" w:hAnsi="宋体" w:eastAsia="宋体" w:cs="宋体"/>
          <w:sz w:val="24"/>
          <w:szCs w:val="24"/>
          <w:lang w:eastAsia="zh-CN"/>
        </w:rPr>
        <w:t>甲方</w:t>
      </w:r>
      <w:r>
        <w:rPr>
          <w:rFonts w:hint="eastAsia" w:ascii="宋体" w:hAnsi="宋体" w:eastAsia="宋体" w:cs="宋体"/>
          <w:sz w:val="24"/>
          <w:szCs w:val="24"/>
        </w:rPr>
        <w:t>将拒绝付款，并追究成交人的违约责任。</w:t>
      </w:r>
    </w:p>
    <w:p w14:paraId="35423532">
      <w:pPr>
        <w:keepNext w:val="0"/>
        <w:keepLines w:val="0"/>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1.3</w:t>
      </w:r>
      <w:r>
        <w:rPr>
          <w:rFonts w:hint="eastAsia" w:ascii="宋体" w:hAnsi="宋体" w:eastAsia="宋体" w:cs="宋体"/>
          <w:sz w:val="24"/>
          <w:szCs w:val="24"/>
        </w:rPr>
        <w:t>验收合格的项目，甲方根据采购合同的约定及时向</w:t>
      </w:r>
      <w:r>
        <w:rPr>
          <w:rFonts w:hint="eastAsia" w:ascii="宋体" w:hAnsi="宋体" w:eastAsia="宋体" w:cs="宋体"/>
          <w:sz w:val="24"/>
          <w:szCs w:val="24"/>
          <w:lang w:eastAsia="zh-CN"/>
        </w:rPr>
        <w:t>乙方</w:t>
      </w:r>
      <w:r>
        <w:rPr>
          <w:rFonts w:hint="eastAsia" w:ascii="宋体" w:hAnsi="宋体" w:eastAsia="宋体" w:cs="宋体"/>
          <w:sz w:val="24"/>
          <w:szCs w:val="24"/>
        </w:rPr>
        <w:t>支付合同款项。验收不合格的项目，甲方依法及时处理。采购合同的履行、违约责任和解决争议的方式等适用</w:t>
      </w:r>
      <w:r>
        <w:rPr>
          <w:rFonts w:hint="eastAsia" w:ascii="宋体" w:hAnsi="宋体" w:eastAsia="宋体" w:cs="宋体"/>
          <w:sz w:val="24"/>
          <w:szCs w:val="24"/>
          <w:lang w:eastAsia="zh-CN"/>
        </w:rPr>
        <w:t>《中华人民共和国民法典》</w:t>
      </w:r>
      <w:r>
        <w:rPr>
          <w:rFonts w:hint="eastAsia" w:ascii="宋体" w:hAnsi="宋体" w:eastAsia="宋体" w:cs="宋体"/>
          <w:sz w:val="24"/>
          <w:szCs w:val="24"/>
        </w:rPr>
        <w:t>。乙方在履约过程中有政府采购法律法规规定的违法违规情形的，甲方将及时报告本级财政部门。</w:t>
      </w:r>
    </w:p>
    <w:p w14:paraId="5FCFB813">
      <w:pPr>
        <w:keepNext w:val="0"/>
        <w:keepLines w:val="0"/>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甲方</w:t>
      </w:r>
      <w:r>
        <w:rPr>
          <w:rFonts w:hint="eastAsia" w:ascii="宋体" w:hAnsi="宋体" w:eastAsia="宋体" w:cs="宋体"/>
          <w:sz w:val="24"/>
          <w:szCs w:val="24"/>
        </w:rPr>
        <w:t>因部、省、市、县出台的新的技术标准和要求或规范规程时，变更委托项目工作内容、压缩工期、修改项目实质性工作内容（如要求</w:t>
      </w:r>
      <w:r>
        <w:rPr>
          <w:rFonts w:hint="eastAsia" w:ascii="宋体" w:hAnsi="宋体" w:eastAsia="宋体" w:cs="宋体"/>
          <w:sz w:val="24"/>
          <w:szCs w:val="24"/>
          <w:lang w:eastAsia="zh-CN"/>
        </w:rPr>
        <w:t>乙方</w:t>
      </w:r>
      <w:r>
        <w:rPr>
          <w:rFonts w:hint="eastAsia" w:ascii="宋体" w:hAnsi="宋体" w:eastAsia="宋体" w:cs="宋体"/>
          <w:sz w:val="24"/>
          <w:szCs w:val="24"/>
        </w:rPr>
        <w:t>提供超出质量标准以外的质量要求等）或因其他原因，导致</w:t>
      </w:r>
      <w:r>
        <w:rPr>
          <w:rFonts w:hint="eastAsia" w:ascii="宋体" w:hAnsi="宋体" w:eastAsia="宋体" w:cs="宋体"/>
          <w:sz w:val="24"/>
          <w:szCs w:val="24"/>
          <w:lang w:eastAsia="zh-CN"/>
        </w:rPr>
        <w:t>乙方</w:t>
      </w:r>
      <w:r>
        <w:rPr>
          <w:rFonts w:hint="eastAsia" w:ascii="宋体" w:hAnsi="宋体" w:eastAsia="宋体" w:cs="宋体"/>
          <w:sz w:val="24"/>
          <w:szCs w:val="24"/>
        </w:rPr>
        <w:t>工作返工或增加工作量的，双方应另行协商签订补充协议增加工作经费。</w:t>
      </w:r>
    </w:p>
    <w:p w14:paraId="005F2215">
      <w:pPr>
        <w:keepNext w:val="0"/>
        <w:keepLines w:val="0"/>
        <w:pageBreakBefore w:val="0"/>
        <w:spacing w:line="360" w:lineRule="auto"/>
        <w:ind w:firstLine="480"/>
        <w:rPr>
          <w:rFonts w:hint="eastAsia" w:ascii="宋体" w:hAnsi="宋体" w:cs="Courier New"/>
          <w:b/>
          <w:color w:val="auto"/>
          <w:sz w:val="24"/>
          <w:szCs w:val="24"/>
          <w:highlight w:val="none"/>
          <w:lang w:val="en-US"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rPr>
        <w:t>项目完成后，如</w:t>
      </w:r>
      <w:r>
        <w:rPr>
          <w:rFonts w:hint="eastAsia" w:ascii="宋体" w:hAnsi="宋体" w:eastAsia="宋体" w:cs="宋体"/>
          <w:sz w:val="24"/>
          <w:szCs w:val="24"/>
          <w:lang w:eastAsia="zh-CN"/>
        </w:rPr>
        <w:t>甲方</w:t>
      </w:r>
      <w:r>
        <w:rPr>
          <w:rFonts w:hint="eastAsia" w:ascii="宋体" w:hAnsi="宋体" w:eastAsia="宋体" w:cs="宋体"/>
          <w:sz w:val="24"/>
          <w:szCs w:val="24"/>
        </w:rPr>
        <w:t>需要打印图件或文本资料，成交</w:t>
      </w:r>
      <w:r>
        <w:rPr>
          <w:rFonts w:hint="eastAsia" w:ascii="宋体" w:hAnsi="宋体" w:eastAsia="宋体" w:cs="宋体"/>
          <w:sz w:val="24"/>
          <w:szCs w:val="24"/>
          <w:lang w:eastAsia="zh-CN"/>
        </w:rPr>
        <w:t>乙方</w:t>
      </w:r>
      <w:r>
        <w:rPr>
          <w:rFonts w:hint="eastAsia" w:ascii="宋体" w:hAnsi="宋体" w:eastAsia="宋体" w:cs="宋体"/>
          <w:sz w:val="24"/>
          <w:szCs w:val="24"/>
        </w:rPr>
        <w:t>应第一时间响应。</w:t>
      </w:r>
    </w:p>
    <w:p w14:paraId="1AD28A80">
      <w:pPr>
        <w:keepNext w:val="0"/>
        <w:keepLines w:val="0"/>
        <w:pageBreakBefore w:val="0"/>
        <w:spacing w:line="360" w:lineRule="auto"/>
        <w:ind w:firstLine="482"/>
        <w:outlineLvl w:val="1"/>
        <w:rPr>
          <w:rFonts w:hint="eastAsia" w:ascii="宋体" w:hAnsi="宋体" w:cs="Courier New"/>
          <w:b/>
          <w:color w:val="auto"/>
          <w:sz w:val="24"/>
          <w:szCs w:val="24"/>
          <w:highlight w:val="none"/>
        </w:rPr>
      </w:pPr>
      <w:r>
        <w:rPr>
          <w:rFonts w:hint="eastAsia" w:ascii="宋体" w:hAnsi="宋体" w:cs="Courier New"/>
          <w:b/>
          <w:color w:val="auto"/>
          <w:sz w:val="24"/>
          <w:szCs w:val="24"/>
          <w:highlight w:val="none"/>
          <w:lang w:val="en-US" w:eastAsia="zh-CN"/>
        </w:rPr>
        <w:t>八</w:t>
      </w:r>
      <w:r>
        <w:rPr>
          <w:rFonts w:hint="eastAsia" w:ascii="宋体" w:hAnsi="宋体" w:cs="Courier New"/>
          <w:b/>
          <w:color w:val="auto"/>
          <w:sz w:val="24"/>
          <w:szCs w:val="24"/>
          <w:highlight w:val="none"/>
        </w:rPr>
        <w:t>、组成合同的文件</w:t>
      </w:r>
    </w:p>
    <w:p w14:paraId="3B823197">
      <w:pPr>
        <w:pStyle w:val="39"/>
        <w:keepNext w:val="0"/>
        <w:keepLines w:val="0"/>
        <w:pageBreakBefore w:val="0"/>
        <w:spacing w:line="360" w:lineRule="auto"/>
        <w:ind w:left="482"/>
        <w:rPr>
          <w:rFonts w:ascii="Times New Roman" w:hAnsi="Times New Roman"/>
          <w:color w:val="auto"/>
          <w:sz w:val="24"/>
          <w:szCs w:val="24"/>
          <w:highlight w:val="none"/>
        </w:rPr>
      </w:pPr>
      <w:r>
        <w:rPr>
          <w:rFonts w:ascii="Times New Roman" w:hAnsi="Times New Roman"/>
          <w:color w:val="auto"/>
          <w:sz w:val="24"/>
          <w:szCs w:val="24"/>
          <w:highlight w:val="none"/>
        </w:rPr>
        <w:t>如下述文件之间有任何抵触、矛盾或歧义，应按以下顺序解释：</w:t>
      </w:r>
    </w:p>
    <w:p w14:paraId="2A14D87E">
      <w:pPr>
        <w:keepNext w:val="0"/>
        <w:keepLines w:val="0"/>
        <w:pageBreakBefore w:val="0"/>
        <w:spacing w:line="360" w:lineRule="auto"/>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1.政府采购合同协议书及其变更、补充协议；</w:t>
      </w:r>
    </w:p>
    <w:p w14:paraId="6AD112DA">
      <w:pPr>
        <w:keepNext w:val="0"/>
        <w:keepLines w:val="0"/>
        <w:pageBreakBefore w:val="0"/>
        <w:spacing w:line="360" w:lineRule="auto"/>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2.成交通知书；</w:t>
      </w:r>
    </w:p>
    <w:p w14:paraId="15AE96DA">
      <w:pPr>
        <w:keepNext w:val="0"/>
        <w:keepLines w:val="0"/>
        <w:pageBreakBefore w:val="0"/>
        <w:spacing w:line="360" w:lineRule="auto"/>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3.响应文件；</w:t>
      </w:r>
    </w:p>
    <w:p w14:paraId="4C1AD809">
      <w:pPr>
        <w:keepNext w:val="0"/>
        <w:keepLines w:val="0"/>
        <w:pageBreakBefore w:val="0"/>
        <w:spacing w:line="360" w:lineRule="auto"/>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4.磋商文件；</w:t>
      </w:r>
    </w:p>
    <w:p w14:paraId="110D62C1">
      <w:pPr>
        <w:keepNext w:val="0"/>
        <w:keepLines w:val="0"/>
        <w:pageBreakBefore w:val="0"/>
        <w:spacing w:line="360" w:lineRule="auto"/>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5.有关技术文件，图纸；</w:t>
      </w:r>
    </w:p>
    <w:p w14:paraId="0D52D0D7">
      <w:pPr>
        <w:keepNext w:val="0"/>
        <w:keepLines w:val="0"/>
        <w:pageBreakBefore w:val="0"/>
        <w:spacing w:line="360" w:lineRule="auto"/>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6.国家法律、行政法规和规章制度规定或合同约定的作为合同组成部分的其他文件。</w:t>
      </w:r>
    </w:p>
    <w:p w14:paraId="7C6EA6B7">
      <w:pPr>
        <w:keepNext w:val="0"/>
        <w:keepLines w:val="0"/>
        <w:pageBreakBefore w:val="0"/>
        <w:spacing w:line="360" w:lineRule="auto"/>
        <w:ind w:firstLine="482"/>
        <w:outlineLvl w:val="1"/>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九</w:t>
      </w:r>
      <w:r>
        <w:rPr>
          <w:rFonts w:ascii="Times New Roman" w:hAnsi="Times New Roman"/>
          <w:b/>
          <w:color w:val="auto"/>
          <w:sz w:val="24"/>
          <w:szCs w:val="24"/>
          <w:highlight w:val="none"/>
        </w:rPr>
        <w:t>、违约责任</w:t>
      </w:r>
    </w:p>
    <w:p w14:paraId="1F0861D7">
      <w:pPr>
        <w:keepNext w:val="0"/>
        <w:keepLines w:val="0"/>
        <w:pageBreakBefore w:val="0"/>
        <w:spacing w:line="360" w:lineRule="auto"/>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1.甲方无正当理由拒绝接受乙方提供的合同标的的，甲方向乙方偿付拒绝接受合同价款总值</w:t>
      </w:r>
      <w:r>
        <w:rPr>
          <w:rFonts w:hint="eastAsia" w:ascii="Times New Roman" w:hAnsi="Times New Roman"/>
          <w:bCs/>
          <w:color w:val="auto"/>
          <w:sz w:val="24"/>
          <w:szCs w:val="24"/>
          <w:highlight w:val="none"/>
          <w:u w:val="single"/>
          <w:lang w:val="en-US" w:eastAsia="zh-CN"/>
        </w:rPr>
        <w:t>千分之五</w:t>
      </w:r>
      <w:r>
        <w:rPr>
          <w:rFonts w:ascii="Times New Roman" w:hAnsi="Times New Roman"/>
          <w:bCs/>
          <w:color w:val="auto"/>
          <w:sz w:val="24"/>
          <w:szCs w:val="24"/>
          <w:highlight w:val="none"/>
        </w:rPr>
        <w:t>的违约金。</w:t>
      </w:r>
    </w:p>
    <w:p w14:paraId="1C74723B">
      <w:pPr>
        <w:keepNext w:val="0"/>
        <w:keepLines w:val="0"/>
        <w:pageBreakBefore w:val="0"/>
        <w:spacing w:line="360" w:lineRule="auto"/>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2.乙方提供的服务不符合合同约定的质量标准或存在质量缺陷，甲方有权要求乙方及时修理、重作、更换，并承担由此给甲方造成的损失。</w:t>
      </w:r>
    </w:p>
    <w:p w14:paraId="2A714BCF">
      <w:pPr>
        <w:keepNext w:val="0"/>
        <w:keepLines w:val="0"/>
        <w:pageBreakBefore w:val="0"/>
        <w:spacing w:line="360" w:lineRule="auto"/>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lang w:val="en-US" w:eastAsia="zh-CN"/>
        </w:rPr>
        <w:t>3</w:t>
      </w:r>
      <w:r>
        <w:rPr>
          <w:rFonts w:ascii="Times New Roman" w:hAnsi="Times New Roman"/>
          <w:bCs/>
          <w:color w:val="auto"/>
          <w:sz w:val="24"/>
          <w:szCs w:val="24"/>
          <w:highlight w:val="none"/>
        </w:rPr>
        <w:t>.乙方应按本合同规定的时间、地点提供相关服务。在履行合同过程中，如乙方遇可能影响按时提供服务的情形时，应及时以书面形式将迟延的事实、可能迟延的期限和理由通知甲方。甲方在收到乙方通知后，应尽快对情况进行评价，并确定是否同意延长交货时间或延期提供服务。</w:t>
      </w:r>
    </w:p>
    <w:p w14:paraId="6EFEBFE4">
      <w:pPr>
        <w:keepNext w:val="0"/>
        <w:keepLines w:val="0"/>
        <w:pageBreakBefore w:val="0"/>
        <w:spacing w:line="360" w:lineRule="auto"/>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lang w:val="en-US" w:eastAsia="zh-CN"/>
        </w:rPr>
        <w:t>4</w:t>
      </w:r>
      <w:r>
        <w:rPr>
          <w:rFonts w:ascii="Times New Roman" w:hAnsi="Times New Roman"/>
          <w:bCs/>
          <w:color w:val="auto"/>
          <w:sz w:val="24"/>
          <w:szCs w:val="24"/>
          <w:highlight w:val="none"/>
        </w:rPr>
        <w:t>.如乙方没有按照合同规定提供相关服务，甲方有权从合同款中扣除误期赔偿费而不影响合同项下的其他补救方法，赔偿费按逾期交付合同总额每日千分之</w:t>
      </w:r>
      <w:r>
        <w:rPr>
          <w:rFonts w:ascii="Times New Roman" w:hAnsi="Times New Roman"/>
          <w:bCs/>
          <w:color w:val="auto"/>
          <w:sz w:val="24"/>
          <w:szCs w:val="24"/>
          <w:highlight w:val="none"/>
          <w:u w:val="single"/>
        </w:rPr>
        <w:t>六</w:t>
      </w:r>
      <w:r>
        <w:rPr>
          <w:rFonts w:ascii="Times New Roman" w:hAnsi="Times New Roman"/>
          <w:bCs/>
          <w:color w:val="auto"/>
          <w:sz w:val="24"/>
          <w:szCs w:val="24"/>
          <w:highlight w:val="none"/>
        </w:rPr>
        <w:t>执行。逾期超过约定日期</w:t>
      </w:r>
      <w:r>
        <w:rPr>
          <w:rFonts w:ascii="Times New Roman" w:hAnsi="Times New Roman"/>
          <w:bCs/>
          <w:color w:val="auto"/>
          <w:sz w:val="24"/>
          <w:szCs w:val="24"/>
          <w:highlight w:val="none"/>
          <w:u w:val="single"/>
        </w:rPr>
        <w:t>10</w:t>
      </w:r>
      <w:r>
        <w:rPr>
          <w:rFonts w:ascii="Times New Roman" w:hAnsi="Times New Roman"/>
          <w:bCs/>
          <w:color w:val="auto"/>
          <w:sz w:val="24"/>
          <w:szCs w:val="24"/>
          <w:highlight w:val="none"/>
        </w:rPr>
        <w:t>个工作日，甲方可解除本合同。</w:t>
      </w:r>
      <w:r>
        <w:rPr>
          <w:rFonts w:ascii="Times New Roman" w:hAnsi="Times New Roman"/>
          <w:color w:val="auto"/>
          <w:sz w:val="24"/>
          <w:szCs w:val="24"/>
          <w:highlight w:val="none"/>
        </w:rPr>
        <w:t>如果涉及公共利益，且赔偿金额无法弥补公共利益损失，甲方可要求继续履行或者采取其他补救措施</w:t>
      </w:r>
      <w:r>
        <w:rPr>
          <w:rFonts w:ascii="Times New Roman" w:hAnsi="Times New Roman"/>
          <w:bCs/>
          <w:color w:val="auto"/>
          <w:sz w:val="24"/>
          <w:szCs w:val="24"/>
          <w:highlight w:val="none"/>
        </w:rPr>
        <w:t>。</w:t>
      </w:r>
    </w:p>
    <w:p w14:paraId="4825BFFB">
      <w:pPr>
        <w:keepNext w:val="0"/>
        <w:keepLines w:val="0"/>
        <w:pageBreakBefore w:val="0"/>
        <w:spacing w:line="360" w:lineRule="auto"/>
        <w:ind w:firstLine="482"/>
        <w:outlineLvl w:val="1"/>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十</w:t>
      </w:r>
      <w:r>
        <w:rPr>
          <w:rFonts w:ascii="Times New Roman" w:hAnsi="Times New Roman"/>
          <w:b/>
          <w:color w:val="auto"/>
          <w:sz w:val="24"/>
          <w:szCs w:val="24"/>
          <w:highlight w:val="none"/>
        </w:rPr>
        <w:t>、合同变更、中止与终止</w:t>
      </w:r>
    </w:p>
    <w:p w14:paraId="7C0E38C8">
      <w:pPr>
        <w:keepNext w:val="0"/>
        <w:keepLines w:val="0"/>
        <w:pageBreakBefore w:val="0"/>
        <w:spacing w:line="360" w:lineRule="auto"/>
        <w:ind w:left="482"/>
        <w:outlineLvl w:val="2"/>
        <w:rPr>
          <w:rFonts w:ascii="Times New Roman" w:hAnsi="Times New Roman"/>
          <w:b/>
          <w:color w:val="auto"/>
          <w:sz w:val="24"/>
          <w:szCs w:val="24"/>
          <w:highlight w:val="none"/>
        </w:rPr>
      </w:pPr>
      <w:r>
        <w:rPr>
          <w:rFonts w:ascii="Times New Roman" w:hAnsi="Times New Roman"/>
          <w:color w:val="auto"/>
          <w:sz w:val="24"/>
          <w:szCs w:val="24"/>
          <w:highlight w:val="none"/>
        </w:rPr>
        <w:t>1.合同的变更</w:t>
      </w:r>
    </w:p>
    <w:p w14:paraId="6A1D91E0">
      <w:pPr>
        <w:keepNext w:val="0"/>
        <w:keepLines w:val="0"/>
        <w:pageBreakBefore w:val="0"/>
        <w:spacing w:line="360" w:lineRule="auto"/>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政府采购合同履行中，在不改变合同其他条款的前提下，甲方可以在合同价款10%的范围内追加与合同标的相同的货物，并就此与乙方协商一致后签订补充协议。</w:t>
      </w:r>
    </w:p>
    <w:p w14:paraId="55656FEB">
      <w:pPr>
        <w:keepNext w:val="0"/>
        <w:keepLines w:val="0"/>
        <w:pageBreakBefore w:val="0"/>
        <w:spacing w:line="360" w:lineRule="auto"/>
        <w:ind w:firstLine="480"/>
        <w:jc w:val="left"/>
        <w:outlineLvl w:val="2"/>
        <w:rPr>
          <w:rFonts w:ascii="Times New Roman" w:hAnsi="Times New Roman"/>
          <w:color w:val="auto"/>
          <w:sz w:val="24"/>
          <w:szCs w:val="24"/>
          <w:highlight w:val="none"/>
        </w:rPr>
      </w:pPr>
      <w:r>
        <w:rPr>
          <w:rFonts w:ascii="Times New Roman" w:hAnsi="Times New Roman"/>
          <w:color w:val="auto"/>
          <w:sz w:val="24"/>
          <w:szCs w:val="24"/>
          <w:highlight w:val="none"/>
        </w:rPr>
        <w:t>2.合同的中止</w:t>
      </w:r>
    </w:p>
    <w:p w14:paraId="60C47A27">
      <w:pPr>
        <w:keepNext w:val="0"/>
        <w:keepLines w:val="0"/>
        <w:pageBreakBefore w:val="0"/>
        <w:spacing w:line="360" w:lineRule="auto"/>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（1）合同履行过程中因</w:t>
      </w:r>
      <w:r>
        <w:rPr>
          <w:rFonts w:hint="eastAsia" w:ascii="Times New Roman" w:hAnsi="Times New Roman"/>
          <w:color w:val="auto"/>
          <w:sz w:val="24"/>
          <w:szCs w:val="24"/>
          <w:highlight w:val="none"/>
          <w:lang w:eastAsia="zh-CN"/>
        </w:rPr>
        <w:t>乙方</w:t>
      </w:r>
      <w:r>
        <w:rPr>
          <w:rFonts w:ascii="Times New Roman" w:hAnsi="Times New Roman"/>
          <w:color w:val="auto"/>
          <w:sz w:val="24"/>
          <w:szCs w:val="24"/>
          <w:highlight w:val="none"/>
        </w:rPr>
        <w:t>就采购文件、采购过程或结果提起投诉的，甲方认为有必要的，可以中止合同的履行。</w:t>
      </w:r>
    </w:p>
    <w:p w14:paraId="69FC4FAA">
      <w:pPr>
        <w:keepNext w:val="0"/>
        <w:keepLines w:val="0"/>
        <w:pageBreakBefore w:val="0"/>
        <w:spacing w:line="360" w:lineRule="auto"/>
        <w:ind w:firstLine="480"/>
        <w:jc w:val="left"/>
        <w:outlineLvl w:val="3"/>
        <w:rPr>
          <w:rFonts w:ascii="Times New Roman" w:hAnsi="Times New Roman"/>
          <w:color w:val="auto"/>
          <w:sz w:val="24"/>
          <w:szCs w:val="24"/>
          <w:highlight w:val="none"/>
        </w:rPr>
      </w:pPr>
      <w:r>
        <w:rPr>
          <w:rFonts w:ascii="Times New Roman" w:hAnsi="Times New Roman"/>
          <w:color w:val="auto"/>
          <w:sz w:val="24"/>
          <w:szCs w:val="24"/>
          <w:highlight w:val="none"/>
        </w:rPr>
        <w:t>（2）合同履行过程中，如果乙方出现以下情形之一的：</w:t>
      </w:r>
    </w:p>
    <w:p w14:paraId="74350CC4">
      <w:pPr>
        <w:keepNext w:val="0"/>
        <w:keepLines w:val="0"/>
        <w:pageBreakBefore w:val="0"/>
        <w:spacing w:line="360" w:lineRule="auto"/>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0C2A6B1">
      <w:pPr>
        <w:pStyle w:val="504"/>
        <w:keepNext w:val="0"/>
        <w:keepLines w:val="0"/>
        <w:pageBreakBefore w:val="0"/>
        <w:spacing w:line="360" w:lineRule="auto"/>
        <w:ind w:firstLine="480"/>
        <w:jc w:val="both"/>
        <w:rPr>
          <w:rFonts w:ascii="Times New Roman" w:hAnsi="Times New Roman" w:cs="Times New Roman"/>
          <w:color w:val="auto"/>
          <w:sz w:val="24"/>
          <w:szCs w:val="24"/>
          <w:highlight w:val="none"/>
        </w:rPr>
      </w:pPr>
      <w:r>
        <w:rPr>
          <w:rFonts w:ascii="Times New Roman" w:hAnsi="Times New Roman" w:eastAsia="宋体" w:cs="Times New Roman"/>
          <w:color w:val="auto"/>
          <w:sz w:val="24"/>
          <w:szCs w:val="24"/>
          <w:highlight w:val="none"/>
        </w:rPr>
        <w:t>（3）乙方分立、合并或者变更住所的，应当及时以书面形式告知甲方。乙方没有及时告知甲方，致使合同履行发生困难的，甲方可以中止合同履行并要求乙方承担由此给甲方造成的损失。</w:t>
      </w:r>
    </w:p>
    <w:p w14:paraId="17836AB7">
      <w:pPr>
        <w:keepNext w:val="0"/>
        <w:keepLines w:val="0"/>
        <w:pageBreakBefore w:val="0"/>
        <w:spacing w:line="360" w:lineRule="auto"/>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（4）甲方不得以行政区划调整、政府换届、机构或者职能调整以及相关责任人更替为由中止合同。</w:t>
      </w:r>
    </w:p>
    <w:p w14:paraId="1E5E70E5">
      <w:pPr>
        <w:keepNext w:val="0"/>
        <w:keepLines w:val="0"/>
        <w:pageBreakBefore w:val="0"/>
        <w:spacing w:line="360" w:lineRule="auto"/>
        <w:ind w:firstLine="480"/>
        <w:jc w:val="left"/>
        <w:outlineLvl w:val="2"/>
        <w:rPr>
          <w:rFonts w:ascii="Times New Roman" w:hAnsi="Times New Roman"/>
          <w:color w:val="auto"/>
          <w:sz w:val="24"/>
          <w:szCs w:val="24"/>
          <w:highlight w:val="none"/>
        </w:rPr>
      </w:pPr>
      <w:r>
        <w:rPr>
          <w:rFonts w:ascii="Times New Roman" w:hAnsi="Times New Roman"/>
          <w:color w:val="auto"/>
          <w:sz w:val="24"/>
          <w:szCs w:val="24"/>
          <w:highlight w:val="none"/>
        </w:rPr>
        <w:t>3.合同的终止</w:t>
      </w:r>
    </w:p>
    <w:p w14:paraId="15D24630">
      <w:pPr>
        <w:keepNext w:val="0"/>
        <w:keepLines w:val="0"/>
        <w:pageBreakBefore w:val="0"/>
        <w:spacing w:line="360" w:lineRule="auto"/>
        <w:ind w:firstLine="480"/>
        <w:jc w:val="left"/>
        <w:outlineLvl w:val="3"/>
        <w:rPr>
          <w:rFonts w:ascii="Times New Roman" w:hAnsi="Times New Roman"/>
          <w:color w:val="auto"/>
          <w:sz w:val="24"/>
          <w:szCs w:val="24"/>
          <w:highlight w:val="none"/>
        </w:rPr>
      </w:pPr>
      <w:r>
        <w:rPr>
          <w:rFonts w:ascii="Times New Roman" w:hAnsi="Times New Roman"/>
          <w:color w:val="auto"/>
          <w:sz w:val="24"/>
          <w:szCs w:val="24"/>
          <w:highlight w:val="none"/>
        </w:rPr>
        <w:t>（1）合同因有效期限届满而终止；</w:t>
      </w:r>
    </w:p>
    <w:p w14:paraId="51A3E101">
      <w:pPr>
        <w:keepNext w:val="0"/>
        <w:keepLines w:val="0"/>
        <w:pageBreakBefore w:val="0"/>
        <w:spacing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（2）乙方未按合同约定履行，构成根本性违约的，甲方有权终止合同，并追究乙方的违约责任。</w:t>
      </w:r>
    </w:p>
    <w:p w14:paraId="3351FCB6">
      <w:pPr>
        <w:pStyle w:val="504"/>
        <w:keepNext w:val="0"/>
        <w:keepLines w:val="0"/>
        <w:pageBreakBefore w:val="0"/>
        <w:spacing w:line="360" w:lineRule="auto"/>
        <w:ind w:firstLine="480"/>
        <w:outlineLvl w:val="2"/>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4.</w:t>
      </w:r>
      <w:r>
        <w:rPr>
          <w:rFonts w:ascii="Times New Roman" w:hAnsi="Times New Roman" w:eastAsia="宋体" w:cs="Times New Roman"/>
          <w:color w:val="auto"/>
          <w:sz w:val="24"/>
          <w:szCs w:val="24"/>
          <w:highlight w:val="none"/>
        </w:rPr>
        <w:t>涉及国家利益、社会公共利益的情形</w:t>
      </w:r>
    </w:p>
    <w:p w14:paraId="6BDE9198">
      <w:pPr>
        <w:pStyle w:val="504"/>
        <w:keepNext w:val="0"/>
        <w:keepLines w:val="0"/>
        <w:pageBreakBefore w:val="0"/>
        <w:spacing w:line="360" w:lineRule="auto"/>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政府采购合同继续履行将损害国家利益和社会公共利益的，双方当事人应当变更、中止或者终止合同。有过错的一方应当承担赔偿责任，双方都有过错的，各自承担相应的责任。</w:t>
      </w:r>
    </w:p>
    <w:p w14:paraId="09ADD13C">
      <w:pPr>
        <w:keepNext w:val="0"/>
        <w:keepLines w:val="0"/>
        <w:pageBreakBefore w:val="0"/>
        <w:spacing w:line="360" w:lineRule="auto"/>
        <w:ind w:firstLine="482"/>
        <w:outlineLvl w:val="1"/>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十一</w:t>
      </w:r>
      <w:r>
        <w:rPr>
          <w:rFonts w:ascii="Times New Roman" w:hAnsi="Times New Roman"/>
          <w:b/>
          <w:color w:val="auto"/>
          <w:sz w:val="24"/>
          <w:szCs w:val="24"/>
          <w:highlight w:val="none"/>
        </w:rPr>
        <w:t>、合同分包</w:t>
      </w:r>
    </w:p>
    <w:p w14:paraId="61346643">
      <w:pPr>
        <w:keepNext w:val="0"/>
        <w:keepLines w:val="0"/>
        <w:pageBreakBefore w:val="0"/>
        <w:spacing w:line="360" w:lineRule="auto"/>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1.乙方不得将合同转包给其他</w:t>
      </w:r>
      <w:r>
        <w:rPr>
          <w:rFonts w:hint="eastAsia" w:ascii="Times New Roman" w:hAnsi="Times New Roman"/>
          <w:color w:val="auto"/>
          <w:sz w:val="24"/>
          <w:szCs w:val="24"/>
          <w:highlight w:val="none"/>
          <w:lang w:eastAsia="zh-CN"/>
        </w:rPr>
        <w:t>乙方</w:t>
      </w:r>
      <w:r>
        <w:rPr>
          <w:rFonts w:ascii="Times New Roman" w:hAnsi="Times New Roman"/>
          <w:color w:val="auto"/>
          <w:sz w:val="24"/>
          <w:szCs w:val="24"/>
          <w:highlight w:val="none"/>
        </w:rPr>
        <w:t>。涉及合同分包的，乙方应根据采购文件和投标（响应）文件规定进行合同分包。</w:t>
      </w:r>
    </w:p>
    <w:p w14:paraId="7623EE81">
      <w:pPr>
        <w:keepNext w:val="0"/>
        <w:keepLines w:val="0"/>
        <w:pageBreakBefore w:val="0"/>
        <w:spacing w:line="360" w:lineRule="auto"/>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2.乙方执行政府采购政策向中小企业依法分包的，乙方应当按采购文件和响应文件签订分包意向协议，分包意向协议属于本合同组成部分。</w:t>
      </w:r>
    </w:p>
    <w:p w14:paraId="1E2248FB">
      <w:pPr>
        <w:keepNext w:val="0"/>
        <w:keepLines w:val="0"/>
        <w:pageBreakBefore w:val="0"/>
        <w:spacing w:line="360" w:lineRule="auto"/>
        <w:ind w:firstLine="482"/>
        <w:outlineLvl w:val="1"/>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十二</w:t>
      </w:r>
      <w:r>
        <w:rPr>
          <w:rFonts w:ascii="Times New Roman" w:hAnsi="Times New Roman"/>
          <w:b/>
          <w:color w:val="auto"/>
          <w:sz w:val="24"/>
          <w:szCs w:val="24"/>
          <w:highlight w:val="none"/>
        </w:rPr>
        <w:t>、不可抗力</w:t>
      </w:r>
    </w:p>
    <w:p w14:paraId="57C5F96C">
      <w:pPr>
        <w:keepNext w:val="0"/>
        <w:keepLines w:val="0"/>
        <w:pageBreakBefore w:val="0"/>
        <w:spacing w:line="360" w:lineRule="auto"/>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1.不可抗力是指合同双方不能预见、不能避免且不能克服的客观情况。</w:t>
      </w:r>
    </w:p>
    <w:p w14:paraId="5A484881">
      <w:pPr>
        <w:keepNext w:val="0"/>
        <w:keepLines w:val="0"/>
        <w:pageBreakBefore w:val="0"/>
        <w:spacing w:line="360" w:lineRule="auto"/>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2.任何一方对由于不可抗力造成的部分或全部不能履行合同不承担违约责任。但迟延履行后发生不可抗力的，不能免除责任。</w:t>
      </w:r>
    </w:p>
    <w:p w14:paraId="3ED2413E">
      <w:pPr>
        <w:keepNext w:val="0"/>
        <w:keepLines w:val="0"/>
        <w:pageBreakBefore w:val="0"/>
        <w:spacing w:line="360" w:lineRule="auto"/>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3.遇有不可抗力的一方，应及时将事件情况以书面形式告知另一方，并在事件发生后及时向另一方提交合同不能履行或部分不能履行或需要延期履行的详细报告，以及证明不可抗力发生及其持续时间的证据。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E0B4D20">
      <w:pPr>
        <w:keepNext w:val="0"/>
        <w:keepLines w:val="0"/>
        <w:pageBreakBefore w:val="0"/>
        <w:spacing w:line="360" w:lineRule="auto"/>
        <w:ind w:firstLine="482"/>
        <w:jc w:val="left"/>
        <w:outlineLvl w:val="1"/>
        <w:rPr>
          <w:rFonts w:ascii="Times New Roman" w:hAnsi="Times New Roman"/>
          <w:b/>
          <w:bCs/>
          <w:color w:val="auto"/>
          <w:sz w:val="24"/>
          <w:szCs w:val="24"/>
          <w:highlight w:val="none"/>
        </w:rPr>
      </w:pPr>
      <w:r>
        <w:rPr>
          <w:rFonts w:ascii="Times New Roman" w:hAnsi="Times New Roman"/>
          <w:b/>
          <w:bCs/>
          <w:color w:val="auto"/>
          <w:sz w:val="24"/>
          <w:szCs w:val="24"/>
          <w:highlight w:val="none"/>
        </w:rPr>
        <w:t>十</w:t>
      </w:r>
      <w:r>
        <w:rPr>
          <w:rFonts w:hint="eastAsia" w:ascii="Times New Roman" w:hAnsi="Times New Roman"/>
          <w:b/>
          <w:bCs/>
          <w:color w:val="auto"/>
          <w:sz w:val="24"/>
          <w:szCs w:val="24"/>
          <w:highlight w:val="none"/>
          <w:lang w:val="en-US" w:eastAsia="zh-CN"/>
        </w:rPr>
        <w:t>三</w:t>
      </w:r>
      <w:r>
        <w:rPr>
          <w:rFonts w:ascii="Times New Roman" w:hAnsi="Times New Roman"/>
          <w:b/>
          <w:bCs/>
          <w:color w:val="auto"/>
          <w:sz w:val="24"/>
          <w:szCs w:val="24"/>
          <w:highlight w:val="none"/>
        </w:rPr>
        <w:t>、政府采购政策</w:t>
      </w:r>
    </w:p>
    <w:p w14:paraId="16F1F974">
      <w:pPr>
        <w:keepNext w:val="0"/>
        <w:keepLines w:val="0"/>
        <w:pageBreakBefore w:val="0"/>
        <w:spacing w:line="360" w:lineRule="auto"/>
        <w:ind w:firstLine="480"/>
        <w:jc w:val="left"/>
        <w:outlineLvl w:val="2"/>
        <w:rPr>
          <w:rFonts w:ascii="Times New Roman" w:hAnsi="Times New Roman"/>
          <w:color w:val="auto"/>
          <w:sz w:val="24"/>
          <w:szCs w:val="24"/>
          <w:highlight w:val="none"/>
        </w:rPr>
      </w:pPr>
      <w:r>
        <w:rPr>
          <w:rFonts w:ascii="Times New Roman" w:hAnsi="Times New Roman"/>
          <w:color w:val="auto"/>
          <w:sz w:val="24"/>
          <w:szCs w:val="24"/>
          <w:highlight w:val="none"/>
        </w:rPr>
        <w:t>1.</w:t>
      </w:r>
      <w:r>
        <w:rPr>
          <w:rFonts w:ascii="Times New Roman" w:hAnsi="Times New Roman"/>
          <w:color w:val="auto"/>
          <w:sz w:val="24"/>
          <w:szCs w:val="24"/>
          <w:highlight w:val="none"/>
          <w:lang w:val="en-GB"/>
        </w:rPr>
        <w:t>本合同应当按照规定执行政府采购政策。</w:t>
      </w:r>
    </w:p>
    <w:p w14:paraId="2F09CEEA">
      <w:pPr>
        <w:keepNext w:val="0"/>
        <w:keepLines w:val="0"/>
        <w:pageBreakBefore w:val="0"/>
        <w:spacing w:line="360" w:lineRule="auto"/>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2.本合同依法执行政府采购政策的方式和内容，属于合同履约验收的范围。甲乙双方</w:t>
      </w:r>
      <w:r>
        <w:rPr>
          <w:rFonts w:ascii="Times New Roman" w:hAnsi="Times New Roman"/>
          <w:color w:val="auto"/>
          <w:sz w:val="24"/>
          <w:szCs w:val="24"/>
          <w:highlight w:val="none"/>
          <w:lang w:val="en-GB"/>
        </w:rPr>
        <w:t>未按规定要求执行政府采购政策造成损失的</w:t>
      </w:r>
      <w:r>
        <w:rPr>
          <w:rFonts w:ascii="Times New Roman" w:hAnsi="Times New Roman"/>
          <w:color w:val="auto"/>
          <w:sz w:val="24"/>
          <w:szCs w:val="24"/>
          <w:highlight w:val="none"/>
        </w:rPr>
        <w:t>，有过错的一方应当承担赔偿责任，双方都有过错的，各自承担相应的责任。</w:t>
      </w:r>
    </w:p>
    <w:p w14:paraId="165ACECF">
      <w:pPr>
        <w:keepNext w:val="0"/>
        <w:keepLines w:val="0"/>
        <w:pageBreakBefore w:val="0"/>
        <w:spacing w:line="360" w:lineRule="auto"/>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F38AFB4">
      <w:pPr>
        <w:keepNext w:val="0"/>
        <w:keepLines w:val="0"/>
        <w:pageBreakBefore w:val="0"/>
        <w:spacing w:line="360" w:lineRule="auto"/>
        <w:ind w:firstLine="482"/>
        <w:jc w:val="left"/>
        <w:outlineLvl w:val="1"/>
        <w:rPr>
          <w:rFonts w:ascii="Times New Roman" w:hAnsi="Times New Roman"/>
          <w:b/>
          <w:bCs/>
          <w:color w:val="auto"/>
          <w:sz w:val="24"/>
          <w:szCs w:val="24"/>
          <w:highlight w:val="none"/>
        </w:rPr>
      </w:pPr>
      <w:r>
        <w:rPr>
          <w:rFonts w:ascii="Times New Roman" w:hAnsi="Times New Roman"/>
          <w:b/>
          <w:bCs/>
          <w:color w:val="auto"/>
          <w:sz w:val="24"/>
          <w:szCs w:val="24"/>
          <w:highlight w:val="none"/>
        </w:rPr>
        <w:t>十</w:t>
      </w:r>
      <w:r>
        <w:rPr>
          <w:rFonts w:hint="eastAsia" w:ascii="Times New Roman" w:hAnsi="Times New Roman"/>
          <w:b/>
          <w:bCs/>
          <w:color w:val="auto"/>
          <w:sz w:val="24"/>
          <w:szCs w:val="24"/>
          <w:highlight w:val="none"/>
          <w:lang w:val="en-US" w:eastAsia="zh-CN"/>
        </w:rPr>
        <w:t>四</w:t>
      </w:r>
      <w:r>
        <w:rPr>
          <w:rFonts w:ascii="Times New Roman" w:hAnsi="Times New Roman"/>
          <w:b/>
          <w:bCs/>
          <w:color w:val="auto"/>
          <w:sz w:val="24"/>
          <w:szCs w:val="24"/>
          <w:highlight w:val="none"/>
        </w:rPr>
        <w:t>、法律适用</w:t>
      </w:r>
    </w:p>
    <w:p w14:paraId="150C58A6">
      <w:pPr>
        <w:pStyle w:val="504"/>
        <w:keepNext w:val="0"/>
        <w:keepLines w:val="0"/>
        <w:pageBreakBefore w:val="0"/>
        <w:spacing w:line="360" w:lineRule="auto"/>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1.本合同的订立、生效、解释、履行及与本合同有关的争议解决，均适用法律、行政法规。</w:t>
      </w:r>
    </w:p>
    <w:p w14:paraId="7C31994E">
      <w:pPr>
        <w:pStyle w:val="504"/>
        <w:keepNext w:val="0"/>
        <w:keepLines w:val="0"/>
        <w:pageBreakBefore w:val="0"/>
        <w:spacing w:line="360" w:lineRule="auto"/>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2.本合同条款与法律、行政法规的强制性规定不一致的，双方当事人应按照法律、行政法规的强制性规定修改本合同的相关条款。</w:t>
      </w:r>
    </w:p>
    <w:p w14:paraId="235FBFD2">
      <w:pPr>
        <w:keepNext w:val="0"/>
        <w:keepLines w:val="0"/>
        <w:pageBreakBefore w:val="0"/>
        <w:spacing w:line="360" w:lineRule="auto"/>
        <w:ind w:firstLine="482"/>
        <w:jc w:val="left"/>
        <w:outlineLvl w:val="1"/>
        <w:rPr>
          <w:rFonts w:ascii="Times New Roman" w:hAnsi="Times New Roman"/>
          <w:b/>
          <w:bCs/>
          <w:color w:val="auto"/>
          <w:sz w:val="24"/>
          <w:szCs w:val="24"/>
          <w:highlight w:val="none"/>
        </w:rPr>
      </w:pPr>
      <w:r>
        <w:rPr>
          <w:rFonts w:ascii="Times New Roman" w:hAnsi="Times New Roman"/>
          <w:b/>
          <w:bCs/>
          <w:color w:val="auto"/>
          <w:sz w:val="24"/>
          <w:szCs w:val="24"/>
          <w:highlight w:val="none"/>
        </w:rPr>
        <w:t>十</w:t>
      </w:r>
      <w:r>
        <w:rPr>
          <w:rFonts w:hint="eastAsia" w:ascii="Times New Roman" w:hAnsi="Times New Roman"/>
          <w:b/>
          <w:bCs/>
          <w:color w:val="auto"/>
          <w:sz w:val="24"/>
          <w:szCs w:val="24"/>
          <w:highlight w:val="none"/>
          <w:lang w:val="en-US" w:eastAsia="zh-CN"/>
        </w:rPr>
        <w:t>五</w:t>
      </w:r>
      <w:r>
        <w:rPr>
          <w:rFonts w:ascii="Times New Roman" w:hAnsi="Times New Roman"/>
          <w:b/>
          <w:bCs/>
          <w:color w:val="auto"/>
          <w:sz w:val="24"/>
          <w:szCs w:val="24"/>
          <w:highlight w:val="none"/>
        </w:rPr>
        <w:t>、通知</w:t>
      </w:r>
    </w:p>
    <w:p w14:paraId="36E4D3A4">
      <w:pPr>
        <w:pStyle w:val="504"/>
        <w:keepNext w:val="0"/>
        <w:keepLines w:val="0"/>
        <w:pageBreakBefore w:val="0"/>
        <w:spacing w:line="360" w:lineRule="auto"/>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1.本合同任何一方向对方发出的通知、信件、数据电文等，应当发送至本合同第一部分《政府采购合同协议书》所约定的通讯地址、联系人、联系电话或电子邮箱。</w:t>
      </w:r>
    </w:p>
    <w:p w14:paraId="09757FBA">
      <w:pPr>
        <w:pStyle w:val="504"/>
        <w:keepNext w:val="0"/>
        <w:keepLines w:val="0"/>
        <w:pageBreakBefore w:val="0"/>
        <w:spacing w:line="360" w:lineRule="auto"/>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2.一方当事人变更名称、住所、联系人、联系电话或电子邮箱等信息的，应当在变更后3日内及时书面通知对方，对方实际收到变更通知前的送达仍为有效送达。</w:t>
      </w:r>
    </w:p>
    <w:p w14:paraId="59F2D6F8">
      <w:pPr>
        <w:keepNext w:val="0"/>
        <w:keepLines w:val="0"/>
        <w:pageBreakBefore w:val="0"/>
        <w:spacing w:line="360" w:lineRule="auto"/>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3.本合同一方给另一方的通知均应采用书面形式，传真或快递送到本合同中规定的对方的地址和办理签收手续。</w:t>
      </w:r>
    </w:p>
    <w:p w14:paraId="7B16BF92">
      <w:pPr>
        <w:keepNext w:val="0"/>
        <w:keepLines w:val="0"/>
        <w:pageBreakBefore w:val="0"/>
        <w:spacing w:line="360" w:lineRule="auto"/>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4.通知以送达之日或通知书中规定的生效之日起生效，两者中以较迟之日为准。</w:t>
      </w:r>
    </w:p>
    <w:p w14:paraId="37A7EA37">
      <w:pPr>
        <w:keepNext w:val="0"/>
        <w:keepLines w:val="0"/>
        <w:pageBreakBefore w:val="0"/>
        <w:spacing w:line="360" w:lineRule="auto"/>
        <w:ind w:firstLine="482"/>
        <w:jc w:val="left"/>
        <w:outlineLvl w:val="1"/>
        <w:rPr>
          <w:rFonts w:ascii="Times New Roman" w:hAnsi="Times New Roman"/>
          <w:b/>
          <w:bCs/>
          <w:color w:val="auto"/>
          <w:sz w:val="24"/>
          <w:szCs w:val="24"/>
          <w:highlight w:val="none"/>
        </w:rPr>
      </w:pPr>
      <w:r>
        <w:rPr>
          <w:rFonts w:ascii="Times New Roman" w:hAnsi="Times New Roman"/>
          <w:b/>
          <w:bCs/>
          <w:color w:val="auto"/>
          <w:sz w:val="24"/>
          <w:szCs w:val="24"/>
          <w:highlight w:val="none"/>
        </w:rPr>
        <w:t>十</w:t>
      </w:r>
      <w:r>
        <w:rPr>
          <w:rFonts w:hint="eastAsia" w:ascii="Times New Roman" w:hAnsi="Times New Roman"/>
          <w:b/>
          <w:bCs/>
          <w:color w:val="auto"/>
          <w:sz w:val="24"/>
          <w:szCs w:val="24"/>
          <w:highlight w:val="none"/>
          <w:lang w:val="en-US" w:eastAsia="zh-CN"/>
        </w:rPr>
        <w:t>六</w:t>
      </w:r>
      <w:r>
        <w:rPr>
          <w:rFonts w:ascii="Times New Roman" w:hAnsi="Times New Roman"/>
          <w:b/>
          <w:bCs/>
          <w:color w:val="auto"/>
          <w:sz w:val="24"/>
          <w:szCs w:val="24"/>
          <w:highlight w:val="none"/>
        </w:rPr>
        <w:t>、合同生效</w:t>
      </w:r>
    </w:p>
    <w:p w14:paraId="0451AC01">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本合同自</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生效。</w:t>
      </w:r>
    </w:p>
    <w:p w14:paraId="324ECD6B">
      <w:pPr>
        <w:spacing w:line="400" w:lineRule="exact"/>
        <w:ind w:firstLine="482"/>
        <w:jc w:val="left"/>
        <w:outlineLvl w:val="1"/>
        <w:rPr>
          <w:rFonts w:ascii="Times New Roman" w:hAnsi="Times New Roman"/>
          <w:b/>
          <w:bCs/>
          <w:color w:val="auto"/>
          <w:sz w:val="24"/>
          <w:szCs w:val="24"/>
          <w:highlight w:val="none"/>
        </w:rPr>
      </w:pPr>
      <w:r>
        <w:rPr>
          <w:rFonts w:ascii="Times New Roman" w:hAnsi="Times New Roman"/>
          <w:b/>
          <w:bCs/>
          <w:color w:val="auto"/>
          <w:sz w:val="24"/>
          <w:szCs w:val="24"/>
          <w:highlight w:val="none"/>
        </w:rPr>
        <w:t>十</w:t>
      </w:r>
      <w:r>
        <w:rPr>
          <w:rFonts w:hint="eastAsia" w:ascii="Times New Roman" w:hAnsi="Times New Roman"/>
          <w:b/>
          <w:bCs/>
          <w:color w:val="auto"/>
          <w:sz w:val="24"/>
          <w:szCs w:val="24"/>
          <w:highlight w:val="none"/>
          <w:lang w:val="en-US" w:eastAsia="zh-CN"/>
        </w:rPr>
        <w:t>七</w:t>
      </w:r>
      <w:r>
        <w:rPr>
          <w:rFonts w:ascii="Times New Roman" w:hAnsi="Times New Roman"/>
          <w:b/>
          <w:bCs/>
          <w:color w:val="auto"/>
          <w:sz w:val="24"/>
          <w:szCs w:val="24"/>
          <w:highlight w:val="none"/>
        </w:rPr>
        <w:t>、合同份数</w:t>
      </w:r>
    </w:p>
    <w:p w14:paraId="39BA9946">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本合同一式</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份，甲方执</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份，乙方执</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份。</w:t>
      </w:r>
      <w:bookmarkStart w:id="141" w:name="_Hlk187856376"/>
      <w:r>
        <w:rPr>
          <w:rFonts w:ascii="Times New Roman" w:hAnsi="Times New Roman"/>
          <w:b/>
          <w:bCs/>
          <w:color w:val="auto"/>
          <w:sz w:val="24"/>
          <w:szCs w:val="24"/>
          <w:highlight w:val="none"/>
        </w:rPr>
        <w:t>纸质合同和</w:t>
      </w:r>
      <w:r>
        <w:rPr>
          <w:rFonts w:hint="eastAsia" w:ascii="Times New Roman" w:hAnsi="Times New Roman"/>
          <w:b/>
          <w:bCs/>
          <w:color w:val="auto"/>
          <w:sz w:val="24"/>
          <w:szCs w:val="24"/>
          <w:highlight w:val="none"/>
        </w:rPr>
        <w:t>双方</w:t>
      </w:r>
      <w:r>
        <w:rPr>
          <w:rFonts w:ascii="Times New Roman" w:hAnsi="Times New Roman"/>
          <w:b/>
          <w:bCs/>
          <w:color w:val="auto"/>
          <w:sz w:val="24"/>
          <w:szCs w:val="24"/>
          <w:highlight w:val="none"/>
        </w:rPr>
        <w:t>在“苏采云”系统签订的电子合同</w:t>
      </w:r>
      <w:bookmarkEnd w:id="141"/>
      <w:r>
        <w:rPr>
          <w:rFonts w:ascii="Times New Roman" w:hAnsi="Times New Roman"/>
          <w:color w:val="auto"/>
          <w:sz w:val="24"/>
          <w:szCs w:val="24"/>
          <w:highlight w:val="none"/>
        </w:rPr>
        <w:t>均具有同等法律效力。</w:t>
      </w:r>
    </w:p>
    <w:p w14:paraId="4C9B92D0">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合同订立时间：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日</w:t>
      </w:r>
    </w:p>
    <w:p w14:paraId="2F1C4867">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合同订立地点：</w:t>
      </w:r>
      <w:r>
        <w:rPr>
          <w:rFonts w:ascii="Times New Roman" w:hAnsi="Times New Roman"/>
          <w:color w:val="auto"/>
          <w:sz w:val="24"/>
          <w:szCs w:val="24"/>
          <w:highlight w:val="none"/>
          <w:u w:val="single"/>
        </w:rPr>
        <w:t xml:space="preserve">                           </w:t>
      </w:r>
    </w:p>
    <w:p w14:paraId="2E80C2C4">
      <w:pPr>
        <w:spacing w:line="400" w:lineRule="exact"/>
        <w:ind w:firstLine="482"/>
        <w:jc w:val="left"/>
        <w:outlineLvl w:val="1"/>
        <w:rPr>
          <w:rFonts w:ascii="Times New Roman" w:hAnsi="Times New Roman"/>
          <w:b/>
          <w:bCs/>
          <w:color w:val="auto"/>
          <w:sz w:val="24"/>
          <w:szCs w:val="24"/>
          <w:highlight w:val="none"/>
        </w:rPr>
      </w:pPr>
      <w:r>
        <w:rPr>
          <w:rFonts w:ascii="Times New Roman" w:hAnsi="Times New Roman"/>
          <w:b/>
          <w:bCs/>
          <w:color w:val="auto"/>
          <w:sz w:val="24"/>
          <w:szCs w:val="24"/>
          <w:highlight w:val="none"/>
        </w:rPr>
        <w:t>十</w:t>
      </w:r>
      <w:r>
        <w:rPr>
          <w:rFonts w:hint="eastAsia" w:ascii="Times New Roman" w:hAnsi="Times New Roman"/>
          <w:b/>
          <w:bCs/>
          <w:color w:val="auto"/>
          <w:sz w:val="24"/>
          <w:szCs w:val="24"/>
          <w:highlight w:val="none"/>
          <w:lang w:val="en-US" w:eastAsia="zh-CN"/>
        </w:rPr>
        <w:t>八</w:t>
      </w:r>
      <w:r>
        <w:rPr>
          <w:rFonts w:ascii="Times New Roman" w:hAnsi="Times New Roman"/>
          <w:b/>
          <w:bCs/>
          <w:color w:val="auto"/>
          <w:sz w:val="24"/>
          <w:szCs w:val="24"/>
          <w:highlight w:val="none"/>
        </w:rPr>
        <w:t>、解决争议的方法</w:t>
      </w:r>
    </w:p>
    <w:p w14:paraId="5640E84D">
      <w:pPr>
        <w:pStyle w:val="504"/>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1.因本合同及合同有关事项发生的争议，由甲乙双方友好协商解决。协商不成时，可以向有关组织申请调解。合同一方或双方不愿调解或调解不成的，可以通过仲裁或诉讼的方式解决争议。</w:t>
      </w:r>
    </w:p>
    <w:p w14:paraId="4B4DB388">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2.选择仲裁的，由</w:t>
      </w:r>
      <w:r>
        <w:rPr>
          <w:rFonts w:ascii="Times New Roman" w:hAnsi="Times New Roman"/>
          <w:color w:val="auto"/>
          <w:sz w:val="24"/>
          <w:szCs w:val="24"/>
          <w:highlight w:val="none"/>
          <w:u w:val="single"/>
        </w:rPr>
        <w:t>甲方</w:t>
      </w:r>
      <w:r>
        <w:rPr>
          <w:rFonts w:ascii="Times New Roman" w:hAnsi="Times New Roman"/>
          <w:color w:val="auto"/>
          <w:sz w:val="24"/>
          <w:szCs w:val="24"/>
          <w:highlight w:val="none"/>
        </w:rPr>
        <w:t>所住地仲裁机构；通过诉讼方式的，由</w:t>
      </w:r>
      <w:r>
        <w:rPr>
          <w:rFonts w:ascii="Times New Roman" w:hAnsi="Times New Roman"/>
          <w:color w:val="auto"/>
          <w:sz w:val="24"/>
          <w:szCs w:val="24"/>
          <w:highlight w:val="none"/>
          <w:u w:val="single"/>
        </w:rPr>
        <w:t>甲方</w:t>
      </w:r>
      <w:r>
        <w:rPr>
          <w:rFonts w:ascii="Times New Roman" w:hAnsi="Times New Roman"/>
          <w:color w:val="auto"/>
          <w:sz w:val="24"/>
          <w:szCs w:val="24"/>
          <w:highlight w:val="none"/>
        </w:rPr>
        <w:t>住所地人民法院管辖，但管辖法院的约定不得违反级别管辖和专属管辖的规定。</w:t>
      </w:r>
    </w:p>
    <w:p w14:paraId="548E3A46">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3.如甲乙双方有争议的事项不影响合同其他部分的履行，在争议解决期间，合同其他部分应当继续履行。</w:t>
      </w:r>
    </w:p>
    <w:p w14:paraId="60BFC002">
      <w:pPr>
        <w:spacing w:line="400" w:lineRule="exact"/>
        <w:ind w:firstLine="480"/>
        <w:rPr>
          <w:rFonts w:ascii="Times New Roman" w:hAnsi="Times New Roman"/>
          <w:color w:val="auto"/>
          <w:sz w:val="24"/>
          <w:szCs w:val="24"/>
          <w:highlight w:val="none"/>
        </w:rPr>
      </w:pPr>
    </w:p>
    <w:p w14:paraId="00F3E809">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附件：具体标的及其技术要求和商务要求、联合协议、分包意向协议等</w:t>
      </w:r>
    </w:p>
    <w:p w14:paraId="1DAD0555">
      <w:pPr>
        <w:pStyle w:val="453"/>
        <w:rPr>
          <w:color w:val="auto"/>
          <w:highlight w:val="none"/>
        </w:rPr>
      </w:pPr>
    </w:p>
    <w:tbl>
      <w:tblPr>
        <w:tblStyle w:val="3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86"/>
        <w:gridCol w:w="2660"/>
        <w:gridCol w:w="2182"/>
        <w:gridCol w:w="2335"/>
      </w:tblGrid>
      <w:tr w14:paraId="6A72873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2CA24A54">
            <w:pPr>
              <w:spacing w:line="300" w:lineRule="exact"/>
              <w:jc w:val="center"/>
              <w:rPr>
                <w:color w:val="auto"/>
                <w:highlight w:val="none"/>
              </w:rPr>
            </w:pPr>
            <w:r>
              <w:rPr>
                <w:color w:val="auto"/>
                <w:szCs w:val="21"/>
                <w:highlight w:val="none"/>
              </w:rPr>
              <w:t>甲方</w:t>
            </w:r>
            <w:r>
              <w:rPr>
                <w:rFonts w:hint="eastAsia"/>
                <w:color w:val="auto"/>
                <w:szCs w:val="21"/>
                <w:highlight w:val="none"/>
              </w:rPr>
              <w:t>（</w:t>
            </w:r>
            <w:r>
              <w:rPr>
                <w:rFonts w:hint="eastAsia"/>
                <w:color w:val="auto"/>
                <w:szCs w:val="21"/>
                <w:highlight w:val="none"/>
                <w:lang w:eastAsia="zh-CN"/>
              </w:rPr>
              <w:t>甲方</w:t>
            </w:r>
            <w:r>
              <w:rPr>
                <w:rFonts w:hint="eastAsia" w:ascii="宋体" w:hAnsi="宋体"/>
                <w:color w:val="auto"/>
                <w:szCs w:val="21"/>
                <w:highlight w:val="none"/>
              </w:rPr>
              <w:t>、受</w:t>
            </w:r>
            <w:r>
              <w:rPr>
                <w:rFonts w:hint="eastAsia" w:ascii="宋体" w:hAnsi="宋体"/>
                <w:color w:val="auto"/>
                <w:szCs w:val="21"/>
                <w:highlight w:val="none"/>
                <w:lang w:eastAsia="zh-CN"/>
              </w:rPr>
              <w:t>甲方</w:t>
            </w:r>
            <w:r>
              <w:rPr>
                <w:rFonts w:hint="eastAsia" w:ascii="宋体" w:hAnsi="宋体"/>
                <w:color w:val="auto"/>
                <w:szCs w:val="21"/>
                <w:highlight w:val="none"/>
              </w:rPr>
              <w:t>委托签订合同的单位或</w:t>
            </w:r>
            <w:r>
              <w:rPr>
                <w:rFonts w:hint="eastAsia"/>
                <w:color w:val="auto"/>
                <w:szCs w:val="21"/>
                <w:highlight w:val="none"/>
              </w:rPr>
              <w:t>采购文件约定的合同甲方）</w:t>
            </w:r>
          </w:p>
        </w:tc>
        <w:tc>
          <w:tcPr>
            <w:tcW w:w="2437" w:type="pct"/>
            <w:gridSpan w:val="2"/>
            <w:tcBorders>
              <w:left w:val="single" w:color="auto" w:sz="2" w:space="0"/>
              <w:bottom w:val="single" w:color="auto" w:sz="2" w:space="0"/>
            </w:tcBorders>
            <w:noWrap w:val="0"/>
            <w:vAlign w:val="center"/>
          </w:tcPr>
          <w:p w14:paraId="652EC8C9">
            <w:pPr>
              <w:spacing w:line="300" w:lineRule="exact"/>
              <w:jc w:val="center"/>
              <w:rPr>
                <w:color w:val="auto"/>
                <w:highlight w:val="none"/>
              </w:rPr>
            </w:pPr>
            <w:r>
              <w:rPr>
                <w:color w:val="auto"/>
                <w:szCs w:val="21"/>
                <w:highlight w:val="none"/>
              </w:rPr>
              <w:t>乙方</w:t>
            </w:r>
            <w:r>
              <w:rPr>
                <w:rFonts w:hint="eastAsia"/>
                <w:color w:val="auto"/>
                <w:szCs w:val="21"/>
                <w:highlight w:val="none"/>
              </w:rPr>
              <w:t>（</w:t>
            </w:r>
            <w:r>
              <w:rPr>
                <w:rFonts w:hint="eastAsia"/>
                <w:color w:val="auto"/>
                <w:szCs w:val="21"/>
                <w:highlight w:val="none"/>
                <w:lang w:eastAsia="zh-CN"/>
              </w:rPr>
              <w:t>乙方</w:t>
            </w:r>
            <w:r>
              <w:rPr>
                <w:rFonts w:hint="eastAsia"/>
                <w:color w:val="auto"/>
                <w:szCs w:val="21"/>
                <w:highlight w:val="none"/>
              </w:rPr>
              <w:t>）</w:t>
            </w:r>
          </w:p>
        </w:tc>
      </w:tr>
      <w:tr w14:paraId="51843B5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38FA3C06">
            <w:pPr>
              <w:spacing w:line="300" w:lineRule="exact"/>
              <w:jc w:val="center"/>
              <w:rPr>
                <w:color w:val="auto"/>
                <w:szCs w:val="21"/>
                <w:highlight w:val="none"/>
              </w:rPr>
            </w:pPr>
            <w:r>
              <w:rPr>
                <w:color w:val="auto"/>
                <w:szCs w:val="21"/>
                <w:highlight w:val="none"/>
              </w:rPr>
              <w:t>单位名称</w:t>
            </w:r>
            <w:r>
              <w:rPr>
                <w:rFonts w:hint="eastAsia"/>
                <w:color w:val="auto"/>
                <w:szCs w:val="21"/>
                <w:highlight w:val="none"/>
              </w:rPr>
              <w:t>（公章或合同章）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1EF96DA">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10B71B5">
            <w:pPr>
              <w:spacing w:line="300" w:lineRule="exact"/>
              <w:jc w:val="center"/>
              <w:rPr>
                <w:color w:val="auto"/>
                <w:szCs w:val="21"/>
                <w:highlight w:val="none"/>
              </w:rPr>
            </w:pPr>
            <w:r>
              <w:rPr>
                <w:color w:val="auto"/>
                <w:szCs w:val="21"/>
                <w:highlight w:val="none"/>
              </w:rPr>
              <w:t>单位名称</w:t>
            </w:r>
            <w:r>
              <w:rPr>
                <w:rFonts w:hint="eastAsia"/>
                <w:color w:val="auto"/>
                <w:szCs w:val="21"/>
                <w:highlight w:val="none"/>
              </w:rPr>
              <w:t>（公章或合同章）</w:t>
            </w:r>
          </w:p>
        </w:tc>
        <w:tc>
          <w:tcPr>
            <w:tcW w:w="1259" w:type="pct"/>
            <w:tcBorders>
              <w:top w:val="single" w:color="auto" w:sz="2" w:space="0"/>
              <w:left w:val="single" w:color="auto" w:sz="2" w:space="0"/>
              <w:bottom w:val="single" w:color="auto" w:sz="2" w:space="0"/>
            </w:tcBorders>
            <w:noWrap w:val="0"/>
            <w:vAlign w:val="center"/>
          </w:tcPr>
          <w:p w14:paraId="06F033E6">
            <w:pPr>
              <w:spacing w:line="300" w:lineRule="exact"/>
              <w:jc w:val="center"/>
              <w:rPr>
                <w:color w:val="auto"/>
                <w:spacing w:val="20"/>
                <w:szCs w:val="21"/>
                <w:highlight w:val="none"/>
              </w:rPr>
            </w:pPr>
          </w:p>
        </w:tc>
      </w:tr>
      <w:tr w14:paraId="236C6FC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0E95C9B1">
            <w:pPr>
              <w:spacing w:line="300" w:lineRule="exact"/>
              <w:jc w:val="center"/>
              <w:rPr>
                <w:color w:val="auto"/>
                <w:szCs w:val="21"/>
                <w:highlight w:val="none"/>
              </w:rPr>
            </w:pPr>
            <w:r>
              <w:rPr>
                <w:color w:val="auto"/>
                <w:szCs w:val="21"/>
                <w:highlight w:val="none"/>
              </w:rPr>
              <w:t>法定代表人</w:t>
            </w:r>
          </w:p>
          <w:p w14:paraId="26F5414D">
            <w:pPr>
              <w:spacing w:line="300" w:lineRule="exact"/>
              <w:ind w:firstLine="100"/>
              <w:jc w:val="center"/>
              <w:rPr>
                <w:color w:val="auto"/>
                <w:szCs w:val="21"/>
                <w:highlight w:val="none"/>
              </w:rPr>
            </w:pPr>
            <w:r>
              <w:rPr>
                <w:rFonts w:hint="eastAsia"/>
                <w:color w:val="auto"/>
                <w:szCs w:val="21"/>
                <w:highlight w:val="none"/>
              </w:rPr>
              <w:t>或其</w:t>
            </w:r>
            <w:r>
              <w:rPr>
                <w:color w:val="auto"/>
                <w:szCs w:val="21"/>
                <w:highlight w:val="none"/>
              </w:rPr>
              <w:t>委托代理人</w:t>
            </w:r>
            <w:r>
              <w:rPr>
                <w:rFonts w:hint="eastAsia"/>
                <w:color w:val="auto"/>
                <w:szCs w:val="21"/>
                <w:highlight w:val="none"/>
              </w:rPr>
              <w:t>（签章）</w:t>
            </w:r>
          </w:p>
        </w:tc>
        <w:tc>
          <w:tcPr>
            <w:tcW w:w="1436" w:type="pct"/>
            <w:vMerge w:val="restart"/>
            <w:tcBorders>
              <w:top w:val="single" w:color="auto" w:sz="2" w:space="0"/>
              <w:left w:val="single" w:color="auto" w:sz="2" w:space="0"/>
              <w:right w:val="single" w:color="auto" w:sz="2" w:space="0"/>
            </w:tcBorders>
            <w:noWrap w:val="0"/>
            <w:vAlign w:val="center"/>
          </w:tcPr>
          <w:p w14:paraId="697019F8">
            <w:pPr>
              <w:spacing w:line="300" w:lineRule="exact"/>
              <w:jc w:val="center"/>
              <w:rPr>
                <w:color w:val="auto"/>
                <w:szCs w:val="21"/>
                <w:highlight w:val="none"/>
              </w:rPr>
            </w:pPr>
          </w:p>
        </w:tc>
        <w:tc>
          <w:tcPr>
            <w:tcW w:w="1178" w:type="pct"/>
            <w:tcBorders>
              <w:top w:val="single" w:color="auto" w:sz="2" w:space="0"/>
              <w:left w:val="single" w:color="auto" w:sz="2" w:space="0"/>
              <w:right w:val="single" w:color="auto" w:sz="2" w:space="0"/>
            </w:tcBorders>
            <w:noWrap w:val="0"/>
            <w:vAlign w:val="center"/>
          </w:tcPr>
          <w:p w14:paraId="01A17757">
            <w:pPr>
              <w:spacing w:line="300" w:lineRule="exact"/>
              <w:jc w:val="center"/>
              <w:rPr>
                <w:color w:val="auto"/>
                <w:szCs w:val="21"/>
                <w:highlight w:val="none"/>
              </w:rPr>
            </w:pPr>
            <w:r>
              <w:rPr>
                <w:color w:val="auto"/>
                <w:szCs w:val="21"/>
                <w:highlight w:val="none"/>
              </w:rPr>
              <w:t>法定代表人</w:t>
            </w:r>
          </w:p>
          <w:p w14:paraId="481EBEAE">
            <w:pPr>
              <w:spacing w:line="300" w:lineRule="exact"/>
              <w:jc w:val="center"/>
              <w:rPr>
                <w:color w:val="auto"/>
                <w:szCs w:val="21"/>
                <w:highlight w:val="none"/>
              </w:rPr>
            </w:pPr>
            <w:r>
              <w:rPr>
                <w:rFonts w:hint="eastAsia"/>
                <w:color w:val="auto"/>
                <w:szCs w:val="21"/>
                <w:highlight w:val="none"/>
              </w:rPr>
              <w:t>或其</w:t>
            </w:r>
            <w:r>
              <w:rPr>
                <w:color w:val="auto"/>
                <w:szCs w:val="21"/>
                <w:highlight w:val="none"/>
              </w:rPr>
              <w:t>委托代理人</w:t>
            </w:r>
            <w:r>
              <w:rPr>
                <w:rFonts w:hint="eastAsia"/>
                <w:color w:val="auto"/>
                <w:szCs w:val="21"/>
                <w:highlight w:val="none"/>
              </w:rPr>
              <w:t>（签章）</w:t>
            </w:r>
          </w:p>
        </w:tc>
        <w:tc>
          <w:tcPr>
            <w:tcW w:w="1259" w:type="pct"/>
            <w:tcBorders>
              <w:top w:val="single" w:color="auto" w:sz="2" w:space="0"/>
              <w:left w:val="single" w:color="auto" w:sz="2" w:space="0"/>
              <w:bottom w:val="single" w:color="auto" w:sz="2" w:space="0"/>
            </w:tcBorders>
            <w:noWrap w:val="0"/>
            <w:vAlign w:val="center"/>
          </w:tcPr>
          <w:p w14:paraId="612C33D6">
            <w:pPr>
              <w:spacing w:line="300" w:lineRule="exact"/>
              <w:jc w:val="center"/>
              <w:rPr>
                <w:color w:val="auto"/>
                <w:szCs w:val="21"/>
                <w:highlight w:val="none"/>
              </w:rPr>
            </w:pPr>
          </w:p>
        </w:tc>
      </w:tr>
      <w:tr w14:paraId="464454E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377D3F52">
            <w:pPr>
              <w:spacing w:line="300" w:lineRule="exact"/>
              <w:jc w:val="center"/>
              <w:rPr>
                <w:color w:val="auto"/>
                <w:szCs w:val="21"/>
                <w:highlight w:val="none"/>
              </w:rPr>
            </w:pPr>
          </w:p>
        </w:tc>
        <w:tc>
          <w:tcPr>
            <w:tcW w:w="1436" w:type="pct"/>
            <w:vMerge w:val="continue"/>
            <w:tcBorders>
              <w:left w:val="single" w:color="auto" w:sz="2" w:space="0"/>
              <w:bottom w:val="single" w:color="auto" w:sz="2" w:space="0"/>
              <w:right w:val="single" w:color="auto" w:sz="2" w:space="0"/>
            </w:tcBorders>
            <w:noWrap w:val="0"/>
            <w:vAlign w:val="center"/>
          </w:tcPr>
          <w:p w14:paraId="698D0347">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979527C">
            <w:pPr>
              <w:spacing w:line="300" w:lineRule="exact"/>
              <w:jc w:val="center"/>
              <w:rPr>
                <w:color w:val="auto"/>
                <w:szCs w:val="21"/>
                <w:highlight w:val="none"/>
              </w:rPr>
            </w:pPr>
            <w:r>
              <w:rPr>
                <w:rFonts w:hint="eastAsia"/>
                <w:color w:val="auto"/>
                <w:szCs w:val="21"/>
                <w:highlight w:val="none"/>
              </w:rPr>
              <w:t>拥有者性别</w:t>
            </w:r>
          </w:p>
        </w:tc>
        <w:tc>
          <w:tcPr>
            <w:tcW w:w="1259" w:type="pct"/>
            <w:tcBorders>
              <w:top w:val="single" w:color="auto" w:sz="2" w:space="0"/>
              <w:left w:val="single" w:color="auto" w:sz="2" w:space="0"/>
              <w:bottom w:val="single" w:color="auto" w:sz="2" w:space="0"/>
            </w:tcBorders>
            <w:noWrap w:val="0"/>
            <w:vAlign w:val="center"/>
          </w:tcPr>
          <w:p w14:paraId="6B07C24B">
            <w:pPr>
              <w:spacing w:line="300" w:lineRule="exact"/>
              <w:jc w:val="center"/>
              <w:rPr>
                <w:color w:val="auto"/>
                <w:spacing w:val="20"/>
                <w:szCs w:val="21"/>
                <w:highlight w:val="none"/>
              </w:rPr>
            </w:pPr>
          </w:p>
        </w:tc>
      </w:tr>
      <w:tr w14:paraId="7F82D01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2EC8F09">
            <w:pPr>
              <w:spacing w:line="300" w:lineRule="exact"/>
              <w:jc w:val="center"/>
              <w:rPr>
                <w:color w:val="auto"/>
                <w:szCs w:val="21"/>
                <w:highlight w:val="none"/>
              </w:rPr>
            </w:pPr>
            <w:r>
              <w:rPr>
                <w:rFonts w:hint="eastAsia"/>
                <w:color w:val="auto"/>
                <w:szCs w:val="21"/>
                <w:highlight w:val="none"/>
              </w:rPr>
              <w:t>住  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424F1D3">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5F1E04A">
            <w:pPr>
              <w:spacing w:line="300" w:lineRule="exact"/>
              <w:jc w:val="center"/>
              <w:rPr>
                <w:color w:val="auto"/>
                <w:szCs w:val="21"/>
                <w:highlight w:val="none"/>
              </w:rPr>
            </w:pPr>
            <w:r>
              <w:rPr>
                <w:rFonts w:hint="eastAsia"/>
                <w:color w:val="auto"/>
                <w:szCs w:val="21"/>
                <w:highlight w:val="none"/>
              </w:rPr>
              <w:t>住  所</w:t>
            </w:r>
          </w:p>
        </w:tc>
        <w:tc>
          <w:tcPr>
            <w:tcW w:w="1259" w:type="pct"/>
            <w:tcBorders>
              <w:top w:val="single" w:color="auto" w:sz="2" w:space="0"/>
              <w:left w:val="single" w:color="auto" w:sz="2" w:space="0"/>
              <w:bottom w:val="single" w:color="auto" w:sz="2" w:space="0"/>
            </w:tcBorders>
            <w:noWrap w:val="0"/>
            <w:vAlign w:val="center"/>
          </w:tcPr>
          <w:p w14:paraId="327ECC0B">
            <w:pPr>
              <w:spacing w:line="300" w:lineRule="exact"/>
              <w:jc w:val="center"/>
              <w:rPr>
                <w:color w:val="auto"/>
                <w:spacing w:val="20"/>
                <w:szCs w:val="21"/>
                <w:highlight w:val="none"/>
              </w:rPr>
            </w:pPr>
          </w:p>
        </w:tc>
      </w:tr>
      <w:tr w14:paraId="04C36DF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9D67839">
            <w:pPr>
              <w:spacing w:line="300" w:lineRule="exact"/>
              <w:jc w:val="center"/>
              <w:rPr>
                <w:color w:val="auto"/>
                <w:szCs w:val="21"/>
                <w:highlight w:val="none"/>
              </w:rPr>
            </w:pPr>
            <w:r>
              <w:rPr>
                <w:color w:val="auto"/>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BDD5A72">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78A209D">
            <w:pPr>
              <w:spacing w:line="300" w:lineRule="exact"/>
              <w:jc w:val="center"/>
              <w:rPr>
                <w:color w:val="auto"/>
                <w:szCs w:val="21"/>
                <w:highlight w:val="none"/>
              </w:rPr>
            </w:pPr>
            <w:r>
              <w:rPr>
                <w:color w:val="auto"/>
                <w:szCs w:val="21"/>
                <w:highlight w:val="none"/>
              </w:rPr>
              <w:t>联 系 人</w:t>
            </w:r>
          </w:p>
        </w:tc>
        <w:tc>
          <w:tcPr>
            <w:tcW w:w="1259" w:type="pct"/>
            <w:tcBorders>
              <w:top w:val="single" w:color="auto" w:sz="2" w:space="0"/>
              <w:left w:val="single" w:color="auto" w:sz="2" w:space="0"/>
              <w:bottom w:val="single" w:color="auto" w:sz="2" w:space="0"/>
            </w:tcBorders>
            <w:noWrap w:val="0"/>
            <w:vAlign w:val="center"/>
          </w:tcPr>
          <w:p w14:paraId="2ADAD20B">
            <w:pPr>
              <w:spacing w:line="300" w:lineRule="exact"/>
              <w:jc w:val="center"/>
              <w:rPr>
                <w:color w:val="auto"/>
                <w:spacing w:val="20"/>
                <w:szCs w:val="21"/>
                <w:highlight w:val="none"/>
              </w:rPr>
            </w:pPr>
          </w:p>
        </w:tc>
      </w:tr>
      <w:tr w14:paraId="3E7950C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FD79049">
            <w:pPr>
              <w:spacing w:line="300" w:lineRule="exact"/>
              <w:jc w:val="center"/>
              <w:rPr>
                <w:color w:val="auto"/>
                <w:szCs w:val="21"/>
                <w:highlight w:val="none"/>
              </w:rPr>
            </w:pPr>
            <w:r>
              <w:rPr>
                <w:color w:val="auto"/>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13E0856">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2E345C0">
            <w:pPr>
              <w:spacing w:line="300" w:lineRule="exact"/>
              <w:jc w:val="center"/>
              <w:rPr>
                <w:color w:val="auto"/>
                <w:szCs w:val="21"/>
                <w:highlight w:val="none"/>
              </w:rPr>
            </w:pPr>
            <w:r>
              <w:rPr>
                <w:color w:val="auto"/>
                <w:szCs w:val="21"/>
                <w:highlight w:val="none"/>
              </w:rPr>
              <w:t>联系电话</w:t>
            </w:r>
          </w:p>
        </w:tc>
        <w:tc>
          <w:tcPr>
            <w:tcW w:w="1259" w:type="pct"/>
            <w:tcBorders>
              <w:top w:val="single" w:color="auto" w:sz="2" w:space="0"/>
              <w:left w:val="single" w:color="auto" w:sz="2" w:space="0"/>
              <w:bottom w:val="single" w:color="auto" w:sz="2" w:space="0"/>
            </w:tcBorders>
            <w:noWrap w:val="0"/>
            <w:vAlign w:val="center"/>
          </w:tcPr>
          <w:p w14:paraId="0A5B8BFB">
            <w:pPr>
              <w:spacing w:line="300" w:lineRule="exact"/>
              <w:jc w:val="center"/>
              <w:rPr>
                <w:color w:val="auto"/>
                <w:spacing w:val="20"/>
                <w:szCs w:val="21"/>
                <w:highlight w:val="none"/>
              </w:rPr>
            </w:pPr>
          </w:p>
        </w:tc>
      </w:tr>
      <w:tr w14:paraId="663F11A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9D85016">
            <w:pPr>
              <w:spacing w:line="300" w:lineRule="exact"/>
              <w:jc w:val="center"/>
              <w:rPr>
                <w:color w:val="auto"/>
                <w:szCs w:val="21"/>
                <w:highlight w:val="none"/>
              </w:rPr>
            </w:pPr>
            <w:r>
              <w:rPr>
                <w:rFonts w:hint="eastAsia"/>
                <w:color w:val="auto"/>
                <w:szCs w:val="21"/>
                <w:highlight w:val="none"/>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6CF3968">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415C918">
            <w:pPr>
              <w:spacing w:line="300" w:lineRule="exact"/>
              <w:jc w:val="center"/>
              <w:rPr>
                <w:color w:val="auto"/>
                <w:szCs w:val="21"/>
                <w:highlight w:val="none"/>
              </w:rPr>
            </w:pPr>
            <w:r>
              <w:rPr>
                <w:rFonts w:hint="eastAsia"/>
                <w:color w:val="auto"/>
                <w:szCs w:val="21"/>
                <w:highlight w:val="none"/>
              </w:rPr>
              <w:t>通信地址</w:t>
            </w:r>
          </w:p>
        </w:tc>
        <w:tc>
          <w:tcPr>
            <w:tcW w:w="1259" w:type="pct"/>
            <w:tcBorders>
              <w:top w:val="single" w:color="auto" w:sz="2" w:space="0"/>
              <w:left w:val="single" w:color="auto" w:sz="2" w:space="0"/>
              <w:bottom w:val="single" w:color="auto" w:sz="2" w:space="0"/>
            </w:tcBorders>
            <w:noWrap w:val="0"/>
            <w:vAlign w:val="center"/>
          </w:tcPr>
          <w:p w14:paraId="357625C8">
            <w:pPr>
              <w:spacing w:line="300" w:lineRule="exact"/>
              <w:jc w:val="center"/>
              <w:rPr>
                <w:color w:val="auto"/>
                <w:spacing w:val="20"/>
                <w:szCs w:val="21"/>
                <w:highlight w:val="none"/>
              </w:rPr>
            </w:pPr>
          </w:p>
        </w:tc>
      </w:tr>
      <w:tr w14:paraId="76841D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999606E">
            <w:pPr>
              <w:spacing w:line="300" w:lineRule="exact"/>
              <w:jc w:val="center"/>
              <w:rPr>
                <w:color w:val="auto"/>
                <w:szCs w:val="21"/>
                <w:highlight w:val="none"/>
              </w:rPr>
            </w:pPr>
            <w:r>
              <w:rPr>
                <w:color w:val="auto"/>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266E5CA">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551FF3D">
            <w:pPr>
              <w:spacing w:line="300" w:lineRule="exact"/>
              <w:jc w:val="center"/>
              <w:rPr>
                <w:color w:val="auto"/>
                <w:szCs w:val="21"/>
                <w:highlight w:val="none"/>
              </w:rPr>
            </w:pPr>
            <w:r>
              <w:rPr>
                <w:color w:val="auto"/>
                <w:szCs w:val="21"/>
                <w:highlight w:val="none"/>
              </w:rPr>
              <w:t>邮政编码</w:t>
            </w:r>
          </w:p>
        </w:tc>
        <w:tc>
          <w:tcPr>
            <w:tcW w:w="1259" w:type="pct"/>
            <w:tcBorders>
              <w:top w:val="single" w:color="auto" w:sz="2" w:space="0"/>
              <w:left w:val="single" w:color="auto" w:sz="2" w:space="0"/>
              <w:bottom w:val="single" w:color="auto" w:sz="2" w:space="0"/>
            </w:tcBorders>
            <w:noWrap w:val="0"/>
            <w:vAlign w:val="center"/>
          </w:tcPr>
          <w:p w14:paraId="295174B6">
            <w:pPr>
              <w:spacing w:line="300" w:lineRule="exact"/>
              <w:jc w:val="center"/>
              <w:rPr>
                <w:color w:val="auto"/>
                <w:spacing w:val="20"/>
                <w:szCs w:val="21"/>
                <w:highlight w:val="none"/>
              </w:rPr>
            </w:pPr>
          </w:p>
        </w:tc>
      </w:tr>
      <w:tr w14:paraId="5D25E27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076BB2A">
            <w:pPr>
              <w:spacing w:line="300" w:lineRule="exact"/>
              <w:jc w:val="center"/>
              <w:rPr>
                <w:color w:val="auto"/>
                <w:szCs w:val="21"/>
                <w:highlight w:val="none"/>
              </w:rPr>
            </w:pPr>
            <w:r>
              <w:rPr>
                <w:rFonts w:hint="eastAsia"/>
                <w:color w:val="auto"/>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CCB6DD8">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A3E102D">
            <w:pPr>
              <w:spacing w:line="300" w:lineRule="exact"/>
              <w:jc w:val="center"/>
              <w:rPr>
                <w:color w:val="auto"/>
                <w:szCs w:val="21"/>
                <w:highlight w:val="none"/>
              </w:rPr>
            </w:pPr>
            <w:r>
              <w:rPr>
                <w:rFonts w:hint="eastAsia"/>
                <w:color w:val="auto"/>
                <w:szCs w:val="21"/>
                <w:highlight w:val="none"/>
              </w:rPr>
              <w:t>电子邮箱</w:t>
            </w:r>
          </w:p>
        </w:tc>
        <w:tc>
          <w:tcPr>
            <w:tcW w:w="1259" w:type="pct"/>
            <w:tcBorders>
              <w:top w:val="single" w:color="auto" w:sz="2" w:space="0"/>
              <w:left w:val="single" w:color="auto" w:sz="2" w:space="0"/>
              <w:bottom w:val="single" w:color="auto" w:sz="2" w:space="0"/>
            </w:tcBorders>
            <w:noWrap w:val="0"/>
            <w:vAlign w:val="center"/>
          </w:tcPr>
          <w:p w14:paraId="79A931B3">
            <w:pPr>
              <w:spacing w:line="300" w:lineRule="exact"/>
              <w:jc w:val="center"/>
              <w:rPr>
                <w:color w:val="auto"/>
                <w:spacing w:val="20"/>
                <w:szCs w:val="21"/>
                <w:highlight w:val="none"/>
              </w:rPr>
            </w:pPr>
          </w:p>
        </w:tc>
      </w:tr>
      <w:tr w14:paraId="27457F0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E6D7180">
            <w:pPr>
              <w:spacing w:line="300" w:lineRule="exact"/>
              <w:jc w:val="center"/>
              <w:rPr>
                <w:color w:val="auto"/>
                <w:szCs w:val="21"/>
                <w:highlight w:val="none"/>
              </w:rPr>
            </w:pPr>
            <w:r>
              <w:rPr>
                <w:rFonts w:hint="eastAsia"/>
                <w:color w:val="auto"/>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1D88F30">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72ED50A">
            <w:pPr>
              <w:spacing w:line="300" w:lineRule="exact"/>
              <w:jc w:val="center"/>
              <w:rPr>
                <w:color w:val="auto"/>
                <w:szCs w:val="21"/>
                <w:highlight w:val="none"/>
              </w:rPr>
            </w:pPr>
            <w:r>
              <w:rPr>
                <w:rFonts w:hint="eastAsia"/>
                <w:color w:val="auto"/>
                <w:szCs w:val="21"/>
                <w:highlight w:val="none"/>
              </w:rPr>
              <w:t>统一社会信用代码</w:t>
            </w:r>
          </w:p>
        </w:tc>
        <w:tc>
          <w:tcPr>
            <w:tcW w:w="1259" w:type="pct"/>
            <w:tcBorders>
              <w:top w:val="single" w:color="auto" w:sz="2" w:space="0"/>
              <w:left w:val="single" w:color="auto" w:sz="2" w:space="0"/>
              <w:bottom w:val="single" w:color="auto" w:sz="2" w:space="0"/>
            </w:tcBorders>
            <w:noWrap w:val="0"/>
            <w:vAlign w:val="center"/>
          </w:tcPr>
          <w:p w14:paraId="38DEB7FD">
            <w:pPr>
              <w:spacing w:line="300" w:lineRule="exact"/>
              <w:jc w:val="center"/>
              <w:rPr>
                <w:color w:val="auto"/>
                <w:spacing w:val="20"/>
                <w:szCs w:val="21"/>
                <w:highlight w:val="none"/>
              </w:rPr>
            </w:pPr>
          </w:p>
        </w:tc>
      </w:tr>
      <w:tr w14:paraId="4A2AD42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415841D">
            <w:pPr>
              <w:spacing w:line="300" w:lineRule="exact"/>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EE2F81F">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B619C4A">
            <w:pPr>
              <w:spacing w:line="300" w:lineRule="exact"/>
              <w:jc w:val="center"/>
              <w:rPr>
                <w:color w:val="auto"/>
                <w:szCs w:val="21"/>
                <w:highlight w:val="none"/>
              </w:rPr>
            </w:pPr>
            <w:r>
              <w:rPr>
                <w:color w:val="auto"/>
                <w:szCs w:val="21"/>
                <w:highlight w:val="none"/>
              </w:rPr>
              <w:t>开户名称</w:t>
            </w:r>
          </w:p>
        </w:tc>
        <w:tc>
          <w:tcPr>
            <w:tcW w:w="1259" w:type="pct"/>
            <w:tcBorders>
              <w:top w:val="single" w:color="auto" w:sz="2" w:space="0"/>
              <w:left w:val="single" w:color="auto" w:sz="2" w:space="0"/>
              <w:bottom w:val="single" w:color="auto" w:sz="2" w:space="0"/>
            </w:tcBorders>
            <w:noWrap w:val="0"/>
            <w:vAlign w:val="center"/>
          </w:tcPr>
          <w:p w14:paraId="30F0A7CA">
            <w:pPr>
              <w:spacing w:line="300" w:lineRule="exact"/>
              <w:jc w:val="center"/>
              <w:rPr>
                <w:color w:val="auto"/>
                <w:spacing w:val="20"/>
                <w:szCs w:val="21"/>
                <w:highlight w:val="none"/>
              </w:rPr>
            </w:pPr>
          </w:p>
        </w:tc>
      </w:tr>
      <w:tr w14:paraId="0BCC7EB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62E174E">
            <w:pPr>
              <w:spacing w:line="300" w:lineRule="exact"/>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AF47D9C">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4666EE6">
            <w:pPr>
              <w:spacing w:line="300" w:lineRule="exact"/>
              <w:jc w:val="center"/>
              <w:rPr>
                <w:color w:val="auto"/>
                <w:szCs w:val="21"/>
                <w:highlight w:val="none"/>
              </w:rPr>
            </w:pPr>
            <w:r>
              <w:rPr>
                <w:color w:val="auto"/>
                <w:szCs w:val="21"/>
                <w:highlight w:val="none"/>
              </w:rPr>
              <w:t>开户银行</w:t>
            </w:r>
          </w:p>
        </w:tc>
        <w:tc>
          <w:tcPr>
            <w:tcW w:w="1259" w:type="pct"/>
            <w:tcBorders>
              <w:top w:val="single" w:color="auto" w:sz="2" w:space="0"/>
              <w:left w:val="single" w:color="auto" w:sz="2" w:space="0"/>
              <w:bottom w:val="single" w:color="auto" w:sz="2" w:space="0"/>
            </w:tcBorders>
            <w:noWrap w:val="0"/>
            <w:vAlign w:val="center"/>
          </w:tcPr>
          <w:p w14:paraId="4595E010">
            <w:pPr>
              <w:spacing w:line="300" w:lineRule="exact"/>
              <w:jc w:val="center"/>
              <w:rPr>
                <w:color w:val="auto"/>
                <w:spacing w:val="20"/>
                <w:szCs w:val="21"/>
                <w:highlight w:val="none"/>
              </w:rPr>
            </w:pPr>
          </w:p>
        </w:tc>
      </w:tr>
      <w:tr w14:paraId="1C05A8A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9A48DB2">
            <w:pPr>
              <w:spacing w:line="300" w:lineRule="exact"/>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58F93C3">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9E48A4F">
            <w:pPr>
              <w:spacing w:line="300" w:lineRule="exact"/>
              <w:jc w:val="center"/>
              <w:rPr>
                <w:color w:val="auto"/>
                <w:szCs w:val="21"/>
                <w:highlight w:val="none"/>
              </w:rPr>
            </w:pPr>
            <w:r>
              <w:rPr>
                <w:color w:val="auto"/>
                <w:szCs w:val="21"/>
                <w:highlight w:val="none"/>
              </w:rPr>
              <w:t>银行账号</w:t>
            </w:r>
          </w:p>
        </w:tc>
        <w:tc>
          <w:tcPr>
            <w:tcW w:w="1259" w:type="pct"/>
            <w:tcBorders>
              <w:top w:val="single" w:color="auto" w:sz="2" w:space="0"/>
              <w:left w:val="single" w:color="auto" w:sz="2" w:space="0"/>
              <w:bottom w:val="single" w:color="auto" w:sz="2" w:space="0"/>
            </w:tcBorders>
            <w:noWrap w:val="0"/>
            <w:vAlign w:val="center"/>
          </w:tcPr>
          <w:p w14:paraId="1CAB4FB2">
            <w:pPr>
              <w:spacing w:line="300" w:lineRule="exact"/>
              <w:jc w:val="center"/>
              <w:rPr>
                <w:color w:val="auto"/>
                <w:spacing w:val="20"/>
                <w:szCs w:val="21"/>
                <w:highlight w:val="none"/>
              </w:rPr>
            </w:pPr>
          </w:p>
        </w:tc>
      </w:tr>
      <w:tr w14:paraId="7E24E3F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4C115ACD">
            <w:pPr>
              <w:pStyle w:val="14"/>
              <w:spacing w:before="120" w:line="360" w:lineRule="auto"/>
              <w:jc w:val="left"/>
              <w:rPr>
                <w:color w:val="auto"/>
                <w:spacing w:val="20"/>
                <w:szCs w:val="21"/>
                <w:highlight w:val="none"/>
              </w:rPr>
            </w:pPr>
            <w:r>
              <w:rPr>
                <w:rFonts w:hint="eastAsia" w:ascii="宋体" w:hAnsi="宋体"/>
                <w:color w:val="auto"/>
                <w:szCs w:val="21"/>
                <w:highlight w:val="none"/>
              </w:rPr>
              <w:t>注：涉及联合体或其他合同主体的信息应按上表格式加列。</w:t>
            </w:r>
          </w:p>
        </w:tc>
      </w:tr>
    </w:tbl>
    <w:p w14:paraId="2413FE52"/>
    <w:p w14:paraId="00715900">
      <w:pPr>
        <w:pStyle w:val="32"/>
      </w:pPr>
    </w:p>
    <w:p w14:paraId="5A696D80">
      <w:pPr>
        <w:pStyle w:val="32"/>
      </w:pPr>
    </w:p>
    <w:p w14:paraId="4C64D8B5">
      <w:pPr>
        <w:pStyle w:val="32"/>
      </w:pPr>
    </w:p>
    <w:p w14:paraId="79C7872A">
      <w:pPr>
        <w:pStyle w:val="32"/>
      </w:pPr>
    </w:p>
    <w:p w14:paraId="728230CE">
      <w:pPr>
        <w:pStyle w:val="32"/>
      </w:pPr>
    </w:p>
    <w:p w14:paraId="692E3B6A">
      <w:pPr>
        <w:pStyle w:val="32"/>
      </w:pPr>
    </w:p>
    <w:p w14:paraId="01F5A57B">
      <w:pPr>
        <w:pStyle w:val="32"/>
      </w:pPr>
    </w:p>
    <w:p w14:paraId="23B37EBA">
      <w:pPr>
        <w:pStyle w:val="32"/>
      </w:pPr>
    </w:p>
    <w:p w14:paraId="4C90EC0E">
      <w:pPr>
        <w:pStyle w:val="32"/>
      </w:pPr>
    </w:p>
    <w:p w14:paraId="5F54B949">
      <w:pPr>
        <w:pStyle w:val="32"/>
      </w:pPr>
    </w:p>
    <w:p w14:paraId="5A5F1477">
      <w:pPr>
        <w:pStyle w:val="32"/>
      </w:pPr>
    </w:p>
    <w:p w14:paraId="48695224">
      <w:pPr>
        <w:pStyle w:val="32"/>
        <w:ind w:left="0" w:firstLine="0"/>
        <w:rPr>
          <w:rFonts w:hint="eastAsia"/>
          <w:sz w:val="28"/>
          <w:szCs w:val="28"/>
          <w:lang w:val="en-US" w:eastAsia="zh-CN"/>
        </w:rPr>
      </w:pPr>
    </w:p>
    <w:p w14:paraId="36E7D56F">
      <w:pPr>
        <w:pStyle w:val="32"/>
        <w:ind w:left="0" w:firstLine="0"/>
        <w:rPr>
          <w:rFonts w:hint="eastAsia"/>
          <w:sz w:val="28"/>
          <w:szCs w:val="28"/>
          <w:lang w:val="en-US" w:eastAsia="zh-CN"/>
        </w:rPr>
      </w:pPr>
    </w:p>
    <w:p w14:paraId="200A9A90">
      <w:pPr>
        <w:pStyle w:val="32"/>
        <w:ind w:left="0" w:firstLine="0"/>
        <w:rPr>
          <w:rFonts w:hint="eastAsia"/>
          <w:sz w:val="28"/>
          <w:szCs w:val="28"/>
          <w:lang w:val="en-US" w:eastAsia="zh-CN"/>
        </w:rPr>
      </w:pPr>
    </w:p>
    <w:p w14:paraId="6BB5E3C2">
      <w:pPr>
        <w:pStyle w:val="32"/>
        <w:ind w:left="0" w:firstLine="0"/>
        <w:rPr>
          <w:rFonts w:hint="eastAsia"/>
          <w:sz w:val="28"/>
          <w:szCs w:val="28"/>
          <w:lang w:val="en-US" w:eastAsia="zh-CN"/>
        </w:rPr>
      </w:pPr>
    </w:p>
    <w:p w14:paraId="16C9B9F5">
      <w:pPr>
        <w:pStyle w:val="32"/>
        <w:ind w:left="0" w:firstLine="0"/>
        <w:rPr>
          <w:rFonts w:hint="eastAsia"/>
          <w:sz w:val="28"/>
          <w:szCs w:val="28"/>
          <w:lang w:val="en-US" w:eastAsia="zh-CN"/>
        </w:rPr>
      </w:pPr>
    </w:p>
    <w:p w14:paraId="3FB35895">
      <w:pPr>
        <w:pStyle w:val="32"/>
        <w:ind w:left="0" w:firstLine="0"/>
        <w:rPr>
          <w:rFonts w:hint="eastAsia"/>
          <w:sz w:val="28"/>
          <w:szCs w:val="28"/>
          <w:lang w:val="en-US" w:eastAsia="zh-CN"/>
        </w:rPr>
      </w:pPr>
    </w:p>
    <w:p w14:paraId="780A5AEA">
      <w:pPr>
        <w:pStyle w:val="32"/>
        <w:ind w:left="0" w:firstLine="0"/>
        <w:rPr>
          <w:rFonts w:hint="eastAsia"/>
          <w:sz w:val="28"/>
          <w:szCs w:val="28"/>
          <w:lang w:val="en-US" w:eastAsia="zh-CN"/>
        </w:rPr>
      </w:pPr>
    </w:p>
    <w:p w14:paraId="362D31FC">
      <w:pPr>
        <w:pStyle w:val="32"/>
        <w:ind w:left="0" w:firstLine="0"/>
        <w:rPr>
          <w:rFonts w:hint="eastAsia"/>
          <w:sz w:val="28"/>
          <w:szCs w:val="28"/>
          <w:lang w:val="en-US" w:eastAsia="zh-CN"/>
        </w:rPr>
      </w:pPr>
    </w:p>
    <w:p w14:paraId="2D5FBEF8">
      <w:pPr>
        <w:pStyle w:val="32"/>
        <w:ind w:left="0" w:firstLine="0"/>
        <w:rPr>
          <w:rFonts w:hint="eastAsia"/>
          <w:sz w:val="28"/>
          <w:szCs w:val="28"/>
          <w:lang w:val="en-US" w:eastAsia="zh-CN"/>
        </w:rPr>
      </w:pPr>
    </w:p>
    <w:p w14:paraId="0A197087">
      <w:pPr>
        <w:pStyle w:val="32"/>
        <w:ind w:left="0" w:firstLine="0"/>
        <w:rPr>
          <w:rFonts w:hint="eastAsia"/>
          <w:sz w:val="28"/>
          <w:szCs w:val="28"/>
          <w:lang w:val="en-US" w:eastAsia="zh-CN"/>
        </w:rPr>
      </w:pPr>
    </w:p>
    <w:p w14:paraId="6D72B5C1">
      <w:pPr>
        <w:pStyle w:val="32"/>
        <w:ind w:left="0" w:firstLine="0"/>
        <w:rPr>
          <w:rFonts w:hint="eastAsia"/>
          <w:sz w:val="28"/>
          <w:szCs w:val="28"/>
          <w:lang w:val="en-US" w:eastAsia="zh-CN"/>
        </w:rPr>
      </w:pPr>
    </w:p>
    <w:p w14:paraId="62939588">
      <w:pPr>
        <w:pStyle w:val="32"/>
        <w:ind w:left="0" w:firstLine="0"/>
        <w:rPr>
          <w:rFonts w:hint="eastAsia"/>
          <w:sz w:val="28"/>
          <w:szCs w:val="28"/>
          <w:lang w:val="en-US" w:eastAsia="zh-CN"/>
        </w:rPr>
      </w:pPr>
    </w:p>
    <w:p w14:paraId="7D3007AB">
      <w:pPr>
        <w:pStyle w:val="32"/>
        <w:ind w:left="0" w:firstLine="0"/>
        <w:rPr>
          <w:rFonts w:hint="eastAsia"/>
          <w:sz w:val="28"/>
          <w:szCs w:val="28"/>
          <w:lang w:val="en-US" w:eastAsia="zh-CN"/>
        </w:rPr>
      </w:pPr>
    </w:p>
    <w:p w14:paraId="4CBF5317">
      <w:pPr>
        <w:pStyle w:val="32"/>
        <w:ind w:left="0" w:firstLine="0"/>
        <w:rPr>
          <w:rFonts w:hint="eastAsia"/>
          <w:sz w:val="28"/>
          <w:szCs w:val="28"/>
          <w:lang w:val="en-US" w:eastAsia="zh-CN"/>
        </w:rPr>
      </w:pPr>
    </w:p>
    <w:p w14:paraId="14DA1206">
      <w:pPr>
        <w:pStyle w:val="32"/>
        <w:ind w:left="0" w:firstLine="0"/>
        <w:rPr>
          <w:rFonts w:hint="eastAsia"/>
          <w:sz w:val="28"/>
          <w:szCs w:val="28"/>
          <w:lang w:val="en-US" w:eastAsia="zh-CN"/>
        </w:rPr>
      </w:pPr>
      <w:r>
        <w:rPr>
          <w:rFonts w:hint="eastAsia"/>
          <w:sz w:val="28"/>
          <w:szCs w:val="28"/>
          <w:lang w:val="en-US" w:eastAsia="zh-CN"/>
        </w:rPr>
        <w:t>附件</w:t>
      </w:r>
    </w:p>
    <w:p w14:paraId="43DE47F9">
      <w:pPr>
        <w:keepNext w:val="0"/>
        <w:keepLines w:val="0"/>
        <w:pageBreakBefore w:val="0"/>
        <w:widowControl w:val="0"/>
        <w:spacing w:line="580" w:lineRule="exact"/>
        <w:ind w:firstLine="0"/>
        <w:jc w:val="center"/>
        <w:outlineLvl w:val="0"/>
        <w:rPr>
          <w:rFonts w:hint="eastAsia" w:ascii="Times New Roman" w:hAnsi="Times New Roman"/>
          <w:b/>
          <w:color w:val="auto"/>
          <w:sz w:val="28"/>
          <w:szCs w:val="28"/>
          <w:lang w:eastAsia="zh-CN"/>
        </w:rPr>
      </w:pPr>
      <w:r>
        <w:rPr>
          <w:rFonts w:hint="eastAsia" w:ascii="Times New Roman" w:hAnsi="Times New Roman"/>
          <w:b/>
          <w:color w:val="auto"/>
          <w:sz w:val="28"/>
          <w:szCs w:val="28"/>
          <w:lang w:eastAsia="zh-CN"/>
        </w:rPr>
        <w:t>2026年度一体化调查监测</w:t>
      </w:r>
      <w:r>
        <w:rPr>
          <w:rFonts w:hint="eastAsia" w:ascii="Times New Roman" w:hAnsi="Times New Roman"/>
          <w:b/>
          <w:color w:val="auto"/>
          <w:sz w:val="28"/>
          <w:szCs w:val="28"/>
          <w:lang w:val="en-US" w:eastAsia="zh-CN"/>
        </w:rPr>
        <w:t>项</w:t>
      </w:r>
      <w:r>
        <w:rPr>
          <w:rFonts w:hint="eastAsia" w:ascii="Times New Roman" w:hAnsi="Times New Roman"/>
          <w:b/>
          <w:color w:val="auto"/>
          <w:sz w:val="28"/>
          <w:szCs w:val="28"/>
          <w:lang w:eastAsia="zh-CN"/>
        </w:rPr>
        <w:t>目</w:t>
      </w:r>
    </w:p>
    <w:p w14:paraId="06908CD3">
      <w:pPr>
        <w:keepNext w:val="0"/>
        <w:keepLines w:val="0"/>
        <w:pageBreakBefore w:val="0"/>
        <w:widowControl w:val="0"/>
        <w:spacing w:line="580" w:lineRule="exact"/>
        <w:ind w:firstLine="0"/>
        <w:jc w:val="center"/>
        <w:rPr>
          <w:rFonts w:ascii="Times New Roman" w:hAnsi="Times New Roman"/>
          <w:b/>
          <w:color w:val="auto"/>
          <w:sz w:val="28"/>
          <w:szCs w:val="28"/>
        </w:rPr>
      </w:pPr>
      <w:r>
        <w:rPr>
          <w:rFonts w:hint="eastAsia" w:ascii="Times New Roman" w:hAnsi="Times New Roman"/>
          <w:b/>
          <w:color w:val="auto"/>
          <w:sz w:val="28"/>
          <w:szCs w:val="28"/>
        </w:rPr>
        <w:t>绩效考核评价</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9"/>
        <w:gridCol w:w="3000"/>
        <w:gridCol w:w="3150"/>
        <w:gridCol w:w="1101"/>
      </w:tblGrid>
      <w:tr w14:paraId="64F78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269" w:type="dxa"/>
            <w:noWrap w:val="0"/>
            <w:vAlign w:val="center"/>
          </w:tcPr>
          <w:p w14:paraId="5786A4DA">
            <w:pPr>
              <w:keepNext w:val="0"/>
              <w:keepLines w:val="0"/>
              <w:pageBreakBefore w:val="0"/>
              <w:widowControl w:val="0"/>
              <w:spacing w:after="0" w:line="360" w:lineRule="exact"/>
              <w:ind w:firstLine="0"/>
              <w:jc w:val="center"/>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考核项目</w:t>
            </w:r>
          </w:p>
        </w:tc>
        <w:tc>
          <w:tcPr>
            <w:tcW w:w="3000" w:type="dxa"/>
            <w:noWrap w:val="0"/>
            <w:vAlign w:val="center"/>
          </w:tcPr>
          <w:p w14:paraId="5429F54E">
            <w:pPr>
              <w:keepNext w:val="0"/>
              <w:keepLines w:val="0"/>
              <w:pageBreakBefore w:val="0"/>
              <w:widowControl w:val="0"/>
              <w:spacing w:after="0" w:line="360" w:lineRule="exact"/>
              <w:ind w:firstLine="0"/>
              <w:jc w:val="center"/>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考核内容</w:t>
            </w:r>
          </w:p>
        </w:tc>
        <w:tc>
          <w:tcPr>
            <w:tcW w:w="3150" w:type="dxa"/>
            <w:noWrap w:val="0"/>
            <w:vAlign w:val="center"/>
          </w:tcPr>
          <w:p w14:paraId="1D6E0A70">
            <w:pPr>
              <w:keepNext w:val="0"/>
              <w:keepLines w:val="0"/>
              <w:pageBreakBefore w:val="0"/>
              <w:widowControl w:val="0"/>
              <w:spacing w:after="0" w:line="360" w:lineRule="exact"/>
              <w:ind w:firstLine="0"/>
              <w:jc w:val="center"/>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考核标准</w:t>
            </w:r>
          </w:p>
        </w:tc>
        <w:tc>
          <w:tcPr>
            <w:tcW w:w="1101" w:type="dxa"/>
            <w:noWrap w:val="0"/>
            <w:vAlign w:val="center"/>
          </w:tcPr>
          <w:p w14:paraId="0B03CC6D">
            <w:pPr>
              <w:keepNext w:val="0"/>
              <w:keepLines w:val="0"/>
              <w:pageBreakBefore w:val="0"/>
              <w:widowControl w:val="0"/>
              <w:spacing w:after="0" w:line="360" w:lineRule="exact"/>
              <w:ind w:firstLine="0"/>
              <w:jc w:val="center"/>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分值</w:t>
            </w:r>
          </w:p>
        </w:tc>
      </w:tr>
      <w:tr w14:paraId="23AF2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419" w:type="dxa"/>
            <w:gridSpan w:val="3"/>
            <w:noWrap w:val="0"/>
            <w:vAlign w:val="center"/>
          </w:tcPr>
          <w:p w14:paraId="5D05E336">
            <w:pPr>
              <w:keepNext w:val="0"/>
              <w:keepLines w:val="0"/>
              <w:pageBreakBefore w:val="0"/>
              <w:widowControl w:val="0"/>
              <w:spacing w:after="0" w:line="360" w:lineRule="exact"/>
              <w:ind w:firstLine="0"/>
              <w:jc w:val="both"/>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一、进度服务响应</w:t>
            </w:r>
          </w:p>
        </w:tc>
        <w:tc>
          <w:tcPr>
            <w:tcW w:w="1101" w:type="dxa"/>
            <w:noWrap w:val="0"/>
            <w:vAlign w:val="center"/>
          </w:tcPr>
          <w:p w14:paraId="6263765D">
            <w:pPr>
              <w:keepNext w:val="0"/>
              <w:keepLines w:val="0"/>
              <w:pageBreakBefore w:val="0"/>
              <w:widowControl w:val="0"/>
              <w:spacing w:after="0" w:line="360" w:lineRule="exact"/>
              <w:ind w:firstLine="0"/>
              <w:jc w:val="both"/>
              <w:rPr>
                <w:rFonts w:hint="eastAsia" w:ascii="宋体" w:hAnsi="宋体" w:eastAsia="宋体" w:cs="宋体"/>
                <w:b/>
                <w:bCs/>
                <w:color w:val="auto"/>
                <w:sz w:val="24"/>
                <w:szCs w:val="24"/>
                <w:vertAlign w:val="baseline"/>
                <w:lang w:val="en-US" w:eastAsia="zh-CN"/>
              </w:rPr>
            </w:pPr>
          </w:p>
        </w:tc>
      </w:tr>
      <w:tr w14:paraId="06773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9" w:type="dxa"/>
            <w:noWrap w:val="0"/>
            <w:vAlign w:val="center"/>
          </w:tcPr>
          <w:p w14:paraId="421EA403">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服务响应</w:t>
            </w:r>
          </w:p>
        </w:tc>
        <w:tc>
          <w:tcPr>
            <w:tcW w:w="3000" w:type="dxa"/>
            <w:noWrap w:val="0"/>
            <w:vAlign w:val="center"/>
          </w:tcPr>
          <w:p w14:paraId="50CADD38">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指定</w:t>
            </w:r>
            <w:r>
              <w:rPr>
                <w:rFonts w:hint="eastAsia" w:ascii="宋体" w:hAnsi="宋体" w:eastAsia="宋体" w:cs="宋体"/>
                <w:color w:val="auto"/>
                <w:sz w:val="24"/>
                <w:szCs w:val="24"/>
                <w:vertAlign w:val="baseline"/>
                <w:lang w:val="en-US" w:eastAsia="zh-CN"/>
              </w:rPr>
              <w:t>负责人，确定信息沟通渠道，提供沟通平台，保证服务热线畅通。</w:t>
            </w:r>
          </w:p>
        </w:tc>
        <w:tc>
          <w:tcPr>
            <w:tcW w:w="3150" w:type="dxa"/>
            <w:noWrap w:val="0"/>
            <w:vAlign w:val="center"/>
          </w:tcPr>
          <w:p w14:paraId="7E52645F">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在收到采购人咨询后于1-2个工作日内响应。响应不及时，每次扣除1分。</w:t>
            </w:r>
          </w:p>
        </w:tc>
        <w:tc>
          <w:tcPr>
            <w:tcW w:w="1101" w:type="dxa"/>
            <w:noWrap w:val="0"/>
            <w:vAlign w:val="center"/>
          </w:tcPr>
          <w:p w14:paraId="205CACFD">
            <w:pPr>
              <w:keepNext w:val="0"/>
              <w:keepLines w:val="0"/>
              <w:pageBreakBefore w:val="0"/>
              <w:widowControl w:val="0"/>
              <w:spacing w:after="0" w:line="360" w:lineRule="exact"/>
              <w:ind w:firstLine="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20</w:t>
            </w:r>
          </w:p>
        </w:tc>
      </w:tr>
      <w:tr w14:paraId="66FA3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9" w:type="dxa"/>
            <w:noWrap w:val="0"/>
            <w:vAlign w:val="center"/>
          </w:tcPr>
          <w:p w14:paraId="35ABA28E">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进度保证</w:t>
            </w:r>
          </w:p>
        </w:tc>
        <w:tc>
          <w:tcPr>
            <w:tcW w:w="3000" w:type="dxa"/>
            <w:noWrap w:val="0"/>
            <w:vAlign w:val="center"/>
          </w:tcPr>
          <w:p w14:paraId="713DBE43">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中标人应与采购人紧密配合，按照合同进度计划完成工作。</w:t>
            </w:r>
          </w:p>
        </w:tc>
        <w:tc>
          <w:tcPr>
            <w:tcW w:w="3150" w:type="dxa"/>
            <w:noWrap w:val="0"/>
            <w:vAlign w:val="center"/>
          </w:tcPr>
          <w:p w14:paraId="549035FB">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由于中标人原因，未能按合同进度计划完成工作，或采购人认为中标人工作进度不能满足合同工期要求的，中标人应采取措施加快进度，每推迟1天，扣除1分。</w:t>
            </w:r>
          </w:p>
        </w:tc>
        <w:tc>
          <w:tcPr>
            <w:tcW w:w="1101" w:type="dxa"/>
            <w:noWrap w:val="0"/>
            <w:vAlign w:val="center"/>
          </w:tcPr>
          <w:p w14:paraId="45465723">
            <w:pPr>
              <w:keepNext w:val="0"/>
              <w:keepLines w:val="0"/>
              <w:pageBreakBefore w:val="0"/>
              <w:widowControl w:val="0"/>
              <w:spacing w:after="0" w:line="360" w:lineRule="exact"/>
              <w:ind w:firstLine="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20</w:t>
            </w:r>
          </w:p>
        </w:tc>
      </w:tr>
      <w:tr w14:paraId="1DD2C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419" w:type="dxa"/>
            <w:gridSpan w:val="3"/>
            <w:noWrap w:val="0"/>
            <w:vAlign w:val="center"/>
          </w:tcPr>
          <w:p w14:paraId="646B6907">
            <w:pPr>
              <w:keepNext w:val="0"/>
              <w:keepLines w:val="0"/>
              <w:pageBreakBefore w:val="0"/>
              <w:widowControl w:val="0"/>
              <w:spacing w:after="0" w:line="360" w:lineRule="exact"/>
              <w:ind w:firstLine="0"/>
              <w:jc w:val="both"/>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二、项目成果质量</w:t>
            </w:r>
          </w:p>
        </w:tc>
        <w:tc>
          <w:tcPr>
            <w:tcW w:w="1101" w:type="dxa"/>
            <w:noWrap w:val="0"/>
            <w:vAlign w:val="center"/>
          </w:tcPr>
          <w:p w14:paraId="2C6F700B">
            <w:pPr>
              <w:keepNext w:val="0"/>
              <w:keepLines w:val="0"/>
              <w:pageBreakBefore w:val="0"/>
              <w:widowControl w:val="0"/>
              <w:spacing w:after="0" w:line="360" w:lineRule="exact"/>
              <w:ind w:firstLine="0"/>
              <w:jc w:val="both"/>
              <w:rPr>
                <w:rFonts w:hint="eastAsia" w:ascii="宋体" w:hAnsi="宋体" w:eastAsia="宋体" w:cs="宋体"/>
                <w:b/>
                <w:bCs/>
                <w:color w:val="auto"/>
                <w:sz w:val="24"/>
                <w:szCs w:val="24"/>
                <w:vertAlign w:val="baseline"/>
                <w:lang w:val="en-US" w:eastAsia="zh-CN"/>
              </w:rPr>
            </w:pPr>
          </w:p>
        </w:tc>
      </w:tr>
      <w:tr w14:paraId="7327E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9" w:type="dxa"/>
            <w:noWrap w:val="0"/>
            <w:vAlign w:val="center"/>
          </w:tcPr>
          <w:p w14:paraId="126A3717">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项目编制</w:t>
            </w:r>
          </w:p>
        </w:tc>
        <w:tc>
          <w:tcPr>
            <w:tcW w:w="3000" w:type="dxa"/>
            <w:noWrap w:val="0"/>
            <w:vAlign w:val="center"/>
          </w:tcPr>
          <w:p w14:paraId="55E383CD">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中标人应按照项目的实际要求开展工作，确保项目顺利通过审批、并积极配合结合公告意见、评审意见修改方案。</w:t>
            </w:r>
          </w:p>
        </w:tc>
        <w:tc>
          <w:tcPr>
            <w:tcW w:w="3150" w:type="dxa"/>
            <w:noWrap w:val="0"/>
            <w:vAlign w:val="center"/>
          </w:tcPr>
          <w:p w14:paraId="4E5C413A">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因中标人工作失误，造成工作成果不合格的，采购人可以随时发出指示，要求中标人立即采取措施进行补救，直至达到设计要求的质量标准。设计失误，每次扣除2分。</w:t>
            </w:r>
          </w:p>
        </w:tc>
        <w:tc>
          <w:tcPr>
            <w:tcW w:w="1101" w:type="dxa"/>
            <w:noWrap w:val="0"/>
            <w:vAlign w:val="center"/>
          </w:tcPr>
          <w:p w14:paraId="331DD8FD">
            <w:pPr>
              <w:keepNext w:val="0"/>
              <w:keepLines w:val="0"/>
              <w:pageBreakBefore w:val="0"/>
              <w:widowControl w:val="0"/>
              <w:spacing w:after="0" w:line="360" w:lineRule="exact"/>
              <w:ind w:firstLine="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20</w:t>
            </w:r>
          </w:p>
        </w:tc>
      </w:tr>
      <w:tr w14:paraId="76FB2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9" w:type="dxa"/>
            <w:noWrap w:val="0"/>
            <w:vAlign w:val="center"/>
          </w:tcPr>
          <w:p w14:paraId="4B2B5C05">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汇报协调</w:t>
            </w:r>
          </w:p>
        </w:tc>
        <w:tc>
          <w:tcPr>
            <w:tcW w:w="3000" w:type="dxa"/>
            <w:noWrap w:val="0"/>
            <w:vAlign w:val="center"/>
          </w:tcPr>
          <w:p w14:paraId="6EFB8585">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中标人需保证中标后汇报次数、积极协调各方需求、处理各种问题。保证不少于5次的项目汇报，汇报项目进展情况和成果内容，处理项目编制中出现的各种问题。保证主动参与上下层次的项目协调会，配合有关部门工作需要，提供技术协调服务。</w:t>
            </w:r>
          </w:p>
        </w:tc>
        <w:tc>
          <w:tcPr>
            <w:tcW w:w="3150" w:type="dxa"/>
            <w:noWrap w:val="0"/>
            <w:vAlign w:val="center"/>
          </w:tcPr>
          <w:p w14:paraId="4DDF6D06">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中标人由于主观原因无法及时到场沟通，汇报数量和质量无法达到采购人要求，每次扣除2分。</w:t>
            </w:r>
          </w:p>
        </w:tc>
        <w:tc>
          <w:tcPr>
            <w:tcW w:w="1101" w:type="dxa"/>
            <w:noWrap w:val="0"/>
            <w:vAlign w:val="center"/>
          </w:tcPr>
          <w:p w14:paraId="5D0E0665">
            <w:pPr>
              <w:keepNext w:val="0"/>
              <w:keepLines w:val="0"/>
              <w:pageBreakBefore w:val="0"/>
              <w:widowControl w:val="0"/>
              <w:spacing w:after="0" w:line="360" w:lineRule="exact"/>
              <w:ind w:firstLine="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20</w:t>
            </w:r>
          </w:p>
        </w:tc>
      </w:tr>
      <w:tr w14:paraId="30727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419" w:type="dxa"/>
            <w:gridSpan w:val="3"/>
            <w:noWrap w:val="0"/>
            <w:vAlign w:val="center"/>
          </w:tcPr>
          <w:p w14:paraId="22BBE4A4">
            <w:pPr>
              <w:keepNext w:val="0"/>
              <w:keepLines w:val="0"/>
              <w:pageBreakBefore w:val="0"/>
              <w:widowControl w:val="0"/>
              <w:spacing w:after="0" w:line="360" w:lineRule="exact"/>
              <w:ind w:firstLine="0"/>
              <w:jc w:val="both"/>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三、后续服务保障</w:t>
            </w:r>
          </w:p>
        </w:tc>
        <w:tc>
          <w:tcPr>
            <w:tcW w:w="1101" w:type="dxa"/>
            <w:noWrap w:val="0"/>
            <w:vAlign w:val="center"/>
          </w:tcPr>
          <w:p w14:paraId="755D9C0D">
            <w:pPr>
              <w:keepNext w:val="0"/>
              <w:keepLines w:val="0"/>
              <w:pageBreakBefore w:val="0"/>
              <w:widowControl w:val="0"/>
              <w:spacing w:after="0" w:line="360" w:lineRule="exact"/>
              <w:ind w:firstLine="0"/>
              <w:jc w:val="both"/>
              <w:rPr>
                <w:rFonts w:hint="eastAsia" w:ascii="宋体" w:hAnsi="宋体" w:eastAsia="宋体" w:cs="宋体"/>
                <w:b/>
                <w:bCs/>
                <w:color w:val="auto"/>
                <w:sz w:val="24"/>
                <w:szCs w:val="24"/>
                <w:vertAlign w:val="baseline"/>
                <w:lang w:val="en-US" w:eastAsia="zh-CN"/>
              </w:rPr>
            </w:pPr>
          </w:p>
        </w:tc>
      </w:tr>
      <w:tr w14:paraId="3171B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9" w:type="dxa"/>
            <w:noWrap w:val="0"/>
            <w:vAlign w:val="center"/>
          </w:tcPr>
          <w:p w14:paraId="78E76DDF">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highlight w:val="none"/>
                <w:vertAlign w:val="baseline"/>
                <w:lang w:val="en-US" w:eastAsia="zh-CN"/>
              </w:rPr>
              <w:t>报批归档</w:t>
            </w:r>
          </w:p>
        </w:tc>
        <w:tc>
          <w:tcPr>
            <w:tcW w:w="3000" w:type="dxa"/>
            <w:noWrap w:val="0"/>
            <w:vAlign w:val="center"/>
          </w:tcPr>
          <w:p w14:paraId="2D1D6F53">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保证归档成果、协助成果展示、提供后续服务。根据行政主管部门对于详细规划公告、公示的相关规定制作成果展示与公告公示材料电子数据成果。保证协助行政主管部门进行正式成果的归档。成果归档后，中标人需要对规划成果质量全面负责，并提供相关后续服务。</w:t>
            </w:r>
          </w:p>
        </w:tc>
        <w:tc>
          <w:tcPr>
            <w:tcW w:w="3150" w:type="dxa"/>
            <w:noWrap w:val="0"/>
            <w:vAlign w:val="center"/>
          </w:tcPr>
          <w:p w14:paraId="77259738">
            <w:pPr>
              <w:keepNext w:val="0"/>
              <w:keepLines w:val="0"/>
              <w:pageBreakBefore w:val="0"/>
              <w:widowControl w:val="0"/>
              <w:spacing w:after="0" w:line="360" w:lineRule="exact"/>
              <w:ind w:firstLine="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工作响应不及时，每次扣1分，未按要求做好服务工作或配合不到位，每次扣2分。</w:t>
            </w:r>
          </w:p>
        </w:tc>
        <w:tc>
          <w:tcPr>
            <w:tcW w:w="1101" w:type="dxa"/>
            <w:noWrap w:val="0"/>
            <w:vAlign w:val="center"/>
          </w:tcPr>
          <w:p w14:paraId="03DB19F0">
            <w:pPr>
              <w:keepNext w:val="0"/>
              <w:keepLines w:val="0"/>
              <w:pageBreakBefore w:val="0"/>
              <w:widowControl w:val="0"/>
              <w:spacing w:after="0" w:line="360" w:lineRule="exact"/>
              <w:ind w:firstLine="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10</w:t>
            </w:r>
          </w:p>
        </w:tc>
      </w:tr>
      <w:tr w14:paraId="344EA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9" w:type="dxa"/>
            <w:noWrap w:val="0"/>
            <w:vAlign w:val="center"/>
          </w:tcPr>
          <w:p w14:paraId="37B4896E">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临时事项</w:t>
            </w:r>
          </w:p>
        </w:tc>
        <w:tc>
          <w:tcPr>
            <w:tcW w:w="3000" w:type="dxa"/>
            <w:noWrap w:val="0"/>
            <w:vAlign w:val="center"/>
          </w:tcPr>
          <w:p w14:paraId="2E0DC3B5">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按采购人要求做好故障处理的管控。采购人要求须做好临时事项的服务保障工作。</w:t>
            </w:r>
          </w:p>
        </w:tc>
        <w:tc>
          <w:tcPr>
            <w:tcW w:w="3150" w:type="dxa"/>
            <w:noWrap w:val="0"/>
            <w:vAlign w:val="center"/>
          </w:tcPr>
          <w:p w14:paraId="53FC26C4">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工作响应不及时，每次扣1分，未按要求做好服务工作或配合不到位，每次扣2分。</w:t>
            </w:r>
          </w:p>
        </w:tc>
        <w:tc>
          <w:tcPr>
            <w:tcW w:w="1101" w:type="dxa"/>
            <w:noWrap w:val="0"/>
            <w:vAlign w:val="center"/>
          </w:tcPr>
          <w:p w14:paraId="65797F91">
            <w:pPr>
              <w:keepNext w:val="0"/>
              <w:keepLines w:val="0"/>
              <w:pageBreakBefore w:val="0"/>
              <w:widowControl w:val="0"/>
              <w:spacing w:after="0" w:line="360" w:lineRule="exact"/>
              <w:ind w:firstLine="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10</w:t>
            </w:r>
          </w:p>
        </w:tc>
      </w:tr>
      <w:tr w14:paraId="00F76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419" w:type="dxa"/>
            <w:gridSpan w:val="3"/>
            <w:noWrap w:val="0"/>
            <w:vAlign w:val="center"/>
          </w:tcPr>
          <w:p w14:paraId="48E30A70">
            <w:pPr>
              <w:keepNext w:val="0"/>
              <w:keepLines w:val="0"/>
              <w:pageBreakBefore w:val="0"/>
              <w:widowControl w:val="0"/>
              <w:spacing w:after="0" w:line="360" w:lineRule="exact"/>
              <w:ind w:firstLine="0"/>
              <w:jc w:val="both"/>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四、评价标准与等级</w:t>
            </w:r>
          </w:p>
        </w:tc>
        <w:tc>
          <w:tcPr>
            <w:tcW w:w="1101" w:type="dxa"/>
            <w:noWrap w:val="0"/>
            <w:vAlign w:val="center"/>
          </w:tcPr>
          <w:p w14:paraId="3D5C929B">
            <w:pPr>
              <w:keepNext w:val="0"/>
              <w:keepLines w:val="0"/>
              <w:pageBreakBefore w:val="0"/>
              <w:widowControl w:val="0"/>
              <w:spacing w:after="0" w:line="360" w:lineRule="exact"/>
              <w:ind w:firstLine="0"/>
              <w:jc w:val="both"/>
              <w:rPr>
                <w:rFonts w:hint="eastAsia" w:ascii="宋体" w:hAnsi="宋体" w:eastAsia="宋体" w:cs="宋体"/>
                <w:b/>
                <w:bCs/>
                <w:color w:val="auto"/>
                <w:sz w:val="24"/>
                <w:szCs w:val="24"/>
                <w:vertAlign w:val="baseline"/>
                <w:lang w:val="en-US" w:eastAsia="zh-CN"/>
              </w:rPr>
            </w:pPr>
          </w:p>
        </w:tc>
      </w:tr>
      <w:tr w14:paraId="424DF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9" w:type="dxa"/>
            <w:noWrap w:val="0"/>
            <w:vAlign w:val="center"/>
          </w:tcPr>
          <w:p w14:paraId="723481EA">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评价标准与等级</w:t>
            </w:r>
          </w:p>
        </w:tc>
        <w:tc>
          <w:tcPr>
            <w:tcW w:w="7251" w:type="dxa"/>
            <w:gridSpan w:val="3"/>
            <w:noWrap w:val="0"/>
            <w:vAlign w:val="center"/>
          </w:tcPr>
          <w:p w14:paraId="7EC1EA0E">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分为优、合格、不合格三个等级。得分 70分以下为不合格; 90 分以上为优。</w:t>
            </w:r>
          </w:p>
          <w:p w14:paraId="3EF4B384">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费用结算明细表，经采购人考核后，按以下方式拨付:</w:t>
            </w:r>
            <w:r>
              <w:rPr>
                <w:rFonts w:hint="eastAsia" w:ascii="宋体" w:hAnsi="宋体" w:eastAsia="宋体" w:cs="宋体"/>
                <w:color w:val="auto"/>
                <w:sz w:val="24"/>
                <w:szCs w:val="24"/>
                <w:vertAlign w:val="baseline"/>
                <w:lang w:val="en-US" w:eastAsia="zh-CN"/>
              </w:rPr>
              <w:tab/>
            </w:r>
          </w:p>
          <w:p w14:paraId="73398BA9">
            <w:pPr>
              <w:keepNext w:val="0"/>
              <w:keepLines w:val="0"/>
              <w:pageBreakBefore w:val="0"/>
              <w:widowControl w:val="0"/>
              <w:numPr>
                <w:ilvl w:val="0"/>
                <w:numId w:val="8"/>
              </w:numPr>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项目考核成绩在90分以上(不含90)全额支付尾款费用;</w:t>
            </w:r>
          </w:p>
          <w:p w14:paraId="70ADEDF2">
            <w:pPr>
              <w:keepNext w:val="0"/>
              <w:keepLines w:val="0"/>
              <w:pageBreakBefore w:val="0"/>
              <w:widowControl w:val="0"/>
              <w:numPr>
                <w:ilvl w:val="0"/>
                <w:numId w:val="8"/>
              </w:numPr>
              <w:spacing w:after="0" w:line="360" w:lineRule="exact"/>
              <w:ind w:left="0"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项目考核成绩在90-80分(含90分)之间的，支付尾款费用标准的 90%;</w:t>
            </w:r>
          </w:p>
          <w:p w14:paraId="54A6D897">
            <w:pPr>
              <w:keepNext w:val="0"/>
              <w:keepLines w:val="0"/>
              <w:pageBreakBefore w:val="0"/>
              <w:widowControl w:val="0"/>
              <w:numPr>
                <w:ilvl w:val="0"/>
                <w:numId w:val="8"/>
              </w:numPr>
              <w:spacing w:after="0" w:line="360" w:lineRule="exact"/>
              <w:ind w:left="0"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项目考核成绩在80-70分(含80分)之间的，支付尾款费用标准的80%;</w:t>
            </w:r>
          </w:p>
          <w:p w14:paraId="7C10DC07">
            <w:pPr>
              <w:keepNext w:val="0"/>
              <w:keepLines w:val="0"/>
              <w:pageBreakBefore w:val="0"/>
              <w:widowControl w:val="0"/>
              <w:numPr>
                <w:ilvl w:val="0"/>
                <w:numId w:val="0"/>
              </w:numPr>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(4)项目考核成绩在70分以下的，不支付尾款费用。</w:t>
            </w:r>
          </w:p>
        </w:tc>
      </w:tr>
      <w:tr w14:paraId="520E9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exact"/>
        </w:trPr>
        <w:tc>
          <w:tcPr>
            <w:tcW w:w="1269" w:type="dxa"/>
            <w:noWrap w:val="0"/>
            <w:vAlign w:val="center"/>
          </w:tcPr>
          <w:p w14:paraId="30BDB048">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考核组织与实施</w:t>
            </w:r>
          </w:p>
        </w:tc>
        <w:tc>
          <w:tcPr>
            <w:tcW w:w="7251" w:type="dxa"/>
            <w:gridSpan w:val="3"/>
            <w:noWrap w:val="0"/>
            <w:vAlign w:val="center"/>
          </w:tcPr>
          <w:p w14:paraId="6B721237">
            <w:pPr>
              <w:keepNext w:val="0"/>
              <w:keepLines w:val="0"/>
              <w:pageBreakBefore w:val="0"/>
              <w:widowControl w:val="0"/>
              <w:spacing w:after="0" w:line="360" w:lineRule="exact"/>
              <w:ind w:firstLine="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采购人负责组织实施，服务期满对项目进行考核评分，≤70分甲方有权利拒绝支付尾款。</w:t>
            </w:r>
          </w:p>
        </w:tc>
      </w:tr>
      <w:bookmarkEnd w:id="136"/>
      <w:bookmarkEnd w:id="137"/>
      <w:bookmarkEnd w:id="138"/>
    </w:tbl>
    <w:p w14:paraId="2738F689">
      <w:pPr>
        <w:spacing w:line="400" w:lineRule="exact"/>
        <w:rPr>
          <w:rFonts w:ascii="宋体" w:hAnsi="宋体"/>
          <w:bCs/>
          <w:color w:val="000000"/>
          <w:sz w:val="24"/>
          <w:szCs w:val="24"/>
          <w:highlight w:val="none"/>
        </w:rPr>
      </w:pPr>
    </w:p>
    <w:p w14:paraId="1CF90412">
      <w:pPr>
        <w:keepNext/>
        <w:keepLines/>
        <w:pageBreakBefore/>
        <w:jc w:val="center"/>
        <w:outlineLvl w:val="0"/>
        <w:rPr>
          <w:b/>
          <w:color w:val="000000"/>
          <w:sz w:val="44"/>
          <w:szCs w:val="44"/>
          <w:highlight w:val="none"/>
        </w:rPr>
      </w:pPr>
      <w:bookmarkStart w:id="142" w:name="_Toc81575207"/>
      <w:bookmarkStart w:id="143" w:name="_Toc81575170"/>
      <w:bookmarkStart w:id="144" w:name="_Toc19649"/>
      <w:bookmarkStart w:id="145" w:name="_Toc12937"/>
      <w:bookmarkStart w:id="146" w:name="_Toc22853"/>
      <w:bookmarkStart w:id="147" w:name="_Toc9003"/>
      <w:r>
        <w:rPr>
          <w:rFonts w:hint="eastAsia"/>
          <w:b/>
          <w:color w:val="000000"/>
          <w:sz w:val="44"/>
          <w:szCs w:val="44"/>
          <w:highlight w:val="none"/>
        </w:rPr>
        <w:t>第六章  投标文件格式</w:t>
      </w:r>
      <w:bookmarkEnd w:id="142"/>
      <w:bookmarkEnd w:id="143"/>
      <w:bookmarkEnd w:id="144"/>
      <w:bookmarkEnd w:id="145"/>
      <w:bookmarkEnd w:id="146"/>
      <w:bookmarkEnd w:id="147"/>
    </w:p>
    <w:p w14:paraId="089A0F11">
      <w:pPr>
        <w:rPr>
          <w:color w:val="000000"/>
          <w:highlight w:val="none"/>
        </w:rPr>
      </w:pPr>
      <w:bookmarkStart w:id="148" w:name="EB819316f773b24a75aef829f9b72900c0"/>
    </w:p>
    <w:p w14:paraId="2349D145">
      <w:pPr>
        <w:rPr>
          <w:rFonts w:ascii="Times New Roman" w:hAnsi="Times New Roman"/>
          <w:b/>
          <w:color w:val="000000"/>
          <w:sz w:val="72"/>
          <w:highlight w:val="none"/>
        </w:rPr>
      </w:pPr>
      <w:bookmarkStart w:id="149" w:name="_Toc15716"/>
    </w:p>
    <w:p w14:paraId="771A2FBF">
      <w:pPr>
        <w:rPr>
          <w:rFonts w:ascii="Times New Roman" w:hAnsi="Times New Roman"/>
          <w:b/>
          <w:color w:val="000000"/>
          <w:sz w:val="72"/>
          <w:highlight w:val="none"/>
        </w:rPr>
      </w:pPr>
    </w:p>
    <w:p w14:paraId="35F039C3">
      <w:pPr>
        <w:rPr>
          <w:rFonts w:ascii="Times New Roman" w:hAnsi="Times New Roman"/>
          <w:b/>
          <w:color w:val="000000"/>
          <w:sz w:val="72"/>
          <w:highlight w:val="none"/>
        </w:rPr>
      </w:pPr>
    </w:p>
    <w:p w14:paraId="53DA0FD2">
      <w:pPr>
        <w:jc w:val="center"/>
        <w:rPr>
          <w:rFonts w:ascii="Times New Roman" w:hAnsi="Times New Roman"/>
          <w:b/>
          <w:color w:val="000000"/>
          <w:sz w:val="72"/>
          <w:highlight w:val="none"/>
        </w:rPr>
      </w:pPr>
      <w:r>
        <w:rPr>
          <w:rFonts w:hint="eastAsia" w:ascii="Times New Roman" w:hAnsi="Times New Roman"/>
          <w:b/>
          <w:color w:val="000000"/>
          <w:sz w:val="72"/>
          <w:highlight w:val="none"/>
        </w:rPr>
        <w:t>投  标  文  件</w:t>
      </w:r>
    </w:p>
    <w:p w14:paraId="134B23B0">
      <w:pPr>
        <w:jc w:val="center"/>
        <w:rPr>
          <w:rFonts w:ascii="Times New Roman" w:hAnsi="Times New Roman"/>
          <w:b/>
          <w:color w:val="000000"/>
          <w:sz w:val="72"/>
          <w:highlight w:val="none"/>
        </w:rPr>
      </w:pPr>
    </w:p>
    <w:p w14:paraId="1A5EB768">
      <w:pPr>
        <w:jc w:val="center"/>
        <w:rPr>
          <w:rFonts w:ascii="Times New Roman" w:hAnsi="Times New Roman"/>
          <w:b/>
          <w:color w:val="000000"/>
          <w:sz w:val="72"/>
          <w:highlight w:val="none"/>
        </w:rPr>
      </w:pPr>
    </w:p>
    <w:p w14:paraId="261105F0">
      <w:pPr>
        <w:jc w:val="center"/>
        <w:rPr>
          <w:rFonts w:ascii="Times New Roman" w:hAnsi="Times New Roman"/>
          <w:b/>
          <w:color w:val="000000"/>
          <w:sz w:val="72"/>
          <w:highlight w:val="none"/>
        </w:rPr>
      </w:pPr>
    </w:p>
    <w:p w14:paraId="44A0B9F0">
      <w:pPr>
        <w:jc w:val="center"/>
        <w:rPr>
          <w:rFonts w:ascii="Times New Roman" w:hAnsi="Times New Roman"/>
          <w:b/>
          <w:color w:val="000000"/>
          <w:sz w:val="72"/>
          <w:highlight w:val="none"/>
        </w:rPr>
      </w:pPr>
    </w:p>
    <w:p w14:paraId="779A4E29">
      <w:pPr>
        <w:jc w:val="center"/>
        <w:rPr>
          <w:rFonts w:ascii="Times New Roman" w:hAnsi="Times New Roman"/>
          <w:b/>
          <w:color w:val="000000"/>
          <w:sz w:val="72"/>
          <w:highlight w:val="none"/>
        </w:rPr>
      </w:pPr>
    </w:p>
    <w:p w14:paraId="277A79E9">
      <w:pPr>
        <w:jc w:val="center"/>
        <w:rPr>
          <w:rFonts w:ascii="Times New Roman" w:hAnsi="Times New Roman"/>
          <w:b/>
          <w:color w:val="000000"/>
          <w:sz w:val="36"/>
          <w:highlight w:val="none"/>
        </w:rPr>
      </w:pPr>
    </w:p>
    <w:p w14:paraId="2EFC5802">
      <w:pPr>
        <w:jc w:val="center"/>
        <w:rPr>
          <w:rFonts w:ascii="Times New Roman" w:hAnsi="Times New Roman"/>
          <w:b/>
          <w:color w:val="000000"/>
          <w:sz w:val="36"/>
          <w:highlight w:val="none"/>
        </w:rPr>
      </w:pPr>
    </w:p>
    <w:p w14:paraId="05DFEA11">
      <w:pPr>
        <w:jc w:val="center"/>
        <w:rPr>
          <w:rFonts w:ascii="Times New Roman" w:hAnsi="Times New Roman"/>
          <w:b/>
          <w:color w:val="000000"/>
          <w:sz w:val="36"/>
          <w:highlight w:val="none"/>
        </w:rPr>
      </w:pPr>
    </w:p>
    <w:p w14:paraId="44708AF4">
      <w:pPr>
        <w:ind w:firstLine="1084"/>
        <w:rPr>
          <w:rFonts w:ascii="Times New Roman" w:hAnsi="Times New Roman"/>
          <w:b/>
          <w:color w:val="000000"/>
          <w:sz w:val="36"/>
          <w:highlight w:val="none"/>
        </w:rPr>
      </w:pPr>
      <w:r>
        <w:rPr>
          <w:rFonts w:hint="eastAsia" w:ascii="Times New Roman" w:hAnsi="Times New Roman"/>
          <w:b/>
          <w:color w:val="000000"/>
          <w:sz w:val="36"/>
          <w:highlight w:val="none"/>
        </w:rPr>
        <w:t>项 目 名 称：</w:t>
      </w:r>
      <w:r>
        <w:rPr>
          <w:rFonts w:hint="eastAsia" w:ascii="Times New Roman" w:hAnsi="Times New Roman"/>
          <w:b/>
          <w:color w:val="000000"/>
          <w:sz w:val="36"/>
          <w:highlight w:val="none"/>
          <w:u w:val="single"/>
        </w:rPr>
        <w:t xml:space="preserve">               </w:t>
      </w:r>
    </w:p>
    <w:p w14:paraId="786E0AED">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项 目 编 号：</w:t>
      </w:r>
      <w:r>
        <w:rPr>
          <w:rFonts w:hint="eastAsia" w:ascii="Times New Roman" w:hAnsi="Times New Roman"/>
          <w:b/>
          <w:color w:val="000000"/>
          <w:sz w:val="36"/>
          <w:highlight w:val="none"/>
          <w:u w:val="single"/>
        </w:rPr>
        <w:t xml:space="preserve">               </w:t>
      </w:r>
    </w:p>
    <w:p w14:paraId="01E15D9A">
      <w:pPr>
        <w:outlineLvl w:val="1"/>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（盖CA电子公章）</w:t>
      </w:r>
    </w:p>
    <w:p w14:paraId="0F723573">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49"/>
    </w:p>
    <w:p w14:paraId="5FD31A25">
      <w:pPr>
        <w:pStyle w:val="326"/>
        <w:rPr>
          <w:rFonts w:ascii="宋体" w:hAnsi="宋体" w:eastAsia="宋体" w:cs="宋体"/>
          <w:color w:val="000000"/>
          <w:highlight w:val="none"/>
        </w:rPr>
      </w:pPr>
    </w:p>
    <w:p w14:paraId="297473F3">
      <w:pPr>
        <w:pStyle w:val="326"/>
        <w:rPr>
          <w:rFonts w:ascii="宋体" w:hAnsi="宋体" w:eastAsia="宋体" w:cs="宋体"/>
          <w:color w:val="000000"/>
          <w:highlight w:val="none"/>
        </w:rPr>
      </w:pPr>
    </w:p>
    <w:p w14:paraId="4E6BA138">
      <w:pPr>
        <w:pStyle w:val="326"/>
        <w:rPr>
          <w:rFonts w:ascii="宋体" w:hAnsi="宋体" w:eastAsia="宋体" w:cs="宋体"/>
          <w:color w:val="000000"/>
          <w:highlight w:val="none"/>
        </w:rPr>
      </w:pPr>
    </w:p>
    <w:p w14:paraId="56868658">
      <w:pPr>
        <w:pStyle w:val="326"/>
        <w:rPr>
          <w:rFonts w:ascii="宋体" w:hAnsi="宋体" w:eastAsia="宋体" w:cs="宋体"/>
          <w:color w:val="000000"/>
          <w:highlight w:val="none"/>
        </w:rPr>
      </w:pPr>
    </w:p>
    <w:p w14:paraId="465A8FD5">
      <w:pPr>
        <w:pStyle w:val="326"/>
        <w:rPr>
          <w:rFonts w:ascii="宋体" w:hAnsi="宋体" w:eastAsia="宋体" w:cs="宋体"/>
          <w:color w:val="000000"/>
          <w:highlight w:val="none"/>
        </w:rPr>
      </w:pPr>
    </w:p>
    <w:bookmarkEnd w:id="148"/>
    <w:p w14:paraId="29E4914D">
      <w:pPr>
        <w:pStyle w:val="326"/>
        <w:rPr>
          <w:rFonts w:ascii="宋体" w:hAnsi="宋体" w:eastAsia="宋体" w:cs="宋体"/>
          <w:color w:val="000000"/>
          <w:highlight w:val="none"/>
        </w:rPr>
      </w:pPr>
    </w:p>
    <w:p w14:paraId="09E63B31">
      <w:pPr>
        <w:pStyle w:val="326"/>
        <w:rPr>
          <w:rFonts w:ascii="宋体" w:hAnsi="宋体" w:eastAsia="宋体" w:cs="宋体"/>
          <w:color w:val="000000"/>
          <w:highlight w:val="none"/>
        </w:rPr>
      </w:pPr>
    </w:p>
    <w:p w14:paraId="179A293A">
      <w:pPr>
        <w:pStyle w:val="326"/>
        <w:spacing w:line="360" w:lineRule="auto"/>
        <w:jc w:val="center"/>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投标文件目录</w:t>
      </w:r>
    </w:p>
    <w:p w14:paraId="7EB076B0">
      <w:pPr>
        <w:pStyle w:val="326"/>
        <w:spacing w:line="360" w:lineRule="auto"/>
        <w:rPr>
          <w:rFonts w:ascii="宋体" w:hAnsi="宋体" w:eastAsia="宋体" w:cs="宋体"/>
          <w:color w:val="000000"/>
          <w:sz w:val="28"/>
          <w:szCs w:val="28"/>
          <w:highlight w:val="none"/>
        </w:rPr>
      </w:pPr>
    </w:p>
    <w:p w14:paraId="3FD72BEF">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一、投标函</w:t>
      </w:r>
    </w:p>
    <w:p w14:paraId="7F6C28E6">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二、投标人资质</w:t>
      </w:r>
    </w:p>
    <w:p w14:paraId="10442D58">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三</w:t>
      </w:r>
      <w:r>
        <w:rPr>
          <w:rFonts w:hint="eastAsia" w:ascii="Times New Roman" w:hAnsi="Times New Roman"/>
          <w:color w:val="000000"/>
          <w:sz w:val="28"/>
          <w:szCs w:val="28"/>
          <w:highlight w:val="none"/>
        </w:rPr>
        <w:t>、法人授权书</w:t>
      </w:r>
    </w:p>
    <w:p w14:paraId="3F4DA23F">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四</w:t>
      </w:r>
      <w:r>
        <w:rPr>
          <w:rFonts w:hint="eastAsia" w:ascii="Times New Roman" w:hAnsi="Times New Roman"/>
          <w:color w:val="000000"/>
          <w:sz w:val="28"/>
          <w:szCs w:val="28"/>
          <w:highlight w:val="none"/>
        </w:rPr>
        <w:t>、开标一览表</w:t>
      </w:r>
    </w:p>
    <w:p w14:paraId="5753B65E">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五</w:t>
      </w:r>
      <w:r>
        <w:rPr>
          <w:rFonts w:hint="eastAsia" w:ascii="Times New Roman" w:hAnsi="Times New Roman"/>
          <w:color w:val="000000"/>
          <w:sz w:val="28"/>
          <w:szCs w:val="28"/>
          <w:highlight w:val="none"/>
        </w:rPr>
        <w:t>、分项报价表</w:t>
      </w:r>
    </w:p>
    <w:p w14:paraId="356D92AD">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六</w:t>
      </w:r>
      <w:r>
        <w:rPr>
          <w:rFonts w:hint="eastAsia" w:ascii="Times New Roman" w:hAnsi="Times New Roman"/>
          <w:color w:val="000000"/>
          <w:sz w:val="28"/>
          <w:szCs w:val="28"/>
          <w:highlight w:val="none"/>
        </w:rPr>
        <w:t>、中小企业或残疾人福利性单位声明函</w:t>
      </w:r>
    </w:p>
    <w:p w14:paraId="519F5E30">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七、技术响应偏离表</w:t>
      </w:r>
    </w:p>
    <w:p w14:paraId="7173D336">
      <w:pPr>
        <w:spacing w:line="360" w:lineRule="auto"/>
        <w:rPr>
          <w:rFonts w:hint="eastAsia" w:ascii="Times New Roman" w:hAnsi="Times New Roman"/>
          <w:color w:val="000000"/>
          <w:sz w:val="28"/>
          <w:szCs w:val="28"/>
          <w:highlight w:val="none"/>
          <w:lang w:val="en-US" w:eastAsia="zh-CN"/>
        </w:rPr>
      </w:pPr>
      <w:r>
        <w:rPr>
          <w:rFonts w:hint="eastAsia" w:ascii="Times New Roman" w:hAnsi="Times New Roman"/>
          <w:color w:val="000000"/>
          <w:sz w:val="28"/>
          <w:szCs w:val="28"/>
          <w:highlight w:val="none"/>
          <w:lang w:val="en-US" w:eastAsia="zh-CN"/>
        </w:rPr>
        <w:t>八、商务响应偏离表</w:t>
      </w:r>
    </w:p>
    <w:p w14:paraId="6BEE9111">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九</w:t>
      </w:r>
      <w:r>
        <w:rPr>
          <w:rFonts w:hint="eastAsia" w:ascii="Times New Roman" w:hAnsi="Times New Roman"/>
          <w:color w:val="000000"/>
          <w:sz w:val="28"/>
          <w:szCs w:val="28"/>
          <w:highlight w:val="none"/>
        </w:rPr>
        <w:t>、项目组人员</w:t>
      </w:r>
    </w:p>
    <w:p w14:paraId="51DA36A8">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十</w:t>
      </w:r>
      <w:r>
        <w:rPr>
          <w:rFonts w:hint="eastAsia" w:ascii="Times New Roman" w:hAnsi="Times New Roman"/>
          <w:color w:val="000000"/>
          <w:sz w:val="28"/>
          <w:szCs w:val="28"/>
          <w:highlight w:val="none"/>
        </w:rPr>
        <w:t>、企业业绩</w:t>
      </w:r>
    </w:p>
    <w:p w14:paraId="7E6B6C34">
      <w:pPr>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lang w:val="en-US" w:eastAsia="zh-CN"/>
        </w:rPr>
        <w:t>十一</w:t>
      </w:r>
      <w:r>
        <w:rPr>
          <w:rFonts w:hint="eastAsia" w:ascii="Times New Roman" w:hAnsi="Times New Roman"/>
          <w:color w:val="000000"/>
          <w:sz w:val="28"/>
          <w:szCs w:val="28"/>
          <w:highlight w:val="none"/>
        </w:rPr>
        <w:t>、投标所需其他材料</w:t>
      </w:r>
    </w:p>
    <w:p w14:paraId="193D1C21">
      <w:pPr>
        <w:rPr>
          <w:color w:val="000000"/>
          <w:highlight w:val="none"/>
        </w:rPr>
      </w:pPr>
      <w:bookmarkStart w:id="150" w:name="_Toc20577"/>
      <w:bookmarkStart w:id="151" w:name="_Toc26005"/>
    </w:p>
    <w:p w14:paraId="16D48B91">
      <w:pPr>
        <w:rPr>
          <w:color w:val="000000"/>
          <w:highlight w:val="none"/>
        </w:rPr>
      </w:pPr>
    </w:p>
    <w:p w14:paraId="268FC4EB">
      <w:pPr>
        <w:rPr>
          <w:color w:val="000000"/>
          <w:highlight w:val="none"/>
        </w:rPr>
      </w:pPr>
    </w:p>
    <w:p w14:paraId="644F0AFF">
      <w:pPr>
        <w:rPr>
          <w:color w:val="000000"/>
          <w:highlight w:val="none"/>
        </w:rPr>
      </w:pPr>
    </w:p>
    <w:p w14:paraId="3D5A7399">
      <w:pPr>
        <w:rPr>
          <w:color w:val="000000"/>
          <w:highlight w:val="none"/>
        </w:rPr>
      </w:pPr>
    </w:p>
    <w:p w14:paraId="47968158">
      <w:pPr>
        <w:rPr>
          <w:color w:val="000000"/>
          <w:highlight w:val="none"/>
        </w:rPr>
      </w:pPr>
    </w:p>
    <w:p w14:paraId="5D797708">
      <w:pPr>
        <w:rPr>
          <w:color w:val="000000"/>
          <w:highlight w:val="none"/>
        </w:rPr>
      </w:pPr>
    </w:p>
    <w:p w14:paraId="367D7A9E">
      <w:pPr>
        <w:rPr>
          <w:color w:val="000000"/>
          <w:highlight w:val="none"/>
        </w:rPr>
      </w:pPr>
    </w:p>
    <w:p w14:paraId="7D460EED">
      <w:pPr>
        <w:rPr>
          <w:color w:val="000000"/>
          <w:highlight w:val="none"/>
        </w:rPr>
      </w:pPr>
    </w:p>
    <w:p w14:paraId="37E79ED6">
      <w:pPr>
        <w:rPr>
          <w:color w:val="000000"/>
          <w:highlight w:val="none"/>
        </w:rPr>
      </w:pPr>
    </w:p>
    <w:p w14:paraId="20D68A00">
      <w:pPr>
        <w:rPr>
          <w:color w:val="000000"/>
          <w:highlight w:val="none"/>
        </w:rPr>
      </w:pPr>
    </w:p>
    <w:p w14:paraId="23C7A76D">
      <w:pPr>
        <w:rPr>
          <w:color w:val="000000"/>
          <w:highlight w:val="none"/>
        </w:rPr>
      </w:pPr>
    </w:p>
    <w:p w14:paraId="17898F08">
      <w:pPr>
        <w:rPr>
          <w:color w:val="000000"/>
          <w:highlight w:val="none"/>
        </w:rPr>
      </w:pPr>
    </w:p>
    <w:p w14:paraId="31DE827F">
      <w:pPr>
        <w:rPr>
          <w:color w:val="000000"/>
          <w:highlight w:val="none"/>
        </w:rPr>
      </w:pPr>
    </w:p>
    <w:p w14:paraId="6D36E3A2">
      <w:pPr>
        <w:rPr>
          <w:color w:val="000000"/>
          <w:highlight w:val="none"/>
        </w:rPr>
      </w:pPr>
    </w:p>
    <w:p w14:paraId="6EFDEA7D">
      <w:pPr>
        <w:rPr>
          <w:color w:val="000000"/>
          <w:highlight w:val="none"/>
        </w:rPr>
      </w:pPr>
    </w:p>
    <w:p w14:paraId="3A9A4BBA">
      <w:pPr>
        <w:rPr>
          <w:color w:val="000000"/>
          <w:highlight w:val="none"/>
        </w:rPr>
      </w:pPr>
    </w:p>
    <w:p w14:paraId="408B8F92">
      <w:pPr>
        <w:rPr>
          <w:color w:val="000000"/>
          <w:highlight w:val="none"/>
        </w:rPr>
      </w:pPr>
    </w:p>
    <w:p w14:paraId="3D487CC3">
      <w:pPr>
        <w:rPr>
          <w:color w:val="000000"/>
          <w:highlight w:val="none"/>
        </w:rPr>
      </w:pPr>
    </w:p>
    <w:p w14:paraId="56CE9423">
      <w:pPr>
        <w:rPr>
          <w:color w:val="000000"/>
          <w:highlight w:val="none"/>
        </w:rPr>
      </w:pPr>
    </w:p>
    <w:p w14:paraId="25BB0727">
      <w:pPr>
        <w:rPr>
          <w:color w:val="000000"/>
          <w:highlight w:val="none"/>
        </w:rPr>
      </w:pPr>
    </w:p>
    <w:p w14:paraId="1589097C">
      <w:pPr>
        <w:rPr>
          <w:color w:val="000000"/>
          <w:highlight w:val="none"/>
        </w:rPr>
      </w:pPr>
    </w:p>
    <w:p w14:paraId="475C8C3D">
      <w:pPr>
        <w:rPr>
          <w:color w:val="000000"/>
          <w:highlight w:val="none"/>
        </w:rPr>
      </w:pPr>
    </w:p>
    <w:p w14:paraId="6FB3038F">
      <w:pPr>
        <w:rPr>
          <w:color w:val="000000"/>
          <w:highlight w:val="none"/>
        </w:rPr>
      </w:pPr>
    </w:p>
    <w:p w14:paraId="38F0761E">
      <w:pPr>
        <w:rPr>
          <w:color w:val="000000"/>
          <w:highlight w:val="none"/>
        </w:rPr>
      </w:pPr>
    </w:p>
    <w:p w14:paraId="2CFA7DEE">
      <w:pPr>
        <w:rPr>
          <w:color w:val="000000"/>
          <w:highlight w:val="none"/>
        </w:rPr>
      </w:pPr>
    </w:p>
    <w:p w14:paraId="5419C506">
      <w:pPr>
        <w:pStyle w:val="336"/>
        <w:outlineLvl w:val="1"/>
        <w:rPr>
          <w:b w:val="0"/>
          <w:bCs/>
          <w:color w:val="000000"/>
          <w:highlight w:val="none"/>
        </w:rPr>
      </w:pPr>
      <w:bookmarkStart w:id="152" w:name="_Toc8978"/>
      <w:r>
        <w:rPr>
          <w:rFonts w:hint="eastAsia"/>
          <w:b w:val="0"/>
          <w:bCs/>
          <w:color w:val="000000"/>
          <w:highlight w:val="none"/>
        </w:rPr>
        <w:t>一</w:t>
      </w:r>
      <w:r>
        <w:rPr>
          <w:b w:val="0"/>
          <w:bCs/>
          <w:color w:val="000000"/>
          <w:highlight w:val="none"/>
        </w:rPr>
        <w:t>、投标函</w:t>
      </w:r>
      <w:bookmarkEnd w:id="150"/>
      <w:bookmarkEnd w:id="151"/>
      <w:bookmarkEnd w:id="152"/>
    </w:p>
    <w:p w14:paraId="615F3DF6">
      <w:pPr>
        <w:pStyle w:val="337"/>
        <w:jc w:val="center"/>
        <w:rPr>
          <w:rFonts w:ascii="方正小标宋_GBK" w:eastAsia="方正小标宋_GBK"/>
          <w:bCs/>
          <w:color w:val="000000"/>
          <w:sz w:val="32"/>
          <w:szCs w:val="32"/>
          <w:highlight w:val="none"/>
        </w:rPr>
      </w:pPr>
    </w:p>
    <w:p w14:paraId="634A7F70">
      <w:pPr>
        <w:pStyle w:val="337"/>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投标函</w:t>
      </w:r>
    </w:p>
    <w:p w14:paraId="3120C648">
      <w:pPr>
        <w:pStyle w:val="337"/>
        <w:spacing w:line="500" w:lineRule="exact"/>
        <w:jc w:val="left"/>
        <w:rPr>
          <w:rFonts w:ascii="宋体" w:hAnsi="宋体"/>
          <w:color w:val="000000"/>
          <w:sz w:val="24"/>
          <w:szCs w:val="24"/>
          <w:highlight w:val="none"/>
          <w:u w:val="single"/>
        </w:rPr>
      </w:pPr>
      <w:r>
        <w:rPr>
          <w:rFonts w:hint="eastAsia" w:ascii="宋体" w:hAnsi="宋体"/>
          <w:color w:val="000000"/>
          <w:sz w:val="24"/>
          <w:szCs w:val="24"/>
          <w:highlight w:val="none"/>
          <w:u w:val="single"/>
        </w:rPr>
        <w:t>（采购单位名称）：</w:t>
      </w:r>
    </w:p>
    <w:p w14:paraId="5B9E1872">
      <w:pPr>
        <w:pStyle w:val="337"/>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根据已收到的项目编号为</w:t>
      </w:r>
      <w:r>
        <w:rPr>
          <w:rFonts w:hint="eastAsia" w:ascii="宋体" w:hAnsi="宋体"/>
          <w:color w:val="000000"/>
          <w:sz w:val="24"/>
          <w:szCs w:val="24"/>
          <w:highlight w:val="none"/>
          <w:u w:val="single"/>
        </w:rPr>
        <w:t>（项目编号）</w:t>
      </w:r>
      <w:r>
        <w:rPr>
          <w:rFonts w:hint="eastAsia" w:ascii="宋体" w:hAnsi="宋体"/>
          <w:color w:val="000000"/>
          <w:sz w:val="24"/>
          <w:szCs w:val="24"/>
          <w:highlight w:val="none"/>
        </w:rPr>
        <w:t>的</w:t>
      </w:r>
      <w:r>
        <w:rPr>
          <w:rFonts w:hint="eastAsia" w:ascii="宋体" w:hAnsi="宋体"/>
          <w:color w:val="000000"/>
          <w:sz w:val="24"/>
          <w:szCs w:val="24"/>
          <w:highlight w:val="none"/>
          <w:u w:val="single"/>
        </w:rPr>
        <w:t>（项目名称）</w:t>
      </w:r>
      <w:r>
        <w:rPr>
          <w:rFonts w:hint="eastAsia" w:ascii="宋体" w:hAnsi="宋体"/>
          <w:color w:val="000000"/>
          <w:sz w:val="24"/>
          <w:szCs w:val="24"/>
          <w:highlight w:val="none"/>
        </w:rPr>
        <w:t>的招标文件，我方在参加本项目招投标活动中，特作出如下承诺：</w:t>
      </w:r>
    </w:p>
    <w:p w14:paraId="714AC363">
      <w:pPr>
        <w:pStyle w:val="337"/>
        <w:spacing w:line="500" w:lineRule="exact"/>
        <w:ind w:firstLine="480"/>
        <w:jc w:val="left"/>
        <w:rPr>
          <w:rFonts w:ascii="宋体" w:hAnsi="宋体"/>
          <w:color w:val="000000"/>
          <w:sz w:val="24"/>
          <w:highlight w:val="none"/>
        </w:rPr>
      </w:pPr>
      <w:r>
        <w:rPr>
          <w:rFonts w:hint="eastAsia" w:ascii="宋体" w:hAnsi="宋体"/>
          <w:color w:val="000000"/>
          <w:sz w:val="24"/>
          <w:szCs w:val="24"/>
          <w:highlight w:val="none"/>
        </w:rPr>
        <w:t>一、我方</w:t>
      </w:r>
      <w:r>
        <w:rPr>
          <w:rFonts w:ascii="宋体" w:hAnsi="宋体"/>
          <w:color w:val="000000"/>
          <w:sz w:val="24"/>
          <w:highlight w:val="none"/>
        </w:rPr>
        <w:t>具备《中华人民共和国政府采购法》第二十二条第一款规定的6项条件；</w:t>
      </w:r>
    </w:p>
    <w:p w14:paraId="03932BD1">
      <w:pPr>
        <w:pStyle w:val="337"/>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二、我方在参加政府采购活动前三年内（自本项目开标时间之日起计算），在经营活动中没有重大违法记录（指因违法经营受到刑事处罚或者责令停产停业、吊销许可证或者执照、较大数额罚款等行政处罚）。</w:t>
      </w:r>
    </w:p>
    <w:p w14:paraId="70CC27D2">
      <w:pPr>
        <w:pStyle w:val="337"/>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三、我方按招标文件要求提交投标文件，响应招标文件规定的投标有效期；</w:t>
      </w:r>
    </w:p>
    <w:p w14:paraId="61275D6B">
      <w:pPr>
        <w:pStyle w:val="337"/>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四、如果我方的投标文件被接受，我方将按《中华人民共和国民法典（第三编合同）》及其他有关法律、法规的规定，按期、按质、按量交付采购单位，全面做到履约守信；</w:t>
      </w:r>
    </w:p>
    <w:p w14:paraId="37351684">
      <w:pPr>
        <w:pStyle w:val="337"/>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五、我方若违背本声明及承诺约定，经查实，自愿接受采购人及相关主管部门相应的规定处理，并依法承担相应的法律责任。</w:t>
      </w:r>
    </w:p>
    <w:p w14:paraId="7B507F05">
      <w:pPr>
        <w:pStyle w:val="337"/>
        <w:spacing w:line="500" w:lineRule="exact"/>
        <w:ind w:firstLine="480"/>
        <w:jc w:val="left"/>
        <w:outlineLvl w:val="1"/>
        <w:rPr>
          <w:rFonts w:ascii="宋体" w:hAnsi="宋体"/>
          <w:color w:val="000000"/>
          <w:sz w:val="24"/>
          <w:szCs w:val="24"/>
          <w:highlight w:val="none"/>
        </w:rPr>
      </w:pPr>
      <w:r>
        <w:rPr>
          <w:rFonts w:hint="eastAsia" w:ascii="宋体" w:hAnsi="宋体"/>
          <w:color w:val="000000"/>
          <w:sz w:val="24"/>
          <w:szCs w:val="24"/>
          <w:highlight w:val="none"/>
        </w:rPr>
        <w:t>六、我方同意采购人、采购代理机构将本</w:t>
      </w:r>
      <w:r>
        <w:rPr>
          <w:rFonts w:hint="eastAsia" w:ascii="宋体" w:hAnsi="宋体"/>
          <w:color w:val="000000"/>
          <w:sz w:val="24"/>
          <w:szCs w:val="24"/>
          <w:highlight w:val="none"/>
          <w:lang w:val="en-US" w:eastAsia="zh-CN"/>
        </w:rPr>
        <w:t>函</w:t>
      </w:r>
      <w:r>
        <w:rPr>
          <w:rFonts w:hint="eastAsia" w:ascii="宋体" w:hAnsi="宋体"/>
          <w:color w:val="000000"/>
          <w:sz w:val="24"/>
          <w:szCs w:val="24"/>
          <w:highlight w:val="none"/>
        </w:rPr>
        <w:t>上网公开。</w:t>
      </w:r>
    </w:p>
    <w:p w14:paraId="086F76F1">
      <w:pPr>
        <w:pStyle w:val="337"/>
        <w:spacing w:line="500" w:lineRule="exact"/>
        <w:ind w:firstLine="480"/>
        <w:jc w:val="left"/>
        <w:rPr>
          <w:rFonts w:ascii="方正仿宋_GBK" w:eastAsia="方正仿宋_GBK"/>
          <w:color w:val="000000"/>
          <w:sz w:val="24"/>
          <w:szCs w:val="24"/>
          <w:highlight w:val="none"/>
        </w:rPr>
      </w:pPr>
    </w:p>
    <w:p w14:paraId="5AB4BBD8">
      <w:pPr>
        <w:pStyle w:val="337"/>
        <w:spacing w:line="500" w:lineRule="exact"/>
        <w:jc w:val="left"/>
        <w:rPr>
          <w:rFonts w:ascii="宋体" w:hAnsi="宋体"/>
          <w:color w:val="000000"/>
          <w:sz w:val="24"/>
          <w:szCs w:val="24"/>
          <w:highlight w:val="none"/>
        </w:rPr>
      </w:pPr>
    </w:p>
    <w:p w14:paraId="62F67743">
      <w:pPr>
        <w:pStyle w:val="337"/>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（盖CA电子公章）</w:t>
      </w:r>
    </w:p>
    <w:p w14:paraId="7AE1B039">
      <w:pPr>
        <w:pStyle w:val="337"/>
        <w:ind w:firstLine="480"/>
        <w:rPr>
          <w:rFonts w:ascii="宋体" w:hAnsi="宋体"/>
          <w:color w:val="000000"/>
          <w:sz w:val="24"/>
          <w:szCs w:val="24"/>
          <w:highlight w:val="none"/>
        </w:rPr>
      </w:pPr>
    </w:p>
    <w:p w14:paraId="15487FE0">
      <w:pPr>
        <w:pStyle w:val="337"/>
        <w:ind w:firstLine="480"/>
        <w:rPr>
          <w:rFonts w:ascii="宋体" w:hAnsi="宋体"/>
          <w:color w:val="000000"/>
          <w:highlight w:val="none"/>
        </w:rPr>
      </w:pPr>
      <w:r>
        <w:rPr>
          <w:rFonts w:hint="eastAsia" w:ascii="宋体" w:hAnsi="宋体"/>
          <w:color w:val="000000"/>
          <w:sz w:val="24"/>
          <w:szCs w:val="24"/>
          <w:highlight w:val="none"/>
        </w:rPr>
        <w:t>日期：    年    月   日</w:t>
      </w:r>
    </w:p>
    <w:p w14:paraId="23D641F0">
      <w:pPr>
        <w:rPr>
          <w:color w:val="000000"/>
          <w:highlight w:val="none"/>
        </w:rPr>
      </w:pPr>
    </w:p>
    <w:p w14:paraId="3AF4D952">
      <w:pPr>
        <w:rPr>
          <w:color w:val="000000"/>
          <w:highlight w:val="none"/>
        </w:rPr>
      </w:pPr>
    </w:p>
    <w:p w14:paraId="0FF5BC99">
      <w:pPr>
        <w:rPr>
          <w:color w:val="000000"/>
          <w:highlight w:val="none"/>
        </w:rPr>
      </w:pPr>
    </w:p>
    <w:p w14:paraId="5AEF2A56">
      <w:pPr>
        <w:rPr>
          <w:color w:val="000000"/>
          <w:highlight w:val="none"/>
        </w:rPr>
      </w:pPr>
    </w:p>
    <w:p w14:paraId="5EFEFED3">
      <w:pPr>
        <w:rPr>
          <w:color w:val="000000"/>
          <w:highlight w:val="none"/>
        </w:rPr>
      </w:pPr>
    </w:p>
    <w:p w14:paraId="2AC40D0D">
      <w:pPr>
        <w:rPr>
          <w:color w:val="000000"/>
          <w:highlight w:val="none"/>
        </w:rPr>
      </w:pPr>
    </w:p>
    <w:p w14:paraId="68DA19A5">
      <w:pPr>
        <w:rPr>
          <w:color w:val="000000"/>
          <w:highlight w:val="none"/>
        </w:rPr>
      </w:pPr>
    </w:p>
    <w:p w14:paraId="0C94F017">
      <w:pPr>
        <w:rPr>
          <w:color w:val="000000"/>
          <w:highlight w:val="none"/>
        </w:rPr>
      </w:pPr>
    </w:p>
    <w:p w14:paraId="4985FDD4">
      <w:pPr>
        <w:rPr>
          <w:color w:val="000000"/>
          <w:highlight w:val="none"/>
        </w:rPr>
      </w:pPr>
    </w:p>
    <w:p w14:paraId="78E532BC">
      <w:pPr>
        <w:rPr>
          <w:color w:val="000000"/>
          <w:highlight w:val="none"/>
        </w:rPr>
      </w:pPr>
    </w:p>
    <w:p w14:paraId="0A436180">
      <w:pPr>
        <w:rPr>
          <w:color w:val="000000"/>
          <w:highlight w:val="none"/>
        </w:rPr>
      </w:pPr>
    </w:p>
    <w:p w14:paraId="356C00C1">
      <w:pPr>
        <w:rPr>
          <w:color w:val="000000"/>
          <w:highlight w:val="none"/>
        </w:rPr>
      </w:pPr>
    </w:p>
    <w:p w14:paraId="51FECE0B">
      <w:pPr>
        <w:rPr>
          <w:color w:val="000000"/>
          <w:highlight w:val="none"/>
        </w:rPr>
      </w:pPr>
    </w:p>
    <w:p w14:paraId="6AAE12AD">
      <w:pPr>
        <w:rPr>
          <w:rFonts w:hint="eastAsia"/>
          <w:color w:val="000000"/>
          <w:highlight w:val="none"/>
        </w:rPr>
      </w:pPr>
    </w:p>
    <w:p w14:paraId="5644A132">
      <w:pPr>
        <w:rPr>
          <w:rFonts w:hint="eastAsia"/>
          <w:color w:val="000000"/>
          <w:highlight w:val="none"/>
        </w:rPr>
      </w:pPr>
    </w:p>
    <w:p w14:paraId="3C164A3D">
      <w:pPr>
        <w:pStyle w:val="336"/>
        <w:outlineLvl w:val="1"/>
        <w:rPr>
          <w:rFonts w:hint="eastAsia"/>
          <w:b w:val="0"/>
          <w:bCs/>
          <w:color w:val="000000"/>
          <w:highlight w:val="none"/>
        </w:rPr>
      </w:pPr>
      <w:bookmarkStart w:id="153" w:name="_Toc15099"/>
      <w:r>
        <w:rPr>
          <w:rFonts w:hint="eastAsia"/>
          <w:b w:val="0"/>
          <w:bCs/>
          <w:color w:val="000000"/>
          <w:highlight w:val="none"/>
        </w:rPr>
        <w:t>二、投标人资质</w:t>
      </w:r>
      <w:bookmarkEnd w:id="153"/>
    </w:p>
    <w:p w14:paraId="3C69A558">
      <w:pPr>
        <w:outlineLvl w:val="2"/>
        <w:rPr>
          <w:rFonts w:hint="eastAsia"/>
          <w:color w:val="000000"/>
          <w:highlight w:val="none"/>
        </w:rPr>
      </w:pPr>
      <w:r>
        <w:rPr>
          <w:rFonts w:hint="eastAsia"/>
          <w:color w:val="000000"/>
          <w:highlight w:val="none"/>
        </w:rPr>
        <w:t>按招标文件要求提供相应资质证书</w:t>
      </w:r>
    </w:p>
    <w:p w14:paraId="65EDFE4A">
      <w:pPr>
        <w:outlineLvl w:val="1"/>
        <w:rPr>
          <w:color w:val="000000"/>
          <w:highlight w:val="none"/>
        </w:rPr>
      </w:pPr>
      <w:r>
        <w:rPr>
          <w:rFonts w:hint="eastAsia"/>
          <w:color w:val="000000"/>
          <w:highlight w:val="none"/>
        </w:rPr>
        <w:br w:type="page" w:clear="all"/>
      </w:r>
      <w:bookmarkStart w:id="154" w:name="_Toc29506"/>
      <w:bookmarkStart w:id="155" w:name="_Toc3680"/>
      <w:bookmarkStart w:id="156" w:name="_Toc27409"/>
      <w:r>
        <w:rPr>
          <w:rFonts w:hint="eastAsia" w:ascii="黑体" w:hAnsi="黑体" w:eastAsia="黑体" w:cs="黑体"/>
          <w:bCs/>
          <w:color w:val="000000"/>
          <w:sz w:val="32"/>
          <w:szCs w:val="24"/>
          <w:highlight w:val="none"/>
        </w:rPr>
        <w:t>三、</w:t>
      </w:r>
      <w:bookmarkEnd w:id="154"/>
      <w:bookmarkEnd w:id="155"/>
      <w:r>
        <w:rPr>
          <w:rFonts w:hint="eastAsia" w:ascii="黑体" w:hAnsi="黑体" w:eastAsia="黑体" w:cs="黑体"/>
          <w:bCs/>
          <w:color w:val="000000"/>
          <w:sz w:val="32"/>
          <w:szCs w:val="24"/>
          <w:highlight w:val="none"/>
        </w:rPr>
        <w:t>法人授权书</w:t>
      </w:r>
      <w:bookmarkEnd w:id="156"/>
    </w:p>
    <w:p w14:paraId="01F38008">
      <w:pPr>
        <w:pStyle w:val="337"/>
        <w:jc w:val="center"/>
        <w:outlineLvl w:val="2"/>
        <w:rPr>
          <w:rFonts w:ascii="方正小标宋_GBK" w:eastAsia="方正小标宋_GBK"/>
          <w:bCs/>
          <w:color w:val="000000"/>
          <w:sz w:val="32"/>
          <w:szCs w:val="32"/>
          <w:highlight w:val="none"/>
        </w:rPr>
      </w:pPr>
      <w:bookmarkStart w:id="157" w:name="OLE_LINK6"/>
      <w:r>
        <w:rPr>
          <w:rFonts w:hint="eastAsia" w:ascii="方正小标宋_GBK" w:eastAsia="方正小标宋_GBK"/>
          <w:bCs/>
          <w:color w:val="000000"/>
          <w:sz w:val="32"/>
          <w:szCs w:val="32"/>
          <w:highlight w:val="none"/>
        </w:rPr>
        <w:t>法人授权书</w:t>
      </w:r>
      <w:bookmarkEnd w:id="157"/>
    </w:p>
    <w:p w14:paraId="421F87FA">
      <w:pPr>
        <w:pStyle w:val="457"/>
        <w:spacing w:line="480" w:lineRule="exact"/>
        <w:ind w:firstLine="482"/>
        <w:rPr>
          <w:rFonts w:hint="eastAsia" w:ascii="宋体" w:hAnsi="宋体"/>
          <w:color w:val="000000"/>
          <w:sz w:val="24"/>
          <w:szCs w:val="24"/>
          <w:highlight w:val="none"/>
        </w:rPr>
      </w:pPr>
      <w:r>
        <w:rPr>
          <w:rFonts w:hint="eastAsia" w:ascii="宋体" w:hAnsi="宋体"/>
          <w:color w:val="000000"/>
          <w:sz w:val="24"/>
          <w:szCs w:val="24"/>
          <w:highlight w:val="none"/>
        </w:rPr>
        <w:t>本授权书声明：____________（投标人名称）授权________________（被授权人的姓名）为我方就</w:t>
      </w:r>
      <w:r>
        <w:rPr>
          <w:rFonts w:hint="eastAsia" w:ascii="宋体" w:hAnsi="宋体"/>
          <w:color w:val="000000"/>
          <w:sz w:val="24"/>
          <w:szCs w:val="24"/>
          <w:highlight w:val="none"/>
          <w:u w:val="single"/>
        </w:rPr>
        <w:t>（项目编号）</w:t>
      </w:r>
      <w:r>
        <w:rPr>
          <w:rFonts w:hint="eastAsia" w:ascii="宋体" w:hAnsi="宋体"/>
          <w:color w:val="000000"/>
          <w:sz w:val="24"/>
          <w:szCs w:val="24"/>
          <w:highlight w:val="none"/>
        </w:rPr>
        <w:t>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采购活动的合法代理人，以本单位名义全权处理一切与该项目采购有关的事务。</w:t>
      </w:r>
    </w:p>
    <w:p w14:paraId="262C2813">
      <w:pPr>
        <w:pStyle w:val="457"/>
        <w:spacing w:line="480" w:lineRule="exact"/>
        <w:ind w:firstLine="482"/>
        <w:rPr>
          <w:rFonts w:ascii="宋体" w:hAnsi="宋体"/>
          <w:color w:val="000000"/>
          <w:sz w:val="24"/>
          <w:szCs w:val="24"/>
          <w:highlight w:val="none"/>
        </w:rPr>
      </w:pPr>
      <w:r>
        <w:rPr>
          <w:rFonts w:hint="eastAsia" w:ascii="宋体" w:hAnsi="宋体"/>
          <w:color w:val="000000"/>
          <w:sz w:val="24"/>
          <w:szCs w:val="24"/>
          <w:highlight w:val="none"/>
        </w:rPr>
        <w:t>本授权书于______年____月____日起生效，特此声明。</w:t>
      </w:r>
    </w:p>
    <w:p w14:paraId="114EE77D">
      <w:pPr>
        <w:pStyle w:val="457"/>
        <w:spacing w:line="480" w:lineRule="exact"/>
        <w:ind w:firstLine="482"/>
        <w:rPr>
          <w:color w:val="000000"/>
          <w:sz w:val="24"/>
          <w:szCs w:val="24"/>
          <w:highlight w:val="none"/>
          <w:u w:val="single"/>
        </w:rPr>
      </w:pPr>
      <w:r>
        <w:rPr>
          <w:rFonts w:hint="eastAsia"/>
          <w:color w:val="000000"/>
          <w:sz w:val="24"/>
          <w:szCs w:val="24"/>
          <w:highlight w:val="none"/>
        </w:rPr>
        <w:t>被授权人身份证号码：</w:t>
      </w:r>
      <w:r>
        <w:rPr>
          <w:rFonts w:hint="eastAsia"/>
          <w:color w:val="000000"/>
          <w:sz w:val="24"/>
          <w:szCs w:val="24"/>
          <w:highlight w:val="none"/>
          <w:u w:val="single"/>
        </w:rPr>
        <w:t xml:space="preserve">                             </w:t>
      </w:r>
    </w:p>
    <w:p w14:paraId="28124398">
      <w:pPr>
        <w:pStyle w:val="457"/>
        <w:spacing w:line="480" w:lineRule="exact"/>
        <w:ind w:firstLine="482"/>
        <w:rPr>
          <w:rFonts w:ascii="宋体" w:hAnsi="宋体"/>
          <w:color w:val="000000"/>
          <w:sz w:val="24"/>
          <w:szCs w:val="24"/>
          <w:highlight w:val="none"/>
        </w:rPr>
      </w:pPr>
      <w:r>
        <w:rPr>
          <w:rFonts w:hint="eastAsia"/>
          <w:color w:val="000000"/>
          <w:sz w:val="24"/>
          <w:szCs w:val="24"/>
          <w:highlight w:val="none"/>
        </w:rPr>
        <w:t>被授权人联系电话：（手机）</w:t>
      </w:r>
      <w:r>
        <w:rPr>
          <w:rFonts w:hint="eastAsia"/>
          <w:color w:val="000000"/>
          <w:sz w:val="24"/>
          <w:szCs w:val="24"/>
          <w:highlight w:val="none"/>
          <w:u w:val="single"/>
        </w:rPr>
        <w:t xml:space="preserve">                          </w:t>
      </w:r>
    </w:p>
    <w:p w14:paraId="106E6DA9">
      <w:pPr>
        <w:pStyle w:val="457"/>
        <w:spacing w:line="480" w:lineRule="exact"/>
        <w:ind w:firstLine="482"/>
        <w:rPr>
          <w:rFonts w:ascii="宋体" w:hAnsi="宋体"/>
          <w:color w:val="000000"/>
          <w:sz w:val="24"/>
          <w:szCs w:val="24"/>
          <w:highlight w:val="none"/>
        </w:rPr>
      </w:pPr>
      <w:r>
        <w:rPr>
          <w:rFonts w:hint="eastAsia"/>
          <w:color w:val="000000"/>
          <w:sz w:val="24"/>
          <w:szCs w:val="24"/>
          <w:highlight w:val="none"/>
        </w:rPr>
        <w:t>授权单位名称：</w:t>
      </w:r>
      <w:r>
        <w:rPr>
          <w:rFonts w:hint="eastAsia"/>
          <w:color w:val="000000"/>
          <w:sz w:val="24"/>
          <w:szCs w:val="24"/>
          <w:highlight w:val="none"/>
          <w:u w:val="single"/>
        </w:rPr>
        <w:t>（盖CA电子公章）</w:t>
      </w:r>
    </w:p>
    <w:p w14:paraId="3AFD3319">
      <w:pPr>
        <w:pStyle w:val="457"/>
        <w:spacing w:line="480" w:lineRule="exact"/>
        <w:ind w:firstLine="482"/>
        <w:rPr>
          <w:rFonts w:ascii="宋体" w:hAnsi="宋体"/>
          <w:color w:val="000000"/>
          <w:sz w:val="24"/>
          <w:szCs w:val="24"/>
          <w:highlight w:val="none"/>
        </w:rPr>
      </w:pPr>
      <w:r>
        <w:rPr>
          <w:rFonts w:hint="eastAsia"/>
          <w:color w:val="000000"/>
          <w:sz w:val="24"/>
          <w:szCs w:val="24"/>
          <w:highlight w:val="none"/>
        </w:rPr>
        <w:t>单位地址：</w:t>
      </w:r>
      <w:r>
        <w:rPr>
          <w:rFonts w:hint="eastAsia"/>
          <w:color w:val="000000"/>
          <w:sz w:val="24"/>
          <w:szCs w:val="24"/>
          <w:highlight w:val="none"/>
          <w:u w:val="single"/>
        </w:rPr>
        <w:t xml:space="preserve">                                         </w:t>
      </w:r>
    </w:p>
    <w:p w14:paraId="2E3DDE17">
      <w:pPr>
        <w:pStyle w:val="457"/>
        <w:spacing w:line="480" w:lineRule="exact"/>
        <w:ind w:firstLine="482"/>
        <w:rPr>
          <w:rFonts w:hint="eastAsia" w:ascii="宋体" w:hAnsi="宋体"/>
          <w:color w:val="000000"/>
          <w:sz w:val="24"/>
          <w:szCs w:val="24"/>
          <w:highlight w:val="none"/>
        </w:rPr>
      </w:pPr>
      <w:r>
        <w:rPr>
          <w:rFonts w:hint="eastAsia"/>
          <w:color w:val="000000"/>
          <w:sz w:val="24"/>
          <w:szCs w:val="24"/>
          <w:highlight w:val="none"/>
        </w:rPr>
        <w:t>日期：</w:t>
      </w:r>
      <w:bookmarkStart w:id="158" w:name="_格式3__银行出具的资信证明"/>
      <w:bookmarkEnd w:id="158"/>
      <w:bookmarkStart w:id="159" w:name="_Hlt26671380"/>
      <w:bookmarkEnd w:id="159"/>
      <w:bookmarkStart w:id="160" w:name="_Hlt26955070"/>
      <w:bookmarkEnd w:id="160"/>
      <w:r>
        <w:rPr>
          <w:rFonts w:hint="eastAsia"/>
          <w:color w:val="000000"/>
          <w:sz w:val="24"/>
          <w:szCs w:val="24"/>
          <w:highlight w:val="none"/>
          <w:u w:val="single"/>
        </w:rPr>
        <w:t xml:space="preserve">                                         </w:t>
      </w:r>
    </w:p>
    <w:p w14:paraId="47E54D81">
      <w:pPr>
        <w:pStyle w:val="339"/>
        <w:spacing w:line="700" w:lineRule="exact"/>
        <w:ind w:firstLine="629"/>
        <w:rPr>
          <w:rFonts w:ascii="方正仿宋_GBK" w:eastAsia="方正仿宋_GBK"/>
          <w:color w:val="000000"/>
          <w:sz w:val="24"/>
          <w:highlight w:val="none"/>
        </w:rPr>
      </w:pPr>
    </w:p>
    <w:p w14:paraId="0283A14C">
      <w:pPr>
        <w:pStyle w:val="342"/>
        <w:outlineLvl w:val="1"/>
        <w:rPr>
          <w:color w:val="000000"/>
          <w:highlight w:val="none"/>
        </w:rPr>
      </w:pPr>
      <w:r>
        <w:rPr>
          <w:color w:val="000000"/>
          <w:highlight w:val="none"/>
        </w:rPr>
        <w:br w:type="page" w:clear="all"/>
      </w:r>
      <w:bookmarkStart w:id="161" w:name="_Toc30543"/>
      <w:bookmarkStart w:id="162" w:name="_Toc13550"/>
      <w:bookmarkStart w:id="163" w:name="_Toc27199"/>
      <w:r>
        <w:rPr>
          <w:rFonts w:hint="eastAsia"/>
          <w:b w:val="0"/>
          <w:bCs/>
          <w:color w:val="000000"/>
          <w:highlight w:val="none"/>
        </w:rPr>
        <w:t>四</w:t>
      </w:r>
      <w:r>
        <w:rPr>
          <w:b w:val="0"/>
          <w:bCs/>
          <w:color w:val="000000"/>
          <w:highlight w:val="none"/>
        </w:rPr>
        <w:t>、开标一览表</w:t>
      </w:r>
      <w:bookmarkEnd w:id="161"/>
      <w:bookmarkEnd w:id="162"/>
      <w:bookmarkEnd w:id="163"/>
    </w:p>
    <w:p w14:paraId="414E3EFA">
      <w:pPr>
        <w:pStyle w:val="343"/>
        <w:rPr>
          <w:rFonts w:hint="eastAsia" w:ascii="宋体" w:hAnsi="宋体" w:eastAsia="宋体" w:cs="宋体"/>
          <w:color w:val="000000"/>
          <w:highlight w:val="none"/>
        </w:rPr>
      </w:pPr>
    </w:p>
    <w:p w14:paraId="12C27D5C">
      <w:pPr>
        <w:pStyle w:val="343"/>
        <w:rPr>
          <w:color w:val="000000"/>
          <w:highlight w:val="none"/>
        </w:rPr>
      </w:pPr>
      <w:r>
        <w:rPr>
          <w:rFonts w:hint="eastAsia" w:ascii="宋体" w:hAnsi="宋体" w:eastAsia="宋体" w:cs="宋体"/>
          <w:color w:val="000000"/>
          <w:highlight w:val="none"/>
        </w:rPr>
        <w:t>投标人全称</w:t>
      </w:r>
      <w:r>
        <w:rPr>
          <w:rFonts w:hint="eastAsia"/>
          <w:color w:val="000000"/>
          <w:highlight w:val="none"/>
        </w:rPr>
        <w:t>(CA</w:t>
      </w:r>
      <w:r>
        <w:rPr>
          <w:rFonts w:hint="eastAsia" w:ascii="宋体" w:hAnsi="宋体" w:eastAsia="宋体" w:cs="宋体"/>
          <w:color w:val="000000"/>
          <w:highlight w:val="none"/>
        </w:rPr>
        <w:t>公章</w:t>
      </w:r>
      <w:r>
        <w:rPr>
          <w:rFonts w:hint="eastAsia"/>
          <w:color w:val="000000"/>
          <w:highlight w:val="none"/>
        </w:rPr>
        <w:t xml:space="preserve">) </w:t>
      </w:r>
      <w:r>
        <w:rPr>
          <w:rFonts w:hint="eastAsia" w:eastAsia="宋体"/>
          <w:color w:val="000000"/>
          <w:highlight w:val="none"/>
        </w:rPr>
        <w:t>：</w:t>
      </w:r>
      <w:r>
        <w:rPr>
          <w:rFonts w:hint="eastAsia" w:ascii="宋体" w:hAnsi="宋体" w:eastAsia="宋体" w:cs="宋体"/>
          <w:color w:val="000000"/>
          <w:highlight w:val="none"/>
        </w:rPr>
        <w:t>供应商名称</w:t>
      </w:r>
    </w:p>
    <w:p w14:paraId="16CAFEA0">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采购项目名称：</w:t>
      </w:r>
    </w:p>
    <w:p w14:paraId="1D37B234">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p>
    <w:p w14:paraId="045252EB">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采购包</w:t>
      </w:r>
      <w:r>
        <w:rPr>
          <w:rFonts w:hint="eastAsia" w:ascii="宋体" w:hAnsi="宋体" w:cs="宋体"/>
          <w:color w:val="000000"/>
          <w:sz w:val="24"/>
          <w:szCs w:val="24"/>
          <w:highlight w:val="none"/>
          <w:lang w:eastAsia="zh-CN"/>
        </w:rPr>
        <w:t>号</w:t>
      </w:r>
      <w:r>
        <w:rPr>
          <w:rFonts w:hint="eastAsia" w:ascii="宋体" w:hAnsi="宋体" w:cs="宋体"/>
          <w:color w:val="000000"/>
          <w:sz w:val="24"/>
          <w:szCs w:val="24"/>
          <w:highlight w:val="none"/>
        </w:rPr>
        <w:t>：</w:t>
      </w:r>
      <w:r>
        <w:rPr>
          <w:rStyle w:val="407"/>
          <w:rFonts w:ascii="宋体" w:hAnsi="宋体" w:eastAsia="宋体" w:cs="宋体"/>
          <w:sz w:val="24"/>
          <w:szCs w:val="24"/>
        </w:rPr>
        <w:t>分包号</w:t>
      </w:r>
      <w:r>
        <w:rPr>
          <w:rFonts w:ascii="宋体" w:hAnsi="宋体" w:eastAsia="宋体" w:cs="宋体"/>
          <w:sz w:val="24"/>
          <w:szCs w:val="24"/>
        </w:rPr>
        <w:t> </w:t>
      </w:r>
    </w:p>
    <w:tbl>
      <w:tblPr>
        <w:tblStyle w:val="1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00"/>
      </w:tblGrid>
      <w:tr w14:paraId="601D4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vAlign w:val="top"/>
          </w:tcPr>
          <w:p w14:paraId="01B096E0">
            <w:pPr>
              <w:spacing w:line="500" w:lineRule="exact"/>
              <w:jc w:val="center"/>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投标总报价 </w:t>
            </w:r>
          </w:p>
        </w:tc>
      </w:tr>
      <w:tr w14:paraId="7C654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vAlign w:val="top"/>
          </w:tcPr>
          <w:p w14:paraId="26A0A56A">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（小写）：             </w:t>
            </w:r>
          </w:p>
        </w:tc>
      </w:tr>
      <w:tr w14:paraId="3DC75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vAlign w:val="top"/>
          </w:tcPr>
          <w:p w14:paraId="450C8D34">
            <w:pPr>
              <w:spacing w:line="500" w:lineRule="exact"/>
              <w:rPr>
                <w:rFonts w:hint="eastAsia" w:ascii="宋体" w:hAnsi="宋体" w:cs="宋体"/>
                <w:color w:val="000000"/>
                <w:sz w:val="24"/>
                <w:szCs w:val="24"/>
                <w:highlight w:val="none"/>
                <w:vertAlign w:val="baseline"/>
              </w:rPr>
            </w:pPr>
            <w:r>
              <w:rPr>
                <w:rFonts w:ascii="宋体" w:hAnsi="宋体" w:eastAsia="宋体" w:cs="宋体"/>
                <w:sz w:val="24"/>
                <w:szCs w:val="24"/>
              </w:rPr>
              <w:t>（大写</w:t>
            </w:r>
            <w:r>
              <w:rPr>
                <w:rFonts w:hint="eastAsia" w:ascii="宋体" w:hAnsi="宋体" w:cs="宋体"/>
                <w:sz w:val="24"/>
                <w:szCs w:val="24"/>
                <w:lang w:val="en-US" w:eastAsia="zh-CN"/>
              </w:rPr>
              <w:t>人民币</w:t>
            </w:r>
            <w:r>
              <w:rPr>
                <w:rFonts w:ascii="宋体" w:hAnsi="宋体" w:eastAsia="宋体" w:cs="宋体"/>
                <w:sz w:val="24"/>
                <w:szCs w:val="24"/>
              </w:rPr>
              <w:t>）：</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p>
        </w:tc>
      </w:tr>
    </w:tbl>
    <w:p w14:paraId="231C335D">
      <w:pPr>
        <w:spacing w:line="500" w:lineRule="exact"/>
        <w:rPr>
          <w:rFonts w:hint="eastAsia" w:ascii="宋体" w:hAnsi="宋体" w:cs="宋体"/>
          <w:color w:val="000000"/>
          <w:sz w:val="24"/>
          <w:szCs w:val="24"/>
          <w:highlight w:val="none"/>
        </w:rPr>
      </w:pPr>
    </w:p>
    <w:p w14:paraId="227BA0A6">
      <w:pPr>
        <w:rPr>
          <w:rFonts w:hint="eastAsia"/>
          <w:color w:val="000000"/>
          <w:highlight w:val="none"/>
        </w:rPr>
      </w:pPr>
    </w:p>
    <w:p w14:paraId="21907581">
      <w:pPr>
        <w:rPr>
          <w:rFonts w:hint="eastAsia"/>
          <w:color w:val="000000"/>
          <w:highlight w:val="none"/>
        </w:rPr>
      </w:pPr>
    </w:p>
    <w:p w14:paraId="3558832C">
      <w:pPr>
        <w:rPr>
          <w:rFonts w:hint="eastAsia"/>
          <w:color w:val="000000"/>
          <w:highlight w:val="none"/>
        </w:rPr>
      </w:pPr>
    </w:p>
    <w:p w14:paraId="65650293">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64"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日</w:t>
      </w:r>
      <w:bookmarkEnd w:id="164"/>
    </w:p>
    <w:p w14:paraId="2147144D">
      <w:pPr>
        <w:pStyle w:val="345"/>
        <w:outlineLvl w:val="1"/>
        <w:rPr>
          <w:rFonts w:hint="eastAsia"/>
          <w:color w:val="000000"/>
          <w:highlight w:val="none"/>
        </w:rPr>
      </w:pPr>
      <w:r>
        <w:rPr>
          <w:color w:val="000000"/>
          <w:highlight w:val="none"/>
        </w:rPr>
        <w:br w:type="page" w:clear="all"/>
      </w:r>
      <w:bookmarkStart w:id="165" w:name="_Toc956"/>
      <w:bookmarkStart w:id="166" w:name="_Toc26543"/>
      <w:bookmarkStart w:id="167" w:name="_Toc12614"/>
      <w:r>
        <w:rPr>
          <w:rFonts w:hint="eastAsia"/>
          <w:b w:val="0"/>
          <w:bCs/>
          <w:color w:val="000000"/>
          <w:highlight w:val="none"/>
        </w:rPr>
        <w:t>五</w:t>
      </w:r>
      <w:r>
        <w:rPr>
          <w:b w:val="0"/>
          <w:bCs/>
          <w:color w:val="000000"/>
          <w:highlight w:val="none"/>
        </w:rPr>
        <w:t>、</w:t>
      </w:r>
      <w:bookmarkEnd w:id="165"/>
      <w:bookmarkEnd w:id="166"/>
      <w:r>
        <w:rPr>
          <w:rFonts w:hint="eastAsia"/>
          <w:b w:val="0"/>
          <w:bCs/>
          <w:color w:val="000000"/>
          <w:highlight w:val="none"/>
        </w:rPr>
        <w:t>分项报价表</w:t>
      </w:r>
      <w:bookmarkEnd w:id="167"/>
    </w:p>
    <w:p w14:paraId="1B4BCCDA">
      <w:pPr>
        <w:pStyle w:val="337"/>
        <w:jc w:val="center"/>
        <w:rPr>
          <w:rFonts w:hint="eastAsia" w:ascii="方正小标宋_GBK" w:eastAsia="方正小标宋_GBK"/>
          <w:bCs/>
          <w:color w:val="000000"/>
          <w:sz w:val="32"/>
          <w:szCs w:val="32"/>
          <w:highlight w:val="none"/>
        </w:rPr>
      </w:pPr>
    </w:p>
    <w:p w14:paraId="783CEAC7">
      <w:pPr>
        <w:pStyle w:val="337"/>
        <w:jc w:val="center"/>
        <w:outlineLvl w:val="2"/>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分项报价表</w:t>
      </w:r>
    </w:p>
    <w:p w14:paraId="7280BDBB">
      <w:pPr>
        <w:pStyle w:val="337"/>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（服务类）</w:t>
      </w:r>
    </w:p>
    <w:tbl>
      <w:tblPr>
        <w:tblStyle w:val="33"/>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4"/>
        <w:gridCol w:w="1407"/>
        <w:gridCol w:w="2266"/>
        <w:gridCol w:w="1134"/>
        <w:gridCol w:w="992"/>
        <w:gridCol w:w="1541"/>
        <w:gridCol w:w="991"/>
      </w:tblGrid>
      <w:tr w14:paraId="1DD3C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654" w:type="dxa"/>
            <w:noWrap w:val="0"/>
            <w:vAlign w:val="center"/>
          </w:tcPr>
          <w:p w14:paraId="0ECD9D9F">
            <w:pPr>
              <w:pStyle w:val="434"/>
              <w:widowControl/>
              <w:spacing w:line="360" w:lineRule="exact"/>
              <w:jc w:val="center"/>
              <w:rPr>
                <w:rFonts w:hint="eastAsia" w:ascii="宋体" w:hAnsi="宋体"/>
                <w:color w:val="000000"/>
                <w:sz w:val="28"/>
                <w:szCs w:val="28"/>
                <w:highlight w:val="none"/>
              </w:rPr>
            </w:pPr>
            <w:bookmarkStart w:id="168" w:name="_Toc17418"/>
            <w:r>
              <w:rPr>
                <w:rFonts w:hint="eastAsia" w:ascii="宋体" w:hAnsi="宋体"/>
                <w:color w:val="000000"/>
                <w:sz w:val="28"/>
                <w:szCs w:val="28"/>
                <w:highlight w:val="none"/>
              </w:rPr>
              <w:t>序号</w:t>
            </w:r>
          </w:p>
        </w:tc>
        <w:tc>
          <w:tcPr>
            <w:tcW w:w="3673" w:type="dxa"/>
            <w:gridSpan w:val="2"/>
            <w:noWrap w:val="0"/>
            <w:vAlign w:val="center"/>
          </w:tcPr>
          <w:p w14:paraId="2CE2386F">
            <w:pPr>
              <w:pStyle w:val="434"/>
              <w:widowControl/>
              <w:spacing w:line="360" w:lineRule="exact"/>
              <w:jc w:val="center"/>
              <w:rPr>
                <w:rFonts w:hint="eastAsia" w:ascii="宋体" w:hAnsi="宋体"/>
                <w:color w:val="000000"/>
                <w:sz w:val="28"/>
                <w:szCs w:val="28"/>
                <w:highlight w:val="none"/>
              </w:rPr>
            </w:pPr>
            <w:r>
              <w:rPr>
                <w:rFonts w:hint="eastAsia" w:ascii="宋体" w:hAnsi="宋体"/>
                <w:color w:val="000000"/>
                <w:sz w:val="28"/>
                <w:szCs w:val="28"/>
                <w:highlight w:val="none"/>
              </w:rPr>
              <w:t>服务费用简述</w:t>
            </w:r>
          </w:p>
        </w:tc>
        <w:tc>
          <w:tcPr>
            <w:tcW w:w="1134" w:type="dxa"/>
            <w:noWrap w:val="0"/>
            <w:vAlign w:val="center"/>
          </w:tcPr>
          <w:p w14:paraId="2E7E38D3">
            <w:pPr>
              <w:pStyle w:val="434"/>
              <w:widowControl/>
              <w:spacing w:line="360" w:lineRule="exact"/>
              <w:jc w:val="center"/>
              <w:rPr>
                <w:rFonts w:hint="eastAsia" w:ascii="宋体" w:hAnsi="宋体"/>
                <w:color w:val="000000"/>
                <w:sz w:val="28"/>
                <w:szCs w:val="28"/>
                <w:highlight w:val="none"/>
              </w:rPr>
            </w:pPr>
            <w:r>
              <w:rPr>
                <w:rFonts w:hint="eastAsia" w:ascii="宋体" w:hAnsi="宋体"/>
                <w:color w:val="000000"/>
                <w:sz w:val="28"/>
                <w:szCs w:val="28"/>
                <w:highlight w:val="none"/>
              </w:rPr>
              <w:t>单价</w:t>
            </w:r>
          </w:p>
          <w:p w14:paraId="0708A40C">
            <w:pPr>
              <w:pStyle w:val="434"/>
              <w:widowControl/>
              <w:spacing w:line="360" w:lineRule="exact"/>
              <w:jc w:val="center"/>
              <w:rPr>
                <w:rFonts w:hint="eastAsia" w:ascii="宋体" w:hAnsi="宋体"/>
                <w:color w:val="000000"/>
                <w:sz w:val="28"/>
                <w:szCs w:val="28"/>
                <w:highlight w:val="none"/>
              </w:rPr>
            </w:pPr>
            <w:r>
              <w:rPr>
                <w:rFonts w:hint="eastAsia" w:ascii="宋体" w:hAnsi="宋体"/>
                <w:color w:val="000000"/>
                <w:sz w:val="28"/>
                <w:szCs w:val="28"/>
                <w:highlight w:val="none"/>
              </w:rPr>
              <w:t>（元）</w:t>
            </w:r>
          </w:p>
        </w:tc>
        <w:tc>
          <w:tcPr>
            <w:tcW w:w="992" w:type="dxa"/>
            <w:noWrap w:val="0"/>
            <w:vAlign w:val="center"/>
          </w:tcPr>
          <w:p w14:paraId="22F30362">
            <w:pPr>
              <w:pStyle w:val="434"/>
              <w:widowControl/>
              <w:spacing w:line="360" w:lineRule="exact"/>
              <w:jc w:val="center"/>
              <w:rPr>
                <w:rFonts w:hint="eastAsia" w:ascii="宋体" w:hAnsi="宋体"/>
                <w:color w:val="000000"/>
                <w:sz w:val="28"/>
                <w:szCs w:val="28"/>
                <w:highlight w:val="none"/>
              </w:rPr>
            </w:pPr>
            <w:r>
              <w:rPr>
                <w:rFonts w:hint="eastAsia" w:ascii="宋体" w:hAnsi="宋体"/>
                <w:color w:val="000000"/>
                <w:sz w:val="28"/>
                <w:szCs w:val="28"/>
                <w:highlight w:val="none"/>
              </w:rPr>
              <w:t>数量</w:t>
            </w:r>
          </w:p>
        </w:tc>
        <w:tc>
          <w:tcPr>
            <w:tcW w:w="1541" w:type="dxa"/>
            <w:noWrap w:val="0"/>
            <w:vAlign w:val="center"/>
          </w:tcPr>
          <w:p w14:paraId="54A5764E">
            <w:pPr>
              <w:pStyle w:val="434"/>
              <w:widowControl/>
              <w:spacing w:line="360" w:lineRule="exact"/>
              <w:jc w:val="center"/>
              <w:rPr>
                <w:rFonts w:hint="eastAsia" w:ascii="宋体" w:hAnsi="宋体"/>
                <w:color w:val="000000"/>
                <w:sz w:val="28"/>
                <w:szCs w:val="28"/>
                <w:highlight w:val="none"/>
              </w:rPr>
            </w:pPr>
            <w:r>
              <w:rPr>
                <w:rFonts w:hint="eastAsia" w:ascii="宋体" w:hAnsi="宋体"/>
                <w:color w:val="000000"/>
                <w:sz w:val="28"/>
                <w:szCs w:val="28"/>
                <w:highlight w:val="none"/>
              </w:rPr>
              <w:t>合价</w:t>
            </w:r>
          </w:p>
          <w:p w14:paraId="603C0E59">
            <w:pPr>
              <w:pStyle w:val="434"/>
              <w:widowControl/>
              <w:spacing w:line="360" w:lineRule="exact"/>
              <w:jc w:val="center"/>
              <w:rPr>
                <w:rFonts w:hint="eastAsia" w:ascii="宋体" w:hAnsi="宋体"/>
                <w:color w:val="000000"/>
                <w:sz w:val="28"/>
                <w:szCs w:val="28"/>
                <w:highlight w:val="none"/>
              </w:rPr>
            </w:pPr>
            <w:r>
              <w:rPr>
                <w:rFonts w:hint="eastAsia" w:ascii="宋体" w:hAnsi="宋体"/>
                <w:color w:val="000000"/>
                <w:sz w:val="28"/>
                <w:szCs w:val="28"/>
                <w:highlight w:val="none"/>
              </w:rPr>
              <w:t>（元）</w:t>
            </w:r>
          </w:p>
        </w:tc>
        <w:tc>
          <w:tcPr>
            <w:tcW w:w="991" w:type="dxa"/>
            <w:noWrap w:val="0"/>
            <w:vAlign w:val="center"/>
          </w:tcPr>
          <w:p w14:paraId="6848313C">
            <w:pPr>
              <w:pStyle w:val="434"/>
              <w:widowControl/>
              <w:spacing w:line="360" w:lineRule="exact"/>
              <w:jc w:val="center"/>
              <w:rPr>
                <w:rFonts w:hint="eastAsia" w:ascii="宋体" w:hAnsi="宋体"/>
                <w:color w:val="000000"/>
                <w:sz w:val="28"/>
                <w:szCs w:val="28"/>
                <w:highlight w:val="none"/>
              </w:rPr>
            </w:pPr>
            <w:r>
              <w:rPr>
                <w:rFonts w:hint="eastAsia" w:ascii="宋体" w:hAnsi="宋体"/>
                <w:color w:val="000000"/>
                <w:sz w:val="28"/>
                <w:szCs w:val="28"/>
                <w:highlight w:val="none"/>
              </w:rPr>
              <w:t>备注</w:t>
            </w:r>
          </w:p>
        </w:tc>
      </w:tr>
      <w:tr w14:paraId="5A524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2" w:hRule="atLeast"/>
        </w:trPr>
        <w:tc>
          <w:tcPr>
            <w:tcW w:w="654" w:type="dxa"/>
            <w:noWrap w:val="0"/>
            <w:vAlign w:val="top"/>
          </w:tcPr>
          <w:p w14:paraId="194A04EB">
            <w:pPr>
              <w:pStyle w:val="434"/>
              <w:widowControl/>
              <w:spacing w:line="560" w:lineRule="exact"/>
              <w:jc w:val="center"/>
              <w:rPr>
                <w:rFonts w:hint="eastAsia" w:ascii="宋体" w:hAnsi="宋体"/>
                <w:color w:val="000000"/>
                <w:sz w:val="28"/>
                <w:szCs w:val="28"/>
                <w:highlight w:val="none"/>
              </w:rPr>
            </w:pPr>
            <w:r>
              <w:rPr>
                <w:rFonts w:hint="eastAsia" w:ascii="宋体" w:hAnsi="宋体"/>
                <w:color w:val="000000"/>
                <w:sz w:val="28"/>
                <w:szCs w:val="28"/>
                <w:highlight w:val="none"/>
              </w:rPr>
              <w:t>1</w:t>
            </w:r>
          </w:p>
        </w:tc>
        <w:tc>
          <w:tcPr>
            <w:tcW w:w="3673" w:type="dxa"/>
            <w:gridSpan w:val="2"/>
            <w:noWrap w:val="0"/>
            <w:vAlign w:val="top"/>
          </w:tcPr>
          <w:p w14:paraId="582F1708">
            <w:pPr>
              <w:pStyle w:val="434"/>
              <w:widowControl/>
              <w:spacing w:line="560" w:lineRule="exact"/>
              <w:jc w:val="center"/>
              <w:rPr>
                <w:rFonts w:hint="eastAsia" w:ascii="仿宋_GB2312" w:hAnsi="仿宋_GB2312"/>
                <w:color w:val="000000"/>
                <w:sz w:val="24"/>
                <w:highlight w:val="none"/>
              </w:rPr>
            </w:pPr>
          </w:p>
        </w:tc>
        <w:tc>
          <w:tcPr>
            <w:tcW w:w="1134" w:type="dxa"/>
            <w:noWrap w:val="0"/>
            <w:vAlign w:val="center"/>
          </w:tcPr>
          <w:p w14:paraId="480D7982">
            <w:pPr>
              <w:pStyle w:val="434"/>
              <w:spacing w:line="560" w:lineRule="exact"/>
              <w:jc w:val="center"/>
              <w:rPr>
                <w:rFonts w:ascii="仿宋_GB2312" w:hAnsi="仿宋_GB2312"/>
                <w:color w:val="000000"/>
                <w:sz w:val="24"/>
                <w:highlight w:val="none"/>
              </w:rPr>
            </w:pPr>
          </w:p>
        </w:tc>
        <w:tc>
          <w:tcPr>
            <w:tcW w:w="992" w:type="dxa"/>
            <w:noWrap w:val="0"/>
            <w:vAlign w:val="top"/>
          </w:tcPr>
          <w:p w14:paraId="3492035A">
            <w:pPr>
              <w:pStyle w:val="434"/>
              <w:widowControl/>
              <w:spacing w:line="560" w:lineRule="exact"/>
              <w:jc w:val="center"/>
              <w:rPr>
                <w:rFonts w:ascii="仿宋_GB2312" w:hAnsi="仿宋_GB2312"/>
                <w:color w:val="000000"/>
                <w:sz w:val="24"/>
                <w:highlight w:val="none"/>
              </w:rPr>
            </w:pPr>
          </w:p>
        </w:tc>
        <w:tc>
          <w:tcPr>
            <w:tcW w:w="1541" w:type="dxa"/>
            <w:noWrap w:val="0"/>
            <w:vAlign w:val="center"/>
          </w:tcPr>
          <w:p w14:paraId="4C7A6DE8">
            <w:pPr>
              <w:pStyle w:val="434"/>
              <w:spacing w:line="560" w:lineRule="exact"/>
              <w:jc w:val="center"/>
              <w:rPr>
                <w:rFonts w:ascii="仿宋_GB2312" w:hAnsi="仿宋_GB2312"/>
                <w:color w:val="000000"/>
                <w:sz w:val="24"/>
                <w:highlight w:val="none"/>
              </w:rPr>
            </w:pPr>
          </w:p>
        </w:tc>
        <w:tc>
          <w:tcPr>
            <w:tcW w:w="991" w:type="dxa"/>
            <w:noWrap w:val="0"/>
            <w:vAlign w:val="center"/>
          </w:tcPr>
          <w:p w14:paraId="670720EE">
            <w:pPr>
              <w:pStyle w:val="434"/>
              <w:spacing w:line="560" w:lineRule="exact"/>
              <w:jc w:val="center"/>
              <w:rPr>
                <w:rFonts w:ascii="仿宋_GB2312" w:hAnsi="仿宋_GB2312"/>
                <w:color w:val="000000"/>
                <w:sz w:val="24"/>
                <w:highlight w:val="none"/>
              </w:rPr>
            </w:pPr>
          </w:p>
        </w:tc>
      </w:tr>
      <w:tr w14:paraId="76124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6" w:hRule="atLeast"/>
        </w:trPr>
        <w:tc>
          <w:tcPr>
            <w:tcW w:w="654" w:type="dxa"/>
            <w:noWrap w:val="0"/>
            <w:vAlign w:val="top"/>
          </w:tcPr>
          <w:p w14:paraId="6135973B">
            <w:pPr>
              <w:pStyle w:val="434"/>
              <w:widowControl/>
              <w:spacing w:line="560" w:lineRule="exact"/>
              <w:jc w:val="center"/>
              <w:rPr>
                <w:rFonts w:ascii="宋体" w:hAnsi="宋体"/>
                <w:color w:val="000000"/>
                <w:sz w:val="28"/>
                <w:szCs w:val="28"/>
                <w:highlight w:val="none"/>
              </w:rPr>
            </w:pPr>
            <w:r>
              <w:rPr>
                <w:rFonts w:hint="eastAsia" w:ascii="宋体" w:hAnsi="宋体"/>
                <w:color w:val="000000"/>
                <w:sz w:val="28"/>
                <w:szCs w:val="28"/>
                <w:highlight w:val="none"/>
              </w:rPr>
              <w:t>2</w:t>
            </w:r>
          </w:p>
        </w:tc>
        <w:tc>
          <w:tcPr>
            <w:tcW w:w="3673" w:type="dxa"/>
            <w:gridSpan w:val="2"/>
            <w:noWrap w:val="0"/>
            <w:vAlign w:val="top"/>
          </w:tcPr>
          <w:p w14:paraId="4ECE7E25">
            <w:pPr>
              <w:pStyle w:val="434"/>
              <w:widowControl/>
              <w:spacing w:line="560" w:lineRule="exact"/>
              <w:jc w:val="center"/>
              <w:rPr>
                <w:rFonts w:hint="eastAsia" w:ascii="仿宋_GB2312" w:hAnsi="仿宋_GB2312"/>
                <w:color w:val="000000"/>
                <w:sz w:val="24"/>
                <w:highlight w:val="none"/>
              </w:rPr>
            </w:pPr>
          </w:p>
        </w:tc>
        <w:tc>
          <w:tcPr>
            <w:tcW w:w="1134" w:type="dxa"/>
            <w:noWrap w:val="0"/>
            <w:vAlign w:val="center"/>
          </w:tcPr>
          <w:p w14:paraId="3CC630BB">
            <w:pPr>
              <w:pStyle w:val="434"/>
              <w:spacing w:line="560" w:lineRule="exact"/>
              <w:jc w:val="center"/>
              <w:rPr>
                <w:rFonts w:ascii="仿宋_GB2312" w:hAnsi="仿宋_GB2312"/>
                <w:color w:val="000000"/>
                <w:sz w:val="24"/>
                <w:highlight w:val="none"/>
              </w:rPr>
            </w:pPr>
          </w:p>
        </w:tc>
        <w:tc>
          <w:tcPr>
            <w:tcW w:w="992" w:type="dxa"/>
            <w:noWrap w:val="0"/>
            <w:vAlign w:val="top"/>
          </w:tcPr>
          <w:p w14:paraId="79DF9AF9">
            <w:pPr>
              <w:pStyle w:val="434"/>
              <w:widowControl/>
              <w:spacing w:line="560" w:lineRule="exact"/>
              <w:jc w:val="center"/>
              <w:rPr>
                <w:rFonts w:ascii="仿宋_GB2312" w:hAnsi="仿宋_GB2312"/>
                <w:color w:val="000000"/>
                <w:sz w:val="24"/>
                <w:highlight w:val="none"/>
              </w:rPr>
            </w:pPr>
          </w:p>
        </w:tc>
        <w:tc>
          <w:tcPr>
            <w:tcW w:w="1541" w:type="dxa"/>
            <w:noWrap w:val="0"/>
            <w:vAlign w:val="center"/>
          </w:tcPr>
          <w:p w14:paraId="597DFCFD">
            <w:pPr>
              <w:pStyle w:val="434"/>
              <w:spacing w:line="560" w:lineRule="exact"/>
              <w:jc w:val="center"/>
              <w:rPr>
                <w:rFonts w:ascii="仿宋_GB2312" w:hAnsi="仿宋_GB2312"/>
                <w:color w:val="000000"/>
                <w:sz w:val="24"/>
                <w:highlight w:val="none"/>
              </w:rPr>
            </w:pPr>
          </w:p>
        </w:tc>
        <w:tc>
          <w:tcPr>
            <w:tcW w:w="991" w:type="dxa"/>
            <w:noWrap w:val="0"/>
            <w:vAlign w:val="center"/>
          </w:tcPr>
          <w:p w14:paraId="46C82751">
            <w:pPr>
              <w:pStyle w:val="434"/>
              <w:spacing w:line="560" w:lineRule="exact"/>
              <w:jc w:val="center"/>
              <w:rPr>
                <w:rFonts w:ascii="仿宋_GB2312" w:hAnsi="仿宋_GB2312"/>
                <w:color w:val="000000"/>
                <w:sz w:val="24"/>
                <w:highlight w:val="none"/>
              </w:rPr>
            </w:pPr>
          </w:p>
        </w:tc>
      </w:tr>
      <w:tr w14:paraId="251BC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200" w:hRule="atLeast"/>
        </w:trPr>
        <w:tc>
          <w:tcPr>
            <w:tcW w:w="654" w:type="dxa"/>
            <w:noWrap w:val="0"/>
            <w:vAlign w:val="top"/>
          </w:tcPr>
          <w:p w14:paraId="4D229A70">
            <w:pPr>
              <w:pStyle w:val="434"/>
              <w:widowControl/>
              <w:spacing w:line="560" w:lineRule="exact"/>
              <w:jc w:val="center"/>
              <w:rPr>
                <w:rFonts w:ascii="宋体" w:hAnsi="宋体"/>
                <w:color w:val="000000"/>
                <w:sz w:val="28"/>
                <w:szCs w:val="28"/>
                <w:highlight w:val="none"/>
              </w:rPr>
            </w:pPr>
            <w:r>
              <w:rPr>
                <w:rFonts w:hint="eastAsia" w:ascii="宋体" w:hAnsi="宋体"/>
                <w:color w:val="000000"/>
                <w:sz w:val="28"/>
                <w:szCs w:val="28"/>
                <w:highlight w:val="none"/>
              </w:rPr>
              <w:t>3</w:t>
            </w:r>
          </w:p>
        </w:tc>
        <w:tc>
          <w:tcPr>
            <w:tcW w:w="3673" w:type="dxa"/>
            <w:gridSpan w:val="2"/>
            <w:noWrap w:val="0"/>
            <w:vAlign w:val="top"/>
          </w:tcPr>
          <w:p w14:paraId="39B76749">
            <w:pPr>
              <w:pStyle w:val="434"/>
              <w:widowControl/>
              <w:spacing w:line="560" w:lineRule="exact"/>
              <w:jc w:val="center"/>
              <w:rPr>
                <w:rFonts w:hint="eastAsia" w:ascii="仿宋_GB2312" w:hAnsi="仿宋_GB2312"/>
                <w:color w:val="000000"/>
                <w:sz w:val="24"/>
                <w:highlight w:val="none"/>
              </w:rPr>
            </w:pPr>
          </w:p>
        </w:tc>
        <w:tc>
          <w:tcPr>
            <w:tcW w:w="1134" w:type="dxa"/>
            <w:noWrap w:val="0"/>
            <w:vAlign w:val="center"/>
          </w:tcPr>
          <w:p w14:paraId="708CF924">
            <w:pPr>
              <w:pStyle w:val="434"/>
              <w:spacing w:line="560" w:lineRule="exact"/>
              <w:jc w:val="center"/>
              <w:rPr>
                <w:rFonts w:ascii="仿宋_GB2312" w:hAnsi="仿宋_GB2312"/>
                <w:color w:val="000000"/>
                <w:sz w:val="24"/>
                <w:highlight w:val="none"/>
              </w:rPr>
            </w:pPr>
          </w:p>
        </w:tc>
        <w:tc>
          <w:tcPr>
            <w:tcW w:w="992" w:type="dxa"/>
            <w:noWrap w:val="0"/>
            <w:vAlign w:val="top"/>
          </w:tcPr>
          <w:p w14:paraId="1E441CF0">
            <w:pPr>
              <w:pStyle w:val="434"/>
              <w:widowControl/>
              <w:spacing w:line="560" w:lineRule="exact"/>
              <w:jc w:val="center"/>
              <w:rPr>
                <w:rFonts w:ascii="仿宋_GB2312" w:hAnsi="仿宋_GB2312"/>
                <w:color w:val="000000"/>
                <w:sz w:val="24"/>
                <w:highlight w:val="none"/>
              </w:rPr>
            </w:pPr>
          </w:p>
        </w:tc>
        <w:tc>
          <w:tcPr>
            <w:tcW w:w="1541" w:type="dxa"/>
            <w:noWrap w:val="0"/>
            <w:vAlign w:val="center"/>
          </w:tcPr>
          <w:p w14:paraId="71DC600D">
            <w:pPr>
              <w:pStyle w:val="434"/>
              <w:spacing w:line="560" w:lineRule="exact"/>
              <w:jc w:val="center"/>
              <w:rPr>
                <w:rFonts w:ascii="仿宋_GB2312" w:hAnsi="仿宋_GB2312"/>
                <w:color w:val="000000"/>
                <w:sz w:val="24"/>
                <w:highlight w:val="none"/>
              </w:rPr>
            </w:pPr>
          </w:p>
        </w:tc>
        <w:tc>
          <w:tcPr>
            <w:tcW w:w="991" w:type="dxa"/>
            <w:noWrap w:val="0"/>
            <w:vAlign w:val="center"/>
          </w:tcPr>
          <w:p w14:paraId="0B13DFBC">
            <w:pPr>
              <w:pStyle w:val="434"/>
              <w:spacing w:line="560" w:lineRule="exact"/>
              <w:jc w:val="center"/>
              <w:rPr>
                <w:rFonts w:ascii="仿宋_GB2312" w:hAnsi="仿宋_GB2312"/>
                <w:color w:val="000000"/>
                <w:sz w:val="24"/>
                <w:highlight w:val="none"/>
              </w:rPr>
            </w:pPr>
          </w:p>
        </w:tc>
      </w:tr>
      <w:tr w14:paraId="0F7C5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 w:hRule="atLeast"/>
        </w:trPr>
        <w:tc>
          <w:tcPr>
            <w:tcW w:w="654" w:type="dxa"/>
            <w:noWrap w:val="0"/>
            <w:vAlign w:val="top"/>
          </w:tcPr>
          <w:p w14:paraId="7F162D0D">
            <w:pPr>
              <w:pStyle w:val="434"/>
              <w:widowControl/>
              <w:spacing w:line="560" w:lineRule="exact"/>
              <w:jc w:val="center"/>
              <w:rPr>
                <w:rFonts w:ascii="宋体" w:hAnsi="宋体"/>
                <w:color w:val="000000"/>
                <w:sz w:val="28"/>
                <w:szCs w:val="28"/>
                <w:highlight w:val="none"/>
              </w:rPr>
            </w:pPr>
            <w:r>
              <w:rPr>
                <w:rFonts w:hint="eastAsia" w:ascii="宋体" w:hAnsi="宋体"/>
                <w:color w:val="000000"/>
                <w:sz w:val="28"/>
                <w:szCs w:val="28"/>
                <w:highlight w:val="none"/>
              </w:rPr>
              <w:t>4</w:t>
            </w:r>
          </w:p>
        </w:tc>
        <w:tc>
          <w:tcPr>
            <w:tcW w:w="3673" w:type="dxa"/>
            <w:gridSpan w:val="2"/>
            <w:noWrap w:val="0"/>
            <w:vAlign w:val="top"/>
          </w:tcPr>
          <w:p w14:paraId="5A917BB7">
            <w:pPr>
              <w:pStyle w:val="434"/>
              <w:widowControl/>
              <w:spacing w:line="560" w:lineRule="exact"/>
              <w:jc w:val="center"/>
              <w:rPr>
                <w:rFonts w:hint="eastAsia" w:ascii="仿宋_GB2312" w:hAnsi="仿宋_GB2312"/>
                <w:color w:val="000000"/>
                <w:sz w:val="24"/>
                <w:highlight w:val="none"/>
              </w:rPr>
            </w:pPr>
          </w:p>
        </w:tc>
        <w:tc>
          <w:tcPr>
            <w:tcW w:w="1134" w:type="dxa"/>
            <w:noWrap w:val="0"/>
            <w:vAlign w:val="center"/>
          </w:tcPr>
          <w:p w14:paraId="2439481D">
            <w:pPr>
              <w:pStyle w:val="434"/>
              <w:spacing w:line="560" w:lineRule="exact"/>
              <w:jc w:val="center"/>
              <w:rPr>
                <w:rFonts w:ascii="仿宋_GB2312" w:hAnsi="仿宋_GB2312"/>
                <w:color w:val="000000"/>
                <w:sz w:val="24"/>
                <w:highlight w:val="none"/>
              </w:rPr>
            </w:pPr>
          </w:p>
        </w:tc>
        <w:tc>
          <w:tcPr>
            <w:tcW w:w="992" w:type="dxa"/>
            <w:noWrap w:val="0"/>
            <w:vAlign w:val="top"/>
          </w:tcPr>
          <w:p w14:paraId="744B29C6">
            <w:pPr>
              <w:pStyle w:val="434"/>
              <w:widowControl/>
              <w:spacing w:line="560" w:lineRule="exact"/>
              <w:jc w:val="center"/>
              <w:rPr>
                <w:rFonts w:ascii="仿宋_GB2312" w:hAnsi="仿宋_GB2312"/>
                <w:color w:val="000000"/>
                <w:sz w:val="24"/>
                <w:highlight w:val="none"/>
              </w:rPr>
            </w:pPr>
          </w:p>
        </w:tc>
        <w:tc>
          <w:tcPr>
            <w:tcW w:w="1541" w:type="dxa"/>
            <w:noWrap w:val="0"/>
            <w:vAlign w:val="center"/>
          </w:tcPr>
          <w:p w14:paraId="29028247">
            <w:pPr>
              <w:pStyle w:val="434"/>
              <w:spacing w:line="560" w:lineRule="exact"/>
              <w:jc w:val="center"/>
              <w:rPr>
                <w:rFonts w:ascii="仿宋_GB2312" w:hAnsi="仿宋_GB2312"/>
                <w:color w:val="000000"/>
                <w:sz w:val="24"/>
                <w:highlight w:val="none"/>
              </w:rPr>
            </w:pPr>
          </w:p>
        </w:tc>
        <w:tc>
          <w:tcPr>
            <w:tcW w:w="991" w:type="dxa"/>
            <w:noWrap w:val="0"/>
            <w:vAlign w:val="center"/>
          </w:tcPr>
          <w:p w14:paraId="668DD47E">
            <w:pPr>
              <w:pStyle w:val="434"/>
              <w:spacing w:line="560" w:lineRule="exact"/>
              <w:jc w:val="center"/>
              <w:rPr>
                <w:rFonts w:ascii="仿宋_GB2312" w:hAnsi="仿宋_GB2312"/>
                <w:color w:val="000000"/>
                <w:sz w:val="24"/>
                <w:highlight w:val="none"/>
              </w:rPr>
            </w:pPr>
          </w:p>
        </w:tc>
      </w:tr>
      <w:tr w14:paraId="028CC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 w:hRule="atLeast"/>
        </w:trPr>
        <w:tc>
          <w:tcPr>
            <w:tcW w:w="654" w:type="dxa"/>
            <w:noWrap w:val="0"/>
            <w:vAlign w:val="top"/>
          </w:tcPr>
          <w:p w14:paraId="24440FA1">
            <w:pPr>
              <w:pStyle w:val="434"/>
              <w:widowControl/>
              <w:spacing w:line="560" w:lineRule="exact"/>
              <w:jc w:val="center"/>
              <w:rPr>
                <w:rFonts w:ascii="宋体" w:hAnsi="宋体"/>
                <w:color w:val="000000"/>
                <w:sz w:val="28"/>
                <w:szCs w:val="28"/>
                <w:highlight w:val="none"/>
              </w:rPr>
            </w:pPr>
            <w:r>
              <w:rPr>
                <w:rFonts w:hint="eastAsia" w:ascii="宋体" w:hAnsi="宋体"/>
                <w:color w:val="000000"/>
                <w:sz w:val="28"/>
                <w:szCs w:val="28"/>
                <w:highlight w:val="none"/>
              </w:rPr>
              <w:t>5</w:t>
            </w:r>
          </w:p>
        </w:tc>
        <w:tc>
          <w:tcPr>
            <w:tcW w:w="3673" w:type="dxa"/>
            <w:gridSpan w:val="2"/>
            <w:noWrap w:val="0"/>
            <w:vAlign w:val="top"/>
          </w:tcPr>
          <w:p w14:paraId="107044F0">
            <w:pPr>
              <w:pStyle w:val="434"/>
              <w:widowControl/>
              <w:spacing w:line="560" w:lineRule="exact"/>
              <w:jc w:val="center"/>
              <w:rPr>
                <w:rFonts w:hint="eastAsia" w:ascii="仿宋_GB2312" w:hAnsi="仿宋_GB2312"/>
                <w:color w:val="000000"/>
                <w:sz w:val="24"/>
                <w:highlight w:val="none"/>
              </w:rPr>
            </w:pPr>
          </w:p>
        </w:tc>
        <w:tc>
          <w:tcPr>
            <w:tcW w:w="1134" w:type="dxa"/>
            <w:noWrap w:val="0"/>
            <w:vAlign w:val="center"/>
          </w:tcPr>
          <w:p w14:paraId="1C2E7424">
            <w:pPr>
              <w:pStyle w:val="434"/>
              <w:spacing w:line="560" w:lineRule="exact"/>
              <w:jc w:val="center"/>
              <w:rPr>
                <w:rFonts w:ascii="仿宋_GB2312" w:hAnsi="仿宋_GB2312"/>
                <w:color w:val="000000"/>
                <w:sz w:val="24"/>
                <w:highlight w:val="none"/>
              </w:rPr>
            </w:pPr>
          </w:p>
        </w:tc>
        <w:tc>
          <w:tcPr>
            <w:tcW w:w="992" w:type="dxa"/>
            <w:noWrap w:val="0"/>
            <w:vAlign w:val="top"/>
          </w:tcPr>
          <w:p w14:paraId="46802C50">
            <w:pPr>
              <w:pStyle w:val="434"/>
              <w:widowControl/>
              <w:spacing w:line="560" w:lineRule="exact"/>
              <w:jc w:val="center"/>
              <w:rPr>
                <w:rFonts w:ascii="仿宋_GB2312" w:hAnsi="仿宋_GB2312"/>
                <w:color w:val="000000"/>
                <w:sz w:val="24"/>
                <w:highlight w:val="none"/>
              </w:rPr>
            </w:pPr>
          </w:p>
        </w:tc>
        <w:tc>
          <w:tcPr>
            <w:tcW w:w="1541" w:type="dxa"/>
            <w:noWrap w:val="0"/>
            <w:vAlign w:val="center"/>
          </w:tcPr>
          <w:p w14:paraId="695FC669">
            <w:pPr>
              <w:pStyle w:val="434"/>
              <w:spacing w:line="560" w:lineRule="exact"/>
              <w:jc w:val="center"/>
              <w:rPr>
                <w:rFonts w:ascii="仿宋_GB2312" w:hAnsi="仿宋_GB2312"/>
                <w:color w:val="000000"/>
                <w:sz w:val="24"/>
                <w:highlight w:val="none"/>
              </w:rPr>
            </w:pPr>
          </w:p>
        </w:tc>
        <w:tc>
          <w:tcPr>
            <w:tcW w:w="991" w:type="dxa"/>
            <w:noWrap w:val="0"/>
            <w:vAlign w:val="center"/>
          </w:tcPr>
          <w:p w14:paraId="48B46007">
            <w:pPr>
              <w:pStyle w:val="434"/>
              <w:spacing w:line="560" w:lineRule="exact"/>
              <w:jc w:val="center"/>
              <w:rPr>
                <w:rFonts w:ascii="仿宋_GB2312" w:hAnsi="仿宋_GB2312"/>
                <w:color w:val="000000"/>
                <w:sz w:val="24"/>
                <w:highlight w:val="none"/>
              </w:rPr>
            </w:pPr>
          </w:p>
        </w:tc>
      </w:tr>
      <w:tr w14:paraId="5274C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trPr>
        <w:tc>
          <w:tcPr>
            <w:tcW w:w="654" w:type="dxa"/>
            <w:noWrap w:val="0"/>
            <w:vAlign w:val="top"/>
          </w:tcPr>
          <w:p w14:paraId="55A919AF">
            <w:pPr>
              <w:pStyle w:val="434"/>
              <w:widowControl/>
              <w:spacing w:line="560" w:lineRule="exact"/>
              <w:rPr>
                <w:rFonts w:ascii="仿宋_GB2312" w:hAnsi="仿宋_GB2312"/>
                <w:color w:val="000000"/>
                <w:sz w:val="28"/>
                <w:szCs w:val="28"/>
                <w:highlight w:val="none"/>
              </w:rPr>
            </w:pPr>
            <w:r>
              <w:rPr>
                <w:rFonts w:ascii="仿宋_GB2312" w:eastAsia="仿宋_GB2312"/>
                <w:color w:val="000000"/>
                <w:sz w:val="28"/>
                <w:szCs w:val="28"/>
                <w:highlight w:val="none"/>
              </w:rPr>
              <w:t>…</w:t>
            </w:r>
          </w:p>
        </w:tc>
        <w:tc>
          <w:tcPr>
            <w:tcW w:w="3673" w:type="dxa"/>
            <w:gridSpan w:val="2"/>
            <w:noWrap w:val="0"/>
            <w:vAlign w:val="top"/>
          </w:tcPr>
          <w:p w14:paraId="3072B313">
            <w:pPr>
              <w:pStyle w:val="434"/>
              <w:widowControl/>
              <w:spacing w:line="560" w:lineRule="exact"/>
              <w:jc w:val="center"/>
              <w:rPr>
                <w:rFonts w:ascii="仿宋_GB2312" w:hAnsi="仿宋_GB2312"/>
                <w:color w:val="000000"/>
                <w:sz w:val="24"/>
                <w:highlight w:val="none"/>
              </w:rPr>
            </w:pPr>
          </w:p>
        </w:tc>
        <w:tc>
          <w:tcPr>
            <w:tcW w:w="1134" w:type="dxa"/>
            <w:noWrap w:val="0"/>
            <w:vAlign w:val="center"/>
          </w:tcPr>
          <w:p w14:paraId="142578E6">
            <w:pPr>
              <w:pStyle w:val="434"/>
              <w:spacing w:line="560" w:lineRule="exact"/>
              <w:jc w:val="center"/>
              <w:rPr>
                <w:rFonts w:ascii="仿宋_GB2312" w:hAnsi="仿宋_GB2312"/>
                <w:color w:val="000000"/>
                <w:sz w:val="24"/>
                <w:highlight w:val="none"/>
              </w:rPr>
            </w:pPr>
          </w:p>
        </w:tc>
        <w:tc>
          <w:tcPr>
            <w:tcW w:w="992" w:type="dxa"/>
            <w:noWrap w:val="0"/>
            <w:vAlign w:val="top"/>
          </w:tcPr>
          <w:p w14:paraId="3A42DB2F">
            <w:pPr>
              <w:pStyle w:val="434"/>
              <w:widowControl/>
              <w:spacing w:line="560" w:lineRule="exact"/>
              <w:jc w:val="center"/>
              <w:rPr>
                <w:rFonts w:ascii="仿宋_GB2312" w:hAnsi="仿宋_GB2312"/>
                <w:color w:val="000000"/>
                <w:sz w:val="24"/>
                <w:highlight w:val="none"/>
              </w:rPr>
            </w:pPr>
          </w:p>
        </w:tc>
        <w:tc>
          <w:tcPr>
            <w:tcW w:w="1541" w:type="dxa"/>
            <w:noWrap w:val="0"/>
            <w:vAlign w:val="center"/>
          </w:tcPr>
          <w:p w14:paraId="0330D761">
            <w:pPr>
              <w:pStyle w:val="434"/>
              <w:spacing w:line="560" w:lineRule="exact"/>
              <w:jc w:val="center"/>
              <w:rPr>
                <w:rFonts w:ascii="仿宋_GB2312" w:hAnsi="仿宋_GB2312"/>
                <w:color w:val="000000"/>
                <w:sz w:val="24"/>
                <w:highlight w:val="none"/>
              </w:rPr>
            </w:pPr>
          </w:p>
        </w:tc>
        <w:tc>
          <w:tcPr>
            <w:tcW w:w="991" w:type="dxa"/>
            <w:noWrap w:val="0"/>
            <w:vAlign w:val="center"/>
          </w:tcPr>
          <w:p w14:paraId="197C64DE">
            <w:pPr>
              <w:pStyle w:val="434"/>
              <w:spacing w:line="560" w:lineRule="exact"/>
              <w:jc w:val="center"/>
              <w:rPr>
                <w:rFonts w:ascii="仿宋_GB2312" w:hAnsi="仿宋_GB2312"/>
                <w:color w:val="000000"/>
                <w:sz w:val="24"/>
                <w:highlight w:val="none"/>
              </w:rPr>
            </w:pPr>
          </w:p>
        </w:tc>
      </w:tr>
      <w:tr w14:paraId="37D6F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66" w:hRule="atLeast"/>
        </w:trPr>
        <w:tc>
          <w:tcPr>
            <w:tcW w:w="2061" w:type="dxa"/>
            <w:gridSpan w:val="2"/>
            <w:noWrap w:val="0"/>
            <w:vAlign w:val="center"/>
          </w:tcPr>
          <w:p w14:paraId="3F911272">
            <w:pPr>
              <w:pStyle w:val="434"/>
              <w:spacing w:line="500" w:lineRule="exact"/>
              <w:jc w:val="center"/>
              <w:rPr>
                <w:rFonts w:ascii="宋体" w:hAnsi="宋体"/>
                <w:b/>
                <w:bCs/>
                <w:color w:val="000000"/>
                <w:sz w:val="24"/>
                <w:highlight w:val="none"/>
              </w:rPr>
            </w:pPr>
            <w:r>
              <w:rPr>
                <w:rFonts w:hint="eastAsia" w:ascii="宋体" w:hAnsi="宋体"/>
                <w:b/>
                <w:bCs/>
                <w:color w:val="000000"/>
                <w:sz w:val="28"/>
                <w:szCs w:val="28"/>
                <w:highlight w:val="none"/>
              </w:rPr>
              <w:t>投标总报价</w:t>
            </w:r>
          </w:p>
        </w:tc>
        <w:tc>
          <w:tcPr>
            <w:tcW w:w="6924" w:type="dxa"/>
            <w:gridSpan w:val="5"/>
            <w:noWrap w:val="0"/>
            <w:vAlign w:val="center"/>
          </w:tcPr>
          <w:p w14:paraId="5CDAA754">
            <w:pPr>
              <w:pStyle w:val="434"/>
              <w:spacing w:line="500" w:lineRule="exact"/>
              <w:rPr>
                <w:rFonts w:hint="eastAsia" w:ascii="宋体" w:hAnsi="宋体"/>
                <w:b/>
                <w:bCs/>
                <w:color w:val="000000"/>
                <w:sz w:val="24"/>
                <w:highlight w:val="none"/>
              </w:rPr>
            </w:pPr>
            <w:r>
              <w:rPr>
                <w:rFonts w:hint="eastAsia" w:ascii="宋体" w:hAnsi="宋体"/>
                <w:b/>
                <w:bCs/>
                <w:color w:val="000000"/>
                <w:sz w:val="24"/>
                <w:highlight w:val="none"/>
              </w:rPr>
              <w:t>￥</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p>
          <w:p w14:paraId="261CE13A">
            <w:pPr>
              <w:pStyle w:val="434"/>
              <w:spacing w:line="500" w:lineRule="exact"/>
              <w:rPr>
                <w:rFonts w:hint="eastAsia" w:ascii="宋体" w:hAnsi="宋体"/>
                <w:b/>
                <w:bCs/>
                <w:color w:val="000000"/>
                <w:sz w:val="24"/>
                <w:highlight w:val="none"/>
              </w:rPr>
            </w:pPr>
            <w:r>
              <w:rPr>
                <w:rFonts w:hint="eastAsia" w:ascii="宋体" w:hAnsi="宋体"/>
                <w:b/>
                <w:bCs/>
                <w:color w:val="000000"/>
                <w:sz w:val="24"/>
                <w:highlight w:val="none"/>
              </w:rPr>
              <w:t>人民币（大写）：</w:t>
            </w:r>
            <w:r>
              <w:rPr>
                <w:rFonts w:hint="eastAsia" w:ascii="宋体" w:hAnsi="宋体"/>
                <w:b/>
                <w:bCs/>
                <w:color w:val="000000"/>
                <w:sz w:val="24"/>
                <w:highlight w:val="none"/>
                <w:u w:val="single"/>
              </w:rPr>
              <w:t xml:space="preserve"> </w:t>
            </w:r>
            <w:r>
              <w:rPr>
                <w:rFonts w:ascii="宋体" w:hAnsi="宋体"/>
                <w:b/>
                <w:bCs/>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仟     </w:t>
            </w:r>
            <w:r>
              <w:rPr>
                <w:rFonts w:hint="eastAsia" w:ascii="宋体" w:hAnsi="宋体"/>
                <w:bCs/>
                <w:color w:val="000000"/>
                <w:sz w:val="24"/>
                <w:highlight w:val="none"/>
              </w:rPr>
              <w:t>佰</w:t>
            </w:r>
            <w:r>
              <w:rPr>
                <w:rFonts w:hint="eastAsia" w:ascii="宋体" w:hAnsi="宋体"/>
                <w:color w:val="000000"/>
                <w:sz w:val="24"/>
                <w:highlight w:val="none"/>
                <w:u w:val="single"/>
              </w:rPr>
              <w:t xml:space="preserve">    </w:t>
            </w:r>
            <w:r>
              <w:rPr>
                <w:rFonts w:hint="eastAsia" w:ascii="宋体" w:hAnsi="宋体"/>
                <w:bCs/>
                <w:color w:val="000000"/>
                <w:sz w:val="24"/>
                <w:highlight w:val="none"/>
              </w:rPr>
              <w:t>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 万</w:t>
            </w:r>
            <w:r>
              <w:rPr>
                <w:rFonts w:hint="eastAsia" w:ascii="宋体" w:hAnsi="宋体"/>
                <w:bCs/>
                <w:color w:val="000000"/>
                <w:sz w:val="24"/>
                <w:highlight w:val="none"/>
                <w:u w:val="single"/>
              </w:rPr>
              <w:t xml:space="preserve">    </w:t>
            </w:r>
            <w:r>
              <w:rPr>
                <w:rFonts w:hint="eastAsia" w:ascii="宋体" w:hAnsi="宋体"/>
                <w:bCs/>
                <w:color w:val="000000"/>
                <w:sz w:val="24"/>
                <w:highlight w:val="none"/>
              </w:rPr>
              <w:t>仟</w:t>
            </w:r>
            <w:r>
              <w:rPr>
                <w:rFonts w:hint="eastAsia" w:ascii="宋体" w:hAnsi="宋体"/>
                <w:color w:val="000000"/>
                <w:sz w:val="24"/>
                <w:highlight w:val="none"/>
                <w:u w:val="single"/>
              </w:rPr>
              <w:t xml:space="preserve">      </w:t>
            </w:r>
            <w:r>
              <w:rPr>
                <w:rFonts w:hint="eastAsia" w:ascii="宋体" w:hAnsi="宋体"/>
                <w:bCs/>
                <w:color w:val="000000"/>
                <w:sz w:val="24"/>
                <w:highlight w:val="none"/>
              </w:rPr>
              <w:t>佰</w:t>
            </w:r>
            <w:r>
              <w:rPr>
                <w:rFonts w:hint="eastAsia" w:ascii="宋体" w:hAnsi="宋体"/>
                <w:color w:val="000000"/>
                <w:sz w:val="24"/>
                <w:highlight w:val="none"/>
                <w:u w:val="single"/>
              </w:rPr>
              <w:t xml:space="preserve">      </w:t>
            </w:r>
            <w:r>
              <w:rPr>
                <w:rFonts w:hint="eastAsia" w:ascii="宋体" w:hAnsi="宋体"/>
                <w:bCs/>
                <w:color w:val="000000"/>
                <w:sz w:val="24"/>
                <w:highlight w:val="none"/>
              </w:rPr>
              <w:t>拾</w:t>
            </w:r>
            <w:r>
              <w:rPr>
                <w:rFonts w:hint="eastAsia" w:ascii="宋体" w:hAnsi="宋体"/>
                <w:color w:val="000000"/>
                <w:sz w:val="24"/>
                <w:highlight w:val="none"/>
                <w:u w:val="single"/>
              </w:rPr>
              <w:t xml:space="preserve">     </w:t>
            </w:r>
            <w:r>
              <w:rPr>
                <w:rFonts w:hint="eastAsia" w:ascii="宋体" w:hAnsi="宋体"/>
                <w:bCs/>
                <w:color w:val="000000"/>
                <w:sz w:val="24"/>
                <w:highlight w:val="none"/>
              </w:rPr>
              <w:t>元</w:t>
            </w:r>
            <w:r>
              <w:rPr>
                <w:rFonts w:hint="eastAsia" w:ascii="宋体" w:hAnsi="宋体"/>
                <w:color w:val="000000"/>
                <w:sz w:val="24"/>
                <w:highlight w:val="none"/>
                <w:u w:val="single"/>
              </w:rPr>
              <w:t xml:space="preserve">      </w:t>
            </w:r>
            <w:r>
              <w:rPr>
                <w:rFonts w:hint="eastAsia" w:ascii="宋体" w:hAnsi="宋体"/>
                <w:bCs/>
                <w:color w:val="000000"/>
                <w:sz w:val="24"/>
                <w:highlight w:val="none"/>
              </w:rPr>
              <w:t>角</w:t>
            </w:r>
            <w:r>
              <w:rPr>
                <w:rFonts w:hint="eastAsia" w:ascii="宋体" w:hAnsi="宋体"/>
                <w:color w:val="000000"/>
                <w:sz w:val="24"/>
                <w:highlight w:val="none"/>
                <w:u w:val="single"/>
              </w:rPr>
              <w:t xml:space="preserve">      </w:t>
            </w:r>
            <w:r>
              <w:rPr>
                <w:rFonts w:hint="eastAsia" w:ascii="宋体" w:hAnsi="宋体"/>
                <w:bCs/>
                <w:color w:val="000000"/>
                <w:sz w:val="24"/>
                <w:highlight w:val="none"/>
              </w:rPr>
              <w:t>分</w:t>
            </w:r>
          </w:p>
        </w:tc>
      </w:tr>
    </w:tbl>
    <w:p w14:paraId="59DB7849">
      <w:pPr>
        <w:pStyle w:val="346"/>
        <w:rPr>
          <w:rFonts w:ascii="宋体" w:hAnsi="宋体"/>
          <w:color w:val="000000"/>
          <w:sz w:val="24"/>
          <w:highlight w:val="none"/>
        </w:rPr>
      </w:pPr>
    </w:p>
    <w:p w14:paraId="5F8F5F27">
      <w:pPr>
        <w:spacing w:line="0" w:lineRule="atLeast"/>
        <w:rPr>
          <w:rFonts w:ascii="宋体" w:hAnsi="宋体"/>
          <w:color w:val="000000"/>
          <w:sz w:val="24"/>
          <w:szCs w:val="24"/>
          <w:highlight w:val="none"/>
        </w:rPr>
      </w:pPr>
      <w:r>
        <w:rPr>
          <w:rFonts w:hint="eastAsia" w:ascii="宋体" w:hAnsi="宋体"/>
          <w:color w:val="000000"/>
          <w:sz w:val="24"/>
          <w:szCs w:val="24"/>
          <w:highlight w:val="none"/>
        </w:rPr>
        <w:t>备注：“投标总报价”数额应当与“开标一览表”中“</w:t>
      </w:r>
      <w:r>
        <w:rPr>
          <w:rFonts w:hint="eastAsia" w:ascii="宋体" w:hAnsi="宋体" w:cs="宋体"/>
          <w:color w:val="000000"/>
          <w:sz w:val="24"/>
          <w:szCs w:val="24"/>
          <w:highlight w:val="none"/>
          <w:vertAlign w:val="baseline"/>
          <w:lang w:val="en-US" w:eastAsia="zh-CN"/>
        </w:rPr>
        <w:t>投标总报价</w:t>
      </w:r>
      <w:r>
        <w:rPr>
          <w:rFonts w:hint="eastAsia" w:ascii="宋体" w:hAnsi="宋体"/>
          <w:color w:val="000000"/>
          <w:sz w:val="24"/>
          <w:szCs w:val="24"/>
          <w:highlight w:val="none"/>
        </w:rPr>
        <w:t>”数额一致。</w:t>
      </w:r>
    </w:p>
    <w:p w14:paraId="596007CD">
      <w:pPr>
        <w:pStyle w:val="337"/>
        <w:jc w:val="center"/>
        <w:rPr>
          <w:rFonts w:hint="eastAsia"/>
          <w:color w:val="000000"/>
          <w:highlight w:val="none"/>
        </w:rPr>
      </w:pPr>
      <w:r>
        <w:rPr>
          <w:rFonts w:hint="eastAsia"/>
          <w:b/>
          <w:bCs/>
          <w:color w:val="000000"/>
          <w:highlight w:val="none"/>
        </w:rPr>
        <w:br w:type="page" w:clear="all"/>
      </w:r>
    </w:p>
    <w:p w14:paraId="0880B651">
      <w:pPr>
        <w:pStyle w:val="371"/>
        <w:outlineLvl w:val="1"/>
        <w:rPr>
          <w:rFonts w:hint="eastAsia"/>
          <w:b w:val="0"/>
          <w:bCs/>
          <w:color w:val="000000"/>
          <w:highlight w:val="none"/>
        </w:rPr>
      </w:pPr>
      <w:bookmarkStart w:id="169" w:name="_Toc2747"/>
      <w:bookmarkStart w:id="170" w:name="_Toc21129"/>
      <w:r>
        <w:rPr>
          <w:rFonts w:hint="eastAsia"/>
          <w:b w:val="0"/>
          <w:bCs/>
          <w:color w:val="000000"/>
          <w:highlight w:val="none"/>
        </w:rPr>
        <w:t>六、中小企业或残疾人福利性单位声明函</w:t>
      </w:r>
      <w:bookmarkEnd w:id="168"/>
      <w:bookmarkEnd w:id="169"/>
      <w:bookmarkEnd w:id="170"/>
    </w:p>
    <w:p w14:paraId="3E6426DD">
      <w:pPr>
        <w:pStyle w:val="337"/>
        <w:jc w:val="center"/>
        <w:rPr>
          <w:rFonts w:ascii="方正小标宋_GBK" w:eastAsia="方正小标宋_GBK"/>
          <w:bCs/>
          <w:color w:val="000000"/>
          <w:sz w:val="32"/>
          <w:szCs w:val="32"/>
          <w:highlight w:val="none"/>
        </w:rPr>
      </w:pPr>
    </w:p>
    <w:p w14:paraId="7B30CF63">
      <w:pPr>
        <w:pStyle w:val="337"/>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中小微企业声明函</w:t>
      </w:r>
    </w:p>
    <w:p w14:paraId="1885BAE4">
      <w:pPr>
        <w:pStyle w:val="337"/>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（服务类项目）</w:t>
      </w:r>
    </w:p>
    <w:p w14:paraId="3DDE6A52">
      <w:pPr>
        <w:spacing w:line="500" w:lineRule="exact"/>
        <w:ind w:firstLine="480"/>
        <w:rPr>
          <w:rFonts w:ascii="宋体" w:hAnsi="宋体"/>
          <w:color w:val="000000"/>
          <w:sz w:val="24"/>
          <w:szCs w:val="24"/>
          <w:highlight w:val="none"/>
        </w:rPr>
      </w:pPr>
    </w:p>
    <w:p w14:paraId="47AB9D46">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本公司（联合体）郑重声明，根据《政府采购促进中小企业发展管理办法》(财库</w:t>
      </w:r>
      <w:r>
        <w:rPr>
          <w:rFonts w:hint="eastAsia" w:ascii="Times New Roman" w:hAnsi="Times New Roman"/>
          <w:color w:val="000000"/>
          <w:sz w:val="24"/>
          <w:szCs w:val="24"/>
          <w:highlight w:val="none"/>
        </w:rPr>
        <w:t>〔2020〕</w:t>
      </w:r>
      <w:r>
        <w:rPr>
          <w:rFonts w:hint="eastAsia" w:ascii="宋体" w:hAnsi="宋体"/>
          <w:color w:val="000000"/>
          <w:sz w:val="24"/>
          <w:szCs w:val="24"/>
          <w:highlight w:val="none"/>
        </w:rPr>
        <w:t>46号)的规定，本公司（联合体）参加</w:t>
      </w:r>
      <w:r>
        <w:rPr>
          <w:rFonts w:hint="eastAsia" w:ascii="宋体" w:hAnsi="宋体"/>
          <w:color w:val="000000"/>
          <w:sz w:val="24"/>
          <w:szCs w:val="24"/>
          <w:highlight w:val="none"/>
          <w:u w:val="single"/>
        </w:rPr>
        <w:t xml:space="preserve"> 单位名称 </w:t>
      </w:r>
      <w:r>
        <w:rPr>
          <w:rFonts w:hint="eastAsia" w:ascii="宋体" w:hAnsi="宋体"/>
          <w:color w:val="000000"/>
          <w:sz w:val="24"/>
          <w:szCs w:val="24"/>
          <w:highlight w:val="none"/>
        </w:rPr>
        <w:t xml:space="preserve"> 的</w:t>
      </w:r>
      <w:r>
        <w:rPr>
          <w:rFonts w:hint="eastAsia" w:ascii="宋体" w:hAnsi="宋体"/>
          <w:color w:val="000000"/>
          <w:sz w:val="24"/>
          <w:szCs w:val="24"/>
          <w:highlight w:val="none"/>
          <w:u w:val="single"/>
        </w:rPr>
        <w:t>（项目名称）</w:t>
      </w:r>
      <w:r>
        <w:rPr>
          <w:rFonts w:hint="eastAsia" w:ascii="宋体" w:hAnsi="宋体"/>
          <w:color w:val="000000"/>
          <w:sz w:val="24"/>
          <w:szCs w:val="24"/>
          <w:highlight w:val="none"/>
        </w:rPr>
        <w:t xml:space="preserve"> 采购活动，服务全部由符合政策的中小微企业承接。相关企业（含联合体中的中小微企业、签订采购包意向协议的中小微企业）的具体情况如下：</w:t>
      </w:r>
    </w:p>
    <w:p w14:paraId="2980D5EA">
      <w:pPr>
        <w:spacing w:line="500" w:lineRule="exact"/>
        <w:ind w:firstLine="480"/>
        <w:rPr>
          <w:rFonts w:hint="eastAsia" w:ascii="宋体" w:hAnsi="宋体"/>
          <w:i/>
          <w:color w:val="000000"/>
          <w:sz w:val="24"/>
          <w:szCs w:val="24"/>
          <w:highlight w:val="none"/>
          <w:u w:val="single"/>
        </w:rPr>
      </w:pPr>
      <w:r>
        <w:rPr>
          <w:rFonts w:hint="eastAsia" w:ascii="宋体" w:hAnsi="宋体"/>
          <w:color w:val="000000"/>
          <w:sz w:val="24"/>
          <w:szCs w:val="24"/>
          <w:highlight w:val="none"/>
        </w:rPr>
        <w:t>1.</w:t>
      </w:r>
      <w:r>
        <w:rPr>
          <w:rFonts w:hint="eastAsia" w:ascii="宋体" w:hAnsi="宋体"/>
          <w:color w:val="000000"/>
          <w:sz w:val="24"/>
          <w:szCs w:val="24"/>
          <w:highlight w:val="none"/>
          <w:u w:val="single"/>
        </w:rPr>
        <w:t>（标的名称）</w:t>
      </w:r>
      <w:r>
        <w:rPr>
          <w:rFonts w:hint="eastAsia" w:ascii="宋体" w:hAnsi="宋体"/>
          <w:i/>
          <w:color w:val="000000"/>
          <w:sz w:val="24"/>
          <w:szCs w:val="24"/>
          <w:highlight w:val="none"/>
        </w:rPr>
        <w:t>，</w:t>
      </w:r>
      <w:r>
        <w:rPr>
          <w:rFonts w:hint="eastAsia" w:ascii="宋体" w:hAnsi="宋体"/>
          <w:color w:val="000000"/>
          <w:sz w:val="24"/>
          <w:szCs w:val="24"/>
          <w:highlight w:val="none"/>
        </w:rPr>
        <w:t>属于</w:t>
      </w:r>
      <w:r>
        <w:rPr>
          <w:rFonts w:hint="eastAsia" w:ascii="宋体" w:hAnsi="宋体"/>
          <w:color w:val="000000"/>
          <w:sz w:val="24"/>
          <w:szCs w:val="24"/>
          <w:highlight w:val="none"/>
          <w:u w:val="single"/>
        </w:rPr>
        <w:t>（其他未列明行业）</w:t>
      </w:r>
      <w:r>
        <w:rPr>
          <w:rFonts w:hint="eastAsia" w:ascii="宋体" w:hAnsi="宋体"/>
          <w:color w:val="000000"/>
          <w:sz w:val="24"/>
          <w:szCs w:val="24"/>
          <w:highlight w:val="none"/>
        </w:rPr>
        <w:t>；承接企业为</w:t>
      </w:r>
      <w:r>
        <w:rPr>
          <w:rFonts w:hint="eastAsia" w:ascii="宋体" w:hAnsi="宋体"/>
          <w:color w:val="000000"/>
          <w:sz w:val="24"/>
          <w:szCs w:val="24"/>
          <w:highlight w:val="none"/>
          <w:u w:val="single"/>
        </w:rPr>
        <w:t>（企业名称）</w:t>
      </w:r>
      <w:r>
        <w:rPr>
          <w:rFonts w:hint="eastAsia" w:ascii="宋体" w:hAnsi="宋体"/>
          <w:color w:val="000000"/>
          <w:sz w:val="24"/>
          <w:szCs w:val="24"/>
          <w:highlight w:val="none"/>
        </w:rPr>
        <w:t>，从业人员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万元，属于</w:t>
      </w:r>
      <w:r>
        <w:rPr>
          <w:rFonts w:hint="eastAsia" w:ascii="宋体" w:hAnsi="宋体"/>
          <w:color w:val="000000"/>
          <w:sz w:val="24"/>
          <w:szCs w:val="24"/>
          <w:highlight w:val="none"/>
          <w:u w:val="single"/>
        </w:rPr>
        <w:t>（□中型企业 □小型企业 □微型企业）；</w:t>
      </w:r>
    </w:p>
    <w:p w14:paraId="69329411">
      <w:pPr>
        <w:spacing w:line="500" w:lineRule="exact"/>
        <w:ind w:firstLine="480"/>
        <w:rPr>
          <w:rFonts w:hint="eastAsia" w:ascii="宋体" w:hAnsi="宋体"/>
          <w:i/>
          <w:color w:val="000000"/>
          <w:sz w:val="24"/>
          <w:szCs w:val="24"/>
          <w:highlight w:val="none"/>
          <w:u w:val="single"/>
        </w:rPr>
      </w:pPr>
      <w:r>
        <w:rPr>
          <w:rFonts w:hint="eastAsia" w:ascii="宋体" w:hAnsi="宋体"/>
          <w:color w:val="000000"/>
          <w:sz w:val="24"/>
          <w:szCs w:val="24"/>
          <w:highlight w:val="none"/>
        </w:rPr>
        <w:t>2.</w:t>
      </w:r>
      <w:r>
        <w:rPr>
          <w:rFonts w:hint="eastAsia" w:ascii="宋体" w:hAnsi="宋体"/>
          <w:color w:val="000000"/>
          <w:sz w:val="24"/>
          <w:szCs w:val="24"/>
          <w:highlight w:val="none"/>
          <w:u w:val="single"/>
        </w:rPr>
        <w:t>（标的名称）</w:t>
      </w:r>
      <w:r>
        <w:rPr>
          <w:rFonts w:hint="eastAsia" w:ascii="宋体" w:hAnsi="宋体"/>
          <w:i/>
          <w:color w:val="000000"/>
          <w:sz w:val="24"/>
          <w:szCs w:val="24"/>
          <w:highlight w:val="none"/>
        </w:rPr>
        <w:t>，</w:t>
      </w:r>
      <w:r>
        <w:rPr>
          <w:rFonts w:hint="eastAsia" w:ascii="宋体" w:hAnsi="宋体"/>
          <w:color w:val="000000"/>
          <w:sz w:val="24"/>
          <w:szCs w:val="24"/>
          <w:highlight w:val="none"/>
        </w:rPr>
        <w:t>属于</w:t>
      </w:r>
      <w:r>
        <w:rPr>
          <w:rFonts w:hint="eastAsia" w:ascii="宋体" w:hAnsi="宋体"/>
          <w:color w:val="000000"/>
          <w:sz w:val="24"/>
          <w:szCs w:val="24"/>
          <w:highlight w:val="none"/>
          <w:u w:val="single"/>
        </w:rPr>
        <w:t>（其他未列明行业）</w:t>
      </w:r>
      <w:r>
        <w:rPr>
          <w:rFonts w:hint="eastAsia" w:ascii="宋体" w:hAnsi="宋体"/>
          <w:color w:val="000000"/>
          <w:sz w:val="24"/>
          <w:szCs w:val="24"/>
          <w:highlight w:val="none"/>
        </w:rPr>
        <w:t>；承接企业为</w:t>
      </w:r>
      <w:r>
        <w:rPr>
          <w:rFonts w:hint="eastAsia" w:ascii="宋体" w:hAnsi="宋体"/>
          <w:color w:val="000000"/>
          <w:sz w:val="24"/>
          <w:szCs w:val="24"/>
          <w:highlight w:val="none"/>
          <w:u w:val="single"/>
        </w:rPr>
        <w:t>（企业名称）</w:t>
      </w:r>
      <w:r>
        <w:rPr>
          <w:rFonts w:hint="eastAsia" w:ascii="宋体" w:hAnsi="宋体"/>
          <w:color w:val="000000"/>
          <w:sz w:val="24"/>
          <w:szCs w:val="24"/>
          <w:highlight w:val="none"/>
        </w:rPr>
        <w:t>，从业人员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万元，属于</w:t>
      </w:r>
      <w:r>
        <w:rPr>
          <w:rFonts w:hint="eastAsia" w:ascii="宋体" w:hAnsi="宋体"/>
          <w:color w:val="000000"/>
          <w:sz w:val="24"/>
          <w:szCs w:val="24"/>
          <w:highlight w:val="none"/>
          <w:u w:val="single"/>
        </w:rPr>
        <w:t>（□中型企业 □小型企业 □微型企业）；</w:t>
      </w:r>
    </w:p>
    <w:p w14:paraId="46566F00">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w:t>
      </w:r>
    </w:p>
    <w:p w14:paraId="7DA25500">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以上企业，不属于大企业的分支机构，不存在控股股东为大企业的情形，也不存在与大企业的负责人为同一人的情形。</w:t>
      </w:r>
    </w:p>
    <w:p w14:paraId="50ECC607">
      <w:pPr>
        <w:spacing w:line="500" w:lineRule="exact"/>
        <w:ind w:firstLine="480"/>
        <w:outlineLvl w:val="2"/>
        <w:rPr>
          <w:rFonts w:hint="eastAsia" w:ascii="宋体" w:hAnsi="宋体"/>
          <w:color w:val="000000"/>
          <w:sz w:val="24"/>
          <w:szCs w:val="24"/>
          <w:highlight w:val="none"/>
        </w:rPr>
      </w:pPr>
      <w:r>
        <w:rPr>
          <w:rFonts w:hint="eastAsia" w:ascii="宋体" w:hAnsi="宋体"/>
          <w:color w:val="000000"/>
          <w:sz w:val="24"/>
          <w:szCs w:val="24"/>
          <w:highlight w:val="none"/>
        </w:rPr>
        <w:t>本企业对上述声明内容的真实性负责。如有虚假，将依法承担相应责任</w:t>
      </w:r>
    </w:p>
    <w:p w14:paraId="34E90443">
      <w:pPr>
        <w:spacing w:line="500" w:lineRule="exact"/>
        <w:ind w:firstLine="480"/>
        <w:rPr>
          <w:rFonts w:hint="eastAsia" w:ascii="宋体" w:hAnsi="宋体"/>
          <w:color w:val="000000"/>
          <w:sz w:val="24"/>
          <w:szCs w:val="24"/>
          <w:highlight w:val="none"/>
        </w:rPr>
      </w:pPr>
    </w:p>
    <w:p w14:paraId="4E50625E">
      <w:pPr>
        <w:spacing w:line="500" w:lineRule="exact"/>
        <w:ind w:firstLine="480"/>
        <w:jc w:val="right"/>
        <w:rPr>
          <w:rFonts w:hint="eastAsia" w:ascii="宋体" w:hAnsi="宋体"/>
          <w:color w:val="000000"/>
          <w:sz w:val="24"/>
          <w:szCs w:val="24"/>
          <w:highlight w:val="none"/>
        </w:rPr>
      </w:pPr>
      <w:r>
        <w:rPr>
          <w:rFonts w:hint="eastAsia" w:ascii="宋体" w:hAnsi="宋体"/>
          <w:color w:val="000000"/>
          <w:sz w:val="24"/>
          <w:szCs w:val="24"/>
          <w:highlight w:val="none"/>
        </w:rPr>
        <w:t>企业名称（加盖CA电子公章）：</w:t>
      </w:r>
    </w:p>
    <w:p w14:paraId="11A7A858">
      <w:pPr>
        <w:spacing w:line="500" w:lineRule="exact"/>
        <w:ind w:firstLine="6960"/>
        <w:rPr>
          <w:rFonts w:hint="eastAsia" w:ascii="宋体" w:hAnsi="宋体"/>
          <w:color w:val="000000"/>
          <w:sz w:val="24"/>
          <w:szCs w:val="24"/>
          <w:highlight w:val="none"/>
        </w:rPr>
      </w:pPr>
      <w:r>
        <w:rPr>
          <w:rFonts w:hint="eastAsia" w:ascii="宋体" w:hAnsi="宋体"/>
          <w:color w:val="000000"/>
          <w:sz w:val="24"/>
          <w:szCs w:val="24"/>
          <w:highlight w:val="none"/>
        </w:rPr>
        <w:t>日  期：</w:t>
      </w:r>
    </w:p>
    <w:p w14:paraId="02FAE32D">
      <w:pPr>
        <w:spacing w:line="400" w:lineRule="exact"/>
        <w:ind w:firstLine="240"/>
        <w:rPr>
          <w:rFonts w:hint="eastAsia" w:ascii="宋体" w:hAnsi="宋体"/>
          <w:color w:val="000000"/>
          <w:sz w:val="24"/>
          <w:szCs w:val="24"/>
          <w:highlight w:val="none"/>
        </w:rPr>
      </w:pPr>
    </w:p>
    <w:p w14:paraId="6F55F145">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备注：1.从业人员、营业收入、资产总额填报上一年度数据，无上一年度数据的新成立企业可不填报。</w:t>
      </w:r>
    </w:p>
    <w:p w14:paraId="2EC2A7C5">
      <w:pPr>
        <w:spacing w:line="400" w:lineRule="exact"/>
        <w:ind w:firstLine="480"/>
        <w:rPr>
          <w:rFonts w:ascii="Times New Roman" w:hAnsi="Times New Roman"/>
          <w:color w:val="000000"/>
          <w:sz w:val="22"/>
          <w:szCs w:val="21"/>
          <w:highlight w:val="none"/>
        </w:rPr>
      </w:pPr>
      <w:r>
        <w:rPr>
          <w:rFonts w:hint="eastAsia" w:ascii="Times New Roman" w:hAnsi="Times New Roman"/>
          <w:color w:val="000000"/>
          <w:sz w:val="24"/>
          <w:szCs w:val="24"/>
          <w:highlight w:val="none"/>
          <w:lang w:val="en-US" w:eastAsia="zh-CN"/>
        </w:rPr>
        <w:t>2</w:t>
      </w:r>
      <w:r>
        <w:rPr>
          <w:rFonts w:ascii="Times New Roman" w:hAnsi="Times New Roman"/>
          <w:color w:val="000000"/>
          <w:sz w:val="24"/>
          <w:szCs w:val="24"/>
          <w:highlight w:val="none"/>
        </w:rPr>
        <w:t>.对照《工业和信息化部、国家统计局、国家发展和改革委员会、财政部关于印发中小企业划型标准规定的通知》(工信部联企业[2011]300号)的规定，</w:t>
      </w:r>
      <w:r>
        <w:rPr>
          <w:rFonts w:hint="eastAsia" w:ascii="Times New Roman" w:hAnsi="Times New Roman"/>
          <w:color w:val="000000"/>
          <w:sz w:val="24"/>
          <w:szCs w:val="24"/>
          <w:highlight w:val="none"/>
        </w:rPr>
        <w:t>投标人</w:t>
      </w:r>
      <w:r>
        <w:rPr>
          <w:rFonts w:ascii="Times New Roman" w:hAnsi="Times New Roman"/>
          <w:color w:val="000000"/>
          <w:sz w:val="24"/>
          <w:szCs w:val="24"/>
          <w:highlight w:val="none"/>
        </w:rPr>
        <w:t>自行勾选承接企业的企业规模类型。</w:t>
      </w:r>
    </w:p>
    <w:p w14:paraId="555269C9">
      <w:pPr>
        <w:pStyle w:val="353"/>
        <w:spacing w:before="151" w:after="151" w:line="600" w:lineRule="exact"/>
        <w:rPr>
          <w:rFonts w:hint="eastAsia" w:ascii="宋体"/>
          <w:b/>
          <w:bCs/>
          <w:color w:val="000000"/>
          <w:sz w:val="32"/>
          <w:szCs w:val="32"/>
          <w:highlight w:val="none"/>
        </w:rPr>
      </w:pPr>
    </w:p>
    <w:p w14:paraId="2687A611">
      <w:pPr>
        <w:pStyle w:val="337"/>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残疾人福利性单位声明函</w:t>
      </w:r>
    </w:p>
    <w:p w14:paraId="6E0AB576">
      <w:pPr>
        <w:pStyle w:val="355"/>
        <w:spacing w:line="588" w:lineRule="exact"/>
        <w:rPr>
          <w:rFonts w:ascii="仿宋_GB2312" w:eastAsia="仿宋_GB2312"/>
          <w:b/>
          <w:color w:val="000000"/>
          <w:spacing w:val="6"/>
          <w:sz w:val="30"/>
          <w:szCs w:val="30"/>
          <w:highlight w:val="none"/>
        </w:rPr>
      </w:pPr>
    </w:p>
    <w:p w14:paraId="7272D56F">
      <w:pPr>
        <w:pStyle w:val="354"/>
        <w:spacing w:line="500" w:lineRule="exact"/>
        <w:ind w:firstLine="480"/>
        <w:rPr>
          <w:rFonts w:ascii="Times New Roman" w:hAnsi="Times New Roman"/>
          <w:color w:val="000000"/>
          <w:sz w:val="24"/>
          <w:highlight w:val="none"/>
        </w:rPr>
      </w:pPr>
      <w:r>
        <w:rPr>
          <w:rFonts w:hint="eastAsia" w:ascii="Times New Roman" w:hAnsi="Times New Roman"/>
          <w:color w:val="000000"/>
          <w:sz w:val="24"/>
          <w:highlight w:val="none"/>
        </w:rPr>
        <w:t>本单位郑重声明，根据《财政部 民政部 中国残疾人联合会关于促进残疾人就业政府采购政策的通知》（财库〔</w:t>
      </w:r>
      <w:r>
        <w:rPr>
          <w:rFonts w:ascii="Times New Roman" w:hAnsi="Times New Roman"/>
          <w:color w:val="000000"/>
          <w:sz w:val="24"/>
          <w:highlight w:val="none"/>
        </w:rPr>
        <w:t>2017</w:t>
      </w:r>
      <w:r>
        <w:rPr>
          <w:rFonts w:hint="eastAsia" w:ascii="Times New Roman" w:hAnsi="Times New Roman"/>
          <w:color w:val="000000"/>
          <w:sz w:val="24"/>
          <w:highlight w:val="none"/>
        </w:rPr>
        <w:t>〕</w:t>
      </w:r>
      <w:r>
        <w:rPr>
          <w:rFonts w:ascii="Times New Roman" w:hAnsi="Times New Roman"/>
          <w:color w:val="000000"/>
          <w:sz w:val="24"/>
          <w:highlight w:val="none"/>
        </w:rPr>
        <w:t>141</w:t>
      </w:r>
      <w:r>
        <w:rPr>
          <w:rFonts w:hint="eastAsia" w:ascii="Times New Roman" w:hAnsi="Times New Roman"/>
          <w:color w:val="000000"/>
          <w:sz w:val="24"/>
          <w:highlight w:val="none"/>
        </w:rPr>
        <w:t>号）的规定，本单位为符合条件的残疾人福利性单位，且本单位参加</w:t>
      </w:r>
      <w:r>
        <w:rPr>
          <w:rFonts w:hint="eastAsia" w:ascii="Times New Roman" w:hAnsi="Times New Roman"/>
          <w:color w:val="000000"/>
          <w:sz w:val="24"/>
          <w:highlight w:val="none"/>
          <w:u w:val="single"/>
        </w:rPr>
        <w:t>（</w:t>
      </w:r>
      <w:r>
        <w:rPr>
          <w:rFonts w:hint="eastAsia" w:ascii="Times New Roman" w:hAnsi="Times New Roman"/>
          <w:color w:val="000000"/>
          <w:sz w:val="24"/>
          <w:szCs w:val="24"/>
          <w:highlight w:val="none"/>
          <w:u w:val="single"/>
        </w:rPr>
        <w:t>单位名称）</w:t>
      </w:r>
      <w:r>
        <w:rPr>
          <w:rFonts w:hint="eastAsia" w:ascii="Times New Roman" w:hAnsi="Times New Roman"/>
          <w:color w:val="000000"/>
          <w:sz w:val="24"/>
          <w:highlight w:val="none"/>
        </w:rPr>
        <w:t>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采购活动提供本单位制造的货物（由本单位承担工程/提供服务），或者提供其他残疾人福利性单位制造的货物（不包括使用非残疾人福利性单位注册商标的货物）。</w:t>
      </w:r>
    </w:p>
    <w:p w14:paraId="03AEEBE0">
      <w:pPr>
        <w:pStyle w:val="354"/>
        <w:spacing w:line="500" w:lineRule="exact"/>
        <w:ind w:firstLine="480"/>
        <w:rPr>
          <w:rFonts w:ascii="Times New Roman" w:hAnsi="Times New Roman"/>
          <w:color w:val="000000"/>
          <w:sz w:val="24"/>
          <w:highlight w:val="none"/>
        </w:rPr>
      </w:pPr>
      <w:r>
        <w:rPr>
          <w:rFonts w:hint="eastAsia" w:ascii="Times New Roman" w:hAnsi="Times New Roman"/>
          <w:color w:val="000000"/>
          <w:sz w:val="24"/>
          <w:highlight w:val="none"/>
        </w:rPr>
        <w:t>本单位对上述声明的真实性负责。如有虚假，将依法承担相应责任。</w:t>
      </w:r>
    </w:p>
    <w:p w14:paraId="4F1DC2A5">
      <w:pPr>
        <w:pStyle w:val="356"/>
        <w:spacing w:line="500" w:lineRule="exact"/>
        <w:ind w:firstLine="3810"/>
        <w:rPr>
          <w:color w:val="000000"/>
          <w:spacing w:val="6"/>
          <w:sz w:val="24"/>
          <w:szCs w:val="24"/>
          <w:highlight w:val="none"/>
        </w:rPr>
      </w:pPr>
    </w:p>
    <w:p w14:paraId="42CED705">
      <w:pPr>
        <w:pStyle w:val="356"/>
        <w:spacing w:line="500" w:lineRule="exact"/>
        <w:ind w:firstLine="3629"/>
        <w:jc w:val="left"/>
        <w:rPr>
          <w:color w:val="000000"/>
          <w:sz w:val="24"/>
          <w:highlight w:val="none"/>
        </w:rPr>
      </w:pPr>
    </w:p>
    <w:p w14:paraId="175E9B19">
      <w:pPr>
        <w:pStyle w:val="356"/>
        <w:spacing w:line="500" w:lineRule="exact"/>
        <w:ind w:firstLine="480"/>
        <w:jc w:val="left"/>
        <w:rPr>
          <w:color w:val="000000"/>
          <w:sz w:val="24"/>
          <w:highlight w:val="none"/>
        </w:rPr>
      </w:pPr>
      <w:r>
        <w:rPr>
          <w:rFonts w:hint="eastAsia"/>
          <w:color w:val="000000"/>
          <w:sz w:val="24"/>
          <w:highlight w:val="none"/>
        </w:rPr>
        <w:t>单位名称：</w:t>
      </w:r>
      <w:r>
        <w:rPr>
          <w:rFonts w:hint="eastAsia"/>
          <w:color w:val="000000"/>
          <w:sz w:val="24"/>
          <w:highlight w:val="none"/>
          <w:u w:val="single"/>
        </w:rPr>
        <w:t xml:space="preserve">              </w:t>
      </w:r>
      <w:r>
        <w:rPr>
          <w:rFonts w:hint="eastAsia"/>
          <w:color w:val="000000"/>
          <w:sz w:val="24"/>
          <w:highlight w:val="none"/>
        </w:rPr>
        <w:t>（</w:t>
      </w:r>
      <w:r>
        <w:rPr>
          <w:rFonts w:hint="eastAsia"/>
          <w:color w:val="000000"/>
          <w:sz w:val="24"/>
          <w:szCs w:val="24"/>
          <w:highlight w:val="none"/>
        </w:rPr>
        <w:t>盖CA电子公章</w:t>
      </w:r>
      <w:r>
        <w:rPr>
          <w:rFonts w:hint="eastAsia"/>
          <w:color w:val="000000"/>
          <w:sz w:val="24"/>
          <w:highlight w:val="none"/>
        </w:rPr>
        <w:t>）</w:t>
      </w:r>
    </w:p>
    <w:p w14:paraId="01662756">
      <w:pPr>
        <w:pStyle w:val="353"/>
        <w:spacing w:line="500" w:lineRule="exact"/>
        <w:ind w:firstLine="480"/>
        <w:jc w:val="left"/>
        <w:rPr>
          <w:rFonts w:ascii="Times New Roman" w:hAnsi="Times New Roman"/>
          <w:color w:val="000000"/>
          <w:sz w:val="24"/>
          <w:szCs w:val="20"/>
          <w:highlight w:val="none"/>
        </w:rPr>
      </w:pPr>
      <w:r>
        <w:rPr>
          <w:rFonts w:hint="eastAsia" w:ascii="Times New Roman" w:hAnsi="Times New Roman"/>
          <w:color w:val="000000"/>
          <w:sz w:val="24"/>
          <w:szCs w:val="20"/>
          <w:highlight w:val="none"/>
        </w:rPr>
        <w:t>日期：  年  月  日</w:t>
      </w:r>
    </w:p>
    <w:p w14:paraId="6DBD26E9">
      <w:pPr>
        <w:pStyle w:val="355"/>
        <w:tabs>
          <w:tab w:val="left" w:pos="4860"/>
        </w:tabs>
        <w:spacing w:line="588" w:lineRule="exact"/>
        <w:ind w:right="1560" w:firstLine="480"/>
        <w:jc w:val="center"/>
        <w:rPr>
          <w:rFonts w:ascii="Times New Roman" w:hAnsi="Times New Roman" w:cs="Arial"/>
          <w:color w:val="000000"/>
          <w:sz w:val="24"/>
          <w:szCs w:val="24"/>
          <w:highlight w:val="none"/>
        </w:rPr>
      </w:pPr>
    </w:p>
    <w:p w14:paraId="3E905128">
      <w:pPr>
        <w:pStyle w:val="357"/>
        <w:spacing w:line="500" w:lineRule="exact"/>
        <w:ind w:left="357" w:firstLine="0"/>
        <w:rPr>
          <w:rFonts w:ascii="Times New Roman" w:hAnsi="Times New Roman" w:cs="Arial"/>
          <w:color w:val="000000"/>
          <w:sz w:val="24"/>
          <w:szCs w:val="24"/>
          <w:highlight w:val="none"/>
        </w:rPr>
      </w:pPr>
    </w:p>
    <w:p w14:paraId="2835F28F">
      <w:pPr>
        <w:pStyle w:val="354"/>
        <w:spacing w:line="480" w:lineRule="exact"/>
        <w:ind w:firstLine="442"/>
        <w:rPr>
          <w:rFonts w:ascii="Times New Roman" w:hAnsi="Times New Roman"/>
          <w:color w:val="000000"/>
          <w:sz w:val="24"/>
          <w:szCs w:val="24"/>
          <w:highlight w:val="none"/>
        </w:rPr>
      </w:pPr>
      <w:r>
        <w:rPr>
          <w:rFonts w:hint="eastAsia" w:ascii="Times New Roman" w:hAnsi="Times New Roman"/>
          <w:color w:val="000000"/>
          <w:sz w:val="24"/>
          <w:szCs w:val="24"/>
          <w:highlight w:val="none"/>
        </w:rPr>
        <w:t>备注：1.非残疾人福利性单位不需提供此函。</w:t>
      </w:r>
    </w:p>
    <w:p w14:paraId="45B8C794">
      <w:pPr>
        <w:spacing w:line="400" w:lineRule="exact"/>
        <w:ind w:firstLine="480"/>
        <w:jc w:val="left"/>
        <w:rPr>
          <w:rFonts w:ascii="Times New Roman" w:hAnsi="Times New Roman" w:eastAsia="宋体"/>
          <w:color w:val="FF0000"/>
          <w:sz w:val="24"/>
          <w:szCs w:val="24"/>
          <w:highlight w:val="yellow"/>
          <w:lang w:val="en-US" w:eastAsia="zh-CN"/>
        </w:rPr>
      </w:pPr>
    </w:p>
    <w:p w14:paraId="7993F6A6">
      <w:pPr>
        <w:pStyle w:val="354"/>
        <w:spacing w:line="480" w:lineRule="exact"/>
        <w:ind w:firstLine="442"/>
        <w:rPr>
          <w:rFonts w:hint="eastAsia" w:ascii="Times New Roman" w:hAnsi="Times New Roman"/>
          <w:color w:val="000000"/>
          <w:sz w:val="24"/>
          <w:szCs w:val="24"/>
          <w:highlight w:val="none"/>
        </w:rPr>
      </w:pPr>
    </w:p>
    <w:p w14:paraId="3DEB106A">
      <w:pPr>
        <w:pStyle w:val="354"/>
        <w:spacing w:line="480" w:lineRule="exact"/>
        <w:ind w:firstLine="442"/>
        <w:rPr>
          <w:rFonts w:ascii="Times New Roman" w:hAnsi="Times New Roman"/>
          <w:color w:val="000000"/>
          <w:sz w:val="24"/>
          <w:szCs w:val="24"/>
          <w:highlight w:val="none"/>
        </w:rPr>
      </w:pPr>
    </w:p>
    <w:p w14:paraId="224D3913">
      <w:pPr>
        <w:pStyle w:val="354"/>
        <w:spacing w:line="480" w:lineRule="exact"/>
        <w:ind w:firstLine="442"/>
        <w:rPr>
          <w:rFonts w:ascii="Times New Roman" w:hAnsi="Times New Roman"/>
          <w:color w:val="000000"/>
          <w:sz w:val="24"/>
          <w:szCs w:val="24"/>
          <w:highlight w:val="none"/>
        </w:rPr>
      </w:pPr>
    </w:p>
    <w:p w14:paraId="02178E3B">
      <w:pPr>
        <w:pStyle w:val="354"/>
        <w:spacing w:line="480" w:lineRule="exact"/>
        <w:ind w:firstLine="442"/>
        <w:rPr>
          <w:rFonts w:ascii="Times New Roman" w:hAnsi="Times New Roman"/>
          <w:color w:val="000000"/>
          <w:sz w:val="24"/>
          <w:szCs w:val="24"/>
          <w:highlight w:val="none"/>
        </w:rPr>
      </w:pPr>
    </w:p>
    <w:p w14:paraId="08F5FA01">
      <w:pPr>
        <w:pStyle w:val="354"/>
        <w:spacing w:line="480" w:lineRule="exact"/>
        <w:ind w:firstLine="442"/>
        <w:rPr>
          <w:rFonts w:ascii="Times New Roman" w:hAnsi="Times New Roman"/>
          <w:color w:val="000000"/>
          <w:sz w:val="24"/>
          <w:szCs w:val="24"/>
          <w:highlight w:val="none"/>
        </w:rPr>
      </w:pPr>
    </w:p>
    <w:p w14:paraId="561571AC">
      <w:pPr>
        <w:pStyle w:val="354"/>
        <w:spacing w:line="480" w:lineRule="exact"/>
        <w:rPr>
          <w:rFonts w:hint="eastAsia" w:ascii="Times New Roman" w:hAnsi="Times New Roman"/>
          <w:color w:val="000000"/>
          <w:sz w:val="24"/>
          <w:szCs w:val="24"/>
          <w:highlight w:val="none"/>
        </w:rPr>
      </w:pPr>
    </w:p>
    <w:p w14:paraId="7E0C8841">
      <w:pPr>
        <w:pStyle w:val="354"/>
        <w:spacing w:line="480" w:lineRule="exact"/>
        <w:ind w:firstLine="442"/>
        <w:rPr>
          <w:rFonts w:ascii="Times New Roman" w:hAnsi="Times New Roman"/>
          <w:color w:val="000000"/>
          <w:sz w:val="24"/>
          <w:szCs w:val="24"/>
          <w:highlight w:val="none"/>
        </w:rPr>
      </w:pPr>
    </w:p>
    <w:p w14:paraId="5B2902EB">
      <w:pPr>
        <w:pStyle w:val="354"/>
        <w:spacing w:line="480" w:lineRule="exact"/>
        <w:ind w:firstLine="442"/>
        <w:rPr>
          <w:rFonts w:ascii="Times New Roman" w:hAnsi="Times New Roman"/>
          <w:color w:val="000000"/>
          <w:sz w:val="24"/>
          <w:szCs w:val="24"/>
          <w:highlight w:val="none"/>
        </w:rPr>
      </w:pPr>
    </w:p>
    <w:p w14:paraId="31AAF342">
      <w:pPr>
        <w:pStyle w:val="354"/>
        <w:spacing w:line="480" w:lineRule="exact"/>
        <w:ind w:firstLine="442"/>
        <w:rPr>
          <w:rFonts w:ascii="Times New Roman" w:hAnsi="Times New Roman"/>
          <w:color w:val="000000"/>
          <w:sz w:val="24"/>
          <w:szCs w:val="24"/>
          <w:highlight w:val="none"/>
        </w:rPr>
      </w:pPr>
    </w:p>
    <w:p w14:paraId="274768AC">
      <w:pPr>
        <w:pStyle w:val="44"/>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七、技术响应偏离表</w:t>
      </w:r>
    </w:p>
    <w:tbl>
      <w:tblPr>
        <w:tblStyle w:val="33"/>
        <w:tblW w:w="0" w:type="auto"/>
        <w:tblInd w:w="-225" w:type="dxa"/>
        <w:tblLayout w:type="autofit"/>
        <w:tblCellMar>
          <w:top w:w="0" w:type="dxa"/>
          <w:left w:w="108" w:type="dxa"/>
          <w:bottom w:w="0" w:type="dxa"/>
          <w:right w:w="108" w:type="dxa"/>
        </w:tblCellMar>
      </w:tblPr>
      <w:tblGrid>
        <w:gridCol w:w="2791"/>
        <w:gridCol w:w="2386"/>
        <w:gridCol w:w="1994"/>
        <w:gridCol w:w="2223"/>
      </w:tblGrid>
      <w:tr w14:paraId="1836AA21">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0"/>
            <w:vAlign w:val="center"/>
          </w:tcPr>
          <w:p w14:paraId="3D17614C">
            <w:pPr>
              <w:spacing w:before="100" w:line="559" w:lineRule="atLeast"/>
              <w:jc w:val="center"/>
              <w:rPr>
                <w:rFonts w:ascii="宋体" w:hAnsi="宋体" w:cs="仿宋"/>
                <w:color w:val="000000"/>
                <w:highlight w:val="none"/>
              </w:rPr>
            </w:pPr>
            <w:r>
              <w:rPr>
                <w:rFonts w:hint="eastAsia" w:ascii="宋体" w:hAnsi="宋体" w:cs="仿宋"/>
                <w:color w:val="000000"/>
                <w:sz w:val="28"/>
                <w:highlight w:val="none"/>
              </w:rPr>
              <w:t>招标文件内容</w:t>
            </w:r>
          </w:p>
        </w:tc>
        <w:tc>
          <w:tcPr>
            <w:tcW w:w="2386" w:type="dxa"/>
            <w:tcBorders>
              <w:top w:val="single" w:color="000000" w:sz="8" w:space="0"/>
              <w:left w:val="nil"/>
              <w:bottom w:val="single" w:color="000000" w:sz="8" w:space="0"/>
              <w:right w:val="single" w:color="000000" w:sz="8" w:space="0"/>
            </w:tcBorders>
            <w:noWrap w:val="0"/>
            <w:vAlign w:val="center"/>
          </w:tcPr>
          <w:p w14:paraId="09EF79A6">
            <w:pPr>
              <w:spacing w:before="100" w:line="559" w:lineRule="atLeast"/>
              <w:jc w:val="center"/>
              <w:rPr>
                <w:rFonts w:ascii="宋体" w:hAnsi="宋体" w:cs="仿宋"/>
                <w:color w:val="000000"/>
                <w:highlight w:val="none"/>
              </w:rPr>
            </w:pPr>
            <w:r>
              <w:rPr>
                <w:rFonts w:hint="eastAsia" w:ascii="宋体" w:hAnsi="宋体" w:cs="仿宋"/>
                <w:color w:val="000000"/>
                <w:sz w:val="28"/>
                <w:highlight w:val="none"/>
              </w:rPr>
              <w:t>投标文件内容</w:t>
            </w:r>
          </w:p>
        </w:tc>
        <w:tc>
          <w:tcPr>
            <w:tcW w:w="1994" w:type="dxa"/>
            <w:tcBorders>
              <w:top w:val="single" w:color="000000" w:sz="8" w:space="0"/>
              <w:left w:val="nil"/>
              <w:bottom w:val="single" w:color="000000" w:sz="8" w:space="0"/>
              <w:right w:val="single" w:color="000000" w:sz="8" w:space="0"/>
            </w:tcBorders>
            <w:noWrap w:val="0"/>
            <w:vAlign w:val="center"/>
          </w:tcPr>
          <w:p w14:paraId="38954D6D">
            <w:pPr>
              <w:spacing w:before="100" w:line="400" w:lineRule="exact"/>
              <w:jc w:val="center"/>
              <w:rPr>
                <w:rFonts w:ascii="宋体" w:hAnsi="宋体" w:cs="仿宋"/>
                <w:color w:val="000000"/>
                <w:sz w:val="28"/>
                <w:highlight w:val="none"/>
              </w:rPr>
            </w:pPr>
            <w:r>
              <w:rPr>
                <w:rFonts w:hint="eastAsia" w:ascii="宋体" w:hAnsi="宋体" w:cs="仿宋"/>
                <w:color w:val="000000"/>
                <w:sz w:val="28"/>
                <w:highlight w:val="none"/>
              </w:rPr>
              <w:t>偏离情况</w:t>
            </w:r>
          </w:p>
          <w:p w14:paraId="16CC1FBF">
            <w:pPr>
              <w:spacing w:before="100" w:line="400" w:lineRule="exact"/>
              <w:jc w:val="center"/>
              <w:rPr>
                <w:rFonts w:hint="eastAsia" w:ascii="宋体" w:hAnsi="宋体" w:cs="仿宋"/>
                <w:color w:val="000000"/>
                <w:sz w:val="28"/>
                <w:highlight w:val="none"/>
              </w:rPr>
            </w:pPr>
            <w:r>
              <w:rPr>
                <w:rFonts w:hint="eastAsia" w:ascii="宋体" w:hAnsi="宋体" w:cs="仿宋"/>
                <w:color w:val="000000"/>
                <w:sz w:val="28"/>
                <w:highlight w:val="none"/>
              </w:rPr>
              <w:t>（</w:t>
            </w:r>
            <w:r>
              <w:rPr>
                <w:rFonts w:ascii="宋体" w:hAnsi="宋体" w:cs="仿宋"/>
                <w:b/>
                <w:color w:val="000000"/>
                <w:sz w:val="24"/>
                <w:highlight w:val="none"/>
              </w:rPr>
              <w:t>正偏离、负偏离、无偏离</w:t>
            </w:r>
            <w:r>
              <w:rPr>
                <w:rFonts w:hint="eastAsia" w:ascii="宋体" w:hAnsi="宋体" w:cs="仿宋"/>
                <w:color w:val="000000"/>
                <w:sz w:val="28"/>
                <w:highlight w:val="none"/>
              </w:rPr>
              <w:t>）</w:t>
            </w:r>
          </w:p>
        </w:tc>
        <w:tc>
          <w:tcPr>
            <w:tcW w:w="2223" w:type="dxa"/>
            <w:tcBorders>
              <w:top w:val="single" w:color="000000" w:sz="8" w:space="0"/>
              <w:left w:val="nil"/>
              <w:bottom w:val="single" w:color="000000" w:sz="8" w:space="0"/>
              <w:right w:val="single" w:color="000000" w:sz="8" w:space="0"/>
            </w:tcBorders>
            <w:noWrap w:val="0"/>
            <w:vAlign w:val="center"/>
          </w:tcPr>
          <w:p w14:paraId="54FA47E8">
            <w:pPr>
              <w:spacing w:before="100" w:line="559" w:lineRule="atLeast"/>
              <w:jc w:val="center"/>
              <w:rPr>
                <w:rFonts w:hint="eastAsia" w:ascii="宋体" w:hAnsi="宋体" w:cs="仿宋"/>
                <w:color w:val="000000"/>
                <w:sz w:val="28"/>
                <w:szCs w:val="28"/>
                <w:highlight w:val="none"/>
              </w:rPr>
            </w:pPr>
            <w:r>
              <w:rPr>
                <w:rFonts w:hint="eastAsia" w:ascii="宋体" w:hAnsi="宋体" w:cs="仿宋"/>
                <w:color w:val="000000"/>
                <w:sz w:val="28"/>
                <w:highlight w:val="none"/>
              </w:rPr>
              <w:t>偏离内容及说明</w:t>
            </w:r>
          </w:p>
        </w:tc>
      </w:tr>
      <w:tr w14:paraId="55BD8A20">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E9F3DB2">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3D972A43">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6A298B4F">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50554672">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27245385">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89767A8">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6371FABF">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4B3AB268">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4680192C">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0BE60B2C">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3C447E3">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6FFD7D67">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4B96797A">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73DCFF77">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5BF15CAD">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C4393DC">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4467C5EB">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65E79CA5">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646EBB76">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2B41EAE2">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25F238F0">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5D43DBDF">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79B0CE89">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18075987">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232AB8BD">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F328213">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7B0B96F1">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025BB131">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1E30A716">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2C3D130A">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114AEEE3">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31C2DEF3">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37628F91">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447618B7">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2CFFF362">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51A77FA">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4B4E8319">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13AB13FD">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315168BD">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042ED67E">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B609633">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50F7C918">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7904464B">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4ABD404B">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2FF910FF">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2812242F">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069F1587">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44437A67">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0D3C8947">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bl>
    <w:p w14:paraId="04F21A78">
      <w:pPr>
        <w:spacing w:line="559" w:lineRule="atLeast"/>
        <w:jc w:val="right"/>
        <w:rPr>
          <w:rFonts w:ascii="宋体" w:hAnsi="宋体" w:cs="仿宋"/>
          <w:color w:val="000000"/>
          <w:highlight w:val="none"/>
        </w:rPr>
      </w:pPr>
      <w:r>
        <w:rPr>
          <w:rFonts w:hint="eastAsia" w:ascii="宋体" w:hAnsi="宋体" w:cs="仿宋"/>
          <w:color w:val="000000"/>
          <w:sz w:val="24"/>
          <w:highlight w:val="none"/>
        </w:rPr>
        <w:t>单位名称：</w:t>
      </w:r>
      <w:r>
        <w:rPr>
          <w:rFonts w:hint="eastAsia" w:ascii="宋体" w:hAnsi="宋体" w:cs="仿宋"/>
          <w:color w:val="000000"/>
          <w:sz w:val="24"/>
          <w:highlight w:val="none"/>
          <w:u w:val="single"/>
        </w:rPr>
        <w:t>             </w:t>
      </w:r>
      <w:r>
        <w:rPr>
          <w:rFonts w:hint="eastAsia" w:ascii="宋体" w:hAnsi="宋体" w:cs="仿宋"/>
          <w:color w:val="000000"/>
          <w:sz w:val="24"/>
          <w:highlight w:val="none"/>
        </w:rPr>
        <w:t>（</w:t>
      </w:r>
      <w:r>
        <w:rPr>
          <w:rFonts w:ascii="宋体" w:hAnsi="宋体" w:cs="仿宋"/>
          <w:color w:val="000000"/>
          <w:sz w:val="24"/>
          <w:highlight w:val="none"/>
        </w:rPr>
        <w:t>盖</w:t>
      </w:r>
      <w:r>
        <w:rPr>
          <w:rFonts w:hint="eastAsia" w:ascii="宋体" w:hAnsi="宋体" w:cs="仿宋"/>
          <w:color w:val="000000"/>
          <w:sz w:val="24"/>
          <w:highlight w:val="none"/>
        </w:rPr>
        <w:t>CA</w:t>
      </w:r>
      <w:r>
        <w:rPr>
          <w:rFonts w:ascii="宋体" w:hAnsi="宋体" w:cs="仿宋"/>
          <w:color w:val="000000"/>
          <w:sz w:val="24"/>
          <w:highlight w:val="none"/>
        </w:rPr>
        <w:t>电子公章）</w:t>
      </w:r>
    </w:p>
    <w:p w14:paraId="4BB0B32A">
      <w:pPr>
        <w:pStyle w:val="117"/>
        <w:widowControl w:val="0"/>
        <w:spacing w:before="0" w:beforeAutospacing="0" w:after="0" w:afterAutospacing="0" w:line="400" w:lineRule="exact"/>
        <w:ind w:firstLine="482"/>
        <w:jc w:val="both"/>
        <w:rPr>
          <w:rFonts w:cs="仿宋"/>
          <w:b/>
          <w:bCs/>
          <w:color w:val="000000"/>
          <w:szCs w:val="28"/>
          <w:highlight w:val="none"/>
        </w:rPr>
      </w:pPr>
    </w:p>
    <w:p w14:paraId="029E6CD7">
      <w:pPr>
        <w:pStyle w:val="117"/>
        <w:widowControl w:val="0"/>
        <w:spacing w:before="0" w:beforeAutospacing="0" w:after="0" w:afterAutospacing="0" w:line="400" w:lineRule="exact"/>
        <w:ind w:firstLine="482"/>
        <w:jc w:val="both"/>
        <w:rPr>
          <w:rFonts w:ascii="Times New Roman" w:hAnsi="Times New Roman"/>
          <w:b/>
          <w:bCs/>
          <w:color w:val="000000"/>
          <w:szCs w:val="20"/>
          <w:highlight w:val="none"/>
        </w:rPr>
      </w:pPr>
      <w:r>
        <w:rPr>
          <w:rFonts w:hint="eastAsia" w:ascii="Times New Roman" w:hAnsi="Times New Roman" w:cs="仿宋"/>
          <w:b/>
          <w:bCs/>
          <w:color w:val="000000"/>
          <w:szCs w:val="28"/>
          <w:highlight w:val="none"/>
        </w:rPr>
        <w:t>备注：</w:t>
      </w:r>
      <w:r>
        <w:rPr>
          <w:rFonts w:hint="eastAsia" w:ascii="Times New Roman" w:hAnsi="Times New Roman" w:cs="仿宋"/>
          <w:color w:val="000000"/>
          <w:szCs w:val="28"/>
          <w:highlight w:val="none"/>
        </w:rPr>
        <w:t>1</w:t>
      </w:r>
      <w:bookmarkStart w:id="171" w:name="_Hlk187934629"/>
      <w:r>
        <w:rPr>
          <w:rFonts w:hint="eastAsia" w:ascii="Times New Roman" w:hAnsi="Times New Roman" w:cs="仿宋"/>
          <w:color w:val="000000"/>
          <w:szCs w:val="28"/>
          <w:highlight w:val="none"/>
        </w:rPr>
        <w:t>.</w:t>
      </w:r>
      <w:r>
        <w:rPr>
          <w:rFonts w:hint="eastAsia" w:ascii="Times New Roman" w:hAnsi="Times New Roman"/>
          <w:color w:val="000000"/>
          <w:szCs w:val="20"/>
          <w:highlight w:val="none"/>
        </w:rPr>
        <w:t>针对采购需求中的实质性要求，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作无效响应处理。</w:t>
      </w:r>
    </w:p>
    <w:p w14:paraId="719D4C1D">
      <w:pPr>
        <w:pStyle w:val="117"/>
        <w:widowControl w:val="0"/>
        <w:spacing w:before="0" w:beforeAutospacing="0" w:after="0" w:afterAutospacing="0" w:line="400" w:lineRule="exact"/>
        <w:ind w:firstLine="480"/>
        <w:jc w:val="both"/>
        <w:rPr>
          <w:rFonts w:ascii="Times New Roman" w:hAnsi="Times New Roman"/>
          <w:color w:val="000000"/>
          <w:szCs w:val="20"/>
          <w:highlight w:val="none"/>
        </w:rPr>
      </w:pPr>
      <w:r>
        <w:rPr>
          <w:rFonts w:hint="eastAsia" w:ascii="Times New Roman" w:hAnsi="Times New Roman" w:cs="仿宋"/>
          <w:color w:val="000000"/>
          <w:szCs w:val="28"/>
          <w:highlight w:val="none"/>
        </w:rPr>
        <w:t>2.对采购需求的其它非实质性要求，投标人按所投产品情况</w:t>
      </w:r>
      <w:r>
        <w:rPr>
          <w:rFonts w:ascii="Times New Roman" w:hAnsi="Times New Roman" w:cs="仿宋"/>
          <w:color w:val="000000"/>
          <w:szCs w:val="28"/>
          <w:highlight w:val="none"/>
        </w:rPr>
        <w:t>在此表中详细列出偏离情况（包括正偏离、负偏离、无偏离）并说明理由</w:t>
      </w:r>
      <w:r>
        <w:rPr>
          <w:rFonts w:hint="eastAsia" w:ascii="Times New Roman" w:hAnsi="Times New Roman" w:cs="仿宋"/>
          <w:color w:val="000000"/>
          <w:szCs w:val="28"/>
          <w:highlight w:val="none"/>
        </w:rPr>
        <w:t>；未列明的均视为未响应招标文件要求</w:t>
      </w:r>
      <w:r>
        <w:rPr>
          <w:rFonts w:ascii="Times New Roman" w:hAnsi="Times New Roman" w:cs="仿宋"/>
          <w:color w:val="000000"/>
          <w:szCs w:val="28"/>
          <w:highlight w:val="none"/>
        </w:rPr>
        <w:t>。</w:t>
      </w:r>
    </w:p>
    <w:bookmarkEnd w:id="171"/>
    <w:p w14:paraId="7C57935A">
      <w:pPr>
        <w:pBdr>
          <w:top w:val="none" w:color="000000" w:sz="0" w:space="0"/>
          <w:left w:val="none" w:color="000000" w:sz="0" w:space="0"/>
          <w:bottom w:val="none" w:color="000000" w:sz="0" w:space="0"/>
          <w:right w:val="none" w:color="000000" w:sz="0" w:space="0"/>
        </w:pBdr>
        <w:spacing w:line="400" w:lineRule="exact"/>
        <w:rPr>
          <w:rFonts w:hint="eastAsia" w:ascii="Times New Roman" w:hAnsi="Times New Roman"/>
          <w:color w:val="000000"/>
          <w:sz w:val="24"/>
          <w:szCs w:val="21"/>
          <w:highlight w:val="none"/>
        </w:rPr>
      </w:pPr>
    </w:p>
    <w:p w14:paraId="603169EC">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黑体" w:hAnsi="宋体" w:eastAsia="黑体" w:cs="黑体"/>
          <w:b/>
          <w:bCs/>
          <w:color w:val="000000"/>
          <w:sz w:val="32"/>
          <w:szCs w:val="32"/>
        </w:rPr>
      </w:pPr>
      <w:bookmarkStart w:id="172" w:name="_Toc25337"/>
      <w:bookmarkStart w:id="173" w:name="_Toc15871"/>
    </w:p>
    <w:p w14:paraId="6D85498F">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黑体" w:hAnsi="宋体" w:eastAsia="黑体" w:cs="黑体"/>
          <w:b/>
          <w:bCs/>
          <w:color w:val="000000"/>
          <w:sz w:val="32"/>
          <w:szCs w:val="32"/>
        </w:rPr>
      </w:pPr>
    </w:p>
    <w:p w14:paraId="4CF95FF7">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pPr>
      <w:r>
        <w:rPr>
          <w:rFonts w:hint="eastAsia" w:ascii="宋体" w:hAnsi="宋体" w:eastAsia="宋体" w:cs="宋体"/>
          <w:b/>
          <w:bCs/>
          <w:color w:val="000000"/>
          <w:sz w:val="32"/>
          <w:szCs w:val="32"/>
          <w:highlight w:val="none"/>
          <w:lang w:val="en-US" w:eastAsia="zh-CN" w:bidi="ar-SA"/>
        </w:rPr>
        <w:t>八、商务响应偏离表</w:t>
      </w:r>
    </w:p>
    <w:p w14:paraId="2369F2D4">
      <w:pPr>
        <w:rPr>
          <w:rFonts w:hint="eastAsia"/>
        </w:rPr>
      </w:pPr>
    </w:p>
    <w:p w14:paraId="2FE66958">
      <w:pPr>
        <w:rPr>
          <w:rFonts w:hint="eastAsia"/>
        </w:rPr>
      </w:pPr>
    </w:p>
    <w:tbl>
      <w:tblPr>
        <w:tblStyle w:val="33"/>
        <w:tblW w:w="0" w:type="auto"/>
        <w:tblInd w:w="-225" w:type="dxa"/>
        <w:tblLayout w:type="autofit"/>
        <w:tblCellMar>
          <w:top w:w="0" w:type="dxa"/>
          <w:left w:w="108" w:type="dxa"/>
          <w:bottom w:w="0" w:type="dxa"/>
          <w:right w:w="108" w:type="dxa"/>
        </w:tblCellMar>
      </w:tblPr>
      <w:tblGrid>
        <w:gridCol w:w="2791"/>
        <w:gridCol w:w="2386"/>
        <w:gridCol w:w="1994"/>
        <w:gridCol w:w="2223"/>
      </w:tblGrid>
      <w:tr w14:paraId="041F4D5B">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0"/>
            <w:vAlign w:val="center"/>
          </w:tcPr>
          <w:p w14:paraId="58C5AA83">
            <w:pPr>
              <w:spacing w:before="100" w:line="559" w:lineRule="atLeast"/>
              <w:jc w:val="center"/>
              <w:rPr>
                <w:rFonts w:ascii="宋体" w:hAnsi="宋体" w:cs="仿宋"/>
                <w:color w:val="000000"/>
                <w:highlight w:val="none"/>
              </w:rPr>
            </w:pPr>
            <w:r>
              <w:rPr>
                <w:rFonts w:hint="eastAsia" w:ascii="宋体" w:hAnsi="宋体" w:cs="仿宋"/>
                <w:color w:val="000000"/>
                <w:sz w:val="28"/>
                <w:highlight w:val="none"/>
              </w:rPr>
              <w:t>招标文件内容</w:t>
            </w:r>
          </w:p>
        </w:tc>
        <w:tc>
          <w:tcPr>
            <w:tcW w:w="2386" w:type="dxa"/>
            <w:tcBorders>
              <w:top w:val="single" w:color="000000" w:sz="8" w:space="0"/>
              <w:left w:val="nil"/>
              <w:bottom w:val="single" w:color="000000" w:sz="8" w:space="0"/>
              <w:right w:val="single" w:color="000000" w:sz="8" w:space="0"/>
            </w:tcBorders>
            <w:noWrap w:val="0"/>
            <w:vAlign w:val="center"/>
          </w:tcPr>
          <w:p w14:paraId="47734B94">
            <w:pPr>
              <w:spacing w:before="100" w:line="559" w:lineRule="atLeast"/>
              <w:jc w:val="center"/>
              <w:rPr>
                <w:rFonts w:ascii="宋体" w:hAnsi="宋体" w:cs="仿宋"/>
                <w:color w:val="000000"/>
                <w:highlight w:val="none"/>
              </w:rPr>
            </w:pPr>
            <w:r>
              <w:rPr>
                <w:rFonts w:hint="eastAsia" w:ascii="宋体" w:hAnsi="宋体" w:cs="仿宋"/>
                <w:color w:val="000000"/>
                <w:sz w:val="28"/>
                <w:highlight w:val="none"/>
              </w:rPr>
              <w:t>投标文件内容</w:t>
            </w:r>
          </w:p>
        </w:tc>
        <w:tc>
          <w:tcPr>
            <w:tcW w:w="1994" w:type="dxa"/>
            <w:tcBorders>
              <w:top w:val="single" w:color="000000" w:sz="8" w:space="0"/>
              <w:left w:val="nil"/>
              <w:bottom w:val="single" w:color="000000" w:sz="8" w:space="0"/>
              <w:right w:val="single" w:color="000000" w:sz="8" w:space="0"/>
            </w:tcBorders>
            <w:noWrap w:val="0"/>
            <w:vAlign w:val="center"/>
          </w:tcPr>
          <w:p w14:paraId="4CCFCF62">
            <w:pPr>
              <w:spacing w:before="100" w:line="400" w:lineRule="exact"/>
              <w:jc w:val="center"/>
              <w:rPr>
                <w:rFonts w:ascii="宋体" w:hAnsi="宋体" w:cs="仿宋"/>
                <w:color w:val="000000"/>
                <w:sz w:val="28"/>
                <w:highlight w:val="none"/>
              </w:rPr>
            </w:pPr>
            <w:r>
              <w:rPr>
                <w:rFonts w:hint="eastAsia" w:ascii="宋体" w:hAnsi="宋体" w:cs="仿宋"/>
                <w:color w:val="000000"/>
                <w:sz w:val="28"/>
                <w:highlight w:val="none"/>
              </w:rPr>
              <w:t>偏离情况</w:t>
            </w:r>
          </w:p>
          <w:p w14:paraId="625E61E2">
            <w:pPr>
              <w:spacing w:before="100" w:line="400" w:lineRule="exact"/>
              <w:jc w:val="center"/>
              <w:rPr>
                <w:rFonts w:hint="eastAsia" w:ascii="宋体" w:hAnsi="宋体" w:cs="仿宋"/>
                <w:color w:val="000000"/>
                <w:sz w:val="28"/>
                <w:highlight w:val="none"/>
              </w:rPr>
            </w:pPr>
            <w:r>
              <w:rPr>
                <w:rFonts w:hint="eastAsia" w:ascii="宋体" w:hAnsi="宋体" w:cs="仿宋"/>
                <w:color w:val="000000"/>
                <w:sz w:val="28"/>
                <w:highlight w:val="none"/>
              </w:rPr>
              <w:t>（</w:t>
            </w:r>
            <w:r>
              <w:rPr>
                <w:rFonts w:ascii="宋体" w:hAnsi="宋体" w:cs="仿宋"/>
                <w:b/>
                <w:color w:val="000000"/>
                <w:sz w:val="24"/>
                <w:highlight w:val="none"/>
              </w:rPr>
              <w:t>正偏离、负偏离、无偏离</w:t>
            </w:r>
            <w:r>
              <w:rPr>
                <w:rFonts w:hint="eastAsia" w:ascii="宋体" w:hAnsi="宋体" w:cs="仿宋"/>
                <w:color w:val="000000"/>
                <w:sz w:val="28"/>
                <w:highlight w:val="none"/>
              </w:rPr>
              <w:t>）</w:t>
            </w:r>
          </w:p>
        </w:tc>
        <w:tc>
          <w:tcPr>
            <w:tcW w:w="2223" w:type="dxa"/>
            <w:tcBorders>
              <w:top w:val="single" w:color="000000" w:sz="8" w:space="0"/>
              <w:left w:val="nil"/>
              <w:bottom w:val="single" w:color="000000" w:sz="8" w:space="0"/>
              <w:right w:val="single" w:color="000000" w:sz="8" w:space="0"/>
            </w:tcBorders>
            <w:noWrap w:val="0"/>
            <w:vAlign w:val="center"/>
          </w:tcPr>
          <w:p w14:paraId="63F30A01">
            <w:pPr>
              <w:spacing w:before="100" w:line="559" w:lineRule="atLeast"/>
              <w:jc w:val="center"/>
              <w:rPr>
                <w:rFonts w:hint="eastAsia" w:ascii="宋体" w:hAnsi="宋体" w:cs="仿宋"/>
                <w:color w:val="000000"/>
                <w:sz w:val="28"/>
                <w:szCs w:val="28"/>
                <w:highlight w:val="none"/>
              </w:rPr>
            </w:pPr>
            <w:r>
              <w:rPr>
                <w:rFonts w:hint="eastAsia" w:ascii="宋体" w:hAnsi="宋体" w:cs="仿宋"/>
                <w:color w:val="000000"/>
                <w:sz w:val="28"/>
                <w:highlight w:val="none"/>
              </w:rPr>
              <w:t>偏离内容及说明</w:t>
            </w:r>
          </w:p>
        </w:tc>
      </w:tr>
      <w:tr w14:paraId="0D5965CA">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23CC7706">
            <w:pPr>
              <w:spacing w:before="100" w:line="559" w:lineRule="atLeast"/>
              <w:jc w:val="center"/>
              <w:rPr>
                <w:rFonts w:hint="eastAsia" w:ascii="宋体" w:hAnsi="宋体" w:cs="仿宋"/>
                <w:color w:val="000000"/>
                <w:sz w:val="28"/>
                <w:highlight w:val="none"/>
              </w:rPr>
            </w:pPr>
            <w:r>
              <w:rPr>
                <w:rFonts w:hint="eastAsia" w:ascii="宋体" w:hAnsi="宋体" w:cs="仿宋"/>
                <w:color w:val="000000"/>
                <w:sz w:val="28"/>
                <w:highlight w:val="none"/>
                <w:lang w:val="en-US" w:eastAsia="zh-CN"/>
              </w:rPr>
              <w:t>服务期限</w:t>
            </w:r>
          </w:p>
        </w:tc>
        <w:tc>
          <w:tcPr>
            <w:tcW w:w="2386" w:type="dxa"/>
            <w:tcBorders>
              <w:top w:val="nil"/>
              <w:left w:val="nil"/>
              <w:bottom w:val="single" w:color="000000" w:sz="8" w:space="0"/>
              <w:right w:val="single" w:color="000000" w:sz="8" w:space="0"/>
            </w:tcBorders>
            <w:noWrap w:val="0"/>
            <w:vAlign w:val="center"/>
          </w:tcPr>
          <w:p w14:paraId="359E996C">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6FCD4DE2">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33D308A5">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2208B07F">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D09FA06">
            <w:pPr>
              <w:spacing w:before="100" w:line="559" w:lineRule="atLeast"/>
              <w:jc w:val="center"/>
              <w:rPr>
                <w:rFonts w:hint="eastAsia" w:ascii="宋体" w:hAnsi="宋体" w:cs="仿宋"/>
                <w:color w:val="000000"/>
                <w:sz w:val="28"/>
                <w:highlight w:val="none"/>
                <w:lang w:val="en-US" w:eastAsia="zh-CN"/>
              </w:rPr>
            </w:pPr>
            <w:r>
              <w:rPr>
                <w:rFonts w:hint="eastAsia" w:ascii="宋体" w:hAnsi="宋体" w:cs="仿宋"/>
                <w:color w:val="000000"/>
                <w:sz w:val="28"/>
                <w:highlight w:val="none"/>
                <w:lang w:val="en-US" w:eastAsia="zh-CN"/>
              </w:rPr>
              <w:t>服务地点</w:t>
            </w:r>
          </w:p>
        </w:tc>
        <w:tc>
          <w:tcPr>
            <w:tcW w:w="2386" w:type="dxa"/>
            <w:tcBorders>
              <w:top w:val="nil"/>
              <w:left w:val="nil"/>
              <w:bottom w:val="single" w:color="000000" w:sz="8" w:space="0"/>
              <w:right w:val="single" w:color="000000" w:sz="8" w:space="0"/>
            </w:tcBorders>
            <w:noWrap w:val="0"/>
            <w:vAlign w:val="center"/>
          </w:tcPr>
          <w:p w14:paraId="49E11C24">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0941D9AE">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5A207A1A">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27B2B492">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6DE2767">
            <w:pPr>
              <w:spacing w:before="100" w:line="559" w:lineRule="atLeast"/>
              <w:jc w:val="center"/>
              <w:rPr>
                <w:rFonts w:hint="eastAsia" w:ascii="宋体" w:hAnsi="宋体" w:cs="仿宋"/>
                <w:color w:val="000000"/>
                <w:sz w:val="28"/>
                <w:highlight w:val="none"/>
                <w:lang w:val="en-US" w:eastAsia="zh-CN"/>
              </w:rPr>
            </w:pPr>
            <w:r>
              <w:rPr>
                <w:rFonts w:hint="eastAsia" w:ascii="宋体" w:hAnsi="宋体" w:cs="仿宋"/>
                <w:color w:val="000000"/>
                <w:sz w:val="28"/>
                <w:highlight w:val="none"/>
                <w:lang w:val="en-US" w:eastAsia="zh-CN"/>
              </w:rPr>
              <w:t>付款方式</w:t>
            </w:r>
          </w:p>
        </w:tc>
        <w:tc>
          <w:tcPr>
            <w:tcW w:w="2386" w:type="dxa"/>
            <w:tcBorders>
              <w:top w:val="nil"/>
              <w:left w:val="nil"/>
              <w:bottom w:val="single" w:color="000000" w:sz="8" w:space="0"/>
              <w:right w:val="single" w:color="000000" w:sz="8" w:space="0"/>
            </w:tcBorders>
            <w:noWrap w:val="0"/>
            <w:vAlign w:val="center"/>
          </w:tcPr>
          <w:p w14:paraId="722AA9FC">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5343CFC2">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7E24C28C">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602027B2">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27225903">
            <w:pPr>
              <w:spacing w:before="100" w:line="559" w:lineRule="atLeast"/>
              <w:jc w:val="center"/>
              <w:rPr>
                <w:rFonts w:ascii="仿宋" w:hAnsi="仿宋" w:eastAsia="仿宋" w:cs="仿宋"/>
                <w:color w:val="000000"/>
                <w:highlight w:val="none"/>
              </w:rPr>
            </w:pPr>
            <w:r>
              <w:rPr>
                <w:rFonts w:hint="eastAsia" w:ascii="宋体" w:hAnsi="宋体" w:cs="仿宋"/>
                <w:color w:val="000000"/>
                <w:sz w:val="28"/>
                <w:highlight w:val="none"/>
                <w:lang w:val="en-US" w:eastAsia="zh-CN"/>
              </w:rPr>
              <w:t>其他 </w:t>
            </w:r>
          </w:p>
        </w:tc>
        <w:tc>
          <w:tcPr>
            <w:tcW w:w="2386" w:type="dxa"/>
            <w:tcBorders>
              <w:top w:val="nil"/>
              <w:left w:val="nil"/>
              <w:bottom w:val="single" w:color="000000" w:sz="8" w:space="0"/>
              <w:right w:val="single" w:color="000000" w:sz="8" w:space="0"/>
            </w:tcBorders>
            <w:noWrap w:val="0"/>
            <w:vAlign w:val="center"/>
          </w:tcPr>
          <w:p w14:paraId="65C70E11">
            <w:pPr>
              <w:spacing w:line="559" w:lineRule="atLeast"/>
              <w:jc w:val="center"/>
              <w:rPr>
                <w:rFonts w:hint="default" w:ascii="仿宋" w:hAnsi="仿宋" w:eastAsia="仿宋" w:cs="仿宋"/>
                <w:color w:val="000000"/>
                <w:highlight w:val="none"/>
                <w:lang w:val="en-US"/>
              </w:rPr>
            </w:pPr>
            <w:r>
              <w:rPr>
                <w:rFonts w:hint="eastAsia" w:ascii="仿宋" w:hAnsi="仿宋" w:eastAsia="仿宋" w:cs="仿宋"/>
                <w:color w:val="000000"/>
                <w:sz w:val="24"/>
                <w:highlight w:val="none"/>
              </w:rPr>
              <w:t>  </w:t>
            </w:r>
            <w:r>
              <w:rPr>
                <w:rFonts w:hint="eastAsia" w:ascii="仿宋" w:hAnsi="仿宋" w:eastAsia="仿宋" w:cs="仿宋"/>
                <w:color w:val="000000"/>
                <w:sz w:val="24"/>
                <w:highlight w:val="none"/>
                <w:lang w:val="en-US" w:eastAsia="zh-CN"/>
              </w:rPr>
              <w:t>......</w:t>
            </w:r>
          </w:p>
        </w:tc>
        <w:tc>
          <w:tcPr>
            <w:tcW w:w="1994" w:type="dxa"/>
            <w:tcBorders>
              <w:top w:val="nil"/>
              <w:left w:val="nil"/>
              <w:bottom w:val="single" w:color="000000" w:sz="8" w:space="0"/>
              <w:right w:val="single" w:color="000000" w:sz="8" w:space="0"/>
            </w:tcBorders>
            <w:noWrap w:val="0"/>
            <w:vAlign w:val="center"/>
          </w:tcPr>
          <w:p w14:paraId="2B7C0CC7">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2DCEB70B">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44A77835">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200BDCC">
            <w:pPr>
              <w:spacing w:line="559" w:lineRule="atLeast"/>
              <w:jc w:val="center"/>
              <w:rPr>
                <w:rFonts w:ascii="仿宋" w:hAnsi="仿宋" w:eastAsia="仿宋" w:cs="仿宋"/>
                <w:color w:val="000000"/>
                <w:highlight w:val="none"/>
              </w:rPr>
            </w:pPr>
          </w:p>
        </w:tc>
        <w:tc>
          <w:tcPr>
            <w:tcW w:w="2386" w:type="dxa"/>
            <w:tcBorders>
              <w:top w:val="nil"/>
              <w:left w:val="nil"/>
              <w:bottom w:val="single" w:color="000000" w:sz="8" w:space="0"/>
              <w:right w:val="single" w:color="000000" w:sz="8" w:space="0"/>
            </w:tcBorders>
            <w:noWrap w:val="0"/>
            <w:vAlign w:val="center"/>
          </w:tcPr>
          <w:p w14:paraId="2D240959">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7B0B1634">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01E06A83">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23E114C0">
        <w:tblPrEx>
          <w:tblCellMar>
            <w:top w:w="0" w:type="dxa"/>
            <w:left w:w="108" w:type="dxa"/>
            <w:bottom w:w="0" w:type="dxa"/>
            <w:right w:w="108" w:type="dxa"/>
          </w:tblCellMar>
        </w:tblPrEx>
        <w:trPr>
          <w:trHeight w:val="650" w:hRule="atLeast"/>
        </w:trPr>
        <w:tc>
          <w:tcPr>
            <w:tcW w:w="2791" w:type="dxa"/>
            <w:tcBorders>
              <w:top w:val="nil"/>
              <w:left w:val="single" w:color="000000" w:sz="8" w:space="0"/>
              <w:bottom w:val="single" w:color="000000" w:sz="8" w:space="0"/>
              <w:right w:val="single" w:color="000000" w:sz="8" w:space="0"/>
            </w:tcBorders>
            <w:noWrap w:val="0"/>
            <w:vAlign w:val="center"/>
          </w:tcPr>
          <w:p w14:paraId="5BD2A591">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0CD54A8E">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0E2F6F12">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2EEC279A">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613303E1">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2F37958">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03B03BC4">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0D48573A">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4757AEAE">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5E9E16C5">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195194BF">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2FCC88EA">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39C600BF">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6D9CC690">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137E8022">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FD83AC5">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2631A5DD">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2A7A39F1">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264A57B5">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364DFC52">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E40A206">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559201EB">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5E5FC8DB">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7DC39D2D">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bl>
    <w:p w14:paraId="33506D55">
      <w:pPr>
        <w:rPr>
          <w:rFonts w:hint="eastAsia"/>
        </w:rPr>
      </w:pPr>
    </w:p>
    <w:p w14:paraId="091690D3">
      <w:pPr>
        <w:rPr>
          <w:rFonts w:hint="eastAsia"/>
        </w:rPr>
      </w:pPr>
    </w:p>
    <w:p w14:paraId="5D3B7218">
      <w:pPr>
        <w:rPr>
          <w:rFonts w:hint="eastAsia"/>
        </w:rPr>
      </w:pPr>
    </w:p>
    <w:p w14:paraId="08DBA3BA">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bCs/>
          <w:color w:val="000000"/>
          <w:sz w:val="32"/>
          <w:szCs w:val="32"/>
          <w:highlight w:val="none"/>
          <w:lang w:val="en-US" w:eastAsia="zh-CN" w:bidi="ar-SA"/>
        </w:rPr>
      </w:pPr>
    </w:p>
    <w:p w14:paraId="66BAC254">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bCs/>
          <w:color w:val="000000"/>
          <w:sz w:val="32"/>
          <w:szCs w:val="32"/>
          <w:highlight w:val="none"/>
          <w:lang w:val="en-US" w:eastAsia="zh-CN" w:bidi="ar-SA"/>
        </w:rPr>
      </w:pPr>
    </w:p>
    <w:p w14:paraId="1EB5608E">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bCs/>
          <w:color w:val="000000"/>
          <w:sz w:val="32"/>
          <w:szCs w:val="32"/>
          <w:highlight w:val="none"/>
          <w:lang w:val="en-US" w:eastAsia="zh-CN" w:bidi="ar-SA"/>
        </w:rPr>
      </w:pPr>
    </w:p>
    <w:p w14:paraId="75D00A1F">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bCs/>
          <w:color w:val="000000"/>
          <w:sz w:val="32"/>
          <w:szCs w:val="32"/>
          <w:highlight w:val="none"/>
          <w:lang w:val="en-US" w:eastAsia="zh-CN" w:bidi="ar-SA"/>
        </w:rPr>
      </w:pPr>
    </w:p>
    <w:p w14:paraId="1B5DE00C">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bCs/>
          <w:color w:val="000000"/>
          <w:sz w:val="32"/>
          <w:szCs w:val="32"/>
          <w:highlight w:val="none"/>
          <w:lang w:val="en-US" w:eastAsia="zh-CN" w:bidi="ar-SA"/>
        </w:rPr>
      </w:pPr>
    </w:p>
    <w:p w14:paraId="05F1AF55">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bCs/>
          <w:color w:val="000000"/>
          <w:sz w:val="32"/>
          <w:szCs w:val="32"/>
          <w:highlight w:val="none"/>
          <w:lang w:val="en-US" w:eastAsia="zh-CN" w:bidi="ar-SA"/>
        </w:rPr>
      </w:pPr>
    </w:p>
    <w:p w14:paraId="5DD658E7">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bCs/>
          <w:color w:val="000000"/>
          <w:sz w:val="32"/>
          <w:szCs w:val="32"/>
          <w:highlight w:val="none"/>
          <w:lang w:val="en-US" w:eastAsia="zh-CN" w:bidi="ar-SA"/>
        </w:rPr>
      </w:pPr>
    </w:p>
    <w:p w14:paraId="7FD1C1AA">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bCs/>
          <w:color w:val="000000"/>
          <w:sz w:val="32"/>
          <w:szCs w:val="32"/>
          <w:highlight w:val="none"/>
          <w:lang w:val="en-US" w:eastAsia="zh-CN" w:bidi="ar-SA"/>
        </w:rPr>
      </w:pPr>
    </w:p>
    <w:p w14:paraId="37B8F611">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bCs/>
          <w:color w:val="000000"/>
          <w:sz w:val="32"/>
          <w:szCs w:val="32"/>
          <w:highlight w:val="none"/>
          <w:lang w:val="en-US" w:eastAsia="zh-CN" w:bidi="ar-SA"/>
        </w:rPr>
      </w:pPr>
    </w:p>
    <w:p w14:paraId="02472D2A">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Cs/>
          <w:color w:val="000000"/>
          <w:highlight w:val="none"/>
        </w:rPr>
      </w:pPr>
      <w:r>
        <w:rPr>
          <w:rFonts w:hint="eastAsia" w:ascii="宋体" w:hAnsi="宋体" w:cs="宋体"/>
          <w:b/>
          <w:bCs/>
          <w:color w:val="000000"/>
          <w:sz w:val="32"/>
          <w:szCs w:val="32"/>
          <w:highlight w:val="none"/>
          <w:lang w:val="en-US" w:eastAsia="zh-CN" w:bidi="ar-SA"/>
        </w:rPr>
        <w:t>九</w:t>
      </w:r>
      <w:r>
        <w:rPr>
          <w:rFonts w:hint="eastAsia" w:ascii="宋体" w:hAnsi="宋体" w:eastAsia="宋体" w:cs="宋体"/>
          <w:b/>
          <w:bCs/>
          <w:color w:val="000000"/>
          <w:sz w:val="32"/>
          <w:szCs w:val="32"/>
          <w:highlight w:val="none"/>
          <w:lang w:val="en-US" w:eastAsia="zh-CN" w:bidi="ar-SA"/>
        </w:rPr>
        <w:t>、项目组人员</w:t>
      </w:r>
    </w:p>
    <w:tbl>
      <w:tblPr>
        <w:tblStyle w:val="33"/>
        <w:tblpPr w:leftFromText="180" w:rightFromText="180" w:vertAnchor="text" w:horzAnchor="margin" w:tblpXSpec="center" w:tblpY="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7D544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noWrap w:val="0"/>
            <w:vAlign w:val="center"/>
          </w:tcPr>
          <w:p w14:paraId="73A2B8C4">
            <w:pPr>
              <w:pStyle w:val="443"/>
              <w:widowControl/>
              <w:spacing w:beforeAutospacing="1" w:line="560" w:lineRule="exact"/>
              <w:jc w:val="center"/>
              <w:rPr>
                <w:rFonts w:hint="eastAsia" w:ascii="宋体" w:hAnsi="宋体" w:cs="仿宋"/>
                <w:color w:val="000000"/>
                <w:sz w:val="28"/>
                <w:szCs w:val="28"/>
                <w:highlight w:val="none"/>
              </w:rPr>
            </w:pPr>
            <w:r>
              <w:rPr>
                <w:rFonts w:hint="eastAsia" w:ascii="宋体" w:hAnsi="宋体" w:cs="仿宋"/>
                <w:color w:val="000000"/>
                <w:sz w:val="28"/>
                <w:szCs w:val="28"/>
                <w:highlight w:val="none"/>
              </w:rPr>
              <w:t>姓名</w:t>
            </w:r>
          </w:p>
        </w:tc>
        <w:tc>
          <w:tcPr>
            <w:tcW w:w="1843" w:type="dxa"/>
            <w:noWrap w:val="0"/>
            <w:vAlign w:val="center"/>
          </w:tcPr>
          <w:p w14:paraId="1AE9354C">
            <w:pPr>
              <w:pStyle w:val="443"/>
              <w:widowControl/>
              <w:spacing w:beforeAutospacing="1" w:line="560" w:lineRule="exact"/>
              <w:jc w:val="center"/>
              <w:rPr>
                <w:rFonts w:hint="eastAsia" w:ascii="宋体" w:hAnsi="宋体" w:cs="仿宋"/>
                <w:color w:val="000000"/>
                <w:sz w:val="28"/>
                <w:szCs w:val="28"/>
                <w:highlight w:val="none"/>
              </w:rPr>
            </w:pPr>
            <w:r>
              <w:rPr>
                <w:rFonts w:hint="eastAsia" w:ascii="宋体" w:hAnsi="宋体" w:cs="仿宋"/>
                <w:color w:val="000000"/>
                <w:sz w:val="28"/>
                <w:szCs w:val="28"/>
                <w:highlight w:val="none"/>
              </w:rPr>
              <w:t>职务</w:t>
            </w:r>
          </w:p>
        </w:tc>
        <w:tc>
          <w:tcPr>
            <w:tcW w:w="992" w:type="dxa"/>
            <w:noWrap w:val="0"/>
            <w:vAlign w:val="center"/>
          </w:tcPr>
          <w:p w14:paraId="0C353F54">
            <w:pPr>
              <w:pStyle w:val="443"/>
              <w:widowControl/>
              <w:spacing w:beforeAutospacing="1" w:line="560" w:lineRule="exact"/>
              <w:jc w:val="center"/>
              <w:rPr>
                <w:rFonts w:hint="eastAsia" w:ascii="宋体" w:hAnsi="宋体" w:cs="仿宋"/>
                <w:color w:val="000000"/>
                <w:sz w:val="28"/>
                <w:szCs w:val="28"/>
                <w:highlight w:val="none"/>
              </w:rPr>
            </w:pPr>
            <w:r>
              <w:rPr>
                <w:rFonts w:hint="eastAsia" w:ascii="宋体" w:hAnsi="宋体" w:cs="仿宋"/>
                <w:color w:val="000000"/>
                <w:sz w:val="28"/>
                <w:szCs w:val="28"/>
                <w:highlight w:val="none"/>
              </w:rPr>
              <w:t>学历</w:t>
            </w:r>
          </w:p>
        </w:tc>
        <w:tc>
          <w:tcPr>
            <w:tcW w:w="1984" w:type="dxa"/>
            <w:noWrap w:val="0"/>
            <w:vAlign w:val="center"/>
          </w:tcPr>
          <w:p w14:paraId="65891EFE">
            <w:pPr>
              <w:pStyle w:val="443"/>
              <w:widowControl/>
              <w:spacing w:beforeAutospacing="1" w:line="560" w:lineRule="exact"/>
              <w:ind w:firstLine="280"/>
              <w:rPr>
                <w:rFonts w:hint="eastAsia" w:ascii="宋体" w:hAnsi="宋体" w:cs="仿宋"/>
                <w:color w:val="000000"/>
                <w:sz w:val="28"/>
                <w:szCs w:val="28"/>
                <w:highlight w:val="none"/>
              </w:rPr>
            </w:pPr>
            <w:r>
              <w:rPr>
                <w:rFonts w:hint="eastAsia" w:ascii="宋体" w:hAnsi="宋体" w:cs="仿宋"/>
                <w:color w:val="000000"/>
                <w:sz w:val="28"/>
                <w:szCs w:val="28"/>
                <w:highlight w:val="none"/>
              </w:rPr>
              <w:t>身份证号</w:t>
            </w:r>
          </w:p>
        </w:tc>
        <w:tc>
          <w:tcPr>
            <w:tcW w:w="1702" w:type="dxa"/>
            <w:noWrap w:val="0"/>
            <w:vAlign w:val="center"/>
          </w:tcPr>
          <w:p w14:paraId="13A77138">
            <w:pPr>
              <w:pStyle w:val="443"/>
              <w:widowControl/>
              <w:spacing w:beforeAutospacing="1" w:line="560" w:lineRule="exact"/>
              <w:jc w:val="center"/>
              <w:rPr>
                <w:rFonts w:hint="eastAsia" w:ascii="宋体" w:hAnsi="宋体" w:cs="仿宋"/>
                <w:color w:val="000000"/>
                <w:sz w:val="28"/>
                <w:szCs w:val="28"/>
                <w:highlight w:val="none"/>
              </w:rPr>
            </w:pPr>
            <w:r>
              <w:rPr>
                <w:rFonts w:hint="eastAsia" w:ascii="宋体" w:hAnsi="宋体" w:cs="仿宋"/>
                <w:color w:val="000000"/>
                <w:sz w:val="28"/>
                <w:szCs w:val="28"/>
                <w:highlight w:val="none"/>
              </w:rPr>
              <w:t>相关证书</w:t>
            </w:r>
          </w:p>
        </w:tc>
        <w:tc>
          <w:tcPr>
            <w:tcW w:w="962" w:type="dxa"/>
            <w:noWrap w:val="0"/>
            <w:vAlign w:val="center"/>
          </w:tcPr>
          <w:p w14:paraId="2684E097">
            <w:pPr>
              <w:pStyle w:val="443"/>
              <w:widowControl/>
              <w:spacing w:beforeAutospacing="1" w:line="56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t>备注</w:t>
            </w:r>
          </w:p>
        </w:tc>
      </w:tr>
      <w:tr w14:paraId="0FA3E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1EF6D9EE">
            <w:pPr>
              <w:pStyle w:val="443"/>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04A61CE9">
            <w:pPr>
              <w:pStyle w:val="503"/>
              <w:jc w:val="center"/>
              <w:rPr>
                <w:rFonts w:hint="eastAsia" w:ascii="仿宋" w:hAnsi="仿宋" w:eastAsia="仿宋" w:cs="仿宋"/>
                <w:color w:val="000000"/>
                <w:sz w:val="20"/>
                <w:szCs w:val="20"/>
                <w:highlight w:val="none"/>
              </w:rPr>
            </w:pPr>
          </w:p>
        </w:tc>
        <w:tc>
          <w:tcPr>
            <w:tcW w:w="992" w:type="dxa"/>
            <w:noWrap w:val="0"/>
            <w:vAlign w:val="center"/>
          </w:tcPr>
          <w:p w14:paraId="3786F502">
            <w:pPr>
              <w:pStyle w:val="443"/>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2814BAEC">
            <w:pPr>
              <w:pStyle w:val="443"/>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108086D5">
            <w:pPr>
              <w:pStyle w:val="443"/>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076D5D99">
            <w:pPr>
              <w:pStyle w:val="443"/>
              <w:widowControl/>
              <w:spacing w:line="560" w:lineRule="exact"/>
              <w:ind w:firstLine="560"/>
              <w:jc w:val="center"/>
              <w:rPr>
                <w:rFonts w:hint="eastAsia" w:ascii="仿宋" w:hAnsi="仿宋" w:eastAsia="仿宋" w:cs="仿宋"/>
                <w:color w:val="000000"/>
                <w:sz w:val="28"/>
                <w:szCs w:val="28"/>
                <w:highlight w:val="none"/>
              </w:rPr>
            </w:pPr>
          </w:p>
        </w:tc>
      </w:tr>
      <w:tr w14:paraId="44451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A9306F5">
            <w:pPr>
              <w:pStyle w:val="443"/>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5B3A02AA">
            <w:pPr>
              <w:pStyle w:val="503"/>
              <w:jc w:val="center"/>
              <w:rPr>
                <w:rFonts w:hint="eastAsia" w:ascii="仿宋" w:hAnsi="仿宋" w:eastAsia="仿宋" w:cs="仿宋"/>
                <w:color w:val="000000"/>
                <w:sz w:val="20"/>
                <w:szCs w:val="20"/>
                <w:highlight w:val="none"/>
              </w:rPr>
            </w:pPr>
          </w:p>
        </w:tc>
        <w:tc>
          <w:tcPr>
            <w:tcW w:w="992" w:type="dxa"/>
            <w:noWrap w:val="0"/>
            <w:vAlign w:val="center"/>
          </w:tcPr>
          <w:p w14:paraId="28C90481">
            <w:pPr>
              <w:pStyle w:val="443"/>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2BF362EA">
            <w:pPr>
              <w:pStyle w:val="443"/>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28AE81D5">
            <w:pPr>
              <w:pStyle w:val="443"/>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09401A82">
            <w:pPr>
              <w:pStyle w:val="443"/>
              <w:widowControl/>
              <w:spacing w:line="560" w:lineRule="exact"/>
              <w:ind w:firstLine="560"/>
              <w:jc w:val="center"/>
              <w:rPr>
                <w:rFonts w:hint="eastAsia" w:ascii="仿宋" w:hAnsi="仿宋" w:eastAsia="仿宋" w:cs="仿宋"/>
                <w:color w:val="000000"/>
                <w:sz w:val="28"/>
                <w:szCs w:val="28"/>
                <w:highlight w:val="none"/>
              </w:rPr>
            </w:pPr>
          </w:p>
        </w:tc>
      </w:tr>
      <w:tr w14:paraId="1DA47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6F1BC415">
            <w:pPr>
              <w:pStyle w:val="443"/>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0C35BF93">
            <w:pPr>
              <w:pStyle w:val="503"/>
              <w:jc w:val="center"/>
              <w:rPr>
                <w:rFonts w:hint="eastAsia" w:ascii="仿宋" w:hAnsi="仿宋" w:eastAsia="仿宋" w:cs="仿宋"/>
                <w:color w:val="000000"/>
                <w:sz w:val="20"/>
                <w:szCs w:val="20"/>
                <w:highlight w:val="none"/>
              </w:rPr>
            </w:pPr>
          </w:p>
        </w:tc>
        <w:tc>
          <w:tcPr>
            <w:tcW w:w="992" w:type="dxa"/>
            <w:noWrap w:val="0"/>
            <w:vAlign w:val="center"/>
          </w:tcPr>
          <w:p w14:paraId="5DEF6082">
            <w:pPr>
              <w:pStyle w:val="443"/>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0937DDD2">
            <w:pPr>
              <w:pStyle w:val="443"/>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41CE8572">
            <w:pPr>
              <w:pStyle w:val="443"/>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61FDA699">
            <w:pPr>
              <w:pStyle w:val="443"/>
              <w:widowControl/>
              <w:spacing w:line="560" w:lineRule="exact"/>
              <w:ind w:firstLine="560"/>
              <w:jc w:val="center"/>
              <w:rPr>
                <w:rFonts w:hint="eastAsia" w:ascii="仿宋" w:hAnsi="仿宋" w:eastAsia="仿宋" w:cs="仿宋"/>
                <w:color w:val="000000"/>
                <w:sz w:val="28"/>
                <w:szCs w:val="28"/>
                <w:highlight w:val="none"/>
              </w:rPr>
            </w:pPr>
          </w:p>
        </w:tc>
      </w:tr>
      <w:tr w14:paraId="3AF36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1F9884B0">
            <w:pPr>
              <w:pStyle w:val="443"/>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0BDB1787">
            <w:pPr>
              <w:pStyle w:val="503"/>
              <w:jc w:val="center"/>
              <w:rPr>
                <w:rFonts w:hint="eastAsia" w:ascii="仿宋" w:hAnsi="仿宋" w:eastAsia="仿宋" w:cs="仿宋"/>
                <w:color w:val="000000"/>
                <w:sz w:val="20"/>
                <w:szCs w:val="20"/>
                <w:highlight w:val="none"/>
              </w:rPr>
            </w:pPr>
          </w:p>
        </w:tc>
        <w:tc>
          <w:tcPr>
            <w:tcW w:w="992" w:type="dxa"/>
            <w:noWrap w:val="0"/>
            <w:vAlign w:val="center"/>
          </w:tcPr>
          <w:p w14:paraId="4A26D563">
            <w:pPr>
              <w:pStyle w:val="443"/>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6290C868">
            <w:pPr>
              <w:pStyle w:val="443"/>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39CC1DFB">
            <w:pPr>
              <w:pStyle w:val="443"/>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54EF1F98">
            <w:pPr>
              <w:pStyle w:val="443"/>
              <w:widowControl/>
              <w:spacing w:line="560" w:lineRule="exact"/>
              <w:ind w:firstLine="560"/>
              <w:jc w:val="center"/>
              <w:rPr>
                <w:rFonts w:hint="eastAsia" w:ascii="仿宋" w:hAnsi="仿宋" w:eastAsia="仿宋" w:cs="仿宋"/>
                <w:color w:val="000000"/>
                <w:sz w:val="28"/>
                <w:szCs w:val="28"/>
                <w:highlight w:val="none"/>
              </w:rPr>
            </w:pPr>
          </w:p>
        </w:tc>
      </w:tr>
      <w:tr w14:paraId="7FEE0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860D5CC">
            <w:pPr>
              <w:pStyle w:val="443"/>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5F29B75F">
            <w:pPr>
              <w:pStyle w:val="503"/>
              <w:jc w:val="center"/>
              <w:rPr>
                <w:rFonts w:hint="eastAsia" w:ascii="仿宋" w:hAnsi="仿宋" w:eastAsia="仿宋" w:cs="仿宋"/>
                <w:color w:val="000000"/>
                <w:sz w:val="20"/>
                <w:szCs w:val="20"/>
                <w:highlight w:val="none"/>
              </w:rPr>
            </w:pPr>
          </w:p>
        </w:tc>
        <w:tc>
          <w:tcPr>
            <w:tcW w:w="992" w:type="dxa"/>
            <w:noWrap w:val="0"/>
            <w:vAlign w:val="center"/>
          </w:tcPr>
          <w:p w14:paraId="6C4002B7">
            <w:pPr>
              <w:pStyle w:val="443"/>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0B4978B6">
            <w:pPr>
              <w:pStyle w:val="443"/>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5B40FDCB">
            <w:pPr>
              <w:pStyle w:val="443"/>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11697361">
            <w:pPr>
              <w:pStyle w:val="443"/>
              <w:widowControl/>
              <w:spacing w:line="560" w:lineRule="exact"/>
              <w:ind w:firstLine="560"/>
              <w:jc w:val="center"/>
              <w:rPr>
                <w:rFonts w:hint="eastAsia" w:ascii="仿宋" w:hAnsi="仿宋" w:eastAsia="仿宋" w:cs="仿宋"/>
                <w:color w:val="000000"/>
                <w:sz w:val="28"/>
                <w:szCs w:val="28"/>
                <w:highlight w:val="none"/>
              </w:rPr>
            </w:pPr>
          </w:p>
        </w:tc>
      </w:tr>
      <w:tr w14:paraId="48BCF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14F4BCC">
            <w:pPr>
              <w:pStyle w:val="443"/>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41E1B35A">
            <w:pPr>
              <w:pStyle w:val="503"/>
              <w:jc w:val="center"/>
              <w:rPr>
                <w:rFonts w:hint="eastAsia" w:ascii="仿宋" w:hAnsi="仿宋" w:eastAsia="仿宋" w:cs="仿宋"/>
                <w:color w:val="000000"/>
                <w:sz w:val="20"/>
                <w:szCs w:val="20"/>
                <w:highlight w:val="none"/>
              </w:rPr>
            </w:pPr>
          </w:p>
        </w:tc>
        <w:tc>
          <w:tcPr>
            <w:tcW w:w="992" w:type="dxa"/>
            <w:noWrap w:val="0"/>
            <w:vAlign w:val="center"/>
          </w:tcPr>
          <w:p w14:paraId="401BFDD5">
            <w:pPr>
              <w:pStyle w:val="443"/>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62FE6CC8">
            <w:pPr>
              <w:pStyle w:val="443"/>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365F1A95">
            <w:pPr>
              <w:pStyle w:val="443"/>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52F2E8FF">
            <w:pPr>
              <w:pStyle w:val="443"/>
              <w:widowControl/>
              <w:spacing w:line="560" w:lineRule="exact"/>
              <w:ind w:firstLine="560"/>
              <w:jc w:val="center"/>
              <w:rPr>
                <w:rFonts w:hint="eastAsia" w:ascii="仿宋" w:hAnsi="仿宋" w:eastAsia="仿宋" w:cs="仿宋"/>
                <w:color w:val="000000"/>
                <w:sz w:val="28"/>
                <w:szCs w:val="28"/>
                <w:highlight w:val="none"/>
              </w:rPr>
            </w:pPr>
          </w:p>
        </w:tc>
      </w:tr>
      <w:tr w14:paraId="34718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6CE85A37">
            <w:pPr>
              <w:pStyle w:val="443"/>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458D8A15">
            <w:pPr>
              <w:pStyle w:val="503"/>
              <w:jc w:val="center"/>
              <w:rPr>
                <w:rFonts w:hint="eastAsia" w:ascii="仿宋" w:hAnsi="仿宋" w:eastAsia="仿宋" w:cs="仿宋"/>
                <w:color w:val="000000"/>
                <w:sz w:val="20"/>
                <w:szCs w:val="20"/>
                <w:highlight w:val="none"/>
              </w:rPr>
            </w:pPr>
          </w:p>
        </w:tc>
        <w:tc>
          <w:tcPr>
            <w:tcW w:w="992" w:type="dxa"/>
            <w:noWrap w:val="0"/>
            <w:vAlign w:val="center"/>
          </w:tcPr>
          <w:p w14:paraId="240C9B83">
            <w:pPr>
              <w:pStyle w:val="443"/>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25F56EC8">
            <w:pPr>
              <w:pStyle w:val="443"/>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3392A230">
            <w:pPr>
              <w:pStyle w:val="443"/>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22233DDB">
            <w:pPr>
              <w:pStyle w:val="443"/>
              <w:widowControl/>
              <w:spacing w:line="560" w:lineRule="exact"/>
              <w:ind w:firstLine="560"/>
              <w:jc w:val="center"/>
              <w:rPr>
                <w:rFonts w:hint="eastAsia" w:ascii="仿宋" w:hAnsi="仿宋" w:eastAsia="仿宋" w:cs="仿宋"/>
                <w:color w:val="000000"/>
                <w:sz w:val="28"/>
                <w:szCs w:val="28"/>
                <w:highlight w:val="none"/>
              </w:rPr>
            </w:pPr>
          </w:p>
        </w:tc>
      </w:tr>
      <w:tr w14:paraId="3390A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41898059">
            <w:pPr>
              <w:pStyle w:val="443"/>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7BF14D39">
            <w:pPr>
              <w:pStyle w:val="503"/>
              <w:jc w:val="center"/>
              <w:rPr>
                <w:rFonts w:hint="eastAsia" w:ascii="仿宋" w:hAnsi="仿宋" w:eastAsia="仿宋" w:cs="仿宋"/>
                <w:color w:val="000000"/>
                <w:sz w:val="20"/>
                <w:szCs w:val="20"/>
                <w:highlight w:val="none"/>
              </w:rPr>
            </w:pPr>
          </w:p>
        </w:tc>
        <w:tc>
          <w:tcPr>
            <w:tcW w:w="992" w:type="dxa"/>
            <w:noWrap w:val="0"/>
            <w:vAlign w:val="center"/>
          </w:tcPr>
          <w:p w14:paraId="25D0B4BE">
            <w:pPr>
              <w:pStyle w:val="443"/>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27680FFA">
            <w:pPr>
              <w:pStyle w:val="443"/>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3D15435C">
            <w:pPr>
              <w:pStyle w:val="443"/>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63830B09">
            <w:pPr>
              <w:pStyle w:val="443"/>
              <w:widowControl/>
              <w:spacing w:line="560" w:lineRule="exact"/>
              <w:ind w:firstLine="560"/>
              <w:jc w:val="center"/>
              <w:rPr>
                <w:rFonts w:hint="eastAsia" w:ascii="仿宋" w:hAnsi="仿宋" w:eastAsia="仿宋" w:cs="仿宋"/>
                <w:color w:val="000000"/>
                <w:sz w:val="28"/>
                <w:szCs w:val="28"/>
                <w:highlight w:val="none"/>
              </w:rPr>
            </w:pPr>
          </w:p>
        </w:tc>
      </w:tr>
    </w:tbl>
    <w:p w14:paraId="7BB89886">
      <w:pPr>
        <w:spacing w:line="480" w:lineRule="exact"/>
        <w:ind w:firstLine="210"/>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注：如投标人中标，项目组成员按本表承诺人员操作，不得随意更换。按采购文件要求附相关人员证书。</w:t>
      </w:r>
      <w:bookmarkStart w:id="174" w:name="_格式2__法定代表人授权书"/>
      <w:bookmarkEnd w:id="174"/>
    </w:p>
    <w:p w14:paraId="5376E040">
      <w:pPr>
        <w:ind w:firstLine="210"/>
        <w:rPr>
          <w:rFonts w:hint="eastAsia" w:ascii="仿宋" w:hAnsi="仿宋" w:eastAsia="仿宋" w:cs="仿宋"/>
          <w:color w:val="000000"/>
          <w:szCs w:val="21"/>
          <w:highlight w:val="none"/>
        </w:rPr>
      </w:pPr>
    </w:p>
    <w:p w14:paraId="0A26C976">
      <w:pPr>
        <w:ind w:firstLine="210"/>
        <w:rPr>
          <w:rFonts w:hint="eastAsia" w:ascii="仿宋" w:hAnsi="仿宋" w:eastAsia="仿宋" w:cs="仿宋"/>
          <w:color w:val="000000"/>
          <w:szCs w:val="21"/>
          <w:highlight w:val="none"/>
        </w:rPr>
      </w:pPr>
    </w:p>
    <w:p w14:paraId="52D677BE">
      <w:pPr>
        <w:pStyle w:val="371"/>
        <w:ind w:left="210"/>
        <w:outlineLvl w:val="1"/>
        <w:rPr>
          <w:rFonts w:hint="eastAsia" w:ascii="宋体"/>
          <w:b w:val="0"/>
          <w:color w:val="000000"/>
          <w:szCs w:val="32"/>
          <w:highlight w:val="none"/>
        </w:rPr>
      </w:pPr>
      <w:r>
        <w:rPr>
          <w:rFonts w:hint="eastAsia" w:ascii="宋体"/>
          <w:b w:val="0"/>
          <w:color w:val="000000"/>
          <w:szCs w:val="32"/>
          <w:highlight w:val="none"/>
        </w:rPr>
        <w:br w:type="page" w:clear="all"/>
      </w:r>
      <w:r>
        <w:rPr>
          <w:rFonts w:hint="eastAsia" w:ascii="宋体"/>
          <w:b w:val="0"/>
          <w:color w:val="000000"/>
          <w:szCs w:val="32"/>
          <w:highlight w:val="none"/>
          <w:lang w:val="en-US" w:eastAsia="zh-CN"/>
        </w:rPr>
        <w:t>十</w:t>
      </w:r>
      <w:r>
        <w:rPr>
          <w:rFonts w:hint="eastAsia" w:ascii="宋体"/>
          <w:b w:val="0"/>
          <w:color w:val="000000"/>
          <w:szCs w:val="32"/>
          <w:highlight w:val="none"/>
        </w:rPr>
        <w:t>、企业业绩</w:t>
      </w:r>
      <w:bookmarkEnd w:id="172"/>
      <w:bookmarkEnd w:id="173"/>
    </w:p>
    <w:p w14:paraId="3495A1AD">
      <w:pPr>
        <w:pStyle w:val="379"/>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投标人</w:t>
      </w:r>
      <w:bookmarkStart w:id="175" w:name="_Hlk187935031"/>
      <w:r>
        <w:rPr>
          <w:rFonts w:hint="eastAsia" w:ascii="方正小标宋_GBK" w:eastAsia="方正小标宋_GBK"/>
          <w:bCs/>
          <w:color w:val="000000"/>
          <w:sz w:val="32"/>
          <w:szCs w:val="32"/>
          <w:highlight w:val="none"/>
        </w:rPr>
        <w:t>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日以来承担</w:t>
      </w:r>
    </w:p>
    <w:p w14:paraId="22623CC4">
      <w:pPr>
        <w:pStyle w:val="379"/>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类似项目业绩一览表</w:t>
      </w:r>
      <w:bookmarkEnd w:id="175"/>
    </w:p>
    <w:tbl>
      <w:tblPr>
        <w:tblStyle w:val="3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30B6D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14:paraId="441FC491">
            <w:pPr>
              <w:pStyle w:val="380"/>
              <w:spacing w:line="560" w:lineRule="exact"/>
              <w:jc w:val="center"/>
              <w:rPr>
                <w:rFonts w:ascii="仿宋_GB2312" w:eastAsia="仿宋_GB2312"/>
                <w:color w:val="000000"/>
                <w:sz w:val="28"/>
                <w:szCs w:val="28"/>
                <w:highlight w:val="none"/>
              </w:rPr>
            </w:pPr>
            <w:r>
              <w:rPr>
                <w:rFonts w:hint="eastAsia" w:ascii="仿宋_GB2312" w:eastAsia="仿宋_GB2312"/>
                <w:color w:val="000000"/>
                <w:sz w:val="28"/>
                <w:szCs w:val="28"/>
                <w:highlight w:val="none"/>
              </w:rPr>
              <w:t>序号</w:t>
            </w:r>
          </w:p>
        </w:tc>
        <w:tc>
          <w:tcPr>
            <w:tcW w:w="3827" w:type="dxa"/>
            <w:noWrap w:val="0"/>
            <w:vAlign w:val="center"/>
          </w:tcPr>
          <w:p w14:paraId="0840B463">
            <w:pPr>
              <w:pStyle w:val="380"/>
              <w:spacing w:line="560" w:lineRule="exact"/>
              <w:jc w:val="center"/>
              <w:rPr>
                <w:rFonts w:ascii="仿宋_GB2312" w:eastAsia="仿宋_GB2312"/>
                <w:color w:val="000000"/>
                <w:sz w:val="28"/>
                <w:szCs w:val="28"/>
                <w:highlight w:val="none"/>
              </w:rPr>
            </w:pPr>
            <w:r>
              <w:rPr>
                <w:rFonts w:hint="eastAsia" w:ascii="仿宋_GB2312" w:eastAsia="仿宋_GB2312"/>
                <w:color w:val="000000"/>
                <w:sz w:val="28"/>
                <w:szCs w:val="28"/>
                <w:highlight w:val="none"/>
              </w:rPr>
              <w:t>项目名称</w:t>
            </w:r>
          </w:p>
        </w:tc>
        <w:tc>
          <w:tcPr>
            <w:tcW w:w="2433" w:type="dxa"/>
            <w:noWrap w:val="0"/>
            <w:vAlign w:val="center"/>
          </w:tcPr>
          <w:p w14:paraId="2946FF3B">
            <w:pPr>
              <w:pStyle w:val="380"/>
              <w:spacing w:line="560" w:lineRule="exact"/>
              <w:jc w:val="center"/>
              <w:rPr>
                <w:rFonts w:ascii="仿宋_GB2312" w:eastAsia="仿宋_GB2312"/>
                <w:color w:val="000000"/>
                <w:sz w:val="28"/>
                <w:szCs w:val="28"/>
                <w:highlight w:val="none"/>
              </w:rPr>
            </w:pPr>
            <w:r>
              <w:rPr>
                <w:rFonts w:hint="eastAsia" w:ascii="仿宋_GB2312" w:eastAsia="仿宋_GB2312"/>
                <w:color w:val="000000"/>
                <w:sz w:val="28"/>
                <w:szCs w:val="28"/>
                <w:highlight w:val="none"/>
              </w:rPr>
              <w:t>采购单位</w:t>
            </w:r>
          </w:p>
        </w:tc>
        <w:tc>
          <w:tcPr>
            <w:tcW w:w="1395" w:type="dxa"/>
            <w:noWrap w:val="0"/>
            <w:vAlign w:val="center"/>
          </w:tcPr>
          <w:p w14:paraId="12FCDC0B">
            <w:pPr>
              <w:pStyle w:val="380"/>
              <w:spacing w:line="560" w:lineRule="exact"/>
              <w:jc w:val="center"/>
              <w:rPr>
                <w:rFonts w:ascii="仿宋_GB2312" w:eastAsia="仿宋_GB2312"/>
                <w:color w:val="000000"/>
                <w:sz w:val="28"/>
                <w:szCs w:val="28"/>
                <w:highlight w:val="none"/>
              </w:rPr>
            </w:pPr>
            <w:r>
              <w:rPr>
                <w:rFonts w:hint="eastAsia" w:ascii="仿宋_GB2312" w:eastAsia="仿宋_GB2312"/>
                <w:color w:val="000000"/>
                <w:sz w:val="28"/>
                <w:szCs w:val="28"/>
                <w:highlight w:val="none"/>
              </w:rPr>
              <w:t>服务主要内容</w:t>
            </w:r>
          </w:p>
        </w:tc>
      </w:tr>
      <w:tr w14:paraId="76E5A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4382CBD0">
            <w:pPr>
              <w:pStyle w:val="380"/>
              <w:spacing w:line="560" w:lineRule="exact"/>
              <w:jc w:val="center"/>
              <w:rPr>
                <w:rFonts w:ascii="仿宋_GB2312" w:eastAsia="仿宋_GB2312"/>
                <w:color w:val="000000"/>
                <w:sz w:val="28"/>
                <w:highlight w:val="none"/>
              </w:rPr>
            </w:pPr>
          </w:p>
        </w:tc>
        <w:tc>
          <w:tcPr>
            <w:tcW w:w="3827" w:type="dxa"/>
            <w:noWrap w:val="0"/>
            <w:vAlign w:val="center"/>
          </w:tcPr>
          <w:p w14:paraId="5DE42B81">
            <w:pPr>
              <w:pStyle w:val="380"/>
              <w:spacing w:line="560" w:lineRule="exact"/>
              <w:jc w:val="center"/>
              <w:rPr>
                <w:rFonts w:ascii="仿宋_GB2312" w:eastAsia="仿宋_GB2312"/>
                <w:color w:val="000000"/>
                <w:sz w:val="28"/>
                <w:highlight w:val="none"/>
              </w:rPr>
            </w:pPr>
          </w:p>
        </w:tc>
        <w:tc>
          <w:tcPr>
            <w:tcW w:w="2433" w:type="dxa"/>
            <w:noWrap w:val="0"/>
            <w:vAlign w:val="center"/>
          </w:tcPr>
          <w:p w14:paraId="4F317239">
            <w:pPr>
              <w:pStyle w:val="380"/>
              <w:spacing w:line="560" w:lineRule="exact"/>
              <w:jc w:val="center"/>
              <w:rPr>
                <w:rFonts w:ascii="仿宋_GB2312" w:eastAsia="仿宋_GB2312"/>
                <w:color w:val="000000"/>
                <w:sz w:val="28"/>
                <w:highlight w:val="none"/>
              </w:rPr>
            </w:pPr>
          </w:p>
        </w:tc>
        <w:tc>
          <w:tcPr>
            <w:tcW w:w="1395" w:type="dxa"/>
            <w:noWrap w:val="0"/>
            <w:vAlign w:val="center"/>
          </w:tcPr>
          <w:p w14:paraId="3814E4F8">
            <w:pPr>
              <w:pStyle w:val="380"/>
              <w:spacing w:line="560" w:lineRule="exact"/>
              <w:jc w:val="center"/>
              <w:rPr>
                <w:rFonts w:ascii="仿宋_GB2312" w:eastAsia="仿宋_GB2312"/>
                <w:color w:val="000000"/>
                <w:sz w:val="28"/>
                <w:highlight w:val="none"/>
              </w:rPr>
            </w:pPr>
          </w:p>
        </w:tc>
      </w:tr>
      <w:tr w14:paraId="26A60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6B0F86A4">
            <w:pPr>
              <w:pStyle w:val="380"/>
              <w:spacing w:line="560" w:lineRule="exact"/>
              <w:jc w:val="center"/>
              <w:rPr>
                <w:rFonts w:ascii="仿宋_GB2312" w:eastAsia="仿宋_GB2312"/>
                <w:color w:val="000000"/>
                <w:sz w:val="28"/>
                <w:highlight w:val="none"/>
              </w:rPr>
            </w:pPr>
          </w:p>
        </w:tc>
        <w:tc>
          <w:tcPr>
            <w:tcW w:w="3827" w:type="dxa"/>
            <w:noWrap w:val="0"/>
            <w:vAlign w:val="center"/>
          </w:tcPr>
          <w:p w14:paraId="019B28ED">
            <w:pPr>
              <w:pStyle w:val="380"/>
              <w:spacing w:line="560" w:lineRule="exact"/>
              <w:jc w:val="center"/>
              <w:rPr>
                <w:rFonts w:ascii="仿宋_GB2312" w:eastAsia="仿宋_GB2312"/>
                <w:color w:val="000000"/>
                <w:sz w:val="28"/>
                <w:highlight w:val="none"/>
              </w:rPr>
            </w:pPr>
          </w:p>
        </w:tc>
        <w:tc>
          <w:tcPr>
            <w:tcW w:w="2433" w:type="dxa"/>
            <w:noWrap w:val="0"/>
            <w:vAlign w:val="center"/>
          </w:tcPr>
          <w:p w14:paraId="622378C9">
            <w:pPr>
              <w:pStyle w:val="380"/>
              <w:spacing w:line="560" w:lineRule="exact"/>
              <w:jc w:val="center"/>
              <w:rPr>
                <w:rFonts w:ascii="仿宋_GB2312" w:eastAsia="仿宋_GB2312"/>
                <w:color w:val="000000"/>
                <w:sz w:val="28"/>
                <w:highlight w:val="none"/>
              </w:rPr>
            </w:pPr>
          </w:p>
        </w:tc>
        <w:tc>
          <w:tcPr>
            <w:tcW w:w="1395" w:type="dxa"/>
            <w:noWrap w:val="0"/>
            <w:vAlign w:val="center"/>
          </w:tcPr>
          <w:p w14:paraId="2BF977D5">
            <w:pPr>
              <w:pStyle w:val="380"/>
              <w:spacing w:line="560" w:lineRule="exact"/>
              <w:jc w:val="center"/>
              <w:rPr>
                <w:rFonts w:ascii="仿宋_GB2312" w:eastAsia="仿宋_GB2312"/>
                <w:color w:val="000000"/>
                <w:sz w:val="28"/>
                <w:highlight w:val="none"/>
              </w:rPr>
            </w:pPr>
          </w:p>
        </w:tc>
      </w:tr>
      <w:tr w14:paraId="682C9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6C15EDF2">
            <w:pPr>
              <w:pStyle w:val="380"/>
              <w:spacing w:line="560" w:lineRule="exact"/>
              <w:jc w:val="center"/>
              <w:rPr>
                <w:rFonts w:ascii="仿宋_GB2312" w:eastAsia="仿宋_GB2312"/>
                <w:color w:val="000000"/>
                <w:sz w:val="28"/>
                <w:highlight w:val="none"/>
              </w:rPr>
            </w:pPr>
          </w:p>
        </w:tc>
        <w:tc>
          <w:tcPr>
            <w:tcW w:w="3827" w:type="dxa"/>
            <w:noWrap w:val="0"/>
            <w:vAlign w:val="center"/>
          </w:tcPr>
          <w:p w14:paraId="6D960C40">
            <w:pPr>
              <w:pStyle w:val="380"/>
              <w:spacing w:line="560" w:lineRule="exact"/>
              <w:jc w:val="center"/>
              <w:rPr>
                <w:rFonts w:ascii="仿宋_GB2312" w:eastAsia="仿宋_GB2312"/>
                <w:color w:val="000000"/>
                <w:sz w:val="28"/>
                <w:highlight w:val="none"/>
              </w:rPr>
            </w:pPr>
          </w:p>
        </w:tc>
        <w:tc>
          <w:tcPr>
            <w:tcW w:w="2433" w:type="dxa"/>
            <w:noWrap w:val="0"/>
            <w:vAlign w:val="center"/>
          </w:tcPr>
          <w:p w14:paraId="70DDDBEC">
            <w:pPr>
              <w:pStyle w:val="380"/>
              <w:spacing w:line="560" w:lineRule="exact"/>
              <w:jc w:val="center"/>
              <w:rPr>
                <w:rFonts w:ascii="仿宋_GB2312" w:eastAsia="仿宋_GB2312"/>
                <w:color w:val="000000"/>
                <w:sz w:val="28"/>
                <w:highlight w:val="none"/>
              </w:rPr>
            </w:pPr>
          </w:p>
        </w:tc>
        <w:tc>
          <w:tcPr>
            <w:tcW w:w="1395" w:type="dxa"/>
            <w:noWrap w:val="0"/>
            <w:vAlign w:val="center"/>
          </w:tcPr>
          <w:p w14:paraId="72DE5412">
            <w:pPr>
              <w:pStyle w:val="380"/>
              <w:spacing w:line="560" w:lineRule="exact"/>
              <w:jc w:val="center"/>
              <w:rPr>
                <w:rFonts w:ascii="仿宋_GB2312" w:eastAsia="仿宋_GB2312"/>
                <w:color w:val="000000"/>
                <w:sz w:val="28"/>
                <w:highlight w:val="none"/>
              </w:rPr>
            </w:pPr>
          </w:p>
        </w:tc>
      </w:tr>
      <w:tr w14:paraId="7E435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14:paraId="710667EA">
            <w:pPr>
              <w:pStyle w:val="380"/>
              <w:spacing w:line="560" w:lineRule="exact"/>
              <w:jc w:val="center"/>
              <w:rPr>
                <w:rFonts w:ascii="仿宋_GB2312" w:eastAsia="仿宋_GB2312"/>
                <w:color w:val="000000"/>
                <w:sz w:val="28"/>
                <w:highlight w:val="none"/>
              </w:rPr>
            </w:pPr>
          </w:p>
        </w:tc>
        <w:tc>
          <w:tcPr>
            <w:tcW w:w="3827" w:type="dxa"/>
            <w:noWrap w:val="0"/>
            <w:vAlign w:val="center"/>
          </w:tcPr>
          <w:p w14:paraId="3EACCB7E">
            <w:pPr>
              <w:pStyle w:val="380"/>
              <w:spacing w:line="560" w:lineRule="exact"/>
              <w:jc w:val="center"/>
              <w:rPr>
                <w:rFonts w:ascii="仿宋_GB2312" w:eastAsia="仿宋_GB2312"/>
                <w:color w:val="000000"/>
                <w:sz w:val="28"/>
                <w:highlight w:val="none"/>
              </w:rPr>
            </w:pPr>
          </w:p>
        </w:tc>
        <w:tc>
          <w:tcPr>
            <w:tcW w:w="2433" w:type="dxa"/>
            <w:noWrap w:val="0"/>
            <w:vAlign w:val="center"/>
          </w:tcPr>
          <w:p w14:paraId="78484F40">
            <w:pPr>
              <w:pStyle w:val="380"/>
              <w:spacing w:line="560" w:lineRule="exact"/>
              <w:jc w:val="center"/>
              <w:rPr>
                <w:rFonts w:ascii="仿宋_GB2312" w:eastAsia="仿宋_GB2312"/>
                <w:color w:val="000000"/>
                <w:sz w:val="28"/>
                <w:highlight w:val="none"/>
              </w:rPr>
            </w:pPr>
          </w:p>
        </w:tc>
        <w:tc>
          <w:tcPr>
            <w:tcW w:w="1395" w:type="dxa"/>
            <w:noWrap w:val="0"/>
            <w:vAlign w:val="center"/>
          </w:tcPr>
          <w:p w14:paraId="65F1819D">
            <w:pPr>
              <w:pStyle w:val="380"/>
              <w:spacing w:line="560" w:lineRule="exact"/>
              <w:jc w:val="center"/>
              <w:rPr>
                <w:rFonts w:ascii="仿宋_GB2312" w:eastAsia="仿宋_GB2312"/>
                <w:color w:val="000000"/>
                <w:sz w:val="28"/>
                <w:highlight w:val="none"/>
              </w:rPr>
            </w:pPr>
          </w:p>
        </w:tc>
      </w:tr>
    </w:tbl>
    <w:p w14:paraId="57E40149">
      <w:pPr>
        <w:pStyle w:val="379"/>
        <w:rPr>
          <w:rFonts w:ascii="宋体" w:hAnsi="宋体"/>
          <w:bCs/>
          <w:color w:val="000000"/>
          <w:highlight w:val="none"/>
        </w:rPr>
      </w:pPr>
      <w:r>
        <w:rPr>
          <w:rFonts w:hint="eastAsia" w:ascii="宋体" w:hAnsi="宋体"/>
          <w:bCs/>
          <w:color w:val="000000"/>
          <w:sz w:val="24"/>
          <w:highlight w:val="none"/>
        </w:rPr>
        <w:t>注：请填写此表，并按要求上传业绩资料电子件。</w:t>
      </w:r>
    </w:p>
    <w:p w14:paraId="6F50F357">
      <w:pPr>
        <w:spacing w:line="480" w:lineRule="exact"/>
        <w:outlineLvl w:val="1"/>
        <w:rPr>
          <w:rFonts w:hint="eastAsia" w:ascii="宋体"/>
          <w:color w:val="000000"/>
          <w:szCs w:val="32"/>
          <w:highlight w:val="none"/>
        </w:rPr>
      </w:pPr>
      <w:r>
        <w:rPr>
          <w:rFonts w:ascii="宋体" w:hAnsi="宋体"/>
          <w:bCs/>
          <w:color w:val="000000"/>
          <w:highlight w:val="none"/>
        </w:rPr>
        <w:br w:type="page" w:clear="all"/>
      </w:r>
      <w:bookmarkStart w:id="176" w:name="_Toc26048"/>
      <w:bookmarkStart w:id="177" w:name="_Toc9275"/>
      <w:r>
        <w:rPr>
          <w:rFonts w:hint="eastAsia" w:ascii="宋体" w:hAnsi="黑体" w:eastAsia="黑体" w:cs="黑体"/>
          <w:color w:val="000000"/>
          <w:sz w:val="32"/>
          <w:szCs w:val="32"/>
          <w:highlight w:val="none"/>
        </w:rPr>
        <w:t>十</w:t>
      </w:r>
      <w:r>
        <w:rPr>
          <w:rFonts w:hint="eastAsia" w:ascii="宋体" w:hAnsi="黑体" w:eastAsia="黑体" w:cs="黑体"/>
          <w:color w:val="000000"/>
          <w:sz w:val="32"/>
          <w:szCs w:val="32"/>
          <w:highlight w:val="none"/>
          <w:lang w:val="en-US" w:eastAsia="zh-CN"/>
        </w:rPr>
        <w:t>一</w:t>
      </w:r>
      <w:r>
        <w:rPr>
          <w:rFonts w:hint="eastAsia" w:ascii="宋体" w:hAnsi="黑体" w:eastAsia="黑体" w:cs="黑体"/>
          <w:color w:val="000000"/>
          <w:sz w:val="32"/>
          <w:szCs w:val="32"/>
          <w:highlight w:val="none"/>
        </w:rPr>
        <w:t>、投标所需其他材料</w:t>
      </w:r>
      <w:bookmarkEnd w:id="176"/>
      <w:bookmarkEnd w:id="177"/>
    </w:p>
    <w:p w14:paraId="5558CEAF">
      <w:pPr>
        <w:pStyle w:val="383"/>
        <w:spacing w:line="480" w:lineRule="exact"/>
        <w:ind w:firstLine="420"/>
        <w:rPr>
          <w:color w:val="000000"/>
          <w:sz w:val="24"/>
          <w:szCs w:val="24"/>
          <w:highlight w:val="none"/>
        </w:rPr>
      </w:pPr>
      <w:r>
        <w:rPr>
          <w:rFonts w:hint="eastAsia"/>
          <w:color w:val="000000"/>
          <w:sz w:val="24"/>
          <w:szCs w:val="24"/>
          <w:highlight w:val="none"/>
        </w:rPr>
        <w:t>请在此文档中增加投标所需其他相关内容（包括评分办法、采购需求中涉及的证件证明及其它投标人认为有必要提供的资料），如没有请将此空文档上传。</w:t>
      </w:r>
    </w:p>
    <w:p w14:paraId="3663D9D1">
      <w:pPr>
        <w:pStyle w:val="358"/>
        <w:spacing w:line="360" w:lineRule="auto"/>
        <w:rPr>
          <w:rFonts w:hint="eastAsia" w:ascii="方正仿宋_GBK" w:hAnsi="方正仿宋_GBK" w:eastAsia="方正仿宋_GBK" w:cs="方正仿宋_GBK"/>
          <w:color w:val="000000"/>
          <w:sz w:val="24"/>
          <w:highlight w:val="none"/>
        </w:rPr>
      </w:pPr>
    </w:p>
    <w:p w14:paraId="69DDCDBC">
      <w:pPr>
        <w:pStyle w:val="358"/>
        <w:spacing w:line="360" w:lineRule="auto"/>
        <w:ind w:firstLine="482"/>
        <w:rPr>
          <w:rFonts w:hint="eastAsia" w:ascii="方正仿宋_GBK" w:hAnsi="方正仿宋_GBK" w:eastAsia="方正仿宋_GBK" w:cs="方正仿宋_GBK"/>
          <w:color w:val="000000"/>
          <w:sz w:val="24"/>
          <w:highlight w:val="none"/>
        </w:rPr>
      </w:pPr>
    </w:p>
    <w:p w14:paraId="2EC24FCE">
      <w:pPr>
        <w:pStyle w:val="358"/>
        <w:spacing w:line="360" w:lineRule="auto"/>
        <w:ind w:firstLine="482"/>
        <w:rPr>
          <w:rFonts w:hint="eastAsia" w:ascii="方正仿宋_GBK" w:hAnsi="方正仿宋_GBK" w:eastAsia="方正仿宋_GBK" w:cs="方正仿宋_GBK"/>
          <w:color w:val="000000"/>
          <w:sz w:val="24"/>
          <w:highlight w:val="none"/>
        </w:rPr>
      </w:pPr>
    </w:p>
    <w:p w14:paraId="63CEF69C">
      <w:pPr>
        <w:pStyle w:val="358"/>
        <w:spacing w:line="360" w:lineRule="auto"/>
        <w:ind w:firstLine="482"/>
        <w:rPr>
          <w:rFonts w:hint="eastAsia" w:ascii="方正仿宋_GBK" w:hAnsi="方正仿宋_GBK" w:eastAsia="方正仿宋_GBK" w:cs="方正仿宋_GBK"/>
          <w:color w:val="000000"/>
          <w:sz w:val="24"/>
          <w:highlight w:val="none"/>
        </w:rPr>
      </w:pPr>
    </w:p>
    <w:p w14:paraId="5C284177">
      <w:pPr>
        <w:pStyle w:val="358"/>
        <w:spacing w:line="360" w:lineRule="auto"/>
        <w:ind w:firstLine="482"/>
        <w:rPr>
          <w:rFonts w:hint="eastAsia" w:ascii="方正仿宋_GBK" w:hAnsi="方正仿宋_GBK" w:eastAsia="方正仿宋_GBK" w:cs="方正仿宋_GBK"/>
          <w:color w:val="000000"/>
          <w:sz w:val="24"/>
          <w:highlight w:val="none"/>
        </w:rPr>
      </w:pPr>
    </w:p>
    <w:p w14:paraId="6A4E16C8">
      <w:pPr>
        <w:pStyle w:val="358"/>
        <w:spacing w:line="360" w:lineRule="auto"/>
        <w:ind w:firstLine="482"/>
        <w:rPr>
          <w:rFonts w:hint="eastAsia" w:ascii="方正仿宋_GBK" w:hAnsi="方正仿宋_GBK" w:eastAsia="方正仿宋_GBK" w:cs="方正仿宋_GBK"/>
          <w:color w:val="000000"/>
          <w:sz w:val="24"/>
          <w:highlight w:val="none"/>
        </w:rPr>
      </w:pPr>
    </w:p>
    <w:p w14:paraId="22DED10B">
      <w:pPr>
        <w:pStyle w:val="358"/>
        <w:spacing w:line="360" w:lineRule="auto"/>
        <w:ind w:firstLine="482"/>
        <w:rPr>
          <w:rFonts w:hint="eastAsia" w:ascii="方正仿宋_GBK" w:hAnsi="方正仿宋_GBK" w:eastAsia="方正仿宋_GBK" w:cs="方正仿宋_GBK"/>
          <w:color w:val="000000"/>
          <w:sz w:val="24"/>
          <w:highlight w:val="none"/>
        </w:rPr>
      </w:pPr>
    </w:p>
    <w:p w14:paraId="307271C5">
      <w:pPr>
        <w:pStyle w:val="358"/>
        <w:spacing w:line="360" w:lineRule="auto"/>
        <w:ind w:firstLine="482"/>
        <w:rPr>
          <w:rFonts w:hint="eastAsia" w:ascii="方正仿宋_GBK" w:hAnsi="方正仿宋_GBK" w:eastAsia="方正仿宋_GBK" w:cs="方正仿宋_GBK"/>
          <w:color w:val="000000"/>
          <w:sz w:val="24"/>
          <w:highlight w:val="none"/>
        </w:rPr>
      </w:pPr>
    </w:p>
    <w:p w14:paraId="70A790E0">
      <w:pPr>
        <w:pStyle w:val="358"/>
        <w:spacing w:line="360" w:lineRule="auto"/>
        <w:ind w:firstLine="482"/>
        <w:rPr>
          <w:rFonts w:hint="eastAsia" w:ascii="方正仿宋_GBK" w:hAnsi="方正仿宋_GBK" w:eastAsia="方正仿宋_GBK" w:cs="方正仿宋_GBK"/>
          <w:color w:val="000000"/>
          <w:sz w:val="24"/>
          <w:highlight w:val="none"/>
        </w:rPr>
      </w:pPr>
    </w:p>
    <w:p w14:paraId="1A349F04">
      <w:pPr>
        <w:pStyle w:val="358"/>
        <w:spacing w:line="360" w:lineRule="auto"/>
        <w:ind w:firstLine="482"/>
        <w:rPr>
          <w:rFonts w:hint="eastAsia" w:ascii="方正仿宋_GBK" w:hAnsi="方正仿宋_GBK" w:eastAsia="方正仿宋_GBK" w:cs="方正仿宋_GBK"/>
          <w:color w:val="000000"/>
          <w:sz w:val="24"/>
          <w:highlight w:val="none"/>
        </w:rPr>
      </w:pPr>
    </w:p>
    <w:p w14:paraId="67E08EF5">
      <w:pPr>
        <w:pStyle w:val="358"/>
        <w:spacing w:line="360" w:lineRule="auto"/>
        <w:ind w:firstLine="482"/>
        <w:rPr>
          <w:rFonts w:hint="eastAsia" w:ascii="方正仿宋_GBK" w:hAnsi="方正仿宋_GBK" w:eastAsia="方正仿宋_GBK" w:cs="方正仿宋_GBK"/>
          <w:color w:val="000000"/>
          <w:sz w:val="24"/>
          <w:highlight w:val="none"/>
        </w:rPr>
      </w:pPr>
    </w:p>
    <w:p w14:paraId="6EA98A5A">
      <w:pPr>
        <w:pStyle w:val="358"/>
        <w:spacing w:line="360" w:lineRule="auto"/>
        <w:ind w:firstLine="482"/>
        <w:rPr>
          <w:rFonts w:hint="eastAsia" w:ascii="方正仿宋_GBK" w:hAnsi="方正仿宋_GBK" w:eastAsia="方正仿宋_GBK" w:cs="方正仿宋_GBK"/>
          <w:color w:val="000000"/>
          <w:sz w:val="24"/>
          <w:highlight w:val="none"/>
        </w:rPr>
      </w:pPr>
    </w:p>
    <w:p w14:paraId="12AD48B1">
      <w:pPr>
        <w:pStyle w:val="358"/>
        <w:spacing w:line="360" w:lineRule="auto"/>
        <w:ind w:firstLine="482"/>
        <w:rPr>
          <w:rFonts w:hint="eastAsia" w:ascii="方正仿宋_GBK" w:hAnsi="方正仿宋_GBK" w:eastAsia="方正仿宋_GBK" w:cs="方正仿宋_GBK"/>
          <w:color w:val="000000"/>
          <w:sz w:val="24"/>
          <w:highlight w:val="none"/>
        </w:rPr>
      </w:pPr>
    </w:p>
    <w:p w14:paraId="5AE6E57F">
      <w:pPr>
        <w:pStyle w:val="358"/>
        <w:spacing w:line="360" w:lineRule="auto"/>
        <w:ind w:firstLine="482"/>
        <w:rPr>
          <w:rFonts w:hint="eastAsia" w:ascii="方正仿宋_GBK" w:hAnsi="方正仿宋_GBK" w:eastAsia="方正仿宋_GBK" w:cs="方正仿宋_GBK"/>
          <w:color w:val="000000"/>
          <w:sz w:val="24"/>
          <w:highlight w:val="none"/>
        </w:rPr>
      </w:pPr>
    </w:p>
    <w:p w14:paraId="55175BC5">
      <w:pPr>
        <w:pStyle w:val="358"/>
        <w:spacing w:line="360" w:lineRule="auto"/>
        <w:ind w:firstLine="482"/>
        <w:rPr>
          <w:rFonts w:hint="eastAsia" w:ascii="方正仿宋_GBK" w:hAnsi="方正仿宋_GBK" w:eastAsia="方正仿宋_GBK" w:cs="方正仿宋_GBK"/>
          <w:color w:val="000000"/>
          <w:sz w:val="24"/>
          <w:highlight w:val="none"/>
        </w:rPr>
      </w:pPr>
    </w:p>
    <w:p w14:paraId="06980C9B">
      <w:pPr>
        <w:pStyle w:val="358"/>
        <w:spacing w:line="360" w:lineRule="auto"/>
        <w:ind w:firstLine="482"/>
        <w:rPr>
          <w:rFonts w:hint="eastAsia" w:ascii="方正仿宋_GBK" w:hAnsi="方正仿宋_GBK" w:eastAsia="方正仿宋_GBK" w:cs="方正仿宋_GBK"/>
          <w:color w:val="000000"/>
          <w:sz w:val="24"/>
          <w:highlight w:val="none"/>
        </w:rPr>
      </w:pPr>
    </w:p>
    <w:p w14:paraId="316D2EB0">
      <w:pPr>
        <w:pStyle w:val="358"/>
        <w:spacing w:line="360" w:lineRule="auto"/>
        <w:ind w:firstLine="482"/>
        <w:rPr>
          <w:rFonts w:hint="eastAsia" w:ascii="方正仿宋_GBK" w:hAnsi="方正仿宋_GBK" w:eastAsia="方正仿宋_GBK" w:cs="方正仿宋_GBK"/>
          <w:color w:val="000000"/>
          <w:sz w:val="24"/>
          <w:highlight w:val="none"/>
        </w:rPr>
      </w:pPr>
    </w:p>
    <w:p w14:paraId="1B98A993">
      <w:pPr>
        <w:pStyle w:val="358"/>
        <w:spacing w:line="360" w:lineRule="auto"/>
        <w:ind w:firstLine="482"/>
        <w:rPr>
          <w:rFonts w:hint="eastAsia" w:ascii="方正仿宋_GBK" w:hAnsi="方正仿宋_GBK" w:eastAsia="方正仿宋_GBK" w:cs="方正仿宋_GBK"/>
          <w:color w:val="000000"/>
          <w:sz w:val="24"/>
          <w:highlight w:val="none"/>
        </w:rPr>
      </w:pPr>
    </w:p>
    <w:p w14:paraId="082D3E8A">
      <w:pPr>
        <w:pStyle w:val="358"/>
        <w:spacing w:line="360" w:lineRule="auto"/>
        <w:ind w:firstLine="482"/>
        <w:rPr>
          <w:rFonts w:hint="eastAsia" w:ascii="方正仿宋_GBK" w:hAnsi="方正仿宋_GBK" w:eastAsia="方正仿宋_GBK" w:cs="方正仿宋_GBK"/>
          <w:color w:val="000000"/>
          <w:sz w:val="24"/>
          <w:highlight w:val="none"/>
        </w:rPr>
      </w:pPr>
    </w:p>
    <w:p w14:paraId="0428A807">
      <w:pPr>
        <w:pStyle w:val="358"/>
        <w:spacing w:line="360" w:lineRule="auto"/>
        <w:ind w:firstLine="482"/>
        <w:rPr>
          <w:rFonts w:hint="eastAsia" w:ascii="方正仿宋_GBK" w:hAnsi="方正仿宋_GBK" w:eastAsia="方正仿宋_GBK" w:cs="方正仿宋_GBK"/>
          <w:color w:val="000000"/>
          <w:sz w:val="24"/>
          <w:highlight w:val="none"/>
        </w:rPr>
      </w:pPr>
    </w:p>
    <w:p w14:paraId="079984E1">
      <w:pPr>
        <w:pStyle w:val="358"/>
        <w:spacing w:line="360" w:lineRule="auto"/>
        <w:ind w:firstLine="482"/>
        <w:rPr>
          <w:rFonts w:hint="eastAsia" w:ascii="方正仿宋_GBK" w:hAnsi="方正仿宋_GBK" w:eastAsia="方正仿宋_GBK" w:cs="方正仿宋_GBK"/>
          <w:color w:val="000000"/>
          <w:sz w:val="24"/>
          <w:highlight w:val="none"/>
        </w:rPr>
      </w:pPr>
    </w:p>
    <w:p w14:paraId="4CB26A63">
      <w:pPr>
        <w:pStyle w:val="358"/>
        <w:spacing w:line="360" w:lineRule="auto"/>
        <w:ind w:firstLine="482"/>
        <w:rPr>
          <w:rFonts w:hint="eastAsia" w:ascii="方正仿宋_GBK" w:hAnsi="方正仿宋_GBK" w:eastAsia="方正仿宋_GBK" w:cs="方正仿宋_GBK"/>
          <w:color w:val="000000"/>
          <w:sz w:val="24"/>
          <w:highlight w:val="none"/>
        </w:rPr>
      </w:pPr>
    </w:p>
    <w:p w14:paraId="22590F4A">
      <w:pPr>
        <w:pStyle w:val="358"/>
        <w:spacing w:line="360" w:lineRule="auto"/>
        <w:ind w:firstLine="482"/>
        <w:rPr>
          <w:rFonts w:hint="eastAsia" w:ascii="方正仿宋_GBK" w:hAnsi="方正仿宋_GBK" w:eastAsia="方正仿宋_GBK" w:cs="方正仿宋_GBK"/>
          <w:color w:val="000000"/>
          <w:sz w:val="24"/>
          <w:highlight w:val="none"/>
        </w:rPr>
      </w:pPr>
    </w:p>
    <w:p w14:paraId="3B0E8C82">
      <w:pPr>
        <w:jc w:val="center"/>
        <w:outlineLvl w:val="2"/>
        <w:rPr>
          <w:rFonts w:ascii="宋体" w:hAnsi="宋体" w:cs="仿宋"/>
          <w:b/>
          <w:bCs/>
          <w:color w:val="000000"/>
          <w:sz w:val="32"/>
          <w:szCs w:val="32"/>
        </w:rPr>
      </w:pPr>
      <w:r>
        <w:rPr>
          <w:rFonts w:hint="eastAsia" w:ascii="宋体" w:hAnsi="宋体" w:cs="仿宋"/>
          <w:b/>
          <w:bCs/>
          <w:color w:val="000000"/>
          <w:sz w:val="32"/>
          <w:szCs w:val="32"/>
        </w:rPr>
        <w:t>质疑函范本</w:t>
      </w:r>
    </w:p>
    <w:p w14:paraId="67574A5C">
      <w:pPr>
        <w:spacing w:before="290" w:line="360" w:lineRule="auto"/>
        <w:outlineLvl w:val="1"/>
        <w:rPr>
          <w:rFonts w:ascii="宋体" w:hAnsi="宋体" w:cs="仿宋"/>
          <w:bCs/>
          <w:color w:val="000000"/>
          <w:sz w:val="24"/>
          <w:szCs w:val="24"/>
        </w:rPr>
      </w:pPr>
      <w:r>
        <w:rPr>
          <w:rFonts w:hint="eastAsia" w:ascii="宋体" w:hAnsi="宋体" w:cs="仿宋"/>
          <w:bCs/>
          <w:color w:val="000000"/>
          <w:sz w:val="24"/>
          <w:szCs w:val="24"/>
        </w:rPr>
        <w:t>一、质疑供应商基本信息</w:t>
      </w:r>
    </w:p>
    <w:p w14:paraId="7ABA1804">
      <w:pPr>
        <w:spacing w:line="360" w:lineRule="auto"/>
        <w:rPr>
          <w:rFonts w:ascii="宋体" w:hAnsi="宋体" w:cs="仿宋"/>
          <w:color w:val="000000"/>
          <w:sz w:val="24"/>
          <w:szCs w:val="24"/>
          <w:u w:val="single"/>
        </w:rPr>
      </w:pPr>
      <w:r>
        <w:rPr>
          <w:rFonts w:hint="eastAsia" w:ascii="宋体" w:hAnsi="宋体" w:cs="仿宋"/>
          <w:color w:val="000000"/>
          <w:sz w:val="24"/>
          <w:szCs w:val="24"/>
        </w:rPr>
        <w:t>质疑供应商：</w:t>
      </w:r>
      <w:r>
        <w:rPr>
          <w:rFonts w:hint="eastAsia" w:ascii="宋体" w:hAnsi="宋体" w:cs="仿宋"/>
          <w:color w:val="000000"/>
          <w:sz w:val="24"/>
          <w:szCs w:val="24"/>
          <w:u w:val="single"/>
        </w:rPr>
        <w:t xml:space="preserve">                                                              </w:t>
      </w:r>
    </w:p>
    <w:p w14:paraId="22995669">
      <w:pPr>
        <w:spacing w:line="360" w:lineRule="auto"/>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02949A8F">
      <w:pPr>
        <w:spacing w:line="360" w:lineRule="auto"/>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74FF8B19">
      <w:pPr>
        <w:spacing w:line="360" w:lineRule="auto"/>
        <w:rPr>
          <w:rFonts w:ascii="宋体" w:hAnsi="宋体" w:cs="仿宋"/>
          <w:color w:val="000000"/>
          <w:sz w:val="24"/>
          <w:szCs w:val="24"/>
          <w:u w:val="single"/>
        </w:rPr>
      </w:pPr>
      <w:r>
        <w:rPr>
          <w:rFonts w:hint="eastAsia" w:ascii="宋体" w:hAnsi="宋体" w:cs="仿宋"/>
          <w:color w:val="000000"/>
          <w:sz w:val="24"/>
          <w:szCs w:val="24"/>
        </w:rPr>
        <w:t>授权代表：</w:t>
      </w:r>
      <w:r>
        <w:rPr>
          <w:rFonts w:hint="eastAsia" w:ascii="宋体" w:hAnsi="宋体" w:cs="仿宋"/>
          <w:color w:val="000000"/>
          <w:sz w:val="24"/>
          <w:szCs w:val="24"/>
          <w:u w:val="single"/>
        </w:rPr>
        <w:t xml:space="preserve">                                                                 </w:t>
      </w:r>
    </w:p>
    <w:p w14:paraId="688CA42C">
      <w:pPr>
        <w:spacing w:line="360" w:lineRule="auto"/>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162734B8">
      <w:pPr>
        <w:spacing w:line="360" w:lineRule="auto"/>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30632C97">
      <w:pPr>
        <w:spacing w:line="360" w:lineRule="auto"/>
        <w:outlineLvl w:val="1"/>
        <w:rPr>
          <w:rFonts w:ascii="宋体" w:hAnsi="宋体" w:cs="仿宋"/>
          <w:bCs/>
          <w:color w:val="000000"/>
          <w:sz w:val="24"/>
          <w:szCs w:val="24"/>
        </w:rPr>
      </w:pPr>
      <w:r>
        <w:rPr>
          <w:rFonts w:hint="eastAsia" w:ascii="宋体" w:hAnsi="宋体" w:cs="仿宋"/>
          <w:bCs/>
          <w:color w:val="000000"/>
          <w:sz w:val="24"/>
          <w:szCs w:val="24"/>
        </w:rPr>
        <w:t>二、质疑项目基本情况</w:t>
      </w:r>
    </w:p>
    <w:p w14:paraId="0FB7EA28">
      <w:pPr>
        <w:spacing w:line="360" w:lineRule="auto"/>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single"/>
        </w:rPr>
        <w:t xml:space="preserve">                                                          </w:t>
      </w:r>
    </w:p>
    <w:p w14:paraId="73F92846">
      <w:pPr>
        <w:spacing w:line="360" w:lineRule="auto"/>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包号：</w:t>
      </w:r>
      <w:r>
        <w:rPr>
          <w:rFonts w:hint="eastAsia" w:ascii="宋体" w:hAnsi="宋体" w:cs="仿宋"/>
          <w:color w:val="000000"/>
          <w:sz w:val="24"/>
          <w:szCs w:val="24"/>
          <w:u w:val="single"/>
        </w:rPr>
        <w:t xml:space="preserve">                           </w:t>
      </w:r>
    </w:p>
    <w:p w14:paraId="2B998E7F">
      <w:pPr>
        <w:spacing w:line="360" w:lineRule="auto"/>
        <w:rPr>
          <w:rFonts w:ascii="宋体" w:hAnsi="宋体" w:cs="仿宋"/>
          <w:color w:val="000000"/>
          <w:sz w:val="24"/>
          <w:szCs w:val="24"/>
          <w:u w:val="single"/>
        </w:rPr>
      </w:pPr>
      <w:r>
        <w:rPr>
          <w:rFonts w:hint="eastAsia" w:ascii="宋体" w:hAnsi="宋体" w:cs="仿宋"/>
          <w:color w:val="000000"/>
          <w:sz w:val="24"/>
          <w:szCs w:val="24"/>
        </w:rPr>
        <w:t>采购人名称：</w:t>
      </w:r>
      <w:r>
        <w:rPr>
          <w:rFonts w:hint="eastAsia" w:ascii="宋体" w:hAnsi="宋体" w:cs="仿宋"/>
          <w:color w:val="000000"/>
          <w:sz w:val="24"/>
          <w:szCs w:val="24"/>
          <w:u w:val="single"/>
        </w:rPr>
        <w:t xml:space="preserve">                                                              </w:t>
      </w:r>
    </w:p>
    <w:p w14:paraId="70BD906A">
      <w:pPr>
        <w:spacing w:line="360" w:lineRule="auto"/>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single"/>
        </w:rPr>
        <w:t xml:space="preserve">                                                        </w:t>
      </w:r>
    </w:p>
    <w:p w14:paraId="7188D15A">
      <w:pPr>
        <w:spacing w:line="360" w:lineRule="auto"/>
        <w:outlineLvl w:val="1"/>
        <w:rPr>
          <w:rFonts w:ascii="宋体" w:hAnsi="宋体" w:cs="仿宋"/>
          <w:bCs/>
          <w:color w:val="000000"/>
          <w:sz w:val="24"/>
          <w:szCs w:val="24"/>
        </w:rPr>
      </w:pPr>
      <w:r>
        <w:rPr>
          <w:rFonts w:hint="eastAsia" w:ascii="宋体" w:hAnsi="宋体" w:cs="仿宋"/>
          <w:bCs/>
          <w:color w:val="000000"/>
          <w:sz w:val="24"/>
          <w:szCs w:val="24"/>
        </w:rPr>
        <w:t>三、质疑事项具体内容</w:t>
      </w:r>
    </w:p>
    <w:p w14:paraId="07544A55">
      <w:pPr>
        <w:spacing w:line="360" w:lineRule="auto"/>
        <w:rPr>
          <w:rFonts w:ascii="宋体" w:hAnsi="宋体" w:cs="仿宋"/>
          <w:color w:val="000000"/>
          <w:sz w:val="24"/>
          <w:szCs w:val="24"/>
          <w:u w:val="single"/>
        </w:rPr>
      </w:pPr>
      <w:r>
        <w:rPr>
          <w:rFonts w:hint="eastAsia" w:ascii="宋体" w:hAnsi="宋体" w:cs="仿宋"/>
          <w:color w:val="000000"/>
          <w:sz w:val="24"/>
          <w:szCs w:val="24"/>
        </w:rPr>
        <w:t>质疑事项1：</w:t>
      </w:r>
      <w:r>
        <w:rPr>
          <w:rFonts w:hint="eastAsia" w:ascii="宋体" w:hAnsi="宋体" w:cs="仿宋"/>
          <w:color w:val="000000"/>
          <w:sz w:val="24"/>
          <w:szCs w:val="24"/>
          <w:u w:val="single"/>
        </w:rPr>
        <w:t xml:space="preserve">                                                              </w:t>
      </w:r>
    </w:p>
    <w:p w14:paraId="28ED4F0E">
      <w:pPr>
        <w:spacing w:line="360" w:lineRule="auto"/>
        <w:rPr>
          <w:rFonts w:ascii="宋体" w:hAnsi="宋体" w:cs="仿宋"/>
          <w:color w:val="000000"/>
          <w:sz w:val="24"/>
          <w:szCs w:val="24"/>
          <w:u w:val="single"/>
        </w:rPr>
      </w:pPr>
      <w:r>
        <w:rPr>
          <w:rFonts w:hint="eastAsia" w:ascii="宋体" w:hAnsi="宋体" w:cs="仿宋"/>
          <w:color w:val="000000"/>
          <w:sz w:val="24"/>
          <w:szCs w:val="24"/>
        </w:rPr>
        <w:t>事实依据：</w:t>
      </w:r>
      <w:r>
        <w:rPr>
          <w:rFonts w:hint="eastAsia" w:ascii="宋体" w:hAnsi="宋体" w:cs="仿宋"/>
          <w:color w:val="000000"/>
          <w:sz w:val="24"/>
          <w:szCs w:val="24"/>
          <w:u w:val="single"/>
        </w:rPr>
        <w:t xml:space="preserve">                                                                </w:t>
      </w:r>
    </w:p>
    <w:p w14:paraId="6D690BFD">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p>
    <w:p w14:paraId="38AC80F6">
      <w:pPr>
        <w:spacing w:line="360" w:lineRule="auto"/>
        <w:rPr>
          <w:rFonts w:ascii="宋体" w:hAnsi="宋体" w:cs="仿宋"/>
          <w:color w:val="000000"/>
          <w:sz w:val="24"/>
          <w:szCs w:val="24"/>
          <w:u w:val="single"/>
        </w:rPr>
      </w:pPr>
      <w:r>
        <w:rPr>
          <w:rFonts w:hint="eastAsia" w:ascii="宋体" w:hAnsi="宋体" w:cs="仿宋"/>
          <w:color w:val="000000"/>
          <w:sz w:val="24"/>
          <w:szCs w:val="24"/>
        </w:rPr>
        <w:t>法律依据：</w:t>
      </w:r>
      <w:r>
        <w:rPr>
          <w:rFonts w:hint="eastAsia" w:ascii="宋体" w:hAnsi="宋体" w:cs="仿宋"/>
          <w:color w:val="000000"/>
          <w:sz w:val="24"/>
          <w:szCs w:val="24"/>
          <w:u w:val="single"/>
        </w:rPr>
        <w:t xml:space="preserve">                                                                 </w:t>
      </w:r>
    </w:p>
    <w:p w14:paraId="538173E1">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p>
    <w:p w14:paraId="74FF12DB">
      <w:pPr>
        <w:spacing w:line="360" w:lineRule="auto"/>
        <w:rPr>
          <w:rFonts w:ascii="宋体" w:hAnsi="宋体" w:cs="仿宋"/>
          <w:color w:val="000000"/>
          <w:sz w:val="24"/>
          <w:szCs w:val="24"/>
          <w:u w:val="single"/>
        </w:rPr>
      </w:pPr>
      <w:r>
        <w:rPr>
          <w:rFonts w:hint="eastAsia" w:ascii="宋体" w:hAnsi="宋体" w:cs="仿宋"/>
          <w:color w:val="000000"/>
          <w:sz w:val="24"/>
          <w:szCs w:val="24"/>
        </w:rPr>
        <w:t>质疑事项2</w:t>
      </w:r>
    </w:p>
    <w:p w14:paraId="605DE7EC">
      <w:pPr>
        <w:spacing w:line="360" w:lineRule="auto"/>
        <w:rPr>
          <w:rFonts w:ascii="宋体" w:hAnsi="宋体" w:cs="仿宋"/>
          <w:color w:val="000000"/>
          <w:sz w:val="24"/>
          <w:szCs w:val="24"/>
        </w:rPr>
      </w:pPr>
      <w:r>
        <w:rPr>
          <w:rFonts w:hint="eastAsia" w:ascii="宋体" w:hAnsi="宋体" w:cs="仿宋"/>
          <w:color w:val="000000"/>
          <w:sz w:val="24"/>
          <w:szCs w:val="24"/>
        </w:rPr>
        <w:t>……</w:t>
      </w:r>
    </w:p>
    <w:p w14:paraId="193FF333">
      <w:pPr>
        <w:spacing w:line="360" w:lineRule="auto"/>
        <w:outlineLvl w:val="1"/>
        <w:rPr>
          <w:rFonts w:ascii="宋体" w:hAnsi="宋体" w:cs="仿宋"/>
          <w:bCs/>
          <w:color w:val="000000"/>
          <w:sz w:val="24"/>
          <w:szCs w:val="24"/>
        </w:rPr>
      </w:pPr>
      <w:r>
        <w:rPr>
          <w:rFonts w:hint="eastAsia" w:ascii="宋体" w:hAnsi="宋体" w:cs="仿宋"/>
          <w:bCs/>
          <w:color w:val="000000"/>
          <w:sz w:val="24"/>
          <w:szCs w:val="24"/>
        </w:rPr>
        <w:t>四、与质疑事项相关的质疑请求</w:t>
      </w:r>
    </w:p>
    <w:p w14:paraId="4DFB693B">
      <w:pPr>
        <w:spacing w:line="360" w:lineRule="auto"/>
        <w:rPr>
          <w:rFonts w:ascii="宋体" w:hAnsi="宋体" w:cs="仿宋"/>
          <w:color w:val="000000"/>
          <w:sz w:val="24"/>
          <w:szCs w:val="24"/>
          <w:u w:val="single"/>
        </w:rPr>
      </w:pPr>
      <w:r>
        <w:rPr>
          <w:rFonts w:hint="eastAsia" w:ascii="宋体" w:hAnsi="宋体" w:cs="仿宋"/>
          <w:color w:val="000000"/>
          <w:sz w:val="24"/>
          <w:szCs w:val="24"/>
        </w:rPr>
        <w:t>请求：</w:t>
      </w:r>
      <w:r>
        <w:rPr>
          <w:rFonts w:hint="eastAsia" w:ascii="宋体" w:hAnsi="宋体" w:cs="仿宋"/>
          <w:color w:val="000000"/>
          <w:sz w:val="24"/>
          <w:szCs w:val="24"/>
          <w:u w:val="single"/>
        </w:rPr>
        <w:t xml:space="preserve">                                                                     </w:t>
      </w:r>
    </w:p>
    <w:p w14:paraId="48025C2C">
      <w:pPr>
        <w:rPr>
          <w:rFonts w:ascii="宋体" w:hAnsi="宋体"/>
          <w:color w:val="000000"/>
          <w:sz w:val="24"/>
          <w:szCs w:val="24"/>
        </w:rPr>
      </w:pPr>
      <w:r>
        <w:rPr>
          <w:rFonts w:hint="eastAsia" w:ascii="宋体" w:hAnsi="宋体"/>
          <w:color w:val="000000"/>
          <w:sz w:val="24"/>
          <w:szCs w:val="24"/>
        </w:rPr>
        <w:t xml:space="preserve">签字(签章)：                   公章：                      </w:t>
      </w:r>
    </w:p>
    <w:p w14:paraId="639523CE">
      <w:pPr>
        <w:rPr>
          <w:rFonts w:ascii="宋体" w:hAnsi="宋体"/>
          <w:color w:val="000000"/>
          <w:sz w:val="24"/>
          <w:szCs w:val="24"/>
        </w:rPr>
      </w:pPr>
      <w:r>
        <w:rPr>
          <w:rFonts w:hint="eastAsia" w:ascii="宋体" w:hAnsi="宋体"/>
          <w:color w:val="000000"/>
          <w:sz w:val="24"/>
          <w:szCs w:val="24"/>
        </w:rPr>
        <w:t xml:space="preserve">日期：    </w:t>
      </w:r>
    </w:p>
    <w:p w14:paraId="58B366FA">
      <w:pPr>
        <w:spacing w:line="400" w:lineRule="exact"/>
        <w:rPr>
          <w:rFonts w:ascii="宋体" w:hAnsi="宋体"/>
          <w:b/>
          <w:color w:val="000000"/>
          <w:sz w:val="24"/>
          <w:szCs w:val="24"/>
        </w:rPr>
      </w:pPr>
      <w:r>
        <w:rPr>
          <w:rFonts w:hint="eastAsia" w:ascii="宋体" w:hAnsi="宋体"/>
          <w:b/>
          <w:color w:val="000000"/>
          <w:sz w:val="24"/>
          <w:szCs w:val="24"/>
        </w:rPr>
        <w:t>质疑函制作说明：</w:t>
      </w:r>
    </w:p>
    <w:p w14:paraId="1617F14D">
      <w:pPr>
        <w:widowControl/>
        <w:spacing w:line="400" w:lineRule="exact"/>
        <w:ind w:firstLine="480"/>
        <w:jc w:val="left"/>
        <w:outlineLvl w:val="2"/>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0BA7F7D5">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sz w:val="24"/>
          <w:szCs w:val="24"/>
        </w:rPr>
        <w:t>供应商签署的授权委托书。授权委托书应载明代理人的姓名或者名称、代理事项、具体权限、期限和相关事项。</w:t>
      </w:r>
    </w:p>
    <w:p w14:paraId="6A38583C">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3.质疑供应商若对项目的某一分包进行质疑，质疑函中应列明具体分包号。</w:t>
      </w:r>
    </w:p>
    <w:p w14:paraId="153C418A">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7AD7D0B2">
      <w:pPr>
        <w:widowControl/>
        <w:spacing w:line="400" w:lineRule="exact"/>
        <w:ind w:firstLine="480"/>
        <w:jc w:val="left"/>
        <w:outlineLvl w:val="2"/>
        <w:rPr>
          <w:rFonts w:ascii="宋体" w:hAnsi="宋体"/>
          <w:color w:val="000000"/>
          <w:sz w:val="24"/>
          <w:szCs w:val="24"/>
        </w:rPr>
      </w:pPr>
      <w:r>
        <w:rPr>
          <w:rFonts w:hint="eastAsia" w:ascii="宋体" w:hAnsi="宋体"/>
          <w:color w:val="000000"/>
          <w:sz w:val="24"/>
          <w:szCs w:val="24"/>
        </w:rPr>
        <w:t>5.质疑函的质疑请求应与质疑事项相关。</w:t>
      </w:r>
    </w:p>
    <w:p w14:paraId="7F697FF7">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6.质疑供应商为自然人的，质疑函应由本人签字；质疑供应商为法人或者其他组织的，质疑函应由法定代表人、主要负责人，或者其授权代表签字或者盖章，并加盖公章。</w:t>
      </w:r>
    </w:p>
    <w:p w14:paraId="1BCA2636"/>
    <w:sectPr>
      <w:footerReference r:id="rId7" w:type="default"/>
      <w:type w:val="continuous"/>
      <w:pgSz w:w="11906" w:h="16838"/>
      <w:pgMar w:top="1440" w:right="1304" w:bottom="1440"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ED32A69-9D03-4CC6-9A52-285A3ECE2AF6}"/>
  </w:font>
  <w:font w:name="Arial">
    <w:panose1 w:val="020B0604020202020204"/>
    <w:charset w:val="01"/>
    <w:family w:val="swiss"/>
    <w:pitch w:val="default"/>
    <w:sig w:usb0="E0002EFF" w:usb1="C000785B" w:usb2="00000009" w:usb3="00000000" w:csb0="400001FF" w:csb1="FFFF0000"/>
    <w:embedRegular r:id="rId2" w:fontKey="{4129E87D-2672-4C71-9EE7-8978CE9E1540}"/>
  </w:font>
  <w:font w:name="黑体">
    <w:panose1 w:val="02010609060101010101"/>
    <w:charset w:val="86"/>
    <w:family w:val="auto"/>
    <w:pitch w:val="default"/>
    <w:sig w:usb0="800002BF" w:usb1="38CF7CFA" w:usb2="00000016" w:usb3="00000000" w:csb0="00040001" w:csb1="00000000"/>
    <w:embedRegular r:id="rId3" w:fontKey="{937784F5-607C-4819-BE62-0891AF46F0F9}"/>
  </w:font>
  <w:font w:name="Courier New">
    <w:panose1 w:val="02070309020205020404"/>
    <w:charset w:val="01"/>
    <w:family w:val="modern"/>
    <w:pitch w:val="default"/>
    <w:sig w:usb0="E0002EFF" w:usb1="C0007843" w:usb2="00000009" w:usb3="00000000" w:csb0="400001FF" w:csb1="FFFF0000"/>
    <w:embedRegular r:id="rId4" w:fontKey="{36EDBDC8-261E-49E3-9615-25082910C80C}"/>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5" w:fontKey="{C0BCB4F6-2CB9-4180-9193-C5D77467DC4D}"/>
  </w:font>
  <w:font w:name="仿宋_GB2312">
    <w:panose1 w:val="02010609030101010101"/>
    <w:charset w:val="86"/>
    <w:family w:val="auto"/>
    <w:pitch w:val="default"/>
    <w:sig w:usb0="00000001" w:usb1="080E0000" w:usb2="00000000" w:usb3="00000000" w:csb0="00040000" w:csb1="00000000"/>
    <w:embedRegular r:id="rId6" w:fontKey="{99281E6A-DD53-4D5B-A921-14060BCFB8CF}"/>
  </w:font>
  <w:font w:name="新宋体">
    <w:panose1 w:val="02010609030101010101"/>
    <w:charset w:val="86"/>
    <w:family w:val="auto"/>
    <w:pitch w:val="default"/>
    <w:sig w:usb0="00000203" w:usb1="288F0000" w:usb2="00000006" w:usb3="00000000" w:csb0="00040001" w:csb1="00000000"/>
  </w:font>
  <w:font w:name="仿宋">
    <w:panose1 w:val="02010609060101010101"/>
    <w:charset w:val="86"/>
    <w:family w:val="auto"/>
    <w:pitch w:val="default"/>
    <w:sig w:usb0="800002BF" w:usb1="38CF7CFA" w:usb2="00000016" w:usb3="00000000" w:csb0="00040001" w:csb1="00000000"/>
    <w:embedRegular r:id="rId7" w:fontKey="{3D35FFC7-9688-4B6B-A44A-BACE7280BC5E}"/>
  </w:font>
  <w:font w:name="楷体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Arial Unicode MS">
    <w:panose1 w:val="020B0604020202020204"/>
    <w:charset w:val="86"/>
    <w:family w:val="auto"/>
    <w:pitch w:val="default"/>
    <w:sig w:usb0="FFFFFFFF" w:usb1="E9FFFFFF" w:usb2="0000003F" w:usb3="00000000" w:csb0="603F01FF" w:csb1="FFFF0000"/>
  </w:font>
  <w:font w:name="方正黑体_GBK">
    <w:panose1 w:val="03000509000000000000"/>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embedRegular r:id="rId8" w:fontKey="{E49DCF49-A45B-4746-A6FA-739F0554B607}"/>
  </w:font>
  <w:font w:name="华文楷体">
    <w:panose1 w:val="02010600040101010101"/>
    <w:charset w:val="86"/>
    <w:family w:val="auto"/>
    <w:pitch w:val="default"/>
    <w:sig w:usb0="00000287" w:usb1="080F0000" w:usb2="00000000" w:usb3="00000000" w:csb0="0004009F" w:csb1="DFD70000"/>
  </w:font>
  <w:font w:name="方正仿宋_GBK">
    <w:panose1 w:val="02000000000000000000"/>
    <w:charset w:val="86"/>
    <w:family w:val="auto"/>
    <w:pitch w:val="default"/>
    <w:sig w:usb0="00000001" w:usb1="080E0000" w:usb2="00000000" w:usb3="00000000" w:csb0="00040000" w:csb1="00000000"/>
    <w:embedRegular r:id="rId9" w:fontKey="{7B5985B2-B84D-459A-9B50-F6F5E8E4A37D}"/>
  </w:font>
  <w:font w:name="Segoe UI">
    <w:panose1 w:val="020B0502040204020203"/>
    <w:charset w:val="00"/>
    <w:family w:val="auto"/>
    <w:pitch w:val="default"/>
    <w:sig w:usb0="E4002EFF" w:usb1="C000E47F" w:usb2="00000009" w:usb3="00000000" w:csb0="200001FF" w:csb1="00000000"/>
    <w:embedRegular r:id="rId10" w:fontKey="{D530D621-02E9-4827-904E-1595486F87E9}"/>
  </w:font>
  <w:font w:name="等线">
    <w:panose1 w:val="02010600030101010101"/>
    <w:charset w:val="86"/>
    <w:family w:val="auto"/>
    <w:pitch w:val="default"/>
    <w:sig w:usb0="A00002BF" w:usb1="38CF7CFA" w:usb2="00000016" w:usb3="00000000" w:csb0="0004000F" w:csb1="00000000"/>
    <w:embedRegular r:id="rId11" w:fontKey="{14086D43-A040-478B-9797-4E6CAA15100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07D45">
    <w:pPr>
      <w:pStyle w:val="96"/>
      <w:jc w:val="center"/>
    </w:pPr>
  </w:p>
  <w:p w14:paraId="214EBD90">
    <w:pPr>
      <w:pStyle w:val="9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CED07C">
    <w:pPr>
      <w:pStyle w:val="9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3EEEA2B">
                          <w:pPr>
                            <w:pStyle w:val="96"/>
                            <w:tabs>
                              <w:tab w:val="clear" w:pos="4153"/>
                              <w:tab w:val="clear" w:pos="8306"/>
                            </w:tabs>
                          </w:pPr>
                          <w:r>
                            <w:fldChar w:fldCharType="begin"/>
                          </w:r>
                          <w:r>
                            <w:instrText xml:space="preserve"> PAGE  \* MERGEFORMAT </w:instrText>
                          </w:r>
                          <w:r>
                            <w:fldChar w:fldCharType="separate"/>
                          </w:r>
                          <w:r>
                            <w:t>1</w:t>
                          </w:r>
                          <w:r>
                            <w:fldChar w:fldCharType="end"/>
                          </w:r>
                        </w:p>
                        <w:p w14:paraId="4081674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03EEEA2B">
                    <w:pPr>
                      <w:pStyle w:val="96"/>
                      <w:tabs>
                        <w:tab w:val="clear" w:pos="4153"/>
                        <w:tab w:val="clear" w:pos="8306"/>
                      </w:tabs>
                    </w:pPr>
                    <w:r>
                      <w:fldChar w:fldCharType="begin"/>
                    </w:r>
                    <w:r>
                      <w:instrText xml:space="preserve"> PAGE  \* MERGEFORMAT </w:instrText>
                    </w:r>
                    <w:r>
                      <w:fldChar w:fldCharType="separate"/>
                    </w:r>
                    <w:r>
                      <w:t>1</w:t>
                    </w:r>
                    <w:r>
                      <w:fldChar w:fldCharType="end"/>
                    </w:r>
                  </w:p>
                  <w:p w14:paraId="4081674B"/>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EA4A1">
    <w:pPr>
      <w:pStyle w:val="9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EEE9D8A">
                          <w:pPr>
                            <w:pStyle w:val="20"/>
                          </w:pPr>
                          <w:r>
                            <w:t xml:space="preserve">— </w:t>
                          </w:r>
                          <w:r>
                            <w:fldChar w:fldCharType="begin"/>
                          </w:r>
                          <w:r>
                            <w:instrText xml:space="preserve"> PAGE  \* MERGEFORMAT </w:instrText>
                          </w:r>
                          <w:r>
                            <w:fldChar w:fldCharType="separate"/>
                          </w:r>
                          <w:r>
                            <w:t>1</w:t>
                          </w:r>
                          <w:r>
                            <w:fldChar w:fldCharType="end"/>
                          </w:r>
                          <w:r>
                            <w:t xml:space="preserve"> —</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7EEE9D8A">
                    <w:pPr>
                      <w:pStyle w:val="20"/>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p w14:paraId="2C244337">
    <w:pPr>
      <w:pStyle w:val="9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3E0E7">
    <w:pPr>
      <w:pStyle w:val="96"/>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1EE65AE">
                          <w:pPr>
                            <w:pStyle w:val="20"/>
                          </w:pPr>
                          <w:r>
                            <w:t xml:space="preserve">— </w:t>
                          </w:r>
                          <w:r>
                            <w:fldChar w:fldCharType="begin"/>
                          </w:r>
                          <w:r>
                            <w:instrText xml:space="preserve"> PAGE  \* MERGEFORMAT </w:instrText>
                          </w:r>
                          <w:r>
                            <w:fldChar w:fldCharType="separate"/>
                          </w:r>
                          <w:r>
                            <w:t>1</w:t>
                          </w:r>
                          <w:r>
                            <w:fldChar w:fldCharType="end"/>
                          </w:r>
                          <w:r>
                            <w:t xml:space="preserve"> —</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21EE65AE">
                    <w:pPr>
                      <w:pStyle w:val="20"/>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p w14:paraId="4F80C94B">
    <w:pPr>
      <w:pStyle w:val="9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E9931">
    <w:pPr>
      <w:pStyle w:val="98"/>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chineseCounting"/>
      <w:pStyle w:val="466"/>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0053208E"/>
    <w:multiLevelType w:val="multilevel"/>
    <w:tmpl w:val="0053208E"/>
    <w:lvl w:ilvl="0" w:tentative="0">
      <w:start w:val="1"/>
      <w:numFmt w:val="decimal"/>
      <w:pStyle w:val="451"/>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0248C179"/>
    <w:multiLevelType w:val="multilevel"/>
    <w:tmpl w:val="0248C179"/>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1"/>
      <w:numFmt w:val="decimal"/>
      <w:suff w:val="space"/>
      <w:lvlText w:val="(%1)"/>
      <w:lvlJc w:val="left"/>
      <w:pPr>
        <w:ind w:left="420" w:hanging="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A8F537B"/>
    <w:multiLevelType w:val="multilevel"/>
    <w:tmpl w:val="2A8F537B"/>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A241D34"/>
    <w:multiLevelType w:val="multilevel"/>
    <w:tmpl w:val="5A241D34"/>
    <w:lvl w:ilvl="0" w:tentative="0">
      <w:start w:val="1"/>
      <w:numFmt w:val="decimal"/>
      <w:suff w:val="space"/>
      <w:lvlText w:val="(%1)"/>
      <w:lvlJc w:val="left"/>
      <w:pPr>
        <w:ind w:left="420" w:hanging="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2183CF9"/>
    <w:multiLevelType w:val="multilevel"/>
    <w:tmpl w:val="72183CF9"/>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21C8D"/>
    <w:rsid w:val="05D2339D"/>
    <w:rsid w:val="068A7DD8"/>
    <w:rsid w:val="09D641AF"/>
    <w:rsid w:val="199D21E8"/>
    <w:rsid w:val="22E32713"/>
    <w:rsid w:val="29B449E4"/>
    <w:rsid w:val="2F666780"/>
    <w:rsid w:val="30DD2A72"/>
    <w:rsid w:val="36266C69"/>
    <w:rsid w:val="3F577E93"/>
    <w:rsid w:val="3F5A3A7F"/>
    <w:rsid w:val="49FF7F76"/>
    <w:rsid w:val="4BFB49C8"/>
    <w:rsid w:val="4E4C582F"/>
    <w:rsid w:val="55C951EF"/>
    <w:rsid w:val="586D09FC"/>
    <w:rsid w:val="59812A38"/>
    <w:rsid w:val="5ED879CC"/>
    <w:rsid w:val="620C284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91"/>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annotation text"/>
    <w:basedOn w:val="1"/>
    <w:qFormat/>
    <w:uiPriority w:val="0"/>
    <w:pPr>
      <w:jc w:val="left"/>
    </w:pPr>
  </w:style>
  <w:style w:type="paragraph" w:styleId="14">
    <w:name w:val="Body Text Indent"/>
    <w:basedOn w:val="1"/>
    <w:unhideWhenUsed/>
    <w:qFormat/>
    <w:uiPriority w:val="0"/>
    <w:pPr>
      <w:spacing w:after="120"/>
      <w:ind w:left="420"/>
    </w:p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qFormat/>
    <w:uiPriority w:val="0"/>
    <w:rPr>
      <w:rFonts w:ascii="宋体" w:hAnsi="Courier New" w:cs="Courier New"/>
    </w:rPr>
  </w:style>
  <w:style w:type="paragraph" w:styleId="18">
    <w:name w:val="toc 8"/>
    <w:basedOn w:val="1"/>
    <w:next w:val="1"/>
    <w:unhideWhenUsed/>
    <w:qFormat/>
    <w:uiPriority w:val="39"/>
    <w:pPr>
      <w:spacing w:after="57"/>
      <w:ind w:left="1984" w:right="0" w:firstLine="0"/>
    </w:pPr>
  </w:style>
  <w:style w:type="paragraph" w:styleId="19">
    <w:name w:val="endnote text"/>
    <w:basedOn w:val="1"/>
    <w:semiHidden/>
    <w:unhideWhenUsed/>
    <w:qFormat/>
    <w:uiPriority w:val="99"/>
    <w:pPr>
      <w:spacing w:after="0" w:line="240" w:lineRule="auto"/>
    </w:pPr>
    <w:rPr>
      <w:sz w:val="20"/>
    </w:rPr>
  </w:style>
  <w:style w:type="paragraph" w:styleId="20">
    <w:name w:val="footer"/>
    <w:basedOn w:val="1"/>
    <w:unhideWhenUsed/>
    <w:qFormat/>
    <w:uiPriority w:val="99"/>
    <w:pPr>
      <w:tabs>
        <w:tab w:val="center" w:pos="7143"/>
        <w:tab w:val="right" w:pos="14287"/>
      </w:tabs>
      <w:spacing w:after="0" w:line="240" w:lineRule="auto"/>
    </w:pPr>
  </w:style>
  <w:style w:type="paragraph" w:styleId="21">
    <w:name w:val="header"/>
    <w:basedOn w:val="1"/>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qFormat/>
    <w:uiPriority w:val="11"/>
    <w:pPr>
      <w:spacing w:before="200" w:after="200"/>
    </w:pPr>
    <w:rPr>
      <w:sz w:val="24"/>
      <w:szCs w:val="24"/>
    </w:rPr>
  </w:style>
  <w:style w:type="paragraph" w:styleId="25">
    <w:name w:val="footnote text"/>
    <w:basedOn w:val="1"/>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qFormat/>
    <w:uiPriority w:val="0"/>
    <w:rPr>
      <w:sz w:val="24"/>
    </w:rPr>
  </w:style>
  <w:style w:type="paragraph" w:styleId="31">
    <w:name w:val="Title"/>
    <w:basedOn w:val="1"/>
    <w:next w:val="1"/>
    <w:qFormat/>
    <w:uiPriority w:val="10"/>
    <w:pPr>
      <w:spacing w:before="300" w:after="200"/>
      <w:contextualSpacing/>
    </w:pPr>
    <w:rPr>
      <w:sz w:val="48"/>
      <w:szCs w:val="48"/>
    </w:rPr>
  </w:style>
  <w:style w:type="paragraph" w:styleId="32">
    <w:name w:val="Body Text First Indent 2"/>
    <w:basedOn w:val="14"/>
    <w:qFormat/>
    <w:uiPriority w:val="99"/>
    <w:pPr>
      <w:ind w:firstLine="420"/>
    </w:pPr>
    <w:rPr>
      <w:rFonts w:ascii="仿宋_GB2312" w:hAnsi="Calibri" w:eastAsia="仿宋_GB2312"/>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rPr>
  </w:style>
  <w:style w:type="character" w:styleId="38">
    <w:name w:val="footnote reference"/>
    <w:unhideWhenUsed/>
    <w:qFormat/>
    <w:uiPriority w:val="99"/>
    <w:rPr>
      <w:vertAlign w:val="superscript"/>
    </w:rPr>
  </w:style>
  <w:style w:type="paragraph" w:styleId="39">
    <w:name w:val="List Paragraph"/>
    <w:basedOn w:val="1"/>
    <w:qFormat/>
    <w:uiPriority w:val="34"/>
    <w:pPr>
      <w:ind w:left="720"/>
      <w:contextualSpacing/>
    </w:pPr>
  </w:style>
  <w:style w:type="paragraph" w:styleId="40">
    <w:name w:val="No Spacing"/>
    <w:qFormat/>
    <w:uiPriority w:val="1"/>
    <w:pPr>
      <w:spacing w:before="0" w:after="0" w:line="240" w:lineRule="auto"/>
    </w:pPr>
    <w:rPr>
      <w:rFonts w:hint="default" w:ascii="Times New Roman" w:hAnsi="Times New Roman" w:eastAsia="宋体" w:cs="Times New Roman"/>
    </w:rPr>
  </w:style>
  <w:style w:type="paragraph" w:styleId="41">
    <w:name w:val="Quote"/>
    <w:basedOn w:val="1"/>
    <w:next w:val="1"/>
    <w:qFormat/>
    <w:uiPriority w:val="29"/>
    <w:pPr>
      <w:ind w:left="720" w:right="720"/>
    </w:pPr>
    <w:rPr>
      <w:i/>
    </w:rPr>
  </w:style>
  <w:style w:type="paragraph" w:styleId="42">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43">
    <w:name w:val="标题 11"/>
    <w:basedOn w:val="1"/>
    <w:next w:val="1"/>
    <w:link w:val="60"/>
    <w:qFormat/>
    <w:uiPriority w:val="0"/>
    <w:pPr>
      <w:keepNext/>
      <w:keepLines/>
      <w:spacing w:before="480" w:after="200"/>
      <w:outlineLvl w:val="0"/>
    </w:pPr>
    <w:rPr>
      <w:rFonts w:ascii="Arial" w:hAnsi="Arial" w:eastAsia="Arial" w:cs="Arial"/>
      <w:sz w:val="40"/>
      <w:szCs w:val="40"/>
    </w:rPr>
  </w:style>
  <w:style w:type="paragraph" w:customStyle="1" w:styleId="44">
    <w:name w:val="标题 211"/>
    <w:basedOn w:val="1"/>
    <w:next w:val="45"/>
    <w:link w:val="61"/>
    <w:qFormat/>
    <w:uiPriority w:val="0"/>
    <w:pPr>
      <w:keepNext/>
      <w:keepLines/>
      <w:spacing w:before="260" w:after="260" w:line="413" w:lineRule="auto"/>
      <w:outlineLvl w:val="1"/>
    </w:pPr>
    <w:rPr>
      <w:rFonts w:ascii="Arial" w:hAnsi="Arial" w:eastAsia="黑体"/>
      <w:b/>
      <w:sz w:val="32"/>
      <w:szCs w:val="20"/>
    </w:rPr>
  </w:style>
  <w:style w:type="paragraph" w:customStyle="1" w:styleId="45">
    <w:name w:val="正文缩进11"/>
    <w:basedOn w:val="1"/>
    <w:link w:val="62"/>
    <w:qFormat/>
    <w:uiPriority w:val="0"/>
    <w:pPr>
      <w:ind w:firstLine="420"/>
    </w:pPr>
    <w:rPr>
      <w:rFonts w:ascii="宋体"/>
      <w:color w:val="000000"/>
      <w:sz w:val="24"/>
      <w:szCs w:val="20"/>
    </w:rPr>
  </w:style>
  <w:style w:type="paragraph" w:customStyle="1" w:styleId="46">
    <w:name w:val="标题 311"/>
    <w:basedOn w:val="47"/>
    <w:next w:val="48"/>
    <w:link w:val="63"/>
    <w:qFormat/>
    <w:uiPriority w:val="0"/>
    <w:pPr>
      <w:keepNext/>
      <w:keepLines/>
      <w:spacing w:before="320" w:after="200"/>
      <w:outlineLvl w:val="2"/>
    </w:pPr>
    <w:rPr>
      <w:rFonts w:ascii="Arial" w:hAnsi="Arial" w:eastAsia="Arial" w:cs="Arial"/>
      <w:sz w:val="30"/>
      <w:szCs w:val="30"/>
    </w:rPr>
  </w:style>
  <w:style w:type="paragraph" w:customStyle="1" w:styleId="47">
    <w:name w:val="Normal1"/>
    <w:next w:val="4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8">
    <w:name w:val="Normal_19"/>
    <w:next w:val="49"/>
    <w:qFormat/>
    <w:uiPriority w:val="0"/>
    <w:rPr>
      <w:rFonts w:hint="default" w:ascii="黑体" w:hAnsi="黑体" w:eastAsia="黑体" w:cs="黑体"/>
      <w:b/>
      <w:sz w:val="32"/>
      <w:szCs w:val="24"/>
      <w:lang w:val="en-US" w:eastAsia="zh-CN" w:bidi="ar-SA"/>
    </w:rPr>
  </w:style>
  <w:style w:type="paragraph" w:customStyle="1" w:styleId="49">
    <w:name w:val="Normal11"/>
    <w:next w:val="50"/>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50">
    <w:name w:val="Body Text First Indent1"/>
    <w:basedOn w:val="51"/>
    <w:unhideWhenUsed/>
    <w:qFormat/>
    <w:uiPriority w:val="99"/>
    <w:pPr>
      <w:ind w:firstLine="420"/>
    </w:pPr>
  </w:style>
  <w:style w:type="paragraph" w:customStyle="1" w:styleId="51">
    <w:name w:val="Body Text1"/>
    <w:basedOn w:val="49"/>
    <w:unhideWhenUsed/>
    <w:qFormat/>
    <w:uiPriority w:val="99"/>
    <w:pPr>
      <w:spacing w:after="120"/>
    </w:pPr>
  </w:style>
  <w:style w:type="paragraph" w:customStyle="1" w:styleId="52">
    <w:name w:val="标题 411"/>
    <w:basedOn w:val="1"/>
    <w:next w:val="1"/>
    <w:link w:val="64"/>
    <w:qFormat/>
    <w:uiPriority w:val="0"/>
    <w:pPr>
      <w:keepNext/>
      <w:jc w:val="center"/>
      <w:outlineLvl w:val="3"/>
    </w:pPr>
    <w:rPr>
      <w:rFonts w:eastAsia="新宋体"/>
      <w:sz w:val="30"/>
      <w:szCs w:val="21"/>
    </w:rPr>
  </w:style>
  <w:style w:type="paragraph" w:customStyle="1" w:styleId="53">
    <w:name w:val="标题 51"/>
    <w:basedOn w:val="1"/>
    <w:next w:val="1"/>
    <w:link w:val="65"/>
    <w:qFormat/>
    <w:uiPriority w:val="0"/>
    <w:pPr>
      <w:keepNext/>
      <w:keepLines/>
      <w:spacing w:before="320" w:after="200"/>
      <w:outlineLvl w:val="4"/>
    </w:pPr>
    <w:rPr>
      <w:rFonts w:ascii="Arial" w:hAnsi="Arial" w:eastAsia="Arial" w:cs="Arial"/>
      <w:b/>
      <w:bCs/>
      <w:sz w:val="24"/>
      <w:szCs w:val="24"/>
    </w:rPr>
  </w:style>
  <w:style w:type="paragraph" w:customStyle="1" w:styleId="54">
    <w:name w:val="标题 61"/>
    <w:basedOn w:val="1"/>
    <w:next w:val="1"/>
    <w:link w:val="66"/>
    <w:qFormat/>
    <w:uiPriority w:val="0"/>
    <w:pPr>
      <w:keepNext/>
      <w:keepLines/>
      <w:spacing w:before="320" w:after="200"/>
      <w:outlineLvl w:val="5"/>
    </w:pPr>
    <w:rPr>
      <w:rFonts w:ascii="Arial" w:hAnsi="Arial" w:eastAsia="Arial" w:cs="Arial"/>
      <w:b/>
      <w:bCs/>
      <w:sz w:val="22"/>
    </w:rPr>
  </w:style>
  <w:style w:type="paragraph" w:customStyle="1" w:styleId="55">
    <w:name w:val="标题 71"/>
    <w:basedOn w:val="1"/>
    <w:next w:val="1"/>
    <w:link w:val="67"/>
    <w:qFormat/>
    <w:uiPriority w:val="0"/>
    <w:pPr>
      <w:keepNext/>
      <w:keepLines/>
      <w:spacing w:before="320" w:after="200"/>
      <w:outlineLvl w:val="6"/>
    </w:pPr>
    <w:rPr>
      <w:rFonts w:ascii="Arial" w:hAnsi="Arial" w:eastAsia="Arial" w:cs="Arial"/>
      <w:b/>
      <w:bCs/>
      <w:i/>
      <w:iCs/>
      <w:sz w:val="22"/>
    </w:rPr>
  </w:style>
  <w:style w:type="paragraph" w:customStyle="1" w:styleId="56">
    <w:name w:val="标题 81"/>
    <w:basedOn w:val="1"/>
    <w:next w:val="1"/>
    <w:link w:val="68"/>
    <w:qFormat/>
    <w:uiPriority w:val="0"/>
    <w:pPr>
      <w:keepNext/>
      <w:keepLines/>
      <w:spacing w:before="320" w:after="200"/>
      <w:outlineLvl w:val="7"/>
    </w:pPr>
    <w:rPr>
      <w:rFonts w:ascii="Arial" w:hAnsi="Arial" w:eastAsia="Arial" w:cs="Arial"/>
      <w:i/>
      <w:iCs/>
      <w:sz w:val="22"/>
    </w:rPr>
  </w:style>
  <w:style w:type="paragraph" w:customStyle="1" w:styleId="57">
    <w:name w:val="标题 91"/>
    <w:basedOn w:val="1"/>
    <w:next w:val="1"/>
    <w:link w:val="69"/>
    <w:qFormat/>
    <w:uiPriority w:val="0"/>
    <w:pPr>
      <w:keepNext/>
      <w:keepLines/>
      <w:spacing w:before="320" w:after="200"/>
      <w:outlineLvl w:val="8"/>
    </w:pPr>
    <w:rPr>
      <w:rFonts w:ascii="Arial" w:hAnsi="Arial" w:eastAsia="Arial" w:cs="Arial"/>
      <w:i/>
      <w:iCs/>
      <w:szCs w:val="21"/>
    </w:rPr>
  </w:style>
  <w:style w:type="character" w:customStyle="1" w:styleId="58">
    <w:name w:val="默认段落字体1"/>
    <w:link w:val="1"/>
    <w:unhideWhenUsed/>
    <w:qFormat/>
    <w:uiPriority w:val="1"/>
  </w:style>
  <w:style w:type="table" w:customStyle="1" w:styleId="59">
    <w:name w:val="普通表格1"/>
    <w:unhideWhenUsed/>
    <w:qFormat/>
    <w:uiPriority w:val="99"/>
  </w:style>
  <w:style w:type="character" w:customStyle="1" w:styleId="60">
    <w:name w:val="标题 1 字符"/>
    <w:link w:val="43"/>
    <w:qFormat/>
    <w:uiPriority w:val="0"/>
    <w:rPr>
      <w:rFonts w:ascii="Arial" w:hAnsi="Arial" w:eastAsia="Arial" w:cs="Arial"/>
      <w:sz w:val="40"/>
      <w:szCs w:val="40"/>
    </w:rPr>
  </w:style>
  <w:style w:type="character" w:customStyle="1" w:styleId="61">
    <w:name w:val="标题 2 字符"/>
    <w:link w:val="44"/>
    <w:qFormat/>
    <w:uiPriority w:val="0"/>
    <w:rPr>
      <w:rFonts w:ascii="Arial" w:hAnsi="Arial" w:eastAsia="Arial" w:cs="Arial"/>
      <w:sz w:val="34"/>
    </w:rPr>
  </w:style>
  <w:style w:type="character" w:customStyle="1" w:styleId="62">
    <w:name w:val="正文缩进 字符"/>
    <w:link w:val="45"/>
    <w:qFormat/>
    <w:uiPriority w:val="0"/>
    <w:rPr>
      <w:rFonts w:ascii="宋体" w:hAnsi="Calibri"/>
      <w:color w:val="000000"/>
      <w:sz w:val="24"/>
    </w:rPr>
  </w:style>
  <w:style w:type="character" w:customStyle="1" w:styleId="63">
    <w:name w:val="标题 3 字符"/>
    <w:link w:val="46"/>
    <w:qFormat/>
    <w:uiPriority w:val="0"/>
    <w:rPr>
      <w:rFonts w:ascii="Arial" w:hAnsi="Arial" w:eastAsia="Arial" w:cs="Arial"/>
      <w:sz w:val="30"/>
      <w:szCs w:val="30"/>
    </w:rPr>
  </w:style>
  <w:style w:type="character" w:customStyle="1" w:styleId="64">
    <w:name w:val="标题 4 字符"/>
    <w:link w:val="52"/>
    <w:qFormat/>
    <w:uiPriority w:val="0"/>
    <w:rPr>
      <w:rFonts w:ascii="Arial" w:hAnsi="Arial" w:eastAsia="Arial" w:cs="Arial"/>
      <w:b/>
      <w:bCs/>
      <w:sz w:val="26"/>
      <w:szCs w:val="26"/>
    </w:rPr>
  </w:style>
  <w:style w:type="character" w:customStyle="1" w:styleId="65">
    <w:name w:val="标题 5 字符"/>
    <w:link w:val="53"/>
    <w:qFormat/>
    <w:uiPriority w:val="0"/>
    <w:rPr>
      <w:rFonts w:ascii="Arial" w:hAnsi="Arial" w:eastAsia="Arial" w:cs="Arial"/>
      <w:b/>
      <w:bCs/>
      <w:sz w:val="24"/>
      <w:szCs w:val="24"/>
    </w:rPr>
  </w:style>
  <w:style w:type="character" w:customStyle="1" w:styleId="66">
    <w:name w:val="标题 6 字符"/>
    <w:link w:val="54"/>
    <w:qFormat/>
    <w:uiPriority w:val="0"/>
    <w:rPr>
      <w:rFonts w:ascii="Arial" w:hAnsi="Arial" w:eastAsia="Arial" w:cs="Arial"/>
      <w:b/>
      <w:bCs/>
      <w:sz w:val="22"/>
      <w:szCs w:val="22"/>
    </w:rPr>
  </w:style>
  <w:style w:type="character" w:customStyle="1" w:styleId="67">
    <w:name w:val="标题 7 字符"/>
    <w:link w:val="55"/>
    <w:qFormat/>
    <w:uiPriority w:val="0"/>
    <w:rPr>
      <w:rFonts w:ascii="Arial" w:hAnsi="Arial" w:eastAsia="Arial" w:cs="Arial"/>
      <w:b/>
      <w:bCs/>
      <w:i/>
      <w:iCs/>
      <w:sz w:val="22"/>
      <w:szCs w:val="22"/>
    </w:rPr>
  </w:style>
  <w:style w:type="character" w:customStyle="1" w:styleId="68">
    <w:name w:val="标题 8 字符"/>
    <w:link w:val="56"/>
    <w:qFormat/>
    <w:uiPriority w:val="0"/>
    <w:rPr>
      <w:rFonts w:ascii="Arial" w:hAnsi="Arial" w:eastAsia="Arial" w:cs="Arial"/>
      <w:i/>
      <w:iCs/>
      <w:sz w:val="22"/>
      <w:szCs w:val="22"/>
    </w:rPr>
  </w:style>
  <w:style w:type="character" w:customStyle="1" w:styleId="69">
    <w:name w:val="标题 9 字符"/>
    <w:link w:val="57"/>
    <w:qFormat/>
    <w:uiPriority w:val="0"/>
    <w:rPr>
      <w:rFonts w:ascii="Arial" w:hAnsi="Arial" w:eastAsia="Arial" w:cs="Arial"/>
      <w:i/>
      <w:iCs/>
      <w:sz w:val="21"/>
      <w:szCs w:val="21"/>
    </w:rPr>
  </w:style>
  <w:style w:type="paragraph" w:customStyle="1" w:styleId="70">
    <w:name w:val="列表 31"/>
    <w:basedOn w:val="1"/>
    <w:qFormat/>
    <w:uiPriority w:val="0"/>
    <w:pPr>
      <w:ind w:left="100" w:hanging="200"/>
    </w:pPr>
    <w:rPr>
      <w:rFonts w:ascii="Times New Roman" w:hAnsi="Times New Roman"/>
      <w:szCs w:val="21"/>
    </w:rPr>
  </w:style>
  <w:style w:type="paragraph" w:customStyle="1" w:styleId="71">
    <w:name w:val="目录 71"/>
    <w:basedOn w:val="1"/>
    <w:next w:val="1"/>
    <w:unhideWhenUsed/>
    <w:qFormat/>
    <w:uiPriority w:val="0"/>
    <w:pPr>
      <w:spacing w:after="57"/>
      <w:ind w:left="1701"/>
    </w:pPr>
  </w:style>
  <w:style w:type="paragraph" w:customStyle="1" w:styleId="72">
    <w:name w:val="题注1"/>
    <w:basedOn w:val="1"/>
    <w:next w:val="1"/>
    <w:qFormat/>
    <w:uiPriority w:val="35"/>
    <w:pPr>
      <w:spacing w:line="276" w:lineRule="auto"/>
    </w:pPr>
    <w:rPr>
      <w:b/>
      <w:bCs/>
      <w:color w:val="5B9BD5"/>
      <w:sz w:val="18"/>
      <w:szCs w:val="18"/>
    </w:rPr>
  </w:style>
  <w:style w:type="paragraph" w:customStyle="1" w:styleId="73">
    <w:name w:val="文档结构图1"/>
    <w:basedOn w:val="1"/>
    <w:link w:val="74"/>
    <w:semiHidden/>
    <w:qFormat/>
    <w:uiPriority w:val="0"/>
    <w:pPr>
      <w:shd w:val="clear" w:color="auto" w:fill="000080"/>
    </w:pPr>
    <w:rPr>
      <w:rFonts w:ascii="Times New Roman" w:hAnsi="Times New Roman"/>
      <w:szCs w:val="21"/>
    </w:rPr>
  </w:style>
  <w:style w:type="character" w:customStyle="1" w:styleId="74">
    <w:name w:val="文档结构图 字符"/>
    <w:link w:val="73"/>
    <w:semiHidden/>
    <w:qFormat/>
    <w:uiPriority w:val="0"/>
    <w:rPr>
      <w:sz w:val="21"/>
      <w:szCs w:val="21"/>
      <w:shd w:val="clear" w:color="auto" w:fill="000080"/>
    </w:rPr>
  </w:style>
  <w:style w:type="paragraph" w:customStyle="1" w:styleId="75">
    <w:name w:val="批注文字1"/>
    <w:basedOn w:val="1"/>
    <w:link w:val="76"/>
    <w:semiHidden/>
    <w:qFormat/>
    <w:uiPriority w:val="0"/>
    <w:pPr>
      <w:jc w:val="left"/>
    </w:pPr>
    <w:rPr>
      <w:rFonts w:ascii="Times New Roman" w:hAnsi="Times New Roman"/>
      <w:szCs w:val="21"/>
    </w:rPr>
  </w:style>
  <w:style w:type="character" w:customStyle="1" w:styleId="76">
    <w:name w:val="批注文字 字符"/>
    <w:link w:val="75"/>
    <w:semiHidden/>
    <w:qFormat/>
    <w:uiPriority w:val="0"/>
    <w:rPr>
      <w:sz w:val="21"/>
      <w:szCs w:val="21"/>
    </w:rPr>
  </w:style>
  <w:style w:type="paragraph" w:customStyle="1" w:styleId="77">
    <w:name w:val="正文文本 31"/>
    <w:basedOn w:val="1"/>
    <w:link w:val="78"/>
    <w:qFormat/>
    <w:uiPriority w:val="0"/>
    <w:rPr>
      <w:rFonts w:ascii="仿宋_GB2312" w:hAnsi="Arial" w:eastAsia="仿宋_GB2312"/>
      <w:sz w:val="32"/>
      <w:szCs w:val="32"/>
    </w:rPr>
  </w:style>
  <w:style w:type="character" w:customStyle="1" w:styleId="78">
    <w:name w:val="正文文本 3 字符"/>
    <w:link w:val="77"/>
    <w:qFormat/>
    <w:uiPriority w:val="0"/>
    <w:rPr>
      <w:rFonts w:ascii="仿宋_GB2312" w:hAnsi="Arial" w:eastAsia="仿宋_GB2312"/>
      <w:sz w:val="32"/>
      <w:szCs w:val="32"/>
    </w:rPr>
  </w:style>
  <w:style w:type="paragraph" w:customStyle="1" w:styleId="79">
    <w:name w:val="正文文本11"/>
    <w:basedOn w:val="1"/>
    <w:semiHidden/>
    <w:qFormat/>
    <w:uiPriority w:val="0"/>
    <w:rPr>
      <w:rFonts w:ascii="仿宋" w:hAnsi="仿宋" w:eastAsia="仿宋" w:cs="仿宋"/>
      <w:sz w:val="32"/>
      <w:szCs w:val="32"/>
      <w:lang w:val="en-US" w:eastAsia="en-US" w:bidi="ar-SA"/>
    </w:rPr>
  </w:style>
  <w:style w:type="paragraph" w:customStyle="1" w:styleId="80">
    <w:name w:val="正文文本缩进11"/>
    <w:basedOn w:val="1"/>
    <w:link w:val="81"/>
    <w:qFormat/>
    <w:uiPriority w:val="0"/>
    <w:pPr>
      <w:ind w:firstLine="225"/>
    </w:pPr>
    <w:rPr>
      <w:rFonts w:ascii="仿宋_GB2312" w:eastAsia="仿宋_GB2312"/>
      <w:sz w:val="32"/>
    </w:rPr>
  </w:style>
  <w:style w:type="character" w:customStyle="1" w:styleId="81">
    <w:name w:val="正文文本缩进 字符1"/>
    <w:link w:val="80"/>
    <w:qFormat/>
    <w:uiPriority w:val="0"/>
    <w:rPr>
      <w:rFonts w:ascii="仿宋_GB2312" w:hAnsi="Calibri" w:eastAsia="仿宋_GB2312"/>
      <w:sz w:val="32"/>
      <w:szCs w:val="22"/>
    </w:rPr>
  </w:style>
  <w:style w:type="paragraph" w:customStyle="1" w:styleId="82">
    <w:name w:val="列表 21"/>
    <w:basedOn w:val="1"/>
    <w:qFormat/>
    <w:uiPriority w:val="0"/>
    <w:pPr>
      <w:ind w:left="100" w:hanging="200"/>
    </w:pPr>
    <w:rPr>
      <w:rFonts w:ascii="Times New Roman" w:hAnsi="Times New Roman"/>
      <w:szCs w:val="21"/>
    </w:rPr>
  </w:style>
  <w:style w:type="paragraph" w:customStyle="1" w:styleId="83">
    <w:name w:val="目录 51"/>
    <w:basedOn w:val="1"/>
    <w:next w:val="1"/>
    <w:unhideWhenUsed/>
    <w:qFormat/>
    <w:uiPriority w:val="0"/>
    <w:pPr>
      <w:spacing w:after="57"/>
      <w:ind w:left="1134"/>
    </w:pPr>
  </w:style>
  <w:style w:type="paragraph" w:customStyle="1" w:styleId="84">
    <w:name w:val="目录 31"/>
    <w:basedOn w:val="1"/>
    <w:next w:val="1"/>
    <w:unhideWhenUsed/>
    <w:qFormat/>
    <w:uiPriority w:val="0"/>
    <w:pPr>
      <w:spacing w:after="57"/>
      <w:ind w:left="567"/>
    </w:pPr>
  </w:style>
  <w:style w:type="paragraph" w:customStyle="1" w:styleId="85">
    <w:name w:val="纯文本11"/>
    <w:basedOn w:val="1"/>
    <w:link w:val="86"/>
    <w:qFormat/>
    <w:uiPriority w:val="0"/>
    <w:rPr>
      <w:rFonts w:ascii="宋体" w:hAnsi="Courier New" w:cs="Courier New"/>
      <w:szCs w:val="21"/>
    </w:rPr>
  </w:style>
  <w:style w:type="character" w:customStyle="1" w:styleId="86">
    <w:name w:val="纯文本 字符"/>
    <w:link w:val="85"/>
    <w:qFormat/>
    <w:uiPriority w:val="0"/>
    <w:rPr>
      <w:rFonts w:ascii="宋体" w:hAnsi="Courier New" w:cs="Courier New"/>
      <w:sz w:val="21"/>
      <w:szCs w:val="21"/>
    </w:rPr>
  </w:style>
  <w:style w:type="paragraph" w:customStyle="1" w:styleId="87">
    <w:name w:val="目录 81"/>
    <w:basedOn w:val="1"/>
    <w:next w:val="1"/>
    <w:unhideWhenUsed/>
    <w:qFormat/>
    <w:uiPriority w:val="0"/>
    <w:pPr>
      <w:spacing w:after="57"/>
      <w:ind w:left="1984"/>
    </w:pPr>
  </w:style>
  <w:style w:type="paragraph" w:customStyle="1" w:styleId="88">
    <w:name w:val="日期1"/>
    <w:basedOn w:val="1"/>
    <w:next w:val="1"/>
    <w:link w:val="89"/>
    <w:qFormat/>
    <w:uiPriority w:val="0"/>
    <w:rPr>
      <w:rFonts w:ascii="Times New Roman" w:hAnsi="Times New Roman"/>
      <w:sz w:val="24"/>
      <w:szCs w:val="24"/>
    </w:rPr>
  </w:style>
  <w:style w:type="character" w:customStyle="1" w:styleId="89">
    <w:name w:val="日期 字符"/>
    <w:link w:val="88"/>
    <w:qFormat/>
    <w:uiPriority w:val="0"/>
    <w:rPr>
      <w:sz w:val="24"/>
      <w:szCs w:val="24"/>
    </w:rPr>
  </w:style>
  <w:style w:type="paragraph" w:customStyle="1" w:styleId="90">
    <w:name w:val="正文文本缩进 21"/>
    <w:basedOn w:val="1"/>
    <w:link w:val="91"/>
    <w:qFormat/>
    <w:uiPriority w:val="0"/>
    <w:pPr>
      <w:ind w:left="630" w:firstLine="645"/>
    </w:pPr>
    <w:rPr>
      <w:rFonts w:ascii="Arial" w:hAnsi="Arial" w:eastAsia="仿宋_GB2312" w:cs="Arial"/>
      <w:sz w:val="32"/>
      <w:szCs w:val="32"/>
    </w:rPr>
  </w:style>
  <w:style w:type="character" w:customStyle="1" w:styleId="91">
    <w:name w:val="正文文本缩进 2 字符"/>
    <w:link w:val="90"/>
    <w:qFormat/>
    <w:uiPriority w:val="0"/>
    <w:rPr>
      <w:rFonts w:ascii="Arial" w:hAnsi="Arial" w:eastAsia="仿宋_GB2312" w:cs="Arial"/>
      <w:sz w:val="32"/>
      <w:szCs w:val="32"/>
    </w:rPr>
  </w:style>
  <w:style w:type="paragraph" w:customStyle="1" w:styleId="92">
    <w:name w:val="尾注文本1"/>
    <w:basedOn w:val="1"/>
    <w:link w:val="93"/>
    <w:unhideWhenUsed/>
    <w:qFormat/>
    <w:uiPriority w:val="99"/>
    <w:rPr>
      <w:sz w:val="20"/>
    </w:rPr>
  </w:style>
  <w:style w:type="character" w:customStyle="1" w:styleId="93">
    <w:name w:val="尾注文本 字符"/>
    <w:link w:val="92"/>
    <w:qFormat/>
    <w:uiPriority w:val="99"/>
    <w:rPr>
      <w:sz w:val="20"/>
    </w:rPr>
  </w:style>
  <w:style w:type="paragraph" w:customStyle="1" w:styleId="94">
    <w:name w:val="批注框文本1"/>
    <w:basedOn w:val="1"/>
    <w:link w:val="95"/>
    <w:qFormat/>
    <w:uiPriority w:val="0"/>
    <w:rPr>
      <w:rFonts w:ascii="Times New Roman" w:hAnsi="Times New Roman"/>
      <w:sz w:val="18"/>
      <w:szCs w:val="18"/>
    </w:rPr>
  </w:style>
  <w:style w:type="character" w:customStyle="1" w:styleId="95">
    <w:name w:val="批注框文本 字符"/>
    <w:link w:val="94"/>
    <w:qFormat/>
    <w:uiPriority w:val="0"/>
    <w:rPr>
      <w:sz w:val="18"/>
      <w:szCs w:val="18"/>
    </w:rPr>
  </w:style>
  <w:style w:type="paragraph" w:customStyle="1" w:styleId="96">
    <w:name w:val="页脚11"/>
    <w:basedOn w:val="1"/>
    <w:link w:val="97"/>
    <w:qFormat/>
    <w:uiPriority w:val="99"/>
    <w:pPr>
      <w:tabs>
        <w:tab w:val="center" w:pos="4153"/>
        <w:tab w:val="right" w:pos="8306"/>
      </w:tabs>
      <w:jc w:val="left"/>
    </w:pPr>
    <w:rPr>
      <w:sz w:val="18"/>
      <w:szCs w:val="18"/>
    </w:rPr>
  </w:style>
  <w:style w:type="character" w:customStyle="1" w:styleId="97">
    <w:name w:val="页脚 字符"/>
    <w:link w:val="96"/>
    <w:qFormat/>
    <w:uiPriority w:val="99"/>
  </w:style>
  <w:style w:type="paragraph" w:customStyle="1" w:styleId="98">
    <w:name w:val="页眉1"/>
    <w:basedOn w:val="1"/>
    <w:link w:val="99"/>
    <w:qFormat/>
    <w:uiPriority w:val="0"/>
    <w:pPr>
      <w:tabs>
        <w:tab w:val="center" w:pos="4153"/>
        <w:tab w:val="right" w:pos="8306"/>
      </w:tabs>
      <w:jc w:val="center"/>
    </w:pPr>
    <w:rPr>
      <w:sz w:val="18"/>
      <w:szCs w:val="18"/>
    </w:rPr>
  </w:style>
  <w:style w:type="character" w:customStyle="1" w:styleId="99">
    <w:name w:val="页眉 字符"/>
    <w:link w:val="98"/>
    <w:qFormat/>
    <w:uiPriority w:val="0"/>
    <w:rPr>
      <w:rFonts w:ascii="Calibri" w:hAnsi="Calibri"/>
      <w:sz w:val="18"/>
      <w:szCs w:val="18"/>
    </w:rPr>
  </w:style>
  <w:style w:type="paragraph" w:customStyle="1" w:styleId="100">
    <w:name w:val="目录 11"/>
    <w:basedOn w:val="1"/>
    <w:next w:val="1"/>
    <w:qFormat/>
    <w:uiPriority w:val="0"/>
    <w:pPr>
      <w:spacing w:before="120" w:after="120"/>
      <w:jc w:val="left"/>
    </w:pPr>
    <w:rPr>
      <w:rFonts w:cs="Calibri"/>
      <w:b/>
      <w:bCs/>
      <w:caps/>
      <w:sz w:val="20"/>
      <w:szCs w:val="20"/>
    </w:rPr>
  </w:style>
  <w:style w:type="paragraph" w:customStyle="1" w:styleId="101">
    <w:name w:val="目录 41"/>
    <w:basedOn w:val="1"/>
    <w:next w:val="1"/>
    <w:unhideWhenUsed/>
    <w:qFormat/>
    <w:uiPriority w:val="0"/>
    <w:pPr>
      <w:spacing w:after="57"/>
      <w:ind w:left="850"/>
    </w:pPr>
  </w:style>
  <w:style w:type="paragraph" w:customStyle="1" w:styleId="102">
    <w:name w:val="副标题1"/>
    <w:basedOn w:val="1"/>
    <w:next w:val="1"/>
    <w:link w:val="103"/>
    <w:qFormat/>
    <w:uiPriority w:val="11"/>
    <w:pPr>
      <w:spacing w:before="200" w:after="200"/>
    </w:pPr>
    <w:rPr>
      <w:sz w:val="24"/>
      <w:szCs w:val="24"/>
    </w:rPr>
  </w:style>
  <w:style w:type="character" w:customStyle="1" w:styleId="103">
    <w:name w:val="副标题 字符"/>
    <w:link w:val="102"/>
    <w:qFormat/>
    <w:uiPriority w:val="11"/>
    <w:rPr>
      <w:sz w:val="24"/>
      <w:szCs w:val="24"/>
    </w:rPr>
  </w:style>
  <w:style w:type="paragraph" w:customStyle="1" w:styleId="104">
    <w:name w:val="列表1"/>
    <w:basedOn w:val="1"/>
    <w:qFormat/>
    <w:uiPriority w:val="0"/>
    <w:pPr>
      <w:ind w:left="200" w:hanging="200"/>
    </w:pPr>
    <w:rPr>
      <w:rFonts w:ascii="Times New Roman" w:hAnsi="Times New Roman"/>
      <w:szCs w:val="21"/>
    </w:rPr>
  </w:style>
  <w:style w:type="paragraph" w:customStyle="1" w:styleId="105">
    <w:name w:val="脚注文本11"/>
    <w:basedOn w:val="1"/>
    <w:link w:val="106"/>
    <w:unhideWhenUsed/>
    <w:qFormat/>
    <w:uiPriority w:val="99"/>
    <w:pPr>
      <w:spacing w:after="40"/>
    </w:pPr>
    <w:rPr>
      <w:sz w:val="18"/>
    </w:rPr>
  </w:style>
  <w:style w:type="character" w:customStyle="1" w:styleId="106">
    <w:name w:val="脚注文本 字符"/>
    <w:link w:val="105"/>
    <w:qFormat/>
    <w:uiPriority w:val="99"/>
    <w:rPr>
      <w:sz w:val="18"/>
    </w:rPr>
  </w:style>
  <w:style w:type="paragraph" w:customStyle="1" w:styleId="107">
    <w:name w:val="目录 61"/>
    <w:basedOn w:val="1"/>
    <w:next w:val="1"/>
    <w:unhideWhenUsed/>
    <w:qFormat/>
    <w:uiPriority w:val="0"/>
    <w:pPr>
      <w:spacing w:after="57"/>
      <w:ind w:left="1417"/>
    </w:pPr>
  </w:style>
  <w:style w:type="paragraph" w:customStyle="1" w:styleId="108">
    <w:name w:val="正文文本缩进 31"/>
    <w:basedOn w:val="1"/>
    <w:link w:val="109"/>
    <w:qFormat/>
    <w:uiPriority w:val="0"/>
    <w:pPr>
      <w:ind w:left="645" w:firstLine="645"/>
    </w:pPr>
    <w:rPr>
      <w:rFonts w:ascii="Arial" w:hAnsi="Arial" w:eastAsia="仿宋_GB2312" w:cs="Arial"/>
      <w:color w:val="FFFF00"/>
      <w:sz w:val="32"/>
      <w:szCs w:val="32"/>
    </w:rPr>
  </w:style>
  <w:style w:type="character" w:customStyle="1" w:styleId="109">
    <w:name w:val="正文文本缩进 3 字符"/>
    <w:link w:val="108"/>
    <w:qFormat/>
    <w:uiPriority w:val="0"/>
    <w:rPr>
      <w:rFonts w:ascii="Arial" w:hAnsi="Arial" w:eastAsia="仿宋_GB2312" w:cs="Arial"/>
      <w:color w:val="FFFF00"/>
      <w:sz w:val="32"/>
      <w:szCs w:val="32"/>
    </w:rPr>
  </w:style>
  <w:style w:type="paragraph" w:customStyle="1" w:styleId="110">
    <w:name w:val="图表目录1"/>
    <w:basedOn w:val="1"/>
    <w:next w:val="1"/>
    <w:unhideWhenUsed/>
    <w:qFormat/>
    <w:uiPriority w:val="0"/>
  </w:style>
  <w:style w:type="paragraph" w:customStyle="1" w:styleId="111">
    <w:name w:val="目录 21"/>
    <w:basedOn w:val="1"/>
    <w:next w:val="1"/>
    <w:qFormat/>
    <w:uiPriority w:val="0"/>
    <w:pPr>
      <w:ind w:left="210"/>
      <w:jc w:val="left"/>
    </w:pPr>
    <w:rPr>
      <w:rFonts w:cs="Calibri"/>
      <w:smallCaps/>
      <w:sz w:val="20"/>
      <w:szCs w:val="20"/>
    </w:rPr>
  </w:style>
  <w:style w:type="paragraph" w:customStyle="1" w:styleId="112">
    <w:name w:val="目录 91"/>
    <w:basedOn w:val="1"/>
    <w:next w:val="1"/>
    <w:unhideWhenUsed/>
    <w:qFormat/>
    <w:uiPriority w:val="0"/>
    <w:pPr>
      <w:spacing w:after="57"/>
      <w:ind w:left="2268"/>
    </w:pPr>
  </w:style>
  <w:style w:type="paragraph" w:customStyle="1" w:styleId="113">
    <w:name w:val="正文文本 21"/>
    <w:basedOn w:val="1"/>
    <w:link w:val="114"/>
    <w:qFormat/>
    <w:uiPriority w:val="0"/>
    <w:pPr>
      <w:widowControl/>
      <w:jc w:val="center"/>
    </w:pPr>
    <w:rPr>
      <w:rFonts w:ascii="楷体_GB2312" w:hAnsi="Times New Roman" w:eastAsia="楷体_GB2312"/>
      <w:sz w:val="28"/>
      <w:szCs w:val="28"/>
    </w:rPr>
  </w:style>
  <w:style w:type="character" w:customStyle="1" w:styleId="114">
    <w:name w:val="正文文本 2 字符"/>
    <w:link w:val="113"/>
    <w:qFormat/>
    <w:uiPriority w:val="0"/>
    <w:rPr>
      <w:rFonts w:ascii="楷体_GB2312" w:eastAsia="楷体_GB2312"/>
      <w:sz w:val="28"/>
      <w:szCs w:val="28"/>
    </w:rPr>
  </w:style>
  <w:style w:type="paragraph" w:customStyle="1" w:styleId="115">
    <w:name w:val="HTML 预设格式1"/>
    <w:basedOn w:val="1"/>
    <w:link w:val="11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16">
    <w:name w:val="HTML 预设格式 字符"/>
    <w:link w:val="115"/>
    <w:qFormat/>
    <w:uiPriority w:val="99"/>
    <w:rPr>
      <w:rFonts w:ascii="宋体" w:hAnsi="宋体"/>
      <w:sz w:val="24"/>
      <w:szCs w:val="24"/>
    </w:rPr>
  </w:style>
  <w:style w:type="paragraph" w:customStyle="1" w:styleId="117">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18">
    <w:name w:val="索引 11"/>
    <w:basedOn w:val="1"/>
    <w:next w:val="1"/>
    <w:semiHidden/>
    <w:qFormat/>
    <w:uiPriority w:val="0"/>
    <w:pPr>
      <w:spacing w:line="240" w:lineRule="atLeast"/>
    </w:pPr>
    <w:rPr>
      <w:rFonts w:ascii="Times New Roman" w:hAnsi="Times New Roman"/>
      <w:b/>
      <w:bCs/>
      <w:szCs w:val="21"/>
    </w:rPr>
  </w:style>
  <w:style w:type="paragraph" w:customStyle="1" w:styleId="119">
    <w:name w:val="标题11"/>
    <w:basedOn w:val="1"/>
    <w:next w:val="1"/>
    <w:link w:val="120"/>
    <w:qFormat/>
    <w:uiPriority w:val="10"/>
    <w:pPr>
      <w:spacing w:before="300" w:after="200"/>
      <w:contextualSpacing/>
    </w:pPr>
    <w:rPr>
      <w:sz w:val="48"/>
      <w:szCs w:val="48"/>
    </w:rPr>
  </w:style>
  <w:style w:type="character" w:customStyle="1" w:styleId="120">
    <w:name w:val="标题 字符"/>
    <w:link w:val="119"/>
    <w:qFormat/>
    <w:uiPriority w:val="10"/>
    <w:rPr>
      <w:sz w:val="48"/>
      <w:szCs w:val="48"/>
    </w:rPr>
  </w:style>
  <w:style w:type="paragraph" w:customStyle="1" w:styleId="121">
    <w:name w:val="批注主题1"/>
    <w:basedOn w:val="75"/>
    <w:next w:val="75"/>
    <w:link w:val="122"/>
    <w:semiHidden/>
    <w:qFormat/>
    <w:uiPriority w:val="0"/>
    <w:rPr>
      <w:b/>
      <w:bCs/>
    </w:rPr>
  </w:style>
  <w:style w:type="character" w:customStyle="1" w:styleId="122">
    <w:name w:val="批注主题 字符"/>
    <w:link w:val="121"/>
    <w:semiHidden/>
    <w:qFormat/>
    <w:uiPriority w:val="0"/>
    <w:rPr>
      <w:b/>
      <w:bCs/>
      <w:sz w:val="21"/>
      <w:szCs w:val="21"/>
    </w:rPr>
  </w:style>
  <w:style w:type="paragraph" w:customStyle="1" w:styleId="123">
    <w:name w:val="正文首行缩进 211"/>
    <w:basedOn w:val="80"/>
    <w:link w:val="124"/>
    <w:qFormat/>
    <w:uiPriority w:val="0"/>
    <w:pPr>
      <w:spacing w:line="360" w:lineRule="auto"/>
      <w:ind w:firstLine="420"/>
    </w:pPr>
    <w:rPr>
      <w:rFonts w:ascii="宋体" w:hAnsi="宋体" w:eastAsia="宋体"/>
      <w:sz w:val="21"/>
      <w:szCs w:val="20"/>
    </w:rPr>
  </w:style>
  <w:style w:type="character" w:customStyle="1" w:styleId="124">
    <w:name w:val="正文文本首行缩进 2 字符"/>
    <w:link w:val="123"/>
    <w:qFormat/>
    <w:uiPriority w:val="0"/>
    <w:rPr>
      <w:rFonts w:ascii="宋体" w:hAnsi="宋体" w:eastAsia="仿宋_GB2312"/>
      <w:sz w:val="21"/>
      <w:szCs w:val="22"/>
    </w:rPr>
  </w:style>
  <w:style w:type="table" w:customStyle="1" w:styleId="125">
    <w:name w:val="网格型1"/>
    <w:basedOn w:val="59"/>
    <w:qFormat/>
    <w:uiPriority w:val="0"/>
    <w:pPr>
      <w:widowControl w:val="0"/>
      <w:jc w:val="both"/>
    </w:pPr>
  </w:style>
  <w:style w:type="character" w:customStyle="1" w:styleId="126">
    <w:name w:val="要点1"/>
    <w:link w:val="1"/>
    <w:qFormat/>
    <w:uiPriority w:val="0"/>
    <w:rPr>
      <w:b/>
      <w:bCs/>
    </w:rPr>
  </w:style>
  <w:style w:type="character" w:customStyle="1" w:styleId="127">
    <w:name w:val="尾注引用1"/>
    <w:link w:val="1"/>
    <w:unhideWhenUsed/>
    <w:qFormat/>
    <w:uiPriority w:val="99"/>
    <w:rPr>
      <w:vertAlign w:val="superscript"/>
    </w:rPr>
  </w:style>
  <w:style w:type="character" w:customStyle="1" w:styleId="128">
    <w:name w:val="页码11"/>
    <w:link w:val="1"/>
    <w:qFormat/>
    <w:uiPriority w:val="0"/>
  </w:style>
  <w:style w:type="character" w:customStyle="1" w:styleId="129">
    <w:name w:val="已访问的超链接1"/>
    <w:link w:val="1"/>
    <w:qFormat/>
    <w:uiPriority w:val="0"/>
    <w:rPr>
      <w:color w:val="800080"/>
      <w:u w:val="single"/>
    </w:rPr>
  </w:style>
  <w:style w:type="character" w:customStyle="1" w:styleId="130">
    <w:name w:val="超链接1"/>
    <w:link w:val="1"/>
    <w:qFormat/>
    <w:uiPriority w:val="0"/>
    <w:rPr>
      <w:color w:val="0000FF"/>
      <w:u w:val="single"/>
    </w:rPr>
  </w:style>
  <w:style w:type="character" w:customStyle="1" w:styleId="131">
    <w:name w:val="批注引用1"/>
    <w:link w:val="1"/>
    <w:semiHidden/>
    <w:qFormat/>
    <w:uiPriority w:val="0"/>
    <w:rPr>
      <w:sz w:val="21"/>
      <w:szCs w:val="21"/>
    </w:rPr>
  </w:style>
  <w:style w:type="character" w:customStyle="1" w:styleId="132">
    <w:name w:val="脚注引用1"/>
    <w:link w:val="1"/>
    <w:unhideWhenUsed/>
    <w:qFormat/>
    <w:uiPriority w:val="99"/>
    <w:rPr>
      <w:vertAlign w:val="superscript"/>
    </w:rPr>
  </w:style>
  <w:style w:type="paragraph" w:customStyle="1" w:styleId="133">
    <w:name w:val="正文首行缩进 21"/>
    <w:basedOn w:val="134"/>
    <w:next w:val="1"/>
    <w:qFormat/>
    <w:uiPriority w:val="0"/>
    <w:pPr>
      <w:spacing w:line="360" w:lineRule="auto"/>
      <w:ind w:firstLine="420"/>
    </w:pPr>
    <w:rPr>
      <w:rFonts w:ascii="宋体" w:hAnsi="宋体" w:eastAsia="宋体"/>
      <w:sz w:val="21"/>
      <w:szCs w:val="20"/>
    </w:rPr>
  </w:style>
  <w:style w:type="paragraph" w:customStyle="1" w:styleId="134">
    <w:name w:val="正文文本缩进1"/>
    <w:basedOn w:val="1"/>
    <w:next w:val="135"/>
    <w:qFormat/>
    <w:uiPriority w:val="0"/>
    <w:pPr>
      <w:ind w:firstLine="645"/>
    </w:pPr>
    <w:rPr>
      <w:rFonts w:ascii="楷体_GB2312" w:eastAsia="楷体_GB2312"/>
      <w:sz w:val="32"/>
      <w:szCs w:val="32"/>
    </w:rPr>
  </w:style>
  <w:style w:type="paragraph" w:customStyle="1" w:styleId="135">
    <w:name w:val="寄信人地址1"/>
    <w:basedOn w:val="1"/>
    <w:qFormat/>
    <w:uiPriority w:val="0"/>
    <w:rPr>
      <w:rFonts w:ascii="Arial" w:hAnsi="Arial"/>
    </w:rPr>
  </w:style>
  <w:style w:type="paragraph" w:customStyle="1" w:styleId="136">
    <w:name w:val="标题 41"/>
    <w:basedOn w:val="137"/>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137">
    <w:name w:val="Normal_20"/>
    <w:next w:val="138"/>
    <w:qFormat/>
    <w:uiPriority w:val="0"/>
    <w:rPr>
      <w:rFonts w:hint="default" w:ascii="黑体" w:hAnsi="黑体" w:eastAsia="黑体" w:cs="黑体"/>
      <w:b/>
      <w:sz w:val="32"/>
      <w:szCs w:val="24"/>
      <w:lang w:val="en-US" w:eastAsia="zh-CN" w:bidi="ar-SA"/>
    </w:rPr>
  </w:style>
  <w:style w:type="paragraph" w:customStyle="1" w:styleId="138">
    <w:name w:val="正文文本首行缩进 22"/>
    <w:basedOn w:val="139"/>
    <w:qFormat/>
    <w:uiPriority w:val="0"/>
    <w:pPr>
      <w:spacing w:after="120"/>
      <w:ind w:left="200" w:firstLine="200"/>
    </w:pPr>
    <w:rPr>
      <w:rFonts w:ascii="Times New Roman" w:hAnsi="Times New Roman"/>
      <w:sz w:val="24"/>
    </w:rPr>
  </w:style>
  <w:style w:type="paragraph" w:customStyle="1" w:styleId="139">
    <w:name w:val="正文文本缩进2"/>
    <w:basedOn w:val="137"/>
    <w:qFormat/>
    <w:uiPriority w:val="0"/>
    <w:pPr>
      <w:ind w:firstLine="225"/>
    </w:pPr>
    <w:rPr>
      <w:rFonts w:ascii="仿宋_GB2312" w:eastAsia="仿宋_GB2312"/>
    </w:rPr>
  </w:style>
  <w:style w:type="paragraph" w:customStyle="1" w:styleId="140">
    <w:name w:val="Body Text First Indent_2"/>
    <w:basedOn w:val="137"/>
    <w:qFormat/>
    <w:uiPriority w:val="0"/>
    <w:pPr>
      <w:spacing w:after="120"/>
      <w:ind w:firstLine="100"/>
    </w:pPr>
  </w:style>
  <w:style w:type="paragraph" w:customStyle="1" w:styleId="141">
    <w:name w:val="脚注文本1"/>
    <w:basedOn w:val="1"/>
    <w:qFormat/>
    <w:uiPriority w:val="0"/>
    <w:pPr>
      <w:jc w:val="left"/>
    </w:pPr>
    <w:rPr>
      <w:rFonts w:eastAsia="Times New Roman"/>
      <w:sz w:val="18"/>
      <w:szCs w:val="24"/>
    </w:rPr>
  </w:style>
  <w:style w:type="table" w:customStyle="1" w:styleId="142">
    <w:name w:val="Plain Table 1"/>
    <w:basedOn w:val="59"/>
    <w:qFormat/>
    <w:uiPriority w:val="59"/>
    <w:pPr>
      <w:spacing w:after="0" w:line="240" w:lineRule="auto"/>
    </w:pPr>
  </w:style>
  <w:style w:type="table" w:customStyle="1" w:styleId="143">
    <w:name w:val="Plain Table 2"/>
    <w:basedOn w:val="59"/>
    <w:qFormat/>
    <w:uiPriority w:val="59"/>
    <w:pPr>
      <w:spacing w:after="0" w:line="240" w:lineRule="auto"/>
    </w:pPr>
  </w:style>
  <w:style w:type="table" w:customStyle="1" w:styleId="144">
    <w:name w:val="Plain Table 3"/>
    <w:basedOn w:val="59"/>
    <w:qFormat/>
    <w:uiPriority w:val="99"/>
    <w:pPr>
      <w:spacing w:after="0" w:line="240" w:lineRule="auto"/>
    </w:pPr>
  </w:style>
  <w:style w:type="table" w:customStyle="1" w:styleId="145">
    <w:name w:val="Plain Table 4"/>
    <w:basedOn w:val="59"/>
    <w:qFormat/>
    <w:uiPriority w:val="99"/>
    <w:pPr>
      <w:spacing w:after="0" w:line="240" w:lineRule="auto"/>
    </w:pPr>
  </w:style>
  <w:style w:type="table" w:customStyle="1" w:styleId="146">
    <w:name w:val="Plain Table 5"/>
    <w:basedOn w:val="59"/>
    <w:qFormat/>
    <w:uiPriority w:val="99"/>
    <w:pPr>
      <w:spacing w:after="0" w:line="240" w:lineRule="auto"/>
    </w:pPr>
  </w:style>
  <w:style w:type="table" w:customStyle="1" w:styleId="147">
    <w:name w:val="Grid Table 1 Light"/>
    <w:basedOn w:val="59"/>
    <w:qFormat/>
    <w:uiPriority w:val="99"/>
    <w:pPr>
      <w:spacing w:after="0" w:line="240" w:lineRule="auto"/>
    </w:pPr>
  </w:style>
  <w:style w:type="table" w:customStyle="1" w:styleId="148">
    <w:name w:val="Grid Table 2"/>
    <w:basedOn w:val="59"/>
    <w:qFormat/>
    <w:uiPriority w:val="99"/>
    <w:pPr>
      <w:spacing w:after="0" w:line="240" w:lineRule="auto"/>
    </w:pPr>
  </w:style>
  <w:style w:type="table" w:customStyle="1" w:styleId="149">
    <w:name w:val="Grid Table 3"/>
    <w:basedOn w:val="59"/>
    <w:qFormat/>
    <w:uiPriority w:val="99"/>
    <w:pPr>
      <w:spacing w:after="0" w:line="240" w:lineRule="auto"/>
    </w:pPr>
  </w:style>
  <w:style w:type="table" w:customStyle="1" w:styleId="150">
    <w:name w:val="Grid Table 4"/>
    <w:basedOn w:val="59"/>
    <w:qFormat/>
    <w:uiPriority w:val="59"/>
    <w:pPr>
      <w:spacing w:after="0" w:line="240" w:lineRule="auto"/>
    </w:pPr>
  </w:style>
  <w:style w:type="table" w:customStyle="1" w:styleId="151">
    <w:name w:val="Grid Table 5 Dark"/>
    <w:basedOn w:val="59"/>
    <w:qFormat/>
    <w:uiPriority w:val="99"/>
    <w:pPr>
      <w:spacing w:after="0" w:line="240" w:lineRule="auto"/>
    </w:pPr>
  </w:style>
  <w:style w:type="table" w:customStyle="1" w:styleId="152">
    <w:name w:val="Grid Table 6 Colorful"/>
    <w:basedOn w:val="59"/>
    <w:qFormat/>
    <w:uiPriority w:val="99"/>
    <w:pPr>
      <w:spacing w:after="0" w:line="240" w:lineRule="auto"/>
    </w:pPr>
  </w:style>
  <w:style w:type="table" w:customStyle="1" w:styleId="153">
    <w:name w:val="Grid Table 7 Colorful"/>
    <w:basedOn w:val="59"/>
    <w:qFormat/>
    <w:uiPriority w:val="99"/>
    <w:pPr>
      <w:spacing w:after="0" w:line="240" w:lineRule="auto"/>
    </w:pPr>
  </w:style>
  <w:style w:type="table" w:customStyle="1" w:styleId="154">
    <w:name w:val="List Table 1 Light"/>
    <w:basedOn w:val="59"/>
    <w:qFormat/>
    <w:uiPriority w:val="99"/>
    <w:pPr>
      <w:spacing w:after="0" w:line="240" w:lineRule="auto"/>
    </w:pPr>
  </w:style>
  <w:style w:type="table" w:customStyle="1" w:styleId="155">
    <w:name w:val="List Table 2"/>
    <w:basedOn w:val="59"/>
    <w:qFormat/>
    <w:uiPriority w:val="99"/>
    <w:pPr>
      <w:spacing w:after="0" w:line="240" w:lineRule="auto"/>
    </w:pPr>
  </w:style>
  <w:style w:type="table" w:customStyle="1" w:styleId="156">
    <w:name w:val="List Table 3"/>
    <w:basedOn w:val="59"/>
    <w:qFormat/>
    <w:uiPriority w:val="99"/>
    <w:pPr>
      <w:spacing w:after="0" w:line="240" w:lineRule="auto"/>
    </w:pPr>
  </w:style>
  <w:style w:type="table" w:customStyle="1" w:styleId="157">
    <w:name w:val="List Table 4"/>
    <w:basedOn w:val="59"/>
    <w:qFormat/>
    <w:uiPriority w:val="99"/>
    <w:pPr>
      <w:spacing w:after="0" w:line="240" w:lineRule="auto"/>
    </w:pPr>
  </w:style>
  <w:style w:type="table" w:customStyle="1" w:styleId="158">
    <w:name w:val="List Table 5 Dark"/>
    <w:basedOn w:val="59"/>
    <w:qFormat/>
    <w:uiPriority w:val="99"/>
    <w:pPr>
      <w:spacing w:after="0" w:line="240" w:lineRule="auto"/>
    </w:pPr>
  </w:style>
  <w:style w:type="table" w:customStyle="1" w:styleId="159">
    <w:name w:val="List Table 6 Colorful"/>
    <w:basedOn w:val="59"/>
    <w:qFormat/>
    <w:uiPriority w:val="99"/>
    <w:pPr>
      <w:spacing w:after="0" w:line="240" w:lineRule="auto"/>
    </w:pPr>
  </w:style>
  <w:style w:type="table" w:customStyle="1" w:styleId="160">
    <w:name w:val="List Table 7 Colorful"/>
    <w:basedOn w:val="59"/>
    <w:qFormat/>
    <w:uiPriority w:val="99"/>
    <w:pPr>
      <w:spacing w:after="0" w:line="240" w:lineRule="auto"/>
    </w:pPr>
  </w:style>
  <w:style w:type="paragraph" w:customStyle="1" w:styleId="161">
    <w:name w:val="TOC Heading"/>
    <w:unhideWhenUsed/>
    <w:qFormat/>
    <w:uiPriority w:val="39"/>
    <w:rPr>
      <w:rFonts w:hint="default" w:ascii="Times New Roman" w:hAnsi="Times New Roman" w:eastAsia="宋体" w:cs="Times New Roman"/>
      <w:lang w:val="en-US" w:eastAsia="zh-CN" w:bidi="ar-SA"/>
    </w:rPr>
  </w:style>
  <w:style w:type="table" w:customStyle="1" w:styleId="162">
    <w:name w:val="无格式表格 11"/>
    <w:basedOn w:val="59"/>
    <w:qFormat/>
    <w:uiPriority w:val="59"/>
  </w:style>
  <w:style w:type="table" w:customStyle="1" w:styleId="163">
    <w:name w:val="无格式表格 21"/>
    <w:basedOn w:val="59"/>
    <w:qFormat/>
    <w:uiPriority w:val="59"/>
  </w:style>
  <w:style w:type="table" w:customStyle="1" w:styleId="164">
    <w:name w:val="无格式表格 31"/>
    <w:basedOn w:val="59"/>
    <w:qFormat/>
    <w:uiPriority w:val="99"/>
  </w:style>
  <w:style w:type="table" w:customStyle="1" w:styleId="165">
    <w:name w:val="无格式表格 41"/>
    <w:basedOn w:val="59"/>
    <w:qFormat/>
    <w:uiPriority w:val="99"/>
  </w:style>
  <w:style w:type="table" w:customStyle="1" w:styleId="166">
    <w:name w:val="无格式表格 51"/>
    <w:basedOn w:val="59"/>
    <w:qFormat/>
    <w:uiPriority w:val="99"/>
  </w:style>
  <w:style w:type="table" w:customStyle="1" w:styleId="167">
    <w:name w:val="网格表 1 浅色1"/>
    <w:basedOn w:val="59"/>
    <w:qFormat/>
    <w:uiPriority w:val="99"/>
  </w:style>
  <w:style w:type="table" w:customStyle="1" w:styleId="168">
    <w:name w:val="网格表 21"/>
    <w:basedOn w:val="59"/>
    <w:qFormat/>
    <w:uiPriority w:val="99"/>
  </w:style>
  <w:style w:type="table" w:customStyle="1" w:styleId="169">
    <w:name w:val="网格表 31"/>
    <w:basedOn w:val="59"/>
    <w:qFormat/>
    <w:uiPriority w:val="99"/>
  </w:style>
  <w:style w:type="table" w:customStyle="1" w:styleId="170">
    <w:name w:val="网格表 41"/>
    <w:basedOn w:val="59"/>
    <w:qFormat/>
    <w:uiPriority w:val="59"/>
  </w:style>
  <w:style w:type="table" w:customStyle="1" w:styleId="171">
    <w:name w:val="网格表 5 深色1"/>
    <w:basedOn w:val="59"/>
    <w:qFormat/>
    <w:uiPriority w:val="99"/>
  </w:style>
  <w:style w:type="table" w:customStyle="1" w:styleId="172">
    <w:name w:val="网格表 6 彩色1"/>
    <w:basedOn w:val="59"/>
    <w:qFormat/>
    <w:uiPriority w:val="99"/>
  </w:style>
  <w:style w:type="table" w:customStyle="1" w:styleId="173">
    <w:name w:val="网格表 7 彩色1"/>
    <w:basedOn w:val="59"/>
    <w:qFormat/>
    <w:uiPriority w:val="99"/>
  </w:style>
  <w:style w:type="table" w:customStyle="1" w:styleId="174">
    <w:name w:val="清单表 1 浅色1"/>
    <w:basedOn w:val="59"/>
    <w:qFormat/>
    <w:uiPriority w:val="99"/>
  </w:style>
  <w:style w:type="table" w:customStyle="1" w:styleId="175">
    <w:name w:val="清单表 21"/>
    <w:basedOn w:val="59"/>
    <w:qFormat/>
    <w:uiPriority w:val="99"/>
  </w:style>
  <w:style w:type="table" w:customStyle="1" w:styleId="176">
    <w:name w:val="清单表 31"/>
    <w:basedOn w:val="59"/>
    <w:qFormat/>
    <w:uiPriority w:val="99"/>
  </w:style>
  <w:style w:type="table" w:customStyle="1" w:styleId="177">
    <w:name w:val="清单表 41"/>
    <w:basedOn w:val="59"/>
    <w:qFormat/>
    <w:uiPriority w:val="99"/>
  </w:style>
  <w:style w:type="table" w:customStyle="1" w:styleId="178">
    <w:name w:val="清单表 5 深色1"/>
    <w:basedOn w:val="59"/>
    <w:qFormat/>
    <w:uiPriority w:val="99"/>
  </w:style>
  <w:style w:type="table" w:customStyle="1" w:styleId="179">
    <w:name w:val="清单表 6 彩色1"/>
    <w:basedOn w:val="59"/>
    <w:qFormat/>
    <w:uiPriority w:val="99"/>
  </w:style>
  <w:style w:type="table" w:customStyle="1" w:styleId="180">
    <w:name w:val="清单表 7 彩色1"/>
    <w:basedOn w:val="59"/>
    <w:qFormat/>
    <w:uiPriority w:val="99"/>
  </w:style>
  <w:style w:type="paragraph" w:customStyle="1" w:styleId="181">
    <w:name w:val="TOC 标题1"/>
    <w:unhideWhenUsed/>
    <w:qFormat/>
    <w:uiPriority w:val="39"/>
    <w:rPr>
      <w:rFonts w:hint="default" w:ascii="Times New Roman" w:hAnsi="Times New Roman" w:eastAsia="宋体" w:cs="Times New Roman"/>
      <w:lang w:val="en-US" w:eastAsia="zh-CN" w:bidi="ar-SA"/>
    </w:rPr>
  </w:style>
  <w:style w:type="paragraph" w:customStyle="1" w:styleId="182">
    <w:name w:val="Normal_21"/>
    <w:basedOn w:val="183"/>
    <w:next w:val="18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83">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84">
    <w:name w:val="正文_17"/>
    <w:next w:val="185"/>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85">
    <w:name w:val="标题 4_1"/>
    <w:basedOn w:val="184"/>
    <w:next w:val="184"/>
    <w:qFormat/>
    <w:uiPriority w:val="0"/>
    <w:pPr>
      <w:keepNext/>
      <w:keepLines/>
      <w:tabs>
        <w:tab w:val="left" w:pos="1134"/>
        <w:tab w:val="right" w:pos="7371"/>
      </w:tabs>
      <w:spacing w:line="360" w:lineRule="auto"/>
      <w:outlineLvl w:val="3"/>
    </w:pPr>
    <w:rPr>
      <w:rFonts w:ascii="宋体"/>
      <w:color w:val="800000"/>
      <w:sz w:val="28"/>
      <w:szCs w:val="20"/>
    </w:rPr>
  </w:style>
  <w:style w:type="character" w:customStyle="1" w:styleId="186">
    <w:name w:val="Heading 1 Char"/>
    <w:link w:val="1"/>
    <w:qFormat/>
    <w:uiPriority w:val="9"/>
    <w:rPr>
      <w:rFonts w:ascii="Arial" w:hAnsi="Arial" w:eastAsia="Arial" w:cs="Arial"/>
      <w:sz w:val="40"/>
      <w:szCs w:val="40"/>
    </w:rPr>
  </w:style>
  <w:style w:type="character" w:customStyle="1" w:styleId="187">
    <w:name w:val="Heading 2 Char"/>
    <w:link w:val="1"/>
    <w:qFormat/>
    <w:uiPriority w:val="9"/>
    <w:rPr>
      <w:rFonts w:ascii="Arial" w:hAnsi="Arial" w:eastAsia="Arial" w:cs="Arial"/>
      <w:sz w:val="34"/>
    </w:rPr>
  </w:style>
  <w:style w:type="character" w:customStyle="1" w:styleId="188">
    <w:name w:val="Heading 3 Char"/>
    <w:link w:val="1"/>
    <w:qFormat/>
    <w:uiPriority w:val="9"/>
    <w:rPr>
      <w:rFonts w:ascii="Arial" w:hAnsi="Arial" w:eastAsia="Arial" w:cs="Arial"/>
      <w:sz w:val="30"/>
      <w:szCs w:val="30"/>
    </w:rPr>
  </w:style>
  <w:style w:type="character" w:customStyle="1" w:styleId="189">
    <w:name w:val="Heading 4 Char"/>
    <w:link w:val="1"/>
    <w:qFormat/>
    <w:uiPriority w:val="9"/>
    <w:rPr>
      <w:rFonts w:ascii="Arial" w:hAnsi="Arial" w:eastAsia="Arial" w:cs="Arial"/>
      <w:b/>
      <w:bCs/>
      <w:sz w:val="26"/>
      <w:szCs w:val="26"/>
    </w:rPr>
  </w:style>
  <w:style w:type="character" w:customStyle="1" w:styleId="190">
    <w:name w:val="Heading 5 Char"/>
    <w:link w:val="1"/>
    <w:qFormat/>
    <w:uiPriority w:val="9"/>
    <w:rPr>
      <w:rFonts w:ascii="Arial" w:hAnsi="Arial" w:eastAsia="Arial" w:cs="Arial"/>
      <w:b/>
      <w:bCs/>
      <w:sz w:val="24"/>
      <w:szCs w:val="24"/>
    </w:rPr>
  </w:style>
  <w:style w:type="character" w:customStyle="1" w:styleId="191">
    <w:name w:val="Heading 6 Char"/>
    <w:link w:val="1"/>
    <w:qFormat/>
    <w:uiPriority w:val="9"/>
    <w:rPr>
      <w:rFonts w:ascii="Arial" w:hAnsi="Arial" w:eastAsia="Arial" w:cs="Arial"/>
      <w:b/>
      <w:bCs/>
      <w:sz w:val="22"/>
      <w:szCs w:val="22"/>
    </w:rPr>
  </w:style>
  <w:style w:type="character" w:customStyle="1" w:styleId="192">
    <w:name w:val="Heading 7 Char"/>
    <w:link w:val="1"/>
    <w:qFormat/>
    <w:uiPriority w:val="9"/>
    <w:rPr>
      <w:rFonts w:ascii="Arial" w:hAnsi="Arial" w:eastAsia="Arial" w:cs="Arial"/>
      <w:b/>
      <w:bCs/>
      <w:i/>
      <w:iCs/>
      <w:sz w:val="22"/>
      <w:szCs w:val="22"/>
    </w:rPr>
  </w:style>
  <w:style w:type="character" w:customStyle="1" w:styleId="193">
    <w:name w:val="Heading 8 Char"/>
    <w:link w:val="1"/>
    <w:qFormat/>
    <w:uiPriority w:val="9"/>
    <w:rPr>
      <w:rFonts w:ascii="Arial" w:hAnsi="Arial" w:eastAsia="Arial" w:cs="Arial"/>
      <w:i/>
      <w:iCs/>
      <w:sz w:val="22"/>
      <w:szCs w:val="22"/>
    </w:rPr>
  </w:style>
  <w:style w:type="character" w:customStyle="1" w:styleId="194">
    <w:name w:val="Heading 9 Char"/>
    <w:link w:val="1"/>
    <w:qFormat/>
    <w:uiPriority w:val="9"/>
    <w:rPr>
      <w:rFonts w:ascii="Arial" w:hAnsi="Arial" w:eastAsia="Arial" w:cs="Arial"/>
      <w:i/>
      <w:iCs/>
      <w:sz w:val="21"/>
      <w:szCs w:val="21"/>
    </w:rPr>
  </w:style>
  <w:style w:type="character" w:customStyle="1" w:styleId="195">
    <w:name w:val="Title Char"/>
    <w:link w:val="1"/>
    <w:qFormat/>
    <w:uiPriority w:val="10"/>
    <w:rPr>
      <w:sz w:val="48"/>
      <w:szCs w:val="48"/>
    </w:rPr>
  </w:style>
  <w:style w:type="character" w:customStyle="1" w:styleId="196">
    <w:name w:val="Subtitle Char"/>
    <w:link w:val="1"/>
    <w:qFormat/>
    <w:uiPriority w:val="11"/>
    <w:rPr>
      <w:sz w:val="24"/>
      <w:szCs w:val="24"/>
    </w:rPr>
  </w:style>
  <w:style w:type="character" w:customStyle="1" w:styleId="197">
    <w:name w:val="Quote Char"/>
    <w:link w:val="1"/>
    <w:qFormat/>
    <w:uiPriority w:val="29"/>
    <w:rPr>
      <w:i/>
    </w:rPr>
  </w:style>
  <w:style w:type="character" w:customStyle="1" w:styleId="198">
    <w:name w:val="Intense Quote Char"/>
    <w:link w:val="1"/>
    <w:qFormat/>
    <w:uiPriority w:val="30"/>
    <w:rPr>
      <w:i/>
    </w:rPr>
  </w:style>
  <w:style w:type="character" w:customStyle="1" w:styleId="199">
    <w:name w:val="Caption Char"/>
    <w:link w:val="1"/>
    <w:qFormat/>
    <w:uiPriority w:val="99"/>
  </w:style>
  <w:style w:type="character" w:customStyle="1" w:styleId="200">
    <w:name w:val="Footnote Text Char"/>
    <w:link w:val="1"/>
    <w:qFormat/>
    <w:uiPriority w:val="99"/>
    <w:rPr>
      <w:sz w:val="18"/>
    </w:rPr>
  </w:style>
  <w:style w:type="character" w:customStyle="1" w:styleId="201">
    <w:name w:val="Endnote Text Char"/>
    <w:link w:val="1"/>
    <w:qFormat/>
    <w:uiPriority w:val="99"/>
    <w:rPr>
      <w:sz w:val="20"/>
    </w:rPr>
  </w:style>
  <w:style w:type="paragraph" w:customStyle="1" w:styleId="202">
    <w:name w:val="列表段落"/>
    <w:basedOn w:val="1"/>
    <w:qFormat/>
    <w:uiPriority w:val="0"/>
    <w:pPr>
      <w:ind w:left="720"/>
      <w:contextualSpacing/>
    </w:pPr>
  </w:style>
  <w:style w:type="paragraph" w:customStyle="1" w:styleId="203">
    <w:name w:val="无间隔"/>
    <w:qFormat/>
    <w:uiPriority w:val="99"/>
    <w:rPr>
      <w:rFonts w:hint="default" w:ascii="Times New Roman" w:hAnsi="Times New Roman" w:eastAsia="宋体" w:cs="Times New Roman"/>
      <w:lang w:val="en-US" w:eastAsia="zh-CN" w:bidi="ar-SA"/>
    </w:rPr>
  </w:style>
  <w:style w:type="paragraph" w:customStyle="1" w:styleId="204">
    <w:name w:val="引用"/>
    <w:basedOn w:val="1"/>
    <w:next w:val="1"/>
    <w:link w:val="205"/>
    <w:qFormat/>
    <w:uiPriority w:val="29"/>
    <w:pPr>
      <w:ind w:left="720" w:right="720"/>
    </w:pPr>
    <w:rPr>
      <w:i/>
    </w:rPr>
  </w:style>
  <w:style w:type="character" w:customStyle="1" w:styleId="205">
    <w:name w:val="引用 字符"/>
    <w:link w:val="204"/>
    <w:qFormat/>
    <w:uiPriority w:val="29"/>
    <w:rPr>
      <w:i/>
    </w:rPr>
  </w:style>
  <w:style w:type="paragraph" w:customStyle="1" w:styleId="206">
    <w:name w:val="明显引用"/>
    <w:basedOn w:val="1"/>
    <w:next w:val="1"/>
    <w:link w:val="20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07">
    <w:name w:val="明显引用 字符"/>
    <w:link w:val="206"/>
    <w:qFormat/>
    <w:uiPriority w:val="30"/>
    <w:rPr>
      <w:i/>
    </w:rPr>
  </w:style>
  <w:style w:type="character" w:customStyle="1" w:styleId="208">
    <w:name w:val="Header Char"/>
    <w:link w:val="1"/>
    <w:qFormat/>
    <w:uiPriority w:val="99"/>
  </w:style>
  <w:style w:type="character" w:customStyle="1" w:styleId="209">
    <w:name w:val="Footer Char"/>
    <w:link w:val="1"/>
    <w:qFormat/>
    <w:uiPriority w:val="99"/>
  </w:style>
  <w:style w:type="table" w:customStyle="1" w:styleId="210">
    <w:name w:val="Table Grid Light"/>
    <w:basedOn w:val="59"/>
    <w:qFormat/>
    <w:uiPriority w:val="59"/>
  </w:style>
  <w:style w:type="table" w:customStyle="1" w:styleId="211">
    <w:name w:val="Grid Table 1 Light - Accent 1"/>
    <w:basedOn w:val="59"/>
    <w:qFormat/>
    <w:uiPriority w:val="99"/>
  </w:style>
  <w:style w:type="table" w:customStyle="1" w:styleId="212">
    <w:name w:val="Grid Table 1 Light - Accent 2"/>
    <w:basedOn w:val="59"/>
    <w:qFormat/>
    <w:uiPriority w:val="99"/>
  </w:style>
  <w:style w:type="table" w:customStyle="1" w:styleId="213">
    <w:name w:val="Grid Table 1 Light - Accent 3"/>
    <w:basedOn w:val="59"/>
    <w:qFormat/>
    <w:uiPriority w:val="99"/>
  </w:style>
  <w:style w:type="table" w:customStyle="1" w:styleId="214">
    <w:name w:val="Grid Table 1 Light - Accent 4"/>
    <w:basedOn w:val="59"/>
    <w:qFormat/>
    <w:uiPriority w:val="99"/>
  </w:style>
  <w:style w:type="table" w:customStyle="1" w:styleId="215">
    <w:name w:val="Grid Table 1 Light - Accent 5"/>
    <w:basedOn w:val="59"/>
    <w:qFormat/>
    <w:uiPriority w:val="99"/>
  </w:style>
  <w:style w:type="table" w:customStyle="1" w:styleId="216">
    <w:name w:val="Grid Table 1 Light - Accent 6"/>
    <w:basedOn w:val="59"/>
    <w:qFormat/>
    <w:uiPriority w:val="99"/>
  </w:style>
  <w:style w:type="table" w:customStyle="1" w:styleId="217">
    <w:name w:val="Grid Table 2 - Accent 1"/>
    <w:basedOn w:val="59"/>
    <w:qFormat/>
    <w:uiPriority w:val="99"/>
  </w:style>
  <w:style w:type="table" w:customStyle="1" w:styleId="218">
    <w:name w:val="Grid Table 2 - Accent 2"/>
    <w:basedOn w:val="59"/>
    <w:qFormat/>
    <w:uiPriority w:val="99"/>
  </w:style>
  <w:style w:type="table" w:customStyle="1" w:styleId="219">
    <w:name w:val="Grid Table 2 - Accent 3"/>
    <w:basedOn w:val="59"/>
    <w:qFormat/>
    <w:uiPriority w:val="99"/>
  </w:style>
  <w:style w:type="table" w:customStyle="1" w:styleId="220">
    <w:name w:val="Grid Table 2 - Accent 4"/>
    <w:basedOn w:val="59"/>
    <w:qFormat/>
    <w:uiPriority w:val="99"/>
  </w:style>
  <w:style w:type="table" w:customStyle="1" w:styleId="221">
    <w:name w:val="Grid Table 2 - Accent 5"/>
    <w:basedOn w:val="59"/>
    <w:qFormat/>
    <w:uiPriority w:val="99"/>
  </w:style>
  <w:style w:type="table" w:customStyle="1" w:styleId="222">
    <w:name w:val="Grid Table 2 - Accent 6"/>
    <w:basedOn w:val="59"/>
    <w:qFormat/>
    <w:uiPriority w:val="99"/>
  </w:style>
  <w:style w:type="table" w:customStyle="1" w:styleId="223">
    <w:name w:val="Grid Table 3 - Accent 1"/>
    <w:basedOn w:val="59"/>
    <w:qFormat/>
    <w:uiPriority w:val="99"/>
  </w:style>
  <w:style w:type="table" w:customStyle="1" w:styleId="224">
    <w:name w:val="Grid Table 3 - Accent 2"/>
    <w:basedOn w:val="59"/>
    <w:qFormat/>
    <w:uiPriority w:val="99"/>
  </w:style>
  <w:style w:type="table" w:customStyle="1" w:styleId="225">
    <w:name w:val="Grid Table 3 - Accent 3"/>
    <w:basedOn w:val="59"/>
    <w:qFormat/>
    <w:uiPriority w:val="99"/>
  </w:style>
  <w:style w:type="table" w:customStyle="1" w:styleId="226">
    <w:name w:val="Grid Table 3 - Accent 4"/>
    <w:basedOn w:val="59"/>
    <w:qFormat/>
    <w:uiPriority w:val="99"/>
  </w:style>
  <w:style w:type="table" w:customStyle="1" w:styleId="227">
    <w:name w:val="Grid Table 3 - Accent 5"/>
    <w:basedOn w:val="59"/>
    <w:qFormat/>
    <w:uiPriority w:val="99"/>
  </w:style>
  <w:style w:type="table" w:customStyle="1" w:styleId="228">
    <w:name w:val="Grid Table 3 - Accent 6"/>
    <w:basedOn w:val="59"/>
    <w:qFormat/>
    <w:uiPriority w:val="99"/>
  </w:style>
  <w:style w:type="table" w:customStyle="1" w:styleId="229">
    <w:name w:val="Grid Table 4 - Accent 1"/>
    <w:basedOn w:val="59"/>
    <w:qFormat/>
    <w:uiPriority w:val="59"/>
  </w:style>
  <w:style w:type="table" w:customStyle="1" w:styleId="230">
    <w:name w:val="Grid Table 4 - Accent 2"/>
    <w:basedOn w:val="59"/>
    <w:qFormat/>
    <w:uiPriority w:val="59"/>
  </w:style>
  <w:style w:type="table" w:customStyle="1" w:styleId="231">
    <w:name w:val="Grid Table 4 - Accent 3"/>
    <w:basedOn w:val="59"/>
    <w:qFormat/>
    <w:uiPriority w:val="59"/>
  </w:style>
  <w:style w:type="table" w:customStyle="1" w:styleId="232">
    <w:name w:val="Grid Table 4 - Accent 4"/>
    <w:basedOn w:val="59"/>
    <w:qFormat/>
    <w:uiPriority w:val="59"/>
  </w:style>
  <w:style w:type="table" w:customStyle="1" w:styleId="233">
    <w:name w:val="Grid Table 4 - Accent 5"/>
    <w:basedOn w:val="59"/>
    <w:qFormat/>
    <w:uiPriority w:val="59"/>
  </w:style>
  <w:style w:type="table" w:customStyle="1" w:styleId="234">
    <w:name w:val="Grid Table 4 - Accent 6"/>
    <w:basedOn w:val="59"/>
    <w:qFormat/>
    <w:uiPriority w:val="59"/>
  </w:style>
  <w:style w:type="table" w:customStyle="1" w:styleId="235">
    <w:name w:val="Grid Table 5 Dark- Accent 1"/>
    <w:basedOn w:val="59"/>
    <w:qFormat/>
    <w:uiPriority w:val="99"/>
  </w:style>
  <w:style w:type="table" w:customStyle="1" w:styleId="236">
    <w:name w:val="Grid Table 5 Dark - Accent 2"/>
    <w:basedOn w:val="59"/>
    <w:qFormat/>
    <w:uiPriority w:val="99"/>
  </w:style>
  <w:style w:type="table" w:customStyle="1" w:styleId="237">
    <w:name w:val="Grid Table 5 Dark - Accent 3"/>
    <w:basedOn w:val="59"/>
    <w:qFormat/>
    <w:uiPriority w:val="99"/>
  </w:style>
  <w:style w:type="table" w:customStyle="1" w:styleId="238">
    <w:name w:val="Grid Table 5 Dark- Accent 4"/>
    <w:basedOn w:val="59"/>
    <w:qFormat/>
    <w:uiPriority w:val="99"/>
  </w:style>
  <w:style w:type="table" w:customStyle="1" w:styleId="239">
    <w:name w:val="Grid Table 5 Dark - Accent 5"/>
    <w:basedOn w:val="59"/>
    <w:qFormat/>
    <w:uiPriority w:val="99"/>
  </w:style>
  <w:style w:type="table" w:customStyle="1" w:styleId="240">
    <w:name w:val="Grid Table 5 Dark - Accent 6"/>
    <w:basedOn w:val="59"/>
    <w:qFormat/>
    <w:uiPriority w:val="99"/>
  </w:style>
  <w:style w:type="table" w:customStyle="1" w:styleId="241">
    <w:name w:val="Grid Table 6 Colorful - Accent 1"/>
    <w:basedOn w:val="59"/>
    <w:qFormat/>
    <w:uiPriority w:val="99"/>
  </w:style>
  <w:style w:type="table" w:customStyle="1" w:styleId="242">
    <w:name w:val="Grid Table 6 Colorful - Accent 2"/>
    <w:basedOn w:val="59"/>
    <w:qFormat/>
    <w:uiPriority w:val="99"/>
  </w:style>
  <w:style w:type="table" w:customStyle="1" w:styleId="243">
    <w:name w:val="Grid Table 6 Colorful - Accent 3"/>
    <w:basedOn w:val="59"/>
    <w:qFormat/>
    <w:uiPriority w:val="99"/>
  </w:style>
  <w:style w:type="table" w:customStyle="1" w:styleId="244">
    <w:name w:val="Grid Table 6 Colorful - Accent 4"/>
    <w:basedOn w:val="59"/>
    <w:qFormat/>
    <w:uiPriority w:val="99"/>
  </w:style>
  <w:style w:type="table" w:customStyle="1" w:styleId="245">
    <w:name w:val="Grid Table 6 Colorful - Accent 5"/>
    <w:basedOn w:val="59"/>
    <w:qFormat/>
    <w:uiPriority w:val="99"/>
  </w:style>
  <w:style w:type="table" w:customStyle="1" w:styleId="246">
    <w:name w:val="Grid Table 6 Colorful - Accent 6"/>
    <w:basedOn w:val="59"/>
    <w:qFormat/>
    <w:uiPriority w:val="99"/>
  </w:style>
  <w:style w:type="table" w:customStyle="1" w:styleId="247">
    <w:name w:val="Grid Table 7 Colorful - Accent 1"/>
    <w:basedOn w:val="59"/>
    <w:qFormat/>
    <w:uiPriority w:val="99"/>
  </w:style>
  <w:style w:type="table" w:customStyle="1" w:styleId="248">
    <w:name w:val="Grid Table 7 Colorful - Accent 2"/>
    <w:basedOn w:val="59"/>
    <w:qFormat/>
    <w:uiPriority w:val="99"/>
  </w:style>
  <w:style w:type="table" w:customStyle="1" w:styleId="249">
    <w:name w:val="Grid Table 7 Colorful - Accent 3"/>
    <w:basedOn w:val="59"/>
    <w:qFormat/>
    <w:uiPriority w:val="99"/>
  </w:style>
  <w:style w:type="table" w:customStyle="1" w:styleId="250">
    <w:name w:val="Grid Table 7 Colorful - Accent 4"/>
    <w:basedOn w:val="59"/>
    <w:qFormat/>
    <w:uiPriority w:val="99"/>
  </w:style>
  <w:style w:type="table" w:customStyle="1" w:styleId="251">
    <w:name w:val="Grid Table 7 Colorful - Accent 5"/>
    <w:basedOn w:val="59"/>
    <w:qFormat/>
    <w:uiPriority w:val="99"/>
  </w:style>
  <w:style w:type="table" w:customStyle="1" w:styleId="252">
    <w:name w:val="Grid Table 7 Colorful - Accent 6"/>
    <w:basedOn w:val="59"/>
    <w:qFormat/>
    <w:uiPriority w:val="99"/>
  </w:style>
  <w:style w:type="table" w:customStyle="1" w:styleId="253">
    <w:name w:val="List Table 1 Light - Accent 1"/>
    <w:basedOn w:val="59"/>
    <w:qFormat/>
    <w:uiPriority w:val="99"/>
  </w:style>
  <w:style w:type="table" w:customStyle="1" w:styleId="254">
    <w:name w:val="List Table 1 Light - Accent 2"/>
    <w:basedOn w:val="59"/>
    <w:qFormat/>
    <w:uiPriority w:val="99"/>
  </w:style>
  <w:style w:type="table" w:customStyle="1" w:styleId="255">
    <w:name w:val="List Table 1 Light - Accent 3"/>
    <w:basedOn w:val="59"/>
    <w:qFormat/>
    <w:uiPriority w:val="99"/>
  </w:style>
  <w:style w:type="table" w:customStyle="1" w:styleId="256">
    <w:name w:val="List Table 1 Light - Accent 4"/>
    <w:basedOn w:val="59"/>
    <w:qFormat/>
    <w:uiPriority w:val="99"/>
  </w:style>
  <w:style w:type="table" w:customStyle="1" w:styleId="257">
    <w:name w:val="List Table 1 Light - Accent 5"/>
    <w:basedOn w:val="59"/>
    <w:qFormat/>
    <w:uiPriority w:val="99"/>
  </w:style>
  <w:style w:type="table" w:customStyle="1" w:styleId="258">
    <w:name w:val="List Table 1 Light - Accent 6"/>
    <w:basedOn w:val="59"/>
    <w:qFormat/>
    <w:uiPriority w:val="99"/>
  </w:style>
  <w:style w:type="table" w:customStyle="1" w:styleId="259">
    <w:name w:val="List Table 2 - Accent 1"/>
    <w:basedOn w:val="59"/>
    <w:qFormat/>
    <w:uiPriority w:val="99"/>
  </w:style>
  <w:style w:type="table" w:customStyle="1" w:styleId="260">
    <w:name w:val="List Table 2 - Accent 2"/>
    <w:basedOn w:val="59"/>
    <w:qFormat/>
    <w:uiPriority w:val="99"/>
  </w:style>
  <w:style w:type="table" w:customStyle="1" w:styleId="261">
    <w:name w:val="List Table 2 - Accent 3"/>
    <w:basedOn w:val="59"/>
    <w:qFormat/>
    <w:uiPriority w:val="99"/>
  </w:style>
  <w:style w:type="table" w:customStyle="1" w:styleId="262">
    <w:name w:val="List Table 2 - Accent 4"/>
    <w:basedOn w:val="59"/>
    <w:qFormat/>
    <w:uiPriority w:val="99"/>
  </w:style>
  <w:style w:type="table" w:customStyle="1" w:styleId="263">
    <w:name w:val="List Table 2 - Accent 5"/>
    <w:basedOn w:val="59"/>
    <w:qFormat/>
    <w:uiPriority w:val="99"/>
  </w:style>
  <w:style w:type="table" w:customStyle="1" w:styleId="264">
    <w:name w:val="List Table 2 - Accent 6"/>
    <w:basedOn w:val="59"/>
    <w:qFormat/>
    <w:uiPriority w:val="99"/>
  </w:style>
  <w:style w:type="table" w:customStyle="1" w:styleId="265">
    <w:name w:val="List Table 3 - Accent 1"/>
    <w:basedOn w:val="59"/>
    <w:qFormat/>
    <w:uiPriority w:val="99"/>
  </w:style>
  <w:style w:type="table" w:customStyle="1" w:styleId="266">
    <w:name w:val="List Table 3 - Accent 2"/>
    <w:basedOn w:val="59"/>
    <w:qFormat/>
    <w:uiPriority w:val="99"/>
  </w:style>
  <w:style w:type="table" w:customStyle="1" w:styleId="267">
    <w:name w:val="List Table 3 - Accent 3"/>
    <w:basedOn w:val="59"/>
    <w:qFormat/>
    <w:uiPriority w:val="99"/>
  </w:style>
  <w:style w:type="table" w:customStyle="1" w:styleId="268">
    <w:name w:val="List Table 3 - Accent 4"/>
    <w:basedOn w:val="59"/>
    <w:qFormat/>
    <w:uiPriority w:val="99"/>
  </w:style>
  <w:style w:type="table" w:customStyle="1" w:styleId="269">
    <w:name w:val="List Table 3 - Accent 5"/>
    <w:basedOn w:val="59"/>
    <w:qFormat/>
    <w:uiPriority w:val="99"/>
  </w:style>
  <w:style w:type="table" w:customStyle="1" w:styleId="270">
    <w:name w:val="List Table 3 - Accent 6"/>
    <w:basedOn w:val="59"/>
    <w:qFormat/>
    <w:uiPriority w:val="99"/>
  </w:style>
  <w:style w:type="table" w:customStyle="1" w:styleId="271">
    <w:name w:val="List Table 4 - Accent 1"/>
    <w:basedOn w:val="59"/>
    <w:qFormat/>
    <w:uiPriority w:val="99"/>
  </w:style>
  <w:style w:type="table" w:customStyle="1" w:styleId="272">
    <w:name w:val="List Table 4 - Accent 2"/>
    <w:basedOn w:val="59"/>
    <w:qFormat/>
    <w:uiPriority w:val="99"/>
  </w:style>
  <w:style w:type="table" w:customStyle="1" w:styleId="273">
    <w:name w:val="List Table 4 - Accent 3"/>
    <w:basedOn w:val="59"/>
    <w:qFormat/>
    <w:uiPriority w:val="99"/>
  </w:style>
  <w:style w:type="table" w:customStyle="1" w:styleId="274">
    <w:name w:val="List Table 4 - Accent 4"/>
    <w:basedOn w:val="59"/>
    <w:qFormat/>
    <w:uiPriority w:val="99"/>
  </w:style>
  <w:style w:type="table" w:customStyle="1" w:styleId="275">
    <w:name w:val="List Table 4 - Accent 5"/>
    <w:basedOn w:val="59"/>
    <w:qFormat/>
    <w:uiPriority w:val="99"/>
  </w:style>
  <w:style w:type="table" w:customStyle="1" w:styleId="276">
    <w:name w:val="List Table 4 - Accent 6"/>
    <w:basedOn w:val="59"/>
    <w:qFormat/>
    <w:uiPriority w:val="99"/>
  </w:style>
  <w:style w:type="table" w:customStyle="1" w:styleId="277">
    <w:name w:val="List Table 5 Dark - Accent 1"/>
    <w:basedOn w:val="59"/>
    <w:qFormat/>
    <w:uiPriority w:val="99"/>
  </w:style>
  <w:style w:type="table" w:customStyle="1" w:styleId="278">
    <w:name w:val="List Table 5 Dark - Accent 2"/>
    <w:basedOn w:val="59"/>
    <w:qFormat/>
    <w:uiPriority w:val="99"/>
  </w:style>
  <w:style w:type="table" w:customStyle="1" w:styleId="279">
    <w:name w:val="List Table 5 Dark - Accent 3"/>
    <w:basedOn w:val="59"/>
    <w:qFormat/>
    <w:uiPriority w:val="99"/>
  </w:style>
  <w:style w:type="table" w:customStyle="1" w:styleId="280">
    <w:name w:val="List Table 5 Dark - Accent 4"/>
    <w:basedOn w:val="59"/>
    <w:qFormat/>
    <w:uiPriority w:val="99"/>
  </w:style>
  <w:style w:type="table" w:customStyle="1" w:styleId="281">
    <w:name w:val="List Table 5 Dark - Accent 5"/>
    <w:basedOn w:val="59"/>
    <w:qFormat/>
    <w:uiPriority w:val="99"/>
  </w:style>
  <w:style w:type="table" w:customStyle="1" w:styleId="282">
    <w:name w:val="List Table 5 Dark - Accent 6"/>
    <w:basedOn w:val="59"/>
    <w:qFormat/>
    <w:uiPriority w:val="99"/>
  </w:style>
  <w:style w:type="table" w:customStyle="1" w:styleId="283">
    <w:name w:val="List Table 6 Colorful - Accent 1"/>
    <w:basedOn w:val="59"/>
    <w:qFormat/>
    <w:uiPriority w:val="99"/>
  </w:style>
  <w:style w:type="table" w:customStyle="1" w:styleId="284">
    <w:name w:val="List Table 6 Colorful - Accent 2"/>
    <w:basedOn w:val="59"/>
    <w:qFormat/>
    <w:uiPriority w:val="99"/>
  </w:style>
  <w:style w:type="table" w:customStyle="1" w:styleId="285">
    <w:name w:val="List Table 6 Colorful - Accent 3"/>
    <w:basedOn w:val="59"/>
    <w:qFormat/>
    <w:uiPriority w:val="99"/>
  </w:style>
  <w:style w:type="table" w:customStyle="1" w:styleId="286">
    <w:name w:val="List Table 6 Colorful - Accent 4"/>
    <w:basedOn w:val="59"/>
    <w:qFormat/>
    <w:uiPriority w:val="99"/>
  </w:style>
  <w:style w:type="table" w:customStyle="1" w:styleId="287">
    <w:name w:val="List Table 6 Colorful - Accent 5"/>
    <w:basedOn w:val="59"/>
    <w:qFormat/>
    <w:uiPriority w:val="99"/>
  </w:style>
  <w:style w:type="table" w:customStyle="1" w:styleId="288">
    <w:name w:val="List Table 6 Colorful - Accent 6"/>
    <w:basedOn w:val="59"/>
    <w:qFormat/>
    <w:uiPriority w:val="99"/>
  </w:style>
  <w:style w:type="table" w:customStyle="1" w:styleId="289">
    <w:name w:val="List Table 7 Colorful - Accent 1"/>
    <w:basedOn w:val="59"/>
    <w:qFormat/>
    <w:uiPriority w:val="99"/>
  </w:style>
  <w:style w:type="table" w:customStyle="1" w:styleId="290">
    <w:name w:val="List Table 7 Colorful - Accent 2"/>
    <w:basedOn w:val="59"/>
    <w:qFormat/>
    <w:uiPriority w:val="99"/>
  </w:style>
  <w:style w:type="table" w:customStyle="1" w:styleId="291">
    <w:name w:val="List Table 7 Colorful - Accent 3"/>
    <w:basedOn w:val="59"/>
    <w:qFormat/>
    <w:uiPriority w:val="99"/>
  </w:style>
  <w:style w:type="table" w:customStyle="1" w:styleId="292">
    <w:name w:val="List Table 7 Colorful - Accent 4"/>
    <w:basedOn w:val="59"/>
    <w:qFormat/>
    <w:uiPriority w:val="99"/>
  </w:style>
  <w:style w:type="table" w:customStyle="1" w:styleId="293">
    <w:name w:val="List Table 7 Colorful - Accent 5"/>
    <w:basedOn w:val="59"/>
    <w:qFormat/>
    <w:uiPriority w:val="99"/>
  </w:style>
  <w:style w:type="table" w:customStyle="1" w:styleId="294">
    <w:name w:val="List Table 7 Colorful - Accent 6"/>
    <w:basedOn w:val="59"/>
    <w:qFormat/>
    <w:uiPriority w:val="99"/>
  </w:style>
  <w:style w:type="table" w:customStyle="1" w:styleId="295">
    <w:name w:val="Lined - Accent"/>
    <w:basedOn w:val="59"/>
    <w:qFormat/>
    <w:uiPriority w:val="99"/>
    <w:rPr>
      <w:color w:val="404040"/>
    </w:rPr>
  </w:style>
  <w:style w:type="table" w:customStyle="1" w:styleId="296">
    <w:name w:val="Lined - Accent 1"/>
    <w:basedOn w:val="59"/>
    <w:qFormat/>
    <w:uiPriority w:val="99"/>
    <w:rPr>
      <w:color w:val="404040"/>
    </w:rPr>
  </w:style>
  <w:style w:type="table" w:customStyle="1" w:styleId="297">
    <w:name w:val="Lined - Accent 2"/>
    <w:basedOn w:val="59"/>
    <w:qFormat/>
    <w:uiPriority w:val="99"/>
    <w:rPr>
      <w:color w:val="404040"/>
    </w:rPr>
  </w:style>
  <w:style w:type="table" w:customStyle="1" w:styleId="298">
    <w:name w:val="Lined - Accent 3"/>
    <w:basedOn w:val="59"/>
    <w:qFormat/>
    <w:uiPriority w:val="99"/>
    <w:rPr>
      <w:color w:val="404040"/>
    </w:rPr>
  </w:style>
  <w:style w:type="table" w:customStyle="1" w:styleId="299">
    <w:name w:val="Lined - Accent 4"/>
    <w:basedOn w:val="59"/>
    <w:qFormat/>
    <w:uiPriority w:val="99"/>
    <w:rPr>
      <w:color w:val="404040"/>
    </w:rPr>
  </w:style>
  <w:style w:type="table" w:customStyle="1" w:styleId="300">
    <w:name w:val="Lined - Accent 5"/>
    <w:basedOn w:val="59"/>
    <w:qFormat/>
    <w:uiPriority w:val="99"/>
    <w:rPr>
      <w:color w:val="404040"/>
    </w:rPr>
  </w:style>
  <w:style w:type="table" w:customStyle="1" w:styleId="301">
    <w:name w:val="Lined - Accent 6"/>
    <w:basedOn w:val="59"/>
    <w:qFormat/>
    <w:uiPriority w:val="99"/>
    <w:rPr>
      <w:color w:val="404040"/>
    </w:rPr>
  </w:style>
  <w:style w:type="table" w:customStyle="1" w:styleId="302">
    <w:name w:val="Bordered &amp; Lined - Accent"/>
    <w:basedOn w:val="59"/>
    <w:qFormat/>
    <w:uiPriority w:val="99"/>
    <w:rPr>
      <w:color w:val="404040"/>
    </w:rPr>
  </w:style>
  <w:style w:type="table" w:customStyle="1" w:styleId="303">
    <w:name w:val="Bordered &amp; Lined - Accent 1"/>
    <w:basedOn w:val="59"/>
    <w:qFormat/>
    <w:uiPriority w:val="99"/>
    <w:rPr>
      <w:color w:val="404040"/>
    </w:rPr>
  </w:style>
  <w:style w:type="table" w:customStyle="1" w:styleId="304">
    <w:name w:val="Bordered &amp; Lined - Accent 2"/>
    <w:basedOn w:val="59"/>
    <w:qFormat/>
    <w:uiPriority w:val="99"/>
    <w:rPr>
      <w:color w:val="404040"/>
    </w:rPr>
  </w:style>
  <w:style w:type="table" w:customStyle="1" w:styleId="305">
    <w:name w:val="Bordered &amp; Lined - Accent 3"/>
    <w:basedOn w:val="59"/>
    <w:qFormat/>
    <w:uiPriority w:val="99"/>
    <w:rPr>
      <w:color w:val="404040"/>
    </w:rPr>
  </w:style>
  <w:style w:type="table" w:customStyle="1" w:styleId="306">
    <w:name w:val="Bordered &amp; Lined - Accent 4"/>
    <w:basedOn w:val="59"/>
    <w:qFormat/>
    <w:uiPriority w:val="99"/>
    <w:rPr>
      <w:color w:val="404040"/>
    </w:rPr>
  </w:style>
  <w:style w:type="table" w:customStyle="1" w:styleId="307">
    <w:name w:val="Bordered &amp; Lined - Accent 5"/>
    <w:basedOn w:val="59"/>
    <w:qFormat/>
    <w:uiPriority w:val="99"/>
    <w:rPr>
      <w:color w:val="404040"/>
    </w:rPr>
  </w:style>
  <w:style w:type="table" w:customStyle="1" w:styleId="308">
    <w:name w:val="Bordered &amp; Lined - Accent 6"/>
    <w:basedOn w:val="59"/>
    <w:qFormat/>
    <w:uiPriority w:val="99"/>
    <w:rPr>
      <w:color w:val="404040"/>
    </w:rPr>
  </w:style>
  <w:style w:type="table" w:customStyle="1" w:styleId="309">
    <w:name w:val="Bordered"/>
    <w:basedOn w:val="59"/>
    <w:qFormat/>
    <w:uiPriority w:val="99"/>
  </w:style>
  <w:style w:type="table" w:customStyle="1" w:styleId="310">
    <w:name w:val="Bordered - Accent 1"/>
    <w:basedOn w:val="59"/>
    <w:qFormat/>
    <w:uiPriority w:val="99"/>
  </w:style>
  <w:style w:type="table" w:customStyle="1" w:styleId="311">
    <w:name w:val="Bordered - Accent 2"/>
    <w:basedOn w:val="59"/>
    <w:qFormat/>
    <w:uiPriority w:val="99"/>
  </w:style>
  <w:style w:type="table" w:customStyle="1" w:styleId="312">
    <w:name w:val="Bordered - Accent 3"/>
    <w:basedOn w:val="59"/>
    <w:qFormat/>
    <w:uiPriority w:val="99"/>
  </w:style>
  <w:style w:type="table" w:customStyle="1" w:styleId="313">
    <w:name w:val="Bordered - Accent 4"/>
    <w:basedOn w:val="59"/>
    <w:qFormat/>
    <w:uiPriority w:val="99"/>
  </w:style>
  <w:style w:type="table" w:customStyle="1" w:styleId="314">
    <w:name w:val="Bordered - Accent 5"/>
    <w:basedOn w:val="59"/>
    <w:qFormat/>
    <w:uiPriority w:val="99"/>
  </w:style>
  <w:style w:type="table" w:customStyle="1" w:styleId="315">
    <w:name w:val="Bordered - Accent 6"/>
    <w:basedOn w:val="59"/>
    <w:qFormat/>
    <w:uiPriority w:val="99"/>
  </w:style>
  <w:style w:type="paragraph" w:customStyle="1" w:styleId="316">
    <w:name w:val="TOC 标题11"/>
    <w:unhideWhenUsed/>
    <w:qFormat/>
    <w:uiPriority w:val="39"/>
    <w:rPr>
      <w:rFonts w:hint="default" w:ascii="Times New Roman" w:hAnsi="Times New Roman" w:eastAsia="宋体" w:cs="Times New Roman"/>
      <w:lang w:val="en-US" w:eastAsia="zh-CN" w:bidi="ar-SA"/>
    </w:rPr>
  </w:style>
  <w:style w:type="paragraph" w:customStyle="1" w:styleId="317">
    <w:name w:val="Normal_0"/>
    <w:qFormat/>
    <w:uiPriority w:val="0"/>
    <w:rPr>
      <w:rFonts w:hint="default" w:ascii="黑体" w:hAnsi="黑体" w:eastAsia="黑体" w:cs="Times New Roman"/>
      <w:b/>
      <w:sz w:val="32"/>
      <w:szCs w:val="24"/>
      <w:lang w:val="en-US" w:eastAsia="zh-CN" w:bidi="ar-SA"/>
    </w:rPr>
  </w:style>
  <w:style w:type="paragraph" w:customStyle="1" w:styleId="318">
    <w:name w:val="正文1"/>
    <w:next w:val="50"/>
    <w:qFormat/>
    <w:uiPriority w:val="0"/>
    <w:rPr>
      <w:rFonts w:hint="default" w:ascii="Times New Roman" w:hAnsi="Times New Roman" w:eastAsia="Times New Roman" w:cs="Times New Roman"/>
      <w:sz w:val="24"/>
      <w:szCs w:val="24"/>
      <w:lang w:val="en-US" w:eastAsia="zh-CN" w:bidi="ar-SA"/>
    </w:rPr>
  </w:style>
  <w:style w:type="paragraph" w:customStyle="1" w:styleId="319">
    <w:name w:val="Normal_0_3"/>
    <w:qFormat/>
    <w:uiPriority w:val="0"/>
    <w:rPr>
      <w:rFonts w:hint="default" w:ascii="黑体" w:hAnsi="黑体" w:eastAsia="黑体" w:cs="黑体"/>
      <w:b/>
      <w:sz w:val="32"/>
      <w:szCs w:val="24"/>
      <w:lang w:val="en-US" w:eastAsia="zh-CN" w:bidi="ar-SA"/>
    </w:rPr>
  </w:style>
  <w:style w:type="paragraph" w:customStyle="1" w:styleId="320">
    <w:name w:val="正文首行缩进 2_0"/>
    <w:basedOn w:val="321"/>
    <w:qFormat/>
    <w:uiPriority w:val="0"/>
    <w:pPr>
      <w:spacing w:after="120"/>
      <w:ind w:left="200" w:firstLine="200"/>
    </w:pPr>
    <w:rPr>
      <w:rFonts w:ascii="Times New Roman" w:hAnsi="Times New Roman"/>
      <w:sz w:val="24"/>
      <w:szCs w:val="24"/>
    </w:rPr>
  </w:style>
  <w:style w:type="paragraph" w:customStyle="1" w:styleId="321">
    <w:name w:val="正文文本缩进_0"/>
    <w:basedOn w:val="322"/>
    <w:qFormat/>
    <w:uiPriority w:val="0"/>
    <w:pPr>
      <w:ind w:firstLine="225"/>
    </w:pPr>
    <w:rPr>
      <w:rFonts w:ascii="仿宋_GB2312" w:eastAsia="仿宋_GB2312"/>
      <w:sz w:val="32"/>
    </w:rPr>
  </w:style>
  <w:style w:type="paragraph" w:customStyle="1" w:styleId="322">
    <w:name w:val="正文_2"/>
    <w:next w:val="32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3">
    <w:name w:val="文本块_0"/>
    <w:basedOn w:val="322"/>
    <w:qFormat/>
    <w:uiPriority w:val="0"/>
    <w:pPr>
      <w:spacing w:line="360" w:lineRule="exact"/>
      <w:ind w:left="1548" w:right="12" w:hanging="2405"/>
    </w:pPr>
    <w:rPr>
      <w:rFonts w:ascii="宋体"/>
      <w:bCs/>
      <w:sz w:val="28"/>
    </w:rPr>
  </w:style>
  <w:style w:type="paragraph" w:customStyle="1" w:styleId="324">
    <w:name w:val="Normal_0_2"/>
    <w:next w:val="325"/>
    <w:qFormat/>
    <w:uiPriority w:val="0"/>
    <w:rPr>
      <w:rFonts w:hint="default" w:ascii="黑体" w:hAnsi="黑体" w:eastAsia="黑体" w:cs="黑体"/>
      <w:b/>
      <w:sz w:val="32"/>
      <w:szCs w:val="24"/>
      <w:lang w:val="en-US" w:eastAsia="zh-CN" w:bidi="ar-SA"/>
    </w:rPr>
  </w:style>
  <w:style w:type="paragraph" w:customStyle="1" w:styleId="325">
    <w:name w:val="Body Text First Indent_1"/>
    <w:basedOn w:val="49"/>
    <w:unhideWhenUsed/>
    <w:qFormat/>
    <w:uiPriority w:val="99"/>
    <w:pPr>
      <w:spacing w:after="120"/>
      <w:ind w:firstLine="420"/>
    </w:pPr>
    <w:rPr>
      <w:rFonts w:eastAsia="Times New Roman"/>
      <w:sz w:val="20"/>
    </w:rPr>
  </w:style>
  <w:style w:type="paragraph" w:customStyle="1" w:styleId="326">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27">
    <w:name w:val="Normal_0_1"/>
    <w:next w:val="328"/>
    <w:qFormat/>
    <w:uiPriority w:val="0"/>
    <w:rPr>
      <w:rFonts w:hint="default" w:ascii="黑体" w:hAnsi="黑体" w:eastAsia="黑体" w:cs="黑体"/>
      <w:b/>
      <w:sz w:val="32"/>
      <w:szCs w:val="24"/>
      <w:lang w:val="en-US" w:eastAsia="zh-CN" w:bidi="ar-SA"/>
    </w:rPr>
  </w:style>
  <w:style w:type="paragraph" w:customStyle="1" w:styleId="328">
    <w:name w:val="Body Text First Indent_0"/>
    <w:basedOn w:val="329"/>
    <w:unhideWhenUsed/>
    <w:qFormat/>
    <w:uiPriority w:val="99"/>
    <w:pPr>
      <w:spacing w:after="120"/>
      <w:ind w:firstLine="420"/>
    </w:pPr>
    <w:rPr>
      <w:rFonts w:eastAsia="Times New Roman"/>
    </w:rPr>
  </w:style>
  <w:style w:type="paragraph" w:customStyle="1" w:styleId="329">
    <w:name w:val="正文3"/>
    <w:next w:val="330"/>
    <w:qFormat/>
    <w:uiPriority w:val="0"/>
    <w:rPr>
      <w:rFonts w:hint="default" w:ascii="Times New Roman" w:hAnsi="Times New Roman" w:eastAsia="Times New Roman" w:cs="Times New Roman"/>
      <w:sz w:val="24"/>
      <w:szCs w:val="24"/>
      <w:lang w:val="en-US" w:eastAsia="zh-CN" w:bidi="ar-SA"/>
    </w:rPr>
  </w:style>
  <w:style w:type="paragraph" w:customStyle="1" w:styleId="330">
    <w:name w:val="正文首行缩进3"/>
    <w:basedOn w:val="318"/>
    <w:unhideWhenUsed/>
    <w:qFormat/>
    <w:uiPriority w:val="99"/>
    <w:pPr>
      <w:spacing w:after="120"/>
      <w:ind w:firstLine="420"/>
    </w:pPr>
    <w:rPr>
      <w:sz w:val="20"/>
    </w:rPr>
  </w:style>
  <w:style w:type="paragraph" w:customStyle="1" w:styleId="331">
    <w:name w:val="Normal_1_1"/>
    <w:qFormat/>
    <w:uiPriority w:val="0"/>
    <w:rPr>
      <w:rFonts w:hint="default" w:ascii="黑体" w:hAnsi="黑体" w:eastAsia="黑体" w:cs="黑体"/>
      <w:b/>
      <w:sz w:val="32"/>
      <w:szCs w:val="24"/>
      <w:lang w:val="en-US" w:eastAsia="zh-CN" w:bidi="ar-SA"/>
    </w:rPr>
  </w:style>
  <w:style w:type="paragraph" w:customStyle="1" w:styleId="332">
    <w:name w:val="正文_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3">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4">
    <w:name w:val="Normal_2_0"/>
    <w:qFormat/>
    <w:uiPriority w:val="0"/>
    <w:rPr>
      <w:rFonts w:hint="default" w:ascii="黑体" w:hAnsi="黑体" w:eastAsia="黑体" w:cs="黑体"/>
      <w:b/>
      <w:sz w:val="32"/>
      <w:szCs w:val="24"/>
      <w:lang w:val="en-US" w:eastAsia="zh-CN" w:bidi="ar-SA"/>
    </w:rPr>
  </w:style>
  <w:style w:type="paragraph" w:customStyle="1" w:styleId="335">
    <w:name w:val="Normal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6">
    <w:name w:val="Normal_4_0"/>
    <w:qFormat/>
    <w:uiPriority w:val="0"/>
    <w:rPr>
      <w:rFonts w:hint="default" w:ascii="黑体" w:hAnsi="黑体" w:eastAsia="黑体" w:cs="黑体"/>
      <w:b/>
      <w:sz w:val="32"/>
      <w:szCs w:val="24"/>
      <w:lang w:val="en-US" w:eastAsia="zh-CN" w:bidi="ar-SA"/>
    </w:rPr>
  </w:style>
  <w:style w:type="paragraph" w:customStyle="1" w:styleId="337">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8">
    <w:name w:val="Normal_6_0"/>
    <w:qFormat/>
    <w:uiPriority w:val="0"/>
    <w:rPr>
      <w:rFonts w:hint="default" w:ascii="黑体" w:hAnsi="黑体" w:eastAsia="黑体" w:cs="黑体"/>
      <w:b/>
      <w:sz w:val="32"/>
      <w:szCs w:val="24"/>
      <w:lang w:val="en-US" w:eastAsia="zh-CN" w:bidi="ar-SA"/>
    </w:rPr>
  </w:style>
  <w:style w:type="paragraph" w:customStyle="1" w:styleId="339">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0">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1">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2">
    <w:name w:val="Normal_7_0"/>
    <w:qFormat/>
    <w:uiPriority w:val="0"/>
    <w:rPr>
      <w:rFonts w:hint="default" w:ascii="黑体" w:hAnsi="黑体" w:eastAsia="黑体" w:cs="黑体"/>
      <w:b/>
      <w:sz w:val="32"/>
      <w:szCs w:val="24"/>
      <w:lang w:val="en-US" w:eastAsia="zh-CN" w:bidi="ar-SA"/>
    </w:rPr>
  </w:style>
  <w:style w:type="paragraph" w:customStyle="1" w:styleId="343">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344">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345">
    <w:name w:val="Normal_10_0"/>
    <w:qFormat/>
    <w:uiPriority w:val="0"/>
    <w:rPr>
      <w:rFonts w:hint="default" w:ascii="黑体" w:hAnsi="黑体" w:eastAsia="黑体" w:cs="黑体"/>
      <w:b/>
      <w:sz w:val="32"/>
      <w:szCs w:val="24"/>
      <w:lang w:val="en-US" w:eastAsia="zh-CN" w:bidi="ar-SA"/>
    </w:rPr>
  </w:style>
  <w:style w:type="paragraph" w:customStyle="1" w:styleId="346">
    <w:name w:val="正文_3"/>
    <w:next w:val="34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7">
    <w:name w:val="正文首行缩进 2_1"/>
    <w:basedOn w:val="348"/>
    <w:next w:val="350"/>
    <w:qFormat/>
    <w:uiPriority w:val="0"/>
    <w:pPr>
      <w:spacing w:after="120"/>
      <w:ind w:left="200" w:firstLine="200"/>
    </w:pPr>
    <w:rPr>
      <w:rFonts w:ascii="Times New Roman"/>
      <w:szCs w:val="24"/>
    </w:rPr>
  </w:style>
  <w:style w:type="paragraph" w:customStyle="1" w:styleId="348">
    <w:name w:val="正文文本缩进_1"/>
    <w:basedOn w:val="349"/>
    <w:next w:val="347"/>
    <w:qFormat/>
    <w:uiPriority w:val="0"/>
    <w:pPr>
      <w:ind w:firstLine="225"/>
    </w:pPr>
    <w:rPr>
      <w:rFonts w:ascii="仿宋_GB2312" w:eastAsia="仿宋_GB2312"/>
      <w:sz w:val="32"/>
    </w:rPr>
  </w:style>
  <w:style w:type="paragraph" w:customStyle="1" w:styleId="349">
    <w:name w:val="正文_18"/>
    <w:next w:val="34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0">
    <w:name w:val="xl53_0"/>
    <w:next w:val="346"/>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351">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2">
    <w:name w:val="Normal_11_0"/>
    <w:qFormat/>
    <w:uiPriority w:val="0"/>
    <w:rPr>
      <w:rFonts w:hint="default" w:ascii="黑体" w:hAnsi="黑体" w:eastAsia="黑体" w:cs="黑体"/>
      <w:b/>
      <w:sz w:val="32"/>
      <w:szCs w:val="24"/>
      <w:lang w:val="en-US" w:eastAsia="zh-CN" w:bidi="ar-SA"/>
    </w:rPr>
  </w:style>
  <w:style w:type="paragraph" w:customStyle="1" w:styleId="353">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4">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5">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6">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57">
    <w:name w:val="列出段落_2"/>
    <w:basedOn w:val="355"/>
    <w:qFormat/>
    <w:uiPriority w:val="34"/>
    <w:pPr>
      <w:ind w:firstLine="420"/>
    </w:pPr>
  </w:style>
  <w:style w:type="paragraph" w:customStyle="1" w:styleId="358">
    <w:name w:val="Normal_13_0"/>
    <w:qFormat/>
    <w:uiPriority w:val="0"/>
    <w:rPr>
      <w:rFonts w:hint="default" w:ascii="黑体" w:hAnsi="黑体" w:eastAsia="黑体" w:cs="黑体"/>
      <w:b/>
      <w:sz w:val="32"/>
      <w:szCs w:val="24"/>
      <w:lang w:val="en-US" w:eastAsia="zh-CN" w:bidi="ar-SA"/>
    </w:rPr>
  </w:style>
  <w:style w:type="paragraph" w:customStyle="1" w:styleId="359">
    <w:name w:val="正文_7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0">
    <w:name w:val="纯文本_0_0"/>
    <w:basedOn w:val="359"/>
    <w:unhideWhenUsed/>
    <w:qFormat/>
    <w:uiPriority w:val="0"/>
    <w:rPr>
      <w:rFonts w:ascii="宋体" w:hAnsi="Courier New"/>
      <w:szCs w:val="21"/>
    </w:rPr>
  </w:style>
  <w:style w:type="paragraph" w:customStyle="1" w:styleId="361">
    <w:name w:val="正文_8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2">
    <w:name w:val="Normal_14_0"/>
    <w:qFormat/>
    <w:uiPriority w:val="0"/>
    <w:rPr>
      <w:rFonts w:hint="default" w:ascii="黑体" w:hAnsi="黑体" w:eastAsia="黑体" w:cs="黑体"/>
      <w:b/>
      <w:sz w:val="32"/>
      <w:szCs w:val="24"/>
      <w:lang w:val="en-US" w:eastAsia="zh-CN" w:bidi="ar-SA"/>
    </w:rPr>
  </w:style>
  <w:style w:type="paragraph" w:customStyle="1" w:styleId="363">
    <w:name w:val="正文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4">
    <w:name w:val="Normal_15_0"/>
    <w:qFormat/>
    <w:uiPriority w:val="0"/>
    <w:rPr>
      <w:rFonts w:hint="default" w:ascii="黑体" w:hAnsi="黑体" w:eastAsia="黑体" w:cs="黑体"/>
      <w:b/>
      <w:sz w:val="32"/>
      <w:szCs w:val="24"/>
      <w:lang w:val="en-US" w:eastAsia="zh-CN" w:bidi="ar-SA"/>
    </w:rPr>
  </w:style>
  <w:style w:type="paragraph" w:customStyle="1" w:styleId="365">
    <w:name w:val="正文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6">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7">
    <w:name w:val="Normal_16_0"/>
    <w:qFormat/>
    <w:uiPriority w:val="0"/>
    <w:rPr>
      <w:rFonts w:hint="default" w:ascii="黑体" w:hAnsi="黑体" w:eastAsia="黑体" w:cs="黑体"/>
      <w:b/>
      <w:sz w:val="32"/>
      <w:szCs w:val="24"/>
      <w:lang w:val="en-US" w:eastAsia="zh-CN" w:bidi="ar-SA"/>
    </w:rPr>
  </w:style>
  <w:style w:type="paragraph" w:customStyle="1" w:styleId="368">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9">
    <w:name w:val="Normal_17_0"/>
    <w:qFormat/>
    <w:uiPriority w:val="0"/>
    <w:rPr>
      <w:rFonts w:hint="default" w:ascii="黑体" w:hAnsi="黑体" w:eastAsia="黑体" w:cs="黑体"/>
      <w:b/>
      <w:sz w:val="32"/>
      <w:szCs w:val="24"/>
      <w:lang w:val="en-US" w:eastAsia="zh-CN" w:bidi="ar-SA"/>
    </w:rPr>
  </w:style>
  <w:style w:type="paragraph" w:customStyle="1" w:styleId="370">
    <w:name w:val="正文_1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1">
    <w:name w:val="Normal_18_0"/>
    <w:qFormat/>
    <w:uiPriority w:val="0"/>
    <w:rPr>
      <w:rFonts w:hint="default" w:ascii="黑体" w:hAnsi="黑体" w:eastAsia="黑体" w:cs="黑体"/>
      <w:b/>
      <w:sz w:val="32"/>
      <w:szCs w:val="24"/>
      <w:lang w:val="en-US" w:eastAsia="zh-CN" w:bidi="ar-SA"/>
    </w:rPr>
  </w:style>
  <w:style w:type="paragraph" w:customStyle="1" w:styleId="372">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3">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4">
    <w:name w:val="Normal_14_0_0"/>
    <w:qFormat/>
    <w:uiPriority w:val="0"/>
    <w:rPr>
      <w:rFonts w:hint="default" w:ascii="黑体" w:hAnsi="黑体" w:eastAsia="黑体" w:cs="Times New Roman"/>
      <w:b/>
      <w:sz w:val="32"/>
      <w:szCs w:val="24"/>
      <w:lang w:val="en-US" w:eastAsia="zh-CN" w:bidi="ar-SA"/>
    </w:rPr>
  </w:style>
  <w:style w:type="paragraph" w:customStyle="1" w:styleId="375">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6">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7">
    <w:name w:val="正文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8">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9">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0">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1">
    <w:name w:val="Normal Indent_0"/>
    <w:basedOn w:val="137"/>
    <w:qFormat/>
    <w:uiPriority w:val="0"/>
    <w:pPr>
      <w:ind w:firstLine="420"/>
    </w:pPr>
    <w:rPr>
      <w:rFonts w:ascii="宋体" w:eastAsia="Times New Roman"/>
      <w:color w:val="000000"/>
      <w:sz w:val="24"/>
      <w:szCs w:val="20"/>
    </w:rPr>
  </w:style>
  <w:style w:type="paragraph" w:customStyle="1" w:styleId="382">
    <w:name w:val="Heading 3_0"/>
    <w:basedOn w:val="137"/>
    <w:next w:val="137"/>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383">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4">
    <w:name w:val="正文2"/>
    <w:basedOn w:val="1"/>
    <w:qFormat/>
    <w:uiPriority w:val="0"/>
    <w:pPr>
      <w:spacing w:before="156" w:line="360" w:lineRule="auto"/>
      <w:ind w:firstLine="510"/>
    </w:pPr>
    <w:rPr>
      <w:sz w:val="24"/>
      <w:szCs w:val="20"/>
    </w:rPr>
  </w:style>
  <w:style w:type="paragraph" w:customStyle="1" w:styleId="385">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86">
    <w:name w:val="正文_0_2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87">
    <w:name w:val="Normal_19_1_0"/>
    <w:next w:val="388"/>
    <w:qFormat/>
    <w:uiPriority w:val="0"/>
    <w:pPr>
      <w:widowControl w:val="0"/>
      <w:jc w:val="both"/>
    </w:pPr>
    <w:rPr>
      <w:rFonts w:hint="default" w:ascii="Calibri" w:hAnsi="Calibri" w:eastAsia="宋体" w:cs="Times New Roman"/>
      <w:szCs w:val="24"/>
      <w:lang w:val="en-US" w:eastAsia="zh-CN" w:bidi="ar-SA"/>
    </w:rPr>
  </w:style>
  <w:style w:type="paragraph" w:customStyle="1" w:styleId="388">
    <w:name w:val="正文_16_0"/>
    <w:basedOn w:val="349"/>
    <w:next w:val="347"/>
    <w:qFormat/>
    <w:uiPriority w:val="0"/>
    <w:rPr>
      <w:rFonts w:ascii="Times New Roman" w:hAnsi="Times New Roman"/>
    </w:rPr>
  </w:style>
  <w:style w:type="paragraph" w:customStyle="1" w:styleId="389">
    <w:name w:val="Normal_19_0"/>
    <w:basedOn w:val="47"/>
    <w:next w:val="390"/>
    <w:qFormat/>
    <w:uiPriority w:val="0"/>
    <w:rPr>
      <w:szCs w:val="24"/>
    </w:rPr>
  </w:style>
  <w:style w:type="paragraph" w:customStyle="1" w:styleId="390">
    <w:name w:val="Body Text First Indent_1_0"/>
    <w:basedOn w:val="389"/>
    <w:qFormat/>
    <w:uiPriority w:val="0"/>
    <w:pPr>
      <w:spacing w:after="120"/>
      <w:ind w:firstLine="100"/>
    </w:pPr>
  </w:style>
  <w:style w:type="paragraph" w:customStyle="1" w:styleId="391">
    <w:name w:val="Body Text_0"/>
    <w:basedOn w:val="389"/>
    <w:qFormat/>
    <w:uiPriority w:val="0"/>
    <w:pPr>
      <w:spacing w:line="60" w:lineRule="auto"/>
    </w:pPr>
    <w:rPr>
      <w:rFonts w:ascii="仿宋_GB2312" w:eastAsia="仿宋_GB2312"/>
      <w:sz w:val="32"/>
    </w:rPr>
  </w:style>
  <w:style w:type="paragraph" w:customStyle="1" w:styleId="392">
    <w:name w:val="Normal_19_1"/>
    <w:next w:val="137"/>
    <w:qFormat/>
    <w:uiPriority w:val="0"/>
    <w:pPr>
      <w:widowControl w:val="0"/>
      <w:jc w:val="both"/>
    </w:pPr>
    <w:rPr>
      <w:rFonts w:hint="default" w:ascii="Calibri" w:hAnsi="Calibri" w:eastAsia="宋体" w:cs="Times New Roman"/>
      <w:szCs w:val="24"/>
      <w:lang w:val="en-US" w:eastAsia="zh-CN" w:bidi="ar-SA"/>
    </w:rPr>
  </w:style>
  <w:style w:type="paragraph" w:customStyle="1" w:styleId="393">
    <w:name w:val="正文_6_0_0"/>
    <w:qFormat/>
    <w:uiPriority w:val="0"/>
    <w:pPr>
      <w:widowControl w:val="0"/>
      <w:jc w:val="both"/>
    </w:pPr>
    <w:rPr>
      <w:rFonts w:hint="default" w:ascii="Calibri" w:hAnsi="Calibri" w:eastAsia="宋体" w:cs="Times New Roman"/>
      <w:lang w:val="en-US" w:eastAsia="zh-CN" w:bidi="ar-SA"/>
    </w:rPr>
  </w:style>
  <w:style w:type="paragraph" w:customStyle="1" w:styleId="394">
    <w:name w:val="正文_7_1"/>
    <w:qFormat/>
    <w:uiPriority w:val="0"/>
    <w:pPr>
      <w:widowControl w:val="0"/>
      <w:jc w:val="both"/>
    </w:pPr>
    <w:rPr>
      <w:rFonts w:hint="default" w:ascii="Calibri" w:hAnsi="Calibri" w:eastAsia="宋体" w:cs="Times New Roman"/>
      <w:lang w:val="en-US" w:eastAsia="zh-CN" w:bidi="ar-SA"/>
    </w:rPr>
  </w:style>
  <w:style w:type="paragraph" w:customStyle="1" w:styleId="395">
    <w:name w:val="正文1_1"/>
    <w:basedOn w:val="343"/>
    <w:qFormat/>
    <w:uiPriority w:val="0"/>
    <w:pPr>
      <w:widowControl w:val="0"/>
      <w:jc w:val="both"/>
    </w:pPr>
    <w:rPr>
      <w:sz w:val="20"/>
      <w:szCs w:val="20"/>
    </w:rPr>
  </w:style>
  <w:style w:type="paragraph" w:customStyle="1" w:styleId="396">
    <w:name w:val="Normal_8_0_0"/>
    <w:qFormat/>
    <w:uiPriority w:val="0"/>
    <w:rPr>
      <w:rFonts w:hint="default" w:ascii="Times New Roman" w:hAnsi="Times New Roman" w:eastAsia="Times New Roman" w:cs="Times New Roman"/>
      <w:sz w:val="24"/>
      <w:szCs w:val="24"/>
      <w:lang w:val="en-US" w:eastAsia="zh-CN" w:bidi="ar-SA"/>
    </w:rPr>
  </w:style>
  <w:style w:type="paragraph" w:customStyle="1" w:styleId="397">
    <w:name w:val="Normal_8_0_0_0"/>
    <w:qFormat/>
    <w:uiPriority w:val="0"/>
    <w:pPr>
      <w:widowControl w:val="0"/>
      <w:jc w:val="both"/>
    </w:pPr>
    <w:rPr>
      <w:rFonts w:hint="default" w:ascii="Calibri" w:hAnsi="Calibri" w:eastAsia="宋体" w:cs="Times New Roman"/>
      <w:lang w:val="en-US" w:eastAsia="zh-CN" w:bidi="ar-SA"/>
    </w:rPr>
  </w:style>
  <w:style w:type="paragraph" w:customStyle="1" w:styleId="398">
    <w:name w:val="Normal_16_1"/>
    <w:qFormat/>
    <w:uiPriority w:val="0"/>
    <w:rPr>
      <w:rFonts w:hint="default" w:ascii="黑体" w:hAnsi="黑体" w:eastAsia="黑体" w:cs="Times New Roman"/>
      <w:b/>
      <w:sz w:val="32"/>
      <w:szCs w:val="24"/>
      <w:lang w:val="en-US" w:eastAsia="zh-CN" w:bidi="ar-SA"/>
    </w:rPr>
  </w:style>
  <w:style w:type="paragraph" w:customStyle="1" w:styleId="399">
    <w:name w:val="Normal_19_0_1"/>
    <w:qFormat/>
    <w:uiPriority w:val="0"/>
    <w:rPr>
      <w:rFonts w:hint="default" w:ascii="Tahoma" w:hAnsi="Tahoma" w:eastAsia="微软雅黑" w:cs="Times New Roman"/>
      <w:lang w:val="en-US" w:eastAsia="zh-CN" w:bidi="ar-SA"/>
    </w:rPr>
  </w:style>
  <w:style w:type="paragraph" w:customStyle="1" w:styleId="400">
    <w:name w:val="Normal_16_0_0"/>
    <w:qFormat/>
    <w:uiPriority w:val="0"/>
    <w:pPr>
      <w:widowControl w:val="0"/>
      <w:jc w:val="both"/>
    </w:pPr>
    <w:rPr>
      <w:rFonts w:hint="default" w:ascii="Calibri" w:hAnsi="Calibri" w:eastAsia="宋体" w:cs="Times New Roman"/>
      <w:lang w:val="en-US" w:eastAsia="zh-CN" w:bidi="ar-SA"/>
    </w:rPr>
  </w:style>
  <w:style w:type="paragraph" w:customStyle="1" w:styleId="401">
    <w:name w:val="Normal_22_0"/>
    <w:qFormat/>
    <w:uiPriority w:val="0"/>
    <w:pPr>
      <w:widowControl w:val="0"/>
      <w:jc w:val="both"/>
    </w:pPr>
    <w:rPr>
      <w:rFonts w:hint="default" w:ascii="Calibri" w:hAnsi="Calibri" w:eastAsia="宋体" w:cs="Times New Roman"/>
      <w:szCs w:val="24"/>
      <w:lang w:val="en-US" w:eastAsia="zh-CN" w:bidi="ar-SA"/>
    </w:rPr>
  </w:style>
  <w:style w:type="paragraph" w:customStyle="1" w:styleId="402">
    <w:name w:val="Normal_17_0_0"/>
    <w:qFormat/>
    <w:uiPriority w:val="0"/>
    <w:rPr>
      <w:rFonts w:hint="default" w:ascii="黑体" w:hAnsi="黑体" w:eastAsia="黑体" w:cs="Times New Roman"/>
      <w:b/>
      <w:sz w:val="32"/>
      <w:szCs w:val="24"/>
      <w:lang w:val="en-US" w:eastAsia="zh-CN" w:bidi="ar-SA"/>
    </w:rPr>
  </w:style>
  <w:style w:type="paragraph" w:customStyle="1" w:styleId="403">
    <w:name w:val="Normal_19_0_1_0"/>
    <w:qFormat/>
    <w:uiPriority w:val="0"/>
    <w:rPr>
      <w:rFonts w:hint="default" w:ascii="Tahoma" w:hAnsi="Tahoma" w:eastAsia="微软雅黑" w:cs="Times New Roman"/>
      <w:lang w:val="en-US" w:eastAsia="zh-CN" w:bidi="ar-SA"/>
    </w:rPr>
  </w:style>
  <w:style w:type="paragraph" w:customStyle="1" w:styleId="404">
    <w:name w:val="Normal_19_3"/>
    <w:next w:val="405"/>
    <w:qFormat/>
    <w:uiPriority w:val="0"/>
    <w:pPr>
      <w:widowControl w:val="0"/>
      <w:jc w:val="both"/>
    </w:pPr>
    <w:rPr>
      <w:rFonts w:hint="default" w:ascii="Calibri" w:hAnsi="Calibri" w:eastAsia="Times New Roman" w:cs="Times New Roman"/>
      <w:szCs w:val="24"/>
      <w:lang w:val="en-US" w:eastAsia="zh-CN" w:bidi="ar-SA"/>
    </w:rPr>
  </w:style>
  <w:style w:type="paragraph" w:customStyle="1" w:styleId="405">
    <w:name w:val="正文_1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6">
    <w:name w:val="Normal_22_0_0"/>
    <w:qFormat/>
    <w:uiPriority w:val="0"/>
    <w:pPr>
      <w:widowControl w:val="0"/>
      <w:jc w:val="both"/>
    </w:pPr>
    <w:rPr>
      <w:rFonts w:hint="default" w:ascii="Calibri" w:hAnsi="Calibri" w:eastAsia="宋体" w:cs="Times New Roman"/>
      <w:szCs w:val="24"/>
      <w:lang w:val="en-US" w:eastAsia="zh-CN" w:bidi="ar-SA"/>
    </w:rPr>
  </w:style>
  <w:style w:type="character" w:customStyle="1" w:styleId="407">
    <w:name w:val="custom-tag-placeholder-class"/>
    <w:link w:val="1"/>
    <w:qFormat/>
    <w:uiPriority w:val="0"/>
  </w:style>
  <w:style w:type="paragraph" w:customStyle="1" w:styleId="408">
    <w:name w:val="Normal_19_0_0"/>
    <w:basedOn w:val="137"/>
    <w:next w:val="409"/>
    <w:qFormat/>
    <w:uiPriority w:val="0"/>
    <w:rPr>
      <w:rFonts w:ascii="Calibri" w:hAnsi="Calibri" w:eastAsia="Times New Roman"/>
      <w:sz w:val="24"/>
    </w:rPr>
  </w:style>
  <w:style w:type="paragraph" w:customStyle="1" w:styleId="409">
    <w:name w:val="Body Text First Indent_1_0_0"/>
    <w:basedOn w:val="408"/>
    <w:qFormat/>
    <w:uiPriority w:val="0"/>
    <w:pPr>
      <w:spacing w:after="120"/>
      <w:ind w:firstLine="100"/>
    </w:pPr>
    <w:rPr>
      <w:rFonts w:eastAsia="Times New Roman"/>
    </w:rPr>
  </w:style>
  <w:style w:type="paragraph" w:customStyle="1" w:styleId="410">
    <w:name w:val="正文首行缩进1"/>
    <w:basedOn w:val="411"/>
    <w:qFormat/>
    <w:uiPriority w:val="0"/>
    <w:pPr>
      <w:spacing w:after="120" w:line="240" w:lineRule="auto"/>
      <w:ind w:firstLine="100"/>
    </w:pPr>
    <w:rPr>
      <w:rFonts w:ascii="Times New Roman" w:hAnsi="Times New Roman" w:eastAsia="宋体"/>
      <w:sz w:val="21"/>
    </w:rPr>
  </w:style>
  <w:style w:type="paragraph" w:customStyle="1" w:styleId="411">
    <w:name w:val="正文文本1"/>
    <w:basedOn w:val="1"/>
    <w:qFormat/>
    <w:uiPriority w:val="0"/>
    <w:pPr>
      <w:spacing w:line="60" w:lineRule="auto"/>
    </w:pPr>
    <w:rPr>
      <w:rFonts w:ascii="仿宋_GB2312" w:eastAsia="仿宋_GB2312"/>
      <w:sz w:val="32"/>
    </w:rPr>
  </w:style>
  <w:style w:type="paragraph" w:customStyle="1" w:styleId="412">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3">
    <w:name w:val="List Paragraph_0"/>
    <w:basedOn w:val="322"/>
    <w:qFormat/>
    <w:uiPriority w:val="0"/>
    <w:pPr>
      <w:ind w:firstLine="420"/>
    </w:pPr>
  </w:style>
  <w:style w:type="paragraph" w:customStyle="1" w:styleId="414">
    <w:name w:val="纯文本_1"/>
    <w:basedOn w:val="412"/>
    <w:qFormat/>
    <w:uiPriority w:val="0"/>
    <w:rPr>
      <w:rFonts w:ascii="宋体" w:hAnsi="Times New Roman"/>
      <w:sz w:val="20"/>
      <w:szCs w:val="21"/>
    </w:rPr>
  </w:style>
  <w:style w:type="paragraph" w:customStyle="1" w:styleId="415">
    <w:name w:val="正文_16_0_0"/>
    <w:next w:val="18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6">
    <w:name w:val="正文_11_0"/>
    <w:basedOn w:val="184"/>
    <w:qFormat/>
    <w:uiPriority w:val="0"/>
    <w:rPr>
      <w:rFonts w:ascii="Calibri" w:hAnsi="Calibri"/>
      <w:szCs w:val="20"/>
    </w:rPr>
  </w:style>
  <w:style w:type="paragraph" w:customStyle="1" w:styleId="417">
    <w:name w:val="Normal_19_0_0_0"/>
    <w:basedOn w:val="47"/>
    <w:qFormat/>
    <w:uiPriority w:val="0"/>
    <w:rPr>
      <w:rFonts w:cs="黑体"/>
      <w:szCs w:val="24"/>
    </w:rPr>
  </w:style>
  <w:style w:type="paragraph" w:customStyle="1" w:styleId="418">
    <w:name w:val="无间隔1"/>
    <w:basedOn w:val="329"/>
    <w:qFormat/>
    <w:uiPriority w:val="0"/>
    <w:rPr>
      <w:rFonts w:ascii="Calibri" w:hAnsi="Calibri" w:cs="Calibri"/>
    </w:rPr>
  </w:style>
  <w:style w:type="paragraph" w:customStyle="1" w:styleId="419">
    <w:name w:val="标题 31"/>
    <w:basedOn w:val="329"/>
    <w:next w:val="329"/>
    <w:qFormat/>
    <w:uiPriority w:val="0"/>
    <w:pPr>
      <w:keepNext/>
      <w:keepLines/>
      <w:spacing w:before="260" w:after="260" w:line="413" w:lineRule="auto"/>
      <w:outlineLvl w:val="2"/>
    </w:pPr>
    <w:rPr>
      <w:b/>
      <w:sz w:val="32"/>
      <w:szCs w:val="20"/>
    </w:rPr>
  </w:style>
  <w:style w:type="character" w:customStyle="1" w:styleId="420">
    <w:name w:val="标题 2 Char_0"/>
    <w:link w:val="421"/>
    <w:qFormat/>
    <w:uiPriority w:val="0"/>
    <w:rPr>
      <w:rFonts w:ascii="Arial" w:hAnsi="Arial" w:eastAsia="黑体"/>
      <w:b/>
      <w:sz w:val="32"/>
      <w:szCs w:val="22"/>
    </w:rPr>
  </w:style>
  <w:style w:type="paragraph" w:customStyle="1" w:styleId="421">
    <w:name w:val="标题 21"/>
    <w:basedOn w:val="48"/>
    <w:next w:val="48"/>
    <w:link w:val="420"/>
    <w:unhideWhenUsed/>
    <w:qFormat/>
    <w:uiPriority w:val="0"/>
    <w:pPr>
      <w:keepNext/>
      <w:keepLines/>
      <w:spacing w:before="260" w:after="260" w:line="413" w:lineRule="auto"/>
      <w:outlineLvl w:val="1"/>
    </w:pPr>
    <w:rPr>
      <w:rFonts w:ascii="Arial" w:hAnsi="Arial"/>
      <w:szCs w:val="22"/>
    </w:rPr>
  </w:style>
  <w:style w:type="paragraph" w:customStyle="1" w:styleId="422">
    <w:name w:val="Normal_19_1_0_0"/>
    <w:next w:val="423"/>
    <w:qFormat/>
    <w:uiPriority w:val="0"/>
    <w:pPr>
      <w:widowControl w:val="0"/>
      <w:jc w:val="both"/>
    </w:pPr>
    <w:rPr>
      <w:rFonts w:hint="default" w:ascii="Calibri" w:hAnsi="Calibri" w:eastAsia="宋体" w:cs="Times New Roman"/>
      <w:sz w:val="21"/>
      <w:szCs w:val="24"/>
      <w:lang w:val="en-US" w:eastAsia="zh-CN" w:bidi="ar-SA"/>
    </w:rPr>
  </w:style>
  <w:style w:type="paragraph" w:customStyle="1" w:styleId="423">
    <w:name w:val="正文_16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24">
    <w:name w:val="正文1_0_0"/>
    <w:basedOn w:val="48"/>
    <w:qFormat/>
    <w:uiPriority w:val="0"/>
    <w:pPr>
      <w:spacing w:line="360" w:lineRule="auto"/>
      <w:ind w:left="357" w:firstLine="420"/>
    </w:pPr>
    <w:rPr>
      <w:rFonts w:eastAsia="Times New Roman" w:cs="Arial"/>
    </w:rPr>
  </w:style>
  <w:style w:type="paragraph" w:customStyle="1" w:styleId="425">
    <w:name w:val="普通正文"/>
    <w:basedOn w:val="1"/>
    <w:qFormat/>
    <w:uiPriority w:val="0"/>
    <w:pPr>
      <w:spacing w:before="120" w:after="120" w:line="360" w:lineRule="auto"/>
      <w:ind w:firstLine="480"/>
      <w:jc w:val="left"/>
    </w:pPr>
    <w:rPr>
      <w:rFonts w:ascii="Arial" w:hAnsi="Arial"/>
      <w:sz w:val="24"/>
      <w:szCs w:val="24"/>
    </w:rPr>
  </w:style>
  <w:style w:type="paragraph" w:customStyle="1" w:styleId="426">
    <w:name w:val="正文空2字"/>
    <w:basedOn w:val="427"/>
    <w:qFormat/>
    <w:uiPriority w:val="99"/>
    <w:pPr>
      <w:widowControl w:val="0"/>
      <w:spacing w:line="560" w:lineRule="exact"/>
      <w:ind w:firstLine="640"/>
    </w:pPr>
    <w:rPr>
      <w:rFonts w:ascii="仿宋_GB2312" w:hAnsi="仿宋_GB2312" w:cs="仿宋_GB2312"/>
      <w:lang w:val="zh-TW"/>
    </w:rPr>
  </w:style>
  <w:style w:type="paragraph" w:customStyle="1" w:styleId="427">
    <w:name w:val="左对齐正文"/>
    <w:qFormat/>
    <w:uiPriority w:val="99"/>
    <w:rPr>
      <w:rFonts w:hint="default" w:ascii="Calibri" w:hAnsi="Calibri" w:eastAsia="仿宋_GB2312" w:cs="Calibri"/>
      <w:sz w:val="32"/>
      <w:szCs w:val="32"/>
      <w:lang w:val="en-US" w:eastAsia="zh-CN" w:bidi="ar-SA"/>
    </w:rPr>
  </w:style>
  <w:style w:type="paragraph" w:customStyle="1" w:styleId="428">
    <w:name w:val="普通(网站)1"/>
    <w:basedOn w:val="1"/>
    <w:qFormat/>
    <w:uiPriority w:val="0"/>
    <w:rPr>
      <w:sz w:val="24"/>
    </w:rPr>
  </w:style>
  <w:style w:type="character" w:customStyle="1" w:styleId="429">
    <w:name w:val="16"/>
    <w:link w:val="1"/>
    <w:qFormat/>
    <w:uiPriority w:val="0"/>
    <w:rPr>
      <w:rFonts w:ascii="Times New Roman" w:hAnsi="Times New Roman"/>
      <w:sz w:val="21"/>
      <w:szCs w:val="21"/>
      <w:lang w:val="en-US" w:eastAsia="zh-CN" w:bidi="ar-SA"/>
    </w:rPr>
  </w:style>
  <w:style w:type="paragraph" w:customStyle="1" w:styleId="430">
    <w:name w:val="正文文本_0"/>
    <w:basedOn w:val="322"/>
    <w:next w:val="431"/>
    <w:qFormat/>
    <w:uiPriority w:val="0"/>
    <w:pPr>
      <w:spacing w:line="60" w:lineRule="auto"/>
    </w:pPr>
    <w:rPr>
      <w:rFonts w:ascii="仿宋_GB2312" w:eastAsia="仿宋_GB2312"/>
      <w:sz w:val="32"/>
    </w:rPr>
  </w:style>
  <w:style w:type="paragraph" w:customStyle="1" w:styleId="431">
    <w:name w:val="正文缩进_1"/>
    <w:basedOn w:val="322"/>
    <w:next w:val="322"/>
    <w:qFormat/>
    <w:uiPriority w:val="0"/>
    <w:pPr>
      <w:ind w:firstLine="420"/>
    </w:pPr>
    <w:rPr>
      <w:rFonts w:ascii="宋体"/>
      <w:color w:val="000000"/>
      <w:sz w:val="24"/>
      <w:szCs w:val="20"/>
    </w:rPr>
  </w:style>
  <w:style w:type="paragraph" w:customStyle="1" w:styleId="432">
    <w:name w:val="Table Paragraph"/>
    <w:basedOn w:val="137"/>
    <w:qFormat/>
    <w:uiPriority w:val="1"/>
    <w:rPr>
      <w:rFonts w:ascii="宋体" w:hAnsi="宋体" w:cs="宋体"/>
      <w:sz w:val="22"/>
      <w:lang w:val="zh-CN" w:bidi="zh-CN"/>
    </w:rPr>
  </w:style>
  <w:style w:type="paragraph" w:customStyle="1" w:styleId="433">
    <w:name w:val="Normal_19_2"/>
    <w:basedOn w:val="434"/>
    <w:qFormat/>
    <w:uiPriority w:val="0"/>
    <w:rPr>
      <w:rFonts w:ascii="Times New Roman" w:hAnsi="Times New Roman"/>
      <w:szCs w:val="21"/>
    </w:rPr>
  </w:style>
  <w:style w:type="paragraph" w:customStyle="1" w:styleId="434">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5">
    <w:name w:val="正文文本2"/>
    <w:basedOn w:val="182"/>
    <w:qFormat/>
    <w:uiPriority w:val="0"/>
    <w:pPr>
      <w:spacing w:line="60" w:lineRule="auto"/>
    </w:pPr>
    <w:rPr>
      <w:rFonts w:ascii="仿宋_GB2312" w:eastAsia="仿宋_GB2312"/>
      <w:sz w:val="32"/>
      <w:szCs w:val="22"/>
    </w:rPr>
  </w:style>
  <w:style w:type="paragraph" w:customStyle="1" w:styleId="436">
    <w:name w:val="正文1_0"/>
    <w:basedOn w:val="412"/>
    <w:qFormat/>
    <w:uiPriority w:val="0"/>
    <w:pPr>
      <w:widowControl/>
      <w:spacing w:line="360" w:lineRule="auto"/>
      <w:ind w:left="357" w:firstLine="420"/>
      <w:jc w:val="left"/>
    </w:pPr>
    <w:rPr>
      <w:rFonts w:cs="Arial"/>
      <w:szCs w:val="20"/>
    </w:rPr>
  </w:style>
  <w:style w:type="paragraph" w:customStyle="1" w:styleId="437">
    <w:name w:val="Normal_19_2_0"/>
    <w:basedOn w:val="438"/>
    <w:qFormat/>
    <w:uiPriority w:val="0"/>
    <w:rPr>
      <w:rFonts w:ascii="Times New Roman" w:hAnsi="Times New Roman"/>
      <w:szCs w:val="21"/>
    </w:rPr>
  </w:style>
  <w:style w:type="paragraph" w:customStyle="1" w:styleId="438">
    <w:name w:val="正文_3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9">
    <w:name w:val="正文缩进1"/>
    <w:basedOn w:val="1"/>
    <w:qFormat/>
    <w:uiPriority w:val="0"/>
    <w:pPr>
      <w:ind w:firstLine="420"/>
      <w:jc w:val="left"/>
    </w:pPr>
    <w:rPr>
      <w:rFonts w:ascii="宋体" w:hAnsi="Calibri" w:eastAsia="宋体" w:cs="Times New Roman"/>
      <w:sz w:val="24"/>
    </w:rPr>
  </w:style>
  <w:style w:type="paragraph" w:customStyle="1" w:styleId="440">
    <w:name w:val="纯文本1"/>
    <w:basedOn w:val="183"/>
    <w:qFormat/>
    <w:uiPriority w:val="0"/>
    <w:rPr>
      <w:rFonts w:ascii="宋体" w:hAnsi="Courier New" w:eastAsia="宋体" w:cs="Times New Roman"/>
    </w:rPr>
  </w:style>
  <w:style w:type="paragraph" w:customStyle="1" w:styleId="441">
    <w:name w:val="Normal_21_0"/>
    <w:next w:val="44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42">
    <w:name w:val="Heading 1_0"/>
    <w:basedOn w:val="441"/>
    <w:next w:val="441"/>
    <w:qFormat/>
    <w:uiPriority w:val="0"/>
    <w:pPr>
      <w:keepNext/>
      <w:keepLines/>
      <w:spacing w:before="240" w:after="120" w:line="300" w:lineRule="auto"/>
      <w:jc w:val="center"/>
      <w:outlineLvl w:val="0"/>
    </w:pPr>
    <w:rPr>
      <w:rFonts w:ascii="宋体"/>
      <w:b/>
      <w:sz w:val="32"/>
      <w:szCs w:val="20"/>
    </w:rPr>
  </w:style>
  <w:style w:type="paragraph" w:customStyle="1" w:styleId="443">
    <w:name w:val="正文_12_0_0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444">
    <w:name w:val="正文文本 字符"/>
    <w:link w:val="1"/>
    <w:qFormat/>
    <w:uiPriority w:val="0"/>
    <w:rPr>
      <w:rFonts w:ascii="楷体_GB2312" w:hAnsi="Arial" w:eastAsia="楷体_GB2312" w:cs="Times New Roman"/>
      <w:sz w:val="28"/>
      <w:szCs w:val="28"/>
    </w:rPr>
  </w:style>
  <w:style w:type="character" w:customStyle="1" w:styleId="445">
    <w:name w:val="正文文本缩进 字符"/>
    <w:link w:val="1"/>
    <w:qFormat/>
    <w:uiPriority w:val="0"/>
    <w:rPr>
      <w:rFonts w:ascii="楷体_GB2312" w:hAnsi="Times New Roman" w:eastAsia="楷体_GB2312" w:cs="Times New Roman"/>
      <w:sz w:val="32"/>
      <w:szCs w:val="32"/>
    </w:rPr>
  </w:style>
  <w:style w:type="character" w:customStyle="1" w:styleId="446">
    <w:name w:val="正文文本 字符1"/>
    <w:link w:val="1"/>
    <w:qFormat/>
    <w:uiPriority w:val="0"/>
    <w:rPr>
      <w:rFonts w:ascii="Calibri" w:hAnsi="Calibri"/>
      <w:sz w:val="28"/>
      <w:szCs w:val="24"/>
    </w:rPr>
  </w:style>
  <w:style w:type="character" w:customStyle="1" w:styleId="447">
    <w:name w:val="正文文本首行缩进 字符"/>
    <w:link w:val="1"/>
    <w:qFormat/>
    <w:uiPriority w:val="0"/>
    <w:rPr>
      <w:rFonts w:ascii="仿宋_GB2312" w:hAnsi="Calibri" w:eastAsia="仿宋_GB2312"/>
      <w:sz w:val="30"/>
      <w:szCs w:val="30"/>
    </w:rPr>
  </w:style>
  <w:style w:type="paragraph" w:customStyle="1" w:styleId="448">
    <w:name w:val="索引 41"/>
    <w:basedOn w:val="1"/>
    <w:next w:val="1"/>
    <w:semiHidden/>
    <w:qFormat/>
    <w:uiPriority w:val="0"/>
    <w:pPr>
      <w:ind w:left="1260"/>
    </w:pPr>
    <w:rPr>
      <w:rFonts w:eastAsia="Calibri" w:cs="宋体"/>
      <w:sz w:val="20"/>
      <w:szCs w:val="21"/>
      <w:lang w:val="zh-CN"/>
    </w:rPr>
  </w:style>
  <w:style w:type="character" w:customStyle="1" w:styleId="449">
    <w:name w:val="font5 Char"/>
    <w:link w:val="1"/>
    <w:qFormat/>
    <w:uiPriority w:val="0"/>
    <w:rPr>
      <w:rFonts w:ascii="宋体" w:hAnsi="宋体" w:eastAsia="宋体"/>
      <w:sz w:val="28"/>
      <w:szCs w:val="28"/>
      <w:lang w:val="en-US" w:eastAsia="zh-CN" w:bidi="ar-SA"/>
    </w:rPr>
  </w:style>
  <w:style w:type="character" w:customStyle="1" w:styleId="450">
    <w:name w:val="二级目录 Char"/>
    <w:link w:val="451"/>
    <w:qFormat/>
    <w:uiPriority w:val="0"/>
    <w:rPr>
      <w:b/>
      <w:sz w:val="30"/>
      <w:szCs w:val="28"/>
    </w:rPr>
  </w:style>
  <w:style w:type="paragraph" w:customStyle="1" w:styleId="451">
    <w:name w:val="二级目录"/>
    <w:next w:val="1"/>
    <w:link w:val="450"/>
    <w:qFormat/>
    <w:uiPriority w:val="0"/>
    <w:pPr>
      <w:numPr>
        <w:ilvl w:val="0"/>
        <w:numId w:val="1"/>
      </w:numPr>
      <w:tabs>
        <w:tab w:val="left" w:pos="907"/>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452">
    <w:name w:val="列出段落 Char"/>
    <w:link w:val="453"/>
    <w:qFormat/>
    <w:uiPriority w:val="0"/>
    <w:rPr>
      <w:rFonts w:ascii="Calibri" w:hAnsi="Calibri"/>
      <w:sz w:val="24"/>
      <w:szCs w:val="24"/>
      <w:lang w:eastAsia="en-US" w:bidi="en-US"/>
    </w:rPr>
  </w:style>
  <w:style w:type="paragraph" w:customStyle="1" w:styleId="453">
    <w:name w:val="列出段落1"/>
    <w:basedOn w:val="1"/>
    <w:link w:val="452"/>
    <w:qFormat/>
    <w:uiPriority w:val="0"/>
    <w:pPr>
      <w:widowControl/>
      <w:ind w:left="720"/>
      <w:contextualSpacing/>
      <w:jc w:val="left"/>
    </w:pPr>
    <w:rPr>
      <w:sz w:val="24"/>
      <w:szCs w:val="24"/>
      <w:lang w:eastAsia="en-US" w:bidi="en-US"/>
    </w:rPr>
  </w:style>
  <w:style w:type="paragraph" w:customStyle="1" w:styleId="454">
    <w:name w:val="Body Text(ch)"/>
    <w:basedOn w:val="1"/>
    <w:qFormat/>
    <w:uiPriority w:val="0"/>
    <w:pPr>
      <w:spacing w:after="120"/>
    </w:pPr>
    <w:rPr>
      <w:rFonts w:ascii="宋体" w:hAnsi="Arial"/>
      <w:bCs/>
      <w:iCs/>
      <w:szCs w:val="24"/>
    </w:rPr>
  </w:style>
  <w:style w:type="paragraph" w:customStyle="1" w:styleId="455">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5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457">
    <w:name w:val="Char"/>
    <w:basedOn w:val="1"/>
    <w:qFormat/>
    <w:uiPriority w:val="0"/>
    <w:pPr>
      <w:tabs>
        <w:tab w:val="left" w:pos="360"/>
      </w:tabs>
      <w:ind w:firstLine="200"/>
    </w:pPr>
    <w:rPr>
      <w:rFonts w:ascii="Times New Roman" w:hAnsi="Times New Roman"/>
      <w:sz w:val="28"/>
      <w:szCs w:val="30"/>
    </w:rPr>
  </w:style>
  <w:style w:type="paragraph" w:customStyle="1" w:styleId="458">
    <w:name w:val="Char1"/>
    <w:basedOn w:val="73"/>
    <w:qFormat/>
    <w:uiPriority w:val="0"/>
    <w:rPr>
      <w:rFonts w:ascii="Tahoma" w:hAnsi="Tahoma"/>
      <w:sz w:val="24"/>
      <w:szCs w:val="24"/>
    </w:rPr>
  </w:style>
  <w:style w:type="paragraph" w:customStyle="1" w:styleId="459">
    <w:name w:val="table_lines"/>
    <w:basedOn w:val="1"/>
    <w:qFormat/>
    <w:uiPriority w:val="0"/>
    <w:pPr>
      <w:widowControl/>
      <w:jc w:val="left"/>
    </w:pPr>
    <w:rPr>
      <w:rFonts w:ascii="Times New Roman" w:hAnsi="Times New Roman"/>
      <w:sz w:val="20"/>
      <w:szCs w:val="20"/>
      <w:lang w:val="de-DE" w:eastAsia="de-DE"/>
    </w:rPr>
  </w:style>
  <w:style w:type="paragraph" w:customStyle="1" w:styleId="460">
    <w:name w:val="附录1"/>
    <w:qFormat/>
    <w:uiPriority w:val="0"/>
    <w:pPr>
      <w:tabs>
        <w:tab w:val="left" w:pos="907"/>
      </w:tabs>
      <w:spacing w:before="240" w:line="600" w:lineRule="atLeast"/>
    </w:pPr>
    <w:rPr>
      <w:rFonts w:hint="default" w:ascii="Times New Roman" w:hAnsi="Times New Roman" w:eastAsia="宋体" w:cs="Times New Roman"/>
      <w:b/>
      <w:i/>
      <w:sz w:val="28"/>
      <w:lang w:val="en-US" w:eastAsia="zh-CN" w:bidi="ar-SA"/>
    </w:rPr>
  </w:style>
  <w:style w:type="paragraph" w:customStyle="1" w:styleId="461">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62">
    <w:name w:val="Char Char Char Char"/>
    <w:basedOn w:val="73"/>
    <w:qFormat/>
    <w:uiPriority w:val="0"/>
    <w:pPr>
      <w:spacing w:line="360" w:lineRule="auto"/>
    </w:pPr>
    <w:rPr>
      <w:rFonts w:ascii="Tahoma" w:hAnsi="Tahoma"/>
      <w:sz w:val="24"/>
      <w:szCs w:val="24"/>
    </w:rPr>
  </w:style>
  <w:style w:type="paragraph" w:customStyle="1" w:styleId="463">
    <w:name w:val="4"/>
    <w:basedOn w:val="1"/>
    <w:next w:val="108"/>
    <w:qFormat/>
    <w:uiPriority w:val="0"/>
    <w:pPr>
      <w:spacing w:line="360" w:lineRule="auto"/>
      <w:ind w:firstLine="420"/>
    </w:pPr>
    <w:rPr>
      <w:rFonts w:ascii="Times New Roman" w:hAnsi="Times New Roman"/>
      <w:color w:val="FF0000"/>
      <w:sz w:val="24"/>
      <w:szCs w:val="24"/>
    </w:rPr>
  </w:style>
  <w:style w:type="paragraph" w:customStyle="1" w:styleId="464">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465">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466">
    <w:name w:val="样式1"/>
    <w:basedOn w:val="1"/>
    <w:qFormat/>
    <w:uiPriority w:val="0"/>
    <w:pPr>
      <w:numPr>
        <w:ilvl w:val="0"/>
        <w:numId w:val="2"/>
      </w:numPr>
      <w:tabs>
        <w:tab w:val="left" w:pos="709"/>
      </w:tabs>
    </w:pPr>
    <w:rPr>
      <w:rFonts w:ascii="宋体" w:hAnsi="宋体"/>
      <w:szCs w:val="21"/>
    </w:rPr>
  </w:style>
  <w:style w:type="paragraph" w:customStyle="1" w:styleId="467">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46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69">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70">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7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7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73">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7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75">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76">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77">
    <w:name w:val="Char Char Char Char1"/>
    <w:basedOn w:val="73"/>
    <w:qFormat/>
    <w:uiPriority w:val="0"/>
    <w:pPr>
      <w:spacing w:line="360" w:lineRule="auto"/>
    </w:pPr>
    <w:rPr>
      <w:rFonts w:ascii="Tahoma" w:hAnsi="Tahoma"/>
      <w:sz w:val="24"/>
      <w:szCs w:val="24"/>
    </w:rPr>
  </w:style>
  <w:style w:type="paragraph" w:customStyle="1" w:styleId="478">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479">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80">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81">
    <w:name w:val="修订1"/>
    <w:semiHidden/>
    <w:qFormat/>
    <w:uiPriority w:val="99"/>
    <w:rPr>
      <w:rFonts w:hint="default" w:ascii="Times New Roman" w:hAnsi="Times New Roman" w:eastAsia="宋体" w:cs="Times New Roman"/>
      <w:sz w:val="21"/>
      <w:szCs w:val="21"/>
      <w:lang w:val="en-US" w:eastAsia="zh-CN" w:bidi="ar-SA"/>
    </w:rPr>
  </w:style>
  <w:style w:type="table" w:customStyle="1" w:styleId="482">
    <w:name w:val="Table Normal"/>
    <w:qFormat/>
    <w:uiPriority w:val="0"/>
    <w:rPr>
      <w:lang w:val="en-US" w:eastAsia="zh-CN" w:bidi="ar-SA"/>
    </w:rPr>
  </w:style>
  <w:style w:type="paragraph" w:customStyle="1" w:styleId="483">
    <w:name w:val="正文文本12"/>
    <w:basedOn w:val="1"/>
    <w:qFormat/>
    <w:uiPriority w:val="1"/>
    <w:pPr>
      <w:ind w:left="120"/>
    </w:pPr>
    <w:rPr>
      <w:rFonts w:ascii="宋体" w:hAnsi="宋体" w:cs="宋体"/>
      <w:szCs w:val="21"/>
      <w:lang w:val="zh-CN" w:bidi="zh-CN"/>
    </w:rPr>
  </w:style>
  <w:style w:type="paragraph" w:customStyle="1" w:styleId="484">
    <w:name w:val="首行缩进"/>
    <w:basedOn w:val="1"/>
    <w:qFormat/>
    <w:uiPriority w:val="0"/>
    <w:pPr>
      <w:ind w:firstLine="480"/>
    </w:pPr>
    <w:rPr>
      <w:rFonts w:ascii="Times New Roman" w:hAnsi="Times New Roman"/>
      <w:szCs w:val="21"/>
      <w:lang w:val="zh-CN"/>
    </w:rPr>
  </w:style>
  <w:style w:type="paragraph" w:customStyle="1" w:styleId="485">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486">
    <w:name w:val="15"/>
    <w:link w:val="1"/>
    <w:qFormat/>
    <w:uiPriority w:val="0"/>
    <w:rPr>
      <w:rFonts w:ascii="Times New Roman" w:hAnsi="Times New Roman" w:cs="Times New Roman"/>
    </w:rPr>
  </w:style>
  <w:style w:type="paragraph" w:customStyle="1" w:styleId="487">
    <w:name w:val="正文文本缩进 2_0"/>
    <w:basedOn w:val="322"/>
    <w:qFormat/>
    <w:uiPriority w:val="0"/>
    <w:pPr>
      <w:spacing w:line="540" w:lineRule="exact"/>
      <w:ind w:firstLine="720"/>
      <w:jc w:val="left"/>
    </w:pPr>
    <w:rPr>
      <w:rFonts w:ascii="仿宋_GB2312" w:hAnsi="仿宋_GB2312" w:cs="宋体"/>
      <w:sz w:val="32"/>
      <w:szCs w:val="32"/>
    </w:rPr>
  </w:style>
  <w:style w:type="character" w:customStyle="1" w:styleId="488">
    <w:name w:val="10"/>
    <w:link w:val="1"/>
    <w:qFormat/>
    <w:uiPriority w:val="0"/>
    <w:rPr>
      <w:rFonts w:ascii="Times New Roman" w:hAnsi="Times New Roman" w:cs="Times New Roman"/>
    </w:rPr>
  </w:style>
  <w:style w:type="paragraph" w:customStyle="1" w:styleId="489">
    <w:name w:val="正文_16_1"/>
    <w:basedOn w:val="1"/>
    <w:qFormat/>
    <w:uiPriority w:val="0"/>
    <w:rPr>
      <w:rFonts w:ascii="Times New Roman" w:hAnsi="Times New Roman"/>
      <w:szCs w:val="21"/>
    </w:rPr>
  </w:style>
  <w:style w:type="paragraph" w:customStyle="1" w:styleId="490">
    <w:name w:val="页脚1"/>
    <w:basedOn w:val="1"/>
    <w:qFormat/>
    <w:uiPriority w:val="0"/>
    <w:pPr>
      <w:tabs>
        <w:tab w:val="center" w:pos="4153"/>
        <w:tab w:val="right" w:pos="8306"/>
      </w:tabs>
      <w:jc w:val="left"/>
    </w:pPr>
    <w:rPr>
      <w:sz w:val="18"/>
      <w:szCs w:val="18"/>
    </w:rPr>
  </w:style>
  <w:style w:type="character" w:customStyle="1" w:styleId="491">
    <w:name w:val="页码1"/>
    <w:link w:val="1"/>
    <w:qFormat/>
    <w:uiPriority w:val="0"/>
  </w:style>
  <w:style w:type="paragraph" w:customStyle="1" w:styleId="492">
    <w:name w:val="*正文"/>
    <w:basedOn w:val="45"/>
    <w:qFormat/>
    <w:uiPriority w:val="0"/>
    <w:pPr>
      <w:ind w:firstLine="200"/>
    </w:pPr>
    <w:rPr>
      <w:rFonts w:ascii="宋体" w:hAnsi="宋体"/>
      <w:color w:val="000000"/>
      <w:sz w:val="24"/>
      <w:szCs w:val="24"/>
    </w:rPr>
  </w:style>
  <w:style w:type="paragraph" w:customStyle="1" w:styleId="493">
    <w:name w:val="*正文_0"/>
    <w:basedOn w:val="494"/>
    <w:qFormat/>
    <w:uiPriority w:val="0"/>
    <w:pPr>
      <w:spacing w:line="360" w:lineRule="auto"/>
      <w:ind w:firstLine="200"/>
    </w:pPr>
    <w:rPr>
      <w:rFonts w:ascii="宋体" w:hAnsi="宋体" w:eastAsia="Arial" w:cs="Arial"/>
      <w:color w:val="000000"/>
      <w:sz w:val="24"/>
    </w:rPr>
  </w:style>
  <w:style w:type="paragraph" w:customStyle="1" w:styleId="494">
    <w:name w:val="正文缩进_2"/>
    <w:basedOn w:val="346"/>
    <w:unhideWhenUsed/>
    <w:qFormat/>
    <w:uiPriority w:val="0"/>
    <w:pPr>
      <w:widowControl/>
      <w:ind w:firstLine="420"/>
      <w:jc w:val="left"/>
    </w:pPr>
    <w:rPr>
      <w:rFonts w:ascii="Times New Roman" w:hAnsi="Times New Roman"/>
      <w:sz w:val="20"/>
      <w:szCs w:val="24"/>
    </w:rPr>
  </w:style>
  <w:style w:type="paragraph" w:customStyle="1" w:styleId="495">
    <w:name w:val="*正文_0_0"/>
    <w:basedOn w:val="346"/>
    <w:qFormat/>
    <w:uiPriority w:val="0"/>
    <w:pPr>
      <w:widowControl/>
      <w:spacing w:line="360" w:lineRule="auto"/>
      <w:ind w:firstLine="200"/>
      <w:jc w:val="left"/>
    </w:pPr>
    <w:rPr>
      <w:rFonts w:ascii="宋体" w:hAnsi="宋体" w:eastAsia="Arial" w:cs="Arial"/>
      <w:color w:val="000000"/>
      <w:sz w:val="24"/>
      <w:szCs w:val="24"/>
    </w:rPr>
  </w:style>
  <w:style w:type="paragraph" w:customStyle="1" w:styleId="496">
    <w:name w:val="无间隔1_0_0"/>
    <w:basedOn w:val="346"/>
    <w:qFormat/>
    <w:uiPriority w:val="0"/>
    <w:rPr>
      <w:rFonts w:ascii="Times New Roman" w:hAnsi="Times New Roman"/>
      <w:szCs w:val="21"/>
    </w:rPr>
  </w:style>
  <w:style w:type="paragraph" w:customStyle="1" w:styleId="497">
    <w:name w:val="正文_0_2"/>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498">
    <w:name w:val="标题 4_0"/>
    <w:basedOn w:val="499"/>
    <w:next w:val="499"/>
    <w:unhideWhenUsed/>
    <w:qFormat/>
    <w:uiPriority w:val="9"/>
    <w:pPr>
      <w:keepNext/>
      <w:keepLines/>
      <w:spacing w:before="280" w:after="290" w:line="372" w:lineRule="auto"/>
      <w:outlineLvl w:val="3"/>
    </w:pPr>
    <w:rPr>
      <w:rFonts w:ascii="Arial" w:hAnsi="Arial" w:eastAsia="黑体"/>
      <w:b/>
      <w:sz w:val="28"/>
    </w:rPr>
  </w:style>
  <w:style w:type="paragraph" w:customStyle="1" w:styleId="499">
    <w:name w:val="正文4"/>
    <w:qFormat/>
    <w:uiPriority w:val="0"/>
    <w:pPr>
      <w:widowControl w:val="0"/>
      <w:jc w:val="both"/>
    </w:pPr>
    <w:rPr>
      <w:rFonts w:hint="default" w:ascii="Calibri" w:hAnsi="Calibri" w:eastAsia="宋体" w:cs="Times New Roman"/>
      <w:lang w:val="en-US" w:eastAsia="zh-CN" w:bidi="ar-SA"/>
    </w:rPr>
  </w:style>
  <w:style w:type="paragraph" w:customStyle="1" w:styleId="500">
    <w:name w:val="正文_3_0_0"/>
    <w:qFormat/>
    <w:uiPriority w:val="0"/>
    <w:pPr>
      <w:widowControl w:val="0"/>
      <w:jc w:val="both"/>
    </w:pPr>
    <w:rPr>
      <w:rFonts w:hint="default" w:ascii="Times New Roman" w:hAnsi="Times New Roman" w:eastAsia="宋体" w:cs="Times New Roman"/>
      <w:lang w:val="en-US" w:eastAsia="zh-CN" w:bidi="ar-SA"/>
    </w:rPr>
  </w:style>
  <w:style w:type="paragraph" w:customStyle="1" w:styleId="501">
    <w:name w:val="p17_0_0"/>
    <w:basedOn w:val="389"/>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502">
    <w:name w:val="p17_0"/>
    <w:basedOn w:val="48"/>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503">
    <w:name w:val="普通(网站)11"/>
    <w:basedOn w:val="1"/>
    <w:qFormat/>
    <w:uiPriority w:val="99"/>
    <w:rPr>
      <w:sz w:val="24"/>
    </w:rPr>
  </w:style>
  <w:style w:type="paragraph" w:customStyle="1" w:styleId="504">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505">
    <w:name w:val="Table Text"/>
    <w:basedOn w:val="1"/>
    <w:semiHidden/>
    <w:qFormat/>
    <w:uiPriority w:val="0"/>
    <w:rPr>
      <w:rFonts w:ascii="仿宋" w:hAnsi="仿宋" w:eastAsia="仿宋" w:cs="仿宋"/>
      <w:sz w:val="24"/>
      <w:szCs w:val="24"/>
      <w:lang w:val="en-US" w:eastAsia="en-US" w:bidi="ar-SA"/>
    </w:rPr>
  </w:style>
  <w:style w:type="paragraph" w:customStyle="1" w:styleId="506">
    <w:name w:val="正文_2_0_0_0_0"/>
    <w:basedOn w:val="507"/>
    <w:qFormat/>
    <w:uiPriority w:val="0"/>
    <w:rPr>
      <w:rFonts w:eastAsia="Times New Roman" w:cs="Calibri"/>
      <w:szCs w:val="21"/>
    </w:rPr>
  </w:style>
  <w:style w:type="paragraph" w:customStyle="1" w:styleId="507">
    <w:name w:val="正文_2_0_0"/>
    <w:next w:val="50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08">
    <w:name w:val="页脚_0_0"/>
    <w:basedOn w:val="507"/>
    <w:next w:val="507"/>
    <w:qFormat/>
    <w:uiPriority w:val="0"/>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6e680895-6827-46a3-a9c2-f9b6b7b5197d</errorID>
      <errorWord>(</errorWord>
      <group>L1_Format</group>
      <groupName>格式问题</groupName>
      <ability>L2_HalfPunc_CN</ability>
      <abilityName>全半角问题</abilityName>
      <candidateList>
        <item>（</item>
      </candidateList>
      <explain>文本全半角错误。</explain>
      <paraID>7704365E</paraID>
      <start>49</start>
      <end>50</end>
      <status>modified</status>
      <modifiedWord>（</modifiedWord>
      <trackRevisions>false</trackRevisions>
    </reviewItem>
    <reviewItem>
      <errorID>25d089cc-3f00-4892-8742-8d481e56f739</errorID>
      <errorWord>)</errorWord>
      <group>L1_Format</group>
      <groupName>格式问题</groupName>
      <ability>L2_HalfPunc_CN</ability>
      <abilityName>全半角问题</abilityName>
      <candidateList>
        <item>）</item>
      </candidateList>
      <explain>文本全半角错误。</explain>
      <paraID>7704365E</paraID>
      <start>77</start>
      <end>78</end>
      <status>modified</status>
      <modifiedWord>）</modifiedWord>
      <trackRevisions>false</trackRevisions>
    </reviewItem>
    <reviewItem>
      <errorID>deff48d3-3e9b-4bf4-9c5f-1b890f405476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6676A35B</paraID>
      <start>38</start>
      <end>41</end>
      <status>unmodified</status>
      <modifiedWord/>
      <trackRevisions>false</trackRevisions>
    </reviewItem>
    <reviewItem>
      <errorID>95bab48d-8651-4f11-b4ab-1f727bb5327b</errorID>
      <errorWord>(</errorWord>
      <group>L1_Format</group>
      <groupName>格式问题</groupName>
      <ability>L2_HalfPunc_CN</ability>
      <abilityName>全半角问题</abilityName>
      <candidateList>
        <item>（</item>
      </candidateList>
      <explain>文本全半角错误。</explain>
      <paraID>68108FEB</paraID>
      <start>7</start>
      <end>8</end>
      <status>modified</status>
      <modifiedWord>（</modifiedWord>
      <trackRevisions>false</trackRevisions>
    </reviewItem>
    <reviewItem>
      <errorID>97768c2a-54df-483c-862c-35cdcb99c12e</errorID>
      <errorWord>)</errorWord>
      <group>L1_Format</group>
      <groupName>格式问题</groupName>
      <ability>L2_HalfPunc_CN</ability>
      <abilityName>全半角问题</abilityName>
      <candidateList>
        <item>）</item>
      </candidateList>
      <explain>文本全半角错误。</explain>
      <paraID>68108FEB</paraID>
      <start>13</start>
      <end>14</end>
      <status>modified</status>
      <modifiedWord>）</modifiedWord>
      <trackRevisions>false</trackRevisions>
    </reviewItem>
    <reviewItem>
      <errorID>73cef7e6-2d01-46af-810d-82b608e048e1</errorID>
      <errorWord>“.</errorWord>
      <group>L1_Punc</group>
      <groupName>标点问题</groupName>
      <ability>L2_Punc_CN</ability>
      <abilityName>标点符号问题</abilityName>
      <candidateList>
        <item>“</item>
      </candidateList>
      <explain/>
      <paraID>23F5B000</paraID>
      <start>87</start>
      <end>89</end>
      <status>unmodified</status>
      <modifiedWord/>
      <trackRevisions>false</trackRevisions>
    </reviewItem>
    <reviewItem>
      <errorID>d35c3585-35e8-483e-8ce4-84d75d7adb1a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7C12A1FF</paraID>
      <start>0</start>
      <end>2</end>
      <status>unmodified</status>
      <modifiedWord/>
      <trackRevisions>false</trackRevisions>
    </reviewItem>
    <reviewItem>
      <errorID>4a675dd6-873b-4e77-b168-73b2cc008a75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88E4BFB</paraID>
      <start>0</start>
      <end>2</end>
      <status>unmodified</status>
      <modifiedWord/>
      <trackRevisions>false</trackRevisions>
    </reviewItem>
    <reviewItem>
      <errorID>09f2831a-b06f-4f86-866c-71b0c9943896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337C2C12</paraID>
      <start>0</start>
      <end>2</end>
      <status>unmodified</status>
      <modifiedWord/>
      <trackRevisions>false</trackRevisions>
    </reviewItem>
    <reviewItem>
      <errorID>fe31edcb-cf87-4e72-9cba-052e676fc059</errorID>
      <errorWord>法律、法规</errorWord>
      <group>L1_Word</group>
      <groupName>字词问题</groupName>
      <ability>L2_Typo</ability>
      <abilityName>字词错误</abilityName>
      <candidateList>
        <item>法律法规</item>
      </candidateList>
      <explain/>
      <paraID>4AA0C6A2</paraID>
      <start>24</start>
      <end>29</end>
      <status>unmodified</status>
      <modifiedWord/>
      <trackRevisions>false</trackRevisions>
    </reviewItem>
    <reviewItem>
      <errorID>a97117b8-cc24-4be5-bce7-65848c9609d4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11141EF9</paraID>
      <start>0</start>
      <end>2</end>
      <status>unmodified</status>
      <modifiedWord/>
      <trackRevisions>false</trackRevisions>
    </reviewItem>
    <reviewItem>
      <errorID>4bc7b890-6e08-4ecd-b18a-33ed9335750f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7553C5F2</paraID>
      <start>0</start>
      <end>2</end>
      <status>unmodified</status>
      <modifiedWord/>
      <trackRevisions>false</trackRevisions>
    </reviewItem>
    <reviewItem>
      <errorID>a95a2efa-acd0-489f-bb0d-17fe6cd0e378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51D18C77</paraID>
      <start>0</start>
      <end>2</end>
      <status>unmodified</status>
      <modifiedWord/>
      <trackRevisions>false</trackRevisions>
    </reviewItem>
    <reviewItem>
      <errorID>75950cb8-51e5-4a22-bc03-4d4b88e4376a</errorID>
      <errorWord>(</errorWord>
      <group>L1_Format</group>
      <groupName>格式问题</groupName>
      <ability>L2_HalfPunc_CN</ability>
      <abilityName>全半角问题</abilityName>
      <candidateList>
        <item>（</item>
      </candidateList>
      <explain>文本全半角错误。</explain>
      <paraID>10032D47</paraID>
      <start>94</start>
      <end>95</end>
      <status>unmodified</status>
      <modifiedWord/>
      <trackRevisions>false</trackRevisions>
    </reviewItem>
    <reviewItem>
      <errorID>825d92fb-f003-41c9-b997-35040bebcc01</errorID>
      <errorWord>)</errorWord>
      <group>L1_Format</group>
      <groupName>格式问题</groupName>
      <ability>L2_HalfPunc_CN</ability>
      <abilityName>全半角问题</abilityName>
      <candidateList>
        <item>）</item>
      </candidateList>
      <explain>文本全半角错误。</explain>
      <paraID>10032D47</paraID>
      <start>104</start>
      <end>105</end>
      <status>unmodified</status>
      <modifiedWord/>
      <trackRevisions>false</trackRevisions>
    </reviewItem>
    <reviewItem>
      <errorID>c50baea4-ad07-4f36-828b-e0fc316515bb</errorID>
      <errorWord>（</errorWord>
      <group>L1_Word</group>
      <groupName>字词问题</groupName>
      <ability>L2_Typo</ability>
      <abilityName>字词错误</abilityName>
      <candidateList>
        <item>（在</item>
      </candidateList>
      <explain/>
      <paraID>10032D47</paraID>
      <start>119</start>
      <end>120</end>
      <status>unmodified</status>
      <modifiedWord/>
      <trackRevisions>false</trackRevisions>
    </reviewItem>
    <reviewItem>
      <errorID>f562dcf0-901c-447a-916a-27b3251a89df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10E5F6D8</paraID>
      <start>179</start>
      <end>182</end>
      <status>unmodified</status>
      <modifiedWord/>
      <trackRevisions>false</trackRevisions>
    </reviewItem>
    <reviewItem>
      <errorID>d4c97176-7f2d-438e-84b2-bb0c28f96fe3</errorID>
      <errorWord>》</errorWord>
      <group>L1_Word</group>
      <groupName>字词问题</groupName>
      <ability>L2_Typo</ability>
      <abilityName>字词错误</abilityName>
      <candidateList>
        <item>》和</item>
      </candidateList>
      <explain/>
      <paraID>457CFD51</paraID>
      <start>25</start>
      <end>26</end>
      <status>unmodified</status>
      <modifiedWord/>
      <trackRevisions>false</trackRevisions>
    </reviewItem>
    <reviewItem>
      <errorID>65d1743b-72a9-4fba-93fd-1cecebfba4b4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2826E54E</paraID>
      <start>46</start>
      <end>47</end>
      <status>unmodified</status>
      <modifiedWord/>
      <trackRevisions>false</trackRevisions>
    </reviewItem>
    <reviewItem>
      <errorID>4e85b99f-d2f4-4aad-bf14-2ed462c8560c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19F28642</paraID>
      <start>0</start>
      <end>2</end>
      <status>unmodified</status>
      <modifiedWord/>
      <trackRevisions>false</trackRevisions>
    </reviewItem>
    <reviewItem>
      <errorID>bea48dcd-9093-4d68-83c4-74141cc0789f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4B465021</paraID>
      <start>0</start>
      <end>2</end>
      <status>unmodified</status>
      <modifiedWord/>
      <trackRevisions>false</trackRevisions>
    </reviewItem>
    <reviewItem>
      <errorID>a2889634-cc86-4c37-ad56-4ab42267c5b4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7876F2B7</paraID>
      <start>0</start>
      <end>2</end>
      <status>unmodified</status>
      <modifiedWord/>
      <trackRevisions>false</trackRevisions>
    </reviewItem>
    <reviewItem>
      <errorID>01cc79a9-988d-40cd-84d9-9f0f0f546a90</errorID>
      <errorWord>子</errorWord>
      <group>L1_Word</group>
      <groupName>字词问题</groupName>
      <ability>L2_Typo</ability>
      <abilityName>字词错误</abilityName>
      <candidateList>
        <item>子文</item>
      </candidateList>
      <explain/>
      <paraID>7D436EFD</paraID>
      <start>134</start>
      <end>135</end>
      <status>unmodified</status>
      <modifiedWord/>
      <trackRevisions>false</trackRevisions>
    </reviewItem>
    <reviewItem>
      <errorID>86041109-0076-4329-89b3-f77398771b96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129E72A0</paraID>
      <start>0</start>
      <end>3</end>
      <status>unmodified</status>
      <modifiedWord/>
      <trackRevisions>false</trackRevisions>
    </reviewItem>
    <reviewItem>
      <errorID>b2b745e6-c264-4469-8790-45860ba794f7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2F559917</paraID>
      <start>0</start>
      <end>3</end>
      <status>unmodified</status>
      <modifiedWord/>
      <trackRevisions>false</trackRevisions>
    </reviewItem>
    <reviewItem>
      <errorID>9f4e6a13-9508-4c45-9285-ecf5dd742149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34481303</paraID>
      <start>0</start>
      <end>3</end>
      <status>unmodified</status>
      <modifiedWord/>
      <trackRevisions>false</trackRevisions>
    </reviewItem>
    <reviewItem>
      <errorID>53c4da07-baf3-40ec-a37c-d1ff7ccb3f57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345F7CE4</paraID>
      <start>0</start>
      <end>3</end>
      <status>unmodified</status>
      <modifiedWord/>
      <trackRevisions>false</trackRevisions>
    </reviewItem>
    <reviewItem>
      <errorID>a43d996b-3744-4ee5-95fc-104f8786de89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F0074D</paraID>
      <start>0</start>
      <end>3</end>
      <status>unmodified</status>
      <modifiedWord/>
      <trackRevisions>false</trackRevisions>
    </reviewItem>
    <reviewItem>
      <errorID>6cc0aaf3-245e-42f8-9db0-013e1e390a8c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6210608D</paraID>
      <start>0</start>
      <end>3</end>
      <status>unmodified</status>
      <modifiedWord/>
      <trackRevisions>false</trackRevisions>
    </reviewItem>
    <reviewItem>
      <errorID>816d0a09-67a9-4079-9f8c-10436f4d892b</errorID>
      <errorWord>保持通讯畅通</errorWord>
      <group>L1_Word</group>
      <groupName>字词问题</groupName>
      <ability>L2_Typo</ability>
      <abilityName>字词错误</abilityName>
      <candidateList>
        <item>保持通信畅通</item>
      </candidateList>
      <explain/>
      <paraID>1314EEDA</paraID>
      <start>17</start>
      <end>23</end>
      <status>unmodified</status>
      <modifiedWord/>
      <trackRevisions>false</trackRevisions>
    </reviewItem>
    <reviewItem>
      <errorID>cb335809-c471-471b-b63c-6a7e99d397a6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3456DBFE</paraID>
      <start>0</start>
      <end>3</end>
      <status>unmodified</status>
      <modifiedWord/>
      <trackRevisions>false</trackRevisions>
    </reviewItem>
    <reviewItem>
      <errorID>aedd6ad3-7e46-4f57-830e-a5c930892684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DF80CA3</paraID>
      <start>0</start>
      <end>3</end>
      <status>unmodified</status>
      <modifiedWord/>
      <trackRevisions>false</trackRevisions>
    </reviewItem>
    <reviewItem>
      <errorID>e0183eb1-ef68-4b9e-877e-043c6ae472ec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3C126C0B</paraID>
      <start>0</start>
      <end>3</end>
      <status>unmodified</status>
      <modifiedWord/>
      <trackRevisions>false</trackRevisions>
    </reviewItem>
    <reviewItem>
      <errorID>c0634512-d20d-4b26-9284-8bd730f8d0ea</errorID>
      <errorWord>法律、法规</errorWord>
      <group>L1_Word</group>
      <groupName>字词问题</groupName>
      <ability>L2_Typo</ability>
      <abilityName>字词错误</abilityName>
      <candidateList>
        <item>法律法规</item>
      </candidateList>
      <explain/>
      <paraID>20F308B3</paraID>
      <start>7</start>
      <end>12</end>
      <status>unmodified</status>
      <modifiedWord/>
      <trackRevisions>false</trackRevisions>
    </reviewItem>
    <reviewItem>
      <errorID>afc1b112-71bc-4656-b78a-df3ee11ed303</errorID>
      <errorWord>属</errorWord>
      <group>L1_Word</group>
      <groupName>字词问题</groupName>
      <ability>L2_Typo</ability>
      <abilityName>字词错误</abilityName>
      <candidateList>
        <item>属于</item>
      </candidateList>
      <explain/>
      <paraID>20F308B3</paraID>
      <start>21</start>
      <end>22</end>
      <status>unmodified</status>
      <modifiedWord/>
      <trackRevisions>false</trackRevisions>
    </reviewItem>
    <reviewItem>
      <errorID>8bac937d-ff2a-4eb9-8345-9072ff67b568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22F8C86D</paraID>
      <start>0</start>
      <end>3</end>
      <status>unmodified</status>
      <modifiedWord/>
      <trackRevisions>false</trackRevisions>
    </reviewItem>
    <reviewItem>
      <errorID>d2fcbcdc-f541-4d74-8d0f-09a4445aa21f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217C5CB9</paraID>
      <start>0</start>
      <end>3</end>
      <status>unmodified</status>
      <modifiedWord/>
      <trackRevisions>false</trackRevisions>
    </reviewItem>
    <reviewItem>
      <errorID>241cb354-fb67-4ddb-83a2-bc31ff06a322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5B11E9E1</paraID>
      <start>0</start>
      <end>3</end>
      <status>unmodified</status>
      <modifiedWord/>
      <trackRevisions>false</trackRevisions>
    </reviewItem>
    <reviewItem>
      <errorID>9dfa7ac9-a7d8-4d0a-afde-89cb228d500a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4160214D</paraID>
      <start>0</start>
      <end>3</end>
      <status>unmodified</status>
      <modifiedWord/>
      <trackRevisions>false</trackRevisions>
    </reviewItem>
    <reviewItem>
      <errorID>3444db33-93f3-4acb-b246-b7e5ab1df08c</errorID>
      <errorWord>法律、法规</errorWord>
      <group>L1_Word</group>
      <groupName>字词问题</groupName>
      <ability>L2_Typo</ability>
      <abilityName>字词错误</abilityName>
      <candidateList>
        <item>法律法规</item>
      </candidateList>
      <explain/>
      <paraID>4EB1F4B4</paraID>
      <start>4</start>
      <end>9</end>
      <status>unmodified</status>
      <modifiedWord/>
      <trackRevisions>false</trackRevisions>
    </reviewItem>
    <reviewItem>
      <errorID>efe75618-8134-4ed9-a04d-913f1cad06cc</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4EB1F4B4</paraID>
      <start>12</start>
      <end>16</end>
      <status>unmodified</status>
      <modifiedWord/>
      <trackRevisions>false</trackRevisions>
    </reviewItem>
    <reviewItem>
      <errorID>52984ad9-b293-4f22-8615-94bd9fd83476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1DCE72F8</paraID>
      <start>0</start>
      <end>3</end>
      <status>unmodified</status>
      <modifiedWord/>
      <trackRevisions>false</trackRevisions>
    </reviewItem>
    <reviewItem>
      <errorID>7c821aa3-cbac-4eae-a886-87047da3e3a5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1789268</paraID>
      <start>0</start>
      <end>3</end>
      <status>unmodified</status>
      <modifiedWord/>
      <trackRevisions>false</trackRevisions>
    </reviewItem>
    <reviewItem>
      <errorID>964f759f-e27a-4540-ae35-5b874402a6b6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DD7B24A</paraID>
      <start>0</start>
      <end>3</end>
      <status>unmodified</status>
      <modifiedWord/>
      <trackRevisions>false</trackRevisions>
    </reviewItem>
    <reviewItem>
      <errorID>ab954c61-234a-4108-80f7-b149a6d18f00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1B9B222A</paraID>
      <start>0</start>
      <end>3</end>
      <status>unmodified</status>
      <modifiedWord/>
      <trackRevisions>false</trackRevisions>
    </reviewItem>
    <reviewItem>
      <errorID>26483ed0-2bde-40a7-bb58-a9953326db02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2DB805C</paraID>
      <start>0</start>
      <end>3</end>
      <status>unmodified</status>
      <modifiedWord/>
      <trackRevisions>false</trackRevisions>
    </reviewItem>
    <reviewItem>
      <errorID>e25e588d-d294-4a81-bf9c-bc7a701c6b66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1C44035D</paraID>
      <start>0</start>
      <end>3</end>
      <status>unmodified</status>
      <modifiedWord/>
      <trackRevisions>false</trackRevisions>
    </reviewItem>
    <reviewItem>
      <errorID>f0559613-bd0a-456f-89c3-ac344d64028b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3D2EB2A9</paraID>
      <start>0</start>
      <end>3</end>
      <status>unmodified</status>
      <modifiedWord/>
      <trackRevisions>false</trackRevisions>
    </reviewItem>
    <reviewItem>
      <errorID>8116dd55-f4a4-456e-92fb-23fb4ea9144e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59F30D2A</paraID>
      <start>0</start>
      <end>3</end>
      <status>unmodified</status>
      <modifiedWord/>
      <trackRevisions>false</trackRevisions>
    </reviewItem>
    <reviewItem>
      <errorID>c3ee4599-bafb-4887-a369-7503679513eb</errorID>
      <errorWord>(</errorWord>
      <group>L1_Format</group>
      <groupName>格式问题</groupName>
      <ability>L2_HalfPunc_CN</ability>
      <abilityName>全半角问题</abilityName>
      <candidateList>
        <item>（</item>
      </candidateList>
      <explain>文本全半角错误。</explain>
      <paraID>2290CCC7</paraID>
      <start>80</start>
      <end>81</end>
      <status>unmodified</status>
      <modifiedWord/>
      <trackRevisions>false</trackRevisions>
    </reviewItem>
    <reviewItem>
      <errorID>2a521094-266e-472d-af32-6002cecb10eb</errorID>
      <errorWord>)</errorWord>
      <group>L1_Format</group>
      <groupName>格式问题</groupName>
      <ability>L2_HalfPunc_CN</ability>
      <abilityName>全半角问题</abilityName>
      <candidateList>
        <item>）</item>
      </candidateList>
      <explain>文本全半角错误。</explain>
      <paraID>2290CCC7</paraID>
      <start>91</start>
      <end>92</end>
      <status>unmodified</status>
      <modifiedWord/>
      <trackRevisions>false</trackRevisions>
    </reviewItem>
    <reviewItem>
      <errorID>e3c55a28-097b-4154-8d2a-b5e076951425</errorID>
      <errorWord>(</errorWord>
      <group>L1_Format</group>
      <groupName>格式问题</groupName>
      <ability>L2_HalfPunc_CN</ability>
      <abilityName>全半角问题</abilityName>
      <candidateList>
        <item>（</item>
      </candidateList>
      <explain>文本全半角错误。</explain>
      <paraID>7441FDF1</paraID>
      <start>54</start>
      <end>55</end>
      <status>unmodified</status>
      <modifiedWord/>
      <trackRevisions>false</trackRevisions>
    </reviewItem>
    <reviewItem>
      <errorID>b5eb65da-2c20-44a5-8d01-f5d6a7d703a8</errorID>
      <errorWord>)</errorWord>
      <group>L1_Format</group>
      <groupName>格式问题</groupName>
      <ability>L2_HalfPunc_CN</ability>
      <abilityName>全半角问题</abilityName>
      <candidateList>
        <item>）</item>
      </candidateList>
      <explain>文本全半角错误。</explain>
      <paraID>7441FDF1</paraID>
      <start>72</start>
      <end>73</end>
      <status>unmodified</status>
      <modifiedWord/>
      <trackRevisions>false</trackRevisions>
    </reviewItem>
    <reviewItem>
      <errorID>6aad9557-8296-4162-ad79-abeed4021f00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21E04E1D</paraID>
      <start>0</start>
      <end>2</end>
      <status>unmodified</status>
      <modifiedWord/>
      <trackRevisions>false</trackRevisions>
    </reviewItem>
    <reviewItem>
      <errorID>55405e59-58c8-4d9a-8fc3-e20e3792fee6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3229E61F</paraID>
      <start>0</start>
      <end>2</end>
      <status>unmodified</status>
      <modifiedWord/>
      <trackRevisions>false</trackRevisions>
    </reviewItem>
    <reviewItem>
      <errorID>708e8455-12db-4ebd-8bee-98d463d48ea3</errorID>
      <errorWord>签定的</errorWord>
      <group>L1_Word</group>
      <groupName>字词问题</groupName>
      <ability>L2_Typo</ability>
      <abilityName>字词错误</abilityName>
      <candidateList>
        <item>签订的</item>
      </candidateList>
      <explain/>
      <paraID>2888735B</paraID>
      <start>43</start>
      <end>46</end>
      <status>unmodified</status>
      <modifiedWord/>
      <trackRevisions>false</trackRevisions>
    </reviewItem>
    <reviewItem>
      <errorID>50b5d932-fbcd-45d7-8c64-3863fd27ad3f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CBED602</paraID>
      <start>0</start>
      <end>2</end>
      <status>unmodified</status>
      <modifiedWord/>
      <trackRevisions>false</trackRevisions>
    </reviewItem>
    <reviewItem>
      <errorID>5628d2ce-5824-4447-96fb-417718685b22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71F4A55E</paraID>
      <start>0</start>
      <end>2</end>
      <status>unmodified</status>
      <modifiedWord/>
      <trackRevisions>false</trackRevisions>
    </reviewItem>
    <reviewItem>
      <errorID>bdff1779-2e23-407b-ba3e-c655e315cb8e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47A67497</paraID>
      <start>0</start>
      <end>2</end>
      <status>unmodified</status>
      <modifiedWord/>
      <trackRevisions>false</trackRevisions>
    </reviewItem>
    <reviewItem>
      <errorID>21cf0497-3ed0-4a03-a397-3315268cd4d5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8FC4761</paraID>
      <start>0</start>
      <end>2</end>
      <status>unmodified</status>
      <modifiedWord/>
      <trackRevisions>false</trackRevisions>
    </reviewItem>
    <reviewItem>
      <errorID>9226565f-05ca-4937-96a0-6924860d4978</errorID>
      <errorWord>分析分析</errorWord>
      <group>L1_Word</group>
      <groupName>字词问题</groupName>
      <ability>L2_Typo</ability>
      <abilityName>字词错误</abilityName>
      <candidateList>
        <item>分析</item>
      </candidateList>
      <explain/>
      <paraID>7DC1CD3C</paraID>
      <start>39</start>
      <end>41</end>
      <status>modified</status>
      <modifiedWord>分析</modifiedWord>
      <trackRevisions>false</trackRevisions>
    </reviewItem>
    <reviewItem>
      <errorID>bb778504-64b3-4537-bf7d-99a71bfd592b</errorID>
      <errorWord>(</errorWord>
      <group>L1_Format</group>
      <groupName>格式问题</groupName>
      <ability>L2_HalfPunc_CN</ability>
      <abilityName>全半角问题</abilityName>
      <candidateList>
        <item>（</item>
      </candidateList>
      <explain>文本全半角错误。</explain>
      <paraID> E3E0C6F</paraID>
      <start>5</start>
      <end>6</end>
      <status>unmodified</status>
      <modifiedWord/>
      <trackRevisions>false</trackRevisions>
    </reviewItem>
    <reviewItem>
      <errorID>35685715-15ea-4e09-8dd4-de646982c9ad</errorID>
      <errorWord>)</errorWord>
      <group>L1_Format</group>
      <groupName>格式问题</groupName>
      <ability>L2_HalfPunc_CN</ability>
      <abilityName>全半角问题</abilityName>
      <candidateList>
        <item>）</item>
      </candidateList>
      <explain>文本全半角错误。</explain>
      <paraID> E3E0C6F</paraID>
      <start>8</start>
      <end>9</end>
      <status>unmodified</status>
      <modifiedWord/>
      <trackRevisions>false</trackRevisions>
    </reviewItem>
    <reviewItem>
      <errorID>2704e899-0ce1-4a77-853c-0c1fabad2d1b</errorID>
      <errorWord>(</errorWord>
      <group>L1_Format</group>
      <groupName>格式问题</groupName>
      <ability>L2_HalfPunc_CN</ability>
      <abilityName>全半角问题</abilityName>
      <candidateList>
        <item>（</item>
      </candidateList>
      <explain>文本全半角错误。</explain>
      <paraID> E3E0C6F</paraID>
      <start>27</start>
      <end>28</end>
      <status>unmodified</status>
      <modifiedWord/>
      <trackRevisions>false</trackRevisions>
    </reviewItem>
    <reviewItem>
      <errorID>4cb9c1b5-65a2-4408-b21a-25d9fddff746</errorID>
      <errorWord>)</errorWord>
      <group>L1_Format</group>
      <groupName>格式问题</groupName>
      <ability>L2_HalfPunc_CN</ability>
      <abilityName>全半角问题</abilityName>
      <candidateList>
        <item>）</item>
      </candidateList>
      <explain>文本全半角错误。</explain>
      <paraID> E3E0C6F</paraID>
      <start>30</start>
      <end>31</end>
      <status>unmodified</status>
      <modifiedWord/>
      <trackRevisions>false</trackRevisions>
    </reviewItem>
    <reviewItem>
      <errorID>78bf64f1-3ebb-49f2-95d2-e047b3f89b97</errorID>
      <errorWord>(</errorWord>
      <group>L1_Format</group>
      <groupName>格式问题</groupName>
      <ability>L2_HalfPunc_CN</ability>
      <abilityName>全半角问题</abilityName>
      <candidateList>
        <item>（</item>
      </candidateList>
      <explain>文本全半角错误。</explain>
      <paraID> E3E0C6F</paraID>
      <start>44</start>
      <end>45</end>
      <status>unmodified</status>
      <modifiedWord/>
      <trackRevisions>false</trackRevisions>
    </reviewItem>
    <reviewItem>
      <errorID>de13424d-7873-4441-8169-583fed4cb469</errorID>
      <errorWord>)</errorWord>
      <group>L1_Format</group>
      <groupName>格式问题</groupName>
      <ability>L2_HalfPunc_CN</ability>
      <abilityName>全半角问题</abilityName>
      <candidateList>
        <item>）</item>
      </candidateList>
      <explain>文本全半角错误。</explain>
      <paraID> E3E0C6F</paraID>
      <start>47</start>
      <end>48</end>
      <status>unmodified</status>
      <modifiedWord/>
      <trackRevisions>false</trackRevisions>
    </reviewItem>
    <reviewItem>
      <errorID>13c88f1a-8f2c-40ed-bb06-82476ab9858f</errorID>
      <errorWord>(</errorWord>
      <group>L1_Format</group>
      <groupName>格式问题</groupName>
      <ability>L2_HalfPunc_CN</ability>
      <abilityName>全半角问题</abilityName>
      <candidateList>
        <item>（</item>
      </candidateList>
      <explain>文本全半角错误。</explain>
      <paraID> E3E0C6F</paraID>
      <start>65</start>
      <end>66</end>
      <status>unmodified</status>
      <modifiedWord/>
      <trackRevisions>false</trackRevisions>
    </reviewItem>
    <reviewItem>
      <errorID>8d771c58-7578-4fa2-91c8-22cc37546be1</errorID>
      <errorWord>)</errorWord>
      <group>L1_Format</group>
      <groupName>格式问题</groupName>
      <ability>L2_HalfPunc_CN</ability>
      <abilityName>全半角问题</abilityName>
      <candidateList>
        <item>）</item>
      </candidateList>
      <explain>文本全半角错误。</explain>
      <paraID> E3E0C6F</paraID>
      <start>68</start>
      <end>69</end>
      <status>unmodified</status>
      <modifiedWord/>
      <trackRevisions>false</trackRevisions>
    </reviewItem>
    <reviewItem>
      <errorID>24e06b3c-1c01-4280-abb5-110c3e1220bf</errorID>
      <errorWord>(</errorWord>
      <group>L1_Format</group>
      <groupName>格式问题</groupName>
      <ability>L2_HalfPunc_CN</ability>
      <abilityName>全半角问题</abilityName>
      <candidateList>
        <item>（</item>
      </candidateList>
      <explain>文本全半角错误。</explain>
      <paraID>4AA37A36</paraID>
      <start>5</start>
      <end>6</end>
      <status>unmodified</status>
      <modifiedWord/>
      <trackRevisions>false</trackRevisions>
    </reviewItem>
    <reviewItem>
      <errorID>23ba6d2b-f1a3-432d-b5e3-95c4ff24bc82</errorID>
      <errorWord>)</errorWord>
      <group>L1_Format</group>
      <groupName>格式问题</groupName>
      <ability>L2_HalfPunc_CN</ability>
      <abilityName>全半角问题</abilityName>
      <candidateList>
        <item>）</item>
      </candidateList>
      <explain>文本全半角错误。</explain>
      <paraID>4AA37A36</paraID>
      <start>8</start>
      <end>9</end>
      <status>unmodified</status>
      <modifiedWord/>
      <trackRevisions>false</trackRevisions>
    </reviewItem>
    <reviewItem>
      <errorID>ce01a69a-6da0-469e-9806-ac0c5729ed99</errorID>
      <errorWord>(</errorWord>
      <group>L1_Format</group>
      <groupName>格式问题</groupName>
      <ability>L2_HalfPunc_CN</ability>
      <abilityName>全半角问题</abilityName>
      <candidateList>
        <item>（</item>
      </candidateList>
      <explain>文本全半角错误。</explain>
      <paraID>4AA37A36</paraID>
      <start>30</start>
      <end>31</end>
      <status>unmodified</status>
      <modifiedWord/>
      <trackRevisions>false</trackRevisions>
    </reviewItem>
    <reviewItem>
      <errorID>88d1f970-4221-45b3-94a2-c175dd409bb8</errorID>
      <errorWord>)</errorWord>
      <group>L1_Format</group>
      <groupName>格式问题</groupName>
      <ability>L2_HalfPunc_CN</ability>
      <abilityName>全半角问题</abilityName>
      <candidateList>
        <item>）</item>
      </candidateList>
      <explain>文本全半角错误。</explain>
      <paraID>4AA37A36</paraID>
      <start>33</start>
      <end>34</end>
      <status>unmodified</status>
      <modifiedWord/>
      <trackRevisions>false</trackRevisions>
    </reviewItem>
    <reviewItem>
      <errorID>1162ac34-dbc8-4ce9-8700-921934e07217</errorID>
      <errorWord>(</errorWord>
      <group>L1_Format</group>
      <groupName>格式问题</groupName>
      <ability>L2_HalfPunc_CN</ability>
      <abilityName>全半角问题</abilityName>
      <candidateList>
        <item>（</item>
      </candidateList>
      <explain>文本全半角错误。</explain>
      <paraID>4AA37A36</paraID>
      <start>44</start>
      <end>45</end>
      <status>unmodified</status>
      <modifiedWord/>
      <trackRevisions>false</trackRevisions>
    </reviewItem>
    <reviewItem>
      <errorID>f0e79ed2-35b6-4285-af30-d799cb03ad46</errorID>
      <errorWord>)</errorWord>
      <group>L1_Format</group>
      <groupName>格式问题</groupName>
      <ability>L2_HalfPunc_CN</ability>
      <abilityName>全半角问题</abilityName>
      <candidateList>
        <item>）</item>
      </candidateList>
      <explain>文本全半角错误。</explain>
      <paraID>4AA37A36</paraID>
      <start>47</start>
      <end>48</end>
      <status>unmodified</status>
      <modifiedWord/>
      <trackRevisions>false</trackRevisions>
    </reviewItem>
    <reviewItem>
      <errorID>fc8d84bb-028c-4189-b391-0c1146f01427</errorID>
      <errorWord>(</errorWord>
      <group>L1_Format</group>
      <groupName>格式问题</groupName>
      <ability>L2_HalfPunc_CN</ability>
      <abilityName>全半角问题</abilityName>
      <candidateList>
        <item>（</item>
      </candidateList>
      <explain>文本全半角错误。</explain>
      <paraID>4AA37A36</paraID>
      <start>68</start>
      <end>69</end>
      <status>unmodified</status>
      <modifiedWord/>
      <trackRevisions>false</trackRevisions>
    </reviewItem>
    <reviewItem>
      <errorID>fdd3be94-4f47-4224-afff-4ce0efb3c931</errorID>
      <errorWord>)</errorWord>
      <group>L1_Format</group>
      <groupName>格式问题</groupName>
      <ability>L2_HalfPunc_CN</ability>
      <abilityName>全半角问题</abilityName>
      <candidateList>
        <item>）</item>
      </candidateList>
      <explain>文本全半角错误。</explain>
      <paraID>4AA37A36</paraID>
      <start>71</start>
      <end>72</end>
      <status>unmodified</status>
      <modifiedWord/>
      <trackRevisions>false</trackRevisions>
    </reviewItem>
    <reviewItem>
      <errorID>07417856-0021-4b6e-98d2-a39b0fc4c4e3</errorID>
      <errorWord>(</errorWord>
      <group>L1_Format</group>
      <groupName>格式问题</groupName>
      <ability>L2_HalfPunc_CN</ability>
      <abilityName>全半角问题</abilityName>
      <candidateList>
        <item>（</item>
      </candidateList>
      <explain>文本全半角错误。</explain>
      <paraID>3C7D87DE</paraID>
      <start>5</start>
      <end>6</end>
      <status>unmodified</status>
      <modifiedWord/>
      <trackRevisions>false</trackRevisions>
    </reviewItem>
    <reviewItem>
      <errorID>d03d0236-477d-476c-a61c-70eefe93397a</errorID>
      <errorWord>)</errorWord>
      <group>L1_Format</group>
      <groupName>格式问题</groupName>
      <ability>L2_HalfPunc_CN</ability>
      <abilityName>全半角问题</abilityName>
      <candidateList>
        <item>）</item>
      </candidateList>
      <explain>文本全半角错误。</explain>
      <paraID>3C7D87DE</paraID>
      <start>8</start>
      <end>9</end>
      <status>unmodified</status>
      <modifiedWord/>
      <trackRevisions>false</trackRevisions>
    </reviewItem>
    <reviewItem>
      <errorID>cc402b8c-fc5f-441e-91a1-c7b12f7e3531</errorID>
      <errorWord>(</errorWord>
      <group>L1_Format</group>
      <groupName>格式问题</groupName>
      <ability>L2_HalfPunc_CN</ability>
      <abilityName>全半角问题</abilityName>
      <candidateList>
        <item>（</item>
      </candidateList>
      <explain>文本全半角错误。</explain>
      <paraID>3C7D87DE</paraID>
      <start>29</start>
      <end>30</end>
      <status>unmodified</status>
      <modifiedWord/>
      <trackRevisions>false</trackRevisions>
    </reviewItem>
    <reviewItem>
      <errorID>c4708aff-4cb5-407f-9746-eecc823fcd98</errorID>
      <errorWord>)</errorWord>
      <group>L1_Format</group>
      <groupName>格式问题</groupName>
      <ability>L2_HalfPunc_CN</ability>
      <abilityName>全半角问题</abilityName>
      <candidateList>
        <item>）</item>
      </candidateList>
      <explain>文本全半角错误。</explain>
      <paraID>3C7D87DE</paraID>
      <start>32</start>
      <end>33</end>
      <status>unmodified</status>
      <modifiedWord/>
      <trackRevisions>false</trackRevisions>
    </reviewItem>
    <reviewItem>
      <errorID>97b70b19-fd37-4760-ac19-e1e4d3469a61</errorID>
      <errorWord>(</errorWord>
      <group>L1_Format</group>
      <groupName>格式问题</groupName>
      <ability>L2_HalfPunc_CN</ability>
      <abilityName>全半角问题</abilityName>
      <candidateList>
        <item>（</item>
      </candidateList>
      <explain>文本全半角错误。</explain>
      <paraID>78E2B5E4</paraID>
      <start>16</start>
      <end>17</end>
      <status>unmodified</status>
      <modifiedWord/>
      <trackRevisions>false</trackRevisions>
    </reviewItem>
    <reviewItem>
      <errorID>ae7871b0-64eb-4447-b573-18266f448d7b</errorID>
      <errorWord>)</errorWord>
      <group>L1_Format</group>
      <groupName>格式问题</groupName>
      <ability>L2_HalfPunc_CN</ability>
      <abilityName>全半角问题</abilityName>
      <candidateList>
        <item>）</item>
      </candidateList>
      <explain>文本全半角错误。</explain>
      <paraID>78E2B5E4</paraID>
      <start>19</start>
      <end>20</end>
      <status>unmodified</status>
      <modifiedWord/>
      <trackRevisions>false</trackRevisions>
    </reviewItem>
    <reviewItem>
      <errorID>d77ca4fd-6926-4713-b158-2d7868a2755d</errorID>
      <errorWord>(</errorWord>
      <group>L1_Format</group>
      <groupName>格式问题</groupName>
      <ability>L2_HalfPunc_CN</ability>
      <abilityName>全半角问题</abilityName>
      <candidateList>
        <item>（</item>
      </candidateList>
      <explain>文本全半角错误。</explain>
      <paraID>78E2B5E4</paraID>
      <start>66</start>
      <end>67</end>
      <status>unmodified</status>
      <modifiedWord/>
      <trackRevisions>false</trackRevisions>
    </reviewItem>
    <reviewItem>
      <errorID>157021dc-fbd5-4c2d-bf95-0f58faaac0db</errorID>
      <errorWord>)</errorWord>
      <group>L1_Format</group>
      <groupName>格式问题</groupName>
      <ability>L2_HalfPunc_CN</ability>
      <abilityName>全半角问题</abilityName>
      <candidateList>
        <item>）</item>
      </candidateList>
      <explain>文本全半角错误。</explain>
      <paraID>78E2B5E4</paraID>
      <start>69</start>
      <end>70</end>
      <status>unmodified</status>
      <modifiedWord/>
      <trackRevisions>false</trackRevisions>
    </reviewItem>
    <reviewItem>
      <errorID>533354fb-8941-4ebc-b615-79f290d9f00a</errorID>
      <errorWord>(</errorWord>
      <group>L1_Format</group>
      <groupName>格式问题</groupName>
      <ability>L2_HalfPunc_CN</ability>
      <abilityName>全半角问题</abilityName>
      <candidateList>
        <item>（</item>
      </candidateList>
      <explain>文本全半角错误。</explain>
      <paraID>78E2B5E4</paraID>
      <start>173</start>
      <end>174</end>
      <status>unmodified</status>
      <modifiedWord/>
      <trackRevisions>false</trackRevisions>
    </reviewItem>
    <reviewItem>
      <errorID>ec6c664b-1371-4dd0-8695-20a18276352d</errorID>
      <errorWord>)</errorWord>
      <group>L1_Format</group>
      <groupName>格式问题</groupName>
      <ability>L2_HalfPunc_CN</ability>
      <abilityName>全半角问题</abilityName>
      <candidateList>
        <item>）</item>
      </candidateList>
      <explain>文本全半角错误。</explain>
      <paraID>78E2B5E4</paraID>
      <start>176</start>
      <end>177</end>
      <status>unmodified</status>
      <modifiedWord/>
      <trackRevisions>false</trackRevisions>
    </reviewItem>
    <reviewItem>
      <errorID>0944b186-f07e-4394-8379-639f441ace97</errorID>
      <errorWord>(</errorWord>
      <group>L1_Format</group>
      <groupName>格式问题</groupName>
      <ability>L2_HalfPunc_CN</ability>
      <abilityName>全半角问题</abilityName>
      <candidateList>
        <item>（</item>
      </candidateList>
      <explain>文本全半角错误。</explain>
      <paraID>2B9F10FC</paraID>
      <start>20</start>
      <end>21</end>
      <status>unmodified</status>
      <modifiedWord/>
      <trackRevisions>false</trackRevisions>
    </reviewItem>
    <reviewItem>
      <errorID>2c981727-a559-43af-a7c0-7af8e11be189</errorID>
      <errorWord>)</errorWord>
      <group>L1_Format</group>
      <groupName>格式问题</groupName>
      <ability>L2_HalfPunc_CN</ability>
      <abilityName>全半角问题</abilityName>
      <candidateList>
        <item>）</item>
      </candidateList>
      <explain>文本全半角错误。</explain>
      <paraID>2B9F10FC</paraID>
      <start>23</start>
      <end>24</end>
      <status>unmodified</status>
      <modifiedWord/>
      <trackRevisions>false</trackRevisions>
    </reviewItem>
    <reviewItem>
      <errorID>c20a8387-e8bc-42ac-bb02-da793d6c03b4</errorID>
      <errorWord>(</errorWord>
      <group>L1_Format</group>
      <groupName>格式问题</groupName>
      <ability>L2_HalfPunc_CN</ability>
      <abilityName>全半角问题</abilityName>
      <candidateList>
        <item>（</item>
      </candidateList>
      <explain>文本全半角错误。</explain>
      <paraID>2B9F10FC</paraID>
      <start>85</start>
      <end>86</end>
      <status>unmodified</status>
      <modifiedWord/>
      <trackRevisions>false</trackRevisions>
    </reviewItem>
    <reviewItem>
      <errorID>f245ad1e-fe13-4f1b-bfc0-15ee154cc2e5</errorID>
      <errorWord>)</errorWord>
      <group>L1_Format</group>
      <groupName>格式问题</groupName>
      <ability>L2_HalfPunc_CN</ability>
      <abilityName>全半角问题</abilityName>
      <candidateList>
        <item>）</item>
      </candidateList>
      <explain>文本全半角错误。</explain>
      <paraID>2B9F10FC</paraID>
      <start>88</start>
      <end>89</end>
      <status>unmodified</status>
      <modifiedWord/>
      <trackRevisions>false</trackRevisions>
    </reviewItem>
    <reviewItem>
      <errorID>ad3bcc4f-f816-40fc-81d8-ea91b5fb3a79</errorID>
      <errorWord>(</errorWord>
      <group>L1_Format</group>
      <groupName>格式问题</groupName>
      <ability>L2_HalfPunc_CN</ability>
      <abilityName>全半角问题</abilityName>
      <candidateList>
        <item>（</item>
      </candidateList>
      <explain>文本全半角错误。</explain>
      <paraID>2B9F10FC</paraID>
      <start>147</start>
      <end>148</end>
      <status>unmodified</status>
      <modifiedWord/>
      <trackRevisions>false</trackRevisions>
    </reviewItem>
    <reviewItem>
      <errorID>bf8df116-a3ca-407b-ace1-2fa7a18b1526</errorID>
      <errorWord>)</errorWord>
      <group>L1_Format</group>
      <groupName>格式问题</groupName>
      <ability>L2_HalfPunc_CN</ability>
      <abilityName>全半角问题</abilityName>
      <candidateList>
        <item>）</item>
      </candidateList>
      <explain>文本全半角错误。</explain>
      <paraID>2B9F10FC</paraID>
      <start>150</start>
      <end>151</end>
      <status>unmodified</status>
      <modifiedWord/>
      <trackRevisions>false</trackRevisions>
    </reviewItem>
    <reviewItem>
      <errorID>0aaabac8-0cb9-4b24-b369-2de567eeeb9d</errorID>
      <errorWord>:</errorWord>
      <group>L1_Format</group>
      <groupName>格式问题</groupName>
      <ability>L2_HalfPunc_CN</ability>
      <abilityName>全半角问题</abilityName>
      <candidateList>
        <item>：</item>
      </candidateList>
      <explain>文本全半角错误。</explain>
      <paraID>15A53995</paraID>
      <start>1</start>
      <end>2</end>
      <status>unmodified</status>
      <modifiedWord/>
      <trackRevisions>false</trackRevisions>
    </reviewItem>
    <reviewItem>
      <errorID>6f815813-7aeb-42be-9d1b-729749d25b5d</errorID>
      <errorWord>预</errorWord>
      <group>L1_Word</group>
      <groupName>字词问题</groupName>
      <ability>L2_Typo</ability>
      <abilityName>字词错误</abilityName>
      <candidateList>
        <item>预付</item>
      </candidateList>
      <explain/>
      <paraID>15A53995</paraID>
      <start>29</start>
      <end>30</end>
      <status>unmodified</status>
      <modifiedWord/>
      <trackRevisions>false</trackRevisions>
    </reviewItem>
    <reviewItem>
      <errorID>08e1ed99-e6e4-4aa7-9dc6-19aceff0f3a4</errorID>
      <errorWord>:</errorWord>
      <group>L1_Format</group>
      <groupName>格式问题</groupName>
      <ability>L2_HalfPunc_CN</ability>
      <abilityName>全半角问题</abilityName>
      <candidateList>
        <item>：</item>
      </candidateList>
      <explain>文本全半角错误。</explain>
      <paraID>1B86E4AF</paraID>
      <start>7</start>
      <end>8</end>
      <status>unmodified</status>
      <modifiedWord/>
      <trackRevisions>false</trackRevisions>
    </reviewItem>
    <reviewItem>
      <errorID>da7d073d-05a0-4fcf-bbf0-1a1b2276ac50</errorID>
      <errorWord>:</errorWord>
      <group>L1_Format</group>
      <groupName>格式问题</groupName>
      <ability>L2_HalfPunc_CN</ability>
      <abilityName>全半角问题</abilityName>
      <candidateList>
        <item>：</item>
      </candidateList>
      <explain>文本全半角错误。</explain>
      <paraID>3AE4A263</paraID>
      <start>7</start>
      <end>8</end>
      <status>unmodified</status>
      <modifiedWord/>
      <trackRevisions>false</trackRevisions>
    </reviewItem>
    <reviewItem>
      <errorID>d6aa6bcb-b0d9-41b6-b2a0-4d1c44508ac2</errorID>
      <errorWord>"</errorWord>
      <group>L1_Format</group>
      <groupName>格式问题</groupName>
      <ability>L2_HalfPunc_CN</ability>
      <abilityName>全半角问题</abilityName>
      <candidateList>
        <item>“</item>
      </candidateList>
      <explain>文本全半角错误。</explain>
      <paraID>127E0418</paraID>
      <start>104</start>
      <end>105</end>
      <status>unmodified</status>
      <modifiedWord/>
      <trackRevisions>false</trackRevisions>
    </reviewItem>
    <reviewItem>
      <errorID>0913df26-8fba-4448-b5f5-9c1fe975c973</errorID>
      <errorWord>"</errorWord>
      <group>L1_Format</group>
      <groupName>格式问题</groupName>
      <ability>L2_HalfPunc_CN</ability>
      <abilityName>全半角问题</abilityName>
      <candidateList>
        <item>”</item>
      </candidateList>
      <explain>文本全半角错误。</explain>
      <paraID>127E0418</paraID>
      <start>108</start>
      <end>109</end>
      <status>unmodified</status>
      <modifiedWord/>
      <trackRevisions>false</trackRevisions>
    </reviewItem>
    <reviewItem>
      <errorID>d6e80566-3865-4d80-bd19-d38e93681256</errorID>
      <errorWord>2026年1月1日</errorWord>
      <group>L1_Word</group>
      <groupName>字词问题</groupName>
      <ability>L2_Typo</ability>
      <abilityName>字词错误</abilityName>
      <candidateList>
        <item>2026年1月1日起</item>
      </candidateList>
      <explain/>
      <paraID>3A306194</paraID>
      <start>103</start>
      <end>112</end>
      <status>unmodified</status>
      <modifiedWord/>
      <trackRevisions>false</trackRevisions>
    </reviewItem>
    <reviewItem>
      <errorID>1bf06860-9cc3-41ab-b78a-31a856a5028b</errorID>
      <errorWord>对于其它</errorWord>
      <group>L1_Word</group>
      <groupName>字词问题</groupName>
      <ability>L2_Alias</ability>
      <abilityName>也作/曾用词</abilityName>
      <candidateList>
        <item>对于其他</item>
      </candidateList>
      <explain>词汇[对于其它]为不规范表述或旧称，其规范书面表述为[对于其他]。</explain>
      <paraID>3D8402EE</paraID>
      <start>170</start>
      <end>174</end>
      <status>unmodified</status>
      <modifiedWord/>
      <trackRevisions>false</trackRevisions>
    </reviewItem>
    <reviewItem>
      <errorID>f927d8fa-1939-4c0e-8f00-21b3c0c09540</errorID>
      <errorWord>(</errorWord>
      <group>L1_Format</group>
      <groupName>格式问题</groupName>
      <ability>L2_HalfPunc_CN</ability>
      <abilityName>全半角问题</abilityName>
      <candidateList>
        <item>（</item>
      </candidateList>
      <explain>文本全半角错误。</explain>
      <paraID>5C1FB1AB</paraID>
      <start>55</start>
      <end>56</end>
      <status>unmodified</status>
      <modifiedWord/>
      <trackRevisions>false</trackRevisions>
    </reviewItem>
    <reviewItem>
      <errorID>db476b07-a107-4ede-a653-5beb0dc1caa1</errorID>
      <errorWord>)</errorWord>
      <group>L1_Format</group>
      <groupName>格式问题</groupName>
      <ability>L2_HalfPunc_CN</ability>
      <abilityName>全半角问题</abilityName>
      <candidateList>
        <item>）</item>
      </candidateList>
      <explain>文本全半角错误。</explain>
      <paraID>5C1FB1AB</paraID>
      <start>58</start>
      <end>59</end>
      <status>unmodified</status>
      <modifiedWord/>
      <trackRevisions>false</trackRevisions>
    </reviewItem>
    <reviewItem>
      <errorID>d33c3f54-c8a7-4017-8691-a2236424168b</errorID>
      <errorWord>于2025年度</errorWord>
      <group>L1_Word</group>
      <groupName>字词问题</groupName>
      <ability>L2_Typo</ability>
      <abilityName>字词错误</abilityName>
      <candidateList>
        <item>于2025年</item>
      </candidateList>
      <explain/>
      <paraID>580DB72D</paraID>
      <start>22</start>
      <end>29</end>
      <status>unmodified</status>
      <modifiedWord/>
      <trackRevisions>false</trackRevisions>
    </reviewItem>
    <reviewItem>
      <errorID>aefa98f0-b2b5-46c2-b9a3-0912b9ef30f2</errorID>
      <errorWord>供</errorWord>
      <group>L1_Word</group>
      <groupName>字词问题</groupName>
      <ability>L2_Typo</ability>
      <abilityName>字词错误</abilityName>
      <candidateList>
        <item>用</item>
      </candidateList>
      <explain>存在发音相近字词的误用。</explain>
      <paraID> C0AA874</paraID>
      <start>36</start>
      <end>37</end>
      <status>unmodified</status>
      <modifiedWord/>
      <trackRevisions>false</trackRevisions>
    </reviewItem>
    <reviewItem>
      <errorID>540cbd69-d899-48d6-a86c-ac8fe4b89354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157E00E2</paraID>
      <start>60</start>
      <end>63</end>
      <status>unmodified</status>
      <modifiedWord/>
      <trackRevisions>false</trackRevisions>
    </reviewItem>
    <reviewItem>
      <errorID>16c57d26-8602-4341-9c38-bbfc03d63aa4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159E3A40</paraID>
      <start>17</start>
      <end>20</end>
      <status>unmodified</status>
      <modifiedWord/>
      <trackRevisions>false</trackRevisions>
    </reviewItem>
    <reviewItem>
      <errorID>173ea7a9-094e-49d3-b513-0c0d73693c2e</errorID>
      <errorWord>)</errorWord>
      <group>L1_Format</group>
      <groupName>格式问题</groupName>
      <ability>L2_HalfPunc_CN</ability>
      <abilityName>全半角问题</abilityName>
      <candidateList>
        <item>）</item>
      </candidateList>
      <explain>文本全半角错误。</explain>
      <paraID> 22E3950</paraID>
      <start>2</start>
      <end>3</end>
      <status>unmodified</status>
      <modifiedWord/>
      <trackRevisions>false</trackRevisions>
    </reviewItem>
    <reviewItem>
      <errorID>484e2a8e-8110-4f4a-a0c6-878bbf79e486</errorID>
      <errorWord>)</errorWord>
      <group>L1_Format</group>
      <groupName>格式问题</groupName>
      <ability>L2_HalfPunc_CN</ability>
      <abilityName>全半角问题</abilityName>
      <candidateList>
        <item>）</item>
      </candidateList>
      <explain>文本全半角错误。</explain>
      <paraID> 79435A5</paraID>
      <start>2</start>
      <end>3</end>
      <status>unmodified</status>
      <modifiedWord/>
      <trackRevisions>false</trackRevisions>
    </reviewItem>
    <reviewItem>
      <errorID>a58d5e92-186a-4952-8f03-eaa95a68c2d6</errorID>
      <errorWord>)</errorWord>
      <group>L1_Format</group>
      <groupName>格式问题</groupName>
      <ability>L2_HalfPunc_CN</ability>
      <abilityName>全半角问题</abilityName>
      <candidateList>
        <item>）</item>
      </candidateList>
      <explain>文本全半角错误。</explain>
      <paraID>2B137A55</paraID>
      <start>2</start>
      <end>3</end>
      <status>unmodified</status>
      <modifiedWord/>
      <trackRevisions>false</trackRevisions>
    </reviewItem>
    <reviewItem>
      <errorID>97cae818-dae3-4d0d-bbcf-c78843bcdc38</errorID>
      <errorWord>)</errorWord>
      <group>L1_Format</group>
      <groupName>格式问题</groupName>
      <ability>L2_HalfPunc_CN</ability>
      <abilityName>全半角问题</abilityName>
      <candidateList>
        <item>）</item>
      </candidateList>
      <explain>文本全半角错误。</explain>
      <paraID>366BDF60</paraID>
      <start>2</start>
      <end>3</end>
      <status>unmodified</status>
      <modifiedWord/>
      <trackRevisions>false</trackRevisions>
    </reviewItem>
    <reviewItem>
      <errorID>02462646-b18e-4aac-83fe-65675aa26e83</errorID>
      <errorWord>)</errorWord>
      <group>L1_Format</group>
      <groupName>格式问题</groupName>
      <ability>L2_HalfPunc_CN</ability>
      <abilityName>全半角问题</abilityName>
      <candidateList>
        <item>）</item>
      </candidateList>
      <explain>文本全半角错误。</explain>
      <paraID>3C19FFE6</paraID>
      <start>2</start>
      <end>3</end>
      <status>unmodified</status>
      <modifiedWord/>
      <trackRevisions>false</trackRevisions>
    </reviewItem>
    <reviewItem>
      <errorID>722a0aad-fad7-4101-bb11-2fcff71045ef</errorID>
      <errorWord>)</errorWord>
      <group>L1_Format</group>
      <groupName>格式问题</groupName>
      <ability>L2_HalfPunc_CN</ability>
      <abilityName>全半角问题</abilityName>
      <candidateList>
        <item>）</item>
      </candidateList>
      <explain>文本全半角错误。</explain>
      <paraID>353E2DC3</paraID>
      <start>2</start>
      <end>3</end>
      <status>unmodified</status>
      <modifiedWord/>
      <trackRevisions>false</trackRevisions>
    </reviewItem>
    <reviewItem>
      <errorID>9cf629a4-5403-421c-ae30-3e9c819ee7f9</errorID>
      <errorWord>)</errorWord>
      <group>L1_Format</group>
      <groupName>格式问题</groupName>
      <ability>L2_HalfPunc_CN</ability>
      <abilityName>全半角问题</abilityName>
      <candidateList>
        <item>）</item>
      </candidateList>
      <explain>文本全半角错误。</explain>
      <paraID>53769554</paraID>
      <start>2</start>
      <end>3</end>
      <status>unmodified</status>
      <modifiedWord/>
      <trackRevisions>false</trackRevisions>
    </reviewItem>
    <reviewItem>
      <errorID>9004941e-1d97-4df0-a562-aa89b5f4fc5a</errorID>
      <errorWord>)</errorWord>
      <group>L1_Format</group>
      <groupName>格式问题</groupName>
      <ability>L2_HalfPunc_CN</ability>
      <abilityName>全半角问题</abilityName>
      <candidateList>
        <item>）</item>
      </candidateList>
      <explain>文本全半角错误。</explain>
      <paraID> 98B76F6</paraID>
      <start>2</start>
      <end>3</end>
      <status>unmodified</status>
      <modifiedWord/>
      <trackRevisions>false</trackRevisions>
    </reviewItem>
    <reviewItem>
      <errorID>cb58c746-f891-4c3f-b291-45b712c75781</errorID>
      <errorWord>详实</errorWord>
      <group>L1_Word</group>
      <groupName>字词问题</groupName>
      <ability>L2_Typo</ability>
      <abilityName>字词错误</abilityName>
      <candidateList>
        <item>翔实</item>
      </candidateList>
      <explain/>
      <paraID>6DE494C8</paraID>
      <start>61</start>
      <end>63</end>
      <status>unmodified</status>
      <modifiedWord/>
      <trackRevisions>false</trackRevisions>
    </reviewItem>
    <reviewItem>
      <errorID>e5a39430-9fe1-43f6-82f5-cac73d82d6c8</errorID>
      <errorWord>:</errorWord>
      <group>L1_Format</group>
      <groupName>格式问题</groupName>
      <ability>L2_HalfPunc_CN</ability>
      <abilityName>全半角问题</abilityName>
      <candidateList>
        <item>：</item>
      </candidateList>
      <explain>文本全半角错误。</explain>
      <paraID>4772D866</paraID>
      <start>9</start>
      <end>10</end>
      <status>unmodified</status>
      <modifiedWord/>
      <trackRevisions>false</trackRevisions>
    </reviewItem>
    <reviewItem>
      <errorID>ea858b98-d55d-48d2-a2e5-e3af8648256f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4772D866</paraID>
      <start>70</start>
      <end>73</end>
      <status>unmodified</status>
      <modifiedWord/>
      <trackRevisions>false</trackRevisions>
    </reviewItem>
    <reviewItem>
      <errorID>025e09dd-c253-44e3-b207-78cc257deb3c</errorID>
      <errorWord>制定</errorWord>
      <group>L1_Word</group>
      <groupName>字词问题</groupName>
      <ability>L2_Typo</ability>
      <abilityName>字词错误</abilityName>
      <candidateList>
        <item>指定</item>
      </candidateList>
      <explain/>
      <paraID> 68BD10B</paraID>
      <start>0</start>
      <end>2</end>
      <status>unmodified</status>
      <modifiedWord/>
      <trackRevisions>false</trackRevisions>
    </reviewItem>
    <reviewItem>
      <errorID>953d98cc-2366-415f-82ba-f94367c53491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3F6DCC6</paraID>
      <start>11</start>
      <end>12</end>
      <status>unmodified</status>
      <modifiedWord/>
      <trackRevisions>false</trackRevisions>
    </reviewItem>
    <reviewItem>
      <errorID>3ec3029e-3723-4c85-87d0-60a0b6d13208</errorID>
      <errorWord>;</errorWord>
      <group>L1_Format</group>
      <groupName>格式问题</groupName>
      <ability>L2_HalfPunc_CN</ability>
      <abilityName>全半角问题</abilityName>
      <candidateList>
        <item>；</item>
      </candidateList>
      <explain>文本全半角错误。</explain>
      <paraID>5E544CCC</paraID>
      <start>27</start>
      <end>28</end>
      <status>unmodified</status>
      <modifiedWord/>
      <trackRevisions>false</trackRevisions>
    </reviewItem>
    <reviewItem>
      <errorID>f92256f6-b3e2-4cf3-8bf4-3a6853500f9a</errorID>
      <errorWord>:</errorWord>
      <group>L1_Format</group>
      <groupName>格式问题</groupName>
      <ability>L2_HalfPunc_CN</ability>
      <abilityName>全半角问题</abilityName>
      <candidateList>
        <item>：</item>
      </candidateList>
      <explain>文本全半角错误。</explain>
      <paraID>4FB372B4</paraID>
      <start>23</start>
      <end>24</end>
      <status>unmodified</status>
      <modifiedWord/>
      <trackRevisions>false</trackRevisions>
    </reviewItem>
    <reviewItem>
      <errorID>e46ed0b6-0851-48d4-abe6-fcf52d9063ef</errorID>
      <errorWord>(</errorWord>
      <group>L1_Format</group>
      <groupName>格式问题</groupName>
      <ability>L2_HalfPunc_CN</ability>
      <abilityName>全半角问题</abilityName>
      <candidateList>
        <item>（</item>
      </candidateList>
      <explain>文本全半角错误。</explain>
      <paraID>61E8D558</paraID>
      <start>12</start>
      <end>13</end>
      <status>unmodified</status>
      <modifiedWord/>
      <trackRevisions>false</trackRevisions>
    </reviewItem>
    <reviewItem>
      <errorID>ff868314-7b0c-452d-9456-31ae61ee7c7a</errorID>
      <errorWord>)</errorWord>
      <group>L1_Format</group>
      <groupName>格式问题</groupName>
      <ability>L2_HalfPunc_CN</ability>
      <abilityName>全半角问题</abilityName>
      <candidateList>
        <item>）</item>
      </candidateList>
      <explain>文本全半角错误。</explain>
      <paraID>61E8D558</paraID>
      <start>17</start>
      <end>18</end>
      <status>unmodified</status>
      <modifiedWord/>
      <trackRevisions>false</trackRevisions>
    </reviewItem>
    <reviewItem>
      <errorID>19050f44-8791-4e22-9265-1253da34998b</errorID>
      <errorWord>;</errorWord>
      <group>L1_Format</group>
      <groupName>格式问题</groupName>
      <ability>L2_HalfPunc_CN</ability>
      <abilityName>全半角问题</abilityName>
      <candidateList>
        <item>；</item>
      </candidateList>
      <explain>文本全半角错误。</explain>
      <paraID>61E8D558</paraID>
      <start>26</start>
      <end>27</end>
      <status>unmodified</status>
      <modifiedWord/>
      <trackRevisions>false</trackRevisions>
    </reviewItem>
    <reviewItem>
      <errorID>5321b91f-b313-41f8-88fe-5df0a1638281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1D832D5A</paraID>
      <start>9</start>
      <end>10</end>
      <status>unmodified</status>
      <modifiedWord/>
      <trackRevisions>false</trackRevisions>
    </reviewItem>
    <reviewItem>
      <errorID>08bae899-7bc9-4c81-9d9d-3e50a4755c65</errorID>
      <errorWord>(</errorWord>
      <group>L1_Format</group>
      <groupName>格式问题</groupName>
      <ability>L2_HalfPunc_CN</ability>
      <abilityName>全半角问题</abilityName>
      <candidateList>
        <item>（</item>
      </candidateList>
      <explain>文本全半角错误。</explain>
      <paraID>1D832D5A</paraID>
      <start>13</start>
      <end>14</end>
      <status>unmodified</status>
      <modifiedWord/>
      <trackRevisions>false</trackRevisions>
    </reviewItem>
    <reviewItem>
      <errorID>ad02e4db-2317-43c1-b444-2314108c6ddb</errorID>
      <errorWord>)</errorWord>
      <group>L1_Format</group>
      <groupName>格式问题</groupName>
      <ability>L2_HalfPunc_CN</ability>
      <abilityName>全半角问题</abilityName>
      <candidateList>
        <item>）</item>
      </candidateList>
      <explain>文本全半角错误。</explain>
      <paraID>1D832D5A</paraID>
      <start>18</start>
      <end>19</end>
      <status>unmodified</status>
      <modifiedWord/>
      <trackRevisions>false</trackRevisions>
    </reviewItem>
    <reviewItem>
      <errorID>fe7f9755-a722-48e2-967f-01da5b6a3de0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7A3D84C7</paraID>
      <start>9</start>
      <end>10</end>
      <status>unmodified</status>
      <modifiedWord/>
      <trackRevisions>false</trackRevisions>
    </reviewItem>
    <reviewItem>
      <errorID>ba84209c-8ac1-4a4a-9109-afe7a095f850</errorID>
      <errorWord>(</errorWord>
      <group>L1_Format</group>
      <groupName>格式问题</groupName>
      <ability>L2_HalfPunc_CN</ability>
      <abilityName>全半角问题</abilityName>
      <candidateList>
        <item>（</item>
      </candidateList>
      <explain>文本全半角错误。</explain>
      <paraID>7A3D84C7</paraID>
      <start>13</start>
      <end>14</end>
      <status>unmodified</status>
      <modifiedWord/>
      <trackRevisions>false</trackRevisions>
    </reviewItem>
    <reviewItem>
      <errorID>7b57e606-fd29-4113-9d86-2d3646036d51</errorID>
      <errorWord>)</errorWord>
      <group>L1_Format</group>
      <groupName>格式问题</groupName>
      <ability>L2_HalfPunc_CN</ability>
      <abilityName>全半角问题</abilityName>
      <candidateList>
        <item>）</item>
      </candidateList>
      <explain>文本全半角错误。</explain>
      <paraID>7A3D84C7</paraID>
      <start>18</start>
      <end>19</end>
      <status>unmodified</status>
      <modifiedWord/>
      <trackRevisions>false</trackRevisions>
    </reviewItem>
    <reviewItem>
      <errorID>c023445a-21b5-450a-9183-00e53b0d8dc8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22D3A3A2</paraID>
      <start>0</start>
      <end>3</end>
      <status>unmodified</status>
      <modifiedWord/>
      <trackRevisions>false</trackRevisions>
    </reviewItem>
    <reviewItem>
      <errorID>429b88a2-0983-462f-a413-f04aade09b35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ED7FC9D</paraID>
      <start>13</start>
      <end>16</end>
      <status>unmodified</status>
      <modifiedWord/>
      <trackRevisions>false</trackRevisions>
    </reviewItem>
    <reviewItem>
      <errorID>d13a0b8b-f83e-4479-9dfc-7fc5ac4e9087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60407127</paraID>
      <start>36</start>
      <end>39</end>
      <status>unmodified</status>
      <modifiedWord/>
      <trackRevisions>false</trackRevisions>
    </reviewItem>
    <reviewItem>
      <errorID>885bc0b2-99bb-45ed-8c5e-811792ffe3f7</errorID>
      <errorWord>:</errorWord>
      <group>L1_Format</group>
      <groupName>格式问题</groupName>
      <ability>L2_HalfPunc_CN</ability>
      <abilityName>全半角问题</abilityName>
      <candidateList>
        <item>：</item>
      </candidateList>
      <explain>文本全半角错误。</explain>
      <paraID>4FD8CDC8</paraID>
      <start>1</start>
      <end>2</end>
      <status>unmodified</status>
      <modifiedWord/>
      <trackRevisions>false</trackRevisions>
    </reviewItem>
    <reviewItem>
      <errorID>0fb986ca-2748-4396-af28-59bc19bc1575</errorID>
      <errorWord>:</errorWord>
      <group>L1_Format</group>
      <groupName>格式问题</groupName>
      <ability>L2_HalfPunc_CN</ability>
      <abilityName>全半角问题</abilityName>
      <candidateList>
        <item>：</item>
      </candidateList>
      <explain>文本全半角错误。</explain>
      <paraID>6D19DA38</paraID>
      <start>7</start>
      <end>8</end>
      <status>unmodified</status>
      <modifiedWord/>
      <trackRevisions>false</trackRevisions>
    </reviewItem>
    <reviewItem>
      <errorID>ef7999eb-8b5b-415d-8aa2-e77a0caf62b1</errorID>
      <errorWord>:</errorWord>
      <group>L1_Format</group>
      <groupName>格式问题</groupName>
      <ability>L2_HalfPunc_CN</ability>
      <abilityName>全半角问题</abilityName>
      <candidateList>
        <item>：</item>
      </candidateList>
      <explain>文本全半角错误。</explain>
      <paraID>6D19DA38</paraID>
      <start>21</start>
      <end>22</end>
      <status>unmodified</status>
      <modifiedWord/>
      <trackRevisions>false</trackRevisions>
    </reviewItem>
    <reviewItem>
      <errorID>fbad9c5c-8c75-4d1d-aa0d-afaac6b9985f</errorID>
      <errorWord>:</errorWord>
      <group>L1_Format</group>
      <groupName>格式问题</groupName>
      <ability>L2_HalfPunc_CN</ability>
      <abilityName>全半角问题</abilityName>
      <candidateList>
        <item>：</item>
      </candidateList>
      <explain>文本全半角错误。</explain>
      <paraID>583DFCA1</paraID>
      <start>7</start>
      <end>8</end>
      <status>unmodified</status>
      <modifiedWord/>
      <trackRevisions>false</trackRevisions>
    </reviewItem>
    <reviewItem>
      <errorID>2e60ee3d-8ac6-4a15-9fbe-6c334289899c</errorID>
      <errorWord>(</errorWord>
      <group>L1_Format</group>
      <groupName>格式问题</groupName>
      <ability>L2_HalfPunc_CN</ability>
      <abilityName>全半角问题</abilityName>
      <candidateList>
        <item>（</item>
      </candidateList>
      <explain>文本全半角错误。</explain>
      <paraID>4AE8AA32</paraID>
      <start>21</start>
      <end>22</end>
      <status>unmodified</status>
      <modifiedWord/>
      <trackRevisions>false</trackRevisions>
    </reviewItem>
    <reviewItem>
      <errorID>ae0a6f54-c7c0-4779-a292-e728f358b512</errorID>
      <errorWord>"</errorWord>
      <group>L1_Format</group>
      <groupName>格式问题</groupName>
      <ability>L2_HalfPunc_CN</ability>
      <abilityName>全半角问题</abilityName>
      <candidateList>
        <item>“</item>
      </candidateList>
      <explain>文本全半角错误。</explain>
      <paraID> C8EBF84</paraID>
      <start>104</start>
      <end>105</end>
      <status>unmodified</status>
      <modifiedWord/>
      <trackRevisions>false</trackRevisions>
    </reviewItem>
    <reviewItem>
      <errorID>cac09439-0a9d-4892-97ee-71b39f786f2c</errorID>
      <errorWord>"</errorWord>
      <group>L1_Format</group>
      <groupName>格式问题</groupName>
      <ability>L2_HalfPunc_CN</ability>
      <abilityName>全半角问题</abilityName>
      <candidateList>
        <item>”</item>
      </candidateList>
      <explain>文本全半角错误。</explain>
      <paraID> C8EBF84</paraID>
      <start>108</start>
      <end>109</end>
      <status>unmodified</status>
      <modifiedWord/>
      <trackRevisions>false</trackRevisions>
    </reviewItem>
    <reviewItem>
      <errorID>117b2cb9-05b7-44e7-b4fa-9e9af60b7d8b</errorID>
      <errorWord>2026年1月1日</errorWord>
      <group>L1_Word</group>
      <groupName>字词问题</groupName>
      <ability>L2_Typo</ability>
      <abilityName>字词错误</abilityName>
      <candidateList>
        <item>2026年1月1日起</item>
      </candidateList>
      <explain/>
      <paraID> 4DBB124</paraID>
      <start>103</start>
      <end>112</end>
      <status>unmodified</status>
      <modifiedWord/>
      <trackRevisions>false</trackRevisions>
    </reviewItem>
    <reviewItem>
      <errorID>66c1c070-c04e-4fd9-b526-e597ab499ba1</errorID>
      <errorWord>对于其它</errorWord>
      <group>L1_Word</group>
      <groupName>字词问题</groupName>
      <ability>L2_Alias</ability>
      <abilityName>也作/曾用词</abilityName>
      <candidateList>
        <item>对于其他</item>
      </candidateList>
      <explain>词汇[对于其它]为不规范表述或旧称，其规范书面表述为[对于其他]。</explain>
      <paraID>3AFD7055</paraID>
      <start>170</start>
      <end>174</end>
      <status>unmodified</status>
      <modifiedWord/>
      <trackRevisions>false</trackRevisions>
    </reviewItem>
    <reviewItem>
      <errorID>843de0c0-11a9-4f78-be08-52fa8cf7bcb4</errorID>
      <errorWord>(</errorWord>
      <group>L1_Format</group>
      <groupName>格式问题</groupName>
      <ability>L2_HalfPunc_CN</ability>
      <abilityName>全半角问题</abilityName>
      <candidateList>
        <item>（</item>
      </candidateList>
      <explain>文本全半角错误。</explain>
      <paraID>656309FA</paraID>
      <start>55</start>
      <end>56</end>
      <status>unmodified</status>
      <modifiedWord/>
      <trackRevisions>false</trackRevisions>
    </reviewItem>
    <reviewItem>
      <errorID>8e25831e-a7f4-4481-af27-1a31a0989e08</errorID>
      <errorWord>)</errorWord>
      <group>L1_Format</group>
      <groupName>格式问题</groupName>
      <ability>L2_HalfPunc_CN</ability>
      <abilityName>全半角问题</abilityName>
      <candidateList>
        <item>）</item>
      </candidateList>
      <explain>文本全半角错误。</explain>
      <paraID>656309FA</paraID>
      <start>58</start>
      <end>59</end>
      <status>unmodified</status>
      <modifiedWord/>
      <trackRevisions>false</trackRevisions>
    </reviewItem>
    <reviewItem>
      <errorID>bfcc963c-0123-4031-93e7-21c9cf4b0a46</errorID>
      <errorWord>于2025年度</errorWord>
      <group>L1_Word</group>
      <groupName>字词问题</groupName>
      <ability>L2_Typo</ability>
      <abilityName>字词错误</abilityName>
      <candidateList>
        <item>于2025年</item>
      </candidateList>
      <explain/>
      <paraID>5112FC2D</paraID>
      <start>22</start>
      <end>29</end>
      <status>unmodified</status>
      <modifiedWord/>
      <trackRevisions>false</trackRevisions>
    </reviewItem>
    <reviewItem>
      <errorID>c03e1f72-ebc8-48c5-b8ab-778d08d12265</errorID>
      <errorWord>供</errorWord>
      <group>L1_Word</group>
      <groupName>字词问题</groupName>
      <ability>L2_Typo</ability>
      <abilityName>字词错误</abilityName>
      <candidateList>
        <item>用</item>
      </candidateList>
      <explain>存在发音相近字词的误用。</explain>
      <paraID> 35D00FF</paraID>
      <start>36</start>
      <end>37</end>
      <status>unmodified</status>
      <modifiedWord/>
      <trackRevisions>false</trackRevisions>
    </reviewItem>
    <reviewItem>
      <errorID>f2d3c0ed-856a-4a20-b83e-27be30b9b077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47C5DEC2</paraID>
      <start>60</start>
      <end>63</end>
      <status>unmodified</status>
      <modifiedWord/>
      <trackRevisions>false</trackRevisions>
    </reviewItem>
    <reviewItem>
      <errorID>dbe032d4-efd0-42eb-b5d7-fc48c724ff59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4CB5B1A1</paraID>
      <start>17</start>
      <end>20</end>
      <status>unmodified</status>
      <modifiedWord/>
      <trackRevisions>false</trackRevisions>
    </reviewItem>
    <reviewItem>
      <errorID>9ebd4b7b-a03d-4659-b6f4-f97addee7f49</errorID>
      <errorWord>)</errorWord>
      <group>L1_Format</group>
      <groupName>格式问题</groupName>
      <ability>L2_HalfPunc_CN</ability>
      <abilityName>全半角问题</abilityName>
      <candidateList>
        <item>）</item>
      </candidateList>
      <explain>文本全半角错误。</explain>
      <paraID>3F16603B</paraID>
      <start>2</start>
      <end>3</end>
      <status>unmodified</status>
      <modifiedWord/>
      <trackRevisions>false</trackRevisions>
    </reviewItem>
    <reviewItem>
      <errorID>418dffaf-017e-416b-a1fd-a783fa9f7eaf</errorID>
      <errorWord>)</errorWord>
      <group>L1_Format</group>
      <groupName>格式问题</groupName>
      <ability>L2_HalfPunc_CN</ability>
      <abilityName>全半角问题</abilityName>
      <candidateList>
        <item>）</item>
      </candidateList>
      <explain>文本全半角错误。</explain>
      <paraID>79E99C7B</paraID>
      <start>2</start>
      <end>3</end>
      <status>unmodified</status>
      <modifiedWord/>
      <trackRevisions>false</trackRevisions>
    </reviewItem>
    <reviewItem>
      <errorID>ee8fadb8-d03e-490b-bf14-2fd40304510f</errorID>
      <errorWord>)</errorWord>
      <group>L1_Format</group>
      <groupName>格式问题</groupName>
      <ability>L2_HalfPunc_CN</ability>
      <abilityName>全半角问题</abilityName>
      <candidateList>
        <item>）</item>
      </candidateList>
      <explain>文本全半角错误。</explain>
      <paraID>5562EF67</paraID>
      <start>2</start>
      <end>3</end>
      <status>unmodified</status>
      <modifiedWord/>
      <trackRevisions>false</trackRevisions>
    </reviewItem>
    <reviewItem>
      <errorID>2abfafec-61b1-4ef1-8277-1d5d0cdad83f</errorID>
      <errorWord>)</errorWord>
      <group>L1_Format</group>
      <groupName>格式问题</groupName>
      <ability>L2_HalfPunc_CN</ability>
      <abilityName>全半角问题</abilityName>
      <candidateList>
        <item>）</item>
      </candidateList>
      <explain>文本全半角错误。</explain>
      <paraID>2FDE43BA</paraID>
      <start>2</start>
      <end>3</end>
      <status>unmodified</status>
      <modifiedWord/>
      <trackRevisions>false</trackRevisions>
    </reviewItem>
    <reviewItem>
      <errorID>50a5c260-9e0f-4e17-81de-3459ebd235df</errorID>
      <errorWord>)</errorWord>
      <group>L1_Format</group>
      <groupName>格式问题</groupName>
      <ability>L2_HalfPunc_CN</ability>
      <abilityName>全半角问题</abilityName>
      <candidateList>
        <item>）</item>
      </candidateList>
      <explain>文本全半角错误。</explain>
      <paraID>65A9E7B8</paraID>
      <start>2</start>
      <end>3</end>
      <status>unmodified</status>
      <modifiedWord/>
      <trackRevisions>false</trackRevisions>
    </reviewItem>
    <reviewItem>
      <errorID>31d31ed2-3255-40d5-a7f7-1b73e1641af4</errorID>
      <errorWord>)</errorWord>
      <group>L1_Format</group>
      <groupName>格式问题</groupName>
      <ability>L2_HalfPunc_CN</ability>
      <abilityName>全半角问题</abilityName>
      <candidateList>
        <item>）</item>
      </candidateList>
      <explain>文本全半角错误。</explain>
      <paraID>393BB83B</paraID>
      <start>2</start>
      <end>3</end>
      <status>unmodified</status>
      <modifiedWord/>
      <trackRevisions>false</trackRevisions>
    </reviewItem>
    <reviewItem>
      <errorID>77a8cc20-6070-4820-8fd3-aca3c34a8b59</errorID>
      <errorWord>)</errorWord>
      <group>L1_Format</group>
      <groupName>格式问题</groupName>
      <ability>L2_HalfPunc_CN</ability>
      <abilityName>全半角问题</abilityName>
      <candidateList>
        <item>）</item>
      </candidateList>
      <explain>文本全半角错误。</explain>
      <paraID>120DF6FE</paraID>
      <start>2</start>
      <end>3</end>
      <status>unmodified</status>
      <modifiedWord/>
      <trackRevisions>false</trackRevisions>
    </reviewItem>
    <reviewItem>
      <errorID>bb09cf3e-2752-4cbf-89e1-c46400b84a4f</errorID>
      <errorWord>)</errorWord>
      <group>L1_Format</group>
      <groupName>格式问题</groupName>
      <ability>L2_HalfPunc_CN</ability>
      <abilityName>全半角问题</abilityName>
      <candidateList>
        <item>）</item>
      </candidateList>
      <explain>文本全半角错误。</explain>
      <paraID>1028A1AD</paraID>
      <start>2</start>
      <end>3</end>
      <status>unmodified</status>
      <modifiedWord/>
      <trackRevisions>false</trackRevisions>
    </reviewItem>
    <reviewItem>
      <errorID>94953e48-ef78-487f-bb7d-4c5fe0d614c6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62019F39</paraID>
      <start>0</start>
      <end>2</end>
      <status>unmodified</status>
      <modifiedWord/>
      <trackRevisions>false</trackRevisions>
    </reviewItem>
    <reviewItem>
      <errorID>039fdf5c-62f2-40fc-bba6-f8cb79749899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565CC525</paraID>
      <start>0</start>
      <end>2</end>
      <status>unmodified</status>
      <modifiedWord/>
      <trackRevisions>false</trackRevisions>
    </reviewItem>
    <reviewItem>
      <errorID>0a905935-839b-4ca4-ad4e-8d93fd7113bb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4B9D6D46</paraID>
      <start>0</start>
      <end>2</end>
      <status>unmodified</status>
      <modifiedWord/>
      <trackRevisions>false</trackRevisions>
    </reviewItem>
    <reviewItem>
      <errorID>ef80dff4-2b10-4154-930b-d8ee39dab71e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124F3487</paraID>
      <start>0</start>
      <end>2</end>
      <status>unmodified</status>
      <modifiedWord/>
      <trackRevisions>false</trackRevisions>
    </reviewItem>
    <reviewItem>
      <errorID>3d1cbc17-0da3-421b-b593-76e228f266b5</errorID>
      <errorWord>应</errorWord>
      <group>L1_Word</group>
      <groupName>字词问题</groupName>
      <ability>L2_Typo</ability>
      <abilityName>字词错误</abilityName>
      <candidateList>
        <item>应当</item>
      </candidateList>
      <explain/>
      <paraID> 3E03CAB</paraID>
      <start>31</start>
      <end>32</end>
      <status>unmodified</status>
      <modifiedWord/>
      <trackRevisions>false</trackRevisions>
    </reviewItem>
    <reviewItem>
      <errorID>a4c6c736-d6f6-49a2-afc1-08028c1222bd</errorID>
      <errorWord>制定</errorWord>
      <group>L1_Word</group>
      <groupName>字词问题</groupName>
      <ability>L2_Typo</ability>
      <abilityName>字词错误</abilityName>
      <candidateList>
        <item>指定</item>
      </candidateList>
      <explain/>
      <paraID>2854C46F</paraID>
      <start>0</start>
      <end>2</end>
      <status>unmodified</status>
      <modifiedWord/>
      <trackRevisions>false</trackRevisions>
    </reviewItem>
    <reviewItem>
      <errorID>dec0fbf5-aa8f-4f84-a812-57c2ee4f3312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7DD649BE</paraID>
      <start>11</start>
      <end>12</end>
      <status>unmodified</status>
      <modifiedWord/>
      <trackRevisions>false</trackRevisions>
    </reviewItem>
    <reviewItem>
      <errorID>fa60d4ff-7b91-4643-b6b3-55d52d466a3e</errorID>
      <errorWord>;</errorWord>
      <group>L1_Format</group>
      <groupName>格式问题</groupName>
      <ability>L2_HalfPunc_CN</ability>
      <abilityName>全半角问题</abilityName>
      <candidateList>
        <item>；</item>
      </candidateList>
      <explain>文本全半角错误。</explain>
      <paraID>649C5BB9</paraID>
      <start>27</start>
      <end>28</end>
      <status>unmodified</status>
      <modifiedWord/>
      <trackRevisions>false</trackRevisions>
    </reviewItem>
    <reviewItem>
      <errorID>61dd2e45-acdd-4777-ae06-0502170eebc5</errorID>
      <errorWord>:</errorWord>
      <group>L1_Format</group>
      <groupName>格式问题</groupName>
      <ability>L2_HalfPunc_CN</ability>
      <abilityName>全半角问题</abilityName>
      <candidateList>
        <item>：</item>
      </candidateList>
      <explain>文本全半角错误。</explain>
      <paraID>2722A9F0</paraID>
      <start>23</start>
      <end>24</end>
      <status>unmodified</status>
      <modifiedWord/>
      <trackRevisions>false</trackRevisions>
    </reviewItem>
    <reviewItem>
      <errorID>ddd4dce7-1235-460f-b925-43923edba019</errorID>
      <errorWord>(</errorWord>
      <group>L1_Format</group>
      <groupName>格式问题</groupName>
      <ability>L2_HalfPunc_CN</ability>
      <abilityName>全半角问题</abilityName>
      <candidateList>
        <item>（</item>
      </candidateList>
      <explain>文本全半角错误。</explain>
      <paraID>290CC940</paraID>
      <start>12</start>
      <end>13</end>
      <status>unmodified</status>
      <modifiedWord/>
      <trackRevisions>false</trackRevisions>
    </reviewItem>
    <reviewItem>
      <errorID>9515afc1-764f-430f-a9b4-f7af489536a2</errorID>
      <errorWord>)</errorWord>
      <group>L1_Format</group>
      <groupName>格式问题</groupName>
      <ability>L2_HalfPunc_CN</ability>
      <abilityName>全半角问题</abilityName>
      <candidateList>
        <item>）</item>
      </candidateList>
      <explain>文本全半角错误。</explain>
      <paraID>290CC940</paraID>
      <start>17</start>
      <end>18</end>
      <status>unmodified</status>
      <modifiedWord/>
      <trackRevisions>false</trackRevisions>
    </reviewItem>
    <reviewItem>
      <errorID>f35b6aad-3b93-48d8-ae10-f53fcb0c884f</errorID>
      <errorWord>;</errorWord>
      <group>L1_Format</group>
      <groupName>格式问题</groupName>
      <ability>L2_HalfPunc_CN</ability>
      <abilityName>全半角问题</abilityName>
      <candidateList>
        <item>；</item>
      </candidateList>
      <explain>文本全半角错误。</explain>
      <paraID>290CC940</paraID>
      <start>26</start>
      <end>27</end>
      <status>unmodified</status>
      <modifiedWord/>
      <trackRevisions>false</trackRevisions>
    </reviewItem>
    <reviewItem>
      <errorID>ac6c26bf-4d41-479c-9189-413c37dddf46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256A1EDE</paraID>
      <start>9</start>
      <end>10</end>
      <status>unmodified</status>
      <modifiedWord/>
      <trackRevisions>false</trackRevisions>
    </reviewItem>
    <reviewItem>
      <errorID>2a3bd855-ebd4-461c-a414-09deb407af1c</errorID>
      <errorWord>(</errorWord>
      <group>L1_Format</group>
      <groupName>格式问题</groupName>
      <ability>L2_HalfPunc_CN</ability>
      <abilityName>全半角问题</abilityName>
      <candidateList>
        <item>（</item>
      </candidateList>
      <explain>文本全半角错误。</explain>
      <paraID>256A1EDE</paraID>
      <start>13</start>
      <end>14</end>
      <status>unmodified</status>
      <modifiedWord/>
      <trackRevisions>false</trackRevisions>
    </reviewItem>
    <reviewItem>
      <errorID>75a48301-e2ae-4ab9-9701-ef197861c15d</errorID>
      <errorWord>)</errorWord>
      <group>L1_Format</group>
      <groupName>格式问题</groupName>
      <ability>L2_HalfPunc_CN</ability>
      <abilityName>全半角问题</abilityName>
      <candidateList>
        <item>）</item>
      </candidateList>
      <explain>文本全半角错误。</explain>
      <paraID>256A1EDE</paraID>
      <start>18</start>
      <end>19</end>
      <status>unmodified</status>
      <modifiedWord/>
      <trackRevisions>false</trackRevisions>
    </reviewItem>
    <reviewItem>
      <errorID>859f38a7-2c71-4bf8-801d-c9d1652ff5c1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3A98A5FD</paraID>
      <start>9</start>
      <end>10</end>
      <status>unmodified</status>
      <modifiedWord/>
      <trackRevisions>false</trackRevisions>
    </reviewItem>
    <reviewItem>
      <errorID>fb4686fd-24e9-4861-b97f-67fbe5166e2a</errorID>
      <errorWord>(</errorWord>
      <group>L1_Format</group>
      <groupName>格式问题</groupName>
      <ability>L2_HalfPunc_CN</ability>
      <abilityName>全半角问题</abilityName>
      <candidateList>
        <item>（</item>
      </candidateList>
      <explain>文本全半角错误。</explain>
      <paraID>3A98A5FD</paraID>
      <start>13</start>
      <end>14</end>
      <status>unmodified</status>
      <modifiedWord/>
      <trackRevisions>false</trackRevisions>
    </reviewItem>
    <reviewItem>
      <errorID>ac39c9a6-40d1-49b3-bbc7-2815568a00f2</errorID>
      <errorWord>)</errorWord>
      <group>L1_Format</group>
      <groupName>格式问题</groupName>
      <ability>L2_HalfPunc_CN</ability>
      <abilityName>全半角问题</abilityName>
      <candidateList>
        <item>）</item>
      </candidateList>
      <explain>文本全半角错误。</explain>
      <paraID>3A98A5FD</paraID>
      <start>18</start>
      <end>19</end>
      <status>unmodified</status>
      <modifiedWord/>
      <trackRevisions>false</trackRevisions>
    </reviewItem>
    <reviewItem>
      <errorID>2dc32c73-24f0-4d6f-b497-2a51dceb4281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65829244</paraID>
      <start>0</start>
      <end>3</end>
      <status>unmodified</status>
      <modifiedWord/>
      <trackRevisions>false</trackRevisions>
    </reviewItem>
    <reviewItem>
      <errorID>1d1fcb3b-2e10-4344-99ed-7e2c248bfa21</errorID>
      <errorWord>法律、法规</errorWord>
      <group>L1_Word</group>
      <groupName>字词问题</groupName>
      <ability>L2_Typo</ability>
      <abilityName>字词错误</abilityName>
      <candidateList>
        <item>法律法规</item>
      </candidateList>
      <explain/>
      <paraID>149023DE</paraID>
      <start>43</start>
      <end>48</end>
      <status>unmodified</status>
      <modifiedWord/>
      <trackRevisions>false</trackRevisions>
    </reviewItem>
    <reviewItem>
      <errorID>5d83b33e-603f-4a54-8c58-210eca199e09</errorID>
      <errorWord>(</errorWord>
      <group>L1_Format</group>
      <groupName>格式问题</groupName>
      <ability>L2_HalfPunc_CN</ability>
      <abilityName>全半角问题</abilityName>
      <candidateList>
        <item>（</item>
      </candidateList>
      <explain>文本全半角错误。</explain>
      <paraID>5A5F91D1</paraID>
      <start>5</start>
      <end>6</end>
      <status>unmodified</status>
      <modifiedWord/>
      <trackRevisions>false</trackRevisions>
    </reviewItem>
    <reviewItem>
      <errorID>2ab94464-d0e8-49e8-a118-28d9b8a85cd9</errorID>
      <errorWord>)</errorWord>
      <group>L1_Format</group>
      <groupName>格式问题</groupName>
      <ability>L2_HalfPunc_CN</ability>
      <abilityName>全半角问题</abilityName>
      <candidateList>
        <item>）</item>
      </candidateList>
      <explain>文本全半角错误。</explain>
      <paraID>5A5F91D1</paraID>
      <start>10</start>
      <end>11</end>
      <status>unmodified</status>
      <modifiedWord/>
      <trackRevisions>false</trackRevisions>
    </reviewItem>
    <reviewItem>
      <errorID>6c945cdf-58bb-4f0a-a341-6d998dc9007c</errorID>
      <errorWord>(</errorWord>
      <group>L1_Format</group>
      <groupName>格式问题</groupName>
      <ability>L2_HalfPunc_CN</ability>
      <abilityName>全半角问题</abilityName>
      <candidateList>
        <item>（</item>
      </candidateList>
      <explain>文本全半角错误。</explain>
      <paraID>5868C005</paraID>
      <start>33</start>
      <end>34</end>
      <status>unmodified</status>
      <modifiedWord/>
      <trackRevisions>false</trackRevisions>
    </reviewItem>
    <reviewItem>
      <errorID>04514387-7856-4776-adaf-f8d51a2d5ccc</errorID>
      <errorWord>)</errorWord>
      <group>L1_Format</group>
      <groupName>格式问题</groupName>
      <ability>L2_HalfPunc_CN</ability>
      <abilityName>全半角问题</abilityName>
      <candidateList>
        <item>）</item>
      </candidateList>
      <explain>文本全半角错误。</explain>
      <paraID>5868C005</paraID>
      <start>45</start>
      <end>46</end>
      <status>unmodified</status>
      <modifiedWord/>
      <trackRevisions>false</trackRevisions>
    </reviewItem>
    <reviewItem>
      <errorID>908c86dd-79f5-4a72-920e-7f84c94d4cd9</errorID>
      <errorWord>(</errorWord>
      <group>L1_Format</group>
      <groupName>格式问题</groupName>
      <ability>L2_HalfPunc_CN</ability>
      <abilityName>全半角问题</abilityName>
      <candidateList>
        <item>（</item>
      </candidateList>
      <explain>文本全半角错误。</explain>
      <paraID>19410DB5</paraID>
      <start>51</start>
      <end>52</end>
      <status>unmodified</status>
      <modifiedWord/>
      <trackRevisions>false</trackRevisions>
    </reviewItem>
    <reviewItem>
      <errorID>74d61c39-3319-4269-bee3-eeb58dac6001</errorID>
      <errorWord>[2011]300号</errorWord>
      <group>L1_Knowledge</group>
      <groupName>知识性问题</groupName>
      <ability>L2_Knowledge</ability>
      <abilityName>其他知识</abilityName>
      <candidateList>
        <item>〔2011〕300号</item>
      </candidateList>
      <explain>发文字号格式错误。</explain>
      <paraID>19410DB5</paraID>
      <start>58</start>
      <end>68</end>
      <status>unmodified</status>
      <modifiedWord/>
      <trackRevisions>false</trackRevisions>
    </reviewItem>
    <reviewItem>
      <errorID>d8671d11-9302-4b55-966a-73cb3ad7d724</errorID>
      <errorWord>)</errorWord>
      <group>L1_Format</group>
      <groupName>格式问题</groupName>
      <ability>L2_HalfPunc_CN</ability>
      <abilityName>全半角问题</abilityName>
      <candidateList>
        <item>）</item>
      </candidateList>
      <explain>文本全半角错误。</explain>
      <paraID>19410DB5</paraID>
      <start>68</start>
      <end>69</end>
      <status>unmodified</status>
      <modifiedWord/>
      <trackRevisions>false</trackRevisions>
    </reviewItem>
    <reviewItem>
      <errorID>875f22eb-074d-4d78-8ae1-404283b84770</errorID>
      <errorWord>其它</errorWord>
      <group>L1_Word</group>
      <groupName>字词问题</groupName>
      <ability>L2_Alias</ability>
      <abilityName>也作/曾用词</abilityName>
      <candidateList>
        <item>其他</item>
      </candidateList>
      <explain>词汇[其它]为不规范表述或旧称，其规范书面表述为[其他]。</explain>
      <paraID>3CB666DE</paraID>
      <start>8</start>
      <end>10</end>
      <status>unmodified</status>
      <modifiedWord/>
      <trackRevisions>false</trackRevisions>
    </reviewItem>
    <reviewItem>
      <errorID>9134ff82-6410-4350-83c9-9a4ec73f0383</errorID>
      <errorWord>......</errorWord>
      <group>L1_Punc</group>
      <groupName>标点问题</groupName>
      <ability>L2_Punc_CN</ability>
      <abilityName>标点符号问题</abilityName>
      <candidateList>
        <item>……</item>
      </candidateList>
      <explain/>
      <paraID>3166BD0F</paraID>
      <start>2</start>
      <end>8</end>
      <status>unmodified</status>
      <modifiedWord/>
      <trackRevisions>false</trackRevisions>
    </reviewItem>
    <reviewItem>
      <errorID>ea67072a-9c62-40e1-b783-a2ba28565692</errorID>
      <errorWord>(</errorWord>
      <group>L1_Format</group>
      <groupName>格式问题</groupName>
      <ability>L2_HalfPunc_CN</ability>
      <abilityName>全半角问题</abilityName>
      <candidateList>
        <item>（</item>
      </candidateList>
      <explain>文本全半角错误。</explain>
      <paraID>326A42E7</paraID>
      <start>2</start>
      <end>3</end>
      <status>unmodified</status>
      <modifiedWord/>
      <trackRevisions>false</trackRevisions>
    </reviewItem>
    <reviewItem>
      <errorID>024062f8-0393-420a-bc12-5accd47a84fe</errorID>
      <errorWord>)</errorWord>
      <group>L1_Format</group>
      <groupName>格式问题</groupName>
      <ability>L2_HalfPunc_CN</ability>
      <abilityName>全半角问题</abilityName>
      <candidateList>
        <item>）</item>
      </candidateList>
      <explain>文本全半角错误。</explain>
      <paraID>326A42E7</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AF3A3E-FD0D-416F-914C-6126E49386C5}">
  <ds:schemaRefs/>
</ds:datastoreItem>
</file>

<file path=docProps/app.xml><?xml version="1.0" encoding="utf-8"?>
<Properties xmlns="http://schemas.openxmlformats.org/officeDocument/2006/extended-properties" xmlns:vt="http://schemas.openxmlformats.org/officeDocument/2006/docPropsVTypes">
  <Template>Normal</Template>
  <Company>Organi</Company>
  <Pages>74</Pages>
  <Words>158</Words>
  <Characters>196</Characters>
  <TotalTime>1</TotalTime>
  <ScaleCrop>false</ScaleCrop>
  <LinksUpToDate>false</LinksUpToDate>
  <CharactersWithSpaces>227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2023-07-23T13:07:00Z</dcterms:created>
  <dc:creator>宿迁政府采</dc:creator>
  <cp:lastModifiedBy>凌</cp:lastModifiedBy>
  <dcterms:modified xsi:type="dcterms:W3CDTF">2026-10-22T08:12:11Z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eyJoZGlkIjoiNTJjOGFmMDUyZWI0ZWQ0MzdhZGFkMzAxNmJmNDdjYmQiLCJ1c2VySWQiOiI1MDQ0ODQwOTUifQ==</vt:lpwstr>
  </property>
  <property fmtid="{D5CDD505-2E9C-101B-9397-08002B2CF9AE}" pid="3" name="KSOProductBuildVer">
    <vt:lpwstr>2052-12.1.0.29161</vt:lpwstr>
  </property>
  <property fmtid="{D5CDD505-2E9C-101B-9397-08002B2CF9AE}" pid="4" name="ICV">
    <vt:lpwstr>B2F657503C8E4E98ACA6F6887B496CE6_12</vt:lpwstr>
  </property>
</Properties>
</file>