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r>
      <w:r/>
    </w:p>
    <w:p>
      <w:pPr>
        <w:jc w:val="center"/>
        <w:pageBreakBefore w:val="0"/>
        <w:rPr>
          <w:rFonts w:hint="eastAsia" w:hAnsi="宋体"/>
          <w:b/>
          <w:color w:val="000000" w:themeColor="text1"/>
          <w:spacing w:val="40"/>
          <w:sz w:val="60"/>
          <w:szCs w:val="60"/>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t xml:space="preserve">苏州市吴中区政府采购</w:t>
      </w:r>
      <w:r/>
    </w:p>
    <w:p>
      <w:pPr>
        <w:jc w:val="center"/>
        <w:pageBreakBefore w:val="0"/>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lang w:eastAsia="zh-CN"/>
          <w14:textFill>
            <w14:solidFill>
              <w14:schemeClr w14:val="tx1"/>
            </w14:solidFill>
          </w14:textFill>
        </w:rPr>
        <w:t xml:space="preserve">招标</w:t>
      </w:r>
      <w:r>
        <w:rPr>
          <w:rFonts w:hint="eastAsia" w:ascii="宋体" w:hAnsi="宋体"/>
          <w:b/>
          <w:color w:val="000000" w:themeColor="text1"/>
          <w:sz w:val="56"/>
          <w:szCs w:val="56"/>
          <w:highlight w:val="none"/>
          <w14:textFill>
            <w14:solidFill>
              <w14:schemeClr w14:val="tx1"/>
            </w14:solidFill>
          </w14:textFill>
        </w:rPr>
        <w:t xml:space="preserve">文件</w:t>
      </w:r>
      <w:r/>
    </w:p>
    <w:p>
      <w:pPr>
        <w:jc w:val="cente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jc w:val="cente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pStyle w:val="869"/>
        <w:pageBreakBefore w:val="0"/>
        <w:rPr>
          <w:color w:val="000000" w:themeColor="text1"/>
          <w:sz w:val="18"/>
          <w:szCs w:val="16"/>
          <w:highlight w:val="none"/>
          <w14:textFill>
            <w14:solidFill>
              <w14:schemeClr w14:val="tx1"/>
            </w14:solidFill>
          </w14:textFill>
        </w:rPr>
      </w:pPr>
      <w:r>
        <w:rPr>
          <w:color w:val="000000" w:themeColor="text1"/>
          <w:sz w:val="18"/>
          <w:szCs w:val="16"/>
          <w:highlight w:val="none"/>
          <w14:textFill>
            <w14:solidFill>
              <w14:schemeClr w14:val="tx1"/>
            </w14:solidFill>
          </w14:textFill>
        </w:rPr>
      </w:r>
      <w:r/>
    </w:p>
    <w:p>
      <w:pP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pStyle w:val="869"/>
        <w:pageBreakBefore w:val="0"/>
        <w:rPr>
          <w:color w:val="000000" w:themeColor="text1"/>
          <w:sz w:val="18"/>
          <w:szCs w:val="16"/>
          <w:highlight w:val="none"/>
          <w14:textFill>
            <w14:solidFill>
              <w14:schemeClr w14:val="tx1"/>
            </w14:solidFill>
          </w14:textFill>
        </w:rPr>
      </w:pPr>
      <w:r>
        <w:rPr>
          <w:color w:val="000000" w:themeColor="text1"/>
          <w:sz w:val="18"/>
          <w:szCs w:val="16"/>
          <w:highlight w:val="none"/>
          <w14:textFill>
            <w14:solidFill>
              <w14:schemeClr w14:val="tx1"/>
            </w14:solidFill>
          </w14:textFill>
        </w:rPr>
      </w:r>
      <w:r/>
    </w:p>
    <w:p>
      <w:pP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jc w:val="cente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jc w:val="cente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jc w:val="left"/>
        <w:pageBreakBefore w:val="0"/>
        <w:spacing w:line="480" w:lineRule="auto"/>
        <w:rPr>
          <w:rFonts w:ascii="宋体" w:hAnsi="宋体"/>
          <w:b/>
          <w:color w:val="auto"/>
          <w:sz w:val="32"/>
          <w:highlight w:val="none"/>
        </w:rPr>
      </w:pPr>
      <w:r>
        <w:rPr>
          <w:rFonts w:ascii="宋体" w:hAnsi="宋体"/>
          <w:b/>
          <w:color w:val="auto"/>
          <w:sz w:val="32"/>
          <w:highlight w:val="none"/>
        </w:rPr>
        <w:t xml:space="preserve">       </w:t>
      </w:r>
      <w:r>
        <w:rPr>
          <w:rFonts w:hint="eastAsia" w:ascii="宋体" w:hAnsi="宋体"/>
          <w:b/>
          <w:color w:val="auto"/>
          <w:sz w:val="32"/>
          <w:highlight w:val="none"/>
        </w:rPr>
        <w:t xml:space="preserve">  </w:t>
      </w:r>
      <w:r>
        <w:rPr>
          <w:rFonts w:ascii="宋体" w:hAnsi="宋体"/>
          <w:b/>
          <w:color w:val="auto"/>
          <w:sz w:val="32"/>
          <w:highlight w:val="none"/>
        </w:rPr>
        <w:t xml:space="preserve"> 采购编号：</w:t>
      </w:r>
      <w:r>
        <w:rPr>
          <w:rFonts w:hint="eastAsia" w:ascii="宋体" w:hAnsi="宋体"/>
          <w:b/>
          <w:color w:val="auto"/>
          <w:sz w:val="32"/>
          <w:highlight w:val="none"/>
          <w:lang w:eastAsia="zh-CN"/>
        </w:rPr>
        <w:t xml:space="preserve">JSZC-320506-ZHCD-G2026-0016</w:t>
      </w:r>
      <w:r>
        <w:rPr>
          <w:rFonts w:hint="eastAsia" w:ascii="宋体" w:hAnsi="宋体"/>
          <w:b/>
          <w:color w:val="auto"/>
          <w:sz w:val="32"/>
          <w:highlight w:val="none"/>
        </w:rPr>
        <w:t xml:space="preserve">号</w:t>
      </w:r>
      <w:r/>
    </w:p>
    <w:p>
      <w:pPr>
        <w:ind w:firstLine="1606"/>
        <w:jc w:val="left"/>
        <w:pageBreakBefore w:val="0"/>
        <w:spacing w:line="480" w:lineRule="auto"/>
        <w:rPr>
          <w:rFonts w:ascii="宋体" w:hAnsi="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rPr>
        <w:t xml:space="preserve">苏州太湖新城吴中管理委员会</w:t>
      </w:r>
      <w:r/>
    </w:p>
    <w:p>
      <w:pPr>
        <w:jc w:val="left"/>
        <w:pageBreakBefore w:val="0"/>
        <w:spacing w:line="480" w:lineRule="auto"/>
        <w:rPr>
          <w:rFonts w:hint="eastAsia" w:ascii="宋体" w:hAnsi="宋体"/>
          <w:b/>
          <w:color w:val="auto"/>
          <w:sz w:val="32"/>
          <w:highlight w:val="none"/>
          <w:lang w:eastAsia="zh-CN"/>
        </w:rPr>
      </w:pPr>
      <w:r>
        <w:rPr>
          <w:rFonts w:hint="eastAsia" w:ascii="宋体" w:hAnsi="宋体"/>
          <w:b/>
          <w:color w:val="auto"/>
          <w:sz w:val="32"/>
          <w:highlight w:val="none"/>
        </w:rPr>
        <w:t xml:space="preserve">          项目名称：</w:t>
      </w:r>
      <w:r>
        <w:rPr>
          <w:rFonts w:hint="eastAsia" w:ascii="宋体" w:hAnsi="宋体"/>
          <w:b/>
          <w:color w:val="auto"/>
          <w:sz w:val="32"/>
          <w:highlight w:val="none"/>
          <w:lang w:eastAsia="zh-CN"/>
        </w:rPr>
        <w:t xml:space="preserve">2026-2028年太湖街道路灯养护项目</w:t>
      </w:r>
      <w:r/>
    </w:p>
    <w:p>
      <w:pPr>
        <w:ind w:firstLine="1606"/>
        <w:jc w:val="left"/>
        <w:pageBreakBefore w:val="0"/>
        <w:spacing w:line="480" w:lineRule="auto"/>
        <w:tabs>
          <w:tab w:val="center" w:pos="6264" w:leader="none"/>
        </w:tabs>
        <w:rPr>
          <w:rFonts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lang w:val="en-US" w:eastAsia="zh-CN"/>
        </w:rPr>
        <w:t xml:space="preserve">服务</w:t>
      </w:r>
      <w:r>
        <w:rPr>
          <w:rFonts w:hint="eastAsia" w:ascii="宋体" w:hAnsi="宋体"/>
          <w:b/>
          <w:color w:val="auto"/>
          <w:sz w:val="32"/>
          <w:highlight w:val="none"/>
        </w:rPr>
        <w:t xml:space="preserve">类</w:t>
      </w:r>
      <w:r/>
    </w:p>
    <w:p>
      <w:pPr>
        <w:jc w:val="left"/>
        <w:pageBreakBefore w:val="0"/>
        <w:spacing w:line="480" w:lineRule="auto"/>
        <w:rPr>
          <w:rFonts w:ascii="宋体" w:hAnsi="宋体"/>
          <w:b/>
          <w:color w:val="auto"/>
          <w:sz w:val="32"/>
          <w:highlight w:val="none"/>
        </w:rPr>
      </w:pPr>
      <w:r>
        <w:rPr>
          <w:rFonts w:ascii="宋体" w:hAnsi="宋体"/>
          <w:b/>
          <w:color w:val="auto"/>
          <w:sz w:val="32"/>
          <w:highlight w:val="none"/>
        </w:rPr>
      </w:r>
      <w:r/>
    </w:p>
    <w:p>
      <w:pPr>
        <w:pageBreakBefore w:val="0"/>
        <w:spacing w:line="360" w:lineRule="auto"/>
        <w:rPr>
          <w:b/>
          <w:color w:val="000000" w:themeColor="text1"/>
          <w:sz w:val="24"/>
          <w:szCs w:val="21"/>
          <w:highlight w:val="none"/>
          <w14:textFill>
            <w14:solidFill>
              <w14:schemeClr w14:val="tx1"/>
            </w14:solidFill>
          </w14:textFill>
        </w:rPr>
      </w:pPr>
      <w:r>
        <w:rPr>
          <w:b/>
          <w:color w:val="000000" w:themeColor="text1"/>
          <w:sz w:val="24"/>
          <w:szCs w:val="21"/>
          <w:highlight w:val="none"/>
          <w14:textFill>
            <w14:solidFill>
              <w14:schemeClr w14:val="tx1"/>
            </w14:solidFill>
          </w14:textFill>
        </w:rPr>
      </w:r>
      <w:r/>
    </w:p>
    <w:p>
      <w:pPr>
        <w:pageBreakBefore w:val="0"/>
        <w:spacing w:line="360" w:lineRule="auto"/>
        <w:rPr>
          <w:b/>
          <w:color w:val="000000" w:themeColor="text1"/>
          <w:spacing w:val="-26"/>
          <w:sz w:val="18"/>
          <w:szCs w:val="21"/>
          <w:highlight w:val="none"/>
          <w14:textFill>
            <w14:solidFill>
              <w14:schemeClr w14:val="tx1"/>
            </w14:solidFill>
          </w14:textFill>
        </w:rPr>
      </w:pPr>
      <w:r>
        <w:rPr>
          <w:b/>
          <w:color w:val="000000" w:themeColor="text1"/>
          <w:spacing w:val="-26"/>
          <w:sz w:val="18"/>
          <w:szCs w:val="21"/>
          <w:highlight w:val="none"/>
          <w14:textFill>
            <w14:solidFill>
              <w14:schemeClr w14:val="tx1"/>
            </w14:solidFill>
          </w14:textFill>
        </w:rPr>
      </w:r>
      <w:r/>
    </w:p>
    <w:p>
      <w:pPr>
        <w:pStyle w:val="1144"/>
        <w:pageBreakBefore w:val="0"/>
        <w:rPr>
          <w:color w:val="000000" w:themeColor="text1"/>
          <w:sz w:val="21"/>
          <w:szCs w:val="16"/>
          <w:highlight w:val="none"/>
          <w14:textFill>
            <w14:solidFill>
              <w14:schemeClr w14:val="tx1"/>
            </w14:solidFill>
          </w14:textFill>
        </w:rPr>
      </w:pPr>
      <w:r>
        <w:rPr>
          <w:color w:val="000000" w:themeColor="text1"/>
          <w:sz w:val="21"/>
          <w:szCs w:val="16"/>
          <w:highlight w:val="none"/>
          <w14:textFill>
            <w14:solidFill>
              <w14:schemeClr w14:val="tx1"/>
            </w14:solidFill>
          </w14:textFill>
        </w:rPr>
      </w:r>
      <w:r/>
    </w:p>
    <w:p>
      <w:pP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ind w:left="0" w:firstLine="0"/>
        <w:jc w:val="center"/>
        <w:pageBreakBefore w:val="0"/>
        <w:rPr>
          <w:rFonts w:hint="eastAsia" w:ascii="宋体" w:hAnsi="宋体" w:eastAsia="宋体"/>
          <w:b/>
          <w:color w:val="auto"/>
          <w:sz w:val="32"/>
          <w:highlight w:val="none"/>
        </w:rPr>
      </w:pPr>
      <w:r>
        <w:rPr>
          <w:rFonts w:hint="eastAsia" w:ascii="宋体" w:hAnsi="宋体"/>
          <w:b/>
          <w:color w:val="auto"/>
          <w:sz w:val="32"/>
          <w:highlight w:val="none"/>
          <w:lang w:eastAsia="zh-CN"/>
        </w:rPr>
        <w:t xml:space="preserve">江苏至衡诚达工程咨询有限公司</w:t>
      </w:r>
      <w:r/>
    </w:p>
    <w:p>
      <w:pPr>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pageBreakBefore w:val="0"/>
        <w:rPr>
          <w:b/>
          <w:color w:val="000000" w:themeColor="text1"/>
          <w:sz w:val="18"/>
          <w:szCs w:val="21"/>
          <w:highlight w:val="none"/>
          <w14:textFill>
            <w14:solidFill>
              <w14:schemeClr w14:val="tx1"/>
            </w14:solidFill>
          </w14:textFill>
        </w:rPr>
      </w:pPr>
      <w:r>
        <w:rPr>
          <w:b/>
          <w:color w:val="000000" w:themeColor="text1"/>
          <w:sz w:val="18"/>
          <w:szCs w:val="21"/>
          <w:highlight w:val="none"/>
          <w14:textFill>
            <w14:solidFill>
              <w14:schemeClr w14:val="tx1"/>
            </w14:solidFill>
          </w14:textFill>
        </w:rPr>
      </w:r>
      <w:r/>
    </w:p>
    <w:p>
      <w:pPr>
        <w:jc w:val="center"/>
        <w:pageBreakBefore w:val="0"/>
        <w:rPr>
          <w:rFonts w:hint="eastAsia" w:hAnsi="宋体"/>
          <w:b/>
          <w:color w:val="000000" w:themeColor="text1"/>
          <w:sz w:val="24"/>
          <w:szCs w:val="21"/>
          <w:highlight w:val="none"/>
          <w14:textFill>
            <w14:solidFill>
              <w14:schemeClr w14:val="tx1"/>
            </w14:solidFill>
          </w14:textFill>
        </w:rPr>
      </w:pPr>
      <w:r>
        <w:rPr>
          <w:rFonts w:hAnsi="宋体"/>
          <w:b/>
          <w:color w:val="000000" w:themeColor="text1"/>
          <w:sz w:val="24"/>
          <w:szCs w:val="21"/>
          <w:highlight w:val="none"/>
          <w14:textFill>
            <w14:solidFill>
              <w14:schemeClr w14:val="tx1"/>
            </w14:solidFill>
          </w14:textFill>
        </w:rPr>
        <w:t xml:space="preserve">二</w:t>
      </w:r>
      <w:r>
        <w:rPr>
          <w:rFonts w:hint="eastAsia"/>
          <w:b/>
          <w:color w:val="000000" w:themeColor="text1"/>
          <w:sz w:val="24"/>
          <w:szCs w:val="21"/>
          <w:highlight w:val="none"/>
          <w14:textFill>
            <w14:solidFill>
              <w14:schemeClr w14:val="tx1"/>
            </w14:solidFill>
          </w14:textFill>
        </w:rPr>
        <w:t xml:space="preserve">〇</w:t>
      </w:r>
      <w:r>
        <w:rPr>
          <w:rFonts w:hint="eastAsia" w:hAnsi="宋体"/>
          <w:b/>
          <w:color w:val="000000" w:themeColor="text1"/>
          <w:sz w:val="24"/>
          <w:szCs w:val="21"/>
          <w:highlight w:val="none"/>
          <w14:textFill>
            <w14:solidFill>
              <w14:schemeClr w14:val="tx1"/>
            </w14:solidFill>
          </w14:textFill>
        </w:rPr>
        <w:t xml:space="preserve">二</w:t>
      </w:r>
      <w:r>
        <w:rPr>
          <w:rFonts w:hint="eastAsia"/>
          <w:b/>
          <w:color w:val="000000" w:themeColor="text1"/>
          <w:sz w:val="24"/>
          <w:szCs w:val="21"/>
          <w:highlight w:val="none"/>
          <w14:textFill>
            <w14:solidFill>
              <w14:schemeClr w14:val="tx1"/>
            </w14:solidFill>
          </w14:textFill>
        </w:rPr>
        <w:t xml:space="preserve">六</w:t>
      </w:r>
      <w:r>
        <w:rPr>
          <w:rFonts w:hAnsi="宋体"/>
          <w:b/>
          <w:color w:val="000000" w:themeColor="text1"/>
          <w:sz w:val="24"/>
          <w:szCs w:val="21"/>
          <w:highlight w:val="none"/>
          <w14:textFill>
            <w14:solidFill>
              <w14:schemeClr w14:val="tx1"/>
            </w14:solidFill>
          </w14:textFill>
        </w:rPr>
        <w:t xml:space="preserve">年</w:t>
      </w:r>
      <w:r>
        <w:rPr>
          <w:rFonts w:hint="eastAsia" w:hAnsi="宋体"/>
          <w:b/>
          <w:color w:val="000000" w:themeColor="text1"/>
          <w:sz w:val="24"/>
          <w:szCs w:val="21"/>
          <w:highlight w:val="none"/>
          <w:lang w:val="en-US" w:eastAsia="zh-CN"/>
          <w14:textFill>
            <w14:solidFill>
              <w14:schemeClr w14:val="tx1"/>
            </w14:solidFill>
          </w14:textFill>
        </w:rPr>
        <w:t xml:space="preserve">十月</w:t>
      </w:r>
      <w:r/>
    </w:p>
    <w:p>
      <w:pPr>
        <w:pStyle w:val="869"/>
        <w:pageBreakBefore w:val="0"/>
        <w:rPr>
          <w:color w:val="000000" w:themeColor="text1"/>
          <w:sz w:val="18"/>
          <w:szCs w:val="16"/>
          <w:highlight w:val="none"/>
          <w14:textFill>
            <w14:solidFill>
              <w14:schemeClr w14:val="tx1"/>
            </w14:solidFill>
          </w14:textFill>
        </w:rPr>
      </w:pPr>
      <w:r>
        <w:rPr>
          <w:color w:val="000000" w:themeColor="text1"/>
          <w:sz w:val="18"/>
          <w:szCs w:val="16"/>
          <w:highlight w:val="none"/>
          <w14:textFill>
            <w14:solidFill>
              <w14:schemeClr w14:val="tx1"/>
            </w14:solidFill>
          </w14:textFill>
        </w:rPr>
        <w:br w:type="page" w:clear="all"/>
      </w:r>
      <w:r/>
    </w:p>
    <w:p>
      <w:pPr>
        <w:jc w:val="center"/>
        <w:pageBreakBefore w:val="0"/>
        <w:tabs>
          <w:tab w:val="left" w:pos="315" w:leader="none"/>
          <w:tab w:val="center" w:pos="4153" w:leader="none"/>
        </w:tabs>
        <w:rPr>
          <w:rFonts w:hint="eastAsia" w:ascii="宋体" w:hAnsi="宋体"/>
          <w:color w:val="000000" w:themeColor="text1"/>
          <w:sz w:val="18"/>
          <w:szCs w:val="21"/>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前附表</w:t>
      </w:r>
      <w:r/>
    </w:p>
    <w:p>
      <w:pPr>
        <w:jc w:val="center"/>
        <w:pageBreakBefore w:val="0"/>
        <w:tabs>
          <w:tab w:val="left" w:pos="315" w:leader="none"/>
          <w:tab w:val="center" w:pos="4153" w:leader="none"/>
        </w:tabs>
        <w:rPr>
          <w:rFonts w:hint="eastAsia" w:ascii="宋体" w:hAnsi="宋体"/>
          <w:color w:val="000000" w:themeColor="text1"/>
          <w:sz w:val="18"/>
          <w:szCs w:val="21"/>
          <w:highlight w:val="none"/>
          <w14:textFill>
            <w14:solidFill>
              <w14:schemeClr w14:val="tx1"/>
            </w14:solidFill>
          </w14:textFill>
        </w:rPr>
      </w:pPr>
      <w:r>
        <w:rPr>
          <w:rFonts w:hint="eastAsia" w:ascii="宋体" w:hAnsi="宋体"/>
          <w:color w:val="000000" w:themeColor="text1"/>
          <w:sz w:val="18"/>
          <w:szCs w:val="21"/>
          <w:highlight w:val="none"/>
          <w14:textFill>
            <w14:solidFill>
              <w14:schemeClr w14:val="tx1"/>
            </w14:solidFill>
          </w14:textFill>
        </w:rPr>
      </w:r>
      <w:r/>
    </w:p>
    <w:p>
      <w:pPr>
        <w:ind w:firstLine="420"/>
        <w:pageBreakBefore w:val="0"/>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下述关于要招标的2026-2028年太湖街道路灯养护项目的具体资料是对招标文件投标人须知的具体补充和修改，如果有矛盾的话，应以本附表为准。</w:t>
      </w:r>
      <w:r/>
    </w:p>
    <w:tbl>
      <w:tblPr>
        <w:tblStyle w:val="792"/>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558"/>
        <w:gridCol w:w="1461"/>
        <w:gridCol w:w="6290"/>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内容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hint="eastAsia" w:ascii="宋体" w:hAnsi="宋体" w:eastAsia="宋体" w:cs="Times New Roman"/>
                <w:color w:val="auto"/>
                <w:sz w:val="21"/>
                <w:szCs w:val="21"/>
                <w:highlight w:val="none"/>
                <w:lang w:eastAsia="zh-CN"/>
              </w:rPr>
            </w:pPr>
            <w:r>
              <w:rPr>
                <w:rFonts w:hint="eastAsia" w:ascii="宋体" w:hAnsi="宋体" w:cs="Times New Roman"/>
                <w:color w:val="auto"/>
                <w:sz w:val="21"/>
                <w:szCs w:val="21"/>
                <w:highlight w:val="none"/>
                <w:lang w:eastAsia="zh-CN"/>
              </w:rPr>
              <w:t xml:space="preserve">JSZC-320506-ZHCD-G2026-0016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lang w:eastAsia="zh-CN"/>
              </w:rPr>
              <w:t xml:space="preserve">2026-2028年太湖街道路灯养护项目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tabs>
                <w:tab w:val="left" w:pos="252"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采购代理机构</w:t>
            </w:r>
            <w:r/>
          </w:p>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rPr>
              <w:t xml:space="preserve">名称：</w:t>
            </w:r>
            <w:r>
              <w:rPr>
                <w:rFonts w:hint="eastAsia" w:ascii="宋体" w:hAnsi="宋体" w:cs="Times New Roman"/>
                <w:color w:val="auto"/>
                <w:sz w:val="21"/>
                <w:szCs w:val="21"/>
                <w:highlight w:val="none"/>
                <w:lang w:eastAsia="zh-CN"/>
              </w:rPr>
              <w:t xml:space="preserve">江苏至衡诚达工程咨询有限公司</w:t>
            </w:r>
            <w:r/>
          </w:p>
          <w:p>
            <w:pPr>
              <w:ind w:left="0"/>
              <w:jc w:val="left"/>
              <w:pageBreakBefore w:val="0"/>
              <w:spacing w:line="440" w:lineRule="exact"/>
              <w:rPr>
                <w:rFonts w:hint="eastAsia" w:ascii="宋体" w:hAnsi="宋体" w:eastAsia="宋体" w:cs="Times New Roman"/>
                <w:color w:val="auto"/>
                <w:sz w:val="21"/>
                <w:szCs w:val="21"/>
                <w:highlight w:val="none"/>
              </w:rPr>
            </w:pPr>
            <w:r>
              <w:rPr>
                <w:rFonts w:hint="eastAsia" w:ascii="宋体" w:hAnsi="宋体" w:cs="Times New Roman"/>
                <w:color w:val="auto"/>
                <w:sz w:val="21"/>
                <w:szCs w:val="21"/>
                <w:highlight w:val="none"/>
              </w:rPr>
              <w:t xml:space="preserve">地址：</w:t>
            </w:r>
            <w:r>
              <w:rPr>
                <w:rFonts w:hint="eastAsia" w:ascii="宋体" w:hAnsi="宋体" w:cs="Times New Roman"/>
                <w:color w:val="auto"/>
                <w:sz w:val="21"/>
                <w:szCs w:val="21"/>
                <w:highlight w:val="none"/>
                <w:lang w:eastAsia="zh-CN"/>
              </w:rPr>
              <w:t xml:space="preserve">东太湖路66号威仪工园2号楼217室</w:t>
            </w:r>
            <w:r/>
          </w:p>
          <w:p>
            <w:pPr>
              <w:ind w:left="0"/>
              <w:jc w:val="left"/>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联系人: </w:t>
            </w:r>
            <w:r>
              <w:rPr>
                <w:rFonts w:hint="eastAsia" w:ascii="宋体" w:hAnsi="宋体"/>
                <w:color w:val="auto"/>
                <w:sz w:val="21"/>
                <w:szCs w:val="21"/>
                <w:highlight w:val="none"/>
                <w:lang w:val="en-US" w:eastAsia="zh-CN"/>
              </w:rPr>
              <w:t xml:space="preserve">孙继伟</w:t>
            </w:r>
            <w:r/>
          </w:p>
          <w:p>
            <w:pPr>
              <w:ind w:left="0"/>
              <w:jc w:val="left"/>
              <w:pageBreakBefore w:val="0"/>
              <w:spacing w:line="440" w:lineRule="exact"/>
              <w:rPr>
                <w:rFonts w:hint="default" w:ascii="宋体" w:hAnsi="宋体" w:eastAsia="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13063718760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名称：苏州太湖新城吴中管理委员会</w:t>
            </w:r>
            <w:r/>
          </w:p>
          <w:p>
            <w:pPr>
              <w:ind w:left="0"/>
              <w:jc w:val="left"/>
              <w:pageBreakBefore w:val="0"/>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友翔路99号苏州湾中心广场D座19楼</w:t>
            </w:r>
            <w:r/>
          </w:p>
          <w:p>
            <w:pPr>
              <w:ind w:left="0"/>
              <w:jc w:val="left"/>
              <w:pageBreakBefore w:val="0"/>
              <w:spacing w:line="44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val="en-US" w:eastAsia="zh-CN"/>
              </w:rPr>
              <w:t xml:space="preserve">谢媛</w:t>
            </w:r>
            <w:r/>
          </w:p>
          <w:p>
            <w:pPr>
              <w:ind w:left="0"/>
              <w:jc w:val="left"/>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联系电话：0512-66589697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采购预算</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14406748.83元</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获取招标文件</w:t>
            </w:r>
            <w:r/>
          </w:p>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投标文件网上</w:t>
            </w:r>
            <w:r/>
          </w:p>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2026年11月05日</w:t>
            </w:r>
            <w:r>
              <w:rPr>
                <w:rFonts w:hint="eastAsia" w:ascii="宋体" w:hAnsi="宋体" w:cs="Times New Roman"/>
                <w:color w:val="auto"/>
                <w:sz w:val="21"/>
                <w:szCs w:val="21"/>
                <w:highlight w:val="none"/>
                <w:u w:val="single"/>
                <w:lang w:val="en-US" w:eastAsia="zh-CN"/>
              </w:rPr>
              <w:t xml:space="preserve">13时30分</w:t>
            </w:r>
            <w:r>
              <w:rPr>
                <w:rFonts w:hint="eastAsia" w:ascii="宋体" w:hAnsi="宋体" w:cs="Times New Roman"/>
                <w:color w:val="auto"/>
                <w:sz w:val="21"/>
                <w:szCs w:val="21"/>
                <w:highlight w:val="none"/>
              </w:rPr>
              <w:t xml:space="preserve">（北京时间）</w:t>
            </w:r>
            <w:r>
              <w:rPr>
                <w:rFonts w:ascii="宋体" w:hAnsi="宋体" w:cs="Times New Roman"/>
                <w:color w:val="auto"/>
                <w:sz w:val="21"/>
                <w:szCs w:val="21"/>
                <w:highlight w:val="none"/>
              </w:rPr>
              <w:t xml:space="preserve"> </w:t>
            </w:r>
            <w:r/>
          </w:p>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开标时间</w:t>
            </w:r>
            <w:r/>
          </w:p>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2026年11月05日</w:t>
            </w:r>
            <w:r>
              <w:rPr>
                <w:rFonts w:hint="eastAsia" w:ascii="宋体" w:hAnsi="宋体" w:cs="Times New Roman"/>
                <w:color w:val="auto"/>
                <w:sz w:val="21"/>
                <w:szCs w:val="21"/>
                <w:highlight w:val="none"/>
                <w:u w:val="single"/>
                <w:lang w:val="en-US" w:eastAsia="zh-CN"/>
              </w:rPr>
              <w:t xml:space="preserve">13时30分</w:t>
            </w:r>
            <w:r>
              <w:rPr>
                <w:rFonts w:hint="eastAsia" w:ascii="宋体" w:hAnsi="宋体" w:cs="Times New Roman"/>
                <w:color w:val="auto"/>
                <w:sz w:val="21"/>
                <w:szCs w:val="21"/>
                <w:highlight w:val="none"/>
              </w:rPr>
              <w:t xml:space="preserve">（北京时间）</w:t>
            </w:r>
            <w:r/>
          </w:p>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“苏采云”系统（网址：</w:t>
            </w:r>
            <w:r>
              <w:rPr>
                <w:rFonts w:ascii="宋体" w:hAnsi="宋体" w:cs="Times New Roman"/>
                <w:color w:val="auto"/>
                <w:sz w:val="21"/>
                <w:szCs w:val="21"/>
                <w:highlight w:val="none"/>
              </w:rPr>
              <w:t xml:space="preserve">http://jszfcg.jsczt.cn/</w:t>
            </w:r>
            <w:r>
              <w:rPr>
                <w:rFonts w:hint="eastAsia" w:ascii="宋体" w:hAnsi="宋体" w:cs="Times New Roman"/>
                <w:color w:val="auto"/>
                <w:sz w:val="21"/>
                <w:szCs w:val="21"/>
                <w:highlight w:val="none"/>
              </w:rPr>
              <w:t xml:space="preserve">）</w:t>
            </w:r>
            <w:r/>
          </w:p>
          <w:p>
            <w:pPr>
              <w:ind w:left="0"/>
              <w:jc w:val="left"/>
              <w:pageBreakBefore w:val="0"/>
              <w:spacing w:line="440" w:lineRule="exact"/>
              <w:rPr>
                <w:rFonts w:ascii="宋体" w:hAnsi="宋体" w:cs="Times New Roman"/>
                <w:color w:val="auto"/>
                <w:sz w:val="21"/>
                <w:szCs w:val="21"/>
                <w:highlight w:val="none"/>
              </w:rPr>
            </w:pPr>
            <w:r>
              <w:rPr>
                <w:rFonts w:hint="eastAsia" w:ascii="宋体" w:hAnsi="宋体"/>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312" w:lineRule="auto"/>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评标时间</w:t>
            </w:r>
            <w:r/>
          </w:p>
          <w:p>
            <w:pPr>
              <w:ind w:left="0"/>
              <w:jc w:val="center"/>
              <w:pageBreakBefore w:val="0"/>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2026年11月05日</w:t>
            </w:r>
            <w:r>
              <w:rPr>
                <w:rFonts w:hint="eastAsia" w:ascii="宋体" w:hAnsi="宋体" w:cs="Times New Roman"/>
                <w:color w:val="auto"/>
                <w:sz w:val="21"/>
                <w:szCs w:val="21"/>
                <w:highlight w:val="none"/>
                <w:u w:val="single"/>
                <w:lang w:eastAsia="zh-CN"/>
              </w:rPr>
              <w:t xml:space="preserve">13时30分</w:t>
            </w:r>
            <w:r>
              <w:rPr>
                <w:rFonts w:hint="eastAsia" w:ascii="宋体" w:hAnsi="宋体" w:cs="Times New Roman"/>
                <w:color w:val="auto"/>
                <w:sz w:val="21"/>
                <w:szCs w:val="21"/>
                <w:highlight w:val="none"/>
              </w:rPr>
              <w:t xml:space="preserve">（北京时间）</w:t>
            </w:r>
            <w:r/>
          </w:p>
          <w:p>
            <w:pPr>
              <w:ind w:left="0"/>
              <w:jc w:val="left"/>
              <w:pageBreakBefore w:val="0"/>
              <w:spacing w:line="312" w:lineRule="auto"/>
              <w:rPr>
                <w:rFonts w:ascii="宋体" w:hAnsi="宋体" w:cs="Times New Roman"/>
                <w:color w:val="auto"/>
                <w:sz w:val="21"/>
                <w:szCs w:val="21"/>
                <w:highlight w:val="none"/>
              </w:rPr>
            </w:pPr>
            <w:r>
              <w:rPr>
                <w:rFonts w:hint="eastAsia" w:ascii="宋体" w:hAnsi="宋体" w:cs="Times New Roman"/>
                <w:color w:val="auto"/>
                <w:sz w:val="21"/>
                <w:szCs w:val="21"/>
                <w:highlight w:val="none"/>
                <w:lang w:eastAsia="zh-CN"/>
              </w:rPr>
              <w:t xml:space="preserve">苏州市高新区邓蔚路105号狮山科技馆</w:t>
            </w:r>
            <w:r>
              <w:rPr>
                <w:rFonts w:ascii="宋体" w:hAnsi="宋体" w:cs="Times New Roman"/>
                <w:color w:val="auto"/>
                <w:sz w:val="21"/>
                <w:szCs w:val="21"/>
                <w:highlight w:val="none"/>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4"/>
                <w:highlight w:val="none"/>
              </w:rPr>
            </w:pPr>
            <w:r>
              <w:rPr>
                <w:rFonts w:hint="eastAsia" w:ascii="宋体" w:hAnsi="宋体" w:cs="Arial"/>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pStyle w:val="918"/>
              <w:ind w:left="0" w:firstLine="0"/>
              <w:pageBreakBefore w:val="0"/>
              <w:spacing w:line="44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918"/>
              <w:ind w:left="0" w:firstLine="0"/>
              <w:pageBreakBefore w:val="0"/>
              <w:spacing w:line="440" w:lineRule="exact"/>
              <w:rPr>
                <w:rFonts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出现下列情形之一的，为废标： </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（一）符合专业条件的投标人或者对招标文件作实质响应的投标人不足三家的；（二）出现影响采购公正的违法、违规行为的； </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（三）投标人的报价均超过了采购预算，采购人不能支付的； </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ascii="宋体" w:hAnsi="宋体" w:cs="Times New Roman"/>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投标文件属下列情况之一的，在资格性、符合性检查时按照无效投标处理：</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（一）未按照招标文件规定要求签署、盖章的；</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（二）不具备招标文件中规定资格要求的；</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（三）报价超过招标文件中规定的预算金额或者最高限价的；</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（四）投标文件含有采购人不能接受的附加条件的；</w:t>
            </w:r>
            <w:r/>
          </w:p>
          <w:p>
            <w:pPr>
              <w:ind w:left="0"/>
              <w:jc w:val="left"/>
              <w:pageBreakBefore w:val="0"/>
              <w:spacing w:line="440" w:lineRule="exact"/>
              <w:tabs>
                <w:tab w:val="left" w:pos="420" w:leader="none"/>
              </w:tabs>
              <w:rPr>
                <w:rFonts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ind w:left="0"/>
              <w:jc w:val="left"/>
              <w:pageBreakBefore w:val="0"/>
              <w:spacing w:line="440" w:lineRule="exact"/>
              <w:tabs>
                <w:tab w:val="left" w:pos="420" w:leader="none"/>
              </w:tabs>
              <w:rPr>
                <w:rFonts w:ascii="宋体" w:hAnsi="宋体"/>
                <w:b/>
                <w:color w:val="auto"/>
                <w:sz w:val="21"/>
                <w:szCs w:val="21"/>
                <w:highlight w:val="none"/>
              </w:rPr>
            </w:pPr>
            <w:r>
              <w:rPr>
                <w:rFonts w:hint="eastAsia"/>
                <w:b/>
                <w:color w:val="auto"/>
                <w:sz w:val="21"/>
                <w:szCs w:val="24"/>
                <w:highlight w:val="none"/>
              </w:rPr>
              <w:t xml:space="preserve">（</w:t>
            </w:r>
            <w:r>
              <w:rPr>
                <w:rFonts w:hint="eastAsia" w:ascii="宋体" w:hAnsi="宋体"/>
                <w:b/>
                <w:color w:val="auto"/>
                <w:sz w:val="21"/>
                <w:szCs w:val="21"/>
                <w:highlight w:val="none"/>
              </w:rPr>
              <w:t xml:space="preserve">六）在综合评审打分中，各评委的综合评分汇总后，投标人除价格部分以外的其余评审因素平均分值低于60%的；</w:t>
            </w:r>
            <w:r/>
          </w:p>
          <w:p>
            <w:pPr>
              <w:ind w:left="0"/>
              <w:jc w:val="left"/>
              <w:pageBreakBefore w:val="0"/>
              <w:spacing w:line="440" w:lineRule="exact"/>
              <w:tabs>
                <w:tab w:val="left" w:pos="420" w:leader="none"/>
              </w:tabs>
              <w:rPr>
                <w:rFonts w:ascii="宋体" w:hAnsi="宋体" w:cs="Times New Roman"/>
                <w:color w:val="auto"/>
                <w:sz w:val="21"/>
                <w:szCs w:val="21"/>
                <w:highlight w:val="none"/>
              </w:rPr>
            </w:pPr>
            <w:r>
              <w:rPr>
                <w:rFonts w:hint="eastAsia" w:ascii="宋体" w:hAnsi="宋体"/>
                <w:color w:val="auto"/>
                <w:sz w:val="21"/>
                <w:szCs w:val="21"/>
                <w:highlight w:val="none"/>
              </w:rPr>
              <w:t xml:space="preserve">（七）法律、法规和招标文件规定的其他无效情形。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代理</w:t>
            </w:r>
            <w:r>
              <w:rPr>
                <w:rFonts w:hint="eastAsia" w:ascii="宋体" w:hAnsi="宋体" w:cs="Times New Roman"/>
                <w:color w:val="auto"/>
                <w:sz w:val="21"/>
                <w:szCs w:val="21"/>
                <w:highlight w:val="none"/>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代理</w:t>
            </w:r>
            <w:r>
              <w:rPr>
                <w:rFonts w:hint="eastAsia" w:ascii="宋体" w:hAnsi="宋体"/>
                <w:color w:val="auto"/>
                <w:sz w:val="21"/>
                <w:szCs w:val="21"/>
                <w:highlight w:val="none"/>
              </w:rPr>
              <w:t xml:space="preserve">服务费：</w:t>
            </w:r>
            <w:r>
              <w:rPr>
                <w:rFonts w:hint="eastAsia" w:ascii="宋体" w:hAnsi="宋体"/>
                <w:color w:val="auto"/>
                <w:sz w:val="21"/>
                <w:szCs w:val="21"/>
                <w:highlight w:val="none"/>
                <w:lang w:val="en-US" w:eastAsia="zh-CN"/>
              </w:rPr>
              <w:t xml:space="preserve">因本</w:t>
            </w:r>
            <w:r>
              <w:rPr>
                <w:rFonts w:hint="eastAsia" w:ascii="宋体" w:hAnsi="宋体"/>
                <w:color w:val="auto"/>
                <w:sz w:val="21"/>
                <w:szCs w:val="21"/>
                <w:highlight w:val="none"/>
              </w:rPr>
              <w:t xml:space="preserve">项目采购预算包含</w:t>
            </w:r>
            <w:r>
              <w:rPr>
                <w:rFonts w:hint="eastAsia" w:ascii="宋体" w:hAnsi="宋体"/>
                <w:color w:val="auto"/>
                <w:sz w:val="21"/>
                <w:szCs w:val="21"/>
                <w:highlight w:val="none"/>
                <w:lang w:val="en-US" w:eastAsia="zh-CN"/>
              </w:rPr>
              <w:t xml:space="preserve">代理</w:t>
            </w:r>
            <w:r>
              <w:rPr>
                <w:rFonts w:hint="eastAsia" w:ascii="宋体" w:hAnsi="宋体"/>
                <w:color w:val="auto"/>
                <w:sz w:val="21"/>
                <w:szCs w:val="21"/>
                <w:highlight w:val="none"/>
              </w:rPr>
              <w:t xml:space="preserve">服务费，</w:t>
            </w:r>
            <w:r>
              <w:rPr>
                <w:rFonts w:hint="eastAsia" w:ascii="宋体" w:hAnsi="宋体"/>
                <w:color w:val="auto"/>
                <w:sz w:val="21"/>
                <w:szCs w:val="21"/>
                <w:highlight w:val="none"/>
                <w:lang w:val="en-US" w:eastAsia="zh-CN"/>
              </w:rPr>
              <w:t xml:space="preserve">故代理</w:t>
            </w:r>
            <w:r>
              <w:rPr>
                <w:rFonts w:hint="eastAsia" w:ascii="宋体" w:hAnsi="宋体"/>
                <w:color w:val="auto"/>
                <w:sz w:val="21"/>
                <w:szCs w:val="21"/>
                <w:highlight w:val="none"/>
              </w:rPr>
              <w:t xml:space="preserve">服务费由成交供应商支付。根据苏财购告【2017】23号文件的规定收取</w:t>
            </w:r>
            <w:r>
              <w:rPr>
                <w:rFonts w:hint="eastAsia" w:ascii="宋体" w:hAnsi="宋体"/>
                <w:color w:val="auto"/>
                <w:sz w:val="21"/>
                <w:szCs w:val="21"/>
                <w:highlight w:val="none"/>
                <w:lang w:val="en-US" w:eastAsia="zh-CN"/>
              </w:rPr>
              <w:t xml:space="preserve">代理</w:t>
            </w:r>
            <w:r>
              <w:rPr>
                <w:rFonts w:hint="eastAsia" w:ascii="宋体" w:hAnsi="宋体"/>
                <w:color w:val="auto"/>
                <w:sz w:val="21"/>
                <w:szCs w:val="21"/>
                <w:highlight w:val="none"/>
              </w:rPr>
              <w:t xml:space="preserve">服务费。领取</w:t>
            </w:r>
            <w:r>
              <w:rPr>
                <w:rFonts w:hint="eastAsia" w:ascii="宋体" w:hAnsi="宋体"/>
                <w:color w:val="auto"/>
                <w:sz w:val="21"/>
                <w:szCs w:val="21"/>
                <w:highlight w:val="none"/>
                <w:lang w:eastAsia="zh-CN"/>
              </w:rPr>
              <w:t xml:space="preserve">中标通知书</w:t>
            </w:r>
            <w:r>
              <w:rPr>
                <w:rFonts w:hint="eastAsia" w:ascii="宋体" w:hAnsi="宋体"/>
                <w:color w:val="auto"/>
                <w:sz w:val="21"/>
                <w:szCs w:val="21"/>
                <w:highlight w:val="none"/>
              </w:rPr>
              <w:t xml:space="preserve">时成交供应商向招标代理机构一次性付清。由成交供应商支付，按照采购预算100万元以内1.5%、100～500万元以1.1%、500~1000万元以0.8%，</w:t>
            </w:r>
            <w:r>
              <w:rPr>
                <w:rFonts w:hint="eastAsia" w:ascii="宋体" w:hAnsi="宋体"/>
                <w:color w:val="auto"/>
                <w:sz w:val="21"/>
                <w:szCs w:val="21"/>
                <w:highlight w:val="none"/>
                <w:lang w:val="en-US" w:eastAsia="zh-CN"/>
              </w:rPr>
              <w:t xml:space="preserve">10</w:t>
            </w:r>
            <w:r>
              <w:rPr>
                <w:rFonts w:hint="eastAsia" w:ascii="宋体" w:hAnsi="宋体"/>
                <w:color w:val="auto"/>
                <w:sz w:val="21"/>
                <w:szCs w:val="21"/>
                <w:highlight w:val="none"/>
              </w:rPr>
              <w:t xml:space="preserve">00~</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000万元以0.</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差额定率累进法计算并支付成交服务费。单个项目收费不低于3000.00元。</w:t>
            </w:r>
            <w:r/>
          </w:p>
          <w:p>
            <w:pPr>
              <w:ind w:left="0"/>
              <w:jc w:val="left"/>
              <w:pageBreakBefore w:val="0"/>
              <w:spacing w:line="440" w:lineRule="exact"/>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说明：代理服务费以采购预算金额为基数依据，按以上规定的标准和差额定率累进法进行计算收取。例：如预算金额为150万元，则代理服务费＝100万元以下部分×1.5%＋（150万元－100万元以下部分）×1.1%。</w:t>
            </w:r>
            <w:r/>
          </w:p>
          <w:p>
            <w:pPr>
              <w:ind w:left="0"/>
              <w:jc w:val="left"/>
              <w:pageBreakBefore w:val="0"/>
              <w:spacing w:line="440" w:lineRule="exact"/>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本项目代理服务费为</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100*1.5%+400*1.1%+500*0.8%+440.674883*0.5%=12.103374万元</w:t>
            </w:r>
            <w:r>
              <w:rPr>
                <w:rFonts w:hint="eastAsia" w:ascii="宋体" w:hAnsi="宋体"/>
                <w:color w:val="auto"/>
                <w:sz w:val="21"/>
                <w:szCs w:val="21"/>
                <w:highlight w:val="none"/>
              </w:rPr>
              <w:t xml:space="preserve">；由</w:t>
            </w:r>
            <w:r>
              <w:rPr>
                <w:rFonts w:hint="eastAsia" w:ascii="宋体" w:hAnsi="宋体"/>
                <w:color w:val="auto"/>
                <w:sz w:val="21"/>
                <w:szCs w:val="21"/>
                <w:highlight w:val="none"/>
                <w:lang w:eastAsia="zh-CN"/>
              </w:rPr>
              <w:t xml:space="preserve">中标单位（成交供应商）</w:t>
            </w:r>
            <w:r>
              <w:rPr>
                <w:rFonts w:hint="eastAsia" w:ascii="宋体" w:hAnsi="宋体"/>
                <w:color w:val="auto"/>
                <w:sz w:val="21"/>
                <w:szCs w:val="21"/>
                <w:highlight w:val="none"/>
              </w:rPr>
              <w:t xml:space="preserve">支付，在领取</w:t>
            </w:r>
            <w:r>
              <w:rPr>
                <w:rFonts w:hint="eastAsia" w:ascii="宋体" w:hAnsi="宋体"/>
                <w:color w:val="auto"/>
                <w:sz w:val="21"/>
                <w:szCs w:val="21"/>
                <w:highlight w:val="none"/>
                <w:lang w:eastAsia="zh-CN"/>
              </w:rPr>
              <w:t xml:space="preserve">中标通知书</w:t>
            </w:r>
            <w:r>
              <w:rPr>
                <w:rFonts w:hint="eastAsia" w:ascii="宋体" w:hAnsi="宋体"/>
                <w:color w:val="auto"/>
                <w:sz w:val="21"/>
                <w:szCs w:val="21"/>
                <w:highlight w:val="none"/>
              </w:rPr>
              <w:t xml:space="preserve">时向采购代理机构一次性付清。</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pageBreakBefore w:val="0"/>
              <w:spacing w:line="440" w:lineRule="exact"/>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pageBreakBefore w:val="0"/>
              <w:spacing w:line="440" w:lineRule="exact"/>
              <w:rPr>
                <w:rFonts w:hint="default" w:ascii="宋体" w:hAnsi="宋体" w:eastAsia="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监督管理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pageBreakBefore w:val="0"/>
              <w:spacing w:line="440" w:lineRule="exact"/>
              <w:tabs>
                <w:tab w:val="left" w:pos="42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苏州太湖新城吴中管理委员会党政办公室监管电话：（0512）65116160</w:t>
            </w:r>
            <w:r/>
          </w:p>
        </w:tc>
      </w:tr>
    </w:tbl>
    <w:p>
      <w:pPr>
        <w:ind w:firstLine="482"/>
        <w:pageBreakBefore w:val="0"/>
        <w:spacing w:line="40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jc w:val="center"/>
        <w:pageBreakBefore w:val="0"/>
        <w:tabs>
          <w:tab w:val="left" w:pos="315" w:leader="none"/>
          <w:tab w:val="center" w:pos="4153" w:leader="none"/>
        </w:tabs>
        <w:rPr>
          <w:rFonts w:hint="eastAsia" w:ascii="宋体" w:hAnsi="宋体"/>
          <w:color w:val="000000" w:themeColor="text1"/>
          <w:sz w:val="18"/>
          <w:szCs w:val="21"/>
          <w:highlight w:val="none"/>
          <w14:textFill>
            <w14:solidFill>
              <w14:schemeClr w14:val="tx1"/>
            </w14:solidFill>
          </w14:textFill>
        </w:rPr>
      </w:pPr>
      <w:r>
        <w:rPr>
          <w:rFonts w:hint="eastAsia" w:ascii="宋体" w:hAnsi="宋体"/>
          <w:color w:val="000000" w:themeColor="text1"/>
          <w:sz w:val="18"/>
          <w:szCs w:val="21"/>
          <w:highlight w:val="none"/>
          <w14:textFill>
            <w14:solidFill>
              <w14:schemeClr w14:val="tx1"/>
            </w14:solidFill>
          </w14:textFill>
        </w:rPr>
      </w:r>
      <w:r/>
    </w:p>
    <w:p>
      <w:pPr>
        <w:jc w:val="center"/>
        <w:pageBreakBefore w:val="0"/>
        <w:tabs>
          <w:tab w:val="left" w:pos="315" w:leader="none"/>
          <w:tab w:val="center" w:pos="4153" w:leader="none"/>
        </w:tabs>
        <w:rPr>
          <w:rFonts w:hint="eastAsia" w:ascii="宋体" w:hAnsi="宋体"/>
          <w:color w:val="000000" w:themeColor="text1"/>
          <w:sz w:val="18"/>
          <w:szCs w:val="21"/>
          <w:highlight w:val="none"/>
          <w14:textFill>
            <w14:solidFill>
              <w14:schemeClr w14:val="tx1"/>
            </w14:solidFill>
          </w14:textFill>
        </w:rPr>
      </w:pPr>
      <w:r>
        <w:rPr>
          <w:rFonts w:hint="eastAsia" w:ascii="宋体" w:hAnsi="宋体"/>
          <w:color w:val="000000" w:themeColor="text1"/>
          <w:sz w:val="18"/>
          <w:szCs w:val="21"/>
          <w:highlight w:val="none"/>
          <w14:textFill>
            <w14:solidFill>
              <w14:schemeClr w14:val="tx1"/>
            </w14:solidFill>
          </w14:textFill>
        </w:rPr>
      </w:r>
      <w:r/>
    </w:p>
    <w:p>
      <w:pPr>
        <w:jc w:val="center"/>
        <w:pageBreakBefore w:val="0"/>
        <w:tabs>
          <w:tab w:val="left" w:pos="315" w:leader="none"/>
          <w:tab w:val="center" w:pos="4153" w:leader="none"/>
        </w:tabs>
        <w:rPr>
          <w:rFonts w:hint="eastAsia" w:ascii="宋体" w:hAnsi="宋体"/>
          <w:color w:val="000000" w:themeColor="text1"/>
          <w:sz w:val="18"/>
          <w:szCs w:val="21"/>
          <w:highlight w:val="none"/>
          <w14:textFill>
            <w14:solidFill>
              <w14:schemeClr w14:val="tx1"/>
            </w14:solidFill>
          </w14:textFill>
        </w:rPr>
      </w:pPr>
      <w:r>
        <w:rPr>
          <w:rFonts w:ascii="宋体" w:hAnsi="宋体"/>
          <w:color w:val="000000" w:themeColor="text1"/>
          <w:sz w:val="18"/>
          <w:szCs w:val="21"/>
          <w:highlight w:val="none"/>
          <w14:textFill>
            <w14:solidFill>
              <w14:schemeClr w14:val="tx1"/>
            </w14:solidFill>
          </w14:textFill>
        </w:rPr>
        <w:br w:type="page" w:clear="all"/>
      </w:r>
      <w:r/>
    </w:p>
    <w:p>
      <w:pPr>
        <w:pStyle w:val="861"/>
        <w:pageBreakBefore w:val="0"/>
        <w:rPr>
          <w:rFonts w:hint="eastAsia" w:hAnsi="宋体"/>
          <w:color w:val="000000" w:themeColor="text1"/>
          <w:sz w:val="22"/>
          <w:szCs w:val="16"/>
          <w:highlight w:val="none"/>
          <w14:textFill>
            <w14:solidFill>
              <w14:schemeClr w14:val="tx1"/>
            </w14:solidFill>
          </w14:textFill>
        </w:rPr>
      </w:pPr>
      <w:r>
        <w:rPr>
          <w:rFonts w:hint="eastAsia" w:hAnsi="宋体"/>
          <w:color w:val="000000" w:themeColor="text1"/>
          <w:sz w:val="22"/>
          <w:szCs w:val="16"/>
          <w:highlight w:val="none"/>
          <w14:textFill>
            <w14:solidFill>
              <w14:schemeClr w14:val="tx1"/>
            </w14:solidFill>
          </w14:textFill>
        </w:rPr>
      </w:r>
      <w:r/>
    </w:p>
    <w:p>
      <w:pPr>
        <w:pStyle w:val="847"/>
        <w:ind w:left="0"/>
        <w:pageBreakBefore w:val="0"/>
        <w:rPr>
          <w:color w:val="000000" w:themeColor="text1"/>
          <w:sz w:val="18"/>
          <w:szCs w:val="21"/>
          <w:highlight w:val="none"/>
          <w14:textFill>
            <w14:solidFill>
              <w14:schemeClr w14:val="tx1"/>
            </w14:solidFill>
          </w14:textFill>
        </w:rPr>
      </w:pPr>
      <w:r>
        <w:rPr>
          <w:color w:val="000000" w:themeColor="text1"/>
          <w:sz w:val="18"/>
          <w:szCs w:val="21"/>
          <w:highlight w:val="none"/>
          <w14:textFill>
            <w14:solidFill>
              <w14:schemeClr w14:val="tx1"/>
            </w14:solidFill>
          </w14:textFill>
        </w:rPr>
      </w:r>
      <w:r/>
    </w:p>
    <w:p>
      <w:pPr>
        <w:jc w:val="center"/>
        <w:pageBreakBefore w:val="0"/>
        <w:tabs>
          <w:tab w:val="left" w:pos="315" w:leader="none"/>
          <w:tab w:val="center" w:pos="4153" w:leader="none"/>
        </w:tabs>
        <w:rPr>
          <w:rFonts w:hint="eastAsia" w:ascii="黑体" w:hAnsi="宋体" w:eastAsia="黑体" w:cs="宋体"/>
          <w:b/>
          <w:color w:val="000000" w:themeColor="text1"/>
          <w:sz w:val="36"/>
          <w:szCs w:val="21"/>
          <w:highlight w:val="none"/>
          <w14:textFill>
            <w14:solidFill>
              <w14:schemeClr w14:val="tx1"/>
            </w14:solidFill>
          </w14:textFill>
        </w:rPr>
      </w:pPr>
      <w:r>
        <w:rPr>
          <w:rFonts w:hint="eastAsia" w:ascii="黑体" w:hAnsi="宋体" w:eastAsia="黑体" w:cs="宋体"/>
          <w:b/>
          <w:color w:val="000000" w:themeColor="text1"/>
          <w:sz w:val="36"/>
          <w:szCs w:val="21"/>
          <w:highlight w:val="none"/>
          <w14:textFill>
            <w14:solidFill>
              <w14:schemeClr w14:val="tx1"/>
            </w14:solidFill>
          </w14:textFill>
        </w:rPr>
        <w:t xml:space="preserve">总目录</w:t>
      </w:r>
      <w:r/>
    </w:p>
    <w:p>
      <w:pPr>
        <w:jc w:val="center"/>
        <w:pageBreakBefore w:val="0"/>
        <w:tabs>
          <w:tab w:val="left" w:pos="315" w:leader="none"/>
          <w:tab w:val="center" w:pos="4153" w:leader="none"/>
        </w:tabs>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pageBreakBefore w:val="0"/>
        <w:tabs>
          <w:tab w:val="left" w:pos="315" w:leader="none"/>
          <w:tab w:val="center" w:pos="4153" w:leader="none"/>
        </w:tabs>
        <w:rPr>
          <w:rFonts w:eastAsia="黑体"/>
          <w:color w:val="000000" w:themeColor="text1"/>
          <w:sz w:val="21"/>
          <w:szCs w:val="21"/>
          <w:highlight w:val="none"/>
          <w14:textFill>
            <w14:solidFill>
              <w14:schemeClr w14:val="tx1"/>
            </w14:solidFill>
          </w14:textFill>
        </w:rPr>
      </w:pPr>
      <w:r>
        <w:rPr>
          <w:rFonts w:eastAsia="黑体"/>
          <w:color w:val="000000" w:themeColor="text1"/>
          <w:sz w:val="21"/>
          <w:szCs w:val="21"/>
          <w:highlight w:val="none"/>
          <w14:textFill>
            <w14:solidFill>
              <w14:schemeClr w14:val="tx1"/>
            </w14:solidFill>
          </w14:textFill>
        </w:rPr>
      </w:r>
      <w:r/>
    </w:p>
    <w:p>
      <w:pPr>
        <w:pageBreakBefore w:val="0"/>
        <w:tabs>
          <w:tab w:val="left" w:pos="315" w:leader="none"/>
          <w:tab w:val="center" w:pos="4153" w:leader="none"/>
        </w:tabs>
        <w:rPr>
          <w:rFonts w:eastAsia="黑体"/>
          <w:b/>
          <w:color w:val="000000" w:themeColor="text1"/>
          <w:sz w:val="21"/>
          <w:szCs w:val="21"/>
          <w:highlight w:val="none"/>
          <w14:textFill>
            <w14:solidFill>
              <w14:schemeClr w14:val="tx1"/>
            </w14:solidFill>
          </w14:textFill>
        </w:rPr>
      </w:pPr>
      <w:r>
        <w:rPr>
          <w:rFonts w:eastAsia="黑体"/>
          <w:b/>
          <w:color w:val="000000" w:themeColor="text1"/>
          <w:sz w:val="21"/>
          <w:szCs w:val="21"/>
          <w:highlight w:val="none"/>
          <w14:textFill>
            <w14:solidFill>
              <w14:schemeClr w14:val="tx1"/>
            </w14:solidFill>
          </w14:textFill>
        </w:rPr>
      </w:r>
      <w:r/>
    </w:p>
    <w:p>
      <w:pPr>
        <w:pageBreakBefore w:val="0"/>
        <w:spacing w:line="360" w:lineRule="auto"/>
        <w:tabs>
          <w:tab w:val="left" w:pos="315" w:leader="none"/>
          <w:tab w:val="center" w:pos="4153" w:leader="none"/>
        </w:tabs>
        <w:rPr>
          <w:rFonts w:eastAsia="黑体"/>
          <w:b/>
          <w:color w:val="000000" w:themeColor="text1"/>
          <w:sz w:val="48"/>
          <w:szCs w:val="48"/>
          <w:highlight w:val="none"/>
          <w14:textFill>
            <w14:solidFill>
              <w14:schemeClr w14:val="tx1"/>
            </w14:solidFill>
          </w14:textFill>
        </w:rPr>
      </w:pPr>
      <w:r>
        <w:rPr>
          <w:rFonts w:eastAsia="黑体"/>
          <w:b/>
          <w:color w:val="000000" w:themeColor="text1"/>
          <w:sz w:val="48"/>
          <w:szCs w:val="48"/>
          <w:highlight w:val="none"/>
          <w14:textFill>
            <w14:solidFill>
              <w14:schemeClr w14:val="tx1"/>
            </w14:solidFill>
          </w14:textFill>
        </w:rPr>
      </w:r>
      <w:r/>
    </w:p>
    <w:p>
      <w:pPr>
        <w:pStyle w:val="808"/>
        <w:pageBreakBefore w:val="0"/>
        <w:spacing w:line="360" w:lineRule="auto"/>
        <w:tabs>
          <w:tab w:val="right" w:pos="9988" w:leader="dot"/>
        </w:tabs>
        <w:rPr>
          <w:sz w:val="32"/>
          <w:szCs w:val="40"/>
          <w:highlight w:val="none"/>
        </w:rPr>
      </w:pPr>
      <w:r>
        <w:rPr>
          <w:rFonts w:eastAsia="黑体"/>
          <w:b/>
          <w:color w:val="000000" w:themeColor="text1"/>
          <w:sz w:val="220"/>
          <w:szCs w:val="220"/>
          <w:highlight w:val="none"/>
          <w14:textFill>
            <w14:solidFill>
              <w14:schemeClr w14:val="tx1"/>
            </w14:solidFill>
          </w14:textFill>
        </w:rPr>
        <w:fldChar w:fldCharType="begin"/>
      </w:r>
      <w:r>
        <w:rPr>
          <w:rFonts w:eastAsia="黑体"/>
          <w:b/>
          <w:color w:val="000000" w:themeColor="text1"/>
          <w:sz w:val="220"/>
          <w:szCs w:val="220"/>
          <w:highlight w:val="none"/>
          <w14:textFill>
            <w14:solidFill>
              <w14:schemeClr w14:val="tx1"/>
            </w14:solidFill>
          </w14:textFill>
        </w:rPr>
        <w:instrText xml:space="preserve"> TOC \o "1-1" \h \z \u </w:instrText>
      </w:r>
      <w:r>
        <w:rPr>
          <w:rFonts w:eastAsia="黑体"/>
          <w:b/>
          <w:color w:val="000000" w:themeColor="text1"/>
          <w:sz w:val="220"/>
          <w:szCs w:val="220"/>
          <w:highlight w:val="none"/>
          <w14:textFill>
            <w14:solidFill>
              <w14:schemeClr w14:val="tx1"/>
            </w14:solidFill>
          </w14:textFill>
        </w:rPr>
        <w:fldChar w:fldCharType="separate"/>
      </w:r>
      <w:r>
        <w:rPr>
          <w:rFonts w:eastAsia="黑体"/>
          <w:color w:val="000000" w:themeColor="text1"/>
          <w:sz w:val="32"/>
          <w:szCs w:val="220"/>
          <w:highlight w:val="none"/>
          <w14:textFill>
            <w14:solidFill>
              <w14:schemeClr w14:val="tx1"/>
            </w14:solidFill>
          </w14:textFill>
        </w:rPr>
        <w:fldChar w:fldCharType="begin"/>
      </w:r>
      <w:r>
        <w:rPr>
          <w:rFonts w:eastAsia="黑体"/>
          <w:sz w:val="32"/>
          <w:szCs w:val="220"/>
          <w:highlight w:val="none"/>
        </w:rPr>
        <w:instrText xml:space="preserve"> HYPERLINK \l _Toc11990 </w:instrText>
      </w:r>
      <w:r>
        <w:rPr>
          <w:rFonts w:eastAsia="黑体"/>
          <w:sz w:val="32"/>
          <w:szCs w:val="220"/>
          <w:highlight w:val="none"/>
        </w:rPr>
        <w:fldChar w:fldCharType="separate"/>
      </w:r>
      <w:r>
        <w:rPr>
          <w:rFonts w:hint="eastAsia" w:ascii="黑体" w:hAnsi="宋体" w:eastAsia="黑体"/>
          <w:sz w:val="32"/>
          <w:szCs w:val="20"/>
          <w:highlight w:val="none"/>
        </w:rPr>
        <w:t xml:space="preserve">第一章  </w:t>
      </w:r>
      <w:r>
        <w:rPr>
          <w:rFonts w:hint="eastAsia" w:ascii="黑体" w:hAnsi="宋体" w:eastAsia="黑体"/>
          <w:sz w:val="32"/>
          <w:szCs w:val="20"/>
          <w:highlight w:val="none"/>
          <w:lang w:eastAsia="zh-CN"/>
        </w:rPr>
        <w:t xml:space="preserve">招标</w:t>
      </w:r>
      <w:r>
        <w:rPr>
          <w:rFonts w:hint="eastAsia" w:ascii="黑体" w:hAnsi="宋体" w:eastAsia="黑体"/>
          <w:sz w:val="32"/>
          <w:szCs w:val="20"/>
          <w:highlight w:val="none"/>
        </w:rPr>
        <w:t xml:space="preserve">公告</w:t>
      </w:r>
      <w:r>
        <w:rPr>
          <w:sz w:val="32"/>
          <w:szCs w:val="40"/>
          <w:highlight w:val="none"/>
        </w:rPr>
        <w:tab/>
      </w:r>
      <w:r>
        <w:rPr>
          <w:sz w:val="32"/>
          <w:szCs w:val="40"/>
          <w:highlight w:val="none"/>
        </w:rPr>
        <w:fldChar w:fldCharType="begin"/>
      </w:r>
      <w:r>
        <w:rPr>
          <w:sz w:val="32"/>
          <w:szCs w:val="40"/>
          <w:highlight w:val="none"/>
        </w:rPr>
        <w:instrText xml:space="preserve"> PAGEREF _Toc11990 \h </w:instrText>
      </w:r>
      <w:r>
        <w:rPr>
          <w:sz w:val="32"/>
          <w:szCs w:val="40"/>
          <w:highlight w:val="none"/>
        </w:rPr>
        <w:fldChar w:fldCharType="separate"/>
      </w:r>
      <w:r>
        <w:rPr>
          <w:sz w:val="32"/>
          <w:szCs w:val="40"/>
          <w:highlight w:val="none"/>
        </w:rPr>
        <w:t xml:space="preserve">6</w:t>
      </w:r>
      <w:r>
        <w:rPr>
          <w:sz w:val="32"/>
          <w:szCs w:val="40"/>
          <w:highlight w:val="none"/>
        </w:rPr>
        <w:fldChar w:fldCharType="end"/>
      </w:r>
      <w:r>
        <w:rPr>
          <w:rFonts w:eastAsia="黑体"/>
          <w:color w:val="000000" w:themeColor="text1"/>
          <w:sz w:val="32"/>
          <w:szCs w:val="220"/>
          <w:highlight w:val="none"/>
          <w14:textFill>
            <w14:solidFill>
              <w14:schemeClr w14:val="tx1"/>
            </w14:solidFill>
          </w14:textFill>
        </w:rPr>
        <w:fldChar w:fldCharType="end"/>
      </w:r>
      <w:r/>
    </w:p>
    <w:p>
      <w:pPr>
        <w:pStyle w:val="808"/>
        <w:pageBreakBefore w:val="0"/>
        <w:spacing w:line="360" w:lineRule="auto"/>
        <w:tabs>
          <w:tab w:val="right" w:pos="9988" w:leader="dot"/>
        </w:tabs>
        <w:rPr>
          <w:sz w:val="32"/>
          <w:szCs w:val="40"/>
          <w:highlight w:val="none"/>
        </w:rPr>
      </w:pPr>
      <w:r>
        <w:rPr>
          <w:rFonts w:eastAsia="黑体"/>
          <w:color w:val="000000" w:themeColor="text1"/>
          <w:sz w:val="32"/>
          <w:szCs w:val="220"/>
          <w:highlight w:val="none"/>
          <w14:textFill>
            <w14:solidFill>
              <w14:schemeClr w14:val="tx1"/>
            </w14:solidFill>
          </w14:textFill>
        </w:rPr>
        <w:fldChar w:fldCharType="begin"/>
      </w:r>
      <w:r>
        <w:rPr>
          <w:rFonts w:eastAsia="黑体"/>
          <w:sz w:val="32"/>
          <w:szCs w:val="220"/>
          <w:highlight w:val="none"/>
        </w:rPr>
        <w:instrText xml:space="preserve"> HYPERLINK \l _Toc4090 </w:instrText>
      </w:r>
      <w:r>
        <w:rPr>
          <w:rFonts w:eastAsia="黑体"/>
          <w:sz w:val="32"/>
          <w:szCs w:val="220"/>
          <w:highlight w:val="none"/>
        </w:rPr>
        <w:fldChar w:fldCharType="separate"/>
      </w:r>
      <w:r>
        <w:rPr>
          <w:rFonts w:hint="eastAsia" w:ascii="黑体" w:hAnsi="宋体" w:eastAsia="黑体"/>
          <w:sz w:val="32"/>
          <w:szCs w:val="20"/>
          <w:highlight w:val="none"/>
        </w:rPr>
        <w:t xml:space="preserve">第二章</w:t>
      </w:r>
      <w:r>
        <w:rPr>
          <w:rFonts w:ascii="黑体" w:hAnsi="宋体" w:eastAsia="黑体"/>
          <w:sz w:val="32"/>
          <w:szCs w:val="20"/>
          <w:highlight w:val="none"/>
        </w:rPr>
        <w:t xml:space="preserve"> </w:t>
      </w:r>
      <w:r>
        <w:rPr>
          <w:rFonts w:hint="eastAsia" w:ascii="黑体" w:hAnsi="宋体" w:eastAsia="黑体"/>
          <w:sz w:val="32"/>
          <w:szCs w:val="20"/>
          <w:highlight w:val="none"/>
        </w:rPr>
        <w:t xml:space="preserve"> </w:t>
      </w:r>
      <w:r>
        <w:rPr>
          <w:rFonts w:hint="eastAsia" w:ascii="黑体" w:hAnsi="宋体" w:eastAsia="黑体"/>
          <w:sz w:val="32"/>
          <w:szCs w:val="20"/>
          <w:highlight w:val="none"/>
          <w:lang w:val="en-US" w:eastAsia="zh-CN"/>
        </w:rPr>
        <w:t xml:space="preserve">投标人</w:t>
      </w:r>
      <w:r>
        <w:rPr>
          <w:rFonts w:hint="eastAsia" w:ascii="黑体" w:hAnsi="宋体" w:eastAsia="黑体"/>
          <w:sz w:val="32"/>
          <w:szCs w:val="20"/>
          <w:highlight w:val="none"/>
        </w:rPr>
        <w:t xml:space="preserve">须知</w:t>
      </w:r>
      <w:r>
        <w:rPr>
          <w:sz w:val="32"/>
          <w:szCs w:val="40"/>
          <w:highlight w:val="none"/>
        </w:rPr>
        <w:tab/>
      </w:r>
      <w:r>
        <w:rPr>
          <w:sz w:val="32"/>
          <w:szCs w:val="40"/>
          <w:highlight w:val="none"/>
        </w:rPr>
        <w:fldChar w:fldCharType="begin"/>
      </w:r>
      <w:r>
        <w:rPr>
          <w:sz w:val="32"/>
          <w:szCs w:val="40"/>
          <w:highlight w:val="none"/>
        </w:rPr>
        <w:instrText xml:space="preserve"> PAGEREF _Toc4090 \h </w:instrText>
      </w:r>
      <w:r>
        <w:rPr>
          <w:sz w:val="32"/>
          <w:szCs w:val="40"/>
          <w:highlight w:val="none"/>
        </w:rPr>
        <w:fldChar w:fldCharType="separate"/>
      </w:r>
      <w:r>
        <w:rPr>
          <w:sz w:val="32"/>
          <w:szCs w:val="40"/>
          <w:highlight w:val="none"/>
        </w:rPr>
        <w:t xml:space="preserve">10</w:t>
      </w:r>
      <w:r>
        <w:rPr>
          <w:sz w:val="32"/>
          <w:szCs w:val="40"/>
          <w:highlight w:val="none"/>
        </w:rPr>
        <w:fldChar w:fldCharType="end"/>
      </w:r>
      <w:r>
        <w:rPr>
          <w:rFonts w:eastAsia="黑体"/>
          <w:color w:val="000000" w:themeColor="text1"/>
          <w:sz w:val="32"/>
          <w:szCs w:val="220"/>
          <w:highlight w:val="none"/>
          <w14:textFill>
            <w14:solidFill>
              <w14:schemeClr w14:val="tx1"/>
            </w14:solidFill>
          </w14:textFill>
        </w:rPr>
        <w:fldChar w:fldCharType="end"/>
      </w:r>
      <w:r/>
    </w:p>
    <w:p>
      <w:pPr>
        <w:pStyle w:val="808"/>
        <w:pageBreakBefore w:val="0"/>
        <w:spacing w:line="360" w:lineRule="auto"/>
        <w:tabs>
          <w:tab w:val="right" w:pos="9988" w:leader="dot"/>
        </w:tabs>
        <w:rPr>
          <w:sz w:val="32"/>
          <w:szCs w:val="40"/>
          <w:highlight w:val="none"/>
        </w:rPr>
      </w:pPr>
      <w:r>
        <w:rPr>
          <w:rFonts w:eastAsia="黑体"/>
          <w:color w:val="000000" w:themeColor="text1"/>
          <w:sz w:val="32"/>
          <w:szCs w:val="220"/>
          <w:highlight w:val="none"/>
          <w14:textFill>
            <w14:solidFill>
              <w14:schemeClr w14:val="tx1"/>
            </w14:solidFill>
          </w14:textFill>
        </w:rPr>
        <w:fldChar w:fldCharType="begin"/>
      </w:r>
      <w:r>
        <w:rPr>
          <w:rFonts w:eastAsia="黑体"/>
          <w:sz w:val="32"/>
          <w:szCs w:val="220"/>
          <w:highlight w:val="none"/>
        </w:rPr>
        <w:instrText xml:space="preserve"> HYPERLINK \l _Toc19066 </w:instrText>
      </w:r>
      <w:r>
        <w:rPr>
          <w:rFonts w:eastAsia="黑体"/>
          <w:sz w:val="32"/>
          <w:szCs w:val="220"/>
          <w:highlight w:val="none"/>
        </w:rPr>
        <w:fldChar w:fldCharType="separate"/>
      </w:r>
      <w:r>
        <w:rPr>
          <w:rFonts w:hint="eastAsia" w:ascii="黑体" w:hAnsi="宋体" w:eastAsia="黑体"/>
          <w:sz w:val="32"/>
          <w:szCs w:val="20"/>
          <w:highlight w:val="none"/>
        </w:rPr>
        <w:t xml:space="preserve">第三章  投标文件格式</w:t>
      </w:r>
      <w:r>
        <w:rPr>
          <w:sz w:val="32"/>
          <w:szCs w:val="40"/>
          <w:highlight w:val="none"/>
        </w:rPr>
        <w:tab/>
      </w:r>
      <w:r>
        <w:rPr>
          <w:sz w:val="32"/>
          <w:szCs w:val="40"/>
          <w:highlight w:val="none"/>
        </w:rPr>
        <w:fldChar w:fldCharType="begin"/>
      </w:r>
      <w:r>
        <w:rPr>
          <w:sz w:val="32"/>
          <w:szCs w:val="40"/>
          <w:highlight w:val="none"/>
        </w:rPr>
        <w:instrText xml:space="preserve"> PAGEREF _Toc19066 \h </w:instrText>
      </w:r>
      <w:r>
        <w:rPr>
          <w:sz w:val="32"/>
          <w:szCs w:val="40"/>
          <w:highlight w:val="none"/>
        </w:rPr>
        <w:fldChar w:fldCharType="separate"/>
      </w:r>
      <w:r>
        <w:rPr>
          <w:sz w:val="32"/>
          <w:szCs w:val="40"/>
          <w:highlight w:val="none"/>
        </w:rPr>
        <w:t xml:space="preserve">24</w:t>
      </w:r>
      <w:r>
        <w:rPr>
          <w:sz w:val="32"/>
          <w:szCs w:val="40"/>
          <w:highlight w:val="none"/>
        </w:rPr>
        <w:fldChar w:fldCharType="end"/>
      </w:r>
      <w:r>
        <w:rPr>
          <w:rFonts w:eastAsia="黑体"/>
          <w:color w:val="000000" w:themeColor="text1"/>
          <w:sz w:val="32"/>
          <w:szCs w:val="220"/>
          <w:highlight w:val="none"/>
          <w14:textFill>
            <w14:solidFill>
              <w14:schemeClr w14:val="tx1"/>
            </w14:solidFill>
          </w14:textFill>
        </w:rPr>
        <w:fldChar w:fldCharType="end"/>
      </w:r>
      <w:r/>
    </w:p>
    <w:p>
      <w:pPr>
        <w:pStyle w:val="808"/>
        <w:pageBreakBefore w:val="0"/>
        <w:spacing w:line="360" w:lineRule="auto"/>
        <w:tabs>
          <w:tab w:val="right" w:pos="9988" w:leader="dot"/>
        </w:tabs>
        <w:rPr>
          <w:sz w:val="32"/>
          <w:szCs w:val="40"/>
          <w:highlight w:val="none"/>
        </w:rPr>
      </w:pPr>
      <w:r>
        <w:rPr>
          <w:rFonts w:eastAsia="黑体"/>
          <w:color w:val="000000" w:themeColor="text1"/>
          <w:sz w:val="32"/>
          <w:szCs w:val="220"/>
          <w:highlight w:val="none"/>
          <w14:textFill>
            <w14:solidFill>
              <w14:schemeClr w14:val="tx1"/>
            </w14:solidFill>
          </w14:textFill>
        </w:rPr>
        <w:fldChar w:fldCharType="begin"/>
      </w:r>
      <w:r>
        <w:rPr>
          <w:rFonts w:eastAsia="黑体"/>
          <w:sz w:val="32"/>
          <w:szCs w:val="220"/>
          <w:highlight w:val="none"/>
        </w:rPr>
        <w:instrText xml:space="preserve"> HYPERLINK \l _Toc17252 </w:instrText>
      </w:r>
      <w:r>
        <w:rPr>
          <w:rFonts w:eastAsia="黑体"/>
          <w:sz w:val="32"/>
          <w:szCs w:val="220"/>
          <w:highlight w:val="none"/>
        </w:rPr>
        <w:fldChar w:fldCharType="separate"/>
      </w:r>
      <w:r>
        <w:rPr>
          <w:rFonts w:hint="eastAsia" w:ascii="黑体" w:hAnsi="宋体" w:eastAsia="黑体"/>
          <w:sz w:val="32"/>
          <w:szCs w:val="20"/>
          <w:highlight w:val="none"/>
        </w:rPr>
        <w:t xml:space="preserve">第四章  招标书</w:t>
      </w:r>
      <w:r>
        <w:rPr>
          <w:sz w:val="32"/>
          <w:szCs w:val="40"/>
          <w:highlight w:val="none"/>
        </w:rPr>
        <w:tab/>
      </w:r>
      <w:r>
        <w:rPr>
          <w:sz w:val="32"/>
          <w:szCs w:val="40"/>
          <w:highlight w:val="none"/>
        </w:rPr>
        <w:fldChar w:fldCharType="begin"/>
      </w:r>
      <w:r>
        <w:rPr>
          <w:sz w:val="32"/>
          <w:szCs w:val="40"/>
          <w:highlight w:val="none"/>
        </w:rPr>
        <w:instrText xml:space="preserve"> PAGEREF _Toc17252 \h </w:instrText>
      </w:r>
      <w:r>
        <w:rPr>
          <w:sz w:val="32"/>
          <w:szCs w:val="40"/>
          <w:highlight w:val="none"/>
        </w:rPr>
        <w:fldChar w:fldCharType="separate"/>
      </w:r>
      <w:r>
        <w:rPr>
          <w:sz w:val="32"/>
          <w:szCs w:val="40"/>
          <w:highlight w:val="none"/>
        </w:rPr>
        <w:t xml:space="preserve">50</w:t>
      </w:r>
      <w:r>
        <w:rPr>
          <w:sz w:val="32"/>
          <w:szCs w:val="40"/>
          <w:highlight w:val="none"/>
        </w:rPr>
        <w:fldChar w:fldCharType="end"/>
      </w:r>
      <w:r>
        <w:rPr>
          <w:rFonts w:eastAsia="黑体"/>
          <w:color w:val="000000" w:themeColor="text1"/>
          <w:sz w:val="32"/>
          <w:szCs w:val="220"/>
          <w:highlight w:val="none"/>
          <w14:textFill>
            <w14:solidFill>
              <w14:schemeClr w14:val="tx1"/>
            </w14:solidFill>
          </w14:textFill>
        </w:rPr>
        <w:fldChar w:fldCharType="end"/>
      </w:r>
      <w:r/>
    </w:p>
    <w:p>
      <w:pPr>
        <w:pStyle w:val="808"/>
        <w:pageBreakBefore w:val="0"/>
        <w:spacing w:line="360" w:lineRule="auto"/>
        <w:tabs>
          <w:tab w:val="right" w:pos="9988" w:leader="dot"/>
        </w:tabs>
        <w:rPr>
          <w:sz w:val="32"/>
          <w:szCs w:val="40"/>
          <w:highlight w:val="none"/>
        </w:rPr>
      </w:pPr>
      <w:r>
        <w:rPr>
          <w:rFonts w:eastAsia="黑体"/>
          <w:color w:val="000000" w:themeColor="text1"/>
          <w:sz w:val="32"/>
          <w:szCs w:val="220"/>
          <w:highlight w:val="none"/>
          <w14:textFill>
            <w14:solidFill>
              <w14:schemeClr w14:val="tx1"/>
            </w14:solidFill>
          </w14:textFill>
        </w:rPr>
        <w:fldChar w:fldCharType="begin"/>
      </w:r>
      <w:r>
        <w:rPr>
          <w:rFonts w:eastAsia="黑体"/>
          <w:sz w:val="32"/>
          <w:szCs w:val="220"/>
          <w:highlight w:val="none"/>
        </w:rPr>
        <w:instrText xml:space="preserve"> HYPERLINK \l _Toc487 </w:instrText>
      </w:r>
      <w:r>
        <w:rPr>
          <w:rFonts w:eastAsia="黑体"/>
          <w:sz w:val="32"/>
          <w:szCs w:val="220"/>
          <w:highlight w:val="none"/>
        </w:rPr>
        <w:fldChar w:fldCharType="separate"/>
      </w:r>
      <w:r>
        <w:rPr>
          <w:rFonts w:hint="eastAsia" w:ascii="黑体" w:hAnsi="宋体" w:eastAsia="黑体"/>
          <w:sz w:val="32"/>
          <w:szCs w:val="22"/>
          <w:highlight w:val="none"/>
        </w:rPr>
        <w:t xml:space="preserve">第</w:t>
      </w:r>
      <w:r>
        <w:rPr>
          <w:rFonts w:hint="eastAsia" w:ascii="黑体" w:hAnsi="宋体" w:eastAsia="黑体"/>
          <w:sz w:val="32"/>
          <w:szCs w:val="22"/>
          <w:highlight w:val="none"/>
          <w:lang w:val="en-US" w:eastAsia="zh-CN"/>
        </w:rPr>
        <w:t xml:space="preserve">五</w:t>
      </w:r>
      <w:r>
        <w:rPr>
          <w:rFonts w:hint="eastAsia" w:ascii="黑体" w:hAnsi="宋体" w:eastAsia="黑体"/>
          <w:sz w:val="32"/>
          <w:szCs w:val="22"/>
          <w:highlight w:val="none"/>
        </w:rPr>
        <w:t xml:space="preserve">章  合同主要条款</w:t>
      </w:r>
      <w:r>
        <w:rPr>
          <w:sz w:val="32"/>
          <w:szCs w:val="40"/>
          <w:highlight w:val="none"/>
        </w:rPr>
        <w:tab/>
      </w:r>
      <w:r>
        <w:rPr>
          <w:sz w:val="32"/>
          <w:szCs w:val="40"/>
          <w:highlight w:val="none"/>
        </w:rPr>
        <w:fldChar w:fldCharType="begin"/>
      </w:r>
      <w:r>
        <w:rPr>
          <w:sz w:val="32"/>
          <w:szCs w:val="40"/>
          <w:highlight w:val="none"/>
        </w:rPr>
        <w:instrText xml:space="preserve"> PAGEREF _Toc487 \h </w:instrText>
      </w:r>
      <w:r>
        <w:rPr>
          <w:sz w:val="32"/>
          <w:szCs w:val="40"/>
          <w:highlight w:val="none"/>
        </w:rPr>
        <w:fldChar w:fldCharType="separate"/>
      </w:r>
      <w:r>
        <w:rPr>
          <w:sz w:val="32"/>
          <w:szCs w:val="40"/>
          <w:highlight w:val="none"/>
        </w:rPr>
        <w:t xml:space="preserve">60</w:t>
      </w:r>
      <w:r>
        <w:rPr>
          <w:sz w:val="32"/>
          <w:szCs w:val="40"/>
          <w:highlight w:val="none"/>
        </w:rPr>
        <w:fldChar w:fldCharType="end"/>
      </w:r>
      <w:r>
        <w:rPr>
          <w:rFonts w:eastAsia="黑体"/>
          <w:color w:val="000000" w:themeColor="text1"/>
          <w:sz w:val="32"/>
          <w:szCs w:val="220"/>
          <w:highlight w:val="none"/>
          <w14:textFill>
            <w14:solidFill>
              <w14:schemeClr w14:val="tx1"/>
            </w14:solidFill>
          </w14:textFill>
        </w:rPr>
        <w:fldChar w:fldCharType="end"/>
      </w:r>
      <w:r/>
    </w:p>
    <w:p>
      <w:pPr>
        <w:pStyle w:val="808"/>
        <w:pageBreakBefore w:val="0"/>
        <w:spacing w:line="360" w:lineRule="auto"/>
        <w:tabs>
          <w:tab w:val="right" w:pos="9988" w:leader="dot"/>
        </w:tabs>
        <w:rPr>
          <w:sz w:val="32"/>
          <w:szCs w:val="40"/>
          <w:highlight w:val="none"/>
        </w:rPr>
      </w:pPr>
      <w:r>
        <w:rPr>
          <w:rFonts w:eastAsia="黑体"/>
          <w:color w:val="000000" w:themeColor="text1"/>
          <w:sz w:val="32"/>
          <w:szCs w:val="220"/>
          <w:highlight w:val="none"/>
          <w14:textFill>
            <w14:solidFill>
              <w14:schemeClr w14:val="tx1"/>
            </w14:solidFill>
          </w14:textFill>
        </w:rPr>
        <w:fldChar w:fldCharType="begin"/>
      </w:r>
      <w:r>
        <w:rPr>
          <w:rFonts w:eastAsia="黑体"/>
          <w:sz w:val="32"/>
          <w:szCs w:val="220"/>
          <w:highlight w:val="none"/>
        </w:rPr>
        <w:instrText xml:space="preserve"> HYPERLINK \l _Toc17886 </w:instrText>
      </w:r>
      <w:r>
        <w:rPr>
          <w:rFonts w:eastAsia="黑体"/>
          <w:sz w:val="32"/>
          <w:szCs w:val="220"/>
          <w:highlight w:val="none"/>
        </w:rPr>
        <w:fldChar w:fldCharType="separate"/>
      </w:r>
      <w:r>
        <w:rPr>
          <w:rFonts w:hint="eastAsia" w:ascii="黑体" w:hAnsi="宋体" w:eastAsia="黑体"/>
          <w:sz w:val="32"/>
          <w:szCs w:val="20"/>
          <w:highlight w:val="none"/>
        </w:rPr>
        <w:t xml:space="preserve">第</w:t>
      </w:r>
      <w:r>
        <w:rPr>
          <w:rFonts w:hint="eastAsia" w:ascii="黑体" w:hAnsi="宋体" w:eastAsia="黑体"/>
          <w:sz w:val="32"/>
          <w:szCs w:val="20"/>
          <w:highlight w:val="none"/>
          <w:lang w:val="en-US" w:eastAsia="zh-CN"/>
        </w:rPr>
        <w:t xml:space="preserve">六</w:t>
      </w:r>
      <w:r>
        <w:rPr>
          <w:rFonts w:hint="eastAsia" w:ascii="黑体" w:hAnsi="宋体" w:eastAsia="黑体"/>
          <w:sz w:val="32"/>
          <w:szCs w:val="20"/>
          <w:highlight w:val="none"/>
        </w:rPr>
        <w:t xml:space="preserve">章  评标办法和评分标准</w:t>
      </w:r>
      <w:r>
        <w:rPr>
          <w:sz w:val="32"/>
          <w:szCs w:val="40"/>
          <w:highlight w:val="none"/>
        </w:rPr>
        <w:tab/>
      </w:r>
      <w:r>
        <w:rPr>
          <w:sz w:val="32"/>
          <w:szCs w:val="40"/>
          <w:highlight w:val="none"/>
        </w:rPr>
        <w:fldChar w:fldCharType="begin"/>
      </w:r>
      <w:r>
        <w:rPr>
          <w:sz w:val="32"/>
          <w:szCs w:val="40"/>
          <w:highlight w:val="none"/>
        </w:rPr>
        <w:instrText xml:space="preserve"> PAGEREF _Toc17886 \h </w:instrText>
      </w:r>
      <w:r>
        <w:rPr>
          <w:sz w:val="32"/>
          <w:szCs w:val="40"/>
          <w:highlight w:val="none"/>
        </w:rPr>
        <w:fldChar w:fldCharType="separate"/>
      </w:r>
      <w:r>
        <w:rPr>
          <w:sz w:val="32"/>
          <w:szCs w:val="40"/>
          <w:highlight w:val="none"/>
        </w:rPr>
        <w:t xml:space="preserve">69</w:t>
      </w:r>
      <w:r>
        <w:rPr>
          <w:sz w:val="32"/>
          <w:szCs w:val="40"/>
          <w:highlight w:val="none"/>
        </w:rPr>
        <w:fldChar w:fldCharType="end"/>
      </w:r>
      <w:r>
        <w:rPr>
          <w:rFonts w:eastAsia="黑体"/>
          <w:color w:val="000000" w:themeColor="text1"/>
          <w:sz w:val="32"/>
          <w:szCs w:val="220"/>
          <w:highlight w:val="none"/>
          <w14:textFill>
            <w14:solidFill>
              <w14:schemeClr w14:val="tx1"/>
            </w14:solidFill>
          </w14:textFill>
        </w:rPr>
        <w:fldChar w:fldCharType="end"/>
      </w:r>
      <w:r/>
    </w:p>
    <w:p>
      <w:pPr>
        <w:pageBreakBefore w:val="0"/>
        <w:tabs>
          <w:tab w:val="left" w:pos="315" w:leader="none"/>
          <w:tab w:val="center" w:pos="4153" w:leader="none"/>
        </w:tabs>
        <w:rPr>
          <w:rFonts w:eastAsia="黑体"/>
          <w:color w:val="000000" w:themeColor="text1"/>
          <w:sz w:val="32"/>
          <w:szCs w:val="220"/>
          <w:highlight w:val="none"/>
          <w14:textFill>
            <w14:solidFill>
              <w14:schemeClr w14:val="tx1"/>
            </w14:solidFill>
          </w14:textFill>
        </w:rPr>
      </w:pPr>
      <w:r>
        <w:rPr>
          <w:rFonts w:eastAsia="黑体"/>
          <w:color w:val="000000" w:themeColor="text1"/>
          <w:sz w:val="32"/>
          <w:szCs w:val="220"/>
          <w:highlight w:val="none"/>
          <w14:textFill>
            <w14:solidFill>
              <w14:schemeClr w14:val="tx1"/>
            </w14:solidFill>
          </w14:textFill>
        </w:rPr>
        <w:fldChar w:fldCharType="end"/>
      </w:r>
      <w:r/>
    </w:p>
    <w:p>
      <w:pPr>
        <w:pageBreakBefore w:val="0"/>
        <w:tabs>
          <w:tab w:val="left" w:pos="315" w:leader="none"/>
          <w:tab w:val="center" w:pos="4153" w:leader="none"/>
        </w:tabs>
        <w:rPr>
          <w:rFonts w:eastAsia="黑体"/>
          <w:color w:val="000000" w:themeColor="text1"/>
          <w:sz w:val="32"/>
          <w:szCs w:val="220"/>
          <w:highlight w:val="none"/>
          <w14:textFill>
            <w14:solidFill>
              <w14:schemeClr w14:val="tx1"/>
            </w14:solidFill>
          </w14:textFill>
        </w:rPr>
      </w:pPr>
      <w:r>
        <w:rPr>
          <w:rFonts w:eastAsia="黑体"/>
          <w:color w:val="000000" w:themeColor="text1"/>
          <w:sz w:val="32"/>
          <w:szCs w:val="220"/>
          <w:highlight w:val="none"/>
          <w14:textFill>
            <w14:solidFill>
              <w14:schemeClr w14:val="tx1"/>
            </w14:solidFill>
          </w14:textFill>
        </w:rPr>
      </w:r>
      <w:r/>
    </w:p>
    <w:p>
      <w:pPr>
        <w:pageBreakBefore w:val="0"/>
        <w:tabs>
          <w:tab w:val="left" w:pos="315" w:leader="none"/>
          <w:tab w:val="center" w:pos="4153" w:leader="none"/>
        </w:tabs>
        <w:rPr>
          <w:rFonts w:eastAsia="黑体"/>
          <w:color w:val="000000" w:themeColor="text1"/>
          <w:sz w:val="32"/>
          <w:szCs w:val="220"/>
          <w:highlight w:val="none"/>
          <w14:textFill>
            <w14:solidFill>
              <w14:schemeClr w14:val="tx1"/>
            </w14:solidFill>
          </w14:textFill>
        </w:rPr>
      </w:pPr>
      <w:r>
        <w:rPr>
          <w:rFonts w:eastAsia="黑体"/>
          <w:color w:val="000000" w:themeColor="text1"/>
          <w:sz w:val="32"/>
          <w:szCs w:val="220"/>
          <w:highlight w:val="none"/>
          <w14:textFill>
            <w14:solidFill>
              <w14:schemeClr w14:val="tx1"/>
            </w14:solidFill>
          </w14:textFill>
        </w:rPr>
      </w:r>
      <w:r/>
    </w:p>
    <w:p>
      <w:pPr>
        <w:pageBreakBefore w:val="0"/>
        <w:tabs>
          <w:tab w:val="left" w:pos="315" w:leader="none"/>
          <w:tab w:val="center" w:pos="4153" w:leader="none"/>
        </w:tabs>
        <w:rPr>
          <w:rFonts w:eastAsia="黑体"/>
          <w:color w:val="000000" w:themeColor="text1"/>
          <w:sz w:val="32"/>
          <w:szCs w:val="220"/>
          <w:highlight w:val="none"/>
          <w14:textFill>
            <w14:solidFill>
              <w14:schemeClr w14:val="tx1"/>
            </w14:solidFill>
          </w14:textFill>
        </w:rPr>
      </w:pPr>
      <w:r>
        <w:rPr>
          <w:rFonts w:eastAsia="黑体"/>
          <w:color w:val="000000" w:themeColor="text1"/>
          <w:sz w:val="32"/>
          <w:szCs w:val="220"/>
          <w:highlight w:val="none"/>
          <w14:textFill>
            <w14:solidFill>
              <w14:schemeClr w14:val="tx1"/>
            </w14:solidFill>
          </w14:textFill>
        </w:rPr>
      </w:r>
      <w:r/>
    </w:p>
    <w:p>
      <w:pPr>
        <w:pageBreakBefore w:val="0"/>
        <w:tabs>
          <w:tab w:val="left" w:pos="315" w:leader="none"/>
          <w:tab w:val="center" w:pos="4153" w:leader="none"/>
        </w:tabs>
        <w:rPr>
          <w:rFonts w:eastAsia="黑体"/>
          <w:b/>
          <w:color w:val="000000" w:themeColor="text1"/>
          <w:sz w:val="21"/>
          <w:szCs w:val="21"/>
          <w:highlight w:val="none"/>
          <w14:textFill>
            <w14:solidFill>
              <w14:schemeClr w14:val="tx1"/>
            </w14:solidFill>
          </w14:textFill>
        </w:rPr>
      </w:pPr>
      <w:r>
        <w:rPr>
          <w:rFonts w:eastAsia="黑体"/>
          <w:b/>
          <w:color w:val="000000" w:themeColor="text1"/>
          <w:sz w:val="21"/>
          <w:szCs w:val="21"/>
          <w:highlight w:val="none"/>
          <w14:textFill>
            <w14:solidFill>
              <w14:schemeClr w14:val="tx1"/>
            </w14:solidFill>
          </w14:textFill>
        </w:rPr>
        <w:br w:type="page" w:clear="all"/>
      </w:r>
      <w:r/>
    </w:p>
    <w:p>
      <w:pPr>
        <w:pStyle w:val="794"/>
        <w:ind w:left="0" w:firstLine="420"/>
        <w:pageBreakBefore w:val="0"/>
        <w:spacing w:line="360" w:lineRule="auto"/>
        <w:rPr>
          <w:rFonts w:hint="eastAsia" w:ascii="宋体" w:hAnsi="宋体" w:eastAsia="宋体" w:cs="Times New Roman"/>
          <w:color w:val="auto"/>
          <w:sz w:val="21"/>
          <w:szCs w:val="21"/>
          <w:highlight w:val="none"/>
        </w:rPr>
      </w:pPr>
      <w:r/>
      <w:bookmarkStart w:id="0" w:name="_Toc474491763"/>
      <w:r/>
      <w:bookmarkStart w:id="1" w:name="_Toc11990"/>
      <w:r/>
      <w:r/>
    </w:p>
    <w:p>
      <w:pPr>
        <w:pStyle w:val="1115"/>
        <w:jc w:val="center"/>
        <w:pageBreakBefore w:val="0"/>
        <w:rPr>
          <w:rFonts w:hint="eastAsia" w:ascii="黑体" w:hAnsi="宋体" w:eastAsia="黑体"/>
          <w:color w:val="000000" w:themeColor="text1"/>
          <w:sz w:val="36"/>
          <w:szCs w:val="13"/>
          <w:highlight w:val="none"/>
          <w14:textFill>
            <w14:solidFill>
              <w14:schemeClr w14:val="tx1"/>
            </w14:solidFill>
          </w14:textFill>
        </w:rPr>
      </w:pPr>
      <w:r>
        <w:rPr>
          <w:rFonts w:hint="eastAsia" w:ascii="黑体" w:hAnsi="宋体" w:eastAsia="黑体"/>
          <w:color w:val="000000" w:themeColor="text1"/>
          <w:sz w:val="36"/>
          <w:szCs w:val="13"/>
          <w:highlight w:val="none"/>
          <w14:textFill>
            <w14:solidFill>
              <w14:schemeClr w14:val="tx1"/>
            </w14:solidFill>
          </w14:textFill>
        </w:rPr>
        <w:t xml:space="preserve">第一章  </w:t>
      </w:r>
      <w:bookmarkEnd w:id="0"/>
      <w:r>
        <w:rPr>
          <w:rFonts w:hint="eastAsia" w:ascii="黑体" w:hAnsi="宋体" w:eastAsia="黑体"/>
          <w:color w:val="000000" w:themeColor="text1"/>
          <w:sz w:val="36"/>
          <w:szCs w:val="13"/>
          <w:highlight w:val="none"/>
          <w:lang w:eastAsia="zh-CN"/>
          <w14:textFill>
            <w14:solidFill>
              <w14:schemeClr w14:val="tx1"/>
            </w14:solidFill>
          </w14:textFill>
        </w:rPr>
        <w:t xml:space="preserve">招标</w:t>
      </w:r>
      <w:r>
        <w:rPr>
          <w:rFonts w:hint="eastAsia" w:ascii="黑体" w:hAnsi="宋体" w:eastAsia="黑体"/>
          <w:color w:val="000000" w:themeColor="text1"/>
          <w:sz w:val="36"/>
          <w:szCs w:val="13"/>
          <w:highlight w:val="none"/>
          <w14:textFill>
            <w14:solidFill>
              <w14:schemeClr w14:val="tx1"/>
            </w14:solidFill>
          </w14:textFill>
        </w:rPr>
        <w:t xml:space="preserve">公告</w:t>
      </w:r>
      <w:bookmarkEnd w:id="1"/>
      <w:r/>
      <w:r/>
    </w:p>
    <w:tbl>
      <w:tblPr>
        <w:tblStyle w:val="79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2"/>
      </w:tblGrid>
      <w:tr>
        <w:trPr>
          <w:jc w:val="center"/>
        </w:trPr>
        <w:tc>
          <w:tcPr>
            <w:tcW w:w="5000" w:type="dxa"/>
            <w:textDirection w:val="lrTb"/>
            <w:noWrap w:val="false"/>
          </w:tcPr>
          <w:p>
            <w:pPr>
              <w:ind w:left="0" w:firstLine="422"/>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u w:val="single"/>
                <w:lang w:eastAsia="zh-CN"/>
              </w:rPr>
              <w:t xml:space="preserve">2026-2028年太湖街道路灯养护项目</w:t>
            </w:r>
            <w:r>
              <w:rPr>
                <w:rFonts w:ascii="宋体" w:hAnsi="宋体"/>
                <w:b/>
                <w:color w:val="auto"/>
                <w:sz w:val="21"/>
                <w:szCs w:val="21"/>
                <w:highlight w:val="none"/>
                <w:u w:val="single"/>
              </w:rPr>
              <w:t xml:space="preserve"> </w:t>
            </w:r>
            <w:r>
              <w:rPr>
                <w:rFonts w:hint="eastAsia" w:ascii="宋体" w:hAnsi="宋体"/>
                <w:b/>
                <w:color w:val="auto"/>
                <w:sz w:val="21"/>
                <w:szCs w:val="21"/>
                <w:highlight w:val="none"/>
              </w:rPr>
              <w:t xml:space="preserve">招标项目的潜在投标人应在 </w:t>
            </w:r>
            <w:r>
              <w:rPr>
                <w:rFonts w:hint="eastAsia" w:ascii="宋体" w:hAnsi="宋体"/>
                <w:b/>
                <w:color w:val="auto"/>
                <w:sz w:val="21"/>
                <w:szCs w:val="21"/>
                <w:highlight w:val="none"/>
                <w:u w:val="single"/>
              </w:rPr>
              <w:t xml:space="preserve">“苏采云”系统（网址：http://jszfcg.jsczt.cn/）</w:t>
            </w:r>
            <w:r>
              <w:rPr>
                <w:rFonts w:hint="eastAsia" w:ascii="宋体" w:hAnsi="宋体"/>
                <w:b/>
                <w:color w:val="auto"/>
                <w:sz w:val="21"/>
                <w:szCs w:val="21"/>
                <w:highlight w:val="none"/>
              </w:rPr>
              <w:t xml:space="preserve">获取招标文件，并于</w:t>
            </w:r>
            <w:r>
              <w:rPr>
                <w:rFonts w:hint="eastAsia" w:ascii="宋体" w:hAnsi="宋体"/>
                <w:b/>
                <w:color w:val="auto"/>
                <w:sz w:val="21"/>
                <w:szCs w:val="21"/>
                <w:highlight w:val="none"/>
                <w:u w:val="single"/>
              </w:rPr>
              <w:t xml:space="preserve">202</w:t>
            </w:r>
            <w:r>
              <w:rPr>
                <w:rFonts w:hint="eastAsia" w:ascii="宋体" w:hAnsi="宋体"/>
                <w:b/>
                <w:color w:val="auto"/>
                <w:sz w:val="21"/>
                <w:szCs w:val="21"/>
                <w:highlight w:val="none"/>
                <w:u w:val="single"/>
                <w:lang w:val="en-US" w:eastAsia="zh-CN"/>
              </w:rPr>
              <w:t xml:space="preserve">6</w:t>
            </w:r>
            <w:r>
              <w:rPr>
                <w:rFonts w:hint="eastAsia" w:ascii="宋体" w:hAnsi="宋体"/>
                <w:b/>
                <w:color w:val="auto"/>
                <w:sz w:val="21"/>
                <w:szCs w:val="21"/>
                <w:highlight w:val="none"/>
                <w:u w:val="single"/>
              </w:rPr>
              <w:t xml:space="preserve">年</w:t>
            </w:r>
            <w:r>
              <w:rPr>
                <w:rFonts w:hint="eastAsia" w:ascii="宋体" w:hAnsi="宋体"/>
                <w:b/>
                <w:color w:val="auto"/>
                <w:sz w:val="21"/>
                <w:szCs w:val="21"/>
                <w:highlight w:val="none"/>
                <w:u w:val="single"/>
                <w:lang w:val="en-US" w:eastAsia="zh-CN"/>
              </w:rPr>
              <w:t xml:space="preserve">11月05日</w:t>
            </w:r>
            <w:r>
              <w:rPr>
                <w:rFonts w:hint="eastAsia" w:ascii="宋体" w:hAnsi="宋体"/>
                <w:b/>
                <w:color w:val="auto"/>
                <w:sz w:val="21"/>
                <w:szCs w:val="21"/>
                <w:highlight w:val="none"/>
                <w:u w:val="single"/>
                <w:lang w:val="en-US" w:eastAsia="zh-CN"/>
              </w:rPr>
              <w:t xml:space="preserve">13时30分</w:t>
            </w:r>
            <w:r>
              <w:rPr>
                <w:rFonts w:hint="eastAsia" w:ascii="宋体" w:hAnsi="宋体"/>
                <w:b/>
                <w:color w:val="auto"/>
                <w:sz w:val="21"/>
                <w:szCs w:val="21"/>
                <w:highlight w:val="none"/>
                <w:u w:val="single"/>
              </w:rPr>
              <w:t xml:space="preserve">（北京时间）</w:t>
            </w:r>
            <w:r>
              <w:rPr>
                <w:rFonts w:hint="eastAsia" w:ascii="宋体" w:hAnsi="宋体"/>
                <w:b/>
                <w:color w:val="auto"/>
                <w:sz w:val="21"/>
                <w:szCs w:val="21"/>
                <w:highlight w:val="none"/>
              </w:rPr>
              <w:t xml:space="preserve">前递交投标文件。</w:t>
            </w:r>
            <w:r/>
          </w:p>
        </w:tc>
      </w:tr>
    </w:tbl>
    <w:p>
      <w:pPr>
        <w:ind w:firstLine="480"/>
        <w:jc w:val="left"/>
        <w:pageBreakBefore w:val="0"/>
        <w:spacing w:line="360" w:lineRule="auto"/>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一、项目基本情况</w:t>
      </w:r>
      <w:r/>
    </w:p>
    <w:p>
      <w:pPr>
        <w:pStyle w:val="794"/>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w:t>
      </w:r>
      <w:bookmarkStart w:id="2" w:name="auto_fouce_1"/>
      <w:r>
        <w:rPr>
          <w:rFonts w:hint="eastAsia" w:ascii="宋体" w:hAnsi="宋体"/>
          <w:color w:val="auto"/>
          <w:sz w:val="21"/>
          <w:szCs w:val="21"/>
          <w:highlight w:val="none"/>
        </w:rPr>
        <w:t xml:space="preserve">项目编号：</w:t>
      </w:r>
      <w:bookmarkEnd w:id="2"/>
      <w:r>
        <w:rPr>
          <w:rFonts w:hint="eastAsia" w:ascii="宋体" w:hAnsi="宋体"/>
          <w:color w:val="auto"/>
          <w:sz w:val="21"/>
          <w:szCs w:val="21"/>
          <w:highlight w:val="none"/>
          <w:lang w:eastAsia="zh-CN"/>
        </w:rPr>
        <w:t xml:space="preserve">JSZC-320506-ZHCD-G2026-0016</w:t>
      </w:r>
      <w:r/>
    </w:p>
    <w:p>
      <w:pPr>
        <w:pStyle w:val="794"/>
        <w:ind w:left="0" w:firstLine="42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2、项目名称：</w:t>
      </w:r>
      <w:r>
        <w:rPr>
          <w:rFonts w:hint="eastAsia" w:ascii="宋体" w:hAnsi="宋体"/>
          <w:color w:val="auto"/>
          <w:sz w:val="21"/>
          <w:szCs w:val="21"/>
          <w:highlight w:val="none"/>
          <w:lang w:eastAsia="zh-CN"/>
        </w:rPr>
        <w:t xml:space="preserve">2026-2028年太湖街道路灯养护项目</w:t>
      </w:r>
      <w:r/>
    </w:p>
    <w:p>
      <w:pPr>
        <w:pStyle w:val="794"/>
        <w:ind w:left="0" w:firstLine="420"/>
        <w:pageBreakBefore w:val="0"/>
        <w:spacing w:line="360" w:lineRule="auto"/>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3、采购方式：</w:t>
      </w:r>
      <w:r>
        <w:rPr>
          <w:rFonts w:hint="eastAsia" w:ascii="宋体" w:hAnsi="宋体"/>
          <w:color w:val="auto"/>
          <w:sz w:val="21"/>
          <w:szCs w:val="21"/>
          <w:highlight w:val="none"/>
          <w:lang w:val="en-US" w:eastAsia="zh-CN"/>
        </w:rPr>
        <w:t xml:space="preserve">公开</w:t>
      </w:r>
      <w:r>
        <w:rPr>
          <w:rFonts w:hint="eastAsia" w:ascii="宋体" w:hAnsi="宋体"/>
          <w:color w:val="auto"/>
          <w:sz w:val="21"/>
          <w:szCs w:val="21"/>
          <w:highlight w:val="none"/>
          <w:lang w:eastAsia="zh-CN"/>
        </w:rPr>
        <w:t xml:space="preserve">招标</w:t>
      </w:r>
      <w:r/>
    </w:p>
    <w:p>
      <w:pPr>
        <w:pStyle w:val="794"/>
        <w:ind w:left="0"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4.预算金额：</w:t>
      </w:r>
      <w:r>
        <w:rPr>
          <w:rFonts w:hint="eastAsia" w:ascii="宋体" w:hAnsi="宋体"/>
          <w:color w:val="auto"/>
          <w:sz w:val="21"/>
          <w:szCs w:val="21"/>
          <w:highlight w:val="none"/>
          <w:lang w:eastAsia="zh-CN"/>
        </w:rPr>
        <w:t xml:space="preserve">人民币壹仟肆佰肆拾万陆仟柒佰肆拾捌元捌角叁分（￥14406748.83元）</w:t>
      </w:r>
      <w:r/>
    </w:p>
    <w:p>
      <w:pPr>
        <w:pStyle w:val="794"/>
        <w:ind w:left="0"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5.最高限价：</w:t>
      </w:r>
      <w:r>
        <w:rPr>
          <w:rFonts w:hint="eastAsia" w:ascii="宋体" w:hAnsi="宋体"/>
          <w:color w:val="auto"/>
          <w:sz w:val="21"/>
          <w:szCs w:val="21"/>
          <w:highlight w:val="none"/>
          <w:lang w:eastAsia="zh-CN"/>
        </w:rPr>
        <w:t xml:space="preserve">人民币壹仟肆佰肆拾万陆仟柒佰肆拾捌元捌角叁分（￥14406748.83元）</w:t>
      </w:r>
      <w:r/>
    </w:p>
    <w:p>
      <w:pPr>
        <w:pStyle w:val="794"/>
        <w:ind w:left="0"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6.合同履行期限：</w:t>
      </w:r>
      <w:r>
        <w:rPr>
          <w:rFonts w:hint="eastAsia" w:ascii="宋体" w:hAnsi="宋体"/>
          <w:color w:val="auto"/>
          <w:sz w:val="21"/>
          <w:szCs w:val="21"/>
          <w:highlight w:val="none"/>
          <w:lang w:val="en-US" w:eastAsia="zh-CN"/>
        </w:rPr>
        <w:t xml:space="preserve">2026年11月19日---2028年11月18日（具体时间以采购单位书面通知为准，服务期限2年）。</w:t>
      </w:r>
      <w:r/>
    </w:p>
    <w:p>
      <w:pPr>
        <w:pStyle w:val="794"/>
        <w:ind w:left="0"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7.采购需求：服务内容包括但不限于</w:t>
      </w:r>
      <w:r>
        <w:rPr>
          <w:rFonts w:hint="eastAsia" w:ascii="宋体" w:hAnsi="宋体"/>
          <w:color w:val="auto"/>
          <w:sz w:val="21"/>
          <w:szCs w:val="21"/>
          <w:highlight w:val="none"/>
          <w:lang w:eastAsia="zh-CN"/>
        </w:rPr>
        <w:t xml:space="preserve">太湖街道内主要道路如天鹅荡路、景周街、龙翔路、箭浮山路、连柱山路、引黛街、泽山路等路灯、景观灯、变压器等设施养护及应急抢修</w:t>
      </w:r>
      <w:r>
        <w:rPr>
          <w:rFonts w:hint="eastAsia" w:ascii="宋体" w:hAnsi="宋体"/>
          <w:color w:val="auto"/>
          <w:sz w:val="21"/>
          <w:szCs w:val="21"/>
          <w:highlight w:val="none"/>
        </w:rPr>
        <w:t xml:space="preserve">。</w:t>
      </w:r>
      <w:r/>
    </w:p>
    <w:p>
      <w:pPr>
        <w:pStyle w:val="794"/>
        <w:ind w:left="0" w:firstLine="420"/>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详见文件第四章</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二、供应商的资格要求 </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1.满足《中华人民共和国政府采购法》第二十二条规定，投标人应当具备下列条件：</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（6）法律、行政法规规定的其他条件。 </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2.落实政府采购政策需满足的资格要求：</w:t>
      </w:r>
      <w:r>
        <w:rPr>
          <w:rFonts w:hint="eastAsia" w:ascii="宋体" w:hAnsi="宋体"/>
          <w:color w:val="auto"/>
          <w:sz w:val="21"/>
          <w:szCs w:val="21"/>
          <w:highlight w:val="none"/>
          <w:lang w:val="en-US" w:eastAsia="zh-CN"/>
        </w:rPr>
        <w:t xml:space="preserve">无</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3.本项目的特定资格要求：无</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4.联合体及转包、分包：本项目不接受联合体，不得转包、分包本项目。</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三、获取招标文件 </w:t>
      </w:r>
      <w:r/>
    </w:p>
    <w:p>
      <w:pPr>
        <w:pStyle w:val="794"/>
        <w:ind w:left="0" w:firstLine="420"/>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1.时间：自公告发布之日起5个工作日</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2.地点：“苏采云”系统自行下载采购文件</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3.方式：</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（1）CA证书办理</w:t>
      </w:r>
      <w:r/>
    </w:p>
    <w:p>
      <w:pPr>
        <w:ind w:firstLine="480"/>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 w:val="21"/>
          <w:szCs w:val="21"/>
          <w:highlight w:val="none"/>
        </w:rPr>
        <w:t xml:space="preserve">—</w:t>
      </w:r>
      <w:r>
        <w:rPr>
          <w:rFonts w:hint="eastAsia" w:ascii="宋体" w:hAnsi="宋体"/>
          <w:color w:val="auto"/>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color w:val="000000" w:themeColor="text1"/>
          <w:sz w:val="21"/>
          <w:szCs w:val="21"/>
          <w:highlight w:val="none"/>
          <w14:textFill>
            <w14:solidFill>
              <w14:schemeClr w14:val="tx1"/>
            </w14:solidFill>
          </w14:textFill>
        </w:rPr>
        <w:t xml:space="preserve">苏州现场办理地址：苏州市高新区邓蔚路105号狮山科技馆一楼服务大厅，咨询电话：0512 6573 7699。</w:t>
      </w:r>
      <w:r/>
    </w:p>
    <w:p>
      <w:pPr>
        <w:pStyle w:val="794"/>
        <w:ind w:left="0" w:firstLine="420"/>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794"/>
        <w:ind w:left="0" w:firstLine="420"/>
        <w:pageBreakBefore w:val="0"/>
        <w:spacing w:line="360" w:lineRule="auto"/>
        <w:rPr>
          <w:rFonts w:hint="eastAsia" w:ascii="宋体" w:hAnsi="宋体" w:eastAsia="宋体"/>
          <w:b/>
          <w:color w:val="auto"/>
          <w:sz w:val="21"/>
          <w:szCs w:val="21"/>
          <w:highlight w:val="none"/>
        </w:rPr>
      </w:pPr>
      <w:r>
        <w:rPr>
          <w:rFonts w:hint="eastAsia" w:ascii="宋体" w:hAnsi="宋体"/>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w:t>
      </w:r>
      <w:r>
        <w:rPr>
          <w:rFonts w:hint="eastAsia" w:ascii="宋体" w:hAnsi="宋体"/>
          <w:b/>
          <w:color w:val="auto"/>
          <w:sz w:val="21"/>
          <w:szCs w:val="21"/>
          <w:highlight w:val="none"/>
          <w:lang w:eastAsia="zh-CN"/>
        </w:rPr>
        <w:t xml:space="preserve">。</w:t>
      </w:r>
      <w:r/>
    </w:p>
    <w:p>
      <w:pPr>
        <w:pStyle w:val="794"/>
        <w:ind w:left="0" w:firstLine="420"/>
        <w:keepLines w:val="0"/>
        <w:keepNext w:val="0"/>
        <w:pageBreakBefore w:val="0"/>
        <w:spacing w:line="360" w:lineRule="auto"/>
        <w:widowControl w:val="off"/>
        <w:rPr>
          <w:rFonts w:ascii="宋体" w:hAnsi="宋体"/>
          <w:color w:val="auto"/>
          <w:sz w:val="21"/>
          <w:szCs w:val="21"/>
          <w:highlight w:val="none"/>
        </w:rPr>
      </w:pP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w:t>
      </w:r>
      <w:r/>
    </w:p>
    <w:p>
      <w:pPr>
        <w:ind w:firstLine="480"/>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（4）补充通知（如有）：成功获取磋商文件的供应商应及时关注政府采购信息发布媒体上发布的更正（补充）公告，同时在“苏采云”系统中下载更正（补充）资料，</w:t>
      </w:r>
      <w:r>
        <w:rPr>
          <w:rFonts w:hint="eastAsia" w:ascii="宋体" w:hAnsi="宋体"/>
          <w:b/>
          <w:bCs/>
          <w:color w:val="000000" w:themeColor="text1"/>
          <w:sz w:val="21"/>
          <w:szCs w:val="21"/>
          <w:highlight w:val="none"/>
          <w14:textFill>
            <w14:solidFill>
              <w14:schemeClr w14:val="tx1"/>
            </w14:solidFill>
          </w14:textFill>
        </w:rPr>
        <w:t xml:space="preserve">如有遗漏（包括但不限于文件未下载或下载不完整），可能无法解密投标（响应）文件，由此所造成的响应失败或损失由供应商自行负责。</w:t>
      </w:r>
      <w:r/>
    </w:p>
    <w:p>
      <w:pPr>
        <w:ind w:firstLine="480"/>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考虑到熟悉“苏采云”系统、办理CA证书都需要一定的时间，请提早准备以免耽误招标采购活动。</w:t>
      </w:r>
      <w:r/>
    </w:p>
    <w:p>
      <w:pPr>
        <w:ind w:firstLine="480"/>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4、在系统操作过程中如有疑问，请按以下方式联系：</w:t>
      </w:r>
      <w:r/>
    </w:p>
    <w:p>
      <w:pPr>
        <w:ind w:firstLine="482"/>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注册咨询：18261002950；</w:t>
      </w:r>
      <w:r/>
    </w:p>
    <w:p>
      <w:pPr>
        <w:ind w:firstLine="482"/>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CA技术咨询电话：400-608-6099；</w:t>
      </w:r>
      <w:r/>
    </w:p>
    <w:p>
      <w:pPr>
        <w:ind w:firstLine="482"/>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签章使用问题：025-83633811、025-83633812、15380932027、15371015030；</w:t>
      </w:r>
      <w:r/>
    </w:p>
    <w:p>
      <w:pPr>
        <w:ind w:firstLine="482"/>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系统使用指导与咨询：联系电话：18261002950；QQ：3048755361、1315179389、895706745。</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提交投标文件截止时间：</w:t>
      </w:r>
      <w:r>
        <w:rPr>
          <w:rFonts w:hint="eastAsia" w:ascii="宋体" w:hAnsi="宋体"/>
          <w:color w:val="auto"/>
          <w:sz w:val="21"/>
          <w:szCs w:val="21"/>
          <w:highlight w:val="none"/>
          <w:u w:val="single"/>
          <w:lang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11月05日</w:t>
      </w:r>
      <w:r>
        <w:rPr>
          <w:rFonts w:hint="eastAsia" w:ascii="宋体" w:hAnsi="宋体"/>
          <w:color w:val="auto"/>
          <w:sz w:val="21"/>
          <w:szCs w:val="21"/>
          <w:highlight w:val="none"/>
          <w:u w:val="single"/>
          <w:lang w:eastAsia="zh-CN"/>
        </w:rPr>
        <w:t xml:space="preserve">13时30分</w:t>
      </w:r>
      <w:r>
        <w:rPr>
          <w:rFonts w:hint="eastAsia" w:ascii="宋体" w:hAnsi="宋体"/>
          <w:color w:val="auto"/>
          <w:sz w:val="21"/>
          <w:szCs w:val="21"/>
          <w:highlight w:val="none"/>
        </w:rPr>
        <w:t xml:space="preserve">（北京时间）；</w:t>
      </w:r>
      <w:r>
        <w:rPr>
          <w:rFonts w:ascii="宋体" w:hAnsi="宋体"/>
          <w:color w:val="auto"/>
          <w:sz w:val="21"/>
          <w:szCs w:val="21"/>
          <w:highlight w:val="none"/>
        </w:rPr>
        <w:t xml:space="preserve"> </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开标时间：</w:t>
      </w:r>
      <w:r>
        <w:rPr>
          <w:rFonts w:hint="eastAsia" w:ascii="宋体" w:hAnsi="宋体"/>
          <w:color w:val="auto"/>
          <w:sz w:val="21"/>
          <w:szCs w:val="21"/>
          <w:highlight w:val="none"/>
          <w:u w:val="single"/>
          <w:lang w:eastAsia="zh-CN"/>
        </w:rPr>
        <w:t xml:space="preserve">2026</w:t>
      </w:r>
      <w:r>
        <w:rPr>
          <w:rFonts w:hint="eastAsia" w:ascii="宋体" w:hAnsi="宋体"/>
          <w:color w:val="auto"/>
          <w:sz w:val="21"/>
          <w:szCs w:val="21"/>
          <w:highlight w:val="none"/>
          <w:u w:val="single"/>
        </w:rPr>
        <w:t xml:space="preserve">年</w:t>
      </w:r>
      <w:r>
        <w:rPr>
          <w:rFonts w:hint="eastAsia" w:ascii="宋体" w:hAnsi="宋体"/>
          <w:color w:val="auto"/>
          <w:sz w:val="21"/>
          <w:szCs w:val="21"/>
          <w:highlight w:val="none"/>
          <w:u w:val="single"/>
          <w:lang w:val="en-US" w:eastAsia="zh-CN"/>
        </w:rPr>
        <w:t xml:space="preserve">11月05日13时30分</w:t>
      </w:r>
      <w:r>
        <w:rPr>
          <w:rFonts w:hint="eastAsia" w:ascii="宋体" w:hAnsi="宋体"/>
          <w:color w:val="auto"/>
          <w:sz w:val="21"/>
          <w:szCs w:val="21"/>
          <w:highlight w:val="none"/>
        </w:rPr>
        <w:t xml:space="preserve">（北京时间）；</w:t>
      </w:r>
      <w:r/>
    </w:p>
    <w:p>
      <w:pPr>
        <w:pStyle w:val="794"/>
        <w:ind w:left="0"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开标地点：“苏采云”系统（网址：</w:t>
      </w:r>
      <w:r>
        <w:rPr>
          <w:rFonts w:ascii="宋体" w:hAnsi="宋体"/>
          <w:color w:val="auto"/>
          <w:sz w:val="21"/>
          <w:szCs w:val="21"/>
          <w:highlight w:val="none"/>
        </w:rPr>
        <w:t xml:space="preserve">http://jszfcg.jsczt.cn/</w:t>
      </w:r>
      <w:r>
        <w:rPr>
          <w:rFonts w:hint="eastAsia" w:ascii="宋体" w:hAnsi="宋体"/>
          <w:color w:val="auto"/>
          <w:sz w:val="21"/>
          <w:szCs w:val="21"/>
          <w:highlight w:val="none"/>
        </w:rPr>
        <w:t xml:space="preserve">）</w:t>
      </w:r>
      <w:r/>
    </w:p>
    <w:p>
      <w:pPr>
        <w:ind w:firstLine="422"/>
        <w:pageBreakBefore w:val="0"/>
        <w:spacing w:line="360" w:lineRule="auto"/>
        <w:rPr>
          <w:rFonts w:hint="eastAsia" w:ascii="宋体" w:hAnsi="宋体"/>
          <w:b/>
          <w:bCs/>
          <w:color w:val="000000" w:themeColor="text1"/>
          <w:sz w:val="21"/>
          <w:szCs w:val="20"/>
          <w:highlight w:val="none"/>
          <w14:textFill>
            <w14:solidFill>
              <w14:schemeClr w14:val="tx1"/>
            </w14:solidFill>
          </w14:textFill>
        </w:rPr>
      </w:pPr>
      <w:r>
        <w:rPr>
          <w:rFonts w:hint="eastAsia" w:ascii="宋体" w:hAnsi="宋体"/>
          <w:b/>
          <w:bCs/>
          <w:color w:val="000000" w:themeColor="text1"/>
          <w:sz w:val="21"/>
          <w:szCs w:val="20"/>
          <w:highlight w:val="none"/>
          <w:lang w:val="en-US" w:eastAsia="zh-CN"/>
          <w14:textFill>
            <w14:solidFill>
              <w14:schemeClr w14:val="tx1"/>
            </w14:solidFill>
          </w14:textFill>
        </w:rPr>
        <w:t xml:space="preserve">4</w:t>
      </w:r>
      <w:r>
        <w:rPr>
          <w:rFonts w:hint="eastAsia" w:ascii="宋体" w:hAnsi="宋体"/>
          <w:b/>
          <w:bCs/>
          <w:color w:val="000000" w:themeColor="text1"/>
          <w:sz w:val="21"/>
          <w:szCs w:val="20"/>
          <w:highlight w:val="none"/>
          <w14:textFill>
            <w14:solidFill>
              <w14:schemeClr w14:val="tx1"/>
            </w14:solidFill>
          </w14:textFill>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pageBreakBefore w:val="0"/>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五、开启</w:t>
      </w:r>
      <w:r/>
    </w:p>
    <w:p>
      <w:pPr>
        <w:ind w:firstLine="48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时间：</w:t>
      </w:r>
      <w:r>
        <w:rPr>
          <w:rFonts w:hint="eastAsia" w:ascii="宋体" w:hAnsi="宋体"/>
          <w:color w:val="000000" w:themeColor="text1"/>
          <w:sz w:val="21"/>
          <w:szCs w:val="21"/>
          <w:highlight w:val="none"/>
          <w:lang w:eastAsia="zh-CN"/>
          <w14:textFill>
            <w14:solidFill>
              <w14:schemeClr w14:val="tx1"/>
            </w14:solidFill>
          </w14:textFill>
        </w:rPr>
        <w:t xml:space="preserve">2026年11月05日13</w:t>
      </w:r>
      <w:r>
        <w:rPr>
          <w:rFonts w:hint="eastAsia" w:ascii="宋体" w:hAnsi="宋体"/>
          <w:color w:val="000000" w:themeColor="text1"/>
          <w:sz w:val="21"/>
          <w:szCs w:val="21"/>
          <w:highlight w:val="none"/>
          <w14:textFill>
            <w14:solidFill>
              <w14:schemeClr w14:val="tx1"/>
            </w14:solidFill>
          </w14:textFill>
        </w:rPr>
        <w:t xml:space="preserve">:30</w:t>
      </w:r>
      <w:r>
        <w:rPr>
          <w:rFonts w:hint="eastAsia" w:ascii="宋体" w:hAnsi="宋体"/>
          <w:color w:val="000000" w:themeColor="text1"/>
          <w:sz w:val="21"/>
          <w:szCs w:val="20"/>
          <w:highlight w:val="none"/>
          <w14:textFill>
            <w14:solidFill>
              <w14:schemeClr w14:val="tx1"/>
            </w14:solidFill>
          </w14:textFill>
        </w:rPr>
        <w:t xml:space="preserve">（北京时间）</w:t>
      </w:r>
      <w:r/>
    </w:p>
    <w:p>
      <w:pPr>
        <w:ind w:firstLine="48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地点：“苏采云”政府采购交易系统网上开标大厅（网址：</w:t>
      </w:r>
      <w:r>
        <w:rPr>
          <w:sz w:val="18"/>
          <w:szCs w:val="21"/>
          <w:highlight w:val="none"/>
        </w:rPr>
        <w:fldChar w:fldCharType="begin"/>
      </w:r>
      <w:r>
        <w:rPr>
          <w:sz w:val="18"/>
          <w:szCs w:val="21"/>
          <w:highlight w:val="none"/>
        </w:rPr>
        <w:instrText xml:space="preserve">HYPERLINK "http://jszfcg.jsczt.cn/），响应文件网上递交，不需要现场参加采购活动。"</w:instrText>
      </w:r>
      <w:r>
        <w:rPr>
          <w:sz w:val="18"/>
          <w:szCs w:val="21"/>
          <w:highlight w:val="none"/>
        </w:rPr>
        <w:fldChar w:fldCharType="separate"/>
      </w:r>
      <w:r>
        <w:rPr>
          <w:rFonts w:hint="eastAsia" w:ascii="宋体" w:hAnsi="宋体"/>
          <w:color w:val="000000" w:themeColor="text1"/>
          <w:sz w:val="21"/>
          <w:szCs w:val="20"/>
          <w:highlight w:val="none"/>
          <w14:textFill>
            <w14:solidFill>
              <w14:schemeClr w14:val="tx1"/>
            </w14:solidFill>
          </w14:textFill>
        </w:rPr>
        <w:t xml:space="preserve">http://jszfcg.jsczt.cn/），响应文件网上递交，不需要现场参加采购活动。</w:t>
      </w:r>
      <w:r>
        <w:rPr>
          <w:sz w:val="18"/>
          <w:szCs w:val="21"/>
          <w:highlight w:val="none"/>
        </w:rPr>
        <w:fldChar w:fldCharType="end"/>
      </w:r>
      <w:r/>
    </w:p>
    <w:p>
      <w:pPr>
        <w:ind w:firstLine="480"/>
        <w:pageBreakBefore w:val="0"/>
        <w:spacing w:line="360" w:lineRule="auto"/>
        <w:rPr>
          <w:rFonts w:hint="eastAsia" w:ascii="宋体" w:hAnsi="宋体"/>
          <w:color w:val="000000" w:themeColor="text1"/>
          <w:sz w:val="21"/>
          <w:szCs w:val="20"/>
          <w:highlight w:val="none"/>
          <w14:textFill>
            <w14:solidFill>
              <w14:schemeClr w14:val="tx1"/>
            </w14:solidFill>
          </w14:textFill>
        </w:rPr>
      </w:pPr>
      <w:r>
        <w:rPr>
          <w:rFonts w:hint="eastAsia" w:ascii="宋体" w:hAnsi="宋体"/>
          <w:color w:val="000000" w:themeColor="text1"/>
          <w:sz w:val="21"/>
          <w:szCs w:val="20"/>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color w:val="000000" w:themeColor="text1"/>
          <w:sz w:val="21"/>
          <w:szCs w:val="20"/>
          <w:highlight w:val="none"/>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请供应商确保电脑、系统及其他设备（视频输入输出设备等）无误，且开启直至项目结束始终保持系统在线状态。</w:t>
      </w:r>
      <w:r/>
    </w:p>
    <w:p>
      <w:pPr>
        <w:ind w:firstLine="482"/>
        <w:pageBreakBefore w:val="0"/>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六、公告期限</w:t>
      </w:r>
      <w:r/>
    </w:p>
    <w:p>
      <w:pPr>
        <w:ind w:firstLine="48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自本公告发布之日起</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个工作日。</w:t>
      </w:r>
      <w:r/>
    </w:p>
    <w:p>
      <w:pPr>
        <w:ind w:firstLine="482"/>
        <w:pageBreakBefore w:val="0"/>
        <w:spacing w:line="360" w:lineRule="auto"/>
        <w:rPr>
          <w:rFonts w:hint="eastAsia" w:ascii="宋体" w:hAnsi="宋体" w:cs="宋体"/>
          <w:b/>
          <w:color w:val="000000" w:themeColor="text1"/>
          <w:sz w:val="21"/>
          <w:szCs w:val="21"/>
          <w:highlight w:val="none"/>
          <w14:textFill>
            <w14:solidFill>
              <w14:schemeClr w14:val="tx1"/>
            </w14:solidFill>
          </w14:textFill>
        </w:rPr>
      </w:pPr>
      <w:r/>
      <w:bookmarkStart w:id="3" w:name="_Toc35393626"/>
      <w:r/>
      <w:bookmarkStart w:id="4" w:name="_Toc35393795"/>
      <w:r>
        <w:rPr>
          <w:rFonts w:hint="eastAsia" w:ascii="宋体" w:hAnsi="宋体" w:cs="宋体"/>
          <w:b/>
          <w:color w:val="000000" w:themeColor="text1"/>
          <w:sz w:val="21"/>
          <w:szCs w:val="21"/>
          <w:highlight w:val="none"/>
          <w14:textFill>
            <w14:solidFill>
              <w14:schemeClr w14:val="tx1"/>
            </w14:solidFill>
          </w14:textFill>
        </w:rPr>
        <w:t xml:space="preserve">七、其他补充事宜</w:t>
      </w:r>
      <w:bookmarkEnd w:id="3"/>
      <w:r/>
      <w:bookmarkEnd w:id="4"/>
      <w:r/>
      <w:r/>
    </w:p>
    <w:p>
      <w:pPr>
        <w:ind w:firstLine="48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1、本次采购的有关信息将在中国政府采购网中央主网、江苏政府采购网、苏州政府采购网，敬请留意！</w:t>
      </w:r>
      <w:r/>
    </w:p>
    <w:p>
      <w:pPr>
        <w:ind w:firstLine="480"/>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2、苏州太湖新城吴中管理委员会党政办公室监管电话：（0512）65169307。</w:t>
      </w:r>
      <w:r/>
    </w:p>
    <w:p>
      <w:pPr>
        <w:ind w:left="0" w:firstLine="420"/>
        <w:pageBreakBefore w:val="0"/>
        <w:spacing w:line="360" w:lineRule="auto"/>
        <w:tabs>
          <w:tab w:val="left" w:pos="567" w:leader="none"/>
        </w:tabs>
        <w:rPr>
          <w:rFonts w:ascii="Times New Roman" w:hAnsi="Times New Roman"/>
          <w:color w:val="auto"/>
          <w:sz w:val="21"/>
          <w:szCs w:val="21"/>
          <w:highlight w:val="none"/>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Times New Roman" w:hAnsi="Times New Roman"/>
          <w:color w:val="auto"/>
          <w:sz w:val="21"/>
          <w:szCs w:val="21"/>
          <w:highlight w:val="none"/>
        </w:rPr>
        <w:t xml:space="preserve">根据苏州市财政局《关于深入开展苏州市政府采购合同信用融资业务的通知》相关要求，本项目支持政府采购合同信用融资。</w:t>
      </w:r>
      <w:r/>
    </w:p>
    <w:tbl>
      <w:tblPr>
        <w:tblStyle w:val="79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18"/>
              <w:ind w:left="0" w:firstLine="0"/>
              <w:jc w:val="center"/>
              <w:pageBreakBefore w:val="0"/>
              <w:spacing w:line="24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政府采购合同信用融资政策告知函</w:t>
            </w:r>
            <w:r/>
          </w:p>
          <w:p>
            <w:pPr>
              <w:pStyle w:val="818"/>
              <w:ind w:left="0" w:firstLine="0"/>
              <w:pageBreakBefore w:val="0"/>
              <w:spacing w:line="240" w:lineRule="auto"/>
              <w:rPr>
                <w:rFonts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各政府采购供应商:</w:t>
            </w:r>
            <w:r/>
          </w:p>
          <w:p>
            <w:pPr>
              <w:pStyle w:val="818"/>
              <w:ind w:left="0"/>
              <w:pageBreakBefore w:val="0"/>
              <w:rPr>
                <w:rFonts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欢迎贵公司参加苏州市政府采购活动！</w:t>
            </w:r>
            <w:r/>
          </w:p>
          <w:p>
            <w:pPr>
              <w:pStyle w:val="818"/>
              <w:ind w:left="0"/>
              <w:pageBreakBefore w:val="0"/>
              <w:spacing w:line="240" w:lineRule="auto"/>
              <w:widowControl w:val="off"/>
              <w:rPr>
                <w:color w:val="auto"/>
                <w:szCs w:val="21"/>
                <w:highlight w:val="none"/>
              </w:rPr>
            </w:pPr>
            <w:r>
              <w:rPr>
                <w:rFonts w:hint="eastAsia" w:cs="宋体" w:asciiTheme="minorEastAsia" w:hAnsiTheme="minorEastAsia" w:eastAsiaTheme="minorEastAsia"/>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auto"/>
                <w:sz w:val="21"/>
                <w:szCs w:val="21"/>
                <w:highlight w:val="none"/>
              </w:rPr>
              <w:t xml:space="preserve">苏财购〔2021〕82号</w:t>
            </w:r>
            <w:r>
              <w:rPr>
                <w:rFonts w:hint="eastAsia" w:cs="宋体" w:asciiTheme="minorEastAsia" w:hAnsiTheme="minorEastAsia" w:eastAsiaTheme="minorEastAsia"/>
                <w:color w:val="auto"/>
                <w:sz w:val="21"/>
                <w:szCs w:val="21"/>
                <w:highlight w:val="none"/>
              </w:rPr>
              <w:t xml:space="preserve">)及苏州市财政局、人民银行苏州市分行相关文件要求，按照双方自愿的原则提供便捷、优惠的贷款服务。</w:t>
            </w:r>
            <w:r/>
          </w:p>
        </w:tc>
      </w:tr>
    </w:tbl>
    <w:p>
      <w:pPr>
        <w:ind w:firstLine="480"/>
        <w:pageBreakBefore w:val="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ind w:firstLine="482"/>
        <w:pageBreakBefore w:val="0"/>
        <w:spacing w:line="360" w:lineRule="auto"/>
        <w:rPr>
          <w:b/>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t xml:space="preserve">八、凡对本次采购提出询问，请按以下方式联系。</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名称：苏州太湖新城吴中管理委员会</w:t>
      </w:r>
      <w:r/>
    </w:p>
    <w:p>
      <w:pPr>
        <w:pStyle w:val="794"/>
        <w:ind w:left="0" w:firstLine="420"/>
        <w:pageBreakBefore w:val="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友翔路99号苏州湾中心广场D座19楼</w:t>
      </w:r>
      <w:r/>
    </w:p>
    <w:p>
      <w:pPr>
        <w:pStyle w:val="794"/>
        <w:ind w:left="0" w:firstLine="420"/>
        <w:pageBreakBefore w:val="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谢媛</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联系电话：0512-66589697 </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2、采购代理机构信息</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名称：江苏至衡诚达工程咨询有限公司</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地址：东太湖路66号威仪工园2号楼217室</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联系方式：孙继伟/13063718760</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3、项目联系方式</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项目联系人：孙继伟 邢建东</w:t>
      </w:r>
      <w:r>
        <w:rPr>
          <w:rFonts w:hint="eastAsia" w:ascii="宋体" w:hAnsi="宋体" w:cs="宋体"/>
          <w:color w:val="000000" w:themeColor="text1"/>
          <w:sz w:val="21"/>
          <w:szCs w:val="21"/>
          <w:highlight w:val="none"/>
          <w14:textFill>
            <w14:solidFill>
              <w14:schemeClr w14:val="tx1"/>
            </w14:solidFill>
          </w14:textFill>
        </w:rPr>
        <w:tab/>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电话：13063718760</w:t>
      </w:r>
      <w:r/>
    </w:p>
    <w:p>
      <w:pPr>
        <w:ind w:firstLine="480"/>
        <w:jc w:val="center"/>
        <w:pageBreakBefore w:val="0"/>
        <w:spacing w:line="360" w:lineRule="auto"/>
        <w:rPr>
          <w:rFonts w:hint="eastAsia" w:ascii="宋体" w:hAnsi="宋体"/>
          <w:color w:val="000000" w:themeColor="text1"/>
          <w:sz w:val="18"/>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br w:type="page" w:clear="all"/>
      </w:r>
      <w:r/>
    </w:p>
    <w:p>
      <w:pPr>
        <w:pStyle w:val="1115"/>
        <w:jc w:val="center"/>
        <w:pageBreakBefore w:val="0"/>
        <w:rPr>
          <w:rFonts w:hint="eastAsia" w:ascii="黑体" w:hAnsi="宋体" w:eastAsia="黑体"/>
          <w:color w:val="000000" w:themeColor="text1"/>
          <w:sz w:val="36"/>
          <w:szCs w:val="13"/>
          <w:highlight w:val="none"/>
          <w14:textFill>
            <w14:solidFill>
              <w14:schemeClr w14:val="tx1"/>
            </w14:solidFill>
          </w14:textFill>
        </w:rPr>
      </w:pPr>
      <w:r/>
      <w:bookmarkStart w:id="5" w:name="_Toc474491764"/>
      <w:r/>
      <w:bookmarkStart w:id="6" w:name="_Toc4090"/>
      <w:r>
        <w:rPr>
          <w:rFonts w:hint="eastAsia" w:ascii="黑体" w:hAnsi="宋体" w:eastAsia="黑体"/>
          <w:color w:val="000000" w:themeColor="text1"/>
          <w:sz w:val="36"/>
          <w:szCs w:val="13"/>
          <w:highlight w:val="none"/>
          <w14:textFill>
            <w14:solidFill>
              <w14:schemeClr w14:val="tx1"/>
            </w14:solidFill>
          </w14:textFill>
        </w:rPr>
        <w:t xml:space="preserve">第二章</w:t>
      </w:r>
      <w:r>
        <w:rPr>
          <w:rFonts w:ascii="黑体" w:hAnsi="宋体" w:eastAsia="黑体"/>
          <w:color w:val="000000" w:themeColor="text1"/>
          <w:sz w:val="36"/>
          <w:szCs w:val="13"/>
          <w:highlight w:val="none"/>
          <w14:textFill>
            <w14:solidFill>
              <w14:schemeClr w14:val="tx1"/>
            </w14:solidFill>
          </w14:textFill>
        </w:rPr>
        <w:t xml:space="preserve"> </w:t>
      </w:r>
      <w:r>
        <w:rPr>
          <w:rFonts w:hint="eastAsia" w:ascii="黑体" w:hAnsi="宋体" w:eastAsia="黑体"/>
          <w:color w:val="000000" w:themeColor="text1"/>
          <w:sz w:val="36"/>
          <w:szCs w:val="13"/>
          <w:highlight w:val="none"/>
          <w14:textFill>
            <w14:solidFill>
              <w14:schemeClr w14:val="tx1"/>
            </w14:solidFill>
          </w14:textFill>
        </w:rPr>
        <w:t xml:space="preserve"> </w:t>
      </w:r>
      <w:bookmarkEnd w:id="5"/>
      <w:r>
        <w:rPr>
          <w:rFonts w:hint="eastAsia" w:ascii="黑体" w:hAnsi="宋体" w:eastAsia="黑体"/>
          <w:color w:val="000000" w:themeColor="text1"/>
          <w:sz w:val="36"/>
          <w:szCs w:val="13"/>
          <w:highlight w:val="none"/>
          <w:lang w:val="en-US" w:eastAsia="zh-CN"/>
          <w14:textFill>
            <w14:solidFill>
              <w14:schemeClr w14:val="tx1"/>
            </w14:solidFill>
          </w14:textFill>
        </w:rPr>
        <w:t xml:space="preserve">投标人</w:t>
      </w:r>
      <w:r>
        <w:rPr>
          <w:rFonts w:hint="eastAsia" w:ascii="黑体" w:hAnsi="宋体" w:eastAsia="黑体"/>
          <w:color w:val="000000" w:themeColor="text1"/>
          <w:sz w:val="36"/>
          <w:szCs w:val="13"/>
          <w:highlight w:val="none"/>
          <w14:textFill>
            <w14:solidFill>
              <w14:schemeClr w14:val="tx1"/>
            </w14:solidFill>
          </w14:textFill>
        </w:rPr>
        <w:t xml:space="preserve">须知</w:t>
      </w:r>
      <w:bookmarkEnd w:id="6"/>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一、说明和释义</w:t>
      </w:r>
      <w:r/>
    </w:p>
    <w:p>
      <w:pPr>
        <w:pStyle w:val="794"/>
        <w:ind w:left="0" w:firstLine="422"/>
        <w:pageBreakBefore w:val="0"/>
        <w:spacing w:line="360" w:lineRule="auto"/>
        <w:rPr>
          <w:rFonts w:hint="eastAsia" w:ascii="宋体" w:hAnsi="宋体" w:eastAsia="宋体"/>
          <w:b/>
          <w:color w:val="auto"/>
          <w:sz w:val="21"/>
          <w:szCs w:val="21"/>
          <w:highlight w:val="none"/>
        </w:rPr>
      </w:pPr>
      <w:r>
        <w:rPr>
          <w:rFonts w:hint="eastAsia" w:ascii="宋体" w:hAnsi="宋体"/>
          <w:b/>
          <w:color w:val="auto"/>
          <w:sz w:val="21"/>
          <w:szCs w:val="21"/>
          <w:highlight w:val="none"/>
        </w:rPr>
        <w:t xml:space="preserve">1.说明</w:t>
      </w:r>
      <w:r>
        <w:rPr>
          <w:rFonts w:hint="eastAsia" w:ascii="宋体" w:hAnsi="宋体"/>
          <w:b/>
          <w:color w:val="auto"/>
          <w:sz w:val="21"/>
          <w:szCs w:val="21"/>
          <w:highlight w:val="none"/>
          <w:lang w:val="en-US" w:eastAsia="zh-CN"/>
        </w:rPr>
        <w:t xml:space="preserve"> </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1.1本招标文件仅适用</w:t>
      </w:r>
      <w:r>
        <w:rPr>
          <w:rFonts w:hint="eastAsia" w:ascii="宋体" w:hAnsi="宋体"/>
          <w:color w:val="auto"/>
          <w:sz w:val="21"/>
          <w:szCs w:val="21"/>
          <w:highlight w:val="none"/>
          <w:lang w:eastAsia="zh-CN"/>
        </w:rPr>
        <w:t xml:space="preserve">江苏至衡诚达工程咨询有限公司</w:t>
      </w:r>
      <w:r>
        <w:rPr>
          <w:rFonts w:hint="eastAsia" w:ascii="宋体" w:hAnsi="宋体"/>
          <w:color w:val="auto"/>
          <w:sz w:val="21"/>
          <w:szCs w:val="21"/>
          <w:highlight w:val="none"/>
        </w:rPr>
        <w:t xml:space="preserve">组织的招标活动。</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1.3本招标文件的解释权属</w:t>
      </w:r>
      <w:r>
        <w:rPr>
          <w:rFonts w:hint="eastAsia" w:ascii="宋体" w:hAnsi="宋体"/>
          <w:color w:val="auto"/>
          <w:sz w:val="21"/>
          <w:szCs w:val="21"/>
          <w:highlight w:val="none"/>
          <w:lang w:eastAsia="zh-CN"/>
        </w:rPr>
        <w:t xml:space="preserve">江苏至衡诚达工程咨询有限公司</w:t>
      </w:r>
      <w:r>
        <w:rPr>
          <w:rFonts w:hint="eastAsia" w:ascii="宋体" w:hAnsi="宋体"/>
          <w:color w:val="auto"/>
          <w:sz w:val="21"/>
          <w:szCs w:val="21"/>
          <w:highlight w:val="none"/>
        </w:rPr>
        <w:t xml:space="preserve">。</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2.词语释义</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2.2采购代理机构：指依法接受采购人委托，从事货物、工程和服务等政府采购业务的采购代理机构。本项目的采购代理机构是</w:t>
      </w:r>
      <w:r>
        <w:rPr>
          <w:rFonts w:hint="eastAsia" w:ascii="宋体" w:hAnsi="宋体"/>
          <w:color w:val="auto"/>
          <w:sz w:val="21"/>
          <w:szCs w:val="21"/>
          <w:highlight w:val="none"/>
          <w:lang w:eastAsia="zh-CN"/>
        </w:rPr>
        <w:t xml:space="preserve">江苏至衡诚达工程咨询有限公司</w:t>
      </w:r>
      <w:r>
        <w:rPr>
          <w:rFonts w:hint="eastAsia" w:ascii="宋体" w:hAnsi="宋体"/>
          <w:color w:val="auto"/>
          <w:sz w:val="21"/>
          <w:szCs w:val="21"/>
          <w:highlight w:val="none"/>
        </w:rPr>
        <w:t xml:space="preserve">。</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2.3 投标人（供应商）：是指响应招标、参加投标竞争的法人、其他组织或者自然人。</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乙方（中标供应商）：合同中规定的向采购人提供货物和服务的法人或其他组织和自然人。</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r/>
    </w:p>
    <w:p>
      <w:pPr>
        <w:pStyle w:val="794"/>
        <w:ind w:left="0" w:firstLine="422"/>
        <w:pageBreakBefore w:val="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二、投标人</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3.合格投标人的资格条件：</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3.1满足《中华人民共和国政府采购法》第二十二条规定，投标人应当具备下列条件：</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w:t>
      </w:r>
      <w:r>
        <w:rPr>
          <w:rFonts w:hint="eastAsia" w:ascii="宋体" w:hAnsi="宋体" w:cs="宋体"/>
          <w:b/>
          <w:color w:val="auto"/>
          <w:sz w:val="21"/>
          <w:szCs w:val="21"/>
          <w:highlight w:val="none"/>
          <w:lang w:val="en-US" w:eastAsia="zh-CN"/>
        </w:rPr>
        <w:t xml:space="preserve">无</w:t>
      </w:r>
      <w:r>
        <w:rPr>
          <w:rFonts w:hint="eastAsia" w:ascii="宋体" w:hAnsi="宋体" w:cs="宋体"/>
          <w:b/>
          <w:color w:val="auto"/>
          <w:sz w:val="21"/>
          <w:szCs w:val="21"/>
          <w:highlight w:val="none"/>
        </w:rPr>
        <w:t xml:space="preserve">。</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3.3本项目的特定资格要求：无</w:t>
      </w:r>
      <w:r/>
    </w:p>
    <w:p>
      <w:pPr>
        <w:pStyle w:val="816"/>
        <w:ind w:left="0" w:firstLine="422"/>
        <w:pageBreakBefore w:val="0"/>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816"/>
        <w:ind w:lef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816"/>
        <w:ind w:left="0" w:firstLine="422"/>
        <w:pageBreakBefore w:val="0"/>
        <w:spacing w:before="0" w:after="0"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816"/>
        <w:ind w:left="0" w:firstLine="420"/>
        <w:pageBreakBefore w:val="0"/>
        <w:spacing w:before="0" w:after="0" w:line="360" w:lineRule="auto"/>
        <w:rPr>
          <w:rFonts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794"/>
        <w:ind w:left="0" w:firstLine="420"/>
        <w:pageBreakBefore w:val="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5.2本次招标活动采购人和采购代理机构不收取标书工本费与中标服务费。</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6.联合投标及转包、分包</w:t>
      </w:r>
      <w:r/>
    </w:p>
    <w:p>
      <w:pPr>
        <w:pStyle w:val="794"/>
        <w:ind w:left="0" w:firstLine="420"/>
        <w:pageBreakBefore w:val="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794"/>
        <w:ind w:left="0" w:firstLine="420"/>
        <w:pageBreakBefore w:val="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r/>
    </w:p>
    <w:p>
      <w:pPr>
        <w:pStyle w:val="794"/>
        <w:ind w:left="0" w:firstLine="420"/>
        <w:pageBreakBefore w:val="0"/>
        <w:spacing w:line="360" w:lineRule="auto"/>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三、招标文件的说明</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10.2本次招标文件要求供应商在法定质疑期内一次性提出针对同一采购程序环节的质疑，否则不予受理。</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10.3供应商提出质疑应当提交质疑函和必要的证明材料，质疑函应当包括下列内容：</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（1）供应商的姓名或者名称（以提供的营业执照副本复印件为准）、地址、邮编、联系人及联系电话；</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794"/>
        <w:ind w:left="0" w:firstLine="422"/>
        <w:pageBreakBefore w:val="0"/>
        <w:spacing w:line="360" w:lineRule="auto"/>
        <w:rPr>
          <w:rFonts w:hint="eastAsia"/>
          <w:b/>
          <w:color w:val="auto"/>
          <w:sz w:val="21"/>
          <w:szCs w:val="21"/>
          <w:highlight w:val="none"/>
        </w:rPr>
      </w:pPr>
      <w:r>
        <w:rPr>
          <w:rFonts w:hint="eastAsia"/>
          <w:b/>
          <w:color w:val="auto"/>
          <w:sz w:val="21"/>
          <w:szCs w:val="21"/>
          <w:highlight w:val="none"/>
        </w:rPr>
        <w:t xml:space="preserve">供应商提交的质疑函必须按照《政府采购供应商质疑函范本》要求的格式和内容进行填写，质疑函范本下载网址详见链接：</w:t>
      </w:r>
      <w:r/>
    </w:p>
    <w:p>
      <w:pPr>
        <w:pStyle w:val="794"/>
        <w:ind w:left="0" w:firstLine="422"/>
        <w:pageBreakBefore w:val="0"/>
        <w:spacing w:line="360" w:lineRule="auto"/>
        <w:rPr>
          <w:b/>
          <w:color w:val="auto"/>
          <w:sz w:val="21"/>
          <w:szCs w:val="21"/>
          <w:highlight w:val="none"/>
        </w:rPr>
      </w:pPr>
      <w:r>
        <w:rPr>
          <w:rFonts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794"/>
        <w:ind w:left="0" w:firstLine="420"/>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color w:val="auto"/>
          <w:sz w:val="21"/>
          <w:szCs w:val="21"/>
          <w:highlight w:val="none"/>
        </w:rPr>
        <w:t xml:space="preserve">《投标供应商确认函》</w:t>
      </w:r>
      <w:r>
        <w:rPr>
          <w:rFonts w:hint="eastAsia" w:ascii="宋体" w:hAnsi="宋体"/>
          <w:color w:val="auto"/>
          <w:sz w:val="21"/>
          <w:szCs w:val="21"/>
          <w:highlight w:val="none"/>
        </w:rPr>
        <w:t xml:space="preserve">）与质疑函一起递交，否则不予受理。</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794"/>
        <w:ind w:left="0" w:firstLine="420"/>
        <w:pageBreakBefore w:val="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质疑联系人：</w:t>
      </w:r>
      <w:r>
        <w:rPr>
          <w:rFonts w:hint="eastAsia" w:ascii="宋体" w:hAnsi="宋体"/>
          <w:color w:val="auto"/>
          <w:sz w:val="21"/>
          <w:szCs w:val="21"/>
          <w:highlight w:val="none"/>
          <w:lang w:val="en-US" w:eastAsia="zh-CN"/>
        </w:rPr>
        <w:t xml:space="preserve">孙继伟</w:t>
      </w:r>
      <w:r/>
    </w:p>
    <w:p>
      <w:pPr>
        <w:pStyle w:val="794"/>
        <w:ind w:left="0" w:firstLine="420"/>
        <w:pageBreakBefore w:val="0"/>
        <w:spacing w:line="360" w:lineRule="auto"/>
        <w:rPr>
          <w:rFonts w:hint="default" w:ascii="宋体" w:hAnsi="宋体" w:eastAsia="宋体"/>
          <w:color w:val="auto"/>
          <w:sz w:val="21"/>
          <w:szCs w:val="21"/>
          <w:highlight w:val="none"/>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13063718760</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现场递交地址</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东太湖路66号威仪工园2号楼217室</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邮寄收取地址</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东太湖路66号威仪工园2号楼217室</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四、投标文件说明</w:t>
      </w:r>
      <w:r/>
    </w:p>
    <w:p>
      <w:pPr>
        <w:pStyle w:val="794"/>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794"/>
        <w:ind w:left="0" w:firstLine="422"/>
        <w:pageBreakBefore w:val="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pageBreakBefore w:val="0"/>
        <w:spacing w:line="360" w:lineRule="auto"/>
        <w:tabs>
          <w:tab w:val="left" w:pos="567" w:leader="none"/>
        </w:tabs>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投标文件</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.1封面</w:t>
      </w:r>
      <w:r/>
    </w:p>
    <w:p>
      <w:pPr>
        <w:ind w:left="0" w:firstLine="422"/>
        <w:pageBreakBefore w:val="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.2开标一览表</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公开分项报价</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资格审查文件</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14.1.4.1关于资格文件的声明函（格式见第三章）；</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投标人法定代表人身份证复印件；</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法定代表人授权委托书（如有授权，格式见第三章）；</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4</w:t>
      </w:r>
      <w:r>
        <w:rPr>
          <w:rFonts w:hint="eastAsia" w:ascii="宋体" w:hAnsi="宋体"/>
          <w:color w:val="auto"/>
          <w:sz w:val="21"/>
          <w:szCs w:val="21"/>
          <w:highlight w:val="none"/>
        </w:rPr>
        <w:t xml:space="preserve">投标人授权代理人身份证复印件（如有授权）；</w:t>
      </w:r>
      <w:r/>
    </w:p>
    <w:p>
      <w:pPr>
        <w:pStyle w:val="794"/>
        <w:ind w:left="0" w:firstLine="420"/>
        <w:pageBreakBefore w:val="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合格投标人资格证明材料：</w:t>
      </w:r>
      <w:r/>
    </w:p>
    <w:p>
      <w:pPr>
        <w:pStyle w:val="816"/>
        <w:ind w:left="0" w:righ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816"/>
        <w:ind w:left="0" w:righ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816"/>
        <w:ind w:left="0" w:right="0" w:firstLine="420"/>
        <w:pageBreakBefore w:val="0"/>
        <w:spacing w:before="0" w:after="0"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（3）具备履行合同所必需的设备和专业技术能力的证明材料或承诺；</w:t>
      </w:r>
      <w:r/>
    </w:p>
    <w:p>
      <w:pPr>
        <w:pStyle w:val="794"/>
        <w:ind w:left="0" w:firstLine="420"/>
        <w:pageBreakBefore w:val="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w:t>
      </w:r>
      <w:r>
        <w:rPr>
          <w:rFonts w:hint="eastAsia" w:ascii="宋体" w:hAnsi="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highlight w:val="none"/>
        </w:rPr>
        <w:t xml:space="preserve">；</w:t>
      </w:r>
      <w:r/>
    </w:p>
    <w:p>
      <w:pPr>
        <w:pStyle w:val="794"/>
        <w:ind w:left="0" w:firstLine="420"/>
        <w:pageBreakBefore w:val="0"/>
        <w:spacing w:line="360" w:lineRule="auto"/>
        <w:tabs>
          <w:tab w:val="left" w:pos="0" w:leader="none"/>
        </w:tabs>
        <w:rPr>
          <w:rFonts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6</w:t>
      </w:r>
      <w:r>
        <w:rPr>
          <w:rFonts w:hint="eastAsia" w:ascii="宋体" w:hAnsi="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其它有关资格证明文件：</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符合性审查文件</w:t>
      </w:r>
      <w:r/>
    </w:p>
    <w:p>
      <w:pPr>
        <w:pStyle w:val="794"/>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w:t>
      </w:r>
      <w:r>
        <w:rPr>
          <w:rFonts w:ascii="宋体" w:hAnsi="宋体"/>
          <w:color w:val="auto"/>
          <w:sz w:val="21"/>
          <w:szCs w:val="21"/>
          <w:highlight w:val="none"/>
        </w:rPr>
        <w:t xml:space="preserve">5.1</w:t>
      </w:r>
      <w:r>
        <w:rPr>
          <w:rFonts w:hint="eastAsia" w:ascii="宋体" w:hAnsi="宋体"/>
          <w:color w:val="auto"/>
          <w:sz w:val="21"/>
          <w:szCs w:val="21"/>
          <w:highlight w:val="none"/>
        </w:rPr>
        <w:t xml:space="preserve">投标函（格式见第三章）；</w:t>
      </w:r>
      <w:r/>
    </w:p>
    <w:p>
      <w:pPr>
        <w:ind w:left="0" w:firstLine="408"/>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14.1.5.2</w:t>
      </w:r>
      <w:r>
        <w:rPr>
          <w:rFonts w:hint="eastAsia" w:ascii="宋体" w:hAnsi="宋体"/>
          <w:color w:val="auto"/>
          <w:sz w:val="21"/>
          <w:szCs w:val="21"/>
          <w:highlight w:val="none"/>
        </w:rPr>
        <w:t xml:space="preserve">偏离表（格式见第三章）；</w:t>
      </w:r>
      <w:r/>
    </w:p>
    <w:p>
      <w:pPr>
        <w:ind w:left="0" w:firstLine="408"/>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14.1.5.3</w:t>
      </w:r>
      <w:r>
        <w:rPr>
          <w:rFonts w:hint="eastAsia" w:ascii="宋体" w:hAnsi="宋体"/>
          <w:color w:val="auto"/>
          <w:sz w:val="21"/>
          <w:szCs w:val="21"/>
          <w:highlight w:val="none"/>
        </w:rPr>
        <w:t xml:space="preserve">项目服务人员配置表（格式见第三章）；</w:t>
      </w:r>
      <w:r/>
    </w:p>
    <w:p>
      <w:pPr>
        <w:ind w:left="0" w:firstLine="408"/>
        <w:pageBreakBefore w:val="0"/>
        <w:spacing w:line="360" w:lineRule="auto"/>
        <w:rPr>
          <w:rFonts w:ascii="宋体" w:hAnsi="宋体"/>
          <w:b/>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4.1.5.4</w:t>
      </w:r>
      <w:r>
        <w:rPr>
          <w:rFonts w:hint="eastAsia" w:ascii="宋体" w:hAnsi="宋体"/>
          <w:color w:val="auto"/>
          <w:sz w:val="21"/>
          <w:szCs w:val="21"/>
          <w:highlight w:val="none"/>
        </w:rPr>
        <w:t xml:space="preserve">其他有关符合性证明的文件；</w:t>
      </w:r>
      <w:r/>
    </w:p>
    <w:p>
      <w:pPr>
        <w:ind w:left="0" w:firstLine="408"/>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4.1.6</w:t>
      </w:r>
      <w:r>
        <w:rPr>
          <w:rFonts w:hint="eastAsia" w:ascii="宋体" w:hAnsi="宋体"/>
          <w:b/>
          <w:color w:val="auto"/>
          <w:sz w:val="21"/>
          <w:szCs w:val="21"/>
          <w:highlight w:val="none"/>
        </w:rPr>
        <w:t xml:space="preserve">综合评审文件</w:t>
      </w:r>
      <w:r/>
    </w:p>
    <w:p>
      <w:pPr>
        <w:ind w:left="0" w:firstLine="408"/>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14.1.6.1 针对本次项目维护管理服务具体方案</w:t>
      </w:r>
      <w:r/>
    </w:p>
    <w:p>
      <w:pPr>
        <w:ind w:left="0" w:firstLine="408"/>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14.1.6.2 设施维修组织方案</w:t>
      </w:r>
      <w:r/>
    </w:p>
    <w:p>
      <w:pPr>
        <w:ind w:left="0" w:firstLine="408"/>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14.1.6.3 设施偷盗及人为损坏的处理恢复方案</w:t>
      </w:r>
      <w:r/>
    </w:p>
    <w:p>
      <w:pPr>
        <w:ind w:left="0" w:firstLine="408"/>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14.1.6.4 安全管理方案</w:t>
      </w:r>
      <w:r/>
    </w:p>
    <w:p>
      <w:pPr>
        <w:ind w:left="0" w:firstLine="408"/>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14.1.6.5 维护期间与其他单位、部门的综合协调方案</w:t>
      </w:r>
      <w:r/>
    </w:p>
    <w:p>
      <w:pPr>
        <w:ind w:left="0" w:firstLine="408"/>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14.1.6.6 投标单位对本项目的了解情况，重点难点分析</w:t>
      </w:r>
      <w:r/>
    </w:p>
    <w:p>
      <w:pPr>
        <w:ind w:left="0" w:firstLine="408"/>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14.1.6.7 针对本项目服务质量保证承诺及服务质量</w:t>
      </w:r>
      <w:r/>
    </w:p>
    <w:p>
      <w:pPr>
        <w:ind w:left="0" w:firstLine="408"/>
        <w:pageBreakBefore w:val="0"/>
        <w:spacing w:line="360" w:lineRule="auto"/>
        <w:rPr>
          <w:rFonts w:ascii="宋体" w:hAnsi="宋体" w:cs="Times New Roman"/>
          <w:color w:val="auto"/>
          <w:sz w:val="21"/>
          <w:szCs w:val="21"/>
          <w:highlight w:val="none"/>
        </w:rPr>
      </w:pPr>
      <w:r>
        <w:rPr>
          <w:rFonts w:ascii="宋体" w:hAnsi="宋体"/>
          <w:color w:val="auto"/>
          <w:sz w:val="21"/>
          <w:szCs w:val="21"/>
          <w:highlight w:val="none"/>
        </w:rPr>
        <w:t xml:space="preserve">14.1.7</w:t>
      </w:r>
      <w:r>
        <w:rPr>
          <w:rFonts w:hint="eastAsia" w:ascii="宋体" w:hAnsi="宋体"/>
          <w:color w:val="auto"/>
          <w:sz w:val="21"/>
          <w:szCs w:val="21"/>
          <w:highlight w:val="none"/>
        </w:rPr>
        <w:t xml:space="preserve">对属于《节能产品政府采购品目清单》政府强制采购产品的，需提供该产品有效期内的认证等相关证明材料（如有）；</w:t>
      </w:r>
      <w:r/>
    </w:p>
    <w:p>
      <w:pPr>
        <w:ind w:left="0" w:firstLine="408"/>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4.1.8</w:t>
      </w:r>
      <w:r>
        <w:rPr>
          <w:rFonts w:hint="eastAsia" w:ascii="宋体" w:hAnsi="宋体"/>
          <w:color w:val="auto"/>
          <w:sz w:val="21"/>
          <w:szCs w:val="21"/>
          <w:highlight w:val="none"/>
        </w:rPr>
        <w:t xml:space="preserve">其他可以证明投标人资质、服务质量的证书、文件等相关资料。</w:t>
      </w:r>
      <w:r/>
    </w:p>
    <w:p>
      <w:pPr>
        <w:pStyle w:val="918"/>
        <w:ind w:left="0" w:firstLine="430"/>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14.1.4.1-14.1.4.7</w:t>
      </w:r>
      <w:r>
        <w:rPr>
          <w:rFonts w:hint="eastAsia" w:ascii="宋体" w:hAnsi="宋体" w:cs="宋体"/>
          <w:b/>
          <w:bCs/>
          <w:color w:val="auto"/>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918"/>
        <w:ind w:left="0" w:firstLine="430"/>
        <w:pageBreakBefore w:val="0"/>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14.1.5.1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14.1.5.4</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918"/>
        <w:ind w:left="0" w:firstLine="430"/>
        <w:pageBreakBefore w:val="0"/>
        <w:spacing w:line="360" w:lineRule="auto"/>
        <w:rPr>
          <w:rFonts w:ascii="宋体" w:hAnsi="宋体"/>
          <w:color w:val="auto"/>
          <w:sz w:val="21"/>
          <w:szCs w:val="21"/>
          <w:highlight w:val="none"/>
        </w:rPr>
      </w:pPr>
      <w:r>
        <w:rPr>
          <w:rFonts w:hint="eastAsia" w:ascii="宋体" w:hAnsi="宋体"/>
          <w:b/>
          <w:color w:val="auto"/>
          <w:sz w:val="21"/>
          <w:szCs w:val="21"/>
          <w:highlight w:val="none"/>
        </w:rPr>
        <w:t xml:space="preserve">（3）“1</w:t>
      </w:r>
      <w:r>
        <w:rPr>
          <w:rFonts w:ascii="宋体" w:hAnsi="宋体"/>
          <w:b/>
          <w:color w:val="auto"/>
          <w:sz w:val="21"/>
          <w:szCs w:val="21"/>
          <w:highlight w:val="none"/>
        </w:rPr>
        <w:t xml:space="preserve">4.1.4-14.1.8</w:t>
      </w:r>
      <w:r>
        <w:rPr>
          <w:rFonts w:hint="eastAsia" w:ascii="宋体" w:hAnsi="宋体"/>
          <w:b/>
          <w:color w:val="auto"/>
          <w:sz w:val="21"/>
          <w:szCs w:val="21"/>
          <w:highlight w:val="none"/>
        </w:rPr>
        <w:t xml:space="preserve">”中不得出现投标总报价。</w:t>
      </w:r>
      <w:r>
        <w:rPr>
          <w:rFonts w:hint="eastAsia" w:ascii="宋体" w:hAnsi="宋体"/>
          <w:color w:val="auto"/>
          <w:sz w:val="21"/>
          <w:szCs w:val="21"/>
          <w:highlight w:val="none"/>
        </w:rPr>
        <w:t xml:space="preserve">投标人所提交的资料的完整与否，将直接影响投标人的评分。</w:t>
      </w:r>
      <w:r/>
    </w:p>
    <w:p>
      <w:pPr>
        <w:pStyle w:val="918"/>
        <w:ind w:left="0" w:firstLine="430"/>
        <w:pageBreakBefore w:val="0"/>
        <w:spacing w:line="360" w:lineRule="auto"/>
        <w:rPr>
          <w:rFonts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w:t>
      </w:r>
      <w:r/>
    </w:p>
    <w:p>
      <w:pPr>
        <w:pStyle w:val="918"/>
        <w:ind w:left="0" w:firstLine="43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w:t>
      </w:r>
      <w:r>
        <w:rPr>
          <w:rFonts w:hint="eastAsia" w:ascii="宋体" w:hAnsi="宋体"/>
          <w:color w:val="auto"/>
          <w:sz w:val="21"/>
          <w:szCs w:val="21"/>
          <w:highlight w:val="none"/>
          <w:lang w:val="zh-CN"/>
        </w:rPr>
        <w:t xml:space="preserve">应综合考量</w:t>
      </w:r>
      <w:r>
        <w:rPr>
          <w:rFonts w:hint="eastAsia" w:ascii="宋体" w:hAnsi="宋体"/>
          <w:color w:val="auto"/>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color w:val="auto"/>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olor w:val="auto"/>
          <w:sz w:val="21"/>
          <w:szCs w:val="21"/>
          <w:highlight w:val="none"/>
        </w:rPr>
        <w:t xml:space="preserve">。</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.2投标人应按《公开分项报价》要求的内容填写，并由其法定代表人或授权代理人签署。</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.4一项投标内容只允许一个报价，招标人不接受任何有选择性的投标报价。</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.5投标文件报价采用人民币表示，除非合同的特殊条款另有规定。</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.6最低的报价或最高的折扣率不能作为中标的保证。</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918"/>
        <w:ind w:left="0" w:firstLine="428"/>
        <w:pageBreakBefore w:val="0"/>
        <w:spacing w:line="360" w:lineRule="auto"/>
        <w:rPr>
          <w:rFonts w:ascii="宋体" w:hAnsi="宋体"/>
          <w:b/>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本项目采用电子招投标形式，请供应商按照</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eastAsiaTheme="minorEastAsia"/>
          <w:color w:val="auto"/>
          <w:sz w:val="21"/>
          <w:szCs w:val="21"/>
          <w:highlight w:val="none"/>
        </w:rPr>
        <w:t xml:space="preserve">进行制作、上传电子投标文件。</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.1投标人应当在在投标截止时间前制作并上传电子投标文件。</w:t>
      </w:r>
      <w:r/>
    </w:p>
    <w:p>
      <w:pPr>
        <w:pStyle w:val="794"/>
        <w:ind w:left="0" w:firstLine="420"/>
        <w:pageBreakBefore w:val="0"/>
        <w:spacing w:line="360" w:lineRule="auto"/>
        <w:rPr>
          <w:rFonts w:hint="eastAsia" w:asciiTheme="minorEastAsia" w:hAnsiTheme="minorEastAsia" w:eastAsiaTheme="minorEastAsia"/>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《苏采云系统供应商操作手册》</w:t>
      </w:r>
      <w:r/>
    </w:p>
    <w:p>
      <w:pPr>
        <w:pStyle w:val="794"/>
        <w:ind w:left="0" w:firstLine="420"/>
        <w:pageBreakBefore w:val="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p>
    <w:p>
      <w:pPr>
        <w:pStyle w:val="918"/>
        <w:ind w:left="0" w:firstLine="422"/>
        <w:pageBreakBefore w:val="0"/>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olor w:val="auto"/>
          <w:sz w:val="21"/>
          <w:szCs w:val="21"/>
          <w:highlight w:val="none"/>
        </w:rPr>
        <w:t xml:space="preserve">六、开标和评标</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918"/>
        <w:ind w:left="0" w:firstLine="420"/>
        <w:pageBreakBefore w:val="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评标委员会。</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highlight w:val="none"/>
          <w:lang w:val="en-US"/>
        </w:rPr>
        <w:t xml:space="preserve">录</w:t>
      </w:r>
      <w:r>
        <w:rPr>
          <w:rFonts w:hint="eastAsia" w:ascii="宋体" w:hAnsi="宋体" w:cs="宋体"/>
          <w:color w:val="auto"/>
          <w:sz w:val="21"/>
          <w:szCs w:val="21"/>
          <w:highlight w:val="none"/>
        </w:rPr>
        <w:t xml:space="preserve">到来源网站页面进行复核并打印，作为证据留存。</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3.4</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.4</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评审</w:t>
      </w:r>
      <w:r>
        <w:rPr>
          <w:rFonts w:hint="eastAsia" w:ascii="宋体" w:hAnsi="宋体" w:cs="宋体"/>
          <w:b/>
          <w:bCs/>
          <w:color w:val="000000" w:themeColor="text1"/>
          <w:sz w:val="21"/>
          <w:szCs w:val="21"/>
          <w:highlight w:val="none"/>
          <w14:textFill>
            <w14:solidFill>
              <w14:schemeClr w14:val="tx1"/>
            </w14:solidFill>
          </w14:textFill>
        </w:rPr>
        <w:t xml:space="preserve">过程中关于异常低价审查的相关要求</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14:textFill>
            <w14:solidFill>
              <w14:schemeClr w14:val="tx1"/>
            </w14:solidFill>
          </w14:textFill>
        </w:rPr>
        <w:t xml:space="preserve">6.</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.1依据“财库〔2026〕2号”文相关规定，评审过程中出现下列情形之一的，磋商小组应当启动异常低价投标（响应）审查程序：</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14:textFill>
            <w14:solidFill>
              <w14:schemeClr w14:val="tx1"/>
            </w14:solidFill>
          </w14:textFill>
        </w:rPr>
        <w:t xml:space="preserve">6.</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.1.1投标（响应）报价低于全部通过符合性审查供应商投标（响应）报价平均值50%的，即投标（响应）报价&lt;全部通过符合性审查供应商投标（响应）报价平均值×50%；</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14:textFill>
            <w14:solidFill>
              <w14:schemeClr w14:val="tx1"/>
            </w14:solidFill>
          </w14:textFill>
        </w:rPr>
        <w:t xml:space="preserve">6.</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.1.2投标（响应）报价低于通过符合性审查的次低报价供应商投标（响应）报价50%的，即投标（响应）报价&lt;通过符合性审查的次低报价供应商投标（响应）报价×50%；</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14:textFill>
            <w14:solidFill>
              <w14:schemeClr w14:val="tx1"/>
            </w14:solidFill>
          </w14:textFill>
        </w:rPr>
        <w:t xml:space="preserve">6.</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.1.3投标（响应）报价低于采购项目最高限价45%的，即投标（响应）报价&lt;采购项目最高限价×45%；</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14:textFill>
            <w14:solidFill>
              <w14:schemeClr w14:val="tx1"/>
            </w14:solidFill>
          </w14:textFill>
        </w:rPr>
        <w:t xml:space="preserve">6.</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.1.4评审委员会基于专业判断，认为供应商报价过低，有可能影响产品质量或者不能诚信履约的其他情形。</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相关法律法规对供应商报价有规定的，从其规定。</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
          <w:bCs/>
          <w:color w:val="000000" w:themeColor="text1"/>
          <w:sz w:val="21"/>
          <w:szCs w:val="21"/>
          <w:highlight w:val="none"/>
          <w14:textFill>
            <w14:solidFill>
              <w14:schemeClr w14:val="tx1"/>
            </w14:solidFill>
          </w14:textFill>
        </w:rPr>
        <w:t xml:space="preserve">6.</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w:t>
      </w:r>
      <w:r>
        <w:rPr>
          <w:rFonts w:hint="eastAsia" w:ascii="宋体" w:hAnsi="宋体" w:cs="宋体"/>
          <w:b/>
          <w:bCs/>
          <w:color w:val="000000" w:themeColor="text1"/>
          <w:sz w:val="21"/>
          <w:szCs w:val="21"/>
          <w:highlight w:val="none"/>
          <w14:textFill>
            <w14:solidFill>
              <w14:schemeClr w14:val="tx1"/>
            </w14:solidFill>
          </w14:textFill>
        </w:rPr>
        <w:t xml:space="preserve">.2评审委员会启动异常低价投标（响应）审查后，属于前述第16.5.1.1项至第16.5.1.4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16.5.1.3项情形，供应商已随投标（响应）文件一并提交相关书面说明及必要的证明材料的，在评审现场可不再重复提交。</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tabs>
          <w:tab w:val="left" w:pos="753" w:leader="none"/>
        </w:tabs>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918"/>
        <w:ind w:left="0" w:firstLine="422"/>
        <w:pageBreakBefore w:val="0"/>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918"/>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rPr>
          <w:rFonts w:hint="eastAsia" w:ascii="宋体" w:hAnsi="宋体" w:cs="宋体"/>
          <w:color w:val="auto"/>
          <w:sz w:val="21"/>
          <w:szCs w:val="21"/>
          <w:highlight w:val="none"/>
          <w:lang w:eastAsia="zh-CN"/>
        </w:rPr>
        <w:t xml:space="preserve">：</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918"/>
        <w:ind w:left="0"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）投标人的报价只投了同一标段中部分内容；</w:t>
      </w:r>
      <w:r/>
    </w:p>
    <w:p>
      <w:pPr>
        <w:pStyle w:val="918"/>
        <w:ind w:left="0"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五）</w:t>
      </w:r>
      <w:r>
        <w:rPr>
          <w:rFonts w:hint="eastAsia" w:ascii="宋体" w:hAnsi="宋体" w:cs="宋体"/>
          <w:color w:val="auto"/>
          <w:sz w:val="21"/>
          <w:szCs w:val="21"/>
          <w:highlight w:val="none"/>
        </w:rPr>
        <w:t xml:space="preserve">投标人拒绝修正错误；</w:t>
      </w:r>
      <w:r/>
    </w:p>
    <w:p>
      <w:pPr>
        <w:pStyle w:val="918"/>
        <w:ind w:left="0"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六）</w:t>
      </w:r>
      <w:r>
        <w:rPr>
          <w:rFonts w:hint="eastAsia" w:ascii="宋体" w:hAnsi="宋体" w:cs="宋体"/>
          <w:color w:val="auto"/>
          <w:sz w:val="21"/>
          <w:szCs w:val="21"/>
          <w:highlight w:val="none"/>
        </w:rPr>
        <w:t xml:space="preserve">投标人的报价是选择性的；</w:t>
      </w:r>
      <w:r/>
    </w:p>
    <w:p>
      <w:pPr>
        <w:pStyle w:val="918"/>
        <w:ind w:left="0"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七）</w:t>
      </w:r>
      <w:r>
        <w:rPr>
          <w:rFonts w:hint="eastAsia" w:ascii="宋体" w:hAnsi="宋体" w:cs="宋体"/>
          <w:color w:val="auto"/>
          <w:sz w:val="21"/>
          <w:szCs w:val="21"/>
          <w:highlight w:val="none"/>
        </w:rPr>
        <w:t xml:space="preserve">投标人的投标文件中出现评委会认为不应雷同的；</w:t>
      </w:r>
      <w:r/>
    </w:p>
    <w:p>
      <w:pPr>
        <w:pStyle w:val="918"/>
        <w:ind w:left="0"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八）</w:t>
      </w:r>
      <w:r>
        <w:rPr>
          <w:rFonts w:hint="eastAsia" w:ascii="宋体" w:hAnsi="宋体"/>
          <w:b/>
          <w:color w:val="auto"/>
          <w:sz w:val="21"/>
          <w:szCs w:val="21"/>
          <w:highlight w:val="none"/>
        </w:rPr>
        <w:t xml:space="preserve">机器码检查中，出现不同投标人投标文件机器码一致情形的；</w:t>
      </w:r>
      <w:r>
        <w:rPr>
          <w:rFonts w:hint="eastAsia" w:ascii="宋体" w:hAnsi="宋体" w:cs="宋体"/>
          <w:color w:val="auto"/>
          <w:sz w:val="21"/>
          <w:szCs w:val="21"/>
          <w:highlight w:val="none"/>
        </w:rPr>
        <w:t xml:space="preserve">如投标文件制作机器码信息一致，视为不同投标供应商使用同一台电脑编制投标文件，投标无效；</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九）</w:t>
      </w:r>
      <w:r>
        <w:rPr>
          <w:rFonts w:hint="eastAsia" w:ascii="宋体" w:hAnsi="宋体" w:cs="宋体"/>
          <w:color w:val="auto"/>
          <w:sz w:val="21"/>
          <w:szCs w:val="21"/>
          <w:highlight w:val="none"/>
        </w:rPr>
        <w:t xml:space="preserve">投标文件含有采购人不能接受的附加条件的；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十</w:t>
      </w:r>
      <w:r>
        <w:rPr>
          <w:rFonts w:hint="eastAsia" w:ascii="宋体" w:hAnsi="宋体" w:cs="宋体"/>
          <w:color w:val="auto"/>
          <w:sz w:val="21"/>
          <w:szCs w:val="21"/>
          <w:highlight w:val="none"/>
        </w:rPr>
        <w:t xml:space="preserve">）其他被评委会认定无效</w:t>
      </w:r>
      <w:r>
        <w:rPr>
          <w:rFonts w:hint="eastAsia" w:ascii="宋体" w:hAnsi="宋体" w:cs="宋体"/>
          <w:color w:val="auto"/>
          <w:sz w:val="21"/>
          <w:szCs w:val="21"/>
          <w:highlight w:val="none"/>
          <w:lang w:val="en-US" w:eastAsia="zh-CN"/>
        </w:rPr>
        <w:t xml:space="preserve">的以及</w:t>
      </w:r>
      <w:r>
        <w:rPr>
          <w:rFonts w:hint="eastAsia" w:ascii="宋体" w:hAnsi="宋体" w:cs="宋体"/>
          <w:color w:val="auto"/>
          <w:sz w:val="21"/>
          <w:szCs w:val="21"/>
          <w:highlight w:val="none"/>
        </w:rPr>
        <w:t xml:space="preserve">法律、法规和招标文件规定的其他无效情形。</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.1.1符合专业条件的供应商或者对招标文件作实质投标的供应商不足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.1.4因重大变故，采购任务取消的；</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918"/>
        <w:ind w:left="0" w:firstLine="422"/>
        <w:pageBreakBefore w:val="0"/>
        <w:spacing w:line="360" w:lineRule="auto"/>
        <w:rPr>
          <w:rFonts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r/>
    </w:p>
    <w:p>
      <w:pPr>
        <w:pStyle w:val="918"/>
        <w:ind w:left="0" w:firstLine="422"/>
        <w:pageBreakBefore w:val="0"/>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七、授予合同</w:t>
      </w:r>
      <w:r/>
    </w:p>
    <w:p>
      <w:pPr>
        <w:pStyle w:val="918"/>
        <w:ind w:left="0" w:firstLine="422"/>
        <w:pageBreakBefore w:val="0"/>
        <w:spacing w:line="360" w:lineRule="auto"/>
        <w:rPr>
          <w:rFonts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918"/>
        <w:ind w:left="0" w:firstLine="42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918"/>
        <w:ind w:left="0" w:firstLine="420"/>
        <w:pageBreakBefore w:val="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918"/>
        <w:ind w:left="0" w:firstLine="420"/>
        <w:pageBreakBefore w:val="0"/>
        <w:spacing w:line="360" w:lineRule="auto"/>
        <w:rPr>
          <w:rFonts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918"/>
        <w:ind w:left="0" w:firstLine="420"/>
        <w:pageBreakBefore w:val="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r/>
    </w:p>
    <w:p>
      <w:pPr>
        <w:pStyle w:val="918"/>
        <w:ind w:left="0" w:firstLine="422"/>
        <w:pageBreakBefore w:val="0"/>
        <w:spacing w:line="360" w:lineRule="auto"/>
        <w:rPr>
          <w:rFonts w:ascii="宋体" w:hAnsi="宋体" w:cs="宋体"/>
          <w:color w:val="auto"/>
          <w:sz w:val="21"/>
          <w:szCs w:val="21"/>
          <w:highlight w:val="none"/>
        </w:rPr>
      </w:pPr>
      <w:r>
        <w:rPr>
          <w:rFonts w:hint="eastAsia" w:ascii="宋体" w:hAnsi="宋体"/>
          <w:b/>
          <w:color w:val="auto"/>
          <w:sz w:val="21"/>
          <w:szCs w:val="21"/>
          <w:highlight w:val="none"/>
        </w:rPr>
        <w:t xml:space="preserve">八、其他事项</w:t>
      </w:r>
      <w:r/>
    </w:p>
    <w:p>
      <w:pPr>
        <w:pStyle w:val="918"/>
        <w:ind w:left="0" w:firstLine="422"/>
        <w:pageBreakBefore w:val="0"/>
        <w:spacing w:line="360" w:lineRule="auto"/>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.代理服务费：按前附表的规定按其预算金额计算并支付服务费，该费用应在领取成交通知书前付清。</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对投标人的机器码检查</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机器码检查中，出现不同投标人投标文件机器码一致情形的，投标文件将被认定为无效投标。</w:t>
      </w:r>
      <w:r/>
    </w:p>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.有关监督部门将对招投标全过程进行监督。</w:t>
      </w:r>
      <w:r/>
    </w:p>
    <w:p>
      <w:pPr>
        <w:pStyle w:val="918"/>
        <w:ind w:left="0" w:firstLine="422"/>
        <w:pageBreakBefore w:val="0"/>
        <w:spacing w:line="360" w:lineRule="auto"/>
        <w:rPr>
          <w:rFonts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918"/>
        <w:ind w:left="0" w:firstLine="0"/>
        <w:pageBreakBefore w:val="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1121"/>
        <w:ind w:firstLine="0"/>
        <w:pageBreakBefore w:val="0"/>
        <w:spacing w:line="360" w:lineRule="auto"/>
        <w:rPr>
          <w:rFonts w:hint="eastAsia" w:ascii="宋体" w:hAnsi="宋体"/>
          <w:color w:val="000000" w:themeColor="text1"/>
          <w:sz w:val="21"/>
          <w:szCs w:val="16"/>
          <w:highlight w:val="none"/>
          <w14:textFill>
            <w14:solidFill>
              <w14:schemeClr w14:val="tx1"/>
            </w14:solidFill>
          </w14:textFill>
        </w:rPr>
        <w:outlineLvl w:val="2"/>
      </w:pPr>
      <w:r>
        <w:rPr>
          <w:rFonts w:ascii="宋体" w:hAnsi="宋体" w:eastAsia="宋体"/>
          <w:b/>
          <w:color w:val="000000" w:themeColor="text1"/>
          <w:sz w:val="18"/>
          <w:szCs w:val="18"/>
          <w:highlight w:val="none"/>
          <w14:textFill>
            <w14:solidFill>
              <w14:schemeClr w14:val="tx1"/>
            </w14:solidFill>
          </w14:textFill>
        </w:rPr>
        <w:br w:type="page" w:clear="all"/>
      </w:r>
      <w:r/>
    </w:p>
    <w:p>
      <w:pPr>
        <w:pStyle w:val="1115"/>
        <w:jc w:val="center"/>
        <w:pageBreakBefore w:val="0"/>
        <w:rPr>
          <w:rFonts w:hint="eastAsia" w:ascii="黑体" w:hAnsi="宋体" w:eastAsia="黑体"/>
          <w:color w:val="000000" w:themeColor="text1"/>
          <w:sz w:val="36"/>
          <w:szCs w:val="13"/>
          <w:highlight w:val="none"/>
          <w14:textFill>
            <w14:solidFill>
              <w14:schemeClr w14:val="tx1"/>
            </w14:solidFill>
          </w14:textFill>
        </w:rPr>
      </w:pPr>
      <w:r/>
      <w:bookmarkStart w:id="7" w:name="_Toc13642115"/>
      <w:r/>
      <w:bookmarkStart w:id="8" w:name="_Toc474491765"/>
      <w:r/>
      <w:bookmarkStart w:id="9" w:name="_Toc19066"/>
      <w:r>
        <w:rPr>
          <w:rFonts w:hint="eastAsia" w:ascii="黑体" w:hAnsi="宋体" w:eastAsia="黑体"/>
          <w:color w:val="000000" w:themeColor="text1"/>
          <w:sz w:val="36"/>
          <w:szCs w:val="13"/>
          <w:highlight w:val="none"/>
          <w14:textFill>
            <w14:solidFill>
              <w14:schemeClr w14:val="tx1"/>
            </w14:solidFill>
          </w14:textFill>
        </w:rPr>
        <w:t xml:space="preserve">第三章 </w:t>
      </w:r>
      <w:bookmarkEnd w:id="7"/>
      <w:r>
        <w:rPr>
          <w:rFonts w:hint="eastAsia" w:ascii="黑体" w:hAnsi="宋体" w:eastAsia="黑体"/>
          <w:color w:val="000000" w:themeColor="text1"/>
          <w:sz w:val="36"/>
          <w:szCs w:val="13"/>
          <w:highlight w:val="none"/>
          <w14:textFill>
            <w14:solidFill>
              <w14:schemeClr w14:val="tx1"/>
            </w14:solidFill>
          </w14:textFill>
        </w:rPr>
        <w:t xml:space="preserve"> </w:t>
      </w:r>
      <w:bookmarkEnd w:id="8"/>
      <w:r>
        <w:rPr>
          <w:rFonts w:hint="eastAsia" w:ascii="黑体" w:hAnsi="宋体" w:eastAsia="黑体"/>
          <w:color w:val="000000" w:themeColor="text1"/>
          <w:sz w:val="36"/>
          <w:szCs w:val="13"/>
          <w:highlight w:val="none"/>
          <w14:textFill>
            <w14:solidFill>
              <w14:schemeClr w14:val="tx1"/>
            </w14:solidFill>
          </w14:textFill>
        </w:rPr>
        <w:t xml:space="preserve">投标文件格式</w:t>
      </w:r>
      <w:bookmarkEnd w:id="9"/>
      <w:r/>
      <w:r/>
    </w:p>
    <w:p>
      <w:pPr>
        <w:ind w:left="0"/>
        <w:pageBreakBefore w:val="0"/>
        <w:spacing w:line="440" w:lineRule="exact"/>
        <w:rPr>
          <w:rFonts w:ascii="宋体" w:hAnsi="宋体"/>
          <w:b/>
          <w:color w:val="auto"/>
          <w:sz w:val="21"/>
          <w:szCs w:val="21"/>
          <w:highlight w:val="none"/>
        </w:rPr>
      </w:pPr>
      <w:r>
        <w:rPr>
          <w:rFonts w:ascii="宋体" w:hAnsi="宋体"/>
          <w:b/>
          <w:color w:val="auto"/>
          <w:sz w:val="21"/>
          <w:szCs w:val="21"/>
          <w:highlight w:val="none"/>
        </w:rPr>
        <w:t xml:space="preserve">说明：</w:t>
      </w:r>
      <w:r/>
    </w:p>
    <w:p>
      <w:pPr>
        <w:pStyle w:val="918"/>
        <w:ind w:left="0" w:firstLine="420"/>
        <w:pageBreakBefore w:val="0"/>
        <w:spacing w:line="440" w:lineRule="exact"/>
        <w:rPr>
          <w:rFonts w:ascii="宋体" w:hAnsi="宋体"/>
          <w:b/>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rPr>
          <w:rFonts w:hint="eastAsia" w:ascii="宋体" w:hAnsi="宋体"/>
          <w:b/>
          <w:color w:val="auto"/>
          <w:sz w:val="21"/>
          <w:szCs w:val="21"/>
          <w:highlight w:val="none"/>
        </w:rPr>
      </w:pPr>
      <w:r/>
      <w:bookmarkStart w:id="10" w:name="_Toc26658"/>
      <w:r/>
      <w:bookmarkStart w:id="11" w:name="_Toc23007"/>
      <w:r/>
      <w:bookmarkStart w:id="12" w:name="_Toc165274505"/>
      <w:r/>
      <w:bookmarkStart w:id="13" w:name="_Toc6960"/>
      <w:r>
        <w:rPr>
          <w:rFonts w:hint="eastAsia" w:ascii="宋体" w:hAnsi="宋体"/>
          <w:b/>
          <w:color w:val="auto"/>
          <w:sz w:val="21"/>
          <w:szCs w:val="21"/>
          <w:highlight w:val="none"/>
        </w:rPr>
        <w:br w:type="page" w:clear="all"/>
      </w:r>
      <w:r/>
    </w:p>
    <w:p>
      <w:pPr>
        <w:pStyle w:val="797"/>
        <w:rPr>
          <w:rFonts w:hint="eastAsia"/>
          <w:highlight w:val="none"/>
        </w:rPr>
      </w:pPr>
      <w:r>
        <w:rPr>
          <w:rFonts w:hint="eastAsia"/>
          <w:highlight w:val="none"/>
        </w:rPr>
      </w:r>
      <w:r/>
    </w:p>
    <w:p>
      <w:pPr>
        <w:ind w:left="0"/>
        <w:pageBreakBefore w:val="0"/>
        <w:rPr>
          <w:rFonts w:ascii="宋体" w:hAnsi="宋体"/>
          <w:b/>
          <w:color w:val="auto"/>
          <w:sz w:val="21"/>
          <w:szCs w:val="21"/>
          <w:highlight w:val="none"/>
        </w:rPr>
        <w:outlineLvl w:val="0"/>
      </w:pPr>
      <w:r>
        <w:rPr>
          <w:rFonts w:hint="eastAsia" w:ascii="宋体" w:hAnsi="宋体"/>
          <w:b/>
          <w:color w:val="auto"/>
          <w:sz w:val="21"/>
          <w:szCs w:val="21"/>
          <w:highlight w:val="none"/>
        </w:rPr>
        <w:t xml:space="preserve">附件1.投标函</w:t>
      </w:r>
      <w:bookmarkEnd w:id="10"/>
      <w:r/>
      <w:bookmarkEnd w:id="11"/>
      <w:r/>
      <w:bookmarkEnd w:id="12"/>
      <w:r/>
      <w:bookmarkEnd w:id="13"/>
      <w:r/>
      <w:r/>
    </w:p>
    <w:p>
      <w:pPr>
        <w:ind w:left="0" w:firstLine="4638"/>
        <w:jc w:val="left"/>
        <w:pageBreakBefore w:val="0"/>
        <w:spacing w:line="440" w:lineRule="exact"/>
        <w:rPr>
          <w:rFonts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江苏至衡诚达工程咨询有限公司</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我方收到贵司</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（项目编号）招标文件，经仔细阅读和研究，我方决定参加投标，并向贵司作出如下承诺：</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1、我方愿意按照招标文件的一切要求，提供本项目的所有内容，我方投标的报价包括完成本项工作所需的一切应有费用。</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3、我方已详细审查并同意招标文件及更正文件（若有）中的规定。我方完全理解并同意放弃对这方面有不明及误解的权利。</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4、本投标书的有效期限为投标截止时间之日起</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lang w:val="zh-CN"/>
        </w:rPr>
        <w:t xml:space="preserve">天。</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5、我方保证所提交的投标文件中所有资料均是真实的、准确的。若与真实情况不符，我方愿意承担由此而产生的一切后果。</w:t>
      </w:r>
      <w:r/>
    </w:p>
    <w:p>
      <w:pPr>
        <w:ind w:left="0" w:firstLine="420"/>
        <w:jc w:val="left"/>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7、我方承诺该项投标在开标后的全过程中保持有效，不作任何更改和变动。</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8、我方承诺满足《中华人民共和国政府采购法》第二十二条规定的所有条件。</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9、与本投标有关的通讯地址:</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单   位：                                        联 系 人： </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地   址：                                        邮政编码： </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联系电话：                                       电子邮箱：</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w:t>
      </w:r>
      <w:r/>
    </w:p>
    <w:p>
      <w:pPr>
        <w:ind w:left="0" w:firstLine="420"/>
        <w:pageBreakBefore w:val="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ind w:left="0"/>
        <w:pageBreakBefore w:val="0"/>
        <w:rPr>
          <w:rFonts w:ascii="宋体" w:hAnsi="宋体"/>
          <w:b/>
          <w:color w:val="auto"/>
          <w:sz w:val="21"/>
          <w:szCs w:val="21"/>
          <w:highlight w:val="none"/>
        </w:rPr>
        <w:outlineLvl w:val="0"/>
      </w:pPr>
      <w:r>
        <w:rPr>
          <w:rFonts w:ascii="宋体" w:hAnsi="宋体"/>
          <w:b/>
          <w:color w:val="auto"/>
          <w:sz w:val="21"/>
          <w:szCs w:val="21"/>
          <w:highlight w:val="none"/>
        </w:rPr>
      </w:r>
      <w:r/>
    </w:p>
    <w:p>
      <w:pPr>
        <w:ind w:left="0"/>
        <w:pageBreakBefore w:val="0"/>
        <w:rPr>
          <w:rFonts w:ascii="宋体" w:hAnsi="宋体"/>
          <w:b/>
          <w:color w:val="auto"/>
          <w:sz w:val="21"/>
          <w:szCs w:val="21"/>
          <w:highlight w:val="none"/>
        </w:rPr>
        <w:outlineLvl w:val="0"/>
      </w:pPr>
      <w:r>
        <w:rPr>
          <w:rFonts w:ascii="宋体" w:hAnsi="宋体"/>
          <w:b/>
          <w:color w:val="auto"/>
          <w:sz w:val="21"/>
          <w:szCs w:val="21"/>
          <w:highlight w:val="none"/>
        </w:rPr>
      </w:r>
      <w:r/>
    </w:p>
    <w:p>
      <w:pPr>
        <w:ind w:left="0"/>
        <w:pageBreakBefore w:val="0"/>
        <w:rPr>
          <w:rFonts w:hint="default" w:ascii="宋体" w:hAnsi="宋体" w:eastAsia="宋体"/>
          <w:b/>
          <w:color w:val="auto"/>
          <w:sz w:val="21"/>
          <w:szCs w:val="21"/>
          <w:highlight w:val="none"/>
          <w:lang w:val="en-US" w:eastAsia="zh-CN"/>
        </w:rPr>
        <w:outlineLvl w:val="0"/>
      </w:pPr>
      <w:r>
        <w:rPr>
          <w:rFonts w:ascii="宋体" w:hAnsi="宋体"/>
          <w:b/>
          <w:color w:val="auto"/>
          <w:sz w:val="21"/>
          <w:szCs w:val="21"/>
          <w:highlight w:val="none"/>
        </w:rPr>
        <w:br w:type="page" w:clear="all"/>
      </w:r>
      <w:bookmarkStart w:id="14" w:name="_Toc13022"/>
      <w:r/>
      <w:bookmarkStart w:id="15" w:name="_Toc30429"/>
      <w:r/>
      <w:bookmarkStart w:id="16" w:name="_Toc5210"/>
      <w:r/>
      <w:bookmarkStart w:id="17" w:name="_Toc165274506"/>
      <w:r>
        <w:rPr>
          <w:rFonts w:ascii="宋体" w:hAnsi="宋体"/>
          <w:b/>
          <w:color w:val="auto"/>
          <w:sz w:val="21"/>
          <w:szCs w:val="21"/>
          <w:highlight w:val="none"/>
        </w:rPr>
        <w:t xml:space="preserve">附件2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开标一览表</w:t>
      </w:r>
      <w:bookmarkEnd w:id="14"/>
      <w:r/>
      <w:bookmarkEnd w:id="15"/>
      <w:r/>
      <w:bookmarkEnd w:id="16"/>
      <w:r/>
      <w:bookmarkEnd w:id="17"/>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按系统格式）</w:t>
      </w:r>
      <w:r/>
    </w:p>
    <w:p>
      <w:pPr>
        <w:pageBreakBefore w:val="0"/>
        <w:rPr>
          <w:rFonts w:ascii="宋体" w:hAnsi="宋体"/>
          <w:color w:val="auto"/>
          <w:sz w:val="21"/>
          <w:szCs w:val="21"/>
          <w:highlight w:val="none"/>
        </w:rPr>
      </w:pPr>
      <w:r>
        <w:rPr>
          <w:rFonts w:ascii="宋体" w:hAnsi="宋体"/>
          <w:color w:val="auto"/>
          <w:sz w:val="21"/>
          <w:szCs w:val="21"/>
          <w:highlight w:val="none"/>
        </w:rPr>
      </w:r>
      <w:r/>
    </w:p>
    <w:p>
      <w:pPr>
        <w:ind w:left="0"/>
        <w:jc w:val="center"/>
        <w:pageBreakBefore w:val="0"/>
        <w:rPr>
          <w:rFonts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投标人全称（加盖公章）：</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项目编号：  </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分包号：</w:t>
      </w:r>
      <w:r/>
    </w:p>
    <w:tbl>
      <w:tblPr>
        <w:tblStyle w:val="79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16"/>
        <w:gridCol w:w="5984"/>
      </w:tblGrid>
      <w:tr>
        <w:trPr>
          <w:cantSplit/>
          <w:trHeight w:val="1098"/>
        </w:trPr>
        <w:tc>
          <w:tcPr>
            <w:tcBorders>
              <w:top w:val="single" w:color="auto" w:sz="4" w:space="0"/>
              <w:left w:val="single" w:color="auto" w:sz="4" w:space="0"/>
              <w:bottom w:val="single" w:color="auto" w:sz="4" w:space="0"/>
              <w:right w:val="single" w:color="auto" w:sz="4" w:space="0"/>
            </w:tcBorders>
            <w:tcW w:w="1395" w:type="pct"/>
            <w:vAlign w:val="center"/>
            <w:textDirection w:val="lrTb"/>
            <w:noWrap w:val="false"/>
          </w:tcPr>
          <w:p>
            <w:pPr>
              <w:ind w:left="0"/>
              <w:jc w:val="center"/>
              <w:pageBreakBefore w:val="0"/>
              <w:spacing w:line="600" w:lineRule="exact"/>
              <w:rPr>
                <w:rFonts w:ascii="宋体" w:hAnsi="宋体"/>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pageBreakBefore w:val="0"/>
              <w:spacing w:line="600" w:lineRule="exact"/>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5" w:type="pct"/>
            <w:vAlign w:val="center"/>
            <w:textDirection w:val="lrTb"/>
            <w:noWrap w:val="false"/>
          </w:tcPr>
          <w:p>
            <w:pPr>
              <w:ind w:left="0"/>
              <w:jc w:val="center"/>
              <w:pageBreakBefore w:val="0"/>
              <w:spacing w:line="6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pageBreakBefore w:val="0"/>
              <w:spacing w:line="600" w:lineRule="exact"/>
              <w:rPr>
                <w:rFonts w:ascii="宋体" w:hAnsi="宋体" w:cs="Times New Roman"/>
                <w:color w:val="auto"/>
                <w:sz w:val="21"/>
                <w:szCs w:val="21"/>
                <w:highlight w:val="none"/>
              </w:rPr>
            </w:pPr>
            <w:r>
              <w:rPr>
                <w:rFonts w:hint="eastAsia" w:ascii="宋体" w:hAnsi="宋体"/>
                <w:color w:val="auto"/>
                <w:sz w:val="21"/>
                <w:szCs w:val="21"/>
                <w:highlight w:val="none"/>
              </w:rPr>
              <w:t xml:space="preserve">小写：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5" w:type="pct"/>
            <w:vAlign w:val="center"/>
            <w:textDirection w:val="lrTb"/>
            <w:noWrap w:val="false"/>
          </w:tcPr>
          <w:p>
            <w:pPr>
              <w:ind w:left="0"/>
              <w:jc w:val="center"/>
              <w:pageBreakBefore w:val="0"/>
              <w:spacing w:line="600" w:lineRule="exact"/>
              <w:rPr>
                <w:rFonts w:ascii="宋体" w:hAnsi="宋体"/>
                <w:color w:val="auto"/>
                <w:sz w:val="21"/>
                <w:szCs w:val="21"/>
                <w:highlight w:val="none"/>
              </w:rPr>
            </w:pPr>
            <w:r>
              <w:rPr>
                <w:rFonts w:hint="eastAsia" w:ascii="宋体" w:hAnsi="宋体"/>
                <w:color w:val="auto"/>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pageBreakBefore w:val="0"/>
              <w:spacing w:line="600" w:lineRule="exact"/>
              <w:rPr>
                <w:rFonts w:ascii="宋体" w:hAnsi="宋体"/>
                <w:color w:val="auto"/>
                <w:sz w:val="21"/>
                <w:szCs w:val="21"/>
                <w:highlight w:val="none"/>
              </w:rPr>
            </w:pPr>
            <w:r>
              <w:rPr>
                <w:rFonts w:ascii="宋体" w:hAnsi="宋体"/>
                <w:color w:val="auto"/>
                <w:sz w:val="21"/>
                <w:szCs w:val="21"/>
                <w:highlight w:val="none"/>
              </w:rPr>
            </w:r>
            <w:r/>
          </w:p>
        </w:tc>
      </w:tr>
    </w:tbl>
    <w:p>
      <w:pPr>
        <w:pageBreakBefore w:val="0"/>
        <w:spacing w:line="600" w:lineRule="exact"/>
        <w:rPr>
          <w:rFonts w:ascii="宋体" w:hAnsi="宋体" w:cs="Times New Roman"/>
          <w:color w:val="auto"/>
          <w:sz w:val="21"/>
          <w:szCs w:val="21"/>
          <w:highlight w:val="none"/>
        </w:rPr>
      </w:pPr>
      <w:r>
        <w:rPr>
          <w:rFonts w:ascii="宋体" w:hAnsi="宋体" w:cs="Times New Roman"/>
          <w:color w:val="auto"/>
          <w:sz w:val="21"/>
          <w:szCs w:val="21"/>
          <w:highlight w:val="none"/>
        </w:rPr>
      </w:r>
      <w:r/>
    </w:p>
    <w:p>
      <w:pPr>
        <w:ind w:left="0"/>
        <w:jc w:val="left"/>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日期：    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日</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填写说明：</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1</w:t>
      </w:r>
      <w:r>
        <w:rPr>
          <w:rFonts w:ascii="宋体" w:hAnsi="宋体"/>
          <w:color w:val="auto"/>
          <w:highlight w:val="none"/>
        </w:rPr>
        <w:t xml:space="preserve">.</w:t>
      </w:r>
      <w:r>
        <w:rPr>
          <w:rFonts w:hint="eastAsia" w:ascii="宋体" w:hAnsi="宋体"/>
          <w:color w:val="auto"/>
          <w:sz w:val="21"/>
          <w:szCs w:val="21"/>
          <w:highlight w:val="none"/>
          <w:lang w:val="zh-CN"/>
        </w:rPr>
        <w:t xml:space="preserve">开标一览表必须加盖投标人公章（复印件无效）。</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highlight w:val="none"/>
        </w:rPr>
        <w:t xml:space="preserve">.</w:t>
      </w:r>
      <w:r>
        <w:rPr>
          <w:rFonts w:hint="eastAsia" w:ascii="宋体" w:hAnsi="宋体"/>
          <w:color w:val="auto"/>
          <w:sz w:val="21"/>
          <w:szCs w:val="21"/>
          <w:highlight w:val="none"/>
          <w:lang w:val="zh-CN"/>
        </w:rPr>
        <w:t xml:space="preserve">如有分包，投标人投任何一个包的标的，都需单独填写开标一览表。</w:t>
      </w:r>
      <w:r/>
    </w:p>
    <w:p>
      <w:pPr>
        <w:pStyle w:val="797"/>
        <w:pageBreakBefore w:val="0"/>
        <w:rPr>
          <w:rFonts w:ascii="宋体" w:hAnsi="宋体"/>
          <w:color w:val="auto"/>
          <w:highlight w:val="none"/>
        </w:rPr>
      </w:pPr>
      <w:r>
        <w:rPr>
          <w:rFonts w:ascii="宋体" w:hAnsi="宋体"/>
          <w:color w:val="auto"/>
          <w:highlight w:val="none"/>
        </w:rPr>
      </w:r>
      <w:r/>
    </w:p>
    <w:p>
      <w:pPr>
        <w:ind w:left="0"/>
        <w:pageBreakBefore w:val="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pageBreakBefore w:val="0"/>
        <w:spacing w:line="440" w:lineRule="exact"/>
        <w:rPr>
          <w:rFonts w:ascii="宋体" w:hAnsi="宋体"/>
          <w:b/>
          <w:color w:val="auto"/>
          <w:sz w:val="21"/>
          <w:szCs w:val="21"/>
          <w:highlight w:val="none"/>
        </w:rPr>
      </w:pPr>
      <w:r>
        <w:rPr>
          <w:rFonts w:ascii="宋体" w:hAnsi="宋体"/>
          <w:b/>
          <w:color w:val="auto"/>
          <w:sz w:val="21"/>
          <w:szCs w:val="21"/>
          <w:highlight w:val="none"/>
        </w:rPr>
      </w:r>
      <w:r/>
    </w:p>
    <w:p>
      <w:pPr>
        <w:ind w:left="0"/>
        <w:pageBreakBefore w:val="0"/>
        <w:spacing w:line="440" w:lineRule="exact"/>
        <w:rPr>
          <w:rFonts w:ascii="宋体" w:hAnsi="宋体"/>
          <w:b/>
          <w:color w:val="auto"/>
          <w:sz w:val="21"/>
          <w:szCs w:val="21"/>
          <w:highlight w:val="none"/>
        </w:rPr>
      </w:pPr>
      <w:r>
        <w:rPr>
          <w:rFonts w:ascii="宋体" w:hAnsi="宋体"/>
          <w:b/>
          <w:color w:val="auto"/>
          <w:sz w:val="21"/>
          <w:szCs w:val="21"/>
          <w:highlight w:val="none"/>
        </w:rPr>
      </w:r>
      <w:r/>
    </w:p>
    <w:p>
      <w:pPr>
        <w:pageBreakBefore w:val="0"/>
        <w:rPr>
          <w:rFonts w:ascii="宋体" w:hAnsi="宋体"/>
          <w:b/>
          <w:color w:val="auto"/>
          <w:sz w:val="21"/>
          <w:szCs w:val="21"/>
          <w:highlight w:val="none"/>
        </w:rPr>
      </w:pPr>
      <w:r>
        <w:rPr>
          <w:rFonts w:ascii="宋体" w:hAnsi="宋体"/>
          <w:b/>
          <w:color w:val="auto"/>
          <w:sz w:val="21"/>
          <w:szCs w:val="21"/>
          <w:highlight w:val="none"/>
        </w:rPr>
        <w:br w:type="page" w:clear="all"/>
      </w:r>
      <w:r/>
    </w:p>
    <w:p>
      <w:pPr>
        <w:ind w:left="0"/>
        <w:pageBreakBefore w:val="0"/>
        <w:spacing w:line="440" w:lineRule="exact"/>
        <w:rPr>
          <w:rFonts w:ascii="宋体" w:hAnsi="宋体"/>
          <w:b/>
          <w:color w:val="auto"/>
          <w:sz w:val="21"/>
          <w:szCs w:val="21"/>
          <w:highlight w:val="none"/>
        </w:rPr>
      </w:pPr>
      <w:r>
        <w:rPr>
          <w:rFonts w:ascii="宋体" w:hAnsi="宋体"/>
          <w:b/>
          <w:color w:val="auto"/>
          <w:sz w:val="21"/>
          <w:szCs w:val="21"/>
          <w:highlight w:val="none"/>
        </w:rPr>
      </w:r>
      <w:r/>
    </w:p>
    <w:p>
      <w:pPr>
        <w:pStyle w:val="797"/>
        <w:pageBreakBefore w:val="0"/>
        <w:rPr>
          <w:color w:val="auto"/>
          <w:highlight w:val="none"/>
        </w:rPr>
      </w:pPr>
      <w:r>
        <w:rPr>
          <w:color w:val="auto"/>
          <w:highlight w:val="none"/>
        </w:rPr>
      </w:r>
      <w:r/>
    </w:p>
    <w:p>
      <w:pPr>
        <w:ind w:left="0"/>
        <w:pageBreakBefore w:val="0"/>
        <w:rPr>
          <w:rFonts w:ascii="宋体" w:hAnsi="宋体"/>
          <w:b/>
          <w:color w:val="auto"/>
          <w:sz w:val="21"/>
          <w:szCs w:val="21"/>
          <w:highlight w:val="none"/>
        </w:rPr>
        <w:outlineLvl w:val="0"/>
      </w:pPr>
      <w:r/>
      <w:bookmarkStart w:id="18" w:name="_Toc1532"/>
      <w:r>
        <w:rPr>
          <w:rFonts w:ascii="宋体" w:hAnsi="宋体"/>
          <w:b/>
          <w:color w:val="auto"/>
          <w:sz w:val="21"/>
          <w:szCs w:val="21"/>
          <w:highlight w:val="none"/>
        </w:rPr>
        <w:t xml:space="preserve">附件3</w:t>
      </w:r>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宋体" w:hAnsi="宋体"/>
          <w:b/>
          <w:color w:val="auto"/>
          <w:sz w:val="21"/>
          <w:szCs w:val="21"/>
          <w:highlight w:val="none"/>
        </w:rPr>
        <w:t xml:space="preserve">公开分项报价</w:t>
      </w:r>
      <w:bookmarkEnd w:id="18"/>
      <w:r/>
      <w:r/>
    </w:p>
    <w:p>
      <w:pPr>
        <w:ind w:left="0"/>
        <w:jc w:val="center"/>
        <w:pageBreakBefore w:val="0"/>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pageBreakBefore w:val="0"/>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pageBreakBefore w:val="0"/>
        <w:widowControl w:val="off"/>
        <w:rPr>
          <w:rFonts w:hint="default" w:ascii="宋体" w:hAnsi="宋体" w:eastAsia="宋体"/>
          <w:b/>
          <w:color w:val="auto"/>
          <w:sz w:val="21"/>
          <w:szCs w:val="21"/>
          <w:highlight w:val="none"/>
          <w:lang w:val="en-US" w:eastAsia="zh-CN"/>
        </w:rPr>
      </w:pPr>
      <w:r>
        <w:rPr>
          <w:rFonts w:hint="eastAsia" w:ascii="宋体" w:hAnsi="宋体"/>
          <w:b/>
          <w:color w:val="auto"/>
          <w:sz w:val="21"/>
          <w:szCs w:val="21"/>
          <w:highlight w:val="none"/>
        </w:rPr>
        <w:t xml:space="preserve">公开分项报价</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一）</w:t>
      </w:r>
      <w:r/>
    </w:p>
    <w:p>
      <w:pPr>
        <w:pStyle w:val="918"/>
        <w:ind w:left="0" w:firstLine="0"/>
        <w:pageBreakBefore w:val="0"/>
        <w:rPr>
          <w:rFonts w:hint="eastAsia"/>
          <w:color w:val="auto"/>
          <w:highlight w:val="none"/>
        </w:rPr>
      </w:pPr>
      <w:r>
        <w:rPr>
          <w:rFonts w:hint="eastAsia"/>
          <w:color w:val="auto"/>
          <w:highlight w:val="none"/>
        </w:rPr>
      </w:r>
      <w:r/>
    </w:p>
    <w:tbl>
      <w:tblPr>
        <w:tblStyle w:val="792"/>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4"/>
        <w:gridCol w:w="5680"/>
        <w:gridCol w:w="1756"/>
      </w:tblGrid>
      <w:tr>
        <w:trPr>
          <w:trHeight w:val="560"/>
        </w:trPr>
        <w:tc>
          <w:tcPr>
            <w:gridSpan w:val="2"/>
            <w:shd w:val="clear" w:color="auto" w:fill="auto"/>
            <w:tcBorders>
              <w:top w:val="none" w:color="000000" w:sz="4" w:space="0"/>
              <w:left w:val="none" w:color="000000" w:sz="4" w:space="0"/>
              <w:bottom w:val="single" w:color="000000" w:sz="8" w:space="0"/>
              <w:right w:val="none" w:color="000000" w:sz="4" w:space="0"/>
            </w:tcBorders>
            <w:tcW w:w="3943" w:type="pct"/>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项目名称：2026-2028年太湖街道路灯养护项目</w:t>
            </w:r>
            <w:r/>
          </w:p>
        </w:tc>
        <w:tc>
          <w:tcPr>
            <w:shd w:val="clear" w:color="auto" w:fill="auto"/>
            <w:tcBorders>
              <w:top w:val="none" w:color="000000" w:sz="4" w:space="0"/>
              <w:left w:val="none" w:color="000000" w:sz="4" w:space="0"/>
              <w:bottom w:val="single" w:color="000000" w:sz="8" w:space="0"/>
              <w:right w:val="none" w:color="000000" w:sz="4" w:space="0"/>
            </w:tcBorders>
            <w:tcW w:w="1056" w:type="pct"/>
            <w:vAlign w:val="center"/>
            <w:textDirection w:val="lrTb"/>
            <w:noWrap w:val="false"/>
          </w:tcPr>
          <w:p>
            <w:pPr>
              <w:jc w:val="right"/>
              <w:keepLines w:val="0"/>
              <w:keepNext w:val="0"/>
              <w:pageBreakBefore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rPr>
            </w:r>
            <w:r/>
          </w:p>
        </w:tc>
      </w:tr>
      <w:tr>
        <w:trPr>
          <w:trHeight w:val="280"/>
        </w:trPr>
        <w:tc>
          <w:tcPr>
            <w:shd w:val="clear" w:color="auto" w:fill="auto"/>
            <w:tcBorders>
              <w:top w:val="single" w:color="000000" w:sz="8" w:space="0"/>
              <w:left w:val="single" w:color="000000" w:sz="8" w:space="0"/>
              <w:bottom w:val="single" w:color="000000" w:sz="4" w:space="0"/>
              <w:right w:val="single" w:color="000000" w:sz="4" w:space="0"/>
            </w:tcBorders>
            <w:tcW w:w="526"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3417"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项目内容</w:t>
            </w:r>
            <w:r/>
          </w:p>
        </w:tc>
        <w:tc>
          <w:tcPr>
            <w:shd w:val="clear" w:color="auto" w:fill="auto"/>
            <w:tcBorders>
              <w:top w:val="single" w:color="000000" w:sz="8" w:space="0"/>
              <w:left w:val="single" w:color="000000" w:sz="4" w:space="0"/>
              <w:bottom w:val="single" w:color="000000" w:sz="4" w:space="0"/>
              <w:right w:val="single" w:color="000000" w:sz="8" w:space="0"/>
            </w:tcBorders>
            <w:tcW w:w="1056"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2"/>
                <w:szCs w:val="22"/>
                <w:highlight w:val="none"/>
                <w:u w:val="none"/>
              </w:rPr>
              <w:suppressLineNumbers w:val="0"/>
            </w:pPr>
            <w:r>
              <w:rPr>
                <w:rFonts w:hint="eastAsia" w:ascii="宋体" w:hAnsi="宋体" w:eastAsia="宋体" w:cs="宋体"/>
                <w:b/>
                <w:bCs/>
                <w:i w:val="0"/>
                <w:iCs w:val="0"/>
                <w:color w:val="000000"/>
                <w:sz w:val="22"/>
                <w:szCs w:val="22"/>
                <w:highlight w:val="none"/>
                <w:u w:val="none"/>
                <w:lang w:val="en-US" w:eastAsia="zh-CN" w:bidi="ar"/>
              </w:rPr>
              <w:t xml:space="preserve">金额(元)</w:t>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41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2026年11月19日-2027年11月18日太湖街道路灯养护项目（路灯、景观灯、变压器、路灯监控系统等）</w:t>
            </w:r>
            <w:r/>
          </w:p>
        </w:tc>
        <w:tc>
          <w:tcPr>
            <w:shd w:val="clear" w:color="auto" w:fill="auto"/>
            <w:tcBorders>
              <w:top w:val="single" w:color="000000" w:sz="4" w:space="0"/>
              <w:left w:val="single" w:color="000000" w:sz="4" w:space="0"/>
              <w:bottom w:val="single" w:color="000000" w:sz="4" w:space="0"/>
              <w:right w:val="single" w:color="000000" w:sz="8" w:space="0"/>
            </w:tcBorders>
            <w:tcW w:w="10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41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2027年11月19日-2028年11月18日太湖街道路灯养护项目（路灯、景观灯、变压器、路灯监控系统等）</w:t>
            </w:r>
            <w:r/>
          </w:p>
        </w:tc>
        <w:tc>
          <w:tcPr>
            <w:shd w:val="clear" w:color="auto" w:fill="auto"/>
            <w:tcBorders>
              <w:top w:val="single" w:color="000000" w:sz="4" w:space="0"/>
              <w:left w:val="single" w:color="000000" w:sz="4" w:space="0"/>
              <w:bottom w:val="single" w:color="000000" w:sz="4" w:space="0"/>
              <w:right w:val="single" w:color="000000" w:sz="8" w:space="0"/>
            </w:tcBorders>
            <w:tcW w:w="10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20"/>
        </w:trPr>
        <w:tc>
          <w:tcPr>
            <w:shd w:val="clear" w:color="auto" w:fill="auto"/>
            <w:tcBorders>
              <w:top w:val="single" w:color="000000" w:sz="4" w:space="0"/>
              <w:left w:val="single" w:color="000000" w:sz="8" w:space="0"/>
              <w:bottom w:val="single" w:color="000000" w:sz="4" w:space="0"/>
              <w:right w:val="single" w:color="000000" w:sz="4" w:space="0"/>
            </w:tcBorders>
            <w:tcW w:w="52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1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2026-2028年太湖街道路灯养护项目（应急抢修）</w:t>
            </w:r>
            <w:r/>
          </w:p>
        </w:tc>
        <w:tc>
          <w:tcPr>
            <w:shd w:val="clear" w:color="auto" w:fill="auto"/>
            <w:tcBorders>
              <w:top w:val="single" w:color="000000" w:sz="4" w:space="0"/>
              <w:left w:val="single" w:color="000000" w:sz="4" w:space="0"/>
              <w:bottom w:val="single" w:color="000000" w:sz="4" w:space="0"/>
              <w:right w:val="single" w:color="000000" w:sz="8" w:space="0"/>
            </w:tcBorders>
            <w:tcW w:w="10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00"/>
        </w:trPr>
        <w:tc>
          <w:tcPr>
            <w:gridSpan w:val="2"/>
            <w:shd w:val="clear" w:color="auto" w:fill="auto"/>
            <w:tcBorders>
              <w:top w:val="single" w:color="000000" w:sz="4" w:space="0"/>
              <w:left w:val="single" w:color="000000" w:sz="8" w:space="0"/>
              <w:bottom w:val="single" w:color="000000" w:sz="8" w:space="0"/>
              <w:right w:val="single" w:color="000000" w:sz="4" w:space="0"/>
            </w:tcBorders>
            <w:tcW w:w="394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8" w:space="0"/>
              <w:right w:val="single" w:color="000000" w:sz="8" w:space="0"/>
            </w:tcBorders>
            <w:tcW w:w="105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918"/>
        <w:ind w:left="0" w:firstLine="0"/>
        <w:pageBreakBefore w:val="0"/>
        <w:rPr>
          <w:rFonts w:hint="eastAsia"/>
          <w:color w:val="auto"/>
          <w:highlight w:val="none"/>
        </w:rPr>
      </w:pPr>
      <w:r>
        <w:rPr>
          <w:rFonts w:hint="eastAsia"/>
          <w:color w:val="auto"/>
          <w:highlight w:val="none"/>
        </w:rPr>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w:t>
      </w:r>
      <w:r/>
    </w:p>
    <w:p>
      <w:pPr>
        <w:ind w:left="0" w:firstLine="420"/>
        <w:pageBreakBefore w:val="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ind w:left="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pageBreakBefore w:val="0"/>
        <w:rPr>
          <w:rFonts w:hint="eastAsia" w:ascii="宋体" w:hAnsi="宋体"/>
          <w:color w:val="auto"/>
          <w:sz w:val="21"/>
          <w:szCs w:val="21"/>
          <w:highlight w:val="none"/>
        </w:rPr>
      </w:pPr>
      <w:r>
        <w:rPr>
          <w:rFonts w:hint="eastAsia" w:ascii="宋体" w:hAnsi="宋体"/>
          <w:color w:val="auto"/>
          <w:sz w:val="21"/>
          <w:szCs w:val="21"/>
          <w:highlight w:val="none"/>
        </w:rPr>
        <w:br w:type="page" w:clear="all"/>
      </w:r>
      <w:r/>
    </w:p>
    <w:p>
      <w:pPr>
        <w:ind w:left="0"/>
        <w:jc w:val="center"/>
        <w:pageBreakBefore w:val="0"/>
        <w:widowControl w:val="off"/>
        <w:rPr>
          <w:rFonts w:ascii="宋体" w:hAnsi="宋体"/>
          <w:b/>
          <w:color w:val="auto"/>
          <w:sz w:val="21"/>
          <w:szCs w:val="21"/>
          <w:highlight w:val="none"/>
        </w:rPr>
      </w:pPr>
      <w:r>
        <w:rPr>
          <w:rFonts w:hint="eastAsia" w:ascii="宋体" w:hAnsi="宋体"/>
          <w:b/>
          <w:color w:val="auto"/>
          <w:sz w:val="21"/>
          <w:szCs w:val="21"/>
          <w:highlight w:val="none"/>
        </w:rPr>
        <w:t xml:space="preserve">公开分项报价</w:t>
      </w:r>
      <w:r>
        <w:rPr>
          <w:rFonts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二</w:t>
      </w:r>
      <w:r>
        <w:rPr>
          <w:rFonts w:ascii="宋体" w:hAnsi="宋体"/>
          <w:b/>
          <w:color w:val="auto"/>
          <w:sz w:val="21"/>
          <w:szCs w:val="21"/>
          <w:highlight w:val="none"/>
        </w:rPr>
        <w:t xml:space="preserve">）</w:t>
      </w:r>
      <w:r/>
    </w:p>
    <w:tbl>
      <w:tblPr>
        <w:tblStyle w:val="79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17"/>
        <w:gridCol w:w="876"/>
        <w:gridCol w:w="3398"/>
        <w:gridCol w:w="880"/>
        <w:gridCol w:w="594"/>
        <w:gridCol w:w="820"/>
        <w:gridCol w:w="671"/>
        <w:gridCol w:w="656"/>
      </w:tblGrid>
      <w:tr>
        <w:trPr>
          <w:trHeight w:val="600"/>
        </w:trPr>
        <w:tc>
          <w:tcPr>
            <w:gridSpan w:val="8"/>
            <w:shd w:val="clear" w:color="auto" w:fill="auto"/>
            <w:tcBorders>
              <w:top w:val="none" w:color="000000" w:sz="4" w:space="0"/>
              <w:left w:val="none" w:color="000000" w:sz="4" w:space="0"/>
              <w:bottom w:val="single" w:color="000000" w:sz="8" w:space="0"/>
              <w:right w:val="none" w:color="000000" w:sz="4" w:space="0"/>
            </w:tcBorders>
            <w:tcW w:w="5000" w:type="pct"/>
            <w:vAlign w:val="center"/>
            <w:textDirection w:val="lrTb"/>
            <w:noWrap w:val="false"/>
          </w:tcPr>
          <w:p>
            <w:pPr>
              <w:jc w:val="left"/>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名称：太湖街道路灯养护项目</w:t>
            </w:r>
            <w:r/>
          </w:p>
          <w:p>
            <w:pPr>
              <w:jc w:val="left"/>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（2026年11月19日-2027年11月18日</w:t>
            </w:r>
            <w:r>
              <w:rPr>
                <w:rFonts w:hint="eastAsia" w:ascii="宋体" w:hAnsi="宋体" w:cs="宋体"/>
                <w:b/>
                <w:bCs/>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路灯、景观灯、变压器、路灯监控系统等）</w:t>
            </w:r>
            <w:r/>
          </w:p>
        </w:tc>
      </w:tr>
      <w:tr>
        <w:trPr>
          <w:trHeight w:val="460"/>
        </w:trPr>
        <w:tc>
          <w:tcPr>
            <w:shd w:val="clear" w:color="auto" w:fill="auto"/>
            <w:tcBorders>
              <w:top w:val="single" w:color="000000" w:sz="8" w:space="0"/>
              <w:left w:val="single" w:color="000000" w:sz="8" w:space="0"/>
              <w:bottom w:val="single" w:color="000000" w:sz="4" w:space="0"/>
              <w:right w:val="single" w:color="000000" w:sz="4" w:space="0"/>
            </w:tcBorders>
            <w:tcW w:w="246"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045"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530"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358"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数量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1289" w:type="pct"/>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全费用金额(元)</w:t>
            </w:r>
            <w:r/>
          </w:p>
        </w:tc>
      </w:tr>
      <w:tr>
        <w:trPr>
          <w:trHeight w:val="460"/>
        </w:trPr>
        <w:tc>
          <w:tcPr>
            <w:shd w:val="clear" w:color="auto" w:fill="auto"/>
            <w:tcBorders>
              <w:top w:val="single" w:color="000000" w:sz="8" w:space="0"/>
              <w:left w:val="single" w:color="000000" w:sz="8" w:space="0"/>
              <w:bottom w:val="single" w:color="000000" w:sz="4" w:space="0"/>
              <w:right w:val="single" w:color="000000" w:sz="4" w:space="0"/>
            </w:tcBorders>
            <w:tcW w:w="246"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2045"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530"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58"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备注</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落地式配电箱</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1、名称：控制箱养护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2、养护内容：测量电压、电流和接地电阻、更换熔断器、熔芯和接触器、门锁检修、清扫灰尘等。</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1、名称：箱式变电站500KVA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1、名称：箱式变电站315KVA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1、名称：箱式变电站250KVA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1、名称：箱式变电站80KVA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1、名称：箱式变电站50KVA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路灯监控通讯</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1.名称：路灯监控通讯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2.养护内容：维护物联网卡通信数据传输网络；插入式MP；工业级SIM卡；抗震、抗腐蚀和耐高低温；统一后台管理。</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路灯监控平台服务</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1.名称：路灯监控平台服务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2.养护内容：平台在线培训及技术支持；152台终端设备的平台运维管理；全天候用户设备后台日常巡查，异常故障在线分析排除；设备异常短信报警实时发送用户管理人员。</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路灯监控设备维护</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1.名称：路灯监控设备维护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2.养护内容：设备的日常维护、维修，包括设备故障维修，设备远程技术支持，设备运行的管理，故障识别上报沟通工作。</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平台维护</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1.名称：平台维护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2.养护内容：服务器的硬件和软件的维护和更新，以及定期检查和修复服务器可能出现的问题。</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1、名称：单挑灯养护（含各类型号及功率）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1、名称：双挑灯养护（含各类型号及功率）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2585</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1、名称：补角灯养护（含各类型号及功率）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1、广场灯养护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2、养护内容：巡视检修，更换损坏的灯杆、灯架、灯具，测电阻。</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1、名称：景观灯养护（含各类功率及型号）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2、养护内容：更换失效的光源、灯头、灯具、电线、灯杆灯盘；巡视，测电阻</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4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1、名称：投光灯、射树灯、地埋灯、洗墙灯、点光源、线条灯、草坪灯等养护（含各类功率及型号）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2、养护内容：更换失效的LED光源、电气组件、散热器、熔断器、灯头、灯具、巡视，测电阻、灯具试亮</w:t>
            </w:r>
            <w:r/>
          </w:p>
        </w:tc>
        <w:tc>
          <w:tcPr>
            <w:shd w:val="clear" w:color="auto" w:fill="auto"/>
            <w:tcBorders>
              <w:top w:val="single" w:color="000000" w:sz="4" w:space="0"/>
              <w:left w:val="single" w:color="000000" w:sz="4" w:space="0"/>
              <w:bottom w:val="single" w:color="000000" w:sz="4" w:space="0"/>
              <w:right w:val="single" w:color="000000" w:sz="4" w:space="0"/>
            </w:tcBorders>
            <w:tcW w:w="53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5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33070</w:t>
            </w:r>
            <w:r/>
          </w:p>
        </w:tc>
        <w:tc>
          <w:tcPr>
            <w:shd w:val="clear" w:color="auto" w:fill="auto"/>
            <w:tcBorders>
              <w:top w:val="single" w:color="000000" w:sz="4" w:space="0"/>
              <w:left w:val="single" w:color="000000" w:sz="4" w:space="0"/>
              <w:bottom w:val="single" w:color="000000" w:sz="4" w:space="0"/>
              <w:right w:val="single" w:color="000000" w:sz="4" w:space="0"/>
            </w:tcBorders>
            <w:tcW w:w="49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gridSpan w:val="6"/>
            <w:shd w:val="clear" w:color="auto" w:fill="auto"/>
            <w:tcBorders>
              <w:top w:val="single" w:color="000000" w:sz="4" w:space="0"/>
              <w:left w:val="single" w:color="000000" w:sz="8" w:space="0"/>
              <w:bottom w:val="single" w:color="000000" w:sz="8" w:space="0"/>
              <w:right w:val="single" w:color="000000" w:sz="4" w:space="0"/>
            </w:tcBorders>
            <w:tcW w:w="420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lang w:val="en-US" w:eastAsia="zh-CN"/>
              </w:rPr>
              <w:suppressLineNumbers w:val="0"/>
            </w:pPr>
            <w:r>
              <w:rPr>
                <w:rFonts w:hint="eastAsia" w:ascii="宋体" w:hAnsi="宋体" w:cs="宋体"/>
                <w:i w:val="0"/>
                <w:iCs w:val="0"/>
                <w:color w:val="000000"/>
                <w:sz w:val="20"/>
                <w:szCs w:val="20"/>
                <w:highlight w:val="none"/>
                <w:u w:val="none"/>
                <w:lang w:val="en-US" w:eastAsia="zh-CN"/>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40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393"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ind w:left="0"/>
        <w:pageBreakBefore w:val="0"/>
        <w:spacing w:line="360" w:lineRule="auto"/>
        <w:widowControl w:val="off"/>
        <w:rPr>
          <w:rFonts w:hint="eastAsia"/>
          <w:color w:val="auto"/>
          <w:highlight w:val="none"/>
        </w:rPr>
      </w:pPr>
      <w:r>
        <w:rPr>
          <w:rFonts w:hint="eastAsia"/>
          <w:color w:val="auto"/>
          <w:highlight w:val="none"/>
        </w:rPr>
      </w:r>
      <w:r/>
    </w:p>
    <w:p>
      <w:pPr>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w:t>
      </w:r>
      <w:r/>
    </w:p>
    <w:p>
      <w:pPr>
        <w:pageBreakBefore w:val="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pageBreakBefore w:val="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ind w:left="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pStyle w:val="918"/>
        <w:ind w:left="0" w:firstLine="0"/>
        <w:pageBreakBefore w:val="0"/>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pageBreakBefore w:val="0"/>
        <w:widowControl w:val="off"/>
        <w:rPr>
          <w:rFonts w:ascii="宋体" w:hAnsi="宋体"/>
          <w:b/>
          <w:color w:val="auto"/>
          <w:sz w:val="21"/>
          <w:szCs w:val="21"/>
          <w:highlight w:val="none"/>
        </w:rPr>
      </w:pPr>
      <w:r>
        <w:rPr>
          <w:rFonts w:hint="eastAsia" w:ascii="宋体" w:hAnsi="宋体"/>
          <w:b/>
          <w:color w:val="auto"/>
          <w:sz w:val="21"/>
          <w:szCs w:val="21"/>
          <w:highlight w:val="none"/>
        </w:rPr>
        <w:t xml:space="preserve">公开分项报价</w:t>
      </w:r>
      <w:r>
        <w:rPr>
          <w:rFonts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三</w:t>
      </w:r>
      <w:r>
        <w:rPr>
          <w:rFonts w:ascii="宋体" w:hAnsi="宋体"/>
          <w:b/>
          <w:color w:val="auto"/>
          <w:sz w:val="21"/>
          <w:szCs w:val="21"/>
          <w:highlight w:val="none"/>
        </w:rPr>
        <w:t xml:space="preserve">）</w:t>
      </w:r>
      <w:r/>
    </w:p>
    <w:p>
      <w:pPr>
        <w:jc w:val="left"/>
        <w:keepLines w:val="0"/>
        <w:keepNext w:val="0"/>
        <w:pageBreakBefore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名称：太湖街道路灯养护项目</w:t>
      </w:r>
      <w:r/>
    </w:p>
    <w:p>
      <w:pPr>
        <w:jc w:val="both"/>
        <w:pageBreakBefore w:val="0"/>
        <w:widowControl w:val="off"/>
        <w:rPr>
          <w:rFonts w:ascii="宋体" w:hAnsi="宋体"/>
          <w:b/>
          <w:color w:val="auto"/>
          <w:sz w:val="20"/>
          <w:szCs w:val="20"/>
          <w:highlight w:val="none"/>
        </w:rPr>
      </w:pPr>
      <w:r>
        <w:rPr>
          <w:rFonts w:hint="eastAsia" w:ascii="宋体" w:hAnsi="宋体" w:eastAsia="宋体" w:cs="宋体"/>
          <w:b/>
          <w:bCs/>
          <w:i w:val="0"/>
          <w:iCs w:val="0"/>
          <w:color w:val="000000"/>
          <w:sz w:val="21"/>
          <w:szCs w:val="21"/>
          <w:highlight w:val="none"/>
          <w:u w:val="none"/>
          <w:lang w:val="en-US" w:eastAsia="zh-CN" w:bidi="ar"/>
        </w:rPr>
        <w:t xml:space="preserve">（2027年11月19日-2028年11月18日</w:t>
      </w:r>
      <w:r>
        <w:rPr>
          <w:rFonts w:hint="eastAsia" w:ascii="宋体" w:hAnsi="宋体" w:cs="宋体"/>
          <w:b/>
          <w:bCs/>
          <w:i w:val="0"/>
          <w:iCs w:val="0"/>
          <w:color w:val="000000"/>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路灯、景观灯、变压器、路灯监控系统等）</w:t>
      </w:r>
      <w:r/>
    </w:p>
    <w:tbl>
      <w:tblPr>
        <w:tblStyle w:val="792"/>
        <w:tblW w:w="487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2"/>
        <w:gridCol w:w="973"/>
        <w:gridCol w:w="3319"/>
        <w:gridCol w:w="730"/>
        <w:gridCol w:w="780"/>
        <w:gridCol w:w="599"/>
        <w:gridCol w:w="543"/>
        <w:gridCol w:w="613"/>
      </w:tblGrid>
      <w:tr>
        <w:trPr>
          <w:trHeight w:val="560"/>
        </w:trPr>
        <w:tc>
          <w:tcPr>
            <w:shd w:val="clear" w:color="auto" w:fill="auto"/>
            <w:tcBorders>
              <w:top w:val="single" w:color="000000" w:sz="8" w:space="0"/>
              <w:left w:val="single" w:color="000000" w:sz="8" w:space="0"/>
              <w:bottom w:val="single" w:color="000000" w:sz="4" w:space="0"/>
              <w:right w:val="single" w:color="000000" w:sz="4" w:space="0"/>
            </w:tcBorders>
            <w:tcW w:w="340"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600"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046"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450"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481"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工程量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1080" w:type="pct"/>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全费用金额(元)</w:t>
            </w:r>
            <w:r/>
          </w:p>
        </w:tc>
      </w:tr>
      <w:tr>
        <w:trPr>
          <w:trHeight w:val="560"/>
        </w:trPr>
        <w:tc>
          <w:tcPr>
            <w:shd w:val="clear" w:color="auto" w:fill="auto"/>
            <w:tcBorders>
              <w:top w:val="single" w:color="000000" w:sz="8" w:space="0"/>
              <w:left w:val="single" w:color="000000" w:sz="8" w:space="0"/>
              <w:bottom w:val="single" w:color="000000" w:sz="4" w:space="0"/>
              <w:right w:val="single" w:color="000000" w:sz="4" w:space="0"/>
            </w:tcBorders>
            <w:tcW w:w="340"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600"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2046"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450"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481"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000000"/>
                <w:sz w:val="20"/>
                <w:szCs w:val="20"/>
                <w:highlight w:val="none"/>
                <w:u w:val="none"/>
                <w:lang w:val="en-US"/>
              </w:rPr>
              <w:suppressLineNumbers w:val="0"/>
            </w:pPr>
            <w:r>
              <w:rPr>
                <w:rFonts w:hint="eastAsia" w:ascii="宋体" w:hAnsi="宋体" w:cs="宋体"/>
                <w:b/>
                <w:bCs/>
                <w:i w:val="0"/>
                <w:iCs w:val="0"/>
                <w:color w:val="000000"/>
                <w:sz w:val="20"/>
                <w:szCs w:val="20"/>
                <w:highlight w:val="none"/>
                <w:u w:val="none"/>
                <w:lang w:val="en-US" w:eastAsia="zh-CN" w:bidi="ar"/>
              </w:rPr>
              <w:t xml:space="preserve">备注</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落地式配电箱</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1、名称：控制箱养护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2、养护内容：测量电压、电流和接地电阻、更换熔断器、熔芯和接触器、门锁检修、清扫灰尘等。</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1、名称：箱式变电站500KVA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1、名称：箱式变电站315KVA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1、名称：箱式变电站250KVA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1、名称：箱式变电站80KVA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1、名称：箱式变电站50KVA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路灯监控通讯</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1.名称：路灯监控通讯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2.养护内容：维护物联网卡通信数据传输网络；插入式MP；工业级SIM卡；抗震、抗腐蚀和耐高低温；统一后台管理。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路灯监控平台服务</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1.名称：路灯监控平台服务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2.养护内容：平台在线培训及技术支持；152台终端设备的平台运维管理；全天候用户设备后台日常巡查，异常故障在线分析排除；设备异常短信报警实时发送用户管理人员。</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路灯监控设备维护</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1.名称：路灯监控设备维护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2.养护内容：设备的日常维护、维修，包括设备故障维修，设备远程技术支持，设备运行的管理，故障识别上报沟通工作。</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平台维护</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1.名称：平台维护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2.养护内容：服务器的硬件和软件的维护和更新，以及定期检查和修复服务器可能出现的问题。</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1、名称：单挑灯养护（含各类型号及功率）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1、名称：双挑灯养护（含各类型号及功率）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2585</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1、名称：补角灯养护（含各类型号及功率）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1、广场灯养护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2、养护内容：巡视检修，更换损坏的灯杆、灯架、灯具，测电阻。</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1、名称：景观灯养护（含各类功率及型号）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2、养护内容：更换失效的光源、灯头、灯具、电线、灯杆灯盘；巡视，测电阻</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34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04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1、名称：投光灯、射树灯、地埋灯、洗墙灯、点光源、线条灯、草坪灯等养护（含各类功率及型号）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2、养护内容：更换失效的LED光源、电气组件、散热器、熔断器、灯头、灯具、巡视，测电阻、灯具试亮</w:t>
            </w:r>
            <w:r/>
          </w:p>
        </w:tc>
        <w:tc>
          <w:tcPr>
            <w:shd w:val="clear" w:color="auto" w:fill="auto"/>
            <w:tcBorders>
              <w:top w:val="single" w:color="000000" w:sz="4" w:space="0"/>
              <w:left w:val="single" w:color="000000" w:sz="4" w:space="0"/>
              <w:bottom w:val="single" w:color="000000" w:sz="4" w:space="0"/>
              <w:right w:val="single" w:color="000000" w:sz="4" w:space="0"/>
            </w:tcBorders>
            <w:tcW w:w="45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33070</w:t>
            </w:r>
            <w:r/>
          </w:p>
        </w:tc>
        <w:tc>
          <w:tcPr>
            <w:shd w:val="clear" w:color="auto" w:fill="auto"/>
            <w:tcBorders>
              <w:top w:val="single" w:color="000000" w:sz="4" w:space="0"/>
              <w:left w:val="single" w:color="000000" w:sz="4" w:space="0"/>
              <w:bottom w:val="single" w:color="000000" w:sz="4" w:space="0"/>
              <w:right w:val="single" w:color="000000" w:sz="4" w:space="0"/>
            </w:tcBorders>
            <w:tcW w:w="36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20"/>
        </w:trPr>
        <w:tc>
          <w:tcPr>
            <w:gridSpan w:val="6"/>
            <w:shd w:val="clear" w:color="auto" w:fill="auto"/>
            <w:tcBorders>
              <w:top w:val="single" w:color="000000" w:sz="4" w:space="0"/>
              <w:left w:val="single" w:color="000000" w:sz="8" w:space="0"/>
              <w:bottom w:val="single" w:color="000000" w:sz="8" w:space="0"/>
              <w:right w:val="single" w:color="000000" w:sz="4" w:space="0"/>
            </w:tcBorders>
            <w:tcW w:w="4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33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378"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w:t>
      </w:r>
      <w:r/>
    </w:p>
    <w:p>
      <w:pPr>
        <w:pageBreakBefore w:val="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pageBreakBefore w:val="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rPr>
          <w:highlight w:val="none"/>
        </w:rPr>
      </w:pPr>
      <w:r>
        <w:rPr>
          <w:highlight w:val="none"/>
        </w:rPr>
        <w:br w:type="page" w:clear="all"/>
      </w:r>
      <w:r/>
    </w:p>
    <w:p>
      <w:pPr>
        <w:ind w:left="0"/>
        <w:jc w:val="center"/>
        <w:pageBreakBefore w:val="0"/>
        <w:widowControl w:val="off"/>
        <w:rPr>
          <w:rFonts w:ascii="宋体" w:hAnsi="宋体"/>
          <w:b/>
          <w:color w:val="auto"/>
          <w:sz w:val="21"/>
          <w:szCs w:val="21"/>
          <w:highlight w:val="none"/>
        </w:rPr>
      </w:pPr>
      <w:r>
        <w:rPr>
          <w:rFonts w:hint="eastAsia" w:ascii="宋体" w:hAnsi="宋体"/>
          <w:b/>
          <w:color w:val="auto"/>
          <w:sz w:val="21"/>
          <w:szCs w:val="21"/>
          <w:highlight w:val="none"/>
        </w:rPr>
        <w:t xml:space="preserve">公开分项报价</w:t>
      </w:r>
      <w:r>
        <w:rPr>
          <w:rFonts w:ascii="宋体" w:hAnsi="宋体"/>
          <w:b/>
          <w:color w:val="auto"/>
          <w:sz w:val="21"/>
          <w:szCs w:val="21"/>
          <w:highlight w:val="none"/>
        </w:rPr>
        <w:t xml:space="preserve">（</w:t>
      </w:r>
      <w:r>
        <w:rPr>
          <w:rFonts w:hint="eastAsia" w:ascii="宋体" w:hAnsi="宋体"/>
          <w:b/>
          <w:color w:val="auto"/>
          <w:sz w:val="21"/>
          <w:szCs w:val="21"/>
          <w:highlight w:val="none"/>
          <w:lang w:val="en-US" w:eastAsia="zh-CN"/>
        </w:rPr>
        <w:t xml:space="preserve">四</w:t>
      </w:r>
      <w:r>
        <w:rPr>
          <w:rFonts w:ascii="宋体" w:hAnsi="宋体"/>
          <w:b/>
          <w:color w:val="auto"/>
          <w:sz w:val="21"/>
          <w:szCs w:val="21"/>
          <w:highlight w:val="none"/>
        </w:rPr>
        <w:t xml:space="preserve">）</w:t>
      </w:r>
      <w:r/>
    </w:p>
    <w:p>
      <w:pPr>
        <w:ind w:left="0"/>
        <w:jc w:val="center"/>
        <w:pageBreakBefore w:val="0"/>
        <w:widowControl w:val="off"/>
        <w:rPr>
          <w:rFonts w:ascii="宋体" w:hAnsi="宋体"/>
          <w:b/>
          <w:color w:val="auto"/>
          <w:sz w:val="21"/>
          <w:szCs w:val="21"/>
          <w:highlight w:val="none"/>
        </w:rPr>
      </w:pPr>
      <w:r>
        <w:rPr>
          <w:rFonts w:hint="eastAsia" w:ascii="宋体" w:hAnsi="宋体" w:eastAsia="宋体" w:cs="宋体"/>
          <w:b/>
          <w:bCs/>
          <w:i w:val="0"/>
          <w:iCs w:val="0"/>
          <w:color w:val="000000"/>
          <w:sz w:val="21"/>
          <w:szCs w:val="21"/>
          <w:highlight w:val="none"/>
          <w:u w:val="none"/>
          <w:lang w:val="en-US" w:eastAsia="zh-CN" w:bidi="ar"/>
        </w:rPr>
        <w:t xml:space="preserve">项目名称：太湖街道路灯养护项目（202</w:t>
      </w:r>
      <w:r>
        <w:rPr>
          <w:rFonts w:hint="eastAsia" w:ascii="宋体" w:hAnsi="宋体" w:cs="宋体"/>
          <w:b/>
          <w:bCs/>
          <w:i w:val="0"/>
          <w:iCs w:val="0"/>
          <w:color w:val="000000"/>
          <w:sz w:val="21"/>
          <w:szCs w:val="21"/>
          <w:highlight w:val="none"/>
          <w:u w:val="none"/>
          <w:lang w:val="en-US" w:eastAsia="zh-CN" w:bidi="ar"/>
        </w:rPr>
        <w:t xml:space="preserve">6</w:t>
      </w:r>
      <w:r>
        <w:rPr>
          <w:rFonts w:hint="eastAsia" w:ascii="宋体" w:hAnsi="宋体" w:eastAsia="宋体" w:cs="宋体"/>
          <w:b/>
          <w:bCs/>
          <w:i w:val="0"/>
          <w:iCs w:val="0"/>
          <w:color w:val="000000"/>
          <w:sz w:val="21"/>
          <w:szCs w:val="21"/>
          <w:highlight w:val="none"/>
          <w:u w:val="none"/>
          <w:lang w:val="en-US" w:eastAsia="zh-CN" w:bidi="ar"/>
        </w:rPr>
        <w:t xml:space="preserve">年11月19日-2028年11月18日应急抢修）</w:t>
      </w:r>
      <w:r/>
    </w:p>
    <w:tbl>
      <w:tblPr>
        <w:tblStyle w:val="792"/>
        <w:tblW w:w="486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3"/>
        <w:gridCol w:w="1257"/>
        <w:gridCol w:w="3064"/>
        <w:gridCol w:w="801"/>
        <w:gridCol w:w="600"/>
        <w:gridCol w:w="642"/>
        <w:gridCol w:w="624"/>
        <w:gridCol w:w="635"/>
      </w:tblGrid>
      <w:tr>
        <w:trPr>
          <w:trHeight w:val="560"/>
        </w:trPr>
        <w:tc>
          <w:tcPr>
            <w:shd w:val="clear" w:color="auto" w:fill="auto"/>
            <w:tcBorders>
              <w:top w:val="single" w:color="000000" w:sz="8" w:space="0"/>
              <w:left w:val="single" w:color="000000" w:sz="8" w:space="0"/>
              <w:bottom w:val="single" w:color="000000" w:sz="4" w:space="0"/>
              <w:right w:val="single" w:color="000000" w:sz="4" w:space="0"/>
            </w:tcBorders>
            <w:tcW w:w="286"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777"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1894"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495"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371"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数量</w:t>
            </w:r>
            <w:r/>
          </w:p>
        </w:tc>
        <w:tc>
          <w:tcPr>
            <w:gridSpan w:val="3"/>
            <w:shd w:val="clear" w:color="auto" w:fill="auto"/>
            <w:tcBorders>
              <w:top w:val="single" w:color="000000" w:sz="8" w:space="0"/>
              <w:left w:val="single" w:color="000000" w:sz="4" w:space="0"/>
              <w:bottom w:val="single" w:color="000000" w:sz="4" w:space="0"/>
              <w:right w:val="single" w:color="000000" w:sz="8" w:space="0"/>
            </w:tcBorders>
            <w:tcW w:w="1173" w:type="pct"/>
            <w:vAlign w:val="center"/>
            <w:textDirection w:val="lrTb"/>
            <w:noWrap/>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全费用金额(元)</w:t>
            </w:r>
            <w:r/>
          </w:p>
        </w:tc>
      </w:tr>
      <w:tr>
        <w:trPr>
          <w:trHeight w:val="560"/>
        </w:trPr>
        <w:tc>
          <w:tcPr>
            <w:shd w:val="clear" w:color="auto" w:fill="auto"/>
            <w:tcBorders>
              <w:top w:val="single" w:color="000000" w:sz="8" w:space="0"/>
              <w:left w:val="single" w:color="000000" w:sz="8" w:space="0"/>
              <w:bottom w:val="single" w:color="000000" w:sz="4" w:space="0"/>
              <w:right w:val="single" w:color="000000" w:sz="4" w:space="0"/>
            </w:tcBorders>
            <w:tcW w:w="286"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777"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1894"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495"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8" w:space="0"/>
              <w:left w:val="single" w:color="000000" w:sz="4" w:space="0"/>
              <w:bottom w:val="single" w:color="000000" w:sz="4" w:space="0"/>
              <w:right w:val="single" w:color="000000" w:sz="4" w:space="0"/>
            </w:tcBorders>
            <w:tcW w:w="371" w:type="pct"/>
            <w:vAlign w:val="center"/>
            <w:vMerge w:val="continue"/>
            <w:textDirection w:val="lrTb"/>
            <w:noWrap w:val="false"/>
          </w:tcPr>
          <w:p>
            <w:pPr>
              <w:jc w:val="center"/>
              <w:pageBreakBefore w:val="0"/>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center"/>
              <w:keepLines w:val="0"/>
              <w:keepNext w:val="0"/>
              <w:pageBreakBefore w:val="0"/>
              <w:widowControl/>
              <w:rPr>
                <w:rFonts w:hint="default" w:ascii="宋体" w:hAnsi="宋体" w:eastAsia="宋体" w:cs="宋体"/>
                <w:b/>
                <w:bCs/>
                <w:i w:val="0"/>
                <w:iCs w:val="0"/>
                <w:color w:val="000000"/>
                <w:sz w:val="20"/>
                <w:szCs w:val="20"/>
                <w:highlight w:val="none"/>
                <w:u w:val="none"/>
                <w:lang w:val="en-US"/>
              </w:rPr>
              <w:suppressLineNumbers w:val="0"/>
            </w:pPr>
            <w:r>
              <w:rPr>
                <w:rFonts w:hint="eastAsia" w:ascii="宋体" w:hAnsi="宋体" w:cs="宋体"/>
                <w:b/>
                <w:bCs/>
                <w:i w:val="0"/>
                <w:iCs w:val="0"/>
                <w:color w:val="000000"/>
                <w:sz w:val="20"/>
                <w:szCs w:val="20"/>
                <w:highlight w:val="none"/>
                <w:u w:val="none"/>
                <w:lang w:val="en-US" w:eastAsia="zh-CN" w:bidi="ar"/>
              </w:rPr>
              <w:t xml:space="preserve">备注</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落地式配电箱</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1.名称：照明控制箱拆除及运输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1.名称：单悬挑路灯拆除及运输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1.名称：双悬挑路灯拆除及运输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1.名称：补角灯拆除及运输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1.名称：景观灯拆除及运输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落地式控制箱</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1.型号：路灯控制箱安装（三遥）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2.规格：1500*700*500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1.名称：单挑路灯安装</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1.名称：双挑路灯安装</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1.名称：补角灯安装</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1.名称：名称：路灯、景观灯基础制作安装（施工定位、挖填土方、圆钢接地极、接地极测试、基础法兰、预埋件、混凝土等）（不含灯具）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1.材质：PE波纹管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2.规格：DE32</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1.材质：PE波纹管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2.规格：DE50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2.规格：YJV-3*4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2.规格：YJV-2*6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2.规格：YJV-5*6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2.规格：YJV-5*16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2.规格：YJV-4*25+1*25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2.规格：YJV-4*35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1.名称：高压电缆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2.规格：YJV22-8.7/15-3*95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2.规格：YJV-4*70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1、名称：高压电缆头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2、规格：3*95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3、材质、类型：铜芯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4、安装部位：户外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1.名称：电缆头YJV-4*70</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挖单独土方</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1、土壤类别：挖三类土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1、密实度要求：满足设计要求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2、填方来源、运距：原土回填，运距施工单位踏勘现场后自行考虑</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人(手)孔井</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1.名称：砖砌电缆井600*600（钢纤维井盖座）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人(手)孔井</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1.名称：600*600钢纤维井盖板更换</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1.名称：草坪灯  LED10W  H=60cm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1.名称：草坪灯基础</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1.名称：庭院灯  LED50W  H=3.5m</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1.名称：庭院灯基础制作安装</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1.名称：LED180W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1.名称：LED150W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1.名称：LED120W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路灯灯头（投光灯）</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1.名称：LED200W</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路灯标签</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1.名称：路灯标签</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其他电器</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1.名称：电能表三相四线（3*220/380V)</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1.名称：横担</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2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77"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1894"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1.名称：箱变屋顶防水卷材</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60"/>
        </w:trPr>
        <w:tc>
          <w:tcPr>
            <w:gridSpan w:val="6"/>
            <w:shd w:val="clear" w:color="auto" w:fill="auto"/>
            <w:tcBorders>
              <w:top w:val="single" w:color="000000" w:sz="4" w:space="0"/>
              <w:left w:val="single" w:color="000000" w:sz="8" w:space="0"/>
              <w:bottom w:val="single" w:color="000000" w:sz="8" w:space="0"/>
              <w:right w:val="single" w:color="000000" w:sz="4" w:space="0"/>
            </w:tcBorders>
            <w:tcW w:w="422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386"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8" w:space="0"/>
              <w:right w:val="single" w:color="000000" w:sz="8" w:space="0"/>
            </w:tcBorders>
            <w:tcW w:w="392" w:type="pct"/>
            <w:vAlign w:val="center"/>
            <w:textDirection w:val="lrTb"/>
            <w:noWrap w:val="false"/>
          </w:tcPr>
          <w:p>
            <w:pPr>
              <w:jc w:val="right"/>
              <w:pageBreakBefore w:val="0"/>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bl>
    <w:p>
      <w:pPr>
        <w:ind w:left="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w:t>
      </w:r>
      <w:r/>
    </w:p>
    <w:p>
      <w:pPr>
        <w:pageBreakBefore w:val="0"/>
        <w:spacing w:line="440" w:lineRule="exact"/>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pageBreakBefore w:val="0"/>
        <w:spacing w:line="440" w:lineRule="exact"/>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ind w:left="0"/>
        <w:pageBreakBefore w:val="0"/>
        <w:spacing w:line="360" w:lineRule="auto"/>
        <w:widowControl w:val="off"/>
        <w:rPr>
          <w:rFonts w:hint="eastAsia"/>
          <w:color w:val="auto"/>
          <w:highlight w:val="none"/>
        </w:rPr>
      </w:pPr>
      <w:r>
        <w:rPr>
          <w:rFonts w:hint="eastAsia"/>
          <w:color w:val="auto"/>
          <w:highlight w:val="none"/>
        </w:rPr>
      </w:r>
      <w:r/>
    </w:p>
    <w:p>
      <w:pPr>
        <w:ind w:left="0"/>
        <w:pageBreakBefore w:val="0"/>
        <w:spacing w:line="360" w:lineRule="auto"/>
        <w:widowControl w:val="off"/>
        <w:rPr>
          <w:rFonts w:hint="eastAsia" w:ascii="黑体" w:hAnsi="黑体" w:eastAsia="黑体" w:cs="黑体"/>
          <w:color w:val="auto"/>
          <w:sz w:val="18"/>
          <w:szCs w:val="18"/>
          <w:highlight w:val="none"/>
        </w:rPr>
      </w:pPr>
      <w:r>
        <w:rPr>
          <w:rFonts w:hint="eastAsia" w:ascii="黑体" w:hAnsi="黑体" w:eastAsia="黑体" w:cs="黑体"/>
          <w:color w:val="auto"/>
          <w:sz w:val="18"/>
          <w:szCs w:val="18"/>
          <w:highlight w:val="none"/>
        </w:rPr>
        <w:t xml:space="preserve">注：</w:t>
      </w:r>
      <w:r/>
    </w:p>
    <w:p>
      <w:pPr>
        <w:ind w:left="0"/>
        <w:pageBreakBefore w:val="0"/>
        <w:spacing w:line="360" w:lineRule="auto"/>
        <w:widowControl w:val="off"/>
        <w:rPr>
          <w:rFonts w:hint="eastAsia" w:ascii="黑体" w:hAnsi="黑体" w:eastAsia="黑体" w:cs="黑体"/>
          <w:color w:val="auto"/>
          <w:sz w:val="18"/>
          <w:szCs w:val="18"/>
          <w:highlight w:val="none"/>
        </w:rPr>
      </w:pPr>
      <w:r>
        <w:rPr>
          <w:rFonts w:hint="eastAsia" w:ascii="黑体" w:hAnsi="黑体" w:eastAsia="黑体" w:cs="黑体"/>
          <w:color w:val="auto"/>
          <w:sz w:val="18"/>
          <w:szCs w:val="18"/>
          <w:highlight w:val="none"/>
        </w:rPr>
        <w:t xml:space="preserve">1</w:t>
      </w:r>
      <w:r>
        <w:rPr>
          <w:rFonts w:hint="eastAsia" w:ascii="黑体" w:hAnsi="黑体" w:eastAsia="黑体" w:cs="黑体"/>
          <w:color w:val="auto"/>
          <w:sz w:val="18"/>
          <w:szCs w:val="21"/>
          <w:highlight w:val="none"/>
        </w:rPr>
        <w:t xml:space="preserve">.</w:t>
      </w:r>
      <w:r>
        <w:rPr>
          <w:rFonts w:hint="eastAsia" w:ascii="黑体" w:hAnsi="黑体" w:eastAsia="黑体" w:cs="黑体"/>
          <w:color w:val="auto"/>
          <w:sz w:val="18"/>
          <w:szCs w:val="18"/>
          <w:highlight w:val="none"/>
        </w:rPr>
        <w:t xml:space="preserve">报价表包含投标单位各项成本核算和投入的成本明细，公开分项报价（</w:t>
      </w:r>
      <w:r>
        <w:rPr>
          <w:rFonts w:hint="eastAsia" w:ascii="黑体" w:hAnsi="黑体" w:eastAsia="黑体" w:cs="黑体"/>
          <w:color w:val="auto"/>
          <w:sz w:val="18"/>
          <w:szCs w:val="18"/>
          <w:highlight w:val="none"/>
          <w:lang w:val="en-US" w:eastAsia="zh-CN"/>
        </w:rPr>
        <w:t xml:space="preserve">二</w:t>
      </w:r>
      <w:r>
        <w:rPr>
          <w:rFonts w:hint="eastAsia" w:ascii="黑体" w:hAnsi="黑体" w:eastAsia="黑体" w:cs="黑体"/>
          <w:color w:val="auto"/>
          <w:sz w:val="18"/>
          <w:szCs w:val="18"/>
          <w:highlight w:val="none"/>
        </w:rPr>
        <w:t xml:space="preserve">）</w:t>
      </w:r>
      <w:r>
        <w:rPr>
          <w:rFonts w:hint="eastAsia" w:ascii="黑体" w:hAnsi="黑体" w:eastAsia="黑体" w:cs="黑体"/>
          <w:color w:val="auto"/>
          <w:sz w:val="18"/>
          <w:szCs w:val="18"/>
          <w:highlight w:val="none"/>
          <w:lang w:eastAsia="zh-CN"/>
        </w:rPr>
        <w:t xml:space="preserve">、</w:t>
      </w:r>
      <w:r>
        <w:rPr>
          <w:rFonts w:hint="eastAsia" w:ascii="黑体" w:hAnsi="黑体" w:eastAsia="黑体" w:cs="黑体"/>
          <w:color w:val="auto"/>
          <w:sz w:val="18"/>
          <w:szCs w:val="18"/>
          <w:highlight w:val="none"/>
        </w:rPr>
        <w:t xml:space="preserve">公开分项报价（</w:t>
      </w:r>
      <w:r>
        <w:rPr>
          <w:rFonts w:hint="eastAsia" w:ascii="黑体" w:hAnsi="黑体" w:eastAsia="黑体" w:cs="黑体"/>
          <w:color w:val="auto"/>
          <w:sz w:val="18"/>
          <w:szCs w:val="18"/>
          <w:highlight w:val="none"/>
          <w:lang w:val="en-US" w:eastAsia="zh-CN"/>
        </w:rPr>
        <w:t xml:space="preserve">三</w:t>
      </w:r>
      <w:r>
        <w:rPr>
          <w:rFonts w:hint="eastAsia" w:ascii="黑体" w:hAnsi="黑体" w:eastAsia="黑体" w:cs="黑体"/>
          <w:color w:val="auto"/>
          <w:sz w:val="18"/>
          <w:szCs w:val="18"/>
          <w:highlight w:val="none"/>
        </w:rPr>
        <w:t xml:space="preserve">）</w:t>
      </w:r>
      <w:r>
        <w:rPr>
          <w:rFonts w:hint="eastAsia" w:ascii="黑体" w:hAnsi="黑体" w:eastAsia="黑体" w:cs="黑体"/>
          <w:color w:val="auto"/>
          <w:sz w:val="18"/>
          <w:szCs w:val="18"/>
          <w:highlight w:val="none"/>
          <w:lang w:val="en-US" w:eastAsia="zh-CN"/>
        </w:rPr>
        <w:t xml:space="preserve">以及</w:t>
      </w:r>
      <w:r>
        <w:rPr>
          <w:rFonts w:hint="eastAsia" w:ascii="黑体" w:hAnsi="黑体" w:eastAsia="黑体" w:cs="黑体"/>
          <w:color w:val="auto"/>
          <w:sz w:val="18"/>
          <w:szCs w:val="18"/>
          <w:highlight w:val="none"/>
        </w:rPr>
        <w:t xml:space="preserve">公开分项报价（</w:t>
      </w:r>
      <w:r>
        <w:rPr>
          <w:rFonts w:hint="eastAsia" w:ascii="黑体" w:hAnsi="黑体" w:eastAsia="黑体" w:cs="黑体"/>
          <w:color w:val="auto"/>
          <w:sz w:val="18"/>
          <w:szCs w:val="18"/>
          <w:highlight w:val="none"/>
          <w:lang w:val="en-US" w:eastAsia="zh-CN"/>
        </w:rPr>
        <w:t xml:space="preserve">四</w:t>
      </w:r>
      <w:r>
        <w:rPr>
          <w:rFonts w:hint="eastAsia" w:ascii="黑体" w:hAnsi="黑体" w:eastAsia="黑体" w:cs="黑体"/>
          <w:color w:val="auto"/>
          <w:sz w:val="18"/>
          <w:szCs w:val="18"/>
          <w:highlight w:val="none"/>
        </w:rPr>
        <w:t xml:space="preserve">）</w:t>
      </w:r>
      <w:r>
        <w:rPr>
          <w:rFonts w:hint="eastAsia" w:ascii="黑体" w:hAnsi="黑体" w:eastAsia="黑体" w:cs="黑体"/>
          <w:color w:val="auto"/>
          <w:sz w:val="18"/>
          <w:szCs w:val="18"/>
          <w:highlight w:val="none"/>
          <w:lang w:val="en-US" w:eastAsia="zh-CN"/>
        </w:rPr>
        <w:t xml:space="preserve">三部分的</w:t>
      </w:r>
      <w:r>
        <w:rPr>
          <w:rFonts w:hint="eastAsia" w:ascii="黑体" w:hAnsi="黑体" w:eastAsia="黑体" w:cs="黑体"/>
          <w:color w:val="auto"/>
          <w:sz w:val="18"/>
          <w:szCs w:val="18"/>
          <w:highlight w:val="none"/>
        </w:rPr>
        <w:t xml:space="preserve">合计金额都应与公开分项报价（</w:t>
      </w:r>
      <w:r>
        <w:rPr>
          <w:rFonts w:hint="eastAsia" w:ascii="黑体" w:hAnsi="黑体" w:eastAsia="黑体" w:cs="黑体"/>
          <w:color w:val="auto"/>
          <w:sz w:val="18"/>
          <w:szCs w:val="18"/>
          <w:highlight w:val="none"/>
          <w:lang w:val="en-US" w:eastAsia="zh-CN"/>
        </w:rPr>
        <w:t xml:space="preserve">一</w:t>
      </w:r>
      <w:r>
        <w:rPr>
          <w:rFonts w:hint="eastAsia" w:ascii="黑体" w:hAnsi="黑体" w:eastAsia="黑体" w:cs="黑体"/>
          <w:color w:val="auto"/>
          <w:sz w:val="18"/>
          <w:szCs w:val="18"/>
          <w:highlight w:val="none"/>
        </w:rPr>
        <w:t xml:space="preserve">）</w:t>
      </w:r>
      <w:r>
        <w:rPr>
          <w:rFonts w:hint="eastAsia" w:ascii="黑体" w:hAnsi="黑体" w:eastAsia="黑体" w:cs="黑体"/>
          <w:color w:val="auto"/>
          <w:sz w:val="18"/>
          <w:szCs w:val="18"/>
          <w:highlight w:val="none"/>
          <w:lang w:val="en-US" w:eastAsia="zh-CN"/>
        </w:rPr>
        <w:t xml:space="preserve">和</w:t>
      </w:r>
      <w:r>
        <w:rPr>
          <w:rFonts w:hint="eastAsia" w:ascii="黑体" w:hAnsi="黑体" w:eastAsia="黑体" w:cs="黑体"/>
          <w:color w:val="auto"/>
          <w:sz w:val="18"/>
          <w:szCs w:val="18"/>
          <w:highlight w:val="none"/>
        </w:rPr>
        <w:t xml:space="preserve">开标一览表合计金额一致；否则，以开标一览表为准。</w:t>
      </w:r>
      <w:r/>
    </w:p>
    <w:p>
      <w:pPr>
        <w:ind w:left="0"/>
        <w:pageBreakBefore w:val="0"/>
        <w:spacing w:line="360" w:lineRule="auto"/>
        <w:widowControl w:val="off"/>
        <w:rPr>
          <w:rFonts w:hint="eastAsia" w:ascii="黑体" w:hAnsi="黑体" w:eastAsia="黑体" w:cs="黑体"/>
          <w:color w:val="auto"/>
          <w:sz w:val="18"/>
          <w:szCs w:val="18"/>
          <w:highlight w:val="none"/>
          <w:lang w:val="en-US" w:eastAsia="zh-CN"/>
        </w:rPr>
      </w:pPr>
      <w:r>
        <w:rPr>
          <w:rFonts w:hint="eastAsia" w:ascii="黑体" w:hAnsi="黑体" w:eastAsia="黑体" w:cs="黑体"/>
          <w:color w:val="auto"/>
          <w:sz w:val="18"/>
          <w:szCs w:val="18"/>
          <w:highlight w:val="none"/>
        </w:rPr>
        <w:t xml:space="preserve">2</w:t>
      </w:r>
      <w:r>
        <w:rPr>
          <w:rFonts w:hint="eastAsia" w:ascii="黑体" w:hAnsi="黑体" w:eastAsia="黑体" w:cs="黑体"/>
          <w:color w:val="auto"/>
          <w:sz w:val="18"/>
          <w:szCs w:val="21"/>
          <w:highlight w:val="none"/>
        </w:rPr>
        <w:t xml:space="preserve">.</w:t>
      </w:r>
      <w:r>
        <w:rPr>
          <w:rFonts w:hint="eastAsia" w:ascii="黑体" w:hAnsi="黑体" w:eastAsia="黑体" w:cs="黑体"/>
          <w:color w:val="auto"/>
          <w:sz w:val="18"/>
          <w:szCs w:val="18"/>
          <w:highlight w:val="none"/>
        </w:rPr>
        <w:t xml:space="preserve">投标报价应</w:t>
      </w:r>
      <w:r>
        <w:rPr>
          <w:rFonts w:hint="eastAsia" w:ascii="黑体" w:hAnsi="黑体" w:eastAsia="黑体" w:cs="黑体"/>
          <w:color w:val="auto"/>
          <w:sz w:val="18"/>
          <w:szCs w:val="18"/>
          <w:highlight w:val="none"/>
          <w:lang w:val="en-US" w:eastAsia="zh-CN"/>
        </w:rPr>
        <w:t xml:space="preserve">包括但不限于在承包期内所有综合服务需要的服务内容、耗材、通讯、服装、胸卡、办公设备、巡检器材、各种税费、人工、水、电、保险、劳保、维护、利润、税金、代理服务费、政策性文件规定及合同包含的所有风险、责任等各项应有费用。</w:t>
      </w:r>
      <w:r/>
    </w:p>
    <w:p>
      <w:pPr>
        <w:ind w:left="0"/>
        <w:pageBreakBefore w:val="0"/>
        <w:spacing w:line="360" w:lineRule="auto"/>
        <w:widowControl w:val="off"/>
        <w:rPr>
          <w:rFonts w:hint="eastAsia" w:ascii="黑体" w:hAnsi="黑体" w:eastAsia="黑体" w:cs="黑体"/>
          <w:color w:val="auto"/>
          <w:sz w:val="18"/>
          <w:szCs w:val="18"/>
          <w:highlight w:val="none"/>
        </w:rPr>
      </w:pPr>
      <w:r>
        <w:rPr>
          <w:rFonts w:hint="eastAsia" w:ascii="黑体" w:hAnsi="黑体" w:eastAsia="黑体" w:cs="黑体"/>
          <w:color w:val="auto"/>
          <w:sz w:val="18"/>
          <w:szCs w:val="18"/>
          <w:highlight w:val="none"/>
          <w:lang w:val="en-US" w:eastAsia="zh-CN"/>
        </w:rPr>
        <w:t xml:space="preserve">3.</w:t>
      </w:r>
      <w:r>
        <w:rPr>
          <w:rFonts w:hint="eastAsia" w:ascii="黑体" w:hAnsi="黑体" w:eastAsia="黑体" w:cs="黑体"/>
          <w:color w:val="auto"/>
          <w:sz w:val="18"/>
          <w:szCs w:val="18"/>
          <w:highlight w:val="none"/>
        </w:rPr>
        <w:t xml:space="preserve">路灯、景观灯、变压器、路灯监控系统等养护工作内容包括但不限于：</w:t>
      </w:r>
      <w:r>
        <w:rPr>
          <w:rFonts w:hint="eastAsia" w:ascii="黑体" w:hAnsi="黑体" w:eastAsia="黑体" w:cs="黑体"/>
          <w:color w:val="auto"/>
          <w:sz w:val="18"/>
          <w:szCs w:val="18"/>
          <w:highlight w:val="none"/>
          <w:lang w:eastAsia="zh-CN"/>
        </w:rPr>
        <w:t xml:space="preserve">采购单位</w:t>
      </w:r>
      <w:r>
        <w:rPr>
          <w:rFonts w:hint="eastAsia" w:ascii="黑体" w:hAnsi="黑体" w:eastAsia="黑体" w:cs="黑体"/>
          <w:color w:val="auto"/>
          <w:sz w:val="18"/>
          <w:szCs w:val="18"/>
          <w:highlight w:val="none"/>
        </w:rPr>
        <w:t xml:space="preserve">提供的养护需求所包括的工作内容、</w:t>
      </w:r>
      <w:r>
        <w:rPr>
          <w:rFonts w:hint="eastAsia" w:ascii="黑体" w:hAnsi="黑体" w:eastAsia="黑体" w:cs="黑体"/>
          <w:color w:val="auto"/>
          <w:sz w:val="18"/>
          <w:szCs w:val="18"/>
          <w:highlight w:val="none"/>
          <w:lang w:eastAsia="zh-CN"/>
        </w:rPr>
        <w:t xml:space="preserve">服务清单</w:t>
      </w:r>
      <w:r>
        <w:rPr>
          <w:rFonts w:hint="eastAsia" w:ascii="黑体" w:hAnsi="黑体" w:eastAsia="黑体" w:cs="黑体"/>
          <w:color w:val="auto"/>
          <w:sz w:val="18"/>
          <w:szCs w:val="18"/>
          <w:highlight w:val="none"/>
        </w:rPr>
        <w:t xml:space="preserve">描述的养护内容及</w:t>
      </w:r>
      <w:r>
        <w:rPr>
          <w:rFonts w:hint="eastAsia" w:ascii="黑体" w:hAnsi="黑体" w:eastAsia="黑体" w:cs="黑体"/>
          <w:color w:val="auto"/>
          <w:sz w:val="18"/>
          <w:szCs w:val="18"/>
          <w:highlight w:val="none"/>
          <w:lang w:eastAsia="zh-CN"/>
        </w:rPr>
        <w:t xml:space="preserve">采购单位</w:t>
      </w:r>
      <w:r>
        <w:rPr>
          <w:rFonts w:hint="eastAsia" w:ascii="黑体" w:hAnsi="黑体" w:eastAsia="黑体" w:cs="黑体"/>
          <w:color w:val="auto"/>
          <w:sz w:val="18"/>
          <w:szCs w:val="18"/>
          <w:highlight w:val="none"/>
        </w:rPr>
        <w:t xml:space="preserve">提出其他特殊养护需求。投标单位应根据</w:t>
      </w:r>
      <w:r>
        <w:rPr>
          <w:rFonts w:hint="eastAsia" w:ascii="黑体" w:hAnsi="黑体" w:eastAsia="黑体" w:cs="黑体"/>
          <w:color w:val="auto"/>
          <w:sz w:val="18"/>
          <w:szCs w:val="18"/>
          <w:highlight w:val="none"/>
          <w:lang w:eastAsia="zh-CN"/>
        </w:rPr>
        <w:t xml:space="preserve">采购单位</w:t>
      </w:r>
      <w:r>
        <w:rPr>
          <w:rFonts w:hint="eastAsia" w:ascii="黑体" w:hAnsi="黑体" w:eastAsia="黑体" w:cs="黑体"/>
          <w:color w:val="auto"/>
          <w:sz w:val="18"/>
          <w:szCs w:val="18"/>
          <w:highlight w:val="none"/>
        </w:rPr>
        <w:t xml:space="preserve">提供的</w:t>
      </w:r>
      <w:r>
        <w:rPr>
          <w:rFonts w:hint="eastAsia" w:ascii="黑体" w:hAnsi="黑体" w:eastAsia="黑体" w:cs="黑体"/>
          <w:color w:val="auto"/>
          <w:sz w:val="18"/>
          <w:szCs w:val="18"/>
          <w:highlight w:val="none"/>
          <w:lang w:val="en-US" w:eastAsia="zh-CN"/>
        </w:rPr>
        <w:t xml:space="preserve">服务</w:t>
      </w:r>
      <w:r>
        <w:rPr>
          <w:rFonts w:hint="eastAsia" w:ascii="黑体" w:hAnsi="黑体" w:eastAsia="黑体" w:cs="黑体"/>
          <w:color w:val="auto"/>
          <w:sz w:val="18"/>
          <w:szCs w:val="18"/>
          <w:highlight w:val="none"/>
        </w:rPr>
        <w:t xml:space="preserve">清单、养护需求充分踏勘现场，充分考虑</w:t>
      </w:r>
      <w:r>
        <w:rPr>
          <w:rFonts w:hint="eastAsia" w:ascii="黑体" w:hAnsi="黑体" w:eastAsia="黑体" w:cs="黑体"/>
          <w:color w:val="auto"/>
          <w:sz w:val="18"/>
          <w:szCs w:val="18"/>
          <w:highlight w:val="none"/>
          <w:lang w:eastAsia="zh-CN"/>
        </w:rPr>
        <w:t xml:space="preserve">实施</w:t>
      </w:r>
      <w:r>
        <w:rPr>
          <w:rFonts w:hint="eastAsia" w:ascii="黑体" w:hAnsi="黑体" w:eastAsia="黑体" w:cs="黑体"/>
          <w:color w:val="auto"/>
          <w:sz w:val="18"/>
          <w:szCs w:val="18"/>
          <w:highlight w:val="none"/>
        </w:rPr>
        <w:t xml:space="preserve">难度及其他一切不利条件。后期结算单价一律不调整。</w:t>
      </w:r>
      <w:r/>
    </w:p>
    <w:p>
      <w:pPr>
        <w:ind w:left="0"/>
        <w:pageBreakBefore w:val="0"/>
        <w:spacing w:line="360" w:lineRule="auto"/>
        <w:widowControl w:val="off"/>
        <w:rPr>
          <w:rFonts w:hint="eastAsia" w:ascii="黑体" w:hAnsi="黑体" w:eastAsia="黑体" w:cs="黑体"/>
          <w:color w:val="auto"/>
          <w:sz w:val="18"/>
          <w:szCs w:val="18"/>
          <w:highlight w:val="none"/>
          <w:lang w:val="en-US" w:eastAsia="zh-CN"/>
        </w:rPr>
      </w:pPr>
      <w:r>
        <w:rPr>
          <w:rFonts w:hint="eastAsia" w:ascii="黑体" w:hAnsi="黑体" w:eastAsia="黑体" w:cs="黑体"/>
          <w:color w:val="auto"/>
          <w:sz w:val="18"/>
          <w:szCs w:val="18"/>
          <w:highlight w:val="none"/>
          <w:lang w:val="en-US" w:eastAsia="zh-CN"/>
        </w:rPr>
        <w:t xml:space="preserve">5.应急抢修数量为预估量，实际结算按现场发生为准。</w:t>
      </w:r>
      <w:r/>
    </w:p>
    <w:p>
      <w:pPr>
        <w:ind w:left="0"/>
        <w:jc w:val="center"/>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pageBreakBefore w:val="0"/>
        <w:rPr>
          <w:rFonts w:ascii="宋体" w:hAnsi="宋体"/>
          <w:color w:val="auto"/>
          <w:sz w:val="21"/>
          <w:szCs w:val="21"/>
          <w:highlight w:val="none"/>
        </w:rPr>
        <w:outlineLvl w:val="0"/>
      </w:pPr>
      <w:r>
        <w:rPr>
          <w:rFonts w:ascii="宋体" w:hAnsi="宋体"/>
          <w:b/>
          <w:color w:val="auto"/>
          <w:sz w:val="21"/>
          <w:szCs w:val="21"/>
          <w:highlight w:val="none"/>
        </w:rPr>
        <w:br w:type="page" w:clear="all"/>
      </w:r>
      <w:bookmarkStart w:id="19" w:name="_Toc22367"/>
      <w:r/>
      <w:bookmarkStart w:id="20" w:name="_Toc165274508"/>
      <w:r/>
      <w:bookmarkStart w:id="21" w:name="_Toc29938"/>
      <w:r/>
      <w:bookmarkStart w:id="22" w:name="_Toc24847"/>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19"/>
      <w:r/>
      <w:bookmarkEnd w:id="20"/>
      <w:r/>
      <w:bookmarkEnd w:id="21"/>
      <w:r/>
      <w:bookmarkEnd w:id="22"/>
      <w:r/>
      <w:r/>
    </w:p>
    <w:p>
      <w:pPr>
        <w:ind w:left="0"/>
        <w:jc w:val="center"/>
        <w:pageBreakBefore w:val="0"/>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江苏至衡诚达工程咨询有限公司</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797"/>
        <w:pageBreakBefore w:val="0"/>
        <w:rPr>
          <w:rFonts w:ascii="宋体" w:hAnsi="宋体"/>
          <w:color w:val="auto"/>
          <w:highlight w:val="none"/>
        </w:rPr>
      </w:pPr>
      <w:r>
        <w:rPr>
          <w:rFonts w:ascii="宋体" w:hAnsi="宋体"/>
          <w:color w:val="auto"/>
          <w:highlight w:val="none"/>
        </w:rPr>
      </w:r>
      <w:r/>
    </w:p>
    <w:p>
      <w:pPr>
        <w:ind w:left="0" w:firstLine="42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pageBreakBefore w:val="0"/>
        <w:spacing w:line="360" w:lineRule="auto"/>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23" w:name="_Toc12078"/>
      <w:r/>
      <w:bookmarkStart w:id="24" w:name="_Toc165274509"/>
      <w:r/>
      <w:bookmarkStart w:id="25" w:name="_Toc6879"/>
      <w:r/>
      <w:bookmarkStart w:id="26" w:name="_Toc5363"/>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23"/>
      <w:r/>
      <w:bookmarkEnd w:id="24"/>
      <w:r/>
      <w:bookmarkEnd w:id="25"/>
      <w:r/>
      <w:bookmarkEnd w:id="26"/>
      <w:r/>
      <w:r/>
    </w:p>
    <w:p>
      <w:pPr>
        <w:ind w:left="0"/>
        <w:jc w:val="center"/>
        <w:pageBreakBefore w:val="0"/>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中小企业声明函（服务）</w:t>
      </w:r>
      <w:r/>
    </w:p>
    <w:p>
      <w:pPr>
        <w:ind w:left="0"/>
        <w:jc w:val="left"/>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江苏至衡诚达工程咨询有限公司</w:t>
      </w:r>
      <w:r>
        <w:rPr>
          <w:rFonts w:hint="eastAsia" w:ascii="宋体" w:hAnsi="宋体"/>
          <w:color w:val="auto"/>
          <w:sz w:val="21"/>
          <w:szCs w:val="21"/>
          <w:highlight w:val="none"/>
          <w:u w:val="single"/>
        </w:rPr>
        <w:t xml:space="preserve">：</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（招标文件中明确的所属行业）行业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823"/>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（项目名称）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（招标文件中明确的所属行业）行业</w:t>
      </w:r>
      <w:r>
        <w:rPr>
          <w:rFonts w:hint="eastAsia" w:ascii="宋体" w:hAnsi="宋体"/>
          <w:color w:val="auto"/>
          <w:sz w:val="21"/>
          <w:szCs w:val="21"/>
          <w:highlight w:val="none"/>
          <w:lang w:val="zh-CN"/>
        </w:rPr>
        <w:t xml:space="preserve">；承接企业为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right="2500"/>
        <w:jc w:val="right"/>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日</w:t>
      </w:r>
      <w:r/>
    </w:p>
    <w:p>
      <w:pPr>
        <w:ind w:left="0"/>
        <w:pageBreakBefore w:val="0"/>
        <w:spacing w:line="280" w:lineRule="exact"/>
        <w:rPr>
          <w:rFonts w:ascii="宋体" w:hAnsi="宋体"/>
          <w:b/>
          <w:color w:val="auto"/>
          <w:highlight w:val="none"/>
        </w:rPr>
      </w:pPr>
      <w:r>
        <w:rPr>
          <w:rFonts w:ascii="宋体" w:hAnsi="宋体"/>
          <w:color w:val="auto"/>
          <w:sz w:val="21"/>
          <w:szCs w:val="21"/>
          <w:highlight w:val="none"/>
          <w:lang w:val="zh-CN"/>
        </w:rPr>
        <w:br w:type="page" w:clear="all"/>
      </w:r>
      <w:r>
        <w:rPr>
          <w:rFonts w:hint="eastAsia" w:ascii="宋体" w:hAnsi="宋体"/>
          <w:b/>
          <w:color w:val="auto"/>
          <w:highlight w:val="none"/>
        </w:rPr>
        <w:t xml:space="preserve">附：中小企业划型标准规定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pageBreakBefore w:val="0"/>
        <w:spacing w:line="280" w:lineRule="exact"/>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pageBreakBefore w:val="0"/>
        <w:spacing w:line="280" w:lineRule="exact"/>
        <w:rPr>
          <w:rFonts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pageBreakBefore w:val="0"/>
        <w:rPr>
          <w:rFonts w:ascii="宋体" w:hAnsi="宋体" w:cs="Times New Roman"/>
          <w:color w:val="auto"/>
          <w:highlight w:val="none"/>
        </w:rPr>
      </w:pPr>
      <w:r>
        <w:rPr>
          <w:rFonts w:ascii="宋体" w:hAnsi="宋体" w:cs="Times New Roman"/>
          <w:color w:val="auto"/>
          <w:highlight w:val="none"/>
        </w:rPr>
      </w:r>
      <w:r/>
    </w:p>
    <w:p>
      <w:pPr>
        <w:pageBreakBefore w:val="0"/>
        <w:rPr>
          <w:rFonts w:ascii="宋体" w:hAnsi="宋体"/>
          <w:color w:val="auto"/>
          <w:highlight w:val="none"/>
        </w:rPr>
      </w:pPr>
      <w:r>
        <w:rPr>
          <w:rFonts w:ascii="宋体" w:hAnsi="宋体"/>
          <w:color w:val="auto"/>
          <w:highlight w:val="none"/>
          <w:lang w:val="zh-CN"/>
        </w:rPr>
        <w:br w:type="page" w:clear="all"/>
      </w:r>
      <w:r/>
    </w:p>
    <w:p>
      <w:pPr>
        <w:ind w:left="0" w:firstLine="0"/>
        <w:pageBreakBefore w:val="0"/>
        <w:rPr>
          <w:color w:val="auto"/>
          <w:highlight w:val="none"/>
        </w:rPr>
      </w:pPr>
      <w:r>
        <w:rPr>
          <w:color w:val="auto"/>
          <w:highlight w:val="none"/>
        </w:rPr>
      </w:r>
      <w:r/>
    </w:p>
    <w:p>
      <w:pPr>
        <w:ind w:left="0"/>
        <w:jc w:val="left"/>
        <w:pageBreakBefore w:val="0"/>
        <w:rPr>
          <w:rFonts w:ascii="宋体" w:hAnsi="宋体"/>
          <w:b/>
          <w:bCs/>
          <w:color w:val="auto"/>
          <w:sz w:val="21"/>
          <w:szCs w:val="21"/>
          <w:highlight w:val="none"/>
        </w:rPr>
        <w:outlineLvl w:val="0"/>
      </w:pPr>
      <w:r/>
      <w:bookmarkStart w:id="27" w:name="_Toc165274510"/>
      <w:r/>
      <w:bookmarkStart w:id="28" w:name="_Toc21901"/>
      <w:r/>
      <w:bookmarkStart w:id="29" w:name="_Toc31952"/>
      <w:r/>
      <w:bookmarkStart w:id="30" w:name="_Toc20784"/>
      <w:r>
        <w:rPr>
          <w:rFonts w:hint="eastAsia" w:ascii="宋体" w:hAnsi="宋体"/>
          <w:b/>
          <w:color w:val="auto"/>
          <w:sz w:val="21"/>
          <w:szCs w:val="21"/>
          <w:highlight w:val="none"/>
        </w:rPr>
        <w:t xml:space="preserve">附件</w:t>
      </w:r>
      <w:r>
        <w:rPr>
          <w:rFonts w:ascii="宋体" w:hAnsi="宋体"/>
          <w:b/>
          <w:color w:val="auto"/>
          <w:sz w:val="21"/>
          <w:szCs w:val="21"/>
          <w:highlight w:val="none"/>
        </w:rPr>
        <w:t xml:space="preserve">6</w:t>
      </w:r>
      <w:r>
        <w:rPr>
          <w:rFonts w:hint="eastAsia" w:ascii="宋体" w:hAnsi="宋体"/>
          <w:b/>
          <w:color w:val="auto"/>
          <w:sz w:val="21"/>
          <w:szCs w:val="21"/>
          <w:highlight w:val="none"/>
        </w:rPr>
        <w:t xml:space="preserve">.残疾人福利性单位声明函</w:t>
      </w:r>
      <w:bookmarkEnd w:id="27"/>
      <w:r/>
      <w:bookmarkEnd w:id="28"/>
      <w:r/>
      <w:bookmarkEnd w:id="29"/>
      <w:r/>
      <w:bookmarkEnd w:id="30"/>
      <w:r/>
      <w:r/>
    </w:p>
    <w:p>
      <w:pPr>
        <w:ind w:left="0"/>
        <w:jc w:val="center"/>
        <w:pageBreakBefore w:val="0"/>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u w:val="single"/>
          <w:lang w:val="zh-CN"/>
        </w:rPr>
        <w:t xml:space="preserve">江苏至衡诚达工程咨询有限公司</w:t>
      </w:r>
      <w:r>
        <w:rPr>
          <w:rFonts w:hint="eastAsia" w:ascii="宋体" w:hAnsi="宋体"/>
          <w:color w:val="auto"/>
          <w:sz w:val="21"/>
          <w:szCs w:val="21"/>
          <w:highlight w:val="none"/>
          <w:lang w:val="zh-CN"/>
        </w:rPr>
        <w:t xml:space="preserve">：</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贵司组织实施的编号为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ageBreakBefore w:val="0"/>
        <w:spacing w:line="360" w:lineRule="auto"/>
        <w:rPr>
          <w:rFonts w:ascii="宋体" w:hAnsi="宋体"/>
          <w:b/>
          <w:color w:val="auto"/>
          <w:sz w:val="21"/>
          <w:szCs w:val="21"/>
          <w:highlight w:val="none"/>
        </w:rPr>
      </w:pPr>
      <w:r>
        <w:rPr>
          <w:rFonts w:ascii="宋体" w:hAnsi="宋体"/>
          <w:b/>
          <w:color w:val="auto"/>
          <w:sz w:val="21"/>
          <w:szCs w:val="21"/>
          <w:highlight w:val="none"/>
        </w:rPr>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818"/>
        <w:ind w:left="0" w:firstLine="0"/>
        <w:pageBreakBefore w:val="0"/>
        <w:rPr>
          <w:rFonts w:ascii="宋体" w:hAnsi="宋体"/>
          <w:b/>
          <w:color w:val="auto"/>
          <w:highlight w:val="none"/>
        </w:rPr>
      </w:pPr>
      <w:r>
        <w:rPr>
          <w:rFonts w:ascii="宋体" w:hAnsi="宋体"/>
          <w:b/>
          <w:color w:val="auto"/>
          <w:highlight w:val="none"/>
        </w:rPr>
      </w:r>
      <w:r/>
    </w:p>
    <w:p>
      <w:pPr>
        <w:pStyle w:val="818"/>
        <w:ind w:left="0" w:firstLine="0"/>
        <w:pageBreakBefore w:val="0"/>
        <w:rPr>
          <w:rFonts w:ascii="宋体" w:hAnsi="宋体" w:cs="Arial"/>
          <w:b/>
          <w:color w:val="auto"/>
          <w:highlight w:val="none"/>
          <w:shd w:val="clear" w:color="auto" w:fill="ffffff"/>
        </w:rPr>
      </w:pPr>
      <w:r>
        <w:rPr>
          <w:rFonts w:hint="eastAsia" w:ascii="宋体" w:hAnsi="宋体"/>
          <w:b/>
          <w:color w:val="auto"/>
          <w:highlight w:val="none"/>
          <w:lang w:val="zh-CN"/>
        </w:rPr>
        <w:t xml:space="preserve">备注：1.</w:t>
      </w:r>
      <w:r>
        <w:rPr>
          <w:rFonts w:hint="eastAsia" w:ascii="宋体" w:hAnsi="宋体" w:cs="Arial"/>
          <w:b/>
          <w:color w:val="auto"/>
          <w:highlight w:val="none"/>
          <w:shd w:val="clear" w:color="auto" w:fill="ffffff"/>
        </w:rPr>
        <w:t xml:space="preserve">享受政府采购支持政策的残疾人福利性单位应当同时满足以下条件：</w:t>
      </w:r>
      <w:r/>
    </w:p>
    <w:p>
      <w:pPr>
        <w:pStyle w:val="818"/>
        <w:ind w:left="0" w:firstLine="400"/>
        <w:pageBreakBefore w:val="0"/>
        <w:rPr>
          <w:rFonts w:ascii="宋体" w:hAnsi="宋体" w:cs="Arial"/>
          <w:color w:val="auto"/>
          <w:highlight w:val="none"/>
          <w:shd w:val="clear" w:color="auto" w:fill="ffffff"/>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1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①</w:t>
      </w:r>
      <w:r>
        <w:rPr>
          <w:rFonts w:hint="eastAsia" w:ascii="宋体" w:hAnsi="宋体"/>
          <w:color w:val="auto"/>
          <w:highlight w:val="none"/>
          <w:lang w:val="zh-CN"/>
        </w:rPr>
        <w:fldChar w:fldCharType="end"/>
      </w:r>
      <w:r>
        <w:rPr>
          <w:rFonts w:hint="eastAsia" w:ascii="宋体" w:hAnsi="宋体"/>
          <w:color w:val="auto"/>
          <w:highlight w:val="none"/>
          <w:lang w:val="zh-CN"/>
        </w:rPr>
        <w:t xml:space="preserve">安置的残疾人占本单位在职职工人数的比例不低于25%（含25%），并且安置的残疾人人数不少于10人（含10人）；</w:t>
      </w:r>
      <w:r/>
    </w:p>
    <w:p>
      <w:pPr>
        <w:pStyle w:val="818"/>
        <w:ind w:left="0" w:firstLine="400"/>
        <w:pageBreakBefore w:val="0"/>
        <w:rPr>
          <w:rFonts w:ascii="宋体" w:hAnsi="宋体"/>
          <w:color w:val="auto"/>
          <w:highlight w:val="none"/>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2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②</w:t>
      </w:r>
      <w:r>
        <w:rPr>
          <w:rFonts w:hint="eastAsia" w:ascii="宋体" w:hAnsi="宋体"/>
          <w:color w:val="auto"/>
          <w:highlight w:val="none"/>
          <w:lang w:val="zh-CN"/>
        </w:rPr>
        <w:fldChar w:fldCharType="end"/>
      </w:r>
      <w:r>
        <w:rPr>
          <w:rFonts w:hint="eastAsia" w:ascii="宋体" w:hAnsi="宋体"/>
          <w:color w:val="auto"/>
          <w:highlight w:val="none"/>
          <w:lang w:val="zh-CN"/>
        </w:rPr>
        <w:t xml:space="preserve">依法与安置的每位残疾人签订了一年以上（含一年）的劳动合同或服务协议；</w:t>
      </w:r>
      <w:r/>
    </w:p>
    <w:p>
      <w:pPr>
        <w:pStyle w:val="818"/>
        <w:ind w:left="0" w:firstLine="400"/>
        <w:pageBreakBefore w:val="0"/>
        <w:rPr>
          <w:rFonts w:ascii="宋体" w:hAnsi="宋体"/>
          <w:color w:val="auto"/>
          <w:highlight w:val="none"/>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3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③</w:t>
      </w:r>
      <w:r>
        <w:rPr>
          <w:rFonts w:hint="eastAsia" w:ascii="宋体" w:hAnsi="宋体"/>
          <w:color w:val="auto"/>
          <w:highlight w:val="none"/>
          <w:lang w:val="zh-CN"/>
        </w:rPr>
        <w:fldChar w:fldCharType="end"/>
      </w:r>
      <w:r>
        <w:rPr>
          <w:rFonts w:hint="eastAsia" w:ascii="宋体" w:hAnsi="宋体"/>
          <w:color w:val="auto"/>
          <w:highlight w:val="none"/>
          <w:lang w:val="zh-CN"/>
        </w:rPr>
        <w:t xml:space="preserve">为安置的每位残疾人按月足额缴纳了基本养老保险、基本医疗保险、失业保险、工伤保险和生育保险等社会保险费；</w:t>
      </w:r>
      <w:r/>
    </w:p>
    <w:p>
      <w:pPr>
        <w:pStyle w:val="818"/>
        <w:ind w:left="0" w:firstLine="400"/>
        <w:pageBreakBefore w:val="0"/>
        <w:rPr>
          <w:rFonts w:ascii="宋体" w:hAnsi="宋体"/>
          <w:color w:val="auto"/>
          <w:highlight w:val="none"/>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4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④</w:t>
      </w:r>
      <w:r>
        <w:rPr>
          <w:rFonts w:hint="eastAsia" w:ascii="宋体" w:hAnsi="宋体"/>
          <w:color w:val="auto"/>
          <w:highlight w:val="none"/>
          <w:lang w:val="zh-CN"/>
        </w:rPr>
        <w:fldChar w:fldCharType="end"/>
      </w:r>
      <w:r>
        <w:rPr>
          <w:rFonts w:hint="eastAsia" w:ascii="宋体" w:hAnsi="宋体"/>
          <w:color w:val="auto"/>
          <w:highlight w:val="none"/>
          <w:lang w:val="zh-CN"/>
        </w:rPr>
        <w:t xml:space="preserve">通过银行等金融机构向安置的每位残疾人，按月支付了不低于单位所在区县适用的经省级人民政府批准的月最低工资标准的工资；</w:t>
      </w:r>
      <w:r/>
    </w:p>
    <w:p>
      <w:pPr>
        <w:pStyle w:val="818"/>
        <w:ind w:left="0" w:firstLine="400"/>
        <w:pageBreakBefore w:val="0"/>
        <w:rPr>
          <w:rFonts w:ascii="宋体" w:hAnsi="宋体"/>
          <w:color w:val="auto"/>
          <w:highlight w:val="none"/>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5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⑤</w:t>
      </w:r>
      <w:r>
        <w:rPr>
          <w:rFonts w:hint="eastAsia" w:ascii="宋体" w:hAnsi="宋体"/>
          <w:color w:val="auto"/>
          <w:highlight w:val="none"/>
          <w:lang w:val="zh-CN"/>
        </w:rPr>
        <w:fldChar w:fldCharType="end"/>
      </w:r>
      <w:r>
        <w:rPr>
          <w:rFonts w:hint="eastAsia" w:ascii="宋体" w:hAnsi="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18"/>
        <w:ind w:left="0" w:firstLine="400"/>
        <w:pageBreakBefore w:val="0"/>
        <w:rPr>
          <w:rFonts w:ascii="宋体" w:hAnsi="宋体"/>
          <w:color w:val="auto"/>
          <w:highlight w:val="none"/>
        </w:rPr>
      </w:pPr>
      <w:r>
        <w:rPr>
          <w:rFonts w:hint="eastAsia" w:ascii="宋体" w:hAnsi="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8"/>
        <w:ind w:left="0" w:firstLine="402"/>
        <w:pageBreakBefore w:val="0"/>
        <w:rPr>
          <w:rFonts w:ascii="宋体" w:hAnsi="宋体"/>
          <w:b/>
          <w:color w:val="auto"/>
          <w:highlight w:val="none"/>
        </w:rPr>
      </w:pPr>
      <w:r>
        <w:rPr>
          <w:rFonts w:hint="eastAsia" w:ascii="宋体" w:hAnsi="宋体"/>
          <w:b/>
          <w:color w:val="auto"/>
          <w:highlight w:val="none"/>
          <w:lang w:val="zh-CN"/>
        </w:rPr>
        <w:t xml:space="preserve">2.中标单位为残疾人福利性单位的，《残疾人福利性单位声明函》将随中标结果同时公告。</w:t>
      </w:r>
      <w:r/>
    </w:p>
    <w:p>
      <w:pPr>
        <w:pStyle w:val="818"/>
        <w:ind w:left="0" w:firstLine="402"/>
        <w:pageBreakBefore w:val="0"/>
        <w:rPr>
          <w:rFonts w:ascii="宋体" w:hAnsi="宋体"/>
          <w:b/>
          <w:color w:val="auto"/>
          <w:highlight w:val="none"/>
        </w:rPr>
      </w:pPr>
      <w:r>
        <w:rPr>
          <w:rFonts w:hint="eastAsia" w:ascii="宋体" w:hAnsi="宋体"/>
          <w:b/>
          <w:color w:val="auto"/>
          <w:highlight w:val="none"/>
          <w:lang w:val="zh-CN"/>
        </w:rPr>
        <w:t xml:space="preserve">3.供应商提供的《残疾人福利性单位声明函》与事实不符的，依照《政府采购法》第七十七条第一款的规定追究法律责任。</w:t>
      </w:r>
      <w:r/>
    </w:p>
    <w:p>
      <w:pPr>
        <w:ind w:left="0"/>
        <w:jc w:val="left"/>
        <w:pageBreakBefore w:val="0"/>
        <w:rPr>
          <w:rFonts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31" w:name="_Toc24317"/>
      <w:r/>
      <w:bookmarkStart w:id="32" w:name="_Toc165274511"/>
      <w:r/>
      <w:bookmarkStart w:id="33" w:name="_Toc14676"/>
      <w:r/>
      <w:bookmarkStart w:id="34" w:name="_Toc19608"/>
      <w:r>
        <w:rPr>
          <w:rFonts w:ascii="宋体" w:hAnsi="宋体"/>
          <w:b/>
          <w:color w:val="auto"/>
          <w:sz w:val="21"/>
          <w:szCs w:val="21"/>
          <w:highlight w:val="none"/>
        </w:rPr>
        <w:t xml:space="preserve">附件7</w:t>
      </w:r>
      <w:r>
        <w:rPr>
          <w:rFonts w:hint="eastAsia" w:ascii="宋体" w:hAnsi="宋体"/>
          <w:b/>
          <w:color w:val="auto"/>
          <w:sz w:val="21"/>
          <w:szCs w:val="21"/>
          <w:highlight w:val="none"/>
        </w:rPr>
        <w:t xml:space="preserve">.</w:t>
      </w:r>
      <w:r>
        <w:rPr>
          <w:rFonts w:hint="eastAsia" w:ascii="宋体" w:hAnsi="宋体"/>
          <w:color w:val="auto"/>
          <w:highlight w:val="none"/>
        </w:rPr>
        <w:t xml:space="preserve"> </w:t>
      </w:r>
      <w:r>
        <w:rPr>
          <w:rFonts w:hint="eastAsia" w:ascii="宋体" w:hAnsi="宋体"/>
          <w:b/>
          <w:color w:val="auto"/>
          <w:sz w:val="21"/>
          <w:szCs w:val="21"/>
          <w:highlight w:val="none"/>
        </w:rPr>
        <w:t xml:space="preserve">偏离表（技术、商务）</w:t>
      </w:r>
      <w:bookmarkEnd w:id="31"/>
      <w:r/>
      <w:bookmarkEnd w:id="32"/>
      <w:r/>
      <w:bookmarkEnd w:id="33"/>
      <w:r/>
      <w:bookmarkEnd w:id="34"/>
      <w:r/>
      <w:r/>
    </w:p>
    <w:p>
      <w:pPr>
        <w:ind w:left="0"/>
        <w:jc w:val="center"/>
        <w:pageBreakBefore w:val="0"/>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偏离表（技术、商务）</w:t>
      </w:r>
      <w:r/>
    </w:p>
    <w:tbl>
      <w:tblPr>
        <w:tblStyle w:val="79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1525"/>
        <w:gridCol w:w="1661"/>
        <w:gridCol w:w="1781"/>
        <w:gridCol w:w="1542"/>
        <w:gridCol w:w="1186"/>
      </w:tblGrid>
      <w:tr>
        <w:trPr>
          <w:trHeight w:val="760"/>
        </w:trPr>
        <w:tc>
          <w:tcPr>
            <w:tcW w:w="364"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w:t>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招标要求</w:t>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投标内容</w:t>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偏离说明</w:t>
            </w:r>
            <w:r/>
          </w:p>
        </w:tc>
        <w:tc>
          <w:tcPr>
            <w:tcW w:w="714" w:type="pct"/>
            <w:textDirection w:val="lrTb"/>
            <w:noWrap w:val="false"/>
          </w:tcPr>
          <w:p>
            <w:pPr>
              <w:ind w:left="0"/>
              <w:jc w:val="center"/>
              <w:pageBreakBefore w:val="0"/>
              <w:spacing w:line="600" w:lineRule="auto"/>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证明材料</w:t>
            </w:r>
            <w:r/>
          </w:p>
        </w:tc>
      </w:tr>
      <w:tr>
        <w:trPr>
          <w:cantSplit/>
          <w:trHeight w:val="495"/>
        </w:trPr>
        <w:tc>
          <w:tcPr>
            <w:tcW w:w="364"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trHeight w:val="495"/>
        </w:trPr>
        <w:tc>
          <w:tcPr>
            <w:tcW w:w="36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1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00"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72"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28"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4" w:type="pct"/>
            <w:textDirection w:val="lrTb"/>
            <w:noWrap w:val="false"/>
          </w:tcPr>
          <w:p>
            <w:pPr>
              <w:ind w:left="0"/>
              <w:jc w:val="center"/>
              <w:pageBreakBefore w:val="0"/>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color w:val="auto"/>
          <w:sz w:val="21"/>
          <w:szCs w:val="21"/>
          <w:highlight w:val="none"/>
        </w:rPr>
        <w:t xml:space="preserve">未说明偏离的，将被认为响应招标文件的规定。</w:t>
      </w:r>
      <w:r>
        <w:rPr>
          <w:rFonts w:hint="eastAsia" w:ascii="宋体" w:hAnsi="宋体"/>
          <w:color w:val="auto"/>
          <w:sz w:val="21"/>
          <w:szCs w:val="21"/>
          <w:highlight w:val="none"/>
        </w:rPr>
        <w:t xml:space="preserve">但该表不作为投标人对所投标服务关于商务条款等详细描述和说明的替代。</w:t>
      </w:r>
      <w:r/>
    </w:p>
    <w:p>
      <w:pPr>
        <w:ind w:left="0" w:firstLine="420"/>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表格可根据实际情况自行调整、编辑。</w:t>
      </w:r>
      <w:r/>
    </w:p>
    <w:p>
      <w:pPr>
        <w:ind w:left="424" w:right="451" w:firstLine="210"/>
        <w:pageBreakBefore w:val="0"/>
        <w:spacing w:line="276" w:lineRule="auto"/>
        <w:widowControl w:val="off"/>
        <w:rPr>
          <w:rFonts w:ascii="Times New Roman"/>
          <w:b/>
          <w:color w:val="auto"/>
          <w:highlight w:val="none"/>
        </w:rPr>
      </w:pPr>
      <w:r>
        <w:rPr>
          <w:rFonts w:hint="eastAsia" w:ascii="Times New Roman"/>
          <w:color w:val="auto"/>
          <w:highlight w:val="none"/>
        </w:rPr>
        <w:t xml:space="preserve"> </w:t>
      </w:r>
      <w:r/>
    </w:p>
    <w:p>
      <w:pPr>
        <w:ind w:left="0" w:right="1560"/>
        <w:jc w:val="center"/>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firstLine="483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797"/>
        <w:pageBreakBefore w:val="0"/>
        <w:rPr>
          <w:rFonts w:ascii="宋体" w:hAnsi="宋体" w:cs="宋体"/>
          <w:color w:val="auto"/>
          <w:sz w:val="21"/>
          <w:szCs w:val="21"/>
          <w:highlight w:val="none"/>
        </w:rPr>
      </w:pPr>
      <w:r>
        <w:rPr>
          <w:rFonts w:ascii="宋体" w:hAnsi="宋体" w:cs="宋体"/>
          <w:color w:val="auto"/>
          <w:sz w:val="21"/>
          <w:szCs w:val="21"/>
          <w:highlight w:val="none"/>
        </w:rPr>
      </w:r>
      <w:r/>
    </w:p>
    <w:p>
      <w:pPr>
        <w:pageBreakBefore w:val="0"/>
        <w:rPr>
          <w:rFonts w:ascii="宋体" w:hAnsi="宋体"/>
          <w:color w:val="auto"/>
          <w:sz w:val="21"/>
          <w:szCs w:val="21"/>
          <w:highlight w:val="none"/>
        </w:rPr>
      </w:pPr>
      <w:r>
        <w:rPr>
          <w:rFonts w:ascii="宋体" w:hAnsi="宋体"/>
          <w:color w:val="auto"/>
          <w:sz w:val="21"/>
          <w:szCs w:val="21"/>
          <w:highlight w:val="none"/>
        </w:rPr>
        <w:br w:type="page" w:clear="all"/>
      </w:r>
      <w:r/>
    </w:p>
    <w:p>
      <w:pPr>
        <w:ind w:left="0"/>
        <w:pageBreakBefore w:val="0"/>
        <w:rPr>
          <w:rFonts w:ascii="宋体" w:hAnsi="宋体"/>
          <w:color w:val="auto"/>
          <w:sz w:val="21"/>
          <w:szCs w:val="21"/>
          <w:highlight w:val="none"/>
        </w:rPr>
      </w:pPr>
      <w:r>
        <w:rPr>
          <w:rFonts w:ascii="宋体" w:hAnsi="宋体"/>
          <w:color w:val="auto"/>
          <w:sz w:val="21"/>
          <w:szCs w:val="21"/>
          <w:highlight w:val="none"/>
        </w:rPr>
      </w:r>
      <w:r/>
    </w:p>
    <w:p>
      <w:pPr>
        <w:pStyle w:val="794"/>
        <w:pageBreakBefore w:val="0"/>
        <w:rPr>
          <w:rFonts w:ascii="宋体" w:hAnsi="宋体" w:cs="Times New Roman"/>
          <w:color w:val="auto"/>
          <w:highlight w:val="none"/>
        </w:rPr>
      </w:pPr>
      <w:r>
        <w:rPr>
          <w:rFonts w:ascii="宋体" w:hAnsi="宋体" w:cs="Times New Roman"/>
          <w:color w:val="auto"/>
          <w:highlight w:val="none"/>
        </w:rPr>
      </w:r>
      <w:r/>
    </w:p>
    <w:p>
      <w:pPr>
        <w:ind w:left="0"/>
        <w:jc w:val="left"/>
        <w:pageBreakBefore w:val="0"/>
        <w:rPr>
          <w:rFonts w:ascii="宋体" w:hAnsi="宋体"/>
          <w:b/>
          <w:color w:val="auto"/>
          <w:sz w:val="21"/>
          <w:szCs w:val="21"/>
          <w:highlight w:val="none"/>
        </w:rPr>
        <w:outlineLvl w:val="0"/>
      </w:pPr>
      <w:r/>
      <w:bookmarkStart w:id="35" w:name="_Toc165274512"/>
      <w:r/>
      <w:bookmarkStart w:id="36" w:name="_Toc18875"/>
      <w:r/>
      <w:bookmarkStart w:id="37" w:name="_Toc18170"/>
      <w:r/>
      <w:bookmarkStart w:id="38" w:name="_Toc20774"/>
      <w:r>
        <w:rPr>
          <w:rFonts w:ascii="宋体" w:hAnsi="宋体"/>
          <w:b/>
          <w:color w:val="auto"/>
          <w:sz w:val="21"/>
          <w:szCs w:val="21"/>
          <w:highlight w:val="none"/>
        </w:rPr>
        <w:t xml:space="preserve">附件8</w:t>
      </w:r>
      <w:r>
        <w:rPr>
          <w:rFonts w:hint="eastAsia" w:ascii="宋体" w:hAnsi="宋体"/>
          <w:b/>
          <w:color w:val="auto"/>
          <w:sz w:val="21"/>
          <w:szCs w:val="21"/>
          <w:highlight w:val="none"/>
        </w:rPr>
        <w:t xml:space="preserve">.项目服务人员配置表</w:t>
      </w:r>
      <w:bookmarkEnd w:id="35"/>
      <w:r/>
      <w:bookmarkEnd w:id="36"/>
      <w:r/>
      <w:bookmarkEnd w:id="37"/>
      <w:r/>
      <w:bookmarkEnd w:id="38"/>
      <w:r/>
      <w:r/>
    </w:p>
    <w:p>
      <w:pPr>
        <w:ind w:left="0"/>
        <w:jc w:val="center"/>
        <w:pageBreakBefore w:val="0"/>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项目服务人员配置表</w:t>
      </w:r>
      <w:r/>
    </w:p>
    <w:tbl>
      <w:tblPr>
        <w:tblStyle w:val="79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9"/>
        <w:gridCol w:w="1279"/>
        <w:gridCol w:w="1063"/>
        <w:gridCol w:w="825"/>
        <w:gridCol w:w="1083"/>
        <w:gridCol w:w="1299"/>
        <w:gridCol w:w="1181"/>
        <w:gridCol w:w="958"/>
      </w:tblGrid>
      <w:tr>
        <w:trPr>
          <w:jc w:val="center"/>
          <w:trHeight w:val="760"/>
        </w:trPr>
        <w:tc>
          <w:tcPr>
            <w:tcW w:w="367" w:type="pct"/>
            <w:vAlign w:val="center"/>
            <w:textDirection w:val="lrTb"/>
            <w:noWrap w:val="false"/>
          </w:tcPr>
          <w:p>
            <w:pPr>
              <w:ind w:left="0"/>
              <w:jc w:val="center"/>
              <w:pageBreakBefore w:val="0"/>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岗位</w:t>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姓名</w:t>
            </w:r>
            <w:r/>
          </w:p>
        </w:tc>
        <w:tc>
          <w:tcPr>
            <w:tcW w:w="497"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性别</w:t>
            </w:r>
            <w:r/>
          </w:p>
        </w:tc>
        <w:tc>
          <w:tcPr>
            <w:tcW w:w="652"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年龄</w:t>
            </w:r>
            <w:r/>
          </w:p>
        </w:tc>
        <w:tc>
          <w:tcPr>
            <w:tcW w:w="782"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学历</w:t>
            </w:r>
            <w:r/>
          </w:p>
        </w:tc>
        <w:tc>
          <w:tcPr>
            <w:tcW w:w="711" w:type="pct"/>
            <w:vAlign w:val="center"/>
            <w:textDirection w:val="lrTb"/>
            <w:noWrap w:val="false"/>
          </w:tcPr>
          <w:p>
            <w:pPr>
              <w:ind w:left="0"/>
              <w:jc w:val="center"/>
              <w:pageBreakBefore w:val="0"/>
              <w:spacing w:line="36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职称</w:t>
            </w:r>
            <w:r>
              <w:rPr>
                <w:rFonts w:hint="eastAsia" w:ascii="宋体" w:hAnsi="宋体" w:cs="Times New Roman"/>
                <w:color w:val="auto"/>
                <w:sz w:val="21"/>
                <w:szCs w:val="21"/>
                <w:highlight w:val="none"/>
              </w:rPr>
              <w:t xml:space="preserve">或专业资格证书</w:t>
            </w:r>
            <w:r/>
          </w:p>
        </w:tc>
        <w:tc>
          <w:tcPr>
            <w:tcW w:w="577" w:type="pct"/>
            <w:vAlign w:val="center"/>
            <w:textDirection w:val="lrTb"/>
            <w:noWrap w:val="false"/>
          </w:tcPr>
          <w:p>
            <w:pPr>
              <w:ind w:left="0"/>
              <w:jc w:val="center"/>
              <w:pageBreakBefore w:val="0"/>
              <w:spacing w:line="360" w:lineRule="exac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备注</w:t>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604"/>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hint="eastAsia" w:ascii="宋体" w:hAnsi="宋体"/>
                <w:color w:val="auto"/>
                <w:sz w:val="21"/>
                <w:szCs w:val="21"/>
                <w:highlight w:val="none"/>
              </w:rPr>
              <w:t xml:space="preserve">...</w:t>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640" w:type="pct"/>
            <w:vAlign w:val="center"/>
            <w:textDirection w:val="lrTb"/>
            <w:noWrap w:val="false"/>
          </w:tcPr>
          <w:p>
            <w:pPr>
              <w:ind w:left="0"/>
              <w:jc w:val="center"/>
              <w:pageBreakBefore w:val="0"/>
              <w:widowControl w:val="off"/>
              <w:rPr>
                <w:rFonts w:ascii="宋体" w:hAnsi="宋体"/>
                <w:color w:val="auto"/>
                <w:sz w:val="21"/>
                <w:szCs w:val="21"/>
                <w:highlight w:val="none"/>
              </w:rPr>
            </w:pPr>
            <w:r>
              <w:rPr>
                <w:rFonts w:ascii="宋体" w:hAnsi="宋体"/>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40"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40"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95"/>
        </w:trPr>
        <w:tc>
          <w:tcPr>
            <w:tcW w:w="36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70"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40"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97"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5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8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71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577" w:type="pct"/>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pageBreakBefore w:val="0"/>
        <w:spacing w:line="360" w:lineRule="auto"/>
        <w:widowControl w:val="off"/>
        <w:rPr>
          <w:rFonts w:ascii="Times New Roman" w:hAnsi="Times New Roman"/>
          <w:b/>
          <w:color w:val="auto"/>
          <w:sz w:val="21"/>
          <w:highlight w:val="none"/>
        </w:rPr>
      </w:pPr>
      <w:r>
        <w:rPr>
          <w:rFonts w:hint="eastAsia" w:ascii="宋体" w:hAnsi="宋体"/>
          <w:b/>
          <w:color w:val="auto"/>
          <w:sz w:val="21"/>
          <w:szCs w:val="21"/>
          <w:highlight w:val="none"/>
        </w:rPr>
        <w:t xml:space="preserve">注：</w:t>
      </w:r>
      <w:r>
        <w:rPr>
          <w:rFonts w:ascii="Times New Roman" w:hAnsi="Times New Roman"/>
          <w:b/>
          <w:color w:val="auto"/>
          <w:sz w:val="21"/>
          <w:highlight w:val="none"/>
        </w:rPr>
        <w:t xml:space="preserve">1.</w:t>
      </w:r>
      <w:r>
        <w:rPr>
          <w:rFonts w:hint="eastAsia" w:ascii="Times New Roman" w:hAnsi="Times New Roman"/>
          <w:b/>
          <w:color w:val="auto"/>
          <w:sz w:val="21"/>
          <w:highlight w:val="none"/>
        </w:rPr>
        <w:t xml:space="preserve">服务类项目中供应商若使用退休人员，将不享受中小企业扶持政策。</w:t>
      </w:r>
      <w:r/>
    </w:p>
    <w:p>
      <w:pPr>
        <w:pStyle w:val="798"/>
        <w:pageBreakBefore w:val="0"/>
        <w:rPr>
          <w:color w:val="auto"/>
          <w:highlight w:val="none"/>
        </w:rPr>
      </w:pPr>
      <w:r>
        <w:rPr>
          <w:color w:val="auto"/>
          <w:highlight w:val="none"/>
        </w:rPr>
      </w:r>
      <w:r/>
    </w:p>
    <w:p>
      <w:pPr>
        <w:pageBreakBefore w:val="0"/>
        <w:spacing w:line="360" w:lineRule="auto"/>
        <w:widowControl w:val="off"/>
        <w:rPr>
          <w:rFonts w:ascii="宋体" w:hAnsi="宋体"/>
          <w:color w:val="auto"/>
          <w:sz w:val="21"/>
          <w:highlight w:val="none"/>
        </w:rPr>
      </w:pPr>
      <w:r>
        <w:rPr>
          <w:rFonts w:ascii="宋体" w:hAnsi="宋体"/>
          <w:color w:val="auto"/>
          <w:sz w:val="21"/>
          <w:highlight w:val="none"/>
        </w:rPr>
        <w:t xml:space="preserve">投标人（盖章）：</w:t>
      </w:r>
      <w:r/>
    </w:p>
    <w:p>
      <w:pPr>
        <w:jc w:val="both"/>
        <w:pageBreakBefore w:val="0"/>
        <w:spacing w:line="360" w:lineRule="auto"/>
        <w:rPr>
          <w:rFonts w:ascii="宋体" w:hAnsi="宋体"/>
          <w:color w:val="auto"/>
          <w:sz w:val="21"/>
          <w:highlight w:val="none"/>
        </w:rPr>
      </w:pPr>
      <w:r>
        <w:rPr>
          <w:rFonts w:ascii="宋体" w:hAnsi="宋体"/>
          <w:color w:val="auto"/>
          <w:sz w:val="21"/>
          <w:highlight w:val="none"/>
        </w:rPr>
        <w:t xml:space="preserve">法定代表人或代理人（签字或盖章）：</w:t>
      </w:r>
      <w:r/>
    </w:p>
    <w:p>
      <w:pPr>
        <w:pageBreakBefore w:val="0"/>
        <w:spacing w:line="360" w:lineRule="auto"/>
        <w:rPr>
          <w:rFonts w:ascii="宋体" w:hAnsi="宋体"/>
          <w:color w:val="auto"/>
          <w:sz w:val="21"/>
          <w:highlight w:val="none"/>
        </w:rPr>
      </w:pPr>
      <w:r>
        <w:rPr>
          <w:rFonts w:hint="eastAsia" w:ascii="宋体" w:hAnsi="宋体"/>
          <w:color w:val="auto"/>
          <w:sz w:val="21"/>
          <w:highlight w:val="none"/>
        </w:rPr>
        <w:t xml:space="preserve">日</w:t>
      </w:r>
      <w:r>
        <w:rPr>
          <w:rFonts w:ascii="宋体" w:hAnsi="宋体"/>
          <w:color w:val="auto"/>
          <w:sz w:val="21"/>
          <w:highlight w:val="none"/>
        </w:rPr>
        <w:t xml:space="preserve">    </w:t>
      </w:r>
      <w:r>
        <w:rPr>
          <w:rFonts w:hint="eastAsia" w:ascii="宋体" w:hAnsi="宋体"/>
          <w:color w:val="auto"/>
          <w:sz w:val="21"/>
          <w:highlight w:val="none"/>
        </w:rPr>
        <w:t xml:space="preserve">期：</w:t>
      </w:r>
      <w:r>
        <w:rPr>
          <w:rFonts w:ascii="宋体" w:hAnsi="宋体"/>
          <w:color w:val="auto"/>
          <w:sz w:val="21"/>
          <w:highlight w:val="none"/>
        </w:rPr>
        <w:t xml:space="preserve">     </w:t>
      </w:r>
      <w:r>
        <w:rPr>
          <w:rFonts w:hint="eastAsia" w:ascii="宋体" w:hAnsi="宋体"/>
          <w:color w:val="auto"/>
          <w:sz w:val="21"/>
          <w:highlight w:val="none"/>
        </w:rPr>
        <w:t xml:space="preserve">年</w:t>
      </w:r>
      <w:r>
        <w:rPr>
          <w:rFonts w:ascii="宋体" w:hAnsi="宋体"/>
          <w:color w:val="auto"/>
          <w:sz w:val="21"/>
          <w:highlight w:val="none"/>
        </w:rPr>
        <w:t xml:space="preserve">   </w:t>
      </w:r>
      <w:r>
        <w:rPr>
          <w:rFonts w:hint="eastAsia" w:ascii="宋体" w:hAnsi="宋体"/>
          <w:color w:val="auto"/>
          <w:sz w:val="21"/>
          <w:highlight w:val="none"/>
        </w:rPr>
        <w:t xml:space="preserve">  月</w:t>
      </w:r>
      <w:r>
        <w:rPr>
          <w:rFonts w:ascii="宋体" w:hAnsi="宋体"/>
          <w:color w:val="auto"/>
          <w:sz w:val="21"/>
          <w:highlight w:val="none"/>
        </w:rPr>
        <w:t xml:space="preserve">   </w:t>
      </w:r>
      <w:r>
        <w:rPr>
          <w:rFonts w:hint="eastAsia" w:ascii="宋体" w:hAnsi="宋体"/>
          <w:color w:val="auto"/>
          <w:sz w:val="21"/>
          <w:highlight w:val="none"/>
        </w:rPr>
        <w:t xml:space="preserve"> 日</w:t>
      </w:r>
      <w:r/>
    </w:p>
    <w:p>
      <w:pPr>
        <w:ind w:left="0"/>
        <w:jc w:val="left"/>
        <w:pageBreakBefore w:val="0"/>
        <w:rPr>
          <w:rFonts w:ascii="宋体" w:hAnsi="宋体"/>
          <w:b/>
          <w:color w:val="auto"/>
          <w:sz w:val="21"/>
          <w:szCs w:val="21"/>
          <w:highlight w:val="none"/>
        </w:rPr>
        <w:outlineLvl w:val="0"/>
      </w:pPr>
      <w:r>
        <w:rPr>
          <w:rFonts w:ascii="宋体" w:hAnsi="宋体"/>
          <w:b/>
          <w:color w:val="auto"/>
          <w:sz w:val="21"/>
          <w:szCs w:val="21"/>
          <w:highlight w:val="none"/>
        </w:rPr>
        <w:br w:type="page" w:clear="all"/>
      </w:r>
      <w:bookmarkStart w:id="39" w:name="_Toc21964"/>
      <w:r/>
      <w:bookmarkStart w:id="40" w:name="_Toc31230"/>
      <w:r/>
      <w:bookmarkStart w:id="41" w:name="_Toc165274513"/>
      <w:r/>
      <w:bookmarkStart w:id="42" w:name="_Toc19968"/>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.相关业绩一览表</w:t>
      </w:r>
      <w:bookmarkEnd w:id="39"/>
      <w:r/>
      <w:bookmarkEnd w:id="40"/>
      <w:r/>
      <w:bookmarkEnd w:id="41"/>
      <w:r/>
      <w:bookmarkEnd w:id="42"/>
      <w:r/>
      <w:r/>
    </w:p>
    <w:p>
      <w:pPr>
        <w:ind w:left="0"/>
        <w:jc w:val="center"/>
        <w:pageBreakBefore w:val="0"/>
        <w:spacing w:before="100" w:beforeAutospacing="1" w:after="100" w:afterAutospacing="1" w:line="480" w:lineRule="auto"/>
        <w:rPr>
          <w:rFonts w:ascii="宋体" w:hAnsi="宋体"/>
          <w:b/>
          <w:color w:val="auto"/>
          <w:sz w:val="21"/>
          <w:szCs w:val="21"/>
          <w:highlight w:val="none"/>
        </w:rPr>
      </w:pPr>
      <w:r>
        <w:rPr>
          <w:rFonts w:ascii="宋体" w:hAnsi="宋体"/>
          <w:b/>
          <w:color w:val="auto"/>
          <w:sz w:val="21"/>
          <w:szCs w:val="21"/>
          <w:highlight w:val="none"/>
        </w:rPr>
        <w:t xml:space="preserve">相关业绩一览表</w:t>
      </w:r>
      <w:r/>
    </w:p>
    <w:tbl>
      <w:tblPr>
        <w:tblStyle w:val="792"/>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87"/>
        <w:gridCol w:w="1761"/>
        <w:gridCol w:w="1761"/>
        <w:gridCol w:w="2094"/>
        <w:gridCol w:w="1592"/>
      </w:tblGrid>
      <w:tr>
        <w:trPr>
          <w:cantSplit/>
          <w:jc w:val="center"/>
          <w:trHeight w:val="740"/>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项目名称</w:t>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合同期</w:t>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合同金额</w:t>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备注</w:t>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1</w:t>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2</w:t>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3</w:t>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4</w:t>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5</w:t>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510" w:hRule="exact"/>
        </w:trPr>
        <w:tc>
          <w:tcPr>
            <w:tcW w:w="65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61"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Borders>
              <w:right w:val="single" w:color="auto" w:sz="4" w:space="0"/>
            </w:tcBorders>
            <w:tcW w:w="126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959"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firstLine="42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ind w:left="0"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.若事项较多，投标人可根据投标内容的实际情况另纸说明</w:t>
      </w:r>
      <w:r>
        <w:rPr>
          <w:rFonts w:hint="eastAsia" w:ascii="宋体" w:hAnsi="宋体"/>
          <w:color w:val="auto"/>
          <w:sz w:val="21"/>
          <w:szCs w:val="21"/>
          <w:highlight w:val="none"/>
        </w:rPr>
        <w:t xml:space="preserve">。</w:t>
      </w:r>
      <w:r/>
    </w:p>
    <w:p>
      <w:pPr>
        <w:ind w:left="0" w:firstLine="84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2.请将其他相关证明材料复印件加盖公章后附在本表后面。</w:t>
      </w:r>
      <w:r/>
    </w:p>
    <w:p>
      <w:pPr>
        <w:ind w:left="0"/>
        <w:jc w:val="left"/>
        <w:pageBreakBefore w:val="0"/>
        <w:spacing w:line="360" w:lineRule="auto"/>
        <w:widowControl w:val="off"/>
        <w:rPr>
          <w:rFonts w:ascii="宋体" w:hAnsi="宋体"/>
          <w:b/>
          <w:color w:val="auto"/>
          <w:sz w:val="21"/>
          <w:szCs w:val="21"/>
          <w:highlight w:val="none"/>
        </w:rPr>
      </w:pPr>
      <w:r>
        <w:rPr>
          <w:rFonts w:ascii="宋体" w:hAnsi="宋体"/>
          <w:b/>
          <w:color w:val="auto"/>
          <w:sz w:val="21"/>
          <w:szCs w:val="21"/>
          <w:highlight w:val="none"/>
        </w:rPr>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797"/>
        <w:pageBreakBefore w:val="0"/>
        <w:rPr>
          <w:rFonts w:ascii="宋体" w:hAnsi="宋体"/>
          <w:color w:val="auto"/>
          <w:highlight w:val="none"/>
        </w:rPr>
      </w:pPr>
      <w:r>
        <w:rPr>
          <w:rFonts w:ascii="宋体" w:hAnsi="宋体"/>
          <w:color w:val="auto"/>
          <w:highlight w:val="none"/>
        </w:rPr>
      </w:r>
      <w:r/>
    </w:p>
    <w:p>
      <w:pPr>
        <w:pStyle w:val="794"/>
        <w:pageBreakBefore w:val="0"/>
        <w:rPr>
          <w:rFonts w:ascii="宋体" w:hAnsi="宋体" w:cs="Times New Roman"/>
          <w:color w:val="auto"/>
          <w:highlight w:val="none"/>
        </w:rPr>
      </w:pPr>
      <w:r>
        <w:rPr>
          <w:rFonts w:ascii="宋体" w:hAnsi="宋体" w:cs="Times New Roman"/>
          <w:color w:val="auto"/>
          <w:highlight w:val="none"/>
        </w:rPr>
      </w:r>
      <w:r/>
    </w:p>
    <w:p>
      <w:pPr>
        <w:pageBreakBefore w:val="0"/>
        <w:rPr>
          <w:rFonts w:ascii="宋体" w:hAnsi="宋体" w:cs="Times New Roman"/>
          <w:color w:val="auto"/>
          <w:highlight w:val="none"/>
        </w:rPr>
      </w:pPr>
      <w:r>
        <w:rPr>
          <w:rFonts w:ascii="宋体" w:hAnsi="宋体" w:cs="Times New Roman"/>
          <w:color w:val="auto"/>
          <w:highlight w:val="none"/>
        </w:rPr>
      </w:r>
      <w:r/>
    </w:p>
    <w:p>
      <w:pPr>
        <w:ind w:left="0"/>
        <w:jc w:val="left"/>
        <w:pageBreakBefore w:val="0"/>
        <w:rPr>
          <w:rFonts w:ascii="宋体" w:hAnsi="宋体"/>
          <w:b/>
          <w:color w:val="auto"/>
          <w:sz w:val="21"/>
          <w:szCs w:val="21"/>
          <w:highlight w:val="none"/>
        </w:rPr>
        <w:outlineLvl w:val="0"/>
      </w:pPr>
      <w:r>
        <w:rPr>
          <w:rFonts w:ascii="宋体" w:hAnsi="宋体"/>
          <w:color w:val="auto"/>
          <w:sz w:val="21"/>
          <w:szCs w:val="21"/>
          <w:highlight w:val="none"/>
        </w:rPr>
        <w:br w:type="page" w:clear="all"/>
      </w:r>
      <w:bookmarkStart w:id="43" w:name="_Toc105397788"/>
      <w:r/>
      <w:bookmarkStart w:id="44" w:name="_Toc165274514"/>
      <w:r/>
      <w:bookmarkStart w:id="45" w:name="_Toc20720"/>
      <w:r/>
      <w:bookmarkStart w:id="46" w:name="_Toc6646"/>
      <w:r/>
      <w:bookmarkStart w:id="47" w:name="_Toc17748"/>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0</w:t>
      </w:r>
      <w:r>
        <w:rPr>
          <w:rFonts w:hint="eastAsia" w:ascii="宋体" w:hAnsi="宋体"/>
          <w:b/>
          <w:color w:val="auto"/>
          <w:sz w:val="21"/>
          <w:szCs w:val="21"/>
          <w:highlight w:val="none"/>
        </w:rPr>
        <w:t xml:space="preserve">.针对本项目的实施方案</w:t>
      </w:r>
      <w:bookmarkEnd w:id="43"/>
      <w:r/>
      <w:bookmarkEnd w:id="44"/>
      <w:r/>
      <w:bookmarkEnd w:id="45"/>
      <w:r/>
      <w:bookmarkEnd w:id="46"/>
      <w:r/>
      <w:bookmarkEnd w:id="47"/>
      <w:r/>
      <w:r/>
    </w:p>
    <w:p>
      <w:pPr>
        <w:ind w:left="0"/>
        <w:jc w:val="center"/>
        <w:pageBreakBefore w:val="0"/>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针对本项目的实施方案</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302"/>
      </w:tblGrid>
      <w:tr>
        <w:trPr/>
        <w:tc>
          <w:tcPr>
            <w:tcW w:w="5000" w:type="pct"/>
            <w:textDirection w:val="lrTb"/>
            <w:noWrap w:val="false"/>
          </w:tcPr>
          <w:p>
            <w:pPr>
              <w:ind w:left="0"/>
              <w:jc w:val="left"/>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提示：</w:t>
            </w:r>
            <w:r/>
          </w:p>
          <w:p>
            <w:pPr>
              <w:ind w:left="0"/>
              <w:jc w:val="left"/>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1、投标人应针对本次招标项目特点制定详细的实施方案，可包括但不限于对对本次项目维护管理服务具体方案</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rPr>
              <w:t xml:space="preserve">设施维修组织方案、设施偷盗及人为损坏的处理恢复方案</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rPr>
              <w:t xml:space="preserve">安全管理方案比较</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rPr>
              <w:t xml:space="preserve">维护期间与其他单位、部门的综合协调方案</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rPr>
              <w:t xml:space="preserve">投标单位对本项目的了解情况，重点难点分析</w:t>
            </w:r>
            <w:r>
              <w:rPr>
                <w:rFonts w:hint="eastAsia" w:ascii="宋体" w:hAnsi="宋体" w:cs="Times New Roman"/>
                <w:color w:val="auto"/>
                <w:sz w:val="21"/>
                <w:szCs w:val="21"/>
                <w:highlight w:val="none"/>
                <w:lang w:val="en-US" w:eastAsia="zh-CN"/>
              </w:rPr>
              <w:t xml:space="preserve">乙级</w:t>
            </w:r>
            <w:r>
              <w:rPr>
                <w:rFonts w:hint="eastAsia" w:ascii="宋体" w:hAnsi="宋体" w:cs="Times New Roman"/>
                <w:color w:val="auto"/>
                <w:sz w:val="21"/>
                <w:szCs w:val="21"/>
                <w:highlight w:val="none"/>
              </w:rPr>
              <w:t xml:space="preserve">针对本项目服务质量保证承诺及服务质量比较等内容。</w:t>
            </w:r>
            <w:r/>
          </w:p>
          <w:p>
            <w:pPr>
              <w:ind w:left="0"/>
              <w:jc w:val="left"/>
              <w:pageBreakBefore w:val="0"/>
              <w:widowControl w:val="off"/>
              <w:rPr>
                <w:rFonts w:ascii="宋体" w:hAnsi="宋体" w:cs="Times New Roman"/>
                <w:b/>
                <w:color w:val="auto"/>
                <w:sz w:val="21"/>
                <w:szCs w:val="21"/>
                <w:highlight w:val="none"/>
              </w:rPr>
            </w:pPr>
            <w:r>
              <w:rPr>
                <w:rFonts w:hint="eastAsia" w:ascii="宋体" w:hAnsi="宋体" w:cs="Times New Roman"/>
                <w:color w:val="auto"/>
                <w:sz w:val="21"/>
                <w:szCs w:val="21"/>
                <w:highlight w:val="none"/>
              </w:rPr>
              <w:t xml:space="preserve">2、供应商可根据自身情况编写，本页不够可另加页附后。</w:t>
            </w:r>
            <w:r/>
          </w:p>
        </w:tc>
      </w:tr>
      <w:tr>
        <w:trPr>
          <w:trHeight w:val="8385"/>
        </w:trPr>
        <w:tc>
          <w:tcPr>
            <w:tcW w:w="5000" w:type="pct"/>
            <w:textDirection w:val="lrTb"/>
            <w:noWrap w:val="false"/>
          </w:tcPr>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b/>
                <w:color w:val="auto"/>
                <w:sz w:val="21"/>
                <w:szCs w:val="21"/>
                <w:highlight w:val="none"/>
              </w:rPr>
            </w:pPr>
            <w:r>
              <w:rPr>
                <w:rFonts w:ascii="宋体" w:hAnsi="宋体" w:cs="Times New Roman"/>
                <w:b/>
                <w:color w:val="auto"/>
                <w:sz w:val="21"/>
                <w:szCs w:val="21"/>
                <w:highlight w:val="none"/>
              </w:rPr>
            </w:r>
            <w:r/>
          </w:p>
          <w:p>
            <w:pPr>
              <w:ind w:left="0"/>
              <w:jc w:val="left"/>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 </w:t>
            </w:r>
            <w:r/>
          </w:p>
        </w:tc>
      </w:tr>
    </w:tbl>
    <w:p>
      <w:pPr>
        <w:ind w:firstLine="4830"/>
        <w:jc w:val="left"/>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ageBreakBefore w:val="0"/>
        <w:rPr>
          <w:rFonts w:ascii="宋体" w:hAnsi="宋体"/>
          <w:color w:val="auto"/>
          <w:highlight w:val="none"/>
        </w:rPr>
      </w:pPr>
      <w:r>
        <w:rPr>
          <w:rFonts w:ascii="宋体" w:hAnsi="宋体"/>
          <w:color w:val="auto"/>
          <w:highlight w:val="none"/>
        </w:rPr>
        <w:br w:type="page" w:clear="all"/>
      </w:r>
      <w:r/>
    </w:p>
    <w:p>
      <w:pPr>
        <w:ind w:left="0" w:firstLine="0"/>
        <w:pageBreakBefore w:val="0"/>
        <w:rPr>
          <w:color w:val="auto"/>
          <w:highlight w:val="none"/>
        </w:rPr>
      </w:pPr>
      <w:r>
        <w:rPr>
          <w:color w:val="auto"/>
          <w:highlight w:val="none"/>
        </w:rPr>
      </w:r>
      <w:r/>
    </w:p>
    <w:p>
      <w:pPr>
        <w:pStyle w:val="794"/>
        <w:pageBreakBefore w:val="0"/>
        <w:rPr>
          <w:rFonts w:ascii="宋体" w:hAnsi="宋体" w:cs="Times New Roman"/>
          <w:color w:val="auto"/>
          <w:highlight w:val="none"/>
        </w:rPr>
      </w:pPr>
      <w:r>
        <w:rPr>
          <w:rFonts w:ascii="宋体" w:hAnsi="宋体" w:cs="Times New Roman"/>
          <w:color w:val="auto"/>
          <w:highlight w:val="none"/>
        </w:rPr>
      </w:r>
      <w:r/>
    </w:p>
    <w:p>
      <w:pPr>
        <w:ind w:left="0"/>
        <w:jc w:val="left"/>
        <w:pageBreakBefore w:val="0"/>
        <w:rPr>
          <w:rFonts w:ascii="宋体" w:hAnsi="宋体"/>
          <w:b/>
          <w:color w:val="auto"/>
          <w:sz w:val="21"/>
          <w:szCs w:val="21"/>
          <w:highlight w:val="none"/>
        </w:rPr>
        <w:outlineLvl w:val="0"/>
      </w:pPr>
      <w:r/>
      <w:bookmarkStart w:id="48" w:name="_Toc29640"/>
      <w:r/>
      <w:bookmarkStart w:id="49" w:name="_Toc10585"/>
      <w:r/>
      <w:bookmarkStart w:id="50" w:name="_Toc165274515"/>
      <w:r/>
      <w:bookmarkStart w:id="51" w:name="_Toc11616"/>
      <w:r>
        <w:rPr>
          <w:rFonts w:ascii="宋体" w:hAnsi="宋体"/>
          <w:b/>
          <w:color w:val="auto"/>
          <w:sz w:val="21"/>
          <w:szCs w:val="21"/>
          <w:highlight w:val="none"/>
        </w:rPr>
        <w:t xml:space="preserve">附件11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48"/>
      <w:r/>
      <w:bookmarkEnd w:id="49"/>
      <w:r/>
      <w:bookmarkEnd w:id="50"/>
      <w:r/>
      <w:bookmarkEnd w:id="51"/>
      <w:r/>
      <w:r/>
    </w:p>
    <w:p>
      <w:pPr>
        <w:ind w:left="0" w:firstLine="420"/>
        <w:jc w:val="center"/>
        <w:pageBreakBefore w:val="0"/>
        <w:rPr>
          <w:rFonts w:ascii="宋体" w:hAnsi="宋体"/>
          <w:b/>
          <w:color w:val="auto"/>
          <w:sz w:val="21"/>
          <w:szCs w:val="21"/>
          <w:highlight w:val="none"/>
        </w:rPr>
      </w:pPr>
      <w:r>
        <w:rPr>
          <w:rFonts w:ascii="宋体" w:hAnsi="宋体"/>
          <w:b/>
          <w:color w:val="auto"/>
          <w:sz w:val="21"/>
          <w:szCs w:val="21"/>
          <w:highlight w:val="none"/>
        </w:rPr>
      </w:r>
      <w:r/>
    </w:p>
    <w:p>
      <w:pPr>
        <w:ind w:left="0"/>
        <w:jc w:val="center"/>
        <w:pageBreakBefore w:val="0"/>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pageBreakBefore w:val="0"/>
        <w:rPr>
          <w:rFonts w:ascii="宋体" w:hAnsi="宋体"/>
          <w:color w:val="auto"/>
          <w:sz w:val="21"/>
          <w:szCs w:val="21"/>
          <w:highlight w:val="none"/>
        </w:rPr>
      </w:pPr>
      <w:r>
        <w:rPr>
          <w:rFonts w:ascii="宋体" w:hAnsi="宋体"/>
          <w:color w:val="auto"/>
          <w:sz w:val="21"/>
          <w:szCs w:val="21"/>
          <w:highlight w:val="none"/>
        </w:rPr>
      </w:r>
      <w:r/>
    </w:p>
    <w:p>
      <w:pPr>
        <w:ind w:left="0"/>
        <w:jc w:val="left"/>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江苏至衡诚达工程咨询有限公司</w:t>
      </w:r>
      <w:r>
        <w:rPr>
          <w:rFonts w:ascii="宋体" w:hAnsi="宋体"/>
          <w:color w:val="auto"/>
          <w:sz w:val="21"/>
          <w:szCs w:val="21"/>
          <w:highlight w:val="none"/>
        </w:rPr>
        <w:t xml:space="preserve">：</w:t>
      </w:r>
      <w:r/>
    </w:p>
    <w:p>
      <w:pPr>
        <w:ind w:left="0" w:firstLine="42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lang w:eastAsia="zh-CN"/>
        </w:rPr>
        <w:t xml:space="preserve">贵司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left="0" w:firstLine="42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pageBreakBefore w:val="0"/>
        <w:rPr>
          <w:rFonts w:ascii="Times New Roman" w:hAnsi="Times New Roman" w:cs="Times New Roman"/>
          <w:color w:val="auto"/>
          <w:highlight w:val="none"/>
        </w:rPr>
        <w:outlineLvl w:val="0"/>
      </w:pPr>
      <w:r>
        <w:rPr>
          <w:rFonts w:ascii="宋体" w:hAnsi="宋体"/>
          <w:color w:val="auto"/>
          <w:sz w:val="21"/>
          <w:szCs w:val="21"/>
          <w:highlight w:val="none"/>
        </w:rPr>
        <w:br w:type="page" w:clear="all"/>
      </w:r>
      <w:bookmarkStart w:id="52" w:name="_Toc1041"/>
      <w:r/>
      <w:bookmarkStart w:id="53" w:name="_Toc165274517"/>
      <w:r/>
      <w:bookmarkStart w:id="54" w:name="_Toc105397791"/>
      <w:r/>
      <w:bookmarkStart w:id="55" w:name="_Toc19156"/>
      <w:r/>
      <w:bookmarkStart w:id="56" w:name="_Toc2828"/>
      <w:r/>
      <w:bookmarkStart w:id="57" w:name="_Toc103258863"/>
      <w:r>
        <w:rPr>
          <w:rFonts w:ascii="宋体" w:hAnsi="宋体"/>
          <w:b/>
          <w:bCs/>
          <w:color w:val="auto"/>
          <w:sz w:val="21"/>
          <w:szCs w:val="21"/>
          <w:highlight w:val="none"/>
        </w:rPr>
        <w:t xml:space="preserve">附件</w:t>
      </w:r>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.工具及易耗品清单表</w:t>
      </w:r>
      <w:bookmarkEnd w:id="52"/>
      <w:r/>
      <w:bookmarkEnd w:id="53"/>
      <w:r/>
      <w:bookmarkEnd w:id="54"/>
      <w:r/>
      <w:bookmarkEnd w:id="55"/>
      <w:r/>
      <w:bookmarkEnd w:id="56"/>
      <w:r/>
      <w:bookmarkEnd w:id="57"/>
      <w:r/>
      <w:r/>
    </w:p>
    <w:p>
      <w:pPr>
        <w:ind w:left="0"/>
        <w:jc w:val="center"/>
        <w:pageBreakBefore w:val="0"/>
        <w:widowControl w:val="off"/>
        <w:rPr>
          <w:rFonts w:ascii="宋体" w:hAnsi="宋体"/>
          <w:b/>
          <w:bCs/>
          <w:color w:val="auto"/>
          <w:sz w:val="21"/>
          <w:szCs w:val="21"/>
          <w:highlight w:val="none"/>
        </w:rPr>
      </w:pPr>
      <w:r>
        <w:rPr>
          <w:rFonts w:ascii="宋体" w:hAnsi="宋体"/>
          <w:b/>
          <w:bCs/>
          <w:color w:val="auto"/>
          <w:sz w:val="21"/>
          <w:szCs w:val="21"/>
          <w:highlight w:val="none"/>
        </w:rPr>
      </w:r>
      <w:r/>
    </w:p>
    <w:p>
      <w:pPr>
        <w:ind w:left="0"/>
        <w:jc w:val="center"/>
        <w:pageBreakBefore w:val="0"/>
        <w:widowControl w:val="off"/>
        <w:rPr>
          <w:rFonts w:ascii="宋体" w:hAnsi="宋体"/>
          <w:b/>
          <w:bCs/>
          <w:color w:val="auto"/>
          <w:sz w:val="21"/>
          <w:szCs w:val="21"/>
          <w:highlight w:val="none"/>
        </w:rPr>
      </w:pPr>
      <w:r>
        <w:rPr>
          <w:rFonts w:ascii="宋体" w:hAnsi="宋体"/>
          <w:b/>
          <w:bCs/>
          <w:color w:val="auto"/>
          <w:sz w:val="21"/>
          <w:szCs w:val="21"/>
          <w:highlight w:val="none"/>
        </w:rPr>
        <w:t xml:space="preserve">工具及易耗品清单表</w:t>
      </w:r>
      <w:r/>
    </w:p>
    <w:p>
      <w:pPr>
        <w:ind w:left="0"/>
        <w:jc w:val="center"/>
        <w:pageBreakBefore w:val="0"/>
        <w:widowControl w:val="off"/>
        <w:rPr>
          <w:rFonts w:ascii="宋体" w:hAnsi="宋体"/>
          <w:b/>
          <w:bCs/>
          <w:color w:val="auto"/>
          <w:sz w:val="21"/>
          <w:szCs w:val="21"/>
          <w:highlight w:val="none"/>
        </w:rPr>
      </w:pPr>
      <w:r>
        <w:rPr>
          <w:rFonts w:ascii="宋体" w:hAnsi="宋体"/>
          <w:b/>
          <w:bCs/>
          <w:color w:val="auto"/>
          <w:sz w:val="21"/>
          <w:szCs w:val="21"/>
          <w:highlight w:val="none"/>
        </w:rPr>
      </w:r>
      <w:r/>
    </w:p>
    <w:tbl>
      <w:tblPr>
        <w:tblStyle w:val="79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8"/>
        <w:gridCol w:w="1126"/>
        <w:gridCol w:w="1731"/>
        <w:gridCol w:w="1448"/>
        <w:gridCol w:w="804"/>
        <w:gridCol w:w="1126"/>
        <w:gridCol w:w="1126"/>
      </w:tblGrid>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名称</w:t>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品牌规格</w:t>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生产厂家</w:t>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单位</w:t>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数量</w:t>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t xml:space="preserve">备注</w:t>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r>
        <w:trPr>
          <w:cantSplit/>
          <w:jc w:val="center"/>
          <w:trHeight w:val="450"/>
        </w:trPr>
        <w:tc>
          <w:tcPr>
            <w:tcW w:w="565"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104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872"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484"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c>
          <w:tcPr>
            <w:tcW w:w="678" w:type="pct"/>
            <w:vAlign w:val="center"/>
            <w:textDirection w:val="lrTb"/>
            <w:noWrap w:val="false"/>
          </w:tcPr>
          <w:p>
            <w:pPr>
              <w:ind w:left="0"/>
              <w:jc w:val="center"/>
              <w:pageBreakBefore w:val="0"/>
              <w:spacing w:line="400" w:lineRule="exact"/>
              <w:widowControl w:val="off"/>
              <w:rPr>
                <w:rFonts w:ascii="宋体" w:hAnsi="宋体" w:cs="Times New Roman"/>
                <w:color w:val="auto"/>
                <w:sz w:val="21"/>
                <w:szCs w:val="21"/>
                <w:highlight w:val="none"/>
              </w:rPr>
            </w:pPr>
            <w:r>
              <w:rPr>
                <w:rFonts w:ascii="宋体" w:hAnsi="宋体" w:cs="Times New Roman"/>
                <w:color w:val="auto"/>
                <w:sz w:val="21"/>
                <w:szCs w:val="21"/>
                <w:highlight w:val="none"/>
              </w:rPr>
            </w:r>
            <w:r/>
          </w:p>
        </w:tc>
      </w:tr>
    </w:tbl>
    <w:p>
      <w:pPr>
        <w:ind w:left="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注：1.数量按</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期限计，请各</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按上述格式自制《清单表》；</w:t>
      </w:r>
      <w:r/>
    </w:p>
    <w:p>
      <w:pPr>
        <w:ind w:left="0" w:firstLine="420"/>
        <w:jc w:val="left"/>
        <w:pageBreakBefore w:val="0"/>
        <w:spacing w:line="360" w:lineRule="auto"/>
        <w:rPr>
          <w:rFonts w:ascii="Times New Roman" w:hAnsi="Times New Roman"/>
          <w:b/>
          <w:color w:val="auto"/>
          <w:sz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rPr>
          <w:rFonts w:ascii="Times New Roman" w:hAnsi="Times New Roman"/>
          <w:color w:val="auto"/>
          <w:sz w:val="21"/>
          <w:highlight w:val="none"/>
        </w:rPr>
        <w:t xml:space="preserve">若事项较多，</w:t>
      </w:r>
      <w:r>
        <w:rPr>
          <w:rFonts w:hint="eastAsia" w:ascii="宋体" w:hAnsi="宋体"/>
          <w:color w:val="auto"/>
          <w:sz w:val="21"/>
          <w:szCs w:val="21"/>
          <w:highlight w:val="none"/>
        </w:rPr>
        <w:t xml:space="preserve">投标人</w:t>
      </w:r>
      <w:r>
        <w:rPr>
          <w:rFonts w:ascii="Times New Roman" w:hAnsi="Times New Roman"/>
          <w:color w:val="auto"/>
          <w:sz w:val="21"/>
          <w:highlight w:val="none"/>
        </w:rPr>
        <w:t xml:space="preserve">可根据实际情况另纸说明。</w:t>
      </w:r>
      <w:r/>
    </w:p>
    <w:p>
      <w:pPr>
        <w:ind w:left="0"/>
        <w:pageBreakBefore w:val="0"/>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left="0" w:right="-200"/>
        <w:jc w:val="left"/>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right="-200"/>
        <w:jc w:val="center"/>
        <w:pageBreakBefore w:val="0"/>
        <w:spacing w:line="360" w:lineRule="auto"/>
        <w:widowControl w:val="off"/>
        <w:rPr>
          <w:color w:val="auto"/>
          <w:highlight w:val="none"/>
        </w:rPr>
      </w:pPr>
      <w:r>
        <w:rPr>
          <w:color w:val="auto"/>
          <w:highlight w:val="none"/>
        </w:rPr>
      </w:r>
      <w:r/>
    </w:p>
    <w:p>
      <w:pPr>
        <w:pStyle w:val="818"/>
        <w:ind w:left="400" w:firstLine="400"/>
        <w:pageBreakBefore w:val="0"/>
        <w:rPr>
          <w:color w:val="auto"/>
          <w:highlight w:val="none"/>
        </w:rPr>
      </w:pPr>
      <w:r>
        <w:rPr>
          <w:color w:val="auto"/>
          <w:highlight w:val="none"/>
        </w:rPr>
      </w:r>
      <w:r/>
    </w:p>
    <w:p>
      <w:pPr>
        <w:pStyle w:val="818"/>
        <w:ind w:left="400" w:firstLine="400"/>
        <w:pageBreakBefore w:val="0"/>
        <w:rPr>
          <w:color w:val="auto"/>
          <w:highlight w:val="none"/>
        </w:rPr>
      </w:pPr>
      <w:r>
        <w:rPr>
          <w:color w:val="auto"/>
          <w:highlight w:val="none"/>
        </w:rPr>
      </w:r>
      <w:r/>
    </w:p>
    <w:p>
      <w:pPr>
        <w:pageBreakBefore w:val="0"/>
        <w:rPr>
          <w:color w:val="auto"/>
          <w:highlight w:val="none"/>
        </w:rPr>
      </w:pPr>
      <w:r>
        <w:rPr>
          <w:color w:val="auto"/>
          <w:highlight w:val="none"/>
        </w:rPr>
        <w:br w:type="page" w:clear="all"/>
      </w:r>
      <w:r/>
    </w:p>
    <w:p>
      <w:pPr>
        <w:pStyle w:val="818"/>
        <w:ind w:left="400" w:firstLine="400"/>
        <w:pageBreakBefore w:val="0"/>
        <w:rPr>
          <w:rFonts w:hint="eastAsia" w:eastAsia="宋体"/>
          <w:color w:val="auto"/>
          <w:highlight w:val="none"/>
        </w:rPr>
      </w:pPr>
      <w:r>
        <w:rPr>
          <w:rFonts w:hint="eastAsia"/>
          <w:color w:val="auto"/>
          <w:highlight w:val="none"/>
          <w:lang w:val="en-US" w:eastAsia="zh-CN"/>
        </w:rPr>
        <w:t xml:space="preserve"> </w:t>
      </w:r>
      <w:r/>
    </w:p>
    <w:p>
      <w:pPr>
        <w:pStyle w:val="818"/>
        <w:ind w:left="0" w:firstLine="0"/>
        <w:pageBreakBefore w:val="0"/>
        <w:rPr>
          <w:color w:val="auto"/>
          <w:highlight w:val="none"/>
        </w:rPr>
      </w:pPr>
      <w:r>
        <w:rPr>
          <w:color w:val="auto"/>
          <w:highlight w:val="none"/>
        </w:rPr>
      </w:r>
      <w:r/>
    </w:p>
    <w:p>
      <w:pPr>
        <w:ind w:left="0"/>
        <w:pageBreakBefore w:val="0"/>
        <w:rPr>
          <w:rFonts w:ascii="宋体" w:hAnsi="宋体"/>
          <w:b/>
          <w:bCs/>
          <w:color w:val="auto"/>
          <w:sz w:val="21"/>
          <w:szCs w:val="21"/>
          <w:highlight w:val="none"/>
        </w:rPr>
        <w:outlineLvl w:val="0"/>
      </w:pPr>
      <w:r/>
      <w:bookmarkStart w:id="58" w:name="_Toc103258864"/>
      <w:r/>
      <w:bookmarkStart w:id="59" w:name="_Toc20951"/>
      <w:r/>
      <w:bookmarkStart w:id="60" w:name="_Toc165274518"/>
      <w:r/>
      <w:bookmarkStart w:id="61" w:name="_Toc10420"/>
      <w:r/>
      <w:bookmarkStart w:id="62" w:name="_Toc105397792"/>
      <w:r/>
      <w:bookmarkStart w:id="63" w:name="_Toc23837"/>
      <w:r>
        <w:rPr>
          <w:rFonts w:hint="eastAsia" w:ascii="宋体" w:hAnsi="宋体"/>
          <w:b/>
          <w:bCs/>
          <w:color w:val="auto"/>
          <w:sz w:val="21"/>
          <w:szCs w:val="21"/>
          <w:highlight w:val="none"/>
        </w:rPr>
        <w:t xml:space="preserve">附件1</w:t>
      </w:r>
      <w:r>
        <w:rPr>
          <w:rFonts w:ascii="宋体" w:hAnsi="宋体"/>
          <w:b/>
          <w:bCs/>
          <w:color w:val="auto"/>
          <w:sz w:val="21"/>
          <w:szCs w:val="21"/>
          <w:highlight w:val="none"/>
        </w:rPr>
        <w:t xml:space="preserve">3</w:t>
      </w:r>
      <w:r>
        <w:rPr>
          <w:rFonts w:hint="eastAsia" w:ascii="宋体" w:hAnsi="宋体"/>
          <w:b/>
          <w:bCs/>
          <w:color w:val="auto"/>
          <w:sz w:val="21"/>
          <w:szCs w:val="21"/>
          <w:highlight w:val="none"/>
        </w:rPr>
        <w:t xml:space="preserve">. 企业投入本项目主要设备一览表</w:t>
      </w:r>
      <w:bookmarkEnd w:id="58"/>
      <w:r/>
      <w:bookmarkEnd w:id="59"/>
      <w:r/>
      <w:bookmarkEnd w:id="60"/>
      <w:r/>
      <w:bookmarkEnd w:id="61"/>
      <w:r/>
      <w:bookmarkEnd w:id="62"/>
      <w:r/>
      <w:bookmarkEnd w:id="63"/>
      <w:r/>
      <w:r/>
    </w:p>
    <w:p>
      <w:pPr>
        <w:ind w:left="0"/>
        <w:jc w:val="center"/>
        <w:pageBreakBefore w:val="0"/>
        <w:widowControl w:val="off"/>
        <w:rPr>
          <w:rFonts w:ascii="宋体" w:hAnsi="宋体"/>
          <w:b/>
          <w:color w:val="auto"/>
          <w:sz w:val="21"/>
          <w:szCs w:val="21"/>
          <w:highlight w:val="none"/>
        </w:rPr>
      </w:pPr>
      <w:r>
        <w:rPr>
          <w:rFonts w:ascii="宋体" w:hAnsi="宋体"/>
          <w:b/>
          <w:color w:val="auto"/>
          <w:sz w:val="21"/>
          <w:szCs w:val="21"/>
          <w:highlight w:val="none"/>
        </w:rPr>
      </w:r>
      <w:r/>
    </w:p>
    <w:p>
      <w:pPr>
        <w:ind w:left="0"/>
        <w:jc w:val="center"/>
        <w:pageBreakBefore w:val="0"/>
        <w:widowControl w:val="off"/>
        <w:rPr>
          <w:rFonts w:ascii="宋体" w:hAnsi="宋体"/>
          <w:b/>
          <w:color w:val="auto"/>
          <w:sz w:val="21"/>
          <w:szCs w:val="21"/>
          <w:highlight w:val="none"/>
        </w:rPr>
      </w:pPr>
      <w:r>
        <w:rPr>
          <w:rFonts w:hint="eastAsia" w:ascii="宋体" w:hAnsi="宋体"/>
          <w:b/>
          <w:color w:val="auto"/>
          <w:sz w:val="21"/>
          <w:szCs w:val="21"/>
          <w:highlight w:val="none"/>
        </w:rPr>
        <w:t xml:space="preserve">企业投入本项目主要设备一览表</w:t>
      </w:r>
      <w:r/>
    </w:p>
    <w:p>
      <w:pPr>
        <w:ind w:left="0"/>
        <w:jc w:val="center"/>
        <w:pageBreakBefore w:val="0"/>
        <w:widowControl w:val="off"/>
        <w:rPr>
          <w:rFonts w:ascii="宋体" w:hAnsi="宋体"/>
          <w:color w:val="auto"/>
          <w:sz w:val="24"/>
          <w:szCs w:val="24"/>
          <w:highlight w:val="none"/>
        </w:rPr>
      </w:pPr>
      <w:r>
        <w:rPr>
          <w:rFonts w:ascii="宋体" w:hAnsi="宋体"/>
          <w:color w:val="auto"/>
          <w:sz w:val="24"/>
          <w:szCs w:val="24"/>
          <w:highlight w:val="none"/>
        </w:rPr>
      </w:r>
      <w:r/>
    </w:p>
    <w:tbl>
      <w:tblPr>
        <w:tblStyle w:val="792"/>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662"/>
        <w:gridCol w:w="1675"/>
        <w:gridCol w:w="2504"/>
        <w:gridCol w:w="704"/>
        <w:gridCol w:w="704"/>
        <w:gridCol w:w="2046"/>
      </w:tblGrid>
      <w:tr>
        <w:trPr>
          <w:cantSplit/>
          <w:jc w:val="center"/>
          <w:trHeight w:val="770"/>
        </w:trPr>
        <w:tc>
          <w:tcPr>
            <w:tcW w:w="399"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W w:w="1009"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bottom w:val="single" w:color="auto" w:sz="4" w:space="0"/>
            </w:tcBorders>
            <w:tcW w:w="1509"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型号、规格</w:t>
            </w:r>
            <w:r/>
          </w:p>
        </w:tc>
        <w:tc>
          <w:tcPr>
            <w:tcBorders>
              <w:right w:val="single" w:color="auto" w:sz="4" w:space="0"/>
            </w:tcBorders>
            <w:tcW w:w="424"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单位</w:t>
            </w:r>
            <w:r/>
          </w:p>
        </w:tc>
        <w:tc>
          <w:tcPr>
            <w:tcBorders>
              <w:left w:val="single" w:color="auto" w:sz="4" w:space="0"/>
            </w:tcBorders>
            <w:tcW w:w="424"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数量</w:t>
            </w:r>
            <w:r/>
          </w:p>
        </w:tc>
        <w:tc>
          <w:tcPr>
            <w:tcW w:w="1233" w:type="pct"/>
            <w:vAlign w:val="center"/>
            <w:textDirection w:val="lrTb"/>
            <w:noWrap w:val="false"/>
          </w:tcPr>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备注</w:t>
            </w:r>
            <w:r/>
          </w:p>
          <w:p>
            <w:pPr>
              <w:ind w:left="0"/>
              <w:jc w:val="center"/>
              <w:pageBreakBefore w:val="0"/>
              <w:widowControl w:val="off"/>
              <w:rPr>
                <w:rFonts w:ascii="宋体" w:hAnsi="宋体" w:cs="Times New Roman"/>
                <w:color w:val="auto"/>
                <w:sz w:val="21"/>
                <w:szCs w:val="21"/>
                <w:highlight w:val="none"/>
              </w:rPr>
            </w:pPr>
            <w:r>
              <w:rPr>
                <w:rFonts w:hint="eastAsia" w:ascii="宋体" w:hAnsi="宋体" w:cs="Times New Roman"/>
                <w:color w:val="auto"/>
                <w:sz w:val="21"/>
                <w:szCs w:val="21"/>
                <w:highlight w:val="none"/>
              </w:rPr>
              <w:t xml:space="preserve">（自有/租赁/新购）</w:t>
            </w:r>
            <w:r/>
          </w:p>
        </w:tc>
      </w:tr>
      <w:tr>
        <w:trPr>
          <w:cantSplit/>
          <w:jc w:val="center"/>
        </w:trPr>
        <w:tc>
          <w:tcPr>
            <w:tcW w:w="39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0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top w:val="single" w:color="auto" w:sz="4" w:space="0"/>
            </w:tcBorders>
            <w:tcW w:w="15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233"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39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0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5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233"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39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0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5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233"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39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0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5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233"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39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0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5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233"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r>
        <w:trPr>
          <w:cantSplit/>
          <w:jc w:val="center"/>
        </w:trPr>
        <w:tc>
          <w:tcPr>
            <w:tcW w:w="39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0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509"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righ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Borders>
              <w:left w:val="single" w:color="auto" w:sz="4" w:space="0"/>
            </w:tcBorders>
            <w:tcW w:w="424"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c>
          <w:tcPr>
            <w:tcW w:w="1233" w:type="pct"/>
            <w:textDirection w:val="lrTb"/>
            <w:noWrap w:val="false"/>
          </w:tcPr>
          <w:p>
            <w:pPr>
              <w:ind w:left="0"/>
              <w:jc w:val="center"/>
              <w:pageBreakBefore w:val="0"/>
              <w:spacing w:line="400" w:lineRule="exact"/>
              <w:widowControl w:val="off"/>
              <w:rPr>
                <w:rFonts w:ascii="宋体" w:hAnsi="宋体" w:cs="Times New Roman"/>
                <w:color w:val="auto"/>
                <w:sz w:val="24"/>
                <w:highlight w:val="none"/>
              </w:rPr>
            </w:pPr>
            <w:r>
              <w:rPr>
                <w:rFonts w:ascii="宋体" w:hAnsi="宋体" w:cs="Times New Roman"/>
                <w:color w:val="auto"/>
                <w:sz w:val="24"/>
                <w:highlight w:val="none"/>
              </w:rPr>
            </w:r>
            <w:r/>
          </w:p>
        </w:tc>
      </w:tr>
    </w:tbl>
    <w:p>
      <w:pPr>
        <w:ind w:left="0" w:firstLine="420"/>
        <w:jc w:val="left"/>
        <w:pageBreakBefore w:val="0"/>
        <w:spacing w:line="360" w:lineRule="auto"/>
        <w:widowControl w:val="off"/>
        <w:rPr>
          <w:rFonts w:ascii="Times New Roman" w:hAnsi="Times New Roman"/>
          <w:color w:val="auto"/>
          <w:sz w:val="21"/>
          <w:highlight w:val="none"/>
        </w:rPr>
      </w:pPr>
      <w:r>
        <w:rPr>
          <w:rFonts w:hint="eastAsia" w:ascii="宋体" w:hAnsi="宋体"/>
          <w:color w:val="auto"/>
          <w:sz w:val="21"/>
          <w:szCs w:val="21"/>
          <w:highlight w:val="none"/>
        </w:rPr>
        <w:t xml:space="preserve">注：</w:t>
      </w:r>
      <w:r>
        <w:rPr>
          <w:rFonts w:ascii="Times New Roman" w:hAnsi="Times New Roman"/>
          <w:color w:val="auto"/>
          <w:sz w:val="21"/>
          <w:highlight w:val="none"/>
        </w:rPr>
        <w:t xml:space="preserve">若事项较多，</w:t>
      </w:r>
      <w:r>
        <w:rPr>
          <w:rFonts w:hint="eastAsia" w:ascii="Times New Roman" w:hAnsi="Times New Roman"/>
          <w:color w:val="auto"/>
          <w:sz w:val="21"/>
          <w:highlight w:val="none"/>
        </w:rPr>
        <w:t xml:space="preserve">投标人</w:t>
      </w:r>
      <w:r>
        <w:rPr>
          <w:rFonts w:ascii="Times New Roman" w:hAnsi="Times New Roman"/>
          <w:color w:val="auto"/>
          <w:sz w:val="21"/>
          <w:highlight w:val="none"/>
        </w:rPr>
        <w:t xml:space="preserve">可根据实际情况另纸说明</w:t>
      </w:r>
      <w:r>
        <w:rPr>
          <w:rFonts w:hint="eastAsia" w:ascii="Times New Roman" w:hAnsi="Times New Roman"/>
          <w:color w:val="auto"/>
          <w:sz w:val="21"/>
          <w:highlight w:val="none"/>
        </w:rPr>
        <w:t xml:space="preserve">。</w:t>
      </w:r>
      <w:r/>
    </w:p>
    <w:p>
      <w:pPr>
        <w:ind w:left="0"/>
        <w:pageBreakBefore w:val="0"/>
        <w:widowControl w:val="off"/>
        <w:rPr>
          <w:rFonts w:ascii="宋体" w:hAnsi="宋体"/>
          <w:color w:val="auto"/>
          <w:sz w:val="24"/>
          <w:highlight w:val="none"/>
        </w:rPr>
      </w:pPr>
      <w:r>
        <w:rPr>
          <w:rFonts w:ascii="宋体" w:hAnsi="宋体"/>
          <w:color w:val="auto"/>
          <w:sz w:val="24"/>
          <w:highlight w:val="none"/>
        </w:rPr>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798"/>
        <w:pageBreakBefore w:val="0"/>
        <w:rPr>
          <w:color w:val="auto"/>
          <w:highlight w:val="none"/>
        </w:rPr>
      </w:pPr>
      <w:r>
        <w:rPr>
          <w:color w:val="auto"/>
          <w:highlight w:val="none"/>
        </w:rPr>
      </w:r>
      <w:r/>
    </w:p>
    <w:p>
      <w:pPr>
        <w:pageBreakBefore w:val="0"/>
        <w:rPr>
          <w:color w:val="auto"/>
          <w:highlight w:val="none"/>
        </w:rPr>
      </w:pPr>
      <w:r>
        <w:rPr>
          <w:color w:val="auto"/>
          <w:highlight w:val="none"/>
        </w:rPr>
      </w:r>
      <w:r/>
    </w:p>
    <w:p>
      <w:pPr>
        <w:pStyle w:val="798"/>
        <w:pageBreakBefore w:val="0"/>
        <w:rPr>
          <w:color w:val="auto"/>
          <w:highlight w:val="none"/>
        </w:rPr>
      </w:pPr>
      <w:r>
        <w:rPr>
          <w:color w:val="auto"/>
          <w:highlight w:val="none"/>
        </w:rPr>
      </w:r>
      <w:r/>
    </w:p>
    <w:p>
      <w:pPr>
        <w:pageBreakBefore w:val="0"/>
        <w:rPr>
          <w:color w:val="auto"/>
          <w:highlight w:val="none"/>
        </w:rPr>
      </w:pPr>
      <w:r>
        <w:rPr>
          <w:color w:val="auto"/>
          <w:highlight w:val="none"/>
        </w:rPr>
      </w:r>
      <w:r/>
    </w:p>
    <w:p>
      <w:pPr>
        <w:pStyle w:val="798"/>
        <w:pageBreakBefore w:val="0"/>
        <w:rPr>
          <w:color w:val="auto"/>
          <w:highlight w:val="none"/>
        </w:rPr>
      </w:pPr>
      <w:r>
        <w:rPr>
          <w:color w:val="auto"/>
          <w:highlight w:val="none"/>
        </w:rPr>
      </w:r>
      <w:r/>
    </w:p>
    <w:p>
      <w:pPr>
        <w:pageBreakBefore w:val="0"/>
        <w:rPr>
          <w:color w:val="auto"/>
          <w:highlight w:val="none"/>
        </w:rPr>
      </w:pPr>
      <w:r>
        <w:rPr>
          <w:color w:val="auto"/>
          <w:highlight w:val="none"/>
          <w:lang w:val="zh-CN"/>
        </w:rPr>
        <w:br w:type="page" w:clear="all"/>
      </w:r>
      <w:r/>
    </w:p>
    <w:p>
      <w:pPr>
        <w:ind w:left="0" w:firstLine="0"/>
        <w:pageBreakBefore w:val="0"/>
        <w:rPr>
          <w:color w:val="auto"/>
          <w:highlight w:val="none"/>
        </w:rPr>
      </w:pPr>
      <w:r>
        <w:rPr>
          <w:color w:val="auto"/>
          <w:highlight w:val="none"/>
        </w:rPr>
      </w:r>
      <w:r/>
    </w:p>
    <w:p>
      <w:pPr>
        <w:ind w:left="0"/>
        <w:jc w:val="left"/>
        <w:pageBreakBefore w:val="0"/>
        <w:rPr>
          <w:rFonts w:ascii="宋体" w:hAnsi="宋体"/>
          <w:b/>
          <w:color w:val="auto"/>
          <w:sz w:val="21"/>
          <w:szCs w:val="21"/>
          <w:highlight w:val="none"/>
        </w:rPr>
        <w:outlineLvl w:val="0"/>
      </w:pPr>
      <w:r/>
      <w:bookmarkStart w:id="64" w:name="_Toc6559"/>
      <w:r/>
      <w:bookmarkStart w:id="65" w:name="_Toc165274519"/>
      <w:r/>
      <w:bookmarkStart w:id="66" w:name="_Toc11080"/>
      <w:r/>
      <w:bookmarkStart w:id="67" w:name="_Toc281"/>
      <w:r>
        <w:rPr>
          <w:rFonts w:ascii="宋体" w:hAnsi="宋体"/>
          <w:b/>
          <w:color w:val="auto"/>
          <w:sz w:val="21"/>
          <w:szCs w:val="21"/>
          <w:highlight w:val="none"/>
        </w:rPr>
        <w:t xml:space="preserve">附件14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投标报价合理性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bookmarkEnd w:id="64"/>
      <w:r/>
      <w:bookmarkEnd w:id="65"/>
      <w:r/>
      <w:bookmarkEnd w:id="66"/>
      <w:r/>
      <w:bookmarkEnd w:id="67"/>
      <w:r/>
      <w:r/>
    </w:p>
    <w:p>
      <w:pPr>
        <w:ind w:left="0" w:firstLine="420"/>
        <w:jc w:val="center"/>
        <w:pageBreakBefore w:val="0"/>
        <w:rPr>
          <w:rFonts w:ascii="宋体" w:hAnsi="宋体"/>
          <w:b/>
          <w:color w:val="auto"/>
          <w:sz w:val="21"/>
          <w:szCs w:val="21"/>
          <w:highlight w:val="none"/>
        </w:rPr>
      </w:pPr>
      <w:r>
        <w:rPr>
          <w:rFonts w:ascii="宋体" w:hAnsi="宋体"/>
          <w:b/>
          <w:color w:val="auto"/>
          <w:sz w:val="21"/>
          <w:szCs w:val="21"/>
          <w:highlight w:val="none"/>
        </w:rPr>
      </w:r>
      <w:r/>
    </w:p>
    <w:p>
      <w:pPr>
        <w:ind w:left="0"/>
        <w:jc w:val="center"/>
        <w:pageBreakBefore w:val="0"/>
        <w:rPr>
          <w:rFonts w:ascii="宋体" w:hAnsi="宋体"/>
          <w:b/>
          <w:color w:val="auto"/>
          <w:sz w:val="21"/>
          <w:szCs w:val="21"/>
          <w:highlight w:val="none"/>
        </w:rPr>
      </w:pPr>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投标报价合理性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r/>
    </w:p>
    <w:p>
      <w:pPr>
        <w:ind w:left="0"/>
        <w:jc w:val="left"/>
        <w:pageBreakBefore w:val="0"/>
        <w:spacing w:line="360" w:lineRule="auto"/>
        <w:rPr>
          <w:rFonts w:ascii="宋体" w:hAnsi="宋体"/>
          <w:color w:val="auto"/>
          <w:sz w:val="21"/>
          <w:szCs w:val="21"/>
          <w:highlight w:val="none"/>
          <w:u w:val="single"/>
        </w:rPr>
      </w:pPr>
      <w:r>
        <w:rPr>
          <w:rFonts w:ascii="宋体" w:hAnsi="宋体"/>
          <w:color w:val="auto"/>
          <w:sz w:val="21"/>
          <w:szCs w:val="21"/>
          <w:highlight w:val="none"/>
          <w:u w:val="single"/>
        </w:rPr>
      </w:r>
      <w:r/>
    </w:p>
    <w:p>
      <w:pPr>
        <w:ind w:left="0"/>
        <w:jc w:val="left"/>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u w:val="single"/>
          <w:lang w:eastAsia="zh-CN"/>
        </w:rPr>
        <w:t xml:space="preserve">江苏至衡诚达工程咨询有限公司</w:t>
      </w:r>
      <w:r>
        <w:rPr>
          <w:rFonts w:ascii="宋体" w:hAnsi="宋体"/>
          <w:color w:val="auto"/>
          <w:sz w:val="21"/>
          <w:szCs w:val="21"/>
          <w:highlight w:val="none"/>
        </w:rPr>
        <w:t xml:space="preserve">：</w:t>
      </w:r>
      <w:r/>
    </w:p>
    <w:p>
      <w:pPr>
        <w:pStyle w:val="798"/>
        <w:ind w:left="0" w:firstLine="420"/>
        <w:pageBreakBefore w:val="0"/>
        <w:spacing w:line="360" w:lineRule="auto"/>
        <w:rPr>
          <w:rFonts w:ascii="宋体" w:hAnsi="宋体" w:cs="宋体"/>
          <w:color w:val="auto"/>
          <w:sz w:val="21"/>
          <w:szCs w:val="21"/>
          <w:highlight w:val="none"/>
        </w:rPr>
      </w:pPr>
      <w:r>
        <w:rPr>
          <w:rFonts w:ascii="宋体" w:hAnsi="宋体"/>
          <w:color w:val="auto"/>
          <w:sz w:val="21"/>
          <w:szCs w:val="21"/>
          <w:highlight w:val="none"/>
        </w:rPr>
        <w:t xml:space="preserve">本公司愿就由</w:t>
      </w:r>
      <w:r>
        <w:rPr>
          <w:rFonts w:hint="eastAsia" w:ascii="宋体" w:hAnsi="宋体"/>
          <w:color w:val="auto"/>
          <w:sz w:val="21"/>
          <w:szCs w:val="21"/>
          <w:highlight w:val="none"/>
          <w:lang w:eastAsia="zh-CN"/>
        </w:rPr>
        <w:t xml:space="preserve">贵司</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w:t>
      </w:r>
      <w:r>
        <w:rPr>
          <w:rFonts w:hint="eastAsia" w:ascii="宋体" w:hAnsi="宋体"/>
          <w:color w:val="auto"/>
          <w:sz w:val="21"/>
          <w:szCs w:val="21"/>
          <w:highlight w:val="none"/>
        </w:rPr>
        <w:t xml:space="preserve">，对于本公司的投标报价合理性作出说明如下：</w:t>
      </w:r>
      <w:r/>
    </w:p>
    <w:tbl>
      <w:tblPr>
        <w:tblStyle w:val="7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02"/>
      </w:tblGrid>
      <w:tr>
        <w:trPr>
          <w:trHeight w:val="3940"/>
        </w:trPr>
        <w:tc>
          <w:tcPr>
            <w:tcW w:w="5000" w:type="pct"/>
            <w:vAlign w:val="center"/>
            <w:textDirection w:val="lrTb"/>
            <w:noWrap w:val="false"/>
          </w:tcPr>
          <w:p>
            <w:pPr>
              <w:ind w:left="0"/>
              <w:pageBreakBefore w:val="0"/>
              <w:spacing w:line="600" w:lineRule="auto"/>
              <w:widowControl w:val="off"/>
              <w:rPr>
                <w:rFonts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pStyle w:val="918"/>
        <w:ind w:left="0" w:firstLine="422"/>
        <w:pageBreakBefore w:val="0"/>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备注：根据招标文件第二章“投标人须知”第26.4条要求，评标委员会应当</w:t>
      </w:r>
      <w:r>
        <w:rPr>
          <w:rFonts w:hint="eastAsia" w:ascii="宋体" w:hAnsi="宋体" w:cs="宋体"/>
          <w:b/>
          <w:color w:val="auto"/>
          <w:sz w:val="21"/>
          <w:szCs w:val="21"/>
          <w:highlight w:val="none"/>
          <w:lang w:val="en-US" w:eastAsia="zh-CN"/>
        </w:rPr>
        <w:t xml:space="preserve">启动低价审查程序，</w:t>
      </w:r>
      <w:r>
        <w:rPr>
          <w:rFonts w:hint="eastAsia" w:ascii="宋体" w:hAnsi="宋体" w:cs="宋体"/>
          <w:b/>
          <w:color w:val="auto"/>
          <w:sz w:val="21"/>
          <w:szCs w:val="21"/>
          <w:highlight w:val="none"/>
        </w:rPr>
        <w:t xml:space="preserve">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830"/>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投标人（盖章）： </w:t>
      </w:r>
      <w:r/>
    </w:p>
    <w:p>
      <w:pPr>
        <w:jc w:val="left"/>
        <w:pageBreakBefore w:val="0"/>
        <w:spacing w:line="360" w:lineRule="auto"/>
        <w:rPr>
          <w:rFonts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jc w:val="left"/>
        <w:pageBreakBefore w:val="0"/>
        <w:spacing w:line="360" w:lineRule="auto"/>
        <w:rPr>
          <w:rFonts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ageBreakBefore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left"/>
        <w:pageBreakBefore w:val="0"/>
        <w:spacing w:line="360" w:lineRule="auto"/>
        <w:rPr>
          <w:rFonts w:hint="eastAsia" w:ascii="宋体" w:hAnsi="宋体"/>
          <w:b/>
          <w:color w:val="auto"/>
          <w:sz w:val="21"/>
          <w:szCs w:val="21"/>
          <w:highlight w:val="none"/>
        </w:rPr>
      </w:pPr>
      <w:r>
        <w:rPr>
          <w:rFonts w:ascii="宋体" w:hAnsi="宋体"/>
          <w:b/>
          <w:color w:val="auto"/>
          <w:sz w:val="21"/>
          <w:szCs w:val="21"/>
          <w:highlight w:val="none"/>
        </w:rPr>
        <w:t xml:space="preserve">附件1</w:t>
      </w:r>
      <w:r>
        <w:rPr>
          <w:rFonts w:hint="eastAsia" w:ascii="宋体" w:hAnsi="宋体"/>
          <w:b/>
          <w:color w:val="auto"/>
          <w:sz w:val="21"/>
          <w:szCs w:val="21"/>
          <w:highlight w:val="none"/>
          <w:lang w:val="en-US" w:eastAsia="zh-CN"/>
        </w:rPr>
        <w:t xml:space="preserve">5</w:t>
      </w:r>
      <w:r>
        <w:rPr>
          <w:rFonts w:hint="eastAsia" w:ascii="宋体" w:hAnsi="宋体"/>
          <w:b/>
          <w:color w:val="auto"/>
          <w:sz w:val="21"/>
          <w:szCs w:val="21"/>
          <w:highlight w:val="none"/>
        </w:rPr>
        <w:t xml:space="preserve">.关于符合本国产品标准的声明函</w:t>
      </w:r>
      <w:r/>
    </w:p>
    <w:p>
      <w:pPr>
        <w:jc w:val="center"/>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w:t>
      </w:r>
      <w:r/>
    </w:p>
    <w:p>
      <w:pPr>
        <w:ind w:firstLine="420"/>
        <w:jc w:val="left"/>
        <w:pageBreakBefore w:val="0"/>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4920615</wp:posOffset>
                </wp:positionH>
                <wp:positionV relativeFrom="paragraph">
                  <wp:posOffset>54610</wp:posOffset>
                </wp:positionV>
                <wp:extent cx="577215" cy="92075"/>
                <wp:effectExtent l="635" t="4445" r="12700" b="17780"/>
                <wp:wrapNone/>
                <wp:docPr id="3" name="直接箭头连接符 2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2" o:spid="_x0000_s2" o:spt="32" type="#_x0000_t32" style="position:absolute;z-index:251665408;o:allowoverlap:true;o:allowincell:true;mso-position-horizontal-relative:text;margin-left:387.4pt;mso-position-horizontal:absolute;mso-position-vertical-relative:text;margin-top:4.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4055745</wp:posOffset>
                </wp:positionH>
                <wp:positionV relativeFrom="paragraph">
                  <wp:posOffset>386080</wp:posOffset>
                </wp:positionV>
                <wp:extent cx="816610" cy="103505"/>
                <wp:effectExtent l="635" t="4445" r="1905" b="6350"/>
                <wp:wrapNone/>
                <wp:docPr id="4"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9.3pt;mso-position-horizontal:absolute;mso-position-vertical-relative:text;margin-top:30.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3004820</wp:posOffset>
                </wp:positionH>
                <wp:positionV relativeFrom="paragraph">
                  <wp:posOffset>390525</wp:posOffset>
                </wp:positionV>
                <wp:extent cx="816610" cy="76200"/>
                <wp:effectExtent l="635" t="4445" r="1905" b="14604"/>
                <wp:wrapNone/>
                <wp:docPr id="5" name="直接箭头连接符 2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36.6pt;mso-position-horizontal:absolute;mso-position-vertical-relative:text;margin-top:30.8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2133600</wp:posOffset>
                </wp:positionH>
                <wp:positionV relativeFrom="paragraph">
                  <wp:posOffset>376555</wp:posOffset>
                </wp:positionV>
                <wp:extent cx="364490" cy="97790"/>
                <wp:effectExtent l="1270" t="4445" r="15240" b="12065"/>
                <wp:wrapNone/>
                <wp:docPr id="6" name="直接箭头连接符 23"/>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168.0pt;mso-position-horizontal:absolute;mso-position-vertical-relative:text;margin-top:29.6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217805</wp:posOffset>
                </wp:positionH>
                <wp:positionV relativeFrom="paragraph">
                  <wp:posOffset>632460</wp:posOffset>
                </wp:positionV>
                <wp:extent cx="565785" cy="130810"/>
                <wp:effectExtent l="1270" t="4445" r="4445" b="17145"/>
                <wp:wrapNone/>
                <wp:docPr id="7" name="直接箭头连接符 1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17.1pt;mso-position-horizontal:absolute;mso-position-vertical-relative:text;margin-top:49.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1179830</wp:posOffset>
                </wp:positionH>
                <wp:positionV relativeFrom="paragraph">
                  <wp:posOffset>666750</wp:posOffset>
                </wp:positionV>
                <wp:extent cx="876300" cy="120015"/>
                <wp:effectExtent l="635" t="4445" r="18415" b="889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92.9pt;mso-position-horizontal:absolute;mso-position-vertical-relative:text;margin-top:52.5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4"/>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2699385</wp:posOffset>
                </wp:positionH>
                <wp:positionV relativeFrom="paragraph">
                  <wp:posOffset>335915</wp:posOffset>
                </wp:positionV>
                <wp:extent cx="849630" cy="120015"/>
                <wp:effectExtent l="635" t="4445" r="6985" b="889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212.5pt;mso-position-horizontal:absolute;mso-position-vertical-relative:text;margin-top:26.4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1576705</wp:posOffset>
                </wp:positionH>
                <wp:positionV relativeFrom="paragraph">
                  <wp:posOffset>318135</wp:posOffset>
                </wp:positionV>
                <wp:extent cx="843915" cy="125730"/>
                <wp:effectExtent l="635" t="4445" r="12700" b="22225"/>
                <wp:wrapNone/>
                <wp:docPr id="10" name="直接箭头连接符 2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124.1pt;mso-position-horizontal:absolute;mso-position-vertical-relative:text;margin-top:25.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4036695</wp:posOffset>
                </wp:positionH>
                <wp:positionV relativeFrom="paragraph">
                  <wp:posOffset>368935</wp:posOffset>
                </wp:positionV>
                <wp:extent cx="462280" cy="147320"/>
                <wp:effectExtent l="1270" t="4445" r="12700" b="19685"/>
                <wp:wrapNone/>
                <wp:docPr id="11" name="直接箭头连接符 1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17.8pt;mso-position-horizontal:absolute;mso-position-vertical-relative:text;margin-top:29.0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831850</wp:posOffset>
                </wp:positionH>
                <wp:positionV relativeFrom="paragraph">
                  <wp:posOffset>642620</wp:posOffset>
                </wp:positionV>
                <wp:extent cx="908685" cy="140970"/>
                <wp:effectExtent l="635" t="4445" r="5080" b="6985"/>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65.5pt;mso-position-horizontal:absolute;mso-position-vertical-relative:text;margin-top:50.6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-114300</wp:posOffset>
                </wp:positionH>
                <wp:positionV relativeFrom="paragraph">
                  <wp:posOffset>582295</wp:posOffset>
                </wp:positionV>
                <wp:extent cx="772795" cy="191770"/>
                <wp:effectExtent l="1270" t="4445" r="6985" b="13335"/>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772795" cy="191769"/>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9.0pt;mso-position-horizontal:absolute;mso-position-vertical-relative:text;margin-top:45.8pt;mso-position-vertical:absolute;width:60.8pt;height:15.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4683125</wp:posOffset>
                </wp:positionH>
                <wp:positionV relativeFrom="paragraph">
                  <wp:posOffset>36830</wp:posOffset>
                </wp:positionV>
                <wp:extent cx="718185" cy="97790"/>
                <wp:effectExtent l="635" t="4445" r="5080" b="12065"/>
                <wp:wrapNone/>
                <wp:docPr id="14" name="直接箭头连接符 2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368.8pt;mso-position-horizontal:absolute;mso-position-vertical-relative:text;margin-top:2.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4"/>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4"/>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4"/>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4"/>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4"/>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ind w:right="480"/>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jc w:val="both"/>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__________________</w:t>
      </w:r>
      <w:r/>
    </w:p>
    <w:p>
      <w:pPr>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pageBreakBefore w:val="0"/>
        <w:spacing w:before="30" w:beforeAutospacing="0" w:after="30" w:afterAutospacing="0" w:line="360" w:lineRule="auto"/>
        <w:widowControl/>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pageBreakBefore w:val="0"/>
        <w:spacing w:before="30" w:beforeAutospacing="0" w:after="30" w:afterAutospacing="0"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pStyle w:val="798"/>
        <w:ind w:left="0" w:firstLine="0"/>
        <w:pageBreakBefore w:val="0"/>
        <w:rPr>
          <w:color w:val="auto"/>
          <w:highlight w:val="none"/>
        </w:rPr>
      </w:pPr>
      <w:r>
        <w:rPr>
          <w:color w:val="auto"/>
          <w:highlight w:val="none"/>
        </w:rPr>
      </w:r>
      <w:r/>
    </w:p>
    <w:p>
      <w:pPr>
        <w:pageBreakBefore w:val="0"/>
        <w:rPr>
          <w:color w:val="auto"/>
          <w:highlight w:val="none"/>
        </w:rPr>
      </w:pPr>
      <w:r>
        <w:rPr>
          <w:color w:val="auto"/>
          <w:highlight w:val="none"/>
          <w:lang w:val="zh-CN"/>
        </w:rPr>
        <w:br w:type="page" w:clear="all"/>
      </w:r>
      <w:r/>
    </w:p>
    <w:p>
      <w:pPr>
        <w:ind w:firstLine="480"/>
        <w:pageBreakBefore w:val="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r>
      <w:r/>
    </w:p>
    <w:p>
      <w:pPr>
        <w:pStyle w:val="1115"/>
        <w:jc w:val="center"/>
        <w:pageBreakBefore w:val="0"/>
        <w:rPr>
          <w:rFonts w:hint="eastAsia" w:ascii="黑体" w:hAnsi="宋体" w:eastAsia="黑体"/>
          <w:color w:val="000000" w:themeColor="text1"/>
          <w:sz w:val="36"/>
          <w:szCs w:val="13"/>
          <w:highlight w:val="none"/>
          <w14:textFill>
            <w14:solidFill>
              <w14:schemeClr w14:val="tx1"/>
            </w14:solidFill>
          </w14:textFill>
        </w:rPr>
      </w:pPr>
      <w:r/>
      <w:bookmarkStart w:id="68" w:name="_Toc4098"/>
      <w:r/>
      <w:bookmarkStart w:id="69" w:name="_Toc23660"/>
      <w:r/>
      <w:bookmarkStart w:id="70" w:name="_Toc17252"/>
      <w:r/>
      <w:bookmarkStart w:id="71" w:name="_Toc23228"/>
      <w:r>
        <w:rPr>
          <w:rFonts w:hint="eastAsia" w:ascii="黑体" w:hAnsi="宋体" w:eastAsia="黑体"/>
          <w:color w:val="000000" w:themeColor="text1"/>
          <w:sz w:val="36"/>
          <w:szCs w:val="13"/>
          <w:highlight w:val="none"/>
          <w14:textFill>
            <w14:solidFill>
              <w14:schemeClr w14:val="tx1"/>
            </w14:solidFill>
          </w14:textFill>
        </w:rPr>
        <w:t xml:space="preserve">第四章  </w:t>
      </w:r>
      <w:bookmarkStart w:id="72" w:name="招标书"/>
      <w:r/>
      <w:bookmarkEnd w:id="72"/>
      <w:r>
        <w:rPr>
          <w:rFonts w:hint="eastAsia" w:ascii="黑体" w:hAnsi="宋体" w:eastAsia="黑体"/>
          <w:color w:val="000000" w:themeColor="text1"/>
          <w:sz w:val="36"/>
          <w:szCs w:val="13"/>
          <w:highlight w:val="none"/>
          <w14:textFill>
            <w14:solidFill>
              <w14:schemeClr w14:val="tx1"/>
            </w14:solidFill>
          </w14:textFill>
        </w:rPr>
        <w:t xml:space="preserve">招标书</w:t>
      </w:r>
      <w:bookmarkEnd w:id="68"/>
      <w:r/>
      <w:bookmarkEnd w:id="69"/>
      <w:r/>
      <w:bookmarkEnd w:id="70"/>
      <w:r/>
      <w:bookmarkEnd w:id="71"/>
      <w:r/>
      <w:r/>
    </w:p>
    <w:p>
      <w:pPr>
        <w:ind w:left="0" w:firstLine="420"/>
        <w:pageBreakBefore w:val="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eastAsia="zh-CN"/>
        </w:rPr>
        <w:t xml:space="preserve">江苏至衡诚达工程咨询有限公司</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苏州太湖新城吴中管理委员会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w:t>
      </w:r>
      <w:r>
        <w:rPr>
          <w:rFonts w:hint="eastAsia" w:ascii="宋体" w:hAnsi="宋体"/>
          <w:color w:val="auto"/>
          <w:sz w:val="21"/>
          <w:highlight w:val="none"/>
          <w:u w:val="single"/>
          <w:lang w:eastAsia="zh-CN"/>
        </w:rPr>
        <w:t xml:space="preserve">2026-2028年太湖街道路灯养护项目</w:t>
      </w:r>
      <w:r>
        <w:rPr>
          <w:rFonts w:hint="eastAsia" w:ascii="宋体" w:hAnsi="宋体"/>
          <w:color w:val="auto"/>
          <w:sz w:val="21"/>
          <w:highlight w:val="none"/>
          <w:u w:val="single"/>
        </w:rPr>
        <w:t xml:space="preserve">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rPr>
        <w:t xml:space="preserve">供应</w:t>
      </w:r>
      <w:r>
        <w:rPr>
          <w:rFonts w:ascii="宋体" w:hAnsi="宋体"/>
          <w:color w:val="auto"/>
          <w:sz w:val="21"/>
          <w:highlight w:val="none"/>
        </w:rPr>
        <w:t xml:space="preserve">商参加投标。</w:t>
      </w:r>
      <w:r/>
    </w:p>
    <w:p>
      <w:pPr>
        <w:ind w:firstLine="420"/>
        <w:jc w:val="left"/>
        <w:pageBreakBefore w:val="0"/>
        <w:spacing w:line="360" w:lineRule="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一、项目编号：</w:t>
      </w:r>
      <w:r>
        <w:rPr>
          <w:rFonts w:hint="eastAsia" w:ascii="宋体" w:hAnsi="宋体"/>
          <w:b w:val="0"/>
          <w:bCs w:val="0"/>
          <w:color w:val="000000" w:themeColor="text1"/>
          <w:sz w:val="21"/>
          <w:szCs w:val="21"/>
          <w:highlight w:val="none"/>
          <w:lang w:eastAsia="zh-CN"/>
          <w14:textFill>
            <w14:solidFill>
              <w14:schemeClr w14:val="tx1"/>
            </w14:solidFill>
          </w14:textFill>
        </w:rPr>
        <w:t xml:space="preserve">JSZC-320506-ZHCD-G2026-0016</w:t>
      </w:r>
      <w:r/>
    </w:p>
    <w:p>
      <w:pPr>
        <w:ind w:firstLine="420"/>
        <w:jc w:val="left"/>
        <w:pageBreakBefore w:val="0"/>
        <w:spacing w:line="360" w:lineRule="auto"/>
        <w:rPr>
          <w:rFonts w:hint="eastAsia" w:ascii="宋体" w:hAnsi="宋体" w:eastAsia="宋体" w:cs="宋体"/>
          <w:b w:val="0"/>
          <w:bCs w:val="0"/>
          <w:color w:val="000000" w:themeColor="text1"/>
          <w:sz w:val="21"/>
          <w:szCs w:val="21"/>
          <w:highlight w:val="none"/>
          <w:lang w:eastAsia="zh-CN"/>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二、项目名称：</w:t>
      </w: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2026-2028年太湖街道路灯养护项目</w:t>
      </w:r>
      <w:r/>
    </w:p>
    <w:p>
      <w:pPr>
        <w:ind w:left="0" w:firstLine="420"/>
        <w:pageBreakBefore w:val="0"/>
        <w:spacing w:line="360" w:lineRule="auto"/>
        <w:tabs>
          <w:tab w:val="left" w:pos="0" w:leader="none"/>
        </w:tabs>
        <w:rPr>
          <w:rFonts w:hint="eastAsia" w:ascii="宋体" w:hAnsi="宋体" w:eastAsia="宋体"/>
          <w:b w:val="0"/>
          <w:bCs w:val="0"/>
          <w:color w:val="auto"/>
          <w:sz w:val="21"/>
          <w:highlight w:val="none"/>
        </w:rPr>
      </w:pPr>
      <w:r>
        <w:rPr>
          <w:rFonts w:hint="eastAsia" w:ascii="宋体" w:hAnsi="宋体"/>
          <w:b w:val="0"/>
          <w:bCs w:val="0"/>
          <w:color w:val="auto"/>
          <w:sz w:val="21"/>
          <w:highlight w:val="none"/>
        </w:rPr>
        <w:t xml:space="preserve">三、预算金额：</w:t>
      </w:r>
      <w:r>
        <w:rPr>
          <w:rFonts w:hint="eastAsia" w:ascii="宋体" w:hAnsi="宋体"/>
          <w:b w:val="0"/>
          <w:bCs w:val="0"/>
          <w:color w:val="auto"/>
          <w:sz w:val="21"/>
          <w:highlight w:val="none"/>
          <w:lang w:eastAsia="zh-CN"/>
        </w:rPr>
        <w:t xml:space="preserve">人民币壹仟肆佰肆拾万陆仟柒佰肆拾捌元捌角叁分（￥14406748.83元）</w:t>
      </w:r>
      <w:r/>
    </w:p>
    <w:p>
      <w:pPr>
        <w:ind w:left="0" w:firstLine="420"/>
        <w:pageBreakBefore w:val="0"/>
        <w:spacing w:line="360" w:lineRule="auto"/>
        <w:tabs>
          <w:tab w:val="left" w:pos="420" w:leader="none"/>
        </w:tabs>
        <w:rPr>
          <w:rFonts w:hint="eastAsia" w:ascii="宋体" w:hAnsi="宋体" w:eastAsia="宋体"/>
          <w:b w:val="0"/>
          <w:bCs w:val="0"/>
          <w:color w:val="auto"/>
          <w:sz w:val="21"/>
          <w:szCs w:val="21"/>
          <w:highlight w:val="none"/>
        </w:rPr>
      </w:pPr>
      <w:r>
        <w:rPr>
          <w:rFonts w:hint="eastAsia" w:ascii="宋体" w:hAnsi="宋体"/>
          <w:b w:val="0"/>
          <w:bCs w:val="0"/>
          <w:color w:val="auto"/>
          <w:sz w:val="21"/>
          <w:highlight w:val="none"/>
        </w:rPr>
        <w:t xml:space="preserve">四、最高限价：</w:t>
      </w:r>
      <w:r>
        <w:rPr>
          <w:rFonts w:hint="eastAsia" w:ascii="宋体" w:hAnsi="宋体"/>
          <w:b w:val="0"/>
          <w:bCs w:val="0"/>
          <w:color w:val="auto"/>
          <w:sz w:val="21"/>
          <w:szCs w:val="21"/>
          <w:highlight w:val="none"/>
          <w:lang w:eastAsia="zh-CN"/>
        </w:rPr>
        <w:t xml:space="preserve">人民币壹仟肆佰肆拾万陆仟柒佰肆拾捌元捌角叁分（￥14406748.83元）</w:t>
      </w:r>
      <w:r/>
    </w:p>
    <w:p>
      <w:pPr>
        <w:ind w:left="0" w:firstLine="420"/>
        <w:pageBreakBefore w:val="0"/>
        <w:spacing w:line="360" w:lineRule="auto"/>
        <w:tabs>
          <w:tab w:val="left" w:pos="420" w:leader="none"/>
        </w:tabs>
        <w:rPr>
          <w:rFonts w:hint="eastAsia" w:ascii="宋体" w:hAnsi="宋体" w:eastAsia="宋体"/>
          <w:b w:val="0"/>
          <w:bCs w:val="0"/>
          <w:color w:val="auto"/>
          <w:sz w:val="21"/>
          <w:highlight w:val="none"/>
        </w:rPr>
      </w:pPr>
      <w:r>
        <w:rPr>
          <w:rFonts w:hint="eastAsia" w:ascii="宋体" w:hAnsi="宋体"/>
          <w:b w:val="0"/>
          <w:bCs w:val="0"/>
          <w:color w:val="auto"/>
          <w:sz w:val="21"/>
          <w:highlight w:val="none"/>
        </w:rPr>
        <w:t xml:space="preserve">五、合同履行期限：202</w:t>
      </w:r>
      <w:r>
        <w:rPr>
          <w:rFonts w:hint="eastAsia" w:ascii="宋体" w:hAnsi="宋体"/>
          <w:b w:val="0"/>
          <w:bCs w:val="0"/>
          <w:color w:val="auto"/>
          <w:sz w:val="21"/>
          <w:highlight w:val="none"/>
          <w:lang w:val="en-US" w:eastAsia="zh-CN"/>
        </w:rPr>
        <w:t xml:space="preserve">6</w:t>
      </w:r>
      <w:r>
        <w:rPr>
          <w:rFonts w:hint="eastAsia" w:ascii="宋体" w:hAnsi="宋体"/>
          <w:b w:val="0"/>
          <w:bCs w:val="0"/>
          <w:color w:val="auto"/>
          <w:sz w:val="21"/>
          <w:highlight w:val="none"/>
        </w:rPr>
        <w:t xml:space="preserve">年</w:t>
      </w:r>
      <w:r>
        <w:rPr>
          <w:rFonts w:hint="eastAsia" w:ascii="宋体" w:hAnsi="宋体"/>
          <w:b w:val="0"/>
          <w:bCs w:val="0"/>
          <w:color w:val="auto"/>
          <w:sz w:val="21"/>
          <w:highlight w:val="none"/>
          <w:lang w:val="en-US" w:eastAsia="zh-CN"/>
        </w:rPr>
        <w:t xml:space="preserve">11</w:t>
      </w:r>
      <w:r>
        <w:rPr>
          <w:rFonts w:hint="eastAsia" w:ascii="宋体" w:hAnsi="宋体"/>
          <w:b w:val="0"/>
          <w:bCs w:val="0"/>
          <w:color w:val="auto"/>
          <w:sz w:val="21"/>
          <w:highlight w:val="none"/>
        </w:rPr>
        <w:t xml:space="preserve">月</w:t>
      </w:r>
      <w:r>
        <w:rPr>
          <w:rFonts w:hint="eastAsia" w:ascii="宋体" w:hAnsi="宋体"/>
          <w:b w:val="0"/>
          <w:bCs w:val="0"/>
          <w:color w:val="auto"/>
          <w:sz w:val="21"/>
          <w:highlight w:val="none"/>
          <w:lang w:val="en-US" w:eastAsia="zh-CN"/>
        </w:rPr>
        <w:t xml:space="preserve">19</w:t>
      </w:r>
      <w:r>
        <w:rPr>
          <w:rFonts w:hint="eastAsia" w:ascii="宋体" w:hAnsi="宋体"/>
          <w:b w:val="0"/>
          <w:bCs w:val="0"/>
          <w:color w:val="auto"/>
          <w:sz w:val="21"/>
          <w:highlight w:val="none"/>
        </w:rPr>
        <w:t xml:space="preserve">日---202</w:t>
      </w:r>
      <w:r>
        <w:rPr>
          <w:rFonts w:hint="eastAsia" w:ascii="宋体" w:hAnsi="宋体"/>
          <w:b w:val="0"/>
          <w:bCs w:val="0"/>
          <w:color w:val="auto"/>
          <w:sz w:val="21"/>
          <w:highlight w:val="none"/>
          <w:lang w:val="en-US" w:eastAsia="zh-CN"/>
        </w:rPr>
        <w:t xml:space="preserve">8</w:t>
      </w:r>
      <w:r>
        <w:rPr>
          <w:rFonts w:hint="eastAsia" w:ascii="宋体" w:hAnsi="宋体"/>
          <w:b w:val="0"/>
          <w:bCs w:val="0"/>
          <w:color w:val="auto"/>
          <w:sz w:val="21"/>
          <w:highlight w:val="none"/>
        </w:rPr>
        <w:t xml:space="preserve">年</w:t>
      </w:r>
      <w:r>
        <w:rPr>
          <w:rFonts w:hint="eastAsia" w:ascii="宋体" w:hAnsi="宋体"/>
          <w:b w:val="0"/>
          <w:bCs w:val="0"/>
          <w:color w:val="auto"/>
          <w:sz w:val="21"/>
          <w:highlight w:val="none"/>
          <w:lang w:val="en-US" w:eastAsia="zh-CN"/>
        </w:rPr>
        <w:t xml:space="preserve">11</w:t>
      </w:r>
      <w:r>
        <w:rPr>
          <w:rFonts w:hint="eastAsia" w:ascii="宋体" w:hAnsi="宋体"/>
          <w:b w:val="0"/>
          <w:bCs w:val="0"/>
          <w:color w:val="auto"/>
          <w:sz w:val="21"/>
          <w:highlight w:val="none"/>
        </w:rPr>
        <w:t xml:space="preserve">月</w:t>
      </w:r>
      <w:r>
        <w:rPr>
          <w:rFonts w:hint="eastAsia" w:ascii="宋体" w:hAnsi="宋体"/>
          <w:b w:val="0"/>
          <w:bCs w:val="0"/>
          <w:color w:val="auto"/>
          <w:sz w:val="21"/>
          <w:highlight w:val="none"/>
          <w:lang w:val="en-US" w:eastAsia="zh-CN"/>
        </w:rPr>
        <w:t xml:space="preserve">18</w:t>
      </w:r>
      <w:r>
        <w:rPr>
          <w:rFonts w:hint="eastAsia" w:ascii="宋体" w:hAnsi="宋体"/>
          <w:b w:val="0"/>
          <w:bCs w:val="0"/>
          <w:color w:val="auto"/>
          <w:sz w:val="21"/>
          <w:highlight w:val="none"/>
        </w:rPr>
        <w:t xml:space="preserve">日（具体时间以采购单位书面通知为准，服务期限2年）</w:t>
      </w:r>
      <w:r>
        <w:rPr>
          <w:rFonts w:hint="eastAsia" w:ascii="宋体" w:hAnsi="宋体"/>
          <w:b w:val="0"/>
          <w:bCs w:val="0"/>
          <w:color w:val="auto"/>
          <w:sz w:val="21"/>
          <w:szCs w:val="21"/>
          <w:highlight w:val="none"/>
          <w:lang w:eastAsia="zh-CN"/>
        </w:rPr>
        <w:t xml:space="preserve">。</w:t>
      </w:r>
      <w:r/>
    </w:p>
    <w:p>
      <w:pPr>
        <w:pStyle w:val="794"/>
        <w:ind w:left="0" w:firstLine="420"/>
        <w:pageBreakBefore w:val="0"/>
        <w:spacing w:line="360" w:lineRule="auto"/>
        <w:rPr>
          <w:rFonts w:hint="eastAsia" w:ascii="宋体" w:hAnsi="宋体"/>
          <w:b w:val="0"/>
          <w:bCs w:val="0"/>
          <w:color w:val="auto"/>
          <w:sz w:val="21"/>
          <w:szCs w:val="21"/>
          <w:highlight w:val="none"/>
        </w:rPr>
      </w:pPr>
      <w:r>
        <w:rPr>
          <w:rFonts w:hint="eastAsia" w:ascii="宋体" w:hAnsi="宋体"/>
          <w:b w:val="0"/>
          <w:bCs w:val="0"/>
          <w:color w:val="auto"/>
          <w:sz w:val="21"/>
          <w:highlight w:val="none"/>
        </w:rPr>
        <w:t xml:space="preserve">六、招标内容：</w:t>
      </w:r>
      <w:r>
        <w:rPr>
          <w:rFonts w:hint="eastAsia" w:ascii="宋体" w:hAnsi="宋体"/>
          <w:b w:val="0"/>
          <w:bCs w:val="0"/>
          <w:color w:val="auto"/>
          <w:sz w:val="21"/>
          <w:szCs w:val="21"/>
          <w:highlight w:val="none"/>
        </w:rPr>
        <w:t xml:space="preserve">服务内容包括但不限于太湖街道内主要道路如天鹅荡路、景周街、龙翔路、箭浮山路、连柱山路、引黛街、泽山路等路灯、景观灯、变压器等设施养护及应急抢修。</w:t>
      </w:r>
      <w:r/>
    </w:p>
    <w:p>
      <w:pPr>
        <w:ind w:left="0" w:firstLine="420"/>
        <w:pageBreakBefore w:val="0"/>
        <w:spacing w:line="360" w:lineRule="auto"/>
        <w:tabs>
          <w:tab w:val="left" w:pos="0" w:leader="none"/>
        </w:tabs>
        <w:rPr>
          <w:rFonts w:hint="eastAsia" w:ascii="宋体" w:hAnsi="宋体"/>
          <w:b/>
          <w:bCs/>
          <w:color w:val="auto"/>
          <w:sz w:val="21"/>
          <w:highlight w:val="none"/>
        </w:rPr>
      </w:pPr>
      <w:r>
        <w:rPr>
          <w:rFonts w:hint="eastAsia" w:ascii="宋体" w:hAnsi="宋体"/>
          <w:b/>
          <w:bCs/>
          <w:color w:val="auto"/>
          <w:sz w:val="21"/>
          <w:highlight w:val="none"/>
          <w:lang w:eastAsia="zh-CN"/>
        </w:rPr>
        <w:t xml:space="preserve">本项目管理方为苏州吴中太湖新城市政管理服务有限公司，代表采购方履行</w:t>
      </w:r>
      <w:r>
        <w:rPr>
          <w:rFonts w:hint="eastAsia" w:ascii="宋体" w:hAnsi="宋体"/>
          <w:b/>
          <w:bCs/>
          <w:color w:val="auto"/>
          <w:sz w:val="21"/>
          <w:highlight w:val="none"/>
          <w:lang w:val="en-US" w:eastAsia="zh-CN"/>
        </w:rPr>
        <w:t xml:space="preserve">招标采购</w:t>
      </w:r>
      <w:r>
        <w:rPr>
          <w:rFonts w:hint="eastAsia" w:ascii="宋体" w:hAnsi="宋体"/>
          <w:b/>
          <w:bCs/>
          <w:color w:val="auto"/>
          <w:sz w:val="21"/>
          <w:highlight w:val="none"/>
          <w:lang w:eastAsia="zh-CN"/>
        </w:rPr>
        <w:t xml:space="preserve">文件及采购合同所要求的相关管理事项，以及采购方的其他</w:t>
      </w:r>
      <w:r>
        <w:rPr>
          <w:rFonts w:hint="eastAsia" w:ascii="宋体" w:hAnsi="宋体"/>
          <w:b/>
          <w:bCs/>
          <w:color w:val="auto"/>
          <w:sz w:val="21"/>
          <w:highlight w:val="none"/>
          <w:lang w:val="en-US" w:eastAsia="zh-CN"/>
        </w:rPr>
        <w:t xml:space="preserve">相关合理</w:t>
      </w:r>
      <w:r>
        <w:rPr>
          <w:rFonts w:hint="eastAsia" w:ascii="宋体" w:hAnsi="宋体"/>
          <w:b/>
          <w:bCs/>
          <w:color w:val="auto"/>
          <w:sz w:val="21"/>
          <w:highlight w:val="none"/>
          <w:lang w:eastAsia="zh-CN"/>
        </w:rPr>
        <w:t xml:space="preserve">要求。</w:t>
      </w:r>
      <w:r/>
    </w:p>
    <w:p>
      <w:pPr>
        <w:ind w:left="0" w:firstLine="420"/>
        <w:pageBreakBefore w:val="0"/>
        <w:spacing w:line="360" w:lineRule="auto"/>
        <w:tabs>
          <w:tab w:val="left" w:pos="0" w:leader="none"/>
        </w:tabs>
        <w:rPr>
          <w:rFonts w:hint="default" w:ascii="宋体" w:hAnsi="宋体"/>
          <w:color w:val="auto"/>
          <w:sz w:val="21"/>
          <w:highlight w:val="none"/>
          <w:lang w:val="en-US"/>
        </w:rPr>
      </w:pP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一）</w:t>
      </w:r>
      <w:r>
        <w:rPr>
          <w:rFonts w:hint="eastAsia" w:ascii="宋体" w:hAnsi="宋体"/>
          <w:color w:val="auto"/>
          <w:sz w:val="21"/>
          <w:highlight w:val="none"/>
          <w:lang w:eastAsia="zh-CN"/>
        </w:rPr>
        <w:t xml:space="preserve">路灯、景观灯、变压器、路灯监控系统等养护</w:t>
      </w:r>
      <w:r>
        <w:rPr>
          <w:rFonts w:hint="eastAsia" w:ascii="宋体" w:hAnsi="宋体"/>
          <w:color w:val="auto"/>
          <w:sz w:val="21"/>
          <w:highlight w:val="none"/>
          <w:lang w:val="en-US" w:eastAsia="zh-CN"/>
        </w:rPr>
        <w:t xml:space="preserve">及应急抢修</w:t>
      </w:r>
      <w:r>
        <w:rPr>
          <w:rFonts w:hint="eastAsia" w:ascii="宋体" w:hAnsi="宋体"/>
          <w:color w:val="auto"/>
          <w:sz w:val="21"/>
          <w:highlight w:val="none"/>
          <w:lang w:eastAsia="zh-CN"/>
        </w:rPr>
        <w:t xml:space="preserve">清单</w:t>
      </w:r>
      <w:r/>
    </w:p>
    <w:p>
      <w:pPr>
        <w:ind w:left="0" w:firstLine="420"/>
        <w:pageBreakBefore w:val="0"/>
        <w:spacing w:line="360" w:lineRule="auto"/>
        <w:tabs>
          <w:tab w:val="left" w:pos="0" w:leader="none"/>
        </w:tabs>
        <w:rPr>
          <w:rFonts w:hint="default" w:ascii="宋体" w:hAnsi="宋体"/>
          <w:color w:val="auto"/>
          <w:sz w:val="21"/>
          <w:highlight w:val="none"/>
          <w:lang w:val="en-US" w:eastAsia="zh-CN"/>
        </w:rPr>
      </w:pPr>
      <w:r>
        <w:rPr>
          <w:rFonts w:hint="eastAsia" w:ascii="宋体" w:hAnsi="宋体"/>
          <w:color w:val="auto"/>
          <w:sz w:val="21"/>
          <w:highlight w:val="none"/>
          <w:lang w:val="en-US" w:eastAsia="zh-CN"/>
        </w:rPr>
        <w:t xml:space="preserve">1、太湖新城路灯、景观灯、变压器、路灯监控系统等设施养护清单</w:t>
      </w:r>
      <w:r/>
    </w:p>
    <w:tbl>
      <w:tblPr>
        <w:tblStyle w:val="792"/>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5"/>
        <w:gridCol w:w="1319"/>
        <w:gridCol w:w="4731"/>
        <w:gridCol w:w="882"/>
        <w:gridCol w:w="837"/>
      </w:tblGrid>
      <w:tr>
        <w:trPr>
          <w:trHeight w:val="460"/>
        </w:trPr>
        <w:tc>
          <w:tcPr>
            <w:shd w:val="clear" w:color="auto" w:fill="auto"/>
            <w:tcBorders>
              <w:top w:val="single" w:color="000000" w:sz="8" w:space="0"/>
              <w:left w:val="single" w:color="000000" w:sz="8" w:space="0"/>
              <w:bottom w:val="single" w:color="000000" w:sz="4" w:space="0"/>
              <w:right w:val="single" w:color="000000" w:sz="4" w:space="0"/>
            </w:tcBorders>
            <w:tcW w:w="322"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794"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847"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531"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503"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数量</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落地式配电箱</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1、名称：控制箱养护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2、养护内容：测量电压、电流和接地电阻、更换熔断器、熔芯和接触器、门锁检修、清扫灰尘等。</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422</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1、名称：箱式变电站500KVA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1、名称：箱式变电站315KVA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1、名称：箱式变电站250KVA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1、名称：箱式变电站80KVA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1、名称：箱式变电站50KVA</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路灯监控通讯</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1.名称：路灯监控通讯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2.养护内容：维护物联网卡通信数据传输网络；插入式MP；工业级SIM卡；抗震、抗腐蚀和耐高低温；统一后台管理。</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路灯监控平台服务</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1.名称：路灯监控平台服务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2.养护内容：平台在线培训及技术支持；152台终端设备的平台运维管理；全天候用户设备后台日常巡查，异常故障在线分析排除；设备异常短信报警实时发送用户管理人员。</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路灯监控设备维护</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1.名称：路灯监控设备维护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2.养护内容：设备的日常维护、维修，包括设备故障维修，设备远程技术支持，设备运行的管理，故障识别上报沟通工作。</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152</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平台维护</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1.名称：平台维护</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2.养护内容：服务器的硬件和软件的维护和更新，以及定期检查和修复服务器可能出现的问题。</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1、名称：单挑灯养护（含各类型号及功率）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838</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1、名称：双挑灯养护（含各类型号及功率）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2585</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半高杆照明灯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1、名称：补角灯养护（含各类型号及功率）</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2、养护内容：巡视检修，更换损坏的灯杆、灯架、配电盒、灯具、电线等，测接地电阻和防腐刷漆。</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363</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高杆照明灯</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1、广场灯养护  </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2、养护内容：巡视检修，更换损坏的灯杆、灯架、灯具，测电阻。</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w:t>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1、名称：景观灯养护（含各类功率及型号）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2、养护内容：更换失效的光源、灯头、灯具、电线、灯杆灯盘；巡视，测电阻</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566</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32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847"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1、名称：投光灯、射树灯、地埋灯、洗墙灯、点光源、线条灯、草坪灯等养护（含各类功率及型号）</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2、养护内容：更换失效的LED光源、电气组件、散热器、熔断器、灯头、灯具、巡视，测电阻、灯具试亮</w:t>
            </w:r>
            <w:r/>
          </w:p>
        </w:tc>
        <w:tc>
          <w:tcPr>
            <w:shd w:val="clear" w:color="auto" w:fill="auto"/>
            <w:tcBorders>
              <w:top w:val="single" w:color="000000" w:sz="4" w:space="0"/>
              <w:left w:val="single" w:color="000000" w:sz="4" w:space="0"/>
              <w:bottom w:val="single" w:color="000000" w:sz="4" w:space="0"/>
              <w:right w:val="single" w:color="000000" w:sz="4" w:space="0"/>
            </w:tcBorders>
            <w:tcW w:w="531"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33070</w:t>
            </w:r>
            <w:r/>
          </w:p>
        </w:tc>
      </w:tr>
    </w:tbl>
    <w:p>
      <w:pPr>
        <w:pageBreakBefore w:val="0"/>
        <w:spacing w:line="360" w:lineRule="auto"/>
        <w:tabs>
          <w:tab w:val="left" w:pos="0" w:leader="none"/>
        </w:tabs>
        <w:rPr>
          <w:rFonts w:hint="default" w:ascii="宋体" w:hAnsi="宋体"/>
          <w:color w:val="auto"/>
          <w:sz w:val="21"/>
          <w:highlight w:val="none"/>
          <w:lang w:val="en-US" w:eastAsia="zh-CN"/>
        </w:rPr>
      </w:pPr>
      <w:r>
        <w:rPr>
          <w:rFonts w:hint="default" w:ascii="宋体" w:hAnsi="宋体"/>
          <w:color w:val="auto"/>
          <w:sz w:val="21"/>
          <w:highlight w:val="none"/>
          <w:lang w:val="en-US" w:eastAsia="zh-CN"/>
        </w:rPr>
      </w:r>
      <w:r/>
    </w:p>
    <w:p>
      <w:pPr>
        <w:ind w:left="0" w:firstLine="0"/>
        <w:pageBreakBefore w:val="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r>
      <w:r/>
    </w:p>
    <w:p>
      <w:pPr>
        <w:ind w:left="0" w:firstLine="420"/>
        <w:pageBreakBefore w:val="0"/>
        <w:spacing w:line="360" w:lineRule="auto"/>
        <w:tabs>
          <w:tab w:val="left" w:pos="0" w:leader="none"/>
        </w:tabs>
        <w:rPr>
          <w:rFonts w:hint="default" w:ascii="宋体" w:hAnsi="宋体"/>
          <w:color w:val="auto"/>
          <w:sz w:val="21"/>
          <w:highlight w:val="none"/>
        </w:rPr>
      </w:pPr>
      <w:r>
        <w:rPr>
          <w:rFonts w:hint="eastAsia" w:ascii="宋体" w:hAnsi="宋体"/>
          <w:color w:val="auto"/>
          <w:sz w:val="21"/>
          <w:highlight w:val="none"/>
          <w:lang w:val="en-US" w:eastAsia="zh-CN"/>
        </w:rPr>
        <w:t xml:space="preserve">2、应急抢修明细表</w:t>
      </w:r>
      <w:r/>
    </w:p>
    <w:tbl>
      <w:tblPr>
        <w:tblStyle w:val="792"/>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5"/>
        <w:gridCol w:w="1691"/>
        <w:gridCol w:w="4479"/>
        <w:gridCol w:w="884"/>
        <w:gridCol w:w="635"/>
      </w:tblGrid>
      <w:tr>
        <w:trPr>
          <w:trHeight w:val="560"/>
        </w:trPr>
        <w:tc>
          <w:tcPr>
            <w:shd w:val="clear" w:color="auto" w:fill="auto"/>
            <w:tcBorders>
              <w:top w:val="single" w:color="000000" w:sz="8" w:space="0"/>
              <w:left w:val="single" w:color="000000" w:sz="8" w:space="0"/>
              <w:bottom w:val="single" w:color="000000" w:sz="4" w:space="0"/>
              <w:right w:val="single" w:color="000000" w:sz="4" w:space="0"/>
            </w:tcBorders>
            <w:tcW w:w="370"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018"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696"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计量单位</w:t>
            </w:r>
            <w:r/>
          </w:p>
        </w:tc>
        <w:tc>
          <w:tcPr>
            <w:shd w:val="clear" w:color="auto" w:fill="auto"/>
            <w:tcBorders>
              <w:top w:val="single" w:color="000000" w:sz="8" w:space="0"/>
              <w:left w:val="single" w:color="000000" w:sz="4" w:space="0"/>
              <w:bottom w:val="single" w:color="000000" w:sz="4" w:space="0"/>
              <w:right w:val="single" w:color="000000" w:sz="4" w:space="0"/>
            </w:tcBorders>
            <w:tcW w:w="382" w:type="pct"/>
            <w:vAlign w:val="center"/>
            <w:vMerge w:val="restart"/>
            <w:textDirection w:val="lrTb"/>
            <w:noWrap w:val="false"/>
          </w:tcPr>
          <w:p>
            <w:pPr>
              <w:jc w:val="center"/>
              <w:keepLines w:val="0"/>
              <w:keepNext w:val="0"/>
              <w:pageBreakBefore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数量</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落地式配电箱</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1.名称：照明控制箱拆除及运输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1.名称：单悬挑路灯拆除及运输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1.名称：双悬挑路灯拆除及运输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1.名称：补角灯拆除及运输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1.名称：景观灯拆除及运输</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落地式控制箱</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1.型号：路灯控制箱安装（三遥）</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2.规格：1500*700*500</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1.名称：单挑路灯安装</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1.名称：双挑路灯安装</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1.名称：补角灯安装</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1.名称：名称：路灯、景观灯基础制作安装（施工定位、挖填土方、圆钢接地极、接地极测试、基础法兰、预埋件、混凝土等）（不含灯具）</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1.材质：PE波纹管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2.规格：DE32</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1.材质：PE波纹管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2.规格：DE50</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1.材质：镀锌钢管</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2.规格：YJV-3*4</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2.规格：YJV-2*6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2.规格：YJV-5*6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2.规格：YJV-5*16</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2.规格：YJV-4*25+1*25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2.规格：YJV-4*35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2.规格：YJV-4*50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1.名称：高压电缆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2.规格：YJV22-8.7/15-3*95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1.名称：电力电缆</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2.规格：YJV-4*70</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3.敷设方式：穿管敷设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1、名称：高压电缆头</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2、规格：3*95</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3、材质、类型：铜芯</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4、安装部位：户外</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5、电压等级（kV）：10KV</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电力电缆头</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1.名称：电缆头YJV-4*70</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挖单独土方</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1、土壤类别：挖三类土</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2、挖土深度：2m内</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1、密实度要求：满足设计要求</w:t>
            </w:r>
            <w:r>
              <w:rPr>
                <w:rFonts w:hint="eastAsia" w:ascii="宋体" w:hAnsi="宋体" w:eastAsia="宋体" w:cs="宋体"/>
                <w:i w:val="0"/>
                <w:iCs w:val="0"/>
                <w:color w:val="000000"/>
                <w:sz w:val="20"/>
                <w:szCs w:val="20"/>
                <w:highlight w:val="none"/>
                <w:u w:val="none"/>
                <w:lang w:val="en-US" w:eastAsia="zh-CN" w:bidi="ar"/>
              </w:rPr>
              <w:br/>
            </w:r>
            <w:r>
              <w:rPr>
                <w:rFonts w:hint="eastAsia" w:ascii="宋体" w:hAnsi="宋体" w:eastAsia="宋体" w:cs="宋体"/>
                <w:i w:val="0"/>
                <w:iCs w:val="0"/>
                <w:color w:val="000000"/>
                <w:sz w:val="20"/>
                <w:szCs w:val="20"/>
                <w:highlight w:val="none"/>
                <w:u w:val="none"/>
                <w:lang w:val="en-US" w:eastAsia="zh-CN" w:bidi="ar"/>
              </w:rPr>
              <w:t xml:space="preserve">2、填方来源、运距：原土回填，运距施工单位踏勘现场后自行考虑</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人(手)孔井</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1.名称：砖砌电缆井600*600（钢纤维井盖座）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人(手)孔井</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1.名称：600*600钢纤维井盖板更换</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1.名称：草坪灯  LED10W  H=60cm</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1.名称：草坪灯基础</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1.名称：庭院灯  LED50W  H=3.5m</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常规照明灯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1.名称：庭院灯基础制作安装</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1.名称：LED180W</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1.名称：LED150W</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1.名称：LED120W</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路灯灯头（投光灯）</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1.名称：LED200W</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路灯标签</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1.名称：路灯标签</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300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其他电器</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1.名称：电能表三相四线（3*220/380V)</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横担组装</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1.名称：横担</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r>
      <w:tr>
        <w:trPr>
          <w:trHeight w:val="560"/>
        </w:trPr>
        <w:tc>
          <w:tcPr>
            <w:shd w:val="clear" w:color="auto" w:fill="auto"/>
            <w:tcBorders>
              <w:top w:val="single" w:color="000000" w:sz="4" w:space="0"/>
              <w:left w:val="single" w:color="000000" w:sz="8" w:space="0"/>
              <w:bottom w:val="single" w:color="000000" w:sz="4" w:space="0"/>
              <w:right w:val="single" w:color="000000" w:sz="4" w:space="0"/>
            </w:tcBorders>
            <w:tcW w:w="370"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组合型成套箱式变电站</w:t>
            </w:r>
            <w:r/>
          </w:p>
        </w:tc>
        <w:tc>
          <w:tcPr>
            <w:shd w:val="clear" w:color="auto" w:fill="auto"/>
            <w:tcBorders>
              <w:top w:val="single" w:color="000000" w:sz="4" w:space="0"/>
              <w:left w:val="single" w:color="000000" w:sz="4" w:space="0"/>
              <w:bottom w:val="single" w:color="000000" w:sz="4" w:space="0"/>
              <w:right w:val="single" w:color="000000" w:sz="4" w:space="0"/>
            </w:tcBorders>
            <w:tcW w:w="2696"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1.名称：箱变屋顶防水卷材</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r>
    </w:tbl>
    <w:p>
      <w:pPr>
        <w:ind w:left="0"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路灯、景观灯、变压器、路灯监控系统等养护工作内容包括但不限于：</w:t>
      </w:r>
      <w:r>
        <w:rPr>
          <w:rFonts w:hint="eastAsia" w:ascii="宋体" w:hAnsi="宋体"/>
          <w:color w:val="auto"/>
          <w:sz w:val="21"/>
          <w:szCs w:val="21"/>
          <w:highlight w:val="none"/>
          <w:lang w:eastAsia="zh-CN"/>
        </w:rPr>
        <w:t xml:space="preserve">采购单位</w:t>
      </w:r>
      <w:r>
        <w:rPr>
          <w:rFonts w:hint="eastAsia" w:ascii="宋体" w:hAnsi="宋体"/>
          <w:color w:val="auto"/>
          <w:sz w:val="21"/>
          <w:szCs w:val="21"/>
          <w:highlight w:val="none"/>
        </w:rPr>
        <w:t xml:space="preserve">提供的养护需求所包括的工作内容、</w:t>
      </w:r>
      <w:r>
        <w:rPr>
          <w:rFonts w:hint="eastAsia" w:ascii="宋体" w:hAnsi="宋体"/>
          <w:color w:val="auto"/>
          <w:sz w:val="21"/>
          <w:szCs w:val="21"/>
          <w:highlight w:val="none"/>
          <w:lang w:eastAsia="zh-CN"/>
        </w:rPr>
        <w:t xml:space="preserve">服务清单</w:t>
      </w:r>
      <w:r>
        <w:rPr>
          <w:rFonts w:hint="eastAsia" w:ascii="宋体" w:hAnsi="宋体"/>
          <w:color w:val="auto"/>
          <w:sz w:val="21"/>
          <w:szCs w:val="21"/>
          <w:highlight w:val="none"/>
        </w:rPr>
        <w:t xml:space="preserve">描述的养护内容及</w:t>
      </w:r>
      <w:r>
        <w:rPr>
          <w:rFonts w:hint="eastAsia" w:ascii="宋体" w:hAnsi="宋体"/>
          <w:color w:val="auto"/>
          <w:sz w:val="21"/>
          <w:szCs w:val="21"/>
          <w:highlight w:val="none"/>
          <w:lang w:eastAsia="zh-CN"/>
        </w:rPr>
        <w:t xml:space="preserve">采购单位</w:t>
      </w:r>
      <w:r>
        <w:rPr>
          <w:rFonts w:hint="eastAsia" w:ascii="宋体" w:hAnsi="宋体"/>
          <w:color w:val="auto"/>
          <w:sz w:val="21"/>
          <w:szCs w:val="21"/>
          <w:highlight w:val="none"/>
        </w:rPr>
        <w:t xml:space="preserve">提出其他特殊养护需求。投标单位应根据</w:t>
      </w:r>
      <w:r>
        <w:rPr>
          <w:rFonts w:hint="eastAsia" w:ascii="宋体" w:hAnsi="宋体"/>
          <w:color w:val="auto"/>
          <w:sz w:val="21"/>
          <w:szCs w:val="21"/>
          <w:highlight w:val="none"/>
          <w:lang w:eastAsia="zh-CN"/>
        </w:rPr>
        <w:t xml:space="preserve">采购单位</w:t>
      </w:r>
      <w:r>
        <w:rPr>
          <w:rFonts w:hint="eastAsia" w:ascii="宋体" w:hAnsi="宋体"/>
          <w:color w:val="auto"/>
          <w:sz w:val="21"/>
          <w:szCs w:val="21"/>
          <w:highlight w:val="none"/>
        </w:rPr>
        <w:t xml:space="preserve">提供的</w:t>
      </w:r>
      <w:r>
        <w:rPr>
          <w:rFonts w:hint="eastAsia" w:ascii="宋体" w:hAnsi="宋体"/>
          <w:color w:val="auto"/>
          <w:sz w:val="21"/>
          <w:szCs w:val="21"/>
          <w:highlight w:val="none"/>
          <w:lang w:val="en-US" w:eastAsia="zh-CN"/>
        </w:rPr>
        <w:t xml:space="preserve">服务</w:t>
      </w:r>
      <w:r>
        <w:rPr>
          <w:rFonts w:hint="eastAsia" w:ascii="宋体" w:hAnsi="宋体"/>
          <w:color w:val="auto"/>
          <w:sz w:val="21"/>
          <w:szCs w:val="21"/>
          <w:highlight w:val="none"/>
        </w:rPr>
        <w:t xml:space="preserve">清单、养护需求充分踏勘现场，充分考虑</w:t>
      </w:r>
      <w:r>
        <w:rPr>
          <w:rFonts w:hint="eastAsia" w:ascii="宋体" w:hAnsi="宋体"/>
          <w:color w:val="auto"/>
          <w:sz w:val="21"/>
          <w:szCs w:val="21"/>
          <w:highlight w:val="none"/>
          <w:lang w:eastAsia="zh-CN"/>
        </w:rPr>
        <w:t xml:space="preserve">实施</w:t>
      </w:r>
      <w:r>
        <w:rPr>
          <w:rFonts w:hint="eastAsia" w:ascii="宋体" w:hAnsi="宋体"/>
          <w:color w:val="auto"/>
          <w:sz w:val="21"/>
          <w:szCs w:val="21"/>
          <w:highlight w:val="none"/>
        </w:rPr>
        <w:t xml:space="preserve">难度及其他一切不利条件。后期结算单价一律不调整。</w:t>
      </w:r>
      <w:r/>
    </w:p>
    <w:p>
      <w:pPr>
        <w:ind w:left="0" w:firstLine="42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4.应急抢修数量为预估量，实际结算按现场发生为准。</w:t>
      </w:r>
      <w:r/>
    </w:p>
    <w:p>
      <w:pPr>
        <w:pStyle w:val="918"/>
        <w:ind w:left="0" w:firstLine="0"/>
        <w:pageBreakBefore w:val="0"/>
        <w:rPr>
          <w:rFonts w:ascii="宋体" w:hAnsi="宋体" w:cs="宋体"/>
          <w:b/>
          <w:bCs/>
          <w:color w:val="auto"/>
          <w:szCs w:val="21"/>
          <w:highlight w:val="none"/>
        </w:rPr>
      </w:pPr>
      <w:r>
        <w:rPr>
          <w:rFonts w:ascii="宋体" w:hAnsi="宋体" w:cs="宋体"/>
          <w:b/>
          <w:bCs/>
          <w:color w:val="auto"/>
          <w:szCs w:val="21"/>
          <w:highlight w:val="none"/>
        </w:rPr>
      </w:r>
      <w:r/>
    </w:p>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（二）维护保养要求：</w:t>
      </w:r>
      <w:r/>
    </w:p>
    <w:p>
      <w:pPr>
        <w:ind w:left="0" w:firstLine="420"/>
        <w:pageBreakBefore w:val="0"/>
        <w:spacing w:line="360" w:lineRule="auto"/>
        <w:tabs>
          <w:tab w:val="left" w:pos="567" w:leader="none"/>
        </w:tabs>
        <w:rPr>
          <w:rFonts w:hint="default"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lang w:val="en-US" w:eastAsia="zh-CN"/>
        </w:rPr>
        <w:t xml:space="preserve">1、维护保养需求</w:t>
      </w:r>
      <w:r/>
    </w:p>
    <w:p>
      <w:pPr>
        <w:ind w:left="0" w:firstLine="420"/>
        <w:pageBreakBefore w:val="0"/>
        <w:spacing w:line="360" w:lineRule="auto"/>
        <w:tabs>
          <w:tab w:val="left" w:pos="567" w:leader="none"/>
        </w:tabs>
        <w:rPr>
          <w:rFonts w:hint="default"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lang w:eastAsia="zh-CN"/>
        </w:rPr>
        <w:t xml:space="preserve">（</w:t>
      </w:r>
      <w:r>
        <w:rPr>
          <w:rFonts w:hint="eastAsia" w:ascii="Times New Roman" w:hAnsi="Times New Roman" w:eastAsia="宋体" w:cs="Times New Roman"/>
          <w:color w:val="auto"/>
          <w:sz w:val="21"/>
          <w:highlight w:val="none"/>
          <w:lang w:val="en-US" w:eastAsia="zh-CN"/>
        </w:rPr>
        <w:t xml:space="preserve">1）路灯、变压器、控制箱养护</w:t>
      </w:r>
      <w:r/>
    </w:p>
    <w:tbl>
      <w:tblPr>
        <w:tblStyle w:val="1219"/>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829"/>
        <w:gridCol w:w="1683"/>
        <w:gridCol w:w="5777"/>
      </w:tblGrid>
      <w:tr>
        <w:trPr>
          <w:trHeight w:val="314"/>
        </w:trPr>
        <w:tc>
          <w:tcPr>
            <w:shd w:val="clear" w:color="auto" w:fill="auto"/>
            <w:tcW w:w="500" w:type="pct"/>
            <w:textDirection w:val="lrTb"/>
            <w:noWrap w:val="false"/>
          </w:tcPr>
          <w:p>
            <w:pPr>
              <w:pStyle w:val="1195"/>
              <w:ind w:left="184"/>
              <w:spacing w:before="46" w:line="207" w:lineRule="auto"/>
              <w:rPr>
                <w:sz w:val="22"/>
                <w:szCs w:val="22"/>
                <w:highlight w:val="none"/>
              </w:rPr>
            </w:pPr>
            <w:r>
              <w:rPr>
                <w:spacing w:val="7"/>
                <w:sz w:val="22"/>
                <w:szCs w:val="22"/>
                <w:highlight w:val="none"/>
              </w:rPr>
              <w:t xml:space="preserve">序号</w:t>
            </w:r>
            <w:r/>
          </w:p>
        </w:tc>
        <w:tc>
          <w:tcPr>
            <w:shd w:val="clear" w:color="auto" w:fill="auto"/>
            <w:tcW w:w="1015" w:type="pct"/>
            <w:textDirection w:val="lrTb"/>
            <w:noWrap w:val="false"/>
          </w:tcPr>
          <w:p>
            <w:pPr>
              <w:pStyle w:val="1195"/>
              <w:spacing w:before="44" w:line="208" w:lineRule="auto"/>
              <w:rPr>
                <w:sz w:val="22"/>
                <w:szCs w:val="22"/>
                <w:highlight w:val="none"/>
              </w:rPr>
            </w:pPr>
            <w:r>
              <w:rPr>
                <w:spacing w:val="10"/>
                <w:sz w:val="22"/>
                <w:szCs w:val="22"/>
                <w:highlight w:val="none"/>
              </w:rPr>
              <w:t xml:space="preserve">工作项目</w:t>
            </w:r>
            <w:r/>
          </w:p>
        </w:tc>
        <w:tc>
          <w:tcPr>
            <w:shd w:val="clear" w:color="auto" w:fill="auto"/>
            <w:tcW w:w="3484" w:type="pct"/>
            <w:textDirection w:val="lrTb"/>
            <w:noWrap w:val="false"/>
          </w:tcPr>
          <w:p>
            <w:pPr>
              <w:pStyle w:val="1195"/>
              <w:ind w:left="2044"/>
              <w:spacing w:before="43" w:line="209" w:lineRule="auto"/>
              <w:rPr>
                <w:sz w:val="22"/>
                <w:szCs w:val="22"/>
                <w:highlight w:val="none"/>
              </w:rPr>
            </w:pPr>
            <w:r>
              <w:rPr>
                <w:spacing w:val="2"/>
                <w:sz w:val="22"/>
                <w:szCs w:val="22"/>
                <w:highlight w:val="none"/>
              </w:rPr>
              <w:t xml:space="preserve">工作内容</w:t>
            </w:r>
            <w:r/>
          </w:p>
        </w:tc>
      </w:tr>
      <w:tr>
        <w:trPr>
          <w:trHeight w:val="1138"/>
        </w:trPr>
        <w:tc>
          <w:tcPr>
            <w:shd w:val="clear" w:color="auto" w:fill="auto"/>
            <w:tcW w:w="500" w:type="pct"/>
            <w:textDirection w:val="lrTb"/>
            <w:noWrap w:val="false"/>
          </w:tcPr>
          <w:p>
            <w:pPr>
              <w:spacing w:line="441" w:lineRule="auto"/>
              <w:rPr>
                <w:sz w:val="20"/>
                <w:szCs w:val="22"/>
                <w:highlight w:val="none"/>
              </w:rPr>
            </w:pPr>
            <w:r>
              <w:rPr>
                <w:sz w:val="20"/>
                <w:szCs w:val="22"/>
                <w:highlight w:val="none"/>
              </w:rPr>
            </w:r>
            <w:r/>
          </w:p>
          <w:p>
            <w:pPr>
              <w:pStyle w:val="1195"/>
              <w:ind w:left="354"/>
              <w:spacing w:before="74" w:line="184" w:lineRule="auto"/>
              <w:rPr>
                <w:sz w:val="22"/>
                <w:szCs w:val="22"/>
                <w:highlight w:val="none"/>
              </w:rPr>
            </w:pPr>
            <w:r>
              <w:rPr>
                <w:sz w:val="22"/>
                <w:szCs w:val="22"/>
                <w:highlight w:val="none"/>
              </w:rPr>
              <w:t xml:space="preserve">1</w:t>
            </w:r>
            <w:r/>
          </w:p>
        </w:tc>
        <w:tc>
          <w:tcPr>
            <w:shd w:val="clear" w:color="auto" w:fill="auto"/>
            <w:tcW w:w="1015" w:type="pct"/>
            <w:vAlign w:val="center"/>
            <w:textDirection w:val="lrTb"/>
            <w:noWrap w:val="false"/>
          </w:tcPr>
          <w:p>
            <w:pPr>
              <w:jc w:val="left"/>
              <w:keepLines w:val="0"/>
              <w:keepNext w:val="0"/>
              <w:widowControl/>
              <w:rPr>
                <w:sz w:val="22"/>
                <w:szCs w:val="22"/>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控制箱养护</w:t>
            </w:r>
            <w:r/>
          </w:p>
        </w:tc>
        <w:tc>
          <w:tcPr>
            <w:shd w:val="clear" w:color="auto" w:fill="auto"/>
            <w:tcW w:w="3484" w:type="pct"/>
            <w:vAlign w:val="center"/>
            <w:textDirection w:val="lrTb"/>
            <w:noWrap w:val="false"/>
          </w:tcPr>
          <w:p>
            <w:p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1、名称：控制箱养护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2、养护内容：测量电压、电流和接地电阻、更换熔断器、熔芯和接触器、门锁检修、清扫灰尘等。</w:t>
            </w:r>
            <w:r/>
          </w:p>
        </w:tc>
      </w:tr>
      <w:tr>
        <w:trPr>
          <w:trHeight w:val="1138"/>
        </w:trPr>
        <w:tc>
          <w:tcPr>
            <w:shd w:val="clear" w:color="auto" w:fill="auto"/>
            <w:tcW w:w="500" w:type="pct"/>
            <w:textDirection w:val="lrTb"/>
            <w:noWrap w:val="false"/>
          </w:tcPr>
          <w:p>
            <w:pPr>
              <w:spacing w:line="444" w:lineRule="auto"/>
              <w:rPr>
                <w:sz w:val="20"/>
                <w:szCs w:val="22"/>
                <w:highlight w:val="none"/>
                <w:lang w:eastAsia="zh-CN"/>
              </w:rPr>
            </w:pPr>
            <w:r>
              <w:rPr>
                <w:sz w:val="20"/>
                <w:szCs w:val="22"/>
                <w:highlight w:val="none"/>
                <w:lang w:eastAsia="zh-CN"/>
              </w:rPr>
            </w:r>
            <w:r/>
          </w:p>
          <w:p>
            <w:pPr>
              <w:pStyle w:val="1195"/>
              <w:ind w:left="354"/>
              <w:spacing w:before="75" w:line="183" w:lineRule="auto"/>
              <w:rPr>
                <w:sz w:val="22"/>
                <w:szCs w:val="22"/>
                <w:highlight w:val="none"/>
              </w:rPr>
            </w:pPr>
            <w:r>
              <w:rPr>
                <w:sz w:val="22"/>
                <w:szCs w:val="22"/>
                <w:highlight w:val="none"/>
              </w:rPr>
              <w:t xml:space="preserve">2</w:t>
            </w:r>
            <w:r/>
          </w:p>
        </w:tc>
        <w:tc>
          <w:tcPr>
            <w:shd w:val="clear" w:color="auto" w:fill="auto"/>
            <w:tcW w:w="1015"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箱式变电站养护</w:t>
            </w:r>
            <w:r/>
          </w:p>
        </w:tc>
        <w:tc>
          <w:tcPr>
            <w:shd w:val="clear" w:color="auto" w:fill="auto"/>
            <w:tcW w:w="3484" w:type="pct"/>
            <w:vAlign w:val="center"/>
            <w:textDirection w:val="lrTb"/>
            <w:noWrap w:val="false"/>
          </w:tcPr>
          <w:p>
            <w:pPr>
              <w:numPr>
                <w:ilvl w:val="0"/>
                <w:numId w:val="1"/>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名称：箱式变电站500KVA以内</w:t>
            </w:r>
            <w:r/>
          </w:p>
          <w:p>
            <w:pPr>
              <w:numPr>
                <w:ilvl w:val="0"/>
                <w:numId w:val="0"/>
              </w:num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养护内容：变压器巡视、换干燥器、加变压器油、测量电压、电流和接地电阻、变压器预防性试验、更换失效的负荷开关、空气开关、断路器、接触器和熔断器、窗和门锁检修、清扫灰尘等，满足供电局验收要求</w:t>
            </w:r>
            <w:r/>
          </w:p>
        </w:tc>
      </w:tr>
      <w:tr>
        <w:trPr>
          <w:trHeight w:val="629"/>
        </w:trPr>
        <w:tc>
          <w:tcPr>
            <w:shd w:val="clear" w:color="auto" w:fill="auto"/>
            <w:tcW w:w="500" w:type="pct"/>
            <w:textDirection w:val="lrTb"/>
            <w:noWrap w:val="false"/>
          </w:tcPr>
          <w:p>
            <w:pPr>
              <w:pStyle w:val="1195"/>
              <w:ind w:left="354"/>
              <w:spacing w:before="263" w:line="183" w:lineRule="auto"/>
              <w:rPr>
                <w:sz w:val="22"/>
                <w:szCs w:val="22"/>
                <w:highlight w:val="none"/>
              </w:rPr>
            </w:pPr>
            <w:r>
              <w:rPr>
                <w:sz w:val="22"/>
                <w:szCs w:val="22"/>
                <w:highlight w:val="none"/>
              </w:rPr>
              <w:t xml:space="preserve">3</w:t>
            </w:r>
            <w:r/>
          </w:p>
        </w:tc>
        <w:tc>
          <w:tcPr>
            <w:shd w:val="clear" w:color="auto" w:fill="auto"/>
            <w:tcW w:w="1015"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箱式变电站养护</w:t>
            </w:r>
            <w:r/>
          </w:p>
        </w:tc>
        <w:tc>
          <w:tcPr>
            <w:shd w:val="clear" w:color="auto" w:fill="auto"/>
            <w:tcW w:w="3484" w:type="pct"/>
            <w:vAlign w:val="center"/>
            <w:textDirection w:val="lrTb"/>
            <w:noWrap w:val="false"/>
          </w:tcPr>
          <w:p>
            <w:p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箱式变电站250KVA以内2、养护内容：变压器巡视、换干燥器、加变压器油、测量电压、电流和接地电阻、变压器预防性试验、更换失效的负荷开关、空气开关、断路器、接触器和熔断器、窗和门锁检修、清扫灰尘等，满足供电局验收要求</w:t>
            </w:r>
            <w:r/>
          </w:p>
        </w:tc>
      </w:tr>
      <w:tr>
        <w:trPr>
          <w:trHeight w:val="929"/>
        </w:trPr>
        <w:tc>
          <w:tcPr>
            <w:shd w:val="clear" w:color="auto" w:fill="auto"/>
            <w:tcW w:w="500" w:type="pct"/>
            <w:textDirection w:val="lrTb"/>
            <w:noWrap w:val="false"/>
          </w:tcPr>
          <w:p>
            <w:pPr>
              <w:spacing w:line="337" w:lineRule="auto"/>
              <w:rPr>
                <w:sz w:val="20"/>
                <w:szCs w:val="22"/>
                <w:highlight w:val="none"/>
                <w:lang w:eastAsia="zh-CN"/>
              </w:rPr>
            </w:pPr>
            <w:r>
              <w:rPr>
                <w:sz w:val="20"/>
                <w:szCs w:val="22"/>
                <w:highlight w:val="none"/>
                <w:lang w:eastAsia="zh-CN"/>
              </w:rPr>
            </w:r>
            <w:r/>
          </w:p>
          <w:p>
            <w:pPr>
              <w:pStyle w:val="1195"/>
              <w:ind w:left="354"/>
              <w:spacing w:before="75" w:line="183" w:lineRule="auto"/>
              <w:rPr>
                <w:sz w:val="22"/>
                <w:szCs w:val="22"/>
                <w:highlight w:val="none"/>
              </w:rPr>
            </w:pPr>
            <w:r>
              <w:rPr>
                <w:sz w:val="22"/>
                <w:szCs w:val="22"/>
                <w:highlight w:val="none"/>
              </w:rPr>
              <w:t xml:space="preserve">4</w:t>
            </w:r>
            <w:r/>
          </w:p>
        </w:tc>
        <w:tc>
          <w:tcPr>
            <w:shd w:val="clear" w:color="auto" w:fill="auto"/>
            <w:tcW w:w="1015"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杆上变压器</w:t>
            </w:r>
            <w:r/>
          </w:p>
        </w:tc>
        <w:tc>
          <w:tcPr>
            <w:shd w:val="clear" w:color="auto" w:fill="auto"/>
            <w:tcW w:w="3484" w:type="pct"/>
            <w:vAlign w:val="center"/>
            <w:textDirection w:val="lrTb"/>
            <w:noWrap w:val="false"/>
          </w:tcPr>
          <w:p>
            <w:pPr>
              <w:numPr>
                <w:ilvl w:val="0"/>
                <w:numId w:val="2"/>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名称：台架变养护100KVA以内</w:t>
            </w:r>
            <w:r/>
          </w:p>
          <w:p>
            <w:pPr>
              <w:numPr>
                <w:ilvl w:val="0"/>
                <w:numId w:val="2"/>
              </w:num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2、养护内容：变压器巡视、变压器预防性试验、更换失效的熔断器、高压熔丝、避雷器等，满足供电局验收要求</w:t>
            </w:r>
            <w:r/>
          </w:p>
        </w:tc>
      </w:tr>
      <w:tr>
        <w:trPr>
          <w:trHeight w:val="939"/>
        </w:trPr>
        <w:tc>
          <w:tcPr>
            <w:shd w:val="clear" w:color="auto" w:fill="auto"/>
            <w:tcW w:w="500" w:type="pct"/>
            <w:textDirection w:val="lrTb"/>
            <w:noWrap w:val="false"/>
          </w:tcPr>
          <w:p>
            <w:pPr>
              <w:spacing w:line="350" w:lineRule="auto"/>
              <w:rPr>
                <w:sz w:val="20"/>
                <w:szCs w:val="22"/>
                <w:highlight w:val="none"/>
                <w:lang w:eastAsia="zh-CN"/>
              </w:rPr>
            </w:pPr>
            <w:r>
              <w:rPr>
                <w:sz w:val="20"/>
                <w:szCs w:val="22"/>
                <w:highlight w:val="none"/>
                <w:lang w:eastAsia="zh-CN"/>
              </w:rPr>
            </w:r>
            <w:r/>
          </w:p>
          <w:p>
            <w:pPr>
              <w:pStyle w:val="1195"/>
              <w:ind w:left="354"/>
              <w:spacing w:before="74" w:line="182" w:lineRule="auto"/>
              <w:rPr>
                <w:sz w:val="22"/>
                <w:szCs w:val="22"/>
                <w:highlight w:val="none"/>
              </w:rPr>
            </w:pPr>
            <w:r>
              <w:rPr>
                <w:sz w:val="22"/>
                <w:szCs w:val="22"/>
                <w:highlight w:val="none"/>
              </w:rPr>
              <w:t xml:space="preserve">5</w:t>
            </w:r>
            <w:r/>
          </w:p>
        </w:tc>
        <w:tc>
          <w:tcPr>
            <w:shd w:val="clear" w:color="auto" w:fill="auto"/>
            <w:tcW w:w="1015"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杆上变压器</w:t>
            </w:r>
            <w:r/>
          </w:p>
        </w:tc>
        <w:tc>
          <w:tcPr>
            <w:shd w:val="clear" w:color="auto" w:fill="auto"/>
            <w:tcW w:w="3484" w:type="pct"/>
            <w:vAlign w:val="center"/>
            <w:textDirection w:val="lrTb"/>
            <w:noWrap w:val="false"/>
          </w:tcPr>
          <w:p>
            <w:pPr>
              <w:numPr>
                <w:ilvl w:val="0"/>
                <w:numId w:val="3"/>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名称：台架变养护50KVA以内</w:t>
            </w:r>
            <w:r/>
          </w:p>
          <w:p>
            <w:pPr>
              <w:numPr>
                <w:ilvl w:val="0"/>
                <w:numId w:val="0"/>
              </w:num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2、养护内容：变压器巡视、变压器预防性试验、更换失效的熔断器、高压熔丝、避雷器等，满足供电局验收要求</w:t>
            </w:r>
            <w:r/>
          </w:p>
        </w:tc>
      </w:tr>
      <w:tr>
        <w:trPr>
          <w:trHeight w:val="938"/>
        </w:trPr>
        <w:tc>
          <w:tcPr>
            <w:shd w:val="clear" w:color="auto" w:fill="auto"/>
            <w:tcW w:w="500" w:type="pct"/>
            <w:textDirection w:val="lrTb"/>
            <w:noWrap w:val="false"/>
          </w:tcPr>
          <w:p>
            <w:pPr>
              <w:spacing w:line="349" w:lineRule="auto"/>
              <w:rPr>
                <w:sz w:val="20"/>
                <w:szCs w:val="22"/>
                <w:highlight w:val="none"/>
                <w:lang w:eastAsia="zh-CN"/>
              </w:rPr>
            </w:pPr>
            <w:r>
              <w:rPr>
                <w:sz w:val="20"/>
                <w:szCs w:val="22"/>
                <w:highlight w:val="none"/>
                <w:lang w:eastAsia="zh-CN"/>
              </w:rPr>
            </w:r>
            <w:r/>
          </w:p>
          <w:p>
            <w:pPr>
              <w:pStyle w:val="1195"/>
              <w:ind w:left="354"/>
              <w:spacing w:before="75" w:line="183" w:lineRule="auto"/>
              <w:rPr>
                <w:sz w:val="22"/>
                <w:szCs w:val="22"/>
                <w:highlight w:val="none"/>
              </w:rPr>
            </w:pPr>
            <w:r>
              <w:rPr>
                <w:sz w:val="22"/>
                <w:szCs w:val="22"/>
                <w:highlight w:val="none"/>
              </w:rPr>
              <w:t xml:space="preserve">6</w:t>
            </w:r>
            <w:r/>
          </w:p>
        </w:tc>
        <w:tc>
          <w:tcPr>
            <w:shd w:val="clear" w:color="auto" w:fill="auto"/>
            <w:tcW w:w="1015"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路灯养护</w:t>
            </w:r>
            <w:r/>
          </w:p>
        </w:tc>
        <w:tc>
          <w:tcPr>
            <w:shd w:val="clear" w:color="auto" w:fill="auto"/>
            <w:tcW w:w="3484" w:type="pct"/>
            <w:vAlign w:val="center"/>
            <w:textDirection w:val="lrTb"/>
            <w:noWrap w:val="false"/>
          </w:tcPr>
          <w:p>
            <w:pPr>
              <w:numPr>
                <w:ilvl w:val="0"/>
                <w:numId w:val="4"/>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名称：单挑灯养护（含各类型号及功率）</w:t>
            </w:r>
            <w:r/>
          </w:p>
          <w:p>
            <w:pPr>
              <w:numPr>
                <w:ilvl w:val="0"/>
                <w:numId w:val="0"/>
              </w:num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2、养护内容：巡视检修，更换损坏的灯杆、灯架、配电盒、灯具、电线等，测接地电阻和防腐刷漆。</w:t>
            </w:r>
            <w:r/>
          </w:p>
        </w:tc>
      </w:tr>
      <w:tr>
        <w:trPr>
          <w:trHeight w:val="934"/>
        </w:trPr>
        <w:tc>
          <w:tcPr>
            <w:shd w:val="clear" w:color="auto" w:fill="auto"/>
            <w:tcW w:w="500" w:type="pct"/>
            <w:textDirection w:val="lrTb"/>
            <w:noWrap w:val="false"/>
          </w:tcPr>
          <w:p>
            <w:pPr>
              <w:spacing w:line="343" w:lineRule="auto"/>
              <w:rPr>
                <w:sz w:val="20"/>
                <w:szCs w:val="22"/>
                <w:highlight w:val="none"/>
                <w:lang w:eastAsia="zh-CN"/>
              </w:rPr>
            </w:pPr>
            <w:r>
              <w:rPr>
                <w:sz w:val="20"/>
                <w:szCs w:val="22"/>
                <w:highlight w:val="none"/>
                <w:lang w:eastAsia="zh-CN"/>
              </w:rPr>
            </w:r>
            <w:r/>
          </w:p>
          <w:p>
            <w:pPr>
              <w:pStyle w:val="1195"/>
              <w:ind w:left="354"/>
              <w:spacing w:before="74" w:line="182" w:lineRule="auto"/>
              <w:rPr>
                <w:sz w:val="22"/>
                <w:szCs w:val="22"/>
                <w:highlight w:val="none"/>
              </w:rPr>
            </w:pPr>
            <w:r>
              <w:rPr>
                <w:sz w:val="22"/>
                <w:szCs w:val="22"/>
                <w:highlight w:val="none"/>
              </w:rPr>
              <w:t xml:space="preserve">7</w:t>
            </w:r>
            <w:r/>
          </w:p>
        </w:tc>
        <w:tc>
          <w:tcPr>
            <w:shd w:val="clear" w:color="auto" w:fill="auto"/>
            <w:tcW w:w="1015"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双挑灯养护</w:t>
            </w:r>
            <w:r/>
          </w:p>
        </w:tc>
        <w:tc>
          <w:tcPr>
            <w:shd w:val="clear" w:color="auto" w:fill="auto"/>
            <w:tcW w:w="3484" w:type="pct"/>
            <w:vAlign w:val="center"/>
            <w:textDirection w:val="lrTb"/>
            <w:noWrap w:val="false"/>
          </w:tcPr>
          <w:p>
            <w:pPr>
              <w:numPr>
                <w:ilvl w:val="0"/>
                <w:numId w:val="5"/>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名称：双挑灯养护（含各类型号及功率）</w:t>
            </w:r>
            <w:r/>
          </w:p>
          <w:p>
            <w:pPr>
              <w:numPr>
                <w:ilvl w:val="0"/>
                <w:numId w:val="0"/>
              </w:num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2、养护内容：巡视检修，更换损坏的灯杆、灯架、配电盒、灯具、电线等，测接地电阻和防腐刷漆。</w:t>
            </w:r>
            <w:r/>
          </w:p>
        </w:tc>
      </w:tr>
      <w:tr>
        <w:trPr>
          <w:trHeight w:val="934"/>
        </w:trPr>
        <w:tc>
          <w:tcPr>
            <w:shd w:val="clear" w:color="auto" w:fill="auto"/>
            <w:tcW w:w="500" w:type="pct"/>
            <w:textDirection w:val="lrTb"/>
            <w:noWrap w:val="false"/>
          </w:tcPr>
          <w:p>
            <w:pPr>
              <w:pStyle w:val="1195"/>
              <w:ind w:left="354"/>
              <w:spacing w:before="74" w:line="182" w:lineRule="auto"/>
              <w:rPr>
                <w:rFonts w:hint="eastAsia" w:eastAsia="宋体"/>
                <w:sz w:val="22"/>
                <w:szCs w:val="22"/>
                <w:highlight w:val="none"/>
                <w:lang w:val="en-US" w:eastAsia="zh-CN"/>
              </w:rPr>
            </w:pPr>
            <w:r>
              <w:rPr>
                <w:rFonts w:hint="eastAsia"/>
                <w:sz w:val="22"/>
                <w:szCs w:val="22"/>
                <w:highlight w:val="none"/>
                <w:lang w:val="en-US" w:eastAsia="zh-CN"/>
              </w:rPr>
              <w:t xml:space="preserve">8</w:t>
            </w:r>
            <w:r/>
          </w:p>
        </w:tc>
        <w:tc>
          <w:tcPr>
            <w:shd w:val="clear" w:color="auto" w:fill="auto"/>
            <w:tcW w:w="1015"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补角灯养护</w:t>
            </w:r>
            <w:r/>
          </w:p>
        </w:tc>
        <w:tc>
          <w:tcPr>
            <w:shd w:val="clear" w:color="auto" w:fill="auto"/>
            <w:tcW w:w="3484" w:type="pct"/>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名称：补角灯养护（含各类型号及功率）</w:t>
            </w:r>
            <w:r/>
          </w:p>
          <w:p>
            <w:pPr>
              <w:numPr>
                <w:ilvl w:val="0"/>
                <w:numId w:val="0"/>
              </w:num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2、养护内容：巡视检修，更换损坏的灯杆、灯架、配电盒、灯具、电线等，测接地电阻和防腐刷漆。</w:t>
            </w:r>
            <w:r/>
          </w:p>
        </w:tc>
      </w:tr>
      <w:tr>
        <w:trPr>
          <w:trHeight w:val="934"/>
        </w:trPr>
        <w:tc>
          <w:tcPr>
            <w:shd w:val="clear" w:color="auto" w:fill="auto"/>
            <w:tcW w:w="500" w:type="pct"/>
            <w:textDirection w:val="lrTb"/>
            <w:noWrap w:val="false"/>
          </w:tcPr>
          <w:p>
            <w:pPr>
              <w:pStyle w:val="1195"/>
              <w:ind w:left="354"/>
              <w:spacing w:before="74" w:line="182" w:lineRule="auto"/>
              <w:rPr>
                <w:rFonts w:hint="eastAsia" w:eastAsia="宋体"/>
                <w:sz w:val="22"/>
                <w:szCs w:val="22"/>
                <w:highlight w:val="none"/>
                <w:lang w:val="en-US" w:eastAsia="zh-CN"/>
              </w:rPr>
            </w:pPr>
            <w:r>
              <w:rPr>
                <w:rFonts w:hint="eastAsia"/>
                <w:sz w:val="22"/>
                <w:szCs w:val="22"/>
                <w:highlight w:val="none"/>
                <w:lang w:val="en-US" w:eastAsia="zh-CN"/>
              </w:rPr>
              <w:t xml:space="preserve">9</w:t>
            </w:r>
            <w:r/>
          </w:p>
        </w:tc>
        <w:tc>
          <w:tcPr>
            <w:shd w:val="clear" w:color="auto" w:fill="auto"/>
            <w:tcW w:w="1015" w:type="pct"/>
            <w:vAlign w:val="center"/>
            <w:textDirection w:val="lrTb"/>
            <w:noWrap w:val="false"/>
          </w:tcPr>
          <w:p>
            <w:pPr>
              <w:jc w:val="both"/>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高杆路灯养护</w:t>
            </w:r>
            <w:r/>
          </w:p>
        </w:tc>
        <w:tc>
          <w:tcPr>
            <w:shd w:val="clear" w:color="auto" w:fill="auto"/>
            <w:tcW w:w="3484"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1、广场灯养护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2、养护内容：巡视检修，更换损坏的灯杆、灯架、灯具，测电阻。</w:t>
            </w:r>
            <w:r/>
          </w:p>
        </w:tc>
      </w:tr>
    </w:tbl>
    <w:p>
      <w:pPr>
        <w:pStyle w:val="797"/>
        <w:ind w:left="625"/>
        <w:spacing w:before="15" w:line="219" w:lineRule="auto"/>
        <w:rPr>
          <w:spacing w:val="2"/>
          <w:sz w:val="24"/>
          <w:szCs w:val="24"/>
          <w:highlight w:val="none"/>
        </w:rPr>
      </w:pPr>
      <w:r>
        <w:rPr>
          <w:spacing w:val="2"/>
          <w:sz w:val="24"/>
          <w:szCs w:val="24"/>
          <w:highlight w:val="none"/>
        </w:rPr>
      </w:r>
      <w:r/>
    </w:p>
    <w:p>
      <w:pPr>
        <w:ind w:left="0" w:firstLine="420"/>
        <w:pageBreakBefore w:val="0"/>
        <w:spacing w:line="360" w:lineRule="auto"/>
        <w:tabs>
          <w:tab w:val="left" w:pos="567" w:leader="none"/>
        </w:tabs>
        <w:rPr>
          <w:rFonts w:hint="eastAsia" w:ascii="Times New Roman" w:hAnsi="Times New Roman" w:eastAsia="宋体" w:cs="Times New Roman"/>
          <w:color w:val="auto"/>
          <w:sz w:val="21"/>
          <w:highlight w:val="none"/>
          <w:lang w:eastAsia="zh-CN"/>
        </w:rPr>
      </w:pPr>
      <w:r>
        <w:rPr>
          <w:rFonts w:hint="eastAsia" w:cs="Times New Roman"/>
          <w:color w:val="auto"/>
          <w:sz w:val="21"/>
          <w:highlight w:val="none"/>
          <w:lang w:eastAsia="zh-CN"/>
        </w:rPr>
        <w:t xml:space="preserve">（</w:t>
      </w:r>
      <w:r>
        <w:rPr>
          <w:rFonts w:hint="eastAsia" w:cs="Times New Roman"/>
          <w:color w:val="auto"/>
          <w:sz w:val="21"/>
          <w:highlight w:val="none"/>
          <w:lang w:val="en-US" w:eastAsia="zh-CN"/>
        </w:rPr>
        <w:t xml:space="preserve">2）</w:t>
      </w:r>
      <w:r>
        <w:rPr>
          <w:rFonts w:hint="eastAsia" w:ascii="Times New Roman" w:hAnsi="Times New Roman" w:eastAsia="宋体" w:cs="Times New Roman"/>
          <w:color w:val="auto"/>
          <w:sz w:val="21"/>
          <w:highlight w:val="none"/>
          <w:lang w:eastAsia="zh-CN"/>
        </w:rPr>
        <w:t xml:space="preserve">景观灯养护</w:t>
      </w:r>
      <w:r/>
    </w:p>
    <w:tbl>
      <w:tblPr>
        <w:tblStyle w:val="1219"/>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832"/>
        <w:gridCol w:w="1695"/>
        <w:gridCol w:w="5762"/>
      </w:tblGrid>
      <w:tr>
        <w:trPr>
          <w:trHeight w:val="314"/>
        </w:trPr>
        <w:tc>
          <w:tcPr>
            <w:shd w:val="clear" w:color="auto" w:fill="auto"/>
            <w:tcW w:w="502" w:type="pct"/>
            <w:textDirection w:val="lrTb"/>
            <w:noWrap w:val="false"/>
          </w:tcPr>
          <w:p>
            <w:pPr>
              <w:pStyle w:val="1195"/>
              <w:ind w:left="174"/>
              <w:spacing w:before="46" w:line="198" w:lineRule="auto"/>
              <w:rPr>
                <w:sz w:val="22"/>
                <w:szCs w:val="22"/>
                <w:highlight w:val="none"/>
              </w:rPr>
            </w:pPr>
            <w:r>
              <w:rPr>
                <w:spacing w:val="7"/>
                <w:sz w:val="22"/>
                <w:szCs w:val="22"/>
                <w:highlight w:val="none"/>
              </w:rPr>
              <w:t xml:space="preserve">序号</w:t>
            </w:r>
            <w:r/>
          </w:p>
        </w:tc>
        <w:tc>
          <w:tcPr>
            <w:shd w:val="clear" w:color="auto" w:fill="auto"/>
            <w:tcW w:w="1022" w:type="pct"/>
            <w:textDirection w:val="lrTb"/>
            <w:noWrap w:val="false"/>
          </w:tcPr>
          <w:p>
            <w:pPr>
              <w:pStyle w:val="1195"/>
              <w:spacing w:before="45" w:line="199" w:lineRule="auto"/>
              <w:rPr>
                <w:sz w:val="22"/>
                <w:szCs w:val="22"/>
                <w:highlight w:val="none"/>
              </w:rPr>
            </w:pPr>
            <w:r>
              <w:rPr>
                <w:spacing w:val="11"/>
                <w:sz w:val="22"/>
                <w:szCs w:val="22"/>
                <w:highlight w:val="none"/>
              </w:rPr>
              <w:t xml:space="preserve">工作项目</w:t>
            </w:r>
            <w:r/>
          </w:p>
        </w:tc>
        <w:tc>
          <w:tcPr>
            <w:shd w:val="clear" w:color="auto" w:fill="auto"/>
            <w:tcW w:w="3475" w:type="pct"/>
            <w:textDirection w:val="lrTb"/>
            <w:noWrap w:val="false"/>
          </w:tcPr>
          <w:p>
            <w:pPr>
              <w:pStyle w:val="1195"/>
              <w:ind w:left="2024"/>
              <w:spacing w:before="45" w:line="199" w:lineRule="auto"/>
              <w:rPr>
                <w:sz w:val="22"/>
                <w:szCs w:val="22"/>
                <w:highlight w:val="none"/>
              </w:rPr>
            </w:pPr>
            <w:r>
              <w:rPr>
                <w:spacing w:val="3"/>
                <w:sz w:val="22"/>
                <w:szCs w:val="22"/>
                <w:highlight w:val="none"/>
              </w:rPr>
              <w:t xml:space="preserve">工作内容</w:t>
            </w:r>
            <w:r/>
          </w:p>
        </w:tc>
      </w:tr>
      <w:tr>
        <w:trPr>
          <w:trHeight w:val="1147"/>
        </w:trPr>
        <w:tc>
          <w:tcPr>
            <w:shd w:val="clear" w:color="auto" w:fill="auto"/>
            <w:tcW w:w="502" w:type="pct"/>
            <w:textDirection w:val="lrTb"/>
            <w:noWrap w:val="false"/>
          </w:tcPr>
          <w:p>
            <w:pPr>
              <w:spacing w:line="440" w:lineRule="auto"/>
              <w:rPr>
                <w:sz w:val="20"/>
                <w:szCs w:val="22"/>
                <w:highlight w:val="none"/>
              </w:rPr>
            </w:pPr>
            <w:r>
              <w:rPr>
                <w:sz w:val="20"/>
                <w:szCs w:val="22"/>
                <w:highlight w:val="none"/>
              </w:rPr>
            </w:r>
            <w:r/>
          </w:p>
          <w:p>
            <w:pPr>
              <w:pStyle w:val="1195"/>
              <w:ind w:left="354"/>
              <w:spacing w:before="78" w:line="184" w:lineRule="auto"/>
              <w:rPr>
                <w:sz w:val="22"/>
                <w:szCs w:val="22"/>
                <w:highlight w:val="none"/>
              </w:rPr>
            </w:pPr>
            <w:r>
              <w:rPr>
                <w:sz w:val="22"/>
                <w:szCs w:val="22"/>
                <w:highlight w:val="none"/>
              </w:rPr>
              <w:t xml:space="preserve">1</w:t>
            </w:r>
            <w:r/>
          </w:p>
        </w:tc>
        <w:tc>
          <w:tcPr>
            <w:shd w:val="clear" w:color="auto" w:fill="auto"/>
            <w:tcW w:w="1022"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景观照明灯</w:t>
            </w:r>
            <w:r/>
          </w:p>
        </w:tc>
        <w:tc>
          <w:tcPr>
            <w:shd w:val="clear" w:color="auto" w:fill="auto"/>
            <w:tcW w:w="3475" w:type="pct"/>
            <w:vAlign w:val="center"/>
            <w:textDirection w:val="lrTb"/>
            <w:noWrap w:val="false"/>
          </w:tcPr>
          <w:p>
            <w:p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1、名称：庭院灯养护（含各类功率及型号）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2、养护内容：更换失效的光源、灯头、灯具、电线、灯杆灯盘；巡视，测电阻</w:t>
            </w:r>
            <w:r/>
          </w:p>
        </w:tc>
      </w:tr>
      <w:tr>
        <w:trPr>
          <w:trHeight w:val="1137"/>
        </w:trPr>
        <w:tc>
          <w:tcPr>
            <w:shd w:val="clear" w:color="auto" w:fill="auto"/>
            <w:tcW w:w="502" w:type="pct"/>
            <w:textDirection w:val="lrTb"/>
            <w:noWrap w:val="false"/>
          </w:tcPr>
          <w:p>
            <w:pPr>
              <w:spacing w:line="435" w:lineRule="auto"/>
              <w:rPr>
                <w:sz w:val="20"/>
                <w:szCs w:val="22"/>
                <w:highlight w:val="none"/>
                <w:lang w:eastAsia="zh-CN"/>
              </w:rPr>
            </w:pPr>
            <w:r>
              <w:rPr>
                <w:sz w:val="20"/>
                <w:szCs w:val="22"/>
                <w:highlight w:val="none"/>
                <w:lang w:eastAsia="zh-CN"/>
              </w:rPr>
            </w:r>
            <w:r/>
          </w:p>
          <w:p>
            <w:pPr>
              <w:pStyle w:val="1195"/>
              <w:ind w:left="354"/>
              <w:spacing w:before="78" w:line="183" w:lineRule="auto"/>
              <w:rPr>
                <w:sz w:val="22"/>
                <w:szCs w:val="22"/>
                <w:highlight w:val="none"/>
              </w:rPr>
            </w:pPr>
            <w:r>
              <w:rPr>
                <w:sz w:val="22"/>
                <w:szCs w:val="22"/>
                <w:highlight w:val="none"/>
              </w:rPr>
              <w:t xml:space="preserve">2</w:t>
            </w:r>
            <w:r/>
          </w:p>
        </w:tc>
        <w:tc>
          <w:tcPr>
            <w:shd w:val="clear" w:color="auto" w:fill="auto"/>
            <w:tcW w:w="1022"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景观灯养护</w:t>
            </w:r>
            <w:r/>
          </w:p>
        </w:tc>
        <w:tc>
          <w:tcPr>
            <w:shd w:val="clear" w:color="auto" w:fill="auto"/>
            <w:tcW w:w="3475" w:type="pct"/>
            <w:vAlign w:val="center"/>
            <w:textDirection w:val="lrTb"/>
            <w:noWrap w:val="false"/>
          </w:tcPr>
          <w:p>
            <w:p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1、名称：投光灯、射树灯、地埋灯、点光源、线条灯、栏杆灯、洗墙灯等养护（含各类功率及型号）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2、养护内容：更换失效的LED光源、电气组件、散热器、熔断器、灯头、灯具、巡视，测电阻、灯具试亮</w:t>
            </w:r>
            <w:r/>
          </w:p>
        </w:tc>
      </w:tr>
      <w:tr>
        <w:trPr>
          <w:trHeight w:val="833"/>
        </w:trPr>
        <w:tc>
          <w:tcPr>
            <w:shd w:val="clear" w:color="auto" w:fill="auto"/>
            <w:tcW w:w="502" w:type="pct"/>
            <w:textDirection w:val="lrTb"/>
            <w:noWrap w:val="false"/>
          </w:tcPr>
          <w:p>
            <w:pPr>
              <w:spacing w:line="290" w:lineRule="auto"/>
              <w:rPr>
                <w:sz w:val="20"/>
                <w:szCs w:val="22"/>
                <w:highlight w:val="none"/>
                <w:lang w:eastAsia="zh-CN"/>
              </w:rPr>
            </w:pPr>
            <w:r>
              <w:rPr>
                <w:sz w:val="20"/>
                <w:szCs w:val="22"/>
                <w:highlight w:val="none"/>
                <w:lang w:eastAsia="zh-CN"/>
              </w:rPr>
            </w:r>
            <w:r/>
          </w:p>
          <w:p>
            <w:pPr>
              <w:pStyle w:val="1195"/>
              <w:ind w:left="354"/>
              <w:spacing w:before="78" w:line="183" w:lineRule="auto"/>
              <w:rPr>
                <w:rFonts w:hint="eastAsia" w:eastAsia="宋体"/>
                <w:sz w:val="22"/>
                <w:szCs w:val="22"/>
                <w:highlight w:val="none"/>
                <w:lang w:eastAsia="zh-CN"/>
              </w:rPr>
            </w:pPr>
            <w:r>
              <w:rPr>
                <w:rFonts w:hint="eastAsia"/>
                <w:sz w:val="22"/>
                <w:szCs w:val="22"/>
                <w:highlight w:val="none"/>
                <w:lang w:val="en-US" w:eastAsia="zh-CN"/>
              </w:rPr>
              <w:t xml:space="preserve">3</w:t>
            </w:r>
            <w:r/>
          </w:p>
        </w:tc>
        <w:tc>
          <w:tcPr>
            <w:shd w:val="clear" w:color="auto" w:fill="auto"/>
            <w:tcW w:w="1022" w:type="pct"/>
            <w:vAlign w:val="center"/>
            <w:textDirection w:val="lrTb"/>
            <w:noWrap w:val="false"/>
          </w:tcPr>
          <w:p>
            <w:pPr>
              <w:jc w:val="both"/>
              <w:keepLines w:val="0"/>
              <w:keepNext w:val="0"/>
              <w:widowControl/>
              <w:rPr>
                <w:sz w:val="22"/>
                <w:szCs w:val="22"/>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景观灯养护</w:t>
            </w:r>
            <w:r/>
          </w:p>
        </w:tc>
        <w:tc>
          <w:tcPr>
            <w:shd w:val="clear" w:color="auto" w:fill="auto"/>
            <w:tcW w:w="3475" w:type="pct"/>
            <w:vAlign w:val="center"/>
            <w:textDirection w:val="lrTb"/>
            <w:noWrap w:val="false"/>
          </w:tcPr>
          <w:p>
            <w:pPr>
              <w:jc w:val="left"/>
              <w:keepLines w:val="0"/>
              <w:keepNext w:val="0"/>
              <w:widowControl/>
              <w:rPr>
                <w:sz w:val="22"/>
                <w:szCs w:val="22"/>
                <w:highlight w:val="none"/>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1、名称：草坪灯养护（含各类功率及型号）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2、养护内容：更换失效的LED光源、电气组件、散热器、熔断器、灯头、灯具、巡视，测电阻、灯具试亮</w:t>
            </w:r>
            <w:r/>
          </w:p>
        </w:tc>
      </w:tr>
    </w:tbl>
    <w:p>
      <w:pPr>
        <w:spacing w:line="129" w:lineRule="auto"/>
        <w:rPr>
          <w:sz w:val="2"/>
          <w:highlight w:val="none"/>
          <w:lang w:eastAsia="zh-CN"/>
        </w:rPr>
      </w:pPr>
      <w:r>
        <w:rPr>
          <w:sz w:val="2"/>
          <w:highlight w:val="none"/>
          <w:lang w:eastAsia="zh-CN"/>
        </w:rPr>
      </w:r>
      <w:r/>
    </w:p>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r>
      <w:r/>
    </w:p>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w:t>
      </w:r>
      <w:r>
        <w:rPr>
          <w:rFonts w:hint="eastAsia" w:cs="Times New Roman"/>
          <w:color w:val="auto"/>
          <w:sz w:val="21"/>
          <w:highlight w:val="none"/>
          <w:lang w:val="en-US" w:eastAsia="zh-CN"/>
        </w:rPr>
        <w:t xml:space="preserve">三</w:t>
      </w:r>
      <w:r>
        <w:rPr>
          <w:rFonts w:hint="eastAsia" w:ascii="Times New Roman" w:hAnsi="Times New Roman" w:eastAsia="Times New Roman" w:cs="Times New Roman"/>
          <w:color w:val="auto"/>
          <w:sz w:val="21"/>
          <w:highlight w:val="none"/>
        </w:rPr>
        <w:t xml:space="preserve">）人员、设备要求：</w:t>
      </w:r>
      <w:r/>
    </w:p>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宋体" w:cs="Times New Roman"/>
          <w:color w:val="auto"/>
          <w:sz w:val="21"/>
          <w:highlight w:val="none"/>
          <w:lang w:val="en-US" w:eastAsia="zh-CN"/>
        </w:rPr>
        <w:t xml:space="preserve">1、</w:t>
      </w:r>
      <w:r>
        <w:rPr>
          <w:rFonts w:hint="eastAsia" w:ascii="Times New Roman" w:hAnsi="Times New Roman" w:eastAsia="Times New Roman" w:cs="Times New Roman"/>
          <w:color w:val="auto"/>
          <w:sz w:val="21"/>
          <w:highlight w:val="none"/>
        </w:rPr>
        <w:t xml:space="preserve">投入本项目人员要求：须配备项目负责人1名；除项目负责人外：至少须配备专职养护人员（同时具备高空作业证和电工证）不少于6名；安全员（安全员证）不少于1名；</w:t>
      </w:r>
      <w:r/>
    </w:p>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宋体" w:cs="Times New Roman"/>
          <w:color w:val="auto"/>
          <w:sz w:val="21"/>
          <w:highlight w:val="none"/>
          <w:lang w:val="en-US" w:eastAsia="zh-CN"/>
        </w:rPr>
        <w:t xml:space="preserve">2、</w:t>
      </w:r>
      <w:r>
        <w:rPr>
          <w:rFonts w:hint="eastAsia" w:ascii="Times New Roman" w:hAnsi="Times New Roman" w:eastAsia="Times New Roman" w:cs="Times New Roman"/>
          <w:color w:val="auto"/>
          <w:sz w:val="21"/>
          <w:highlight w:val="none"/>
        </w:rPr>
        <w:t xml:space="preserve">车辆要求：</w:t>
      </w:r>
      <w:r/>
    </w:p>
    <w:tbl>
      <w:tblPr>
        <w:tblStyle w:val="79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1598"/>
        <w:gridCol w:w="3462"/>
        <w:gridCol w:w="876"/>
        <w:gridCol w:w="1622"/>
      </w:tblGrid>
      <w:tr>
        <w:trPr>
          <w:trHeight w:val="23"/>
        </w:trPr>
        <w:tc>
          <w:tcPr>
            <w:shd w:val="clear" w:color="auto" w:fill="auto"/>
            <w:tcBorders>
              <w:top w:val="single" w:color="auto" w:sz="4" w:space="0"/>
              <w:left w:val="single" w:color="auto" w:sz="4" w:space="0"/>
              <w:bottom w:val="single" w:color="auto" w:sz="4" w:space="0"/>
              <w:right w:val="single" w:color="auto" w:sz="4" w:space="0"/>
            </w:tcBorders>
            <w:tcW w:w="384" w:type="pct"/>
            <w:vAlign w:val="top"/>
            <w:textDirection w:val="lrTb"/>
            <w:noWrap w:val="false"/>
          </w:tcPr>
          <w:p>
            <w:pPr>
              <w:ind w:left="0" w:firstLine="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978" w:type="pct"/>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种类</w:t>
            </w:r>
            <w:r/>
          </w:p>
        </w:tc>
        <w:tc>
          <w:tcPr>
            <w:shd w:val="clear" w:color="auto" w:fill="auto"/>
            <w:tcBorders>
              <w:top w:val="single" w:color="auto" w:sz="4" w:space="0"/>
              <w:left w:val="none" w:color="000000" w:sz="4" w:space="0"/>
              <w:bottom w:val="single" w:color="auto" w:sz="4" w:space="0"/>
              <w:right w:val="single" w:color="auto" w:sz="4" w:space="0"/>
            </w:tcBorders>
            <w:tcW w:w="2100" w:type="pct"/>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要求</w:t>
            </w:r>
            <w:r/>
          </w:p>
        </w:tc>
        <w:tc>
          <w:tcPr>
            <w:shd w:val="clear" w:color="auto" w:fill="auto"/>
            <w:tcBorders>
              <w:top w:val="single" w:color="auto" w:sz="4" w:space="0"/>
              <w:left w:val="none" w:color="000000" w:sz="4" w:space="0"/>
              <w:bottom w:val="single" w:color="auto" w:sz="4" w:space="0"/>
              <w:right w:val="single" w:color="auto" w:sz="4" w:space="0"/>
            </w:tcBorders>
            <w:tcW w:w="543" w:type="pct"/>
            <w:vAlign w:val="top"/>
            <w:textDirection w:val="lrTb"/>
            <w:noWrap w:val="false"/>
          </w:tcPr>
          <w:p>
            <w:pPr>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92" w:type="pct"/>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备注</w:t>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774"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72" w:type="dxa"/>
            <w:vAlign w:val="top"/>
            <w:textDirection w:val="lrTb"/>
            <w:noWrap w:val="false"/>
          </w:tcPr>
          <w:p>
            <w:pPr>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登高作业车</w:t>
            </w:r>
            <w:r/>
          </w:p>
        </w:tc>
        <w:tc>
          <w:tcPr>
            <w:shd w:val="clear" w:color="auto" w:fill="auto"/>
            <w:tcBorders>
              <w:top w:val="single" w:color="auto" w:sz="4" w:space="0"/>
              <w:left w:val="none" w:color="000000" w:sz="4" w:space="0"/>
              <w:bottom w:val="single" w:color="auto" w:sz="4" w:space="0"/>
              <w:right w:val="single" w:color="auto" w:sz="4" w:space="0"/>
            </w:tcBorders>
            <w:tcW w:w="4234" w:type="dxa"/>
            <w:vAlign w:val="top"/>
            <w:textDirection w:val="lrTb"/>
            <w:noWrap w:val="false"/>
          </w:tcPr>
          <w:p>
            <w:pPr>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作业高度</w:t>
            </w:r>
            <w:r>
              <w:rPr>
                <w:rFonts w:hint="eastAsia" w:cs="Times New Roman"/>
                <w:color w:val="auto"/>
                <w:sz w:val="21"/>
                <w:highlight w:val="none"/>
                <w:lang w:val="en-US" w:eastAsia="zh-CN"/>
              </w:rPr>
              <w:t xml:space="preserve">20</w:t>
            </w:r>
            <w:r>
              <w:rPr>
                <w:rFonts w:hint="eastAsia" w:ascii="Times New Roman" w:hAnsi="Times New Roman" w:eastAsia="Times New Roman" w:cs="Times New Roman"/>
                <w:color w:val="auto"/>
                <w:sz w:val="21"/>
                <w:highlight w:val="none"/>
              </w:rPr>
              <w:t xml:space="preserve">米（含）以上</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001"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774"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72" w:type="dxa"/>
            <w:vAlign w:val="top"/>
            <w:textDirection w:val="lrTb"/>
            <w:noWrap w:val="false"/>
          </w:tcPr>
          <w:p>
            <w:pPr>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货车</w:t>
            </w:r>
            <w:r/>
          </w:p>
        </w:tc>
        <w:tc>
          <w:tcPr>
            <w:shd w:val="clear" w:color="auto" w:fill="auto"/>
            <w:tcBorders>
              <w:top w:val="single" w:color="auto" w:sz="4" w:space="0"/>
              <w:left w:val="none" w:color="000000" w:sz="4" w:space="0"/>
              <w:bottom w:val="single" w:color="auto" w:sz="4" w:space="0"/>
              <w:right w:val="single" w:color="auto" w:sz="4" w:space="0"/>
            </w:tcBorders>
            <w:tcW w:w="4234" w:type="dxa"/>
            <w:vAlign w:val="top"/>
            <w:textDirection w:val="lrTb"/>
            <w:noWrap w:val="false"/>
          </w:tcPr>
          <w:p>
            <w:pPr>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lang w:val="en-US" w:eastAsia="zh-CN"/>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001"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r>
            <w:r/>
          </w:p>
        </w:tc>
      </w:tr>
      <w:tr>
        <w:trPr>
          <w:trHeight w:val="23"/>
        </w:trPr>
        <w:tc>
          <w:tcPr>
            <w:shd w:val="clear" w:color="auto" w:fill="auto"/>
            <w:tcBorders>
              <w:top w:val="single" w:color="auto" w:sz="4" w:space="0"/>
              <w:left w:val="single" w:color="auto" w:sz="4" w:space="0"/>
              <w:bottom w:val="single" w:color="auto" w:sz="4" w:space="0"/>
              <w:right w:val="single" w:color="auto" w:sz="4" w:space="0"/>
            </w:tcBorders>
            <w:tcW w:w="774"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72" w:type="dxa"/>
            <w:vAlign w:val="top"/>
            <w:textDirection w:val="lrTb"/>
            <w:noWrap w:val="false"/>
          </w:tcPr>
          <w:p>
            <w:pPr>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巡查车</w:t>
            </w:r>
            <w:r/>
          </w:p>
        </w:tc>
        <w:tc>
          <w:tcPr>
            <w:shd w:val="clear" w:color="auto" w:fill="auto"/>
            <w:tcBorders>
              <w:top w:val="single" w:color="auto" w:sz="4" w:space="0"/>
              <w:left w:val="none" w:color="000000" w:sz="4" w:space="0"/>
              <w:bottom w:val="single" w:color="auto" w:sz="4" w:space="0"/>
              <w:right w:val="single" w:color="auto" w:sz="4" w:space="0"/>
            </w:tcBorders>
            <w:tcW w:w="4234" w:type="dxa"/>
            <w:vAlign w:val="top"/>
            <w:textDirection w:val="lrTb"/>
            <w:noWrap w:val="false"/>
          </w:tcPr>
          <w:p>
            <w:pPr>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7座及以下</w:t>
            </w:r>
            <w:r/>
          </w:p>
        </w:tc>
        <w:tc>
          <w:tcPr>
            <w:shd w:val="clear" w:color="auto" w:fill="auto"/>
            <w:tcBorders>
              <w:top w:val="single" w:color="auto" w:sz="4" w:space="0"/>
              <w:left w:val="none" w:color="000000" w:sz="4" w:space="0"/>
              <w:bottom w:val="single" w:color="auto" w:sz="4" w:space="0"/>
              <w:right w:val="single" w:color="auto" w:sz="4" w:space="0"/>
            </w:tcBorders>
            <w:tcW w:w="1095" w:type="dxa"/>
            <w:vAlign w:val="top"/>
            <w:textDirection w:val="lrTb"/>
            <w:noWrap w:val="false"/>
          </w:tcPr>
          <w:p>
            <w:pPr>
              <w:ind w:left="0" w:firstLine="420"/>
              <w:pageBreakBefore w:val="0"/>
              <w:spacing w:line="360" w:lineRule="auto"/>
              <w:tabs>
                <w:tab w:val="left" w:pos="567" w:leader="none"/>
              </w:tabs>
              <w:rPr>
                <w:rFonts w:hint="default" w:ascii="Times New Roman" w:hAnsi="Times New Roman" w:eastAsia="宋体" w:cs="Times New Roman"/>
                <w:color w:val="auto"/>
                <w:sz w:val="21"/>
                <w:highlight w:val="none"/>
                <w:lang w:val="en-US" w:eastAsia="zh-CN"/>
              </w:rPr>
            </w:pPr>
            <w:r>
              <w:rPr>
                <w:rFonts w:hint="eastAsia" w:cs="Times New Roman"/>
                <w:color w:val="auto"/>
                <w:sz w:val="21"/>
                <w:highlight w:val="none"/>
                <w:lang w:val="en-US" w:eastAsia="zh-CN"/>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001" w:type="dxa"/>
            <w:vAlign w:val="top"/>
            <w:textDirection w:val="lrTb"/>
            <w:noWrap w:val="false"/>
          </w:tcPr>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r>
            <w:r/>
          </w:p>
        </w:tc>
      </w:tr>
    </w:tbl>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r>
      <w:r/>
    </w:p>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w:t>
      </w:r>
      <w:r>
        <w:rPr>
          <w:rFonts w:hint="eastAsia" w:cs="Times New Roman"/>
          <w:color w:val="auto"/>
          <w:sz w:val="21"/>
          <w:highlight w:val="none"/>
          <w:lang w:val="en-US" w:eastAsia="zh-CN"/>
        </w:rPr>
        <w:t xml:space="preserve">四</w:t>
      </w:r>
      <w:r>
        <w:rPr>
          <w:rFonts w:hint="eastAsia" w:ascii="Times New Roman" w:hAnsi="Times New Roman" w:eastAsia="宋体" w:cs="Times New Roman"/>
          <w:color w:val="auto"/>
          <w:sz w:val="21"/>
          <w:highlight w:val="none"/>
          <w:lang w:val="en-US" w:eastAsia="zh-CN"/>
        </w:rPr>
        <w:t xml:space="preserve">）</w:t>
      </w:r>
      <w:r>
        <w:rPr>
          <w:rFonts w:hint="eastAsia" w:ascii="Times New Roman" w:hAnsi="Times New Roman" w:eastAsia="Times New Roman" w:cs="Times New Roman"/>
          <w:color w:val="auto"/>
          <w:sz w:val="21"/>
          <w:highlight w:val="none"/>
        </w:rPr>
        <w:t xml:space="preserve">服务期限：2026年11月19日---2028年11月18日（具体时间以采购单位书面通知为准，服务期限2年）。</w:t>
      </w:r>
      <w:r/>
    </w:p>
    <w:p>
      <w:pPr>
        <w:ind w:left="0" w:firstLine="420"/>
        <w:pageBreakBefore w:val="0"/>
        <w:spacing w:line="360" w:lineRule="auto"/>
        <w:tabs>
          <w:tab w:val="left" w:pos="567" w:leader="none"/>
        </w:tabs>
        <w:rPr>
          <w:rFonts w:hint="eastAsia" w:ascii="Times New Roman" w:hAnsi="Times New Roman" w:eastAsia="Times New Roman" w:cs="Times New Roman"/>
          <w:color w:val="auto"/>
          <w:sz w:val="21"/>
          <w:highlight w:val="none"/>
        </w:rPr>
      </w:pPr>
      <w:r>
        <w:rPr>
          <w:rFonts w:hint="eastAsia" w:ascii="Times New Roman" w:hAnsi="Times New Roman" w:eastAsia="Times New Roman" w:cs="Times New Roman"/>
          <w:color w:val="auto"/>
          <w:sz w:val="21"/>
          <w:highlight w:val="none"/>
        </w:rPr>
      </w:r>
      <w:r/>
    </w:p>
    <w:p>
      <w:pPr>
        <w:ind w:left="0" w:firstLine="420"/>
        <w:pageBreakBefore w:val="0"/>
        <w:spacing w:line="360" w:lineRule="auto"/>
        <w:tabs>
          <w:tab w:val="left" w:pos="420"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七、综合说明</w:t>
      </w:r>
      <w:r/>
    </w:p>
    <w:p>
      <w:pPr>
        <w:ind w:left="0" w:firstLine="420"/>
        <w:pageBreakBefore w:val="0"/>
        <w:spacing w:line="360" w:lineRule="auto"/>
        <w:tabs>
          <w:tab w:val="left" w:pos="0" w:leader="none"/>
        </w:tabs>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投标人按照招标文件的要求提交投标文件，并对所提供的全部资料的真实性承担法律责任。</w:t>
      </w:r>
      <w:r/>
    </w:p>
    <w:p>
      <w:pPr>
        <w:ind w:left="0" w:firstLine="420"/>
        <w:pageBreakBefore w:val="0"/>
        <w:spacing w:line="360" w:lineRule="auto"/>
        <w:tabs>
          <w:tab w:val="left" w:pos="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rPr>
        <w:t xml:space="preserve">、</w:t>
      </w:r>
      <w:r>
        <w:rPr>
          <w:rFonts w:hint="eastAsia" w:ascii="宋体" w:hAnsi="宋体"/>
          <w:color w:val="auto"/>
          <w:sz w:val="21"/>
          <w:highlight w:val="none"/>
          <w:lang w:eastAsia="zh-CN"/>
        </w:rPr>
        <w:t xml:space="preserve">中标单位（成交供应商）</w:t>
      </w:r>
      <w:r>
        <w:rPr>
          <w:rFonts w:hint="eastAsia" w:ascii="宋体" w:hAnsi="宋体"/>
          <w:color w:val="auto"/>
          <w:sz w:val="21"/>
          <w:highlight w:val="none"/>
        </w:rPr>
        <w:t xml:space="preserve">将根据招标文件、投标文件的相关约定，承担合同责任，履行合同义务。</w:t>
      </w:r>
      <w:r>
        <w:rPr>
          <w:rFonts w:hint="eastAsia" w:ascii="宋体" w:hAnsi="宋体" w:cs="宋体"/>
          <w:color w:val="auto"/>
          <w:sz w:val="21"/>
          <w:highlight w:val="none"/>
          <w:lang w:eastAsia="zh-CN"/>
        </w:rPr>
        <w:t xml:space="preserve">中标单位（成交供应商）</w:t>
      </w:r>
      <w:r>
        <w:rPr>
          <w:rFonts w:hint="eastAsia" w:ascii="宋体" w:hAnsi="宋体" w:eastAsia="宋体" w:cs="宋体"/>
          <w:color w:val="auto"/>
          <w:sz w:val="21"/>
          <w:highlight w:val="none"/>
        </w:rPr>
        <w:t xml:space="preserve">应服从</w:t>
      </w:r>
      <w:r>
        <w:rPr>
          <w:rFonts w:hint="eastAsia" w:ascii="宋体" w:hAnsi="宋体" w:cs="宋体"/>
          <w:color w:val="auto"/>
          <w:sz w:val="21"/>
          <w:highlight w:val="none"/>
          <w:lang w:eastAsia="zh-CN"/>
        </w:rPr>
        <w:t xml:space="preserve">采购单位（管理方）</w:t>
      </w:r>
      <w:r>
        <w:rPr>
          <w:rFonts w:hint="eastAsia" w:ascii="宋体" w:hAnsi="宋体" w:eastAsia="宋体" w:cs="宋体"/>
          <w:color w:val="auto"/>
          <w:sz w:val="21"/>
          <w:highlight w:val="none"/>
        </w:rPr>
        <w:t xml:space="preserve">管理，配合</w:t>
      </w:r>
      <w:r>
        <w:rPr>
          <w:rFonts w:hint="eastAsia" w:ascii="宋体" w:hAnsi="宋体" w:cs="宋体"/>
          <w:color w:val="auto"/>
          <w:sz w:val="21"/>
          <w:highlight w:val="none"/>
          <w:lang w:eastAsia="zh-CN"/>
        </w:rPr>
        <w:t xml:space="preserve">采购单位（管理方）</w:t>
      </w:r>
      <w:r>
        <w:rPr>
          <w:rFonts w:hint="eastAsia" w:ascii="宋体" w:hAnsi="宋体" w:eastAsia="宋体" w:cs="宋体"/>
          <w:color w:val="auto"/>
          <w:sz w:val="21"/>
          <w:highlight w:val="none"/>
        </w:rPr>
        <w:t xml:space="preserve">管理要求，由此所产生的费用由</w:t>
      </w:r>
      <w:r>
        <w:rPr>
          <w:rFonts w:hint="eastAsia" w:ascii="宋体" w:hAnsi="宋体" w:cs="宋体"/>
          <w:color w:val="auto"/>
          <w:sz w:val="21"/>
          <w:highlight w:val="none"/>
          <w:lang w:eastAsia="zh-CN"/>
        </w:rPr>
        <w:t xml:space="preserve">中标单位（成交供应商）</w:t>
      </w:r>
      <w:r>
        <w:rPr>
          <w:rFonts w:hint="eastAsia" w:ascii="宋体" w:hAnsi="宋体" w:eastAsia="宋体" w:cs="宋体"/>
          <w:color w:val="auto"/>
          <w:sz w:val="21"/>
          <w:highlight w:val="none"/>
        </w:rPr>
        <w:t xml:space="preserve">自行考虑并包含在</w:t>
      </w:r>
      <w:r>
        <w:rPr>
          <w:rFonts w:hint="eastAsia" w:ascii="宋体" w:hAnsi="宋体" w:eastAsia="宋体" w:cs="宋体"/>
          <w:color w:val="auto"/>
          <w:sz w:val="21"/>
          <w:highlight w:val="none"/>
          <w:lang w:val="en-US" w:eastAsia="zh-CN"/>
        </w:rPr>
        <w:t xml:space="preserve">报价</w:t>
      </w:r>
      <w:r>
        <w:rPr>
          <w:rFonts w:hint="eastAsia" w:ascii="宋体" w:hAnsi="宋体" w:eastAsia="宋体" w:cs="宋体"/>
          <w:color w:val="auto"/>
          <w:sz w:val="21"/>
          <w:highlight w:val="none"/>
        </w:rPr>
        <w:t xml:space="preserve">金额中。</w:t>
      </w:r>
      <w:r/>
    </w:p>
    <w:p>
      <w:pPr>
        <w:ind w:left="0" w:firstLine="420"/>
        <w:pageBreakBefore w:val="0"/>
        <w:spacing w:line="360" w:lineRule="auto"/>
        <w:tabs>
          <w:tab w:val="left" w:pos="0" w:leader="none"/>
        </w:tabs>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此次投标报价应包括但不限于在承包期内所有综合服务需要的服务内容、耗材、通讯、服装、胸卡、办公设备、巡检器材、各种税费、人工、水、电、保险、劳保、维护、利润、税金、代理服务费、政策性文件规定及合同包含的所有风险、责任等各项应有费用。</w:t>
      </w:r>
      <w:r/>
    </w:p>
    <w:p>
      <w:pPr>
        <w:pStyle w:val="797"/>
        <w:ind w:left="0" w:firstLine="400"/>
        <w:pageBreakBefore w:val="0"/>
        <w:spacing w:line="360" w:lineRule="auto"/>
        <w:rPr>
          <w:rFonts w:hint="eastAsia" w:ascii="宋体" w:hAnsi="宋体"/>
          <w:color w:val="auto"/>
          <w:highlight w:val="none"/>
        </w:rPr>
      </w:pP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hint="eastAsia" w:ascii="宋体" w:hAnsi="宋体"/>
          <w:color w:val="auto"/>
          <w:highlight w:val="none"/>
          <w:lang w:val="en-US" w:eastAsia="zh-CN"/>
        </w:rPr>
        <w:t xml:space="preserve">中标单位（成交供应商）</w:t>
      </w:r>
      <w:r>
        <w:rPr>
          <w:rFonts w:hint="eastAsia" w:ascii="宋体" w:hAnsi="宋体"/>
          <w:color w:val="auto"/>
          <w:highlight w:val="none"/>
        </w:rPr>
        <w:t xml:space="preserve">工作人员在服务期间内出现的工伤及其他意外事故，均由中标单位自行负责，</w:t>
      </w:r>
      <w:r>
        <w:rPr>
          <w:rFonts w:hint="eastAsia" w:ascii="宋体" w:hAnsi="宋体"/>
          <w:color w:val="auto"/>
          <w:highlight w:val="none"/>
          <w:lang w:eastAsia="zh-CN"/>
        </w:rPr>
        <w:t xml:space="preserve">采购单位（管理方）</w:t>
      </w:r>
      <w:r>
        <w:rPr>
          <w:rFonts w:hint="eastAsia" w:ascii="宋体" w:hAnsi="宋体"/>
          <w:color w:val="auto"/>
          <w:highlight w:val="none"/>
        </w:rPr>
        <w:t xml:space="preserve">不承担任何责任。</w:t>
      </w:r>
      <w:r/>
    </w:p>
    <w:p>
      <w:pPr>
        <w:ind w:left="0" w:firstLine="420"/>
        <w:pageBreakBefore w:val="0"/>
        <w:spacing w:line="360" w:lineRule="auto"/>
        <w:tabs>
          <w:tab w:val="left" w:pos="0" w:leader="none"/>
        </w:tabs>
        <w:rPr>
          <w:rFonts w:ascii="宋体" w:hAnsi="宋体"/>
          <w:color w:val="auto"/>
          <w:sz w:val="21"/>
          <w:highlight w:val="none"/>
        </w:rPr>
      </w:pP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pageBreakBefore w:val="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6、在维保过程中，为了保证维保工作正常、有效进行，并便于管理和联系，且基于对双方负责的态度，由双方委派相关人员负责现场联系工作，及时处理本合同约定的相关事务。</w:t>
      </w:r>
      <w:r/>
    </w:p>
    <w:p>
      <w:pPr>
        <w:ind w:left="0" w:firstLine="420"/>
        <w:pageBreakBefore w:val="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7、维护单位提供的所有备品备件必须为合格产品(提供合格证)，质量相关标准，如出现质量问题或系假冒伪劣产品，发生的一切后果由中标单位（成交供应商）负责。同时，因中标单位管理不善，造成工作范围内的设施、设备等损坏的，由直接责任人赔偿，若直接责任人因故无法赔偿的，采购单位（管理方）有权要求中标单位（成交供应商）负责赔偿损失，情节严重的可终止合同甚至诉诸法律。</w:t>
      </w:r>
      <w:r/>
    </w:p>
    <w:p>
      <w:pPr>
        <w:ind w:left="0" w:firstLine="420"/>
        <w:pageBreakBefore w:val="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8、投标单位必须承诺响应招标文件中提出的全部技术标准和服务要求，如果其中某些条款不响应时，应在文件中逐条列出，未列出的视同响应。如果不能响应全部的技术标准和服务要求，视为不实质性响应招标文件，为无效响应。</w:t>
      </w:r>
      <w:r/>
    </w:p>
    <w:p>
      <w:pPr>
        <w:ind w:left="0" w:firstLine="420"/>
        <w:pageBreakBefore w:val="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9、验收标准：根据政府采购合同要求、采购文件要求、响应文件、承诺及有关规定。</w:t>
      </w:r>
      <w:r/>
    </w:p>
    <w:p>
      <w:pPr>
        <w:ind w:left="0" w:firstLine="420"/>
        <w:pageBreakBefore w:val="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10、投标单位应对所投项目的全部内容进行报价，只投其中部分内容者，其投标文件将被拒绝。</w:t>
      </w:r>
      <w:r/>
    </w:p>
    <w:p>
      <w:pPr>
        <w:ind w:left="0" w:firstLine="420"/>
        <w:pageBreakBefore w:val="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lang w:val="en-US" w:eastAsia="zh-CN"/>
        </w:rPr>
        <w:t xml:space="preserve">11、凡涉及招标文件的补充说明和修改，均以苏州市政府采购网对外进行发布的文件为准。</w:t>
      </w:r>
      <w:r/>
    </w:p>
    <w:p>
      <w:pPr>
        <w:pStyle w:val="797"/>
        <w:ind w:firstLine="200"/>
        <w:pageBreakBefore w:val="0"/>
        <w:spacing w:line="360" w:lineRule="auto"/>
        <w:rPr>
          <w:rFonts w:ascii="宋体" w:hAnsi="宋体"/>
          <w:color w:val="auto"/>
          <w:highlight w:val="none"/>
        </w:rPr>
      </w:pPr>
      <w:r>
        <w:rPr>
          <w:rFonts w:ascii="宋体" w:hAnsi="宋体"/>
          <w:color w:val="auto"/>
          <w:highlight w:val="none"/>
        </w:rPr>
      </w:r>
      <w:r/>
    </w:p>
    <w:p>
      <w:pPr>
        <w:ind w:left="0" w:firstLine="420"/>
        <w:pageBreakBefore w:val="0"/>
        <w:spacing w:line="360" w:lineRule="auto"/>
        <w:tabs>
          <w:tab w:val="left" w:pos="420" w:leader="none"/>
        </w:tabs>
        <w:rPr>
          <w:rFonts w:ascii="宋体" w:hAnsi="宋体"/>
          <w:color w:val="auto"/>
          <w:sz w:val="21"/>
          <w:highlight w:val="none"/>
        </w:rPr>
      </w:pPr>
      <w:r>
        <w:rPr>
          <w:rFonts w:hint="eastAsia" w:ascii="宋体" w:hAnsi="宋体"/>
          <w:color w:val="auto"/>
          <w:sz w:val="21"/>
          <w:highlight w:val="none"/>
        </w:rPr>
        <w:t xml:space="preserve">八、政府采购政策</w:t>
      </w:r>
      <w:r/>
    </w:p>
    <w:p>
      <w:pPr>
        <w:ind w:left="0" w:firstLine="420"/>
        <w:pageBreakBefore w:val="0"/>
        <w:spacing w:line="360" w:lineRule="auto"/>
        <w:tabs>
          <w:tab w:val="left" w:pos="567" w:leader="none"/>
        </w:tabs>
        <w:rPr>
          <w:rFonts w:ascii="Times New Roman" w:hAnsi="Times New Roman" w:cs="Times New Roman"/>
          <w:color w:val="auto"/>
          <w:sz w:val="21"/>
          <w:highlight w:val="none"/>
        </w:rPr>
      </w:pPr>
      <w:r>
        <w:rPr>
          <w:rFonts w:hint="eastAsia" w:ascii="Times New Roman" w:hAnsi="Times New Roman" w:cs="Times New Roman"/>
          <w:color w:val="auto"/>
          <w:sz w:val="21"/>
          <w:highlight w:val="none"/>
        </w:rPr>
        <w:t xml:space="preserve">1.</w:t>
      </w:r>
      <w:r>
        <w:rPr>
          <w:rFonts w:hint="eastAsia" w:ascii="Times New Roman" w:hAnsi="Times New Roman" w:eastAsia="Times New Roman" w:cs="Times New Roman"/>
          <w:color w:val="auto"/>
          <w:sz w:val="21"/>
          <w:highlight w:val="none"/>
        </w:rPr>
        <w:t xml:space="preserve">小、微企业</w:t>
      </w:r>
      <w:r/>
    </w:p>
    <w:p>
      <w:pPr>
        <w:ind w:left="0" w:firstLine="420"/>
        <w:pageBreakBefore w:val="0"/>
        <w:spacing w:line="360" w:lineRule="auto"/>
        <w:tabs>
          <w:tab w:val="left" w:pos="567" w:leader="none"/>
        </w:tabs>
        <w:rPr>
          <w:rFonts w:ascii="Times New Roman" w:hAnsi="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根据《政府采购促进中小企业发展管理办法》（财库〔</w:t>
      </w:r>
      <w:r>
        <w:rPr>
          <w:rFonts w:hint="eastAsia" w:ascii="Times New Roman" w:hAnsi="Times New Roman" w:cs="Times New Roman"/>
          <w:color w:val="auto"/>
          <w:sz w:val="21"/>
          <w:highlight w:val="none"/>
        </w:rPr>
        <w:t xml:space="preserve">2020</w:t>
      </w:r>
      <w:r>
        <w:rPr>
          <w:rFonts w:hint="eastAsia" w:ascii="Times New Roman" w:hAnsi="Times New Roman" w:eastAsia="Times New Roman" w:cs="Times New Roman"/>
          <w:color w:val="auto"/>
          <w:sz w:val="21"/>
          <w:highlight w:val="none"/>
        </w:rPr>
        <w:t xml:space="preserve">〕</w:t>
      </w:r>
      <w:r>
        <w:rPr>
          <w:rFonts w:hint="eastAsia" w:ascii="Times New Roman" w:hAnsi="Times New Roman" w:cs="Times New Roman"/>
          <w:color w:val="auto"/>
          <w:sz w:val="21"/>
          <w:highlight w:val="none"/>
        </w:rPr>
        <w:t xml:space="preserve">46</w:t>
      </w:r>
      <w:r>
        <w:rPr>
          <w:rFonts w:hint="eastAsia" w:ascii="Times New Roman" w:hAnsi="Times New Roman" w:eastAsia="Times New Roman" w:cs="Times New Roman"/>
          <w:color w:val="auto"/>
          <w:sz w:val="21"/>
          <w:highlight w:val="none"/>
        </w:rPr>
        <w:t xml:space="preserve">号）、《关于印发</w:t>
      </w:r>
      <w:r>
        <w:rPr>
          <w:rFonts w:hint="eastAsia" w:ascii="Times New Roman" w:hAnsi="Times New Roman" w:cs="Times New Roman"/>
          <w:color w:val="auto"/>
          <w:sz w:val="21"/>
          <w:highlight w:val="none"/>
        </w:rPr>
        <w:t xml:space="preserve">&lt;</w:t>
      </w:r>
      <w:r>
        <w:rPr>
          <w:rFonts w:hint="eastAsia" w:ascii="Times New Roman" w:hAnsi="Times New Roman" w:eastAsia="Times New Roman" w:cs="Times New Roman"/>
          <w:color w:val="auto"/>
          <w:sz w:val="21"/>
          <w:highlight w:val="none"/>
        </w:rPr>
        <w:t xml:space="preserve">苏州市政府采购促进中小企业发展实施意见</w:t>
      </w:r>
      <w:r>
        <w:rPr>
          <w:rFonts w:hint="eastAsia" w:ascii="Times New Roman" w:hAnsi="Times New Roman" w:cs="Times New Roman"/>
          <w:color w:val="auto"/>
          <w:sz w:val="21"/>
          <w:highlight w:val="none"/>
        </w:rPr>
        <w:t xml:space="preserve">&gt;</w:t>
      </w:r>
      <w:r>
        <w:rPr>
          <w:rFonts w:hint="eastAsia" w:ascii="Times New Roman" w:hAnsi="Times New Roman" w:eastAsia="Times New Roman" w:cs="Times New Roman"/>
          <w:color w:val="auto"/>
          <w:sz w:val="21"/>
          <w:highlight w:val="none"/>
        </w:rPr>
        <w:t xml:space="preserve">的通知》（苏财购〔</w:t>
      </w:r>
      <w:r>
        <w:rPr>
          <w:rFonts w:hint="eastAsia" w:ascii="Times New Roman" w:hAnsi="Times New Roman" w:cs="Times New Roman"/>
          <w:color w:val="auto"/>
          <w:sz w:val="21"/>
          <w:highlight w:val="none"/>
        </w:rPr>
        <w:t xml:space="preserve">2022</w:t>
      </w:r>
      <w:r>
        <w:rPr>
          <w:rFonts w:hint="eastAsia" w:ascii="Times New Roman" w:hAnsi="Times New Roman" w:eastAsia="Times New Roman" w:cs="Times New Roman"/>
          <w:color w:val="auto"/>
          <w:sz w:val="21"/>
          <w:highlight w:val="none"/>
        </w:rPr>
        <w:t xml:space="preserve">〕</w:t>
      </w:r>
      <w:r>
        <w:rPr>
          <w:rFonts w:hint="eastAsia" w:ascii="Times New Roman" w:hAnsi="Times New Roman" w:cs="Times New Roman"/>
          <w:color w:val="auto"/>
          <w:sz w:val="21"/>
          <w:highlight w:val="none"/>
        </w:rPr>
        <w:t xml:space="preserve">16</w:t>
      </w:r>
      <w:r>
        <w:rPr>
          <w:rFonts w:hint="eastAsia" w:ascii="Times New Roman" w:hAnsi="Times New Roman" w:eastAsia="Times New Roman" w:cs="Times New Roman"/>
          <w:color w:val="auto"/>
          <w:sz w:val="21"/>
          <w:highlight w:val="none"/>
        </w:rPr>
        <w:t xml:space="preserve">号）的相关规定，如供应商认定本企业提供的货物、工程或服务符合上述文件规定情形，可以享受中小企业扶持政策的，则需根据《中小企业划型标准规定》（工信部联企业〔</w:t>
      </w:r>
      <w:r>
        <w:rPr>
          <w:rFonts w:hint="eastAsia" w:ascii="Times New Roman" w:hAnsi="Times New Roman" w:cs="Times New Roman"/>
          <w:color w:val="auto"/>
          <w:sz w:val="21"/>
          <w:highlight w:val="none"/>
        </w:rPr>
        <w:t xml:space="preserve">2011</w:t>
      </w:r>
      <w:r>
        <w:rPr>
          <w:rFonts w:hint="eastAsia" w:ascii="Times New Roman" w:hAnsi="Times New Roman" w:eastAsia="Times New Roman" w:cs="Times New Roman"/>
          <w:color w:val="auto"/>
          <w:sz w:val="21"/>
          <w:highlight w:val="none"/>
        </w:rPr>
        <w:t xml:space="preserve">〕</w:t>
      </w:r>
      <w:r>
        <w:rPr>
          <w:rFonts w:hint="eastAsia" w:ascii="Times New Roman" w:hAnsi="Times New Roman" w:cs="Times New Roman"/>
          <w:color w:val="auto"/>
          <w:sz w:val="21"/>
          <w:highlight w:val="none"/>
        </w:rPr>
        <w:t xml:space="preserve">300</w:t>
      </w:r>
      <w:r>
        <w:rPr>
          <w:rFonts w:hint="eastAsia" w:ascii="Times New Roman" w:hAnsi="Times New Roman" w:eastAsia="Times New Roman" w:cs="Times New Roman"/>
          <w:color w:val="auto"/>
          <w:sz w:val="21"/>
          <w:highlight w:val="none"/>
        </w:rPr>
        <w:t xml:space="preserve">号）提交《中小企业声明函》并加盖公章，</w:t>
      </w:r>
      <w:r>
        <w:rPr>
          <w:rFonts w:hint="eastAsia" w:ascii="Times New Roman" w:hAnsi="Times New Roman" w:eastAsia="Times New Roman" w:cs="Times New Roman"/>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pageBreakBefore w:val="0"/>
        <w:spacing w:line="360" w:lineRule="auto"/>
        <w:tabs>
          <w:tab w:val="left" w:pos="567" w:leader="none"/>
        </w:tabs>
        <w:rPr>
          <w:rFonts w:ascii="Times New Roman" w:hAnsi="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eastAsia="Times New Roman" w:cs="Times New Roman"/>
          <w:b/>
          <w:color w:val="auto"/>
          <w:sz w:val="21"/>
          <w:highlight w:val="none"/>
        </w:rPr>
        <w:t xml:space="preserve">服务类项目中供应商若使用退休人员，将不享受相关扶持政策。</w:t>
      </w:r>
      <w:r/>
    </w:p>
    <w:p>
      <w:pPr>
        <w:ind w:left="0" w:firstLine="422"/>
        <w:pageBreakBefore w:val="0"/>
        <w:spacing w:line="360" w:lineRule="auto"/>
        <w:tabs>
          <w:tab w:val="left" w:pos="567" w:leader="none"/>
        </w:tabs>
        <w:rPr>
          <w:rFonts w:ascii="Times New Roman" w:hAnsi="Times New Roman" w:cs="Times New Roman"/>
          <w:color w:val="auto"/>
          <w:sz w:val="21"/>
          <w:highlight w:val="none"/>
        </w:rPr>
      </w:pPr>
      <w:r>
        <w:rPr>
          <w:rFonts w:hint="eastAsia" w:ascii="Times New Roman" w:hAnsi="Times New Roman" w:eastAsia="Times New Roman" w:cs="Times New Roman"/>
          <w:b/>
          <w:color w:val="auto"/>
          <w:sz w:val="21"/>
          <w:highlight w:val="none"/>
        </w:rPr>
        <w:t xml:space="preserve">根据《政府采购促进中小企业发展管理办法》（财库〔</w:t>
      </w:r>
      <w:r>
        <w:rPr>
          <w:rFonts w:hint="eastAsia" w:ascii="Times New Roman" w:hAnsi="Times New Roman" w:cs="Times New Roman"/>
          <w:b/>
          <w:color w:val="auto"/>
          <w:sz w:val="21"/>
          <w:highlight w:val="none"/>
        </w:rPr>
        <w:t xml:space="preserve">2020</w:t>
      </w:r>
      <w:r>
        <w:rPr>
          <w:rFonts w:hint="eastAsia" w:ascii="Times New Roman" w:hAnsi="Times New Roman" w:eastAsia="Times New Roman" w:cs="Times New Roman"/>
          <w:b/>
          <w:color w:val="auto"/>
          <w:sz w:val="21"/>
          <w:highlight w:val="none"/>
        </w:rPr>
        <w:t xml:space="preserve">〕</w:t>
      </w:r>
      <w:r>
        <w:rPr>
          <w:rFonts w:hint="eastAsia" w:ascii="Times New Roman" w:hAnsi="Times New Roman" w:cs="Times New Roman"/>
          <w:b/>
          <w:color w:val="auto"/>
          <w:sz w:val="21"/>
          <w:highlight w:val="none"/>
        </w:rPr>
        <w:t xml:space="preserve">46</w:t>
      </w:r>
      <w:r>
        <w:rPr>
          <w:rFonts w:hint="eastAsia" w:ascii="Times New Roman" w:hAnsi="Times New Roman" w:eastAsia="Times New Roman" w:cs="Times New Roman"/>
          <w:b/>
          <w:color w:val="auto"/>
          <w:sz w:val="21"/>
          <w:highlight w:val="none"/>
        </w:rPr>
        <w:t xml:space="preserve">号）及《中小企业划型标准规定》（工信部联企业〔</w:t>
      </w:r>
      <w:r>
        <w:rPr>
          <w:rFonts w:hint="eastAsia" w:ascii="Times New Roman" w:hAnsi="Times New Roman" w:cs="Times New Roman"/>
          <w:b/>
          <w:color w:val="auto"/>
          <w:sz w:val="21"/>
          <w:highlight w:val="none"/>
        </w:rPr>
        <w:t xml:space="preserve">2011</w:t>
      </w:r>
      <w:r>
        <w:rPr>
          <w:rFonts w:hint="eastAsia" w:ascii="Times New Roman" w:hAnsi="Times New Roman" w:eastAsia="Times New Roman" w:cs="Times New Roman"/>
          <w:b/>
          <w:color w:val="auto"/>
          <w:sz w:val="21"/>
          <w:highlight w:val="none"/>
        </w:rPr>
        <w:t xml:space="preserve">〕</w:t>
      </w:r>
      <w:r>
        <w:rPr>
          <w:rFonts w:hint="eastAsia" w:ascii="Times New Roman" w:hAnsi="Times New Roman" w:cs="Times New Roman"/>
          <w:b/>
          <w:color w:val="auto"/>
          <w:sz w:val="21"/>
          <w:highlight w:val="none"/>
        </w:rPr>
        <w:t xml:space="preserve">300</w:t>
      </w:r>
      <w:r>
        <w:rPr>
          <w:rFonts w:hint="eastAsia" w:ascii="Times New Roman" w:hAnsi="Times New Roman" w:eastAsia="Times New Roman" w:cs="Times New Roman"/>
          <w:b/>
          <w:color w:val="auto"/>
          <w:sz w:val="21"/>
          <w:highlight w:val="none"/>
        </w:rPr>
        <w:t xml:space="preserve">号），本采购标的对应的中小企业划分标准所属行业为：</w:t>
      </w:r>
      <w:r>
        <w:rPr>
          <w:rFonts w:hint="eastAsia" w:ascii="Times New Roman" w:hAnsi="Times New Roman" w:eastAsia="宋体" w:cs="Times New Roman"/>
          <w:b/>
          <w:color w:val="auto"/>
          <w:sz w:val="21"/>
          <w:highlight w:val="none"/>
          <w:lang w:val="en-US" w:eastAsia="zh-CN"/>
        </w:rPr>
        <w:t xml:space="preserve">其他未列明行业</w:t>
      </w:r>
      <w:r>
        <w:rPr>
          <w:rFonts w:hint="eastAsia" w:ascii="Times New Roman" w:hAnsi="Times New Roman" w:eastAsia="Times New Roman" w:cs="Times New Roman"/>
          <w:b/>
          <w:color w:val="auto"/>
          <w:sz w:val="21"/>
          <w:highlight w:val="none"/>
        </w:rPr>
        <w:t xml:space="preserve">。</w:t>
      </w:r>
      <w:r/>
    </w:p>
    <w:p>
      <w:pPr>
        <w:ind w:left="0" w:firstLine="420"/>
        <w:pageBreakBefore w:val="0"/>
        <w:spacing w:line="360" w:lineRule="auto"/>
        <w:tabs>
          <w:tab w:val="left" w:pos="567" w:leader="none"/>
        </w:tabs>
        <w:rPr>
          <w:rFonts w:ascii="Times New Roman" w:hAnsi="Times New Roman" w:cs="Times New Roman"/>
          <w:color w:val="auto"/>
          <w:sz w:val="21"/>
          <w:highlight w:val="none"/>
        </w:rPr>
      </w:pPr>
      <w:r>
        <w:rPr>
          <w:rFonts w:ascii="Times New Roman" w:hAnsi="Times New Roman" w:cs="Times New Roman"/>
          <w:color w:val="auto"/>
          <w:sz w:val="21"/>
          <w:highlight w:val="none"/>
        </w:rPr>
        <w:t xml:space="preserve">2</w:t>
      </w:r>
      <w:r>
        <w:rPr>
          <w:rFonts w:hint="eastAsia" w:ascii="Times New Roman" w:hAnsi="Times New Roman" w:cs="Times New Roman"/>
          <w:color w:val="auto"/>
          <w:sz w:val="21"/>
          <w:highlight w:val="none"/>
        </w:rPr>
        <w:t xml:space="preserve">.</w:t>
      </w:r>
      <w:r>
        <w:rPr>
          <w:rFonts w:hint="eastAsia" w:ascii="Times New Roman" w:hAnsi="Times New Roman" w:eastAsia="Times New Roman" w:cs="Times New Roman"/>
          <w:color w:val="auto"/>
          <w:sz w:val="21"/>
          <w:highlight w:val="none"/>
        </w:rPr>
        <w:t xml:space="preserve">残疾人福利性单位</w:t>
      </w:r>
      <w:r/>
    </w:p>
    <w:p>
      <w:pPr>
        <w:ind w:left="0" w:firstLine="420"/>
        <w:pageBreakBefore w:val="0"/>
        <w:spacing w:line="360" w:lineRule="auto"/>
        <w:tabs>
          <w:tab w:val="left" w:pos="567" w:leader="none"/>
        </w:tabs>
        <w:rPr>
          <w:rFonts w:ascii="Times New Roman" w:hAnsi="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根据《关于促进残疾人就业政府采购政策的通知》（财库〔</w:t>
      </w:r>
      <w:r>
        <w:rPr>
          <w:rFonts w:hint="eastAsia" w:ascii="Times New Roman" w:hAnsi="Times New Roman" w:cs="Times New Roman"/>
          <w:color w:val="auto"/>
          <w:sz w:val="21"/>
          <w:highlight w:val="none"/>
        </w:rPr>
        <w:t xml:space="preserve">2017</w:t>
      </w:r>
      <w:r>
        <w:rPr>
          <w:rFonts w:hint="eastAsia" w:ascii="Times New Roman" w:hAnsi="Times New Roman" w:eastAsia="Times New Roman" w:cs="Times New Roman"/>
          <w:color w:val="auto"/>
          <w:sz w:val="21"/>
          <w:highlight w:val="none"/>
        </w:rPr>
        <w:t xml:space="preserve">〕</w:t>
      </w:r>
      <w:r>
        <w:rPr>
          <w:rFonts w:hint="eastAsia" w:ascii="Times New Roman" w:hAnsi="Times New Roman" w:cs="Times New Roman"/>
          <w:color w:val="auto"/>
          <w:sz w:val="21"/>
          <w:highlight w:val="none"/>
        </w:rPr>
        <w:t xml:space="preserve">141</w:t>
      </w:r>
      <w:r>
        <w:rPr>
          <w:rFonts w:hint="eastAsia" w:ascii="Times New Roman" w:hAnsi="Times New Roman" w:eastAsia="Times New Roman" w:cs="Times New Roman"/>
          <w:color w:val="auto"/>
          <w:sz w:val="21"/>
          <w:highlight w:val="none"/>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pageBreakBefore w:val="0"/>
        <w:spacing w:line="360" w:lineRule="auto"/>
        <w:tabs>
          <w:tab w:val="left" w:pos="567" w:leader="none"/>
        </w:tabs>
        <w:rPr>
          <w:rFonts w:ascii="Times New Roman" w:hAnsi="Times New Roman" w:cs="Times New Roman"/>
          <w:color w:val="auto"/>
          <w:sz w:val="21"/>
          <w:highlight w:val="none"/>
        </w:rPr>
      </w:pPr>
      <w:r>
        <w:rPr>
          <w:rFonts w:hint="eastAsia" w:ascii="Times New Roman" w:hAnsi="Times New Roman" w:cs="Times New Roman"/>
          <w:color w:val="auto"/>
          <w:sz w:val="21"/>
          <w:highlight w:val="none"/>
        </w:rPr>
        <w:t xml:space="preserve">3.</w:t>
      </w:r>
      <w:r>
        <w:rPr>
          <w:rFonts w:hint="eastAsia" w:ascii="Times New Roman" w:hAnsi="Times New Roman" w:eastAsia="Times New Roman" w:cs="Times New Roman"/>
          <w:color w:val="auto"/>
          <w:sz w:val="21"/>
          <w:highlight w:val="none"/>
        </w:rPr>
        <w:t xml:space="preserve">监狱企业</w:t>
      </w:r>
      <w:r/>
    </w:p>
    <w:p>
      <w:pPr>
        <w:ind w:left="0" w:firstLine="420"/>
        <w:pageBreakBefore w:val="0"/>
        <w:spacing w:line="360" w:lineRule="auto"/>
        <w:tabs>
          <w:tab w:val="left" w:pos="567" w:leader="none"/>
        </w:tabs>
        <w:rPr>
          <w:rFonts w:ascii="Times New Roman" w:hAnsi="Times New Roman" w:cs="Times New Roman"/>
          <w:color w:val="auto"/>
          <w:sz w:val="21"/>
          <w:highlight w:val="none"/>
        </w:rPr>
      </w:pPr>
      <w:r>
        <w:rPr>
          <w:rFonts w:hint="eastAsia" w:ascii="Times New Roman" w:hAnsi="Times New Roman" w:eastAsia="Times New Roman" w:cs="Times New Roman"/>
          <w:color w:val="auto"/>
          <w:sz w:val="21"/>
          <w:highlight w:val="none"/>
        </w:rPr>
        <w:t xml:space="preserve">根据《关于政府采购支持监狱企业发展有关问题的通知》（财库〔</w:t>
      </w:r>
      <w:r>
        <w:rPr>
          <w:rFonts w:hint="eastAsia" w:ascii="Times New Roman" w:hAnsi="Times New Roman" w:cs="Times New Roman"/>
          <w:color w:val="auto"/>
          <w:sz w:val="21"/>
          <w:highlight w:val="none"/>
        </w:rPr>
        <w:t xml:space="preserve">2014</w:t>
      </w:r>
      <w:r>
        <w:rPr>
          <w:rFonts w:hint="eastAsia" w:ascii="Times New Roman" w:hAnsi="Times New Roman" w:eastAsia="Times New Roman" w:cs="Times New Roman"/>
          <w:color w:val="auto"/>
          <w:sz w:val="21"/>
          <w:highlight w:val="none"/>
        </w:rPr>
        <w:t xml:space="preserve">〕</w:t>
      </w:r>
      <w:r>
        <w:rPr>
          <w:rFonts w:hint="eastAsia" w:ascii="Times New Roman" w:hAnsi="Times New Roman" w:cs="Times New Roman"/>
          <w:color w:val="auto"/>
          <w:sz w:val="21"/>
          <w:highlight w:val="none"/>
        </w:rPr>
        <w:t xml:space="preserve">68</w:t>
      </w:r>
      <w:r>
        <w:rPr>
          <w:rFonts w:hint="eastAsia" w:ascii="Times New Roman" w:hAnsi="Times New Roman" w:eastAsia="Times New Roman" w:cs="Times New Roman"/>
          <w:color w:val="auto"/>
          <w:sz w:val="21"/>
          <w:highlight w:val="none"/>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pageBreakBefore w:val="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4.绿色采购</w:t>
      </w:r>
      <w:r/>
    </w:p>
    <w:p>
      <w:pPr>
        <w:ind w:left="0" w:firstLine="422"/>
        <w:pageBreakBefore w:val="0"/>
        <w:spacing w:line="360" w:lineRule="auto"/>
        <w:tabs>
          <w:tab w:val="left" w:pos="567" w:leader="none"/>
        </w:tabs>
        <w:rPr>
          <w:rFonts w:ascii="宋体" w:hAnsi="宋体"/>
          <w:color w:val="auto"/>
          <w:sz w:val="21"/>
          <w:highlight w:val="none"/>
        </w:rPr>
      </w:pPr>
      <w:r>
        <w:rPr>
          <w:rFonts w:hint="eastAsia" w:ascii="宋体" w:hAnsi="宋体"/>
          <w:b/>
          <w:color w:val="auto"/>
          <w:sz w:val="21"/>
          <w:highlight w:val="none"/>
        </w:rPr>
        <w:t xml:space="preserve">（1）本次拟采购的产品中不含属于政府强制采购节能产品。</w:t>
      </w:r>
      <w:r>
        <w:rPr>
          <w:rFonts w:hint="eastAsia" w:ascii="宋体" w:hAnsi="宋体"/>
          <w:color w:val="auto"/>
          <w:sz w:val="21"/>
          <w:highlight w:val="none"/>
        </w:rPr>
        <w:t xml:space="preserve">根据《关于调整优化节能产品、环境标志产品政府采购执行机制的通知》（财库〔</w:t>
      </w:r>
      <w:r>
        <w:rPr>
          <w:rFonts w:ascii="宋体" w:hAnsi="宋体"/>
          <w:color w:val="auto"/>
          <w:sz w:val="21"/>
          <w:highlight w:val="none"/>
        </w:rPr>
        <w:t xml:space="preserve">2019</w:t>
      </w:r>
      <w:r>
        <w:rPr>
          <w:rFonts w:hint="eastAsia" w:ascii="宋体" w:hAnsi="宋体"/>
          <w:color w:val="auto"/>
          <w:sz w:val="21"/>
          <w:highlight w:val="none"/>
        </w:rPr>
        <w:t xml:space="preserve">〕</w:t>
      </w:r>
      <w:r>
        <w:rPr>
          <w:rFonts w:ascii="宋体" w:hAnsi="宋体"/>
          <w:color w:val="auto"/>
          <w:sz w:val="21"/>
          <w:highlight w:val="none"/>
        </w:rPr>
        <w:t xml:space="preserve">9</w:t>
      </w:r>
      <w:r>
        <w:rPr>
          <w:rFonts w:hint="eastAsia" w:ascii="宋体" w:hAnsi="宋体"/>
          <w:color w:val="auto"/>
          <w:sz w:val="21"/>
          <w:highlight w:val="none"/>
        </w:rPr>
        <w:t xml:space="preserve">号）等相关文件的规定，</w:t>
      </w:r>
      <w:r>
        <w:rPr>
          <w:rFonts w:hint="eastAsia" w:ascii="宋体" w:hAnsi="宋体"/>
          <w:b/>
          <w:color w:val="auto"/>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pageBreakBefore w:val="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pageBreakBefore w:val="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5、对本国产品的支持政策：根据国办发〔2025〕</w:t>
      </w:r>
      <w:r>
        <w:rPr>
          <w:rFonts w:hint="eastAsia" w:ascii="宋体" w:hAnsi="宋体" w:cs="宋体"/>
          <w:color w:val="000000" w:themeColor="text1"/>
          <w:sz w:val="21"/>
          <w:szCs w:val="21"/>
          <w:highlight w:val="none"/>
          <w14:textFill>
            <w14:solidFill>
              <w14:schemeClr w14:val="tx1"/>
            </w14:solidFill>
          </w14:textFill>
        </w:rPr>
        <w:t xml:space="preserve">34号文《国务院办公厅关于在政府采购中实施本国产品标准及相关政策的通知》的相关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pageBreakBefore w:val="0"/>
        <w:spacing w:line="360" w:lineRule="auto"/>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供应商应对其提供的产品出具《关于符合本国产品标准的声明函》（样式见附件，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p>
    <w:p>
      <w:pPr>
        <w:pStyle w:val="798"/>
        <w:ind w:left="0" w:firstLine="0"/>
        <w:pageBreakBefore w:val="0"/>
        <w:rPr>
          <w:color w:val="auto"/>
          <w:highlight w:val="none"/>
        </w:rPr>
      </w:pPr>
      <w:r>
        <w:rPr>
          <w:color w:val="auto"/>
          <w:highlight w:val="none"/>
        </w:rPr>
      </w:r>
      <w:r/>
    </w:p>
    <w:p>
      <w:pPr>
        <w:ind w:left="0" w:firstLine="420"/>
        <w:pageBreakBefore w:val="0"/>
        <w:spacing w:line="360" w:lineRule="auto"/>
        <w:tabs>
          <w:tab w:val="left" w:pos="567" w:leader="none"/>
        </w:tabs>
        <w:rPr>
          <w:rFonts w:ascii="宋体" w:hAnsi="宋体"/>
          <w:color w:val="auto"/>
          <w:sz w:val="21"/>
          <w:highlight w:val="none"/>
        </w:rPr>
      </w:pPr>
      <w:r>
        <w:rPr>
          <w:rFonts w:hint="eastAsia" w:ascii="宋体" w:hAnsi="宋体"/>
          <w:color w:val="auto"/>
          <w:sz w:val="21"/>
          <w:highlight w:val="none"/>
        </w:rPr>
        <w:t xml:space="preserve">九、关于对参与供应商信用记录的政府采购要求</w:t>
      </w:r>
      <w:r/>
    </w:p>
    <w:p>
      <w:pPr>
        <w:ind w:left="0" w:firstLine="420"/>
        <w:pageBreakBefore w:val="0"/>
        <w:spacing w:line="360" w:lineRule="auto"/>
        <w:tabs>
          <w:tab w:val="left" w:pos="567" w:leader="none"/>
        </w:tabs>
        <w:rPr>
          <w:rFonts w:ascii="宋体" w:hAnsi="宋体" w:cs="Times New Roman"/>
          <w:b/>
          <w:color w:val="auto"/>
          <w:sz w:val="21"/>
          <w:highlight w:val="none"/>
        </w:rPr>
      </w:pPr>
      <w:r>
        <w:rPr>
          <w:rFonts w:hint="eastAsia" w:ascii="宋体" w:hAnsi="宋体" w:cs="Times New Roman"/>
          <w:color w:val="auto"/>
          <w:sz w:val="21"/>
          <w:highlight w:val="none"/>
        </w:rPr>
        <w:t xml:space="preserve">1</w:t>
      </w:r>
      <w:r>
        <w:rPr>
          <w:rFonts w:hint="eastAsia" w:ascii="宋体" w:hAnsi="宋体"/>
          <w:color w:val="auto"/>
          <w:sz w:val="21"/>
          <w:highlight w:val="none"/>
        </w:rPr>
        <w:t xml:space="preserve">.</w:t>
      </w:r>
      <w:r>
        <w:rPr>
          <w:rFonts w:hint="eastAsia" w:ascii="宋体" w:hAnsi="宋体" w:cs="Times New Roman"/>
          <w:color w:val="auto"/>
          <w:sz w:val="21"/>
          <w:highlight w:val="none"/>
        </w:rPr>
        <w:t xml:space="preserve">采购代理机构会在接收投标文件截止时间后，</w:t>
      </w:r>
      <w:r>
        <w:rPr>
          <w:rFonts w:hint="eastAsia" w:ascii="宋体" w:hAnsi="宋体"/>
          <w:color w:val="auto"/>
          <w:sz w:val="21"/>
          <w:szCs w:val="21"/>
          <w:highlight w:val="none"/>
        </w:rPr>
        <w:t xml:space="preserve">登录</w:t>
      </w:r>
      <w:r>
        <w:rPr>
          <w:rFonts w:ascii="宋体" w:hAnsi="宋体"/>
          <w:color w:val="auto"/>
          <w:sz w:val="21"/>
          <w:szCs w:val="21"/>
          <w:highlight w:val="none"/>
        </w:rPr>
        <w:t xml:space="preserve">信用中国</w:t>
      </w:r>
      <w:r>
        <w:rPr>
          <w:rFonts w:hint="eastAsia" w:ascii="宋体" w:hAnsi="宋体"/>
          <w:color w:val="auto"/>
          <w:sz w:val="21"/>
          <w:szCs w:val="21"/>
          <w:highlight w:val="none"/>
        </w:rPr>
        <w:t xml:space="preserve">网站</w:t>
      </w:r>
      <w:r>
        <w:rPr>
          <w:rFonts w:ascii="宋体" w:hAnsi="宋体"/>
          <w:color w:val="auto"/>
          <w:sz w:val="21"/>
          <w:szCs w:val="21"/>
          <w:highlight w:val="none"/>
        </w:rPr>
        <w:t xml:space="preserve">（www.creditchina.gov.cn/）</w:t>
      </w:r>
      <w:r>
        <w:rPr>
          <w:rFonts w:hint="eastAsia" w:ascii="宋体" w:hAnsi="宋体"/>
          <w:color w:val="auto"/>
          <w:sz w:val="21"/>
          <w:szCs w:val="21"/>
          <w:highlight w:val="none"/>
        </w:rPr>
        <w:t xml:space="preserve">和中国政府采购网（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olor w:val="auto"/>
          <w:sz w:val="21"/>
          <w:szCs w:val="21"/>
          <w:highlight w:val="none"/>
        </w:rPr>
        <w:t xml:space="preserve">查询供应商的信用记录，并将查询结果递交</w:t>
      </w:r>
      <w:r>
        <w:rPr>
          <w:rFonts w:hint="eastAsia" w:ascii="宋体" w:hAnsi="宋体"/>
          <w:color w:val="auto"/>
          <w:sz w:val="21"/>
          <w:szCs w:val="21"/>
          <w:highlight w:val="none"/>
        </w:rPr>
        <w:t xml:space="preserve">评标委员会</w:t>
      </w:r>
      <w:r>
        <w:rPr>
          <w:rFonts w:hint="eastAsia" w:ascii="宋体" w:hAnsi="宋体" w:cs="Times New Roman"/>
          <w:color w:val="auto"/>
          <w:sz w:val="21"/>
          <w:highlight w:val="none"/>
        </w:rPr>
        <w:t xml:space="preserve">。</w:t>
      </w:r>
      <w:r/>
    </w:p>
    <w:p>
      <w:pPr>
        <w:ind w:left="0" w:firstLine="420"/>
        <w:pageBreakBefore w:val="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pageBreakBefore w:val="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pageBreakBefore w:val="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pageBreakBefore w:val="0"/>
        <w:spacing w:line="360" w:lineRule="auto"/>
        <w:tabs>
          <w:tab w:val="left" w:pos="567" w:leader="none"/>
        </w:tabs>
        <w:rPr>
          <w:rFonts w:ascii="宋体" w:hAnsi="宋体" w:cs="Times New Roman"/>
          <w:color w:val="auto"/>
          <w:sz w:val="21"/>
          <w:highlight w:val="none"/>
        </w:rPr>
      </w:pPr>
      <w:r>
        <w:rPr>
          <w:rFonts w:hint="eastAsia" w:ascii="宋体" w:hAnsi="宋体" w:cs="Times New Roman"/>
          <w:color w:val="auto"/>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firstLine="480"/>
        <w:jc w:val="left"/>
        <w:pageBreakBefore w:val="0"/>
        <w:spacing w:line="360" w:lineRule="auto"/>
        <w:rPr>
          <w:rFonts w:ascii="宋体" w:hAnsi="宋体"/>
          <w:color w:val="auto"/>
          <w:sz w:val="21"/>
          <w:highlight w:val="none"/>
        </w:rPr>
      </w:pPr>
      <w:r>
        <w:rPr>
          <w:rFonts w:hint="eastAsia" w:ascii="宋体" w:hAnsi="宋体"/>
          <w:color w:val="auto"/>
          <w:sz w:val="21"/>
          <w:highlight w:val="none"/>
        </w:rPr>
        <w:t xml:space="preserve">十、</w:t>
      </w:r>
      <w:r>
        <w:rPr>
          <w:rFonts w:ascii="宋体" w:hAnsi="宋体"/>
          <w:color w:val="auto"/>
          <w:sz w:val="21"/>
          <w:highlight w:val="none"/>
        </w:rPr>
        <w:t xml:space="preserve">凡涉及招标文件的补充说明和修改，均以网上发布的通知为准。</w:t>
      </w:r>
      <w:r/>
    </w:p>
    <w:p>
      <w:pPr>
        <w:ind w:firstLine="480"/>
        <w:jc w:val="left"/>
        <w:pageBreakBefore w:val="0"/>
        <w:spacing w:line="360" w:lineRule="auto"/>
        <w:rPr>
          <w:rFonts w:hint="eastAsia" w:ascii="宋体" w:hAnsi="宋体"/>
          <w:color w:val="000000" w:themeColor="text1"/>
          <w:sz w:val="18"/>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br w:type="page" w:clear="all"/>
      </w:r>
      <w:r/>
    </w:p>
    <w:p>
      <w:pPr>
        <w:pStyle w:val="1115"/>
        <w:jc w:val="center"/>
        <w:pageBreakBefore w:val="0"/>
        <w:rPr>
          <w:rFonts w:hint="eastAsia" w:ascii="黑体" w:hAnsi="宋体" w:eastAsia="黑体"/>
          <w:color w:val="000000" w:themeColor="text1"/>
          <w:sz w:val="44"/>
          <w:szCs w:val="16"/>
          <w:highlight w:val="none"/>
          <w14:textFill>
            <w14:solidFill>
              <w14:schemeClr w14:val="tx1"/>
            </w14:solidFill>
          </w14:textFill>
        </w:rPr>
      </w:pPr>
      <w:r/>
      <w:bookmarkStart w:id="73" w:name="_Toc474491766"/>
      <w:r/>
      <w:bookmarkStart w:id="74" w:name="_Toc487"/>
      <w:r>
        <w:rPr>
          <w:rFonts w:hint="eastAsia" w:ascii="黑体" w:hAnsi="宋体" w:eastAsia="黑体"/>
          <w:color w:val="000000" w:themeColor="text1"/>
          <w:sz w:val="44"/>
          <w:szCs w:val="16"/>
          <w:highlight w:val="none"/>
          <w14:textFill>
            <w14:solidFill>
              <w14:schemeClr w14:val="tx1"/>
            </w14:solidFill>
          </w14:textFill>
        </w:rPr>
        <w:t xml:space="preserve">第</w:t>
      </w:r>
      <w:r>
        <w:rPr>
          <w:rFonts w:hint="eastAsia" w:ascii="黑体" w:hAnsi="宋体" w:eastAsia="黑体"/>
          <w:color w:val="000000" w:themeColor="text1"/>
          <w:sz w:val="44"/>
          <w:szCs w:val="16"/>
          <w:highlight w:val="none"/>
          <w:lang w:val="en-US" w:eastAsia="zh-CN"/>
          <w14:textFill>
            <w14:solidFill>
              <w14:schemeClr w14:val="tx1"/>
            </w14:solidFill>
          </w14:textFill>
        </w:rPr>
        <w:t xml:space="preserve">五</w:t>
      </w:r>
      <w:r>
        <w:rPr>
          <w:rFonts w:hint="eastAsia" w:ascii="黑体" w:hAnsi="宋体" w:eastAsia="黑体"/>
          <w:color w:val="000000" w:themeColor="text1"/>
          <w:sz w:val="44"/>
          <w:szCs w:val="16"/>
          <w:highlight w:val="none"/>
          <w14:textFill>
            <w14:solidFill>
              <w14:schemeClr w14:val="tx1"/>
            </w14:solidFill>
          </w14:textFill>
        </w:rPr>
        <w:t xml:space="preserve">章  合同主要条款</w:t>
      </w:r>
      <w:bookmarkEnd w:id="73"/>
      <w:r/>
      <w:bookmarkEnd w:id="74"/>
      <w:r/>
      <w:r/>
    </w:p>
    <w:p>
      <w:pPr>
        <w:ind w:left="0"/>
        <w:jc w:val="center"/>
        <w:pageBreakBefore w:val="0"/>
        <w:rPr>
          <w:rFonts w:ascii="宋体" w:hAnsi="宋体"/>
          <w:b/>
          <w:color w:val="auto"/>
          <w:sz w:val="32"/>
          <w:szCs w:val="32"/>
          <w:highlight w:val="none"/>
        </w:rPr>
      </w:pPr>
      <w:r/>
      <w:bookmarkStart w:id="75" w:name="_Toc474491767"/>
      <w:r>
        <w:rPr>
          <w:rFonts w:hint="eastAsia" w:ascii="宋体" w:hAnsi="宋体"/>
          <w:b/>
          <w:color w:val="auto"/>
          <w:sz w:val="32"/>
          <w:szCs w:val="32"/>
          <w:highlight w:val="none"/>
        </w:rPr>
        <w:t xml:space="preserve">政府采购合同</w:t>
      </w:r>
      <w:r/>
    </w:p>
    <w:p>
      <w:pPr>
        <w:ind w:left="0" w:firstLine="420"/>
        <w:pageBreakBefore w:val="0"/>
        <w:spacing w:line="360" w:lineRule="auto"/>
        <w:tabs>
          <w:tab w:val="left" w:pos="567" w:leader="none"/>
        </w:tabs>
        <w:rPr>
          <w:rFonts w:hint="eastAsia" w:ascii="宋体" w:hAnsi="宋体" w:cs="Times New Roman"/>
          <w:color w:val="auto"/>
          <w:sz w:val="21"/>
          <w:highlight w:val="none"/>
          <w:lang w:val="en-US" w:eastAsia="zh-CN"/>
        </w:rPr>
      </w:pPr>
      <w:r>
        <w:rPr>
          <w:rFonts w:hint="eastAsia" w:ascii="宋体" w:hAnsi="宋体" w:cs="Times New Roman"/>
          <w:color w:val="auto"/>
          <w:sz w:val="21"/>
          <w:highlight w:val="none"/>
          <w:lang w:val="en-US" w:eastAsia="zh-CN"/>
        </w:rPr>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甲方（</w:t>
      </w:r>
      <w:r>
        <w:rPr>
          <w:rFonts w:hint="eastAsia" w:ascii="宋体" w:hAnsi="宋体" w:cs="Times New Roman"/>
          <w:color w:val="auto"/>
          <w:sz w:val="21"/>
          <w:highlight w:val="none"/>
          <w:lang w:eastAsia="zh-CN"/>
        </w:rPr>
        <w:t xml:space="preserve">采购单位）</w:t>
      </w:r>
      <w:r>
        <w:rPr>
          <w:rFonts w:hint="eastAsia" w:ascii="宋体" w:hAnsi="宋体" w:eastAsia="宋体" w:cs="Times New Roman"/>
          <w:color w:val="auto"/>
          <w:sz w:val="21"/>
          <w:highlight w:val="none"/>
        </w:rPr>
        <w:t xml:space="preserve">：苏州太湖新城吴中管理委员会</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地址：友翔路99号苏州湾中心广场D座19楼</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联系人：    </w:t>
      </w:r>
      <w:r>
        <w:rPr>
          <w:rFonts w:hint="eastAsia" w:ascii="宋体" w:hAnsi="宋体" w:eastAsia="宋体" w:cs="Times New Roman"/>
          <w:color w:val="auto"/>
          <w:sz w:val="21"/>
          <w:highlight w:val="none"/>
        </w:rPr>
        <w:tab/>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管理</w:t>
      </w:r>
      <w:r>
        <w:rPr>
          <w:rFonts w:hint="eastAsia" w:ascii="宋体" w:hAnsi="宋体" w:eastAsia="宋体" w:cs="Times New Roman"/>
          <w:color w:val="auto"/>
          <w:sz w:val="21"/>
          <w:highlight w:val="none"/>
        </w:rPr>
        <w:t xml:space="preserve">方：苏州吴中太湖新城市政管理服务有限公司</w:t>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地址：友翔路99号苏州湾中心广场D座19楼</w:t>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联系人：    </w:t>
      </w:r>
      <w:r>
        <w:rPr>
          <w:rFonts w:hint="eastAsia" w:ascii="宋体" w:hAnsi="宋体" w:eastAsia="宋体" w:cs="Times New Roman"/>
          <w:color w:val="auto"/>
          <w:sz w:val="21"/>
          <w:highlight w:val="none"/>
        </w:rPr>
        <w:tab/>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乙方：</w:t>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地址：</w:t>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联系人：    </w:t>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联系电话：</w:t>
      </w:r>
      <w:r/>
    </w:p>
    <w:p>
      <w:pPr>
        <w:ind w:left="0" w:firstLine="42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根据《中华人民共和国民法典》、《中华人民共和国政府采购法》等相关法律法规的规定以及政府采购采购编号</w:t>
      </w:r>
      <w:r>
        <w:rPr>
          <w:rFonts w:hint="eastAsia" w:ascii="宋体" w:hAnsi="宋体" w:eastAsia="宋体" w:cs="Times New Roman"/>
          <w:color w:val="auto"/>
          <w:sz w:val="21"/>
          <w:highlight w:val="none"/>
          <w:u w:val="single"/>
        </w:rPr>
        <w:t xml:space="preserve"> </w:t>
      </w:r>
      <w:r>
        <w:rPr>
          <w:rFonts w:hint="eastAsia" w:ascii="宋体" w:hAnsi="宋体" w:cs="Times New Roman"/>
          <w:color w:val="auto"/>
          <w:sz w:val="21"/>
          <w:highlight w:val="none"/>
          <w:u w:val="single"/>
          <w:lang w:val="en-US" w:eastAsia="zh-CN"/>
        </w:rPr>
        <w:t xml:space="preserve">       </w:t>
      </w:r>
      <w:r>
        <w:rPr>
          <w:rFonts w:hint="eastAsia" w:ascii="宋体" w:hAnsi="宋体" w:eastAsia="宋体" w:cs="Times New Roman"/>
          <w:color w:val="auto"/>
          <w:sz w:val="21"/>
          <w:highlight w:val="none"/>
          <w:u w:val="single"/>
        </w:rPr>
        <w:t xml:space="preserve">  号</w:t>
      </w:r>
      <w:r>
        <w:rPr>
          <w:rFonts w:hint="eastAsia" w:ascii="宋体" w:hAnsi="宋体" w:eastAsia="宋体" w:cs="Times New Roman"/>
          <w:color w:val="auto"/>
          <w:sz w:val="21"/>
          <w:highlight w:val="none"/>
        </w:rPr>
        <w:t xml:space="preserve">采购文件及乙方的投标文件和中标通知书，甲乙双方就此次中标</w:t>
      </w:r>
      <w:r>
        <w:rPr>
          <w:rFonts w:hint="eastAsia" w:ascii="宋体" w:hAnsi="宋体" w:cs="Times New Roman"/>
          <w:color w:val="auto"/>
          <w:sz w:val="21"/>
          <w:highlight w:val="none"/>
          <w:lang w:eastAsia="zh-CN"/>
        </w:rPr>
        <w:t xml:space="preserve">2026-2028年太湖街道路灯养护项目</w:t>
      </w:r>
      <w:r>
        <w:rPr>
          <w:rFonts w:hint="eastAsia" w:ascii="宋体" w:hAnsi="宋体" w:eastAsia="宋体" w:cs="Times New Roman"/>
          <w:color w:val="auto"/>
          <w:sz w:val="21"/>
          <w:highlight w:val="none"/>
        </w:rPr>
        <w:t xml:space="preserve">的</w:t>
      </w:r>
      <w:r>
        <w:rPr>
          <w:rFonts w:hint="eastAsia" w:ascii="宋体" w:hAnsi="宋体" w:cs="Times New Roman"/>
          <w:color w:val="auto"/>
          <w:sz w:val="21"/>
          <w:highlight w:val="none"/>
          <w:lang w:val="en-US" w:eastAsia="zh-CN"/>
        </w:rPr>
        <w:t xml:space="preserve">采购</w:t>
      </w:r>
      <w:r>
        <w:rPr>
          <w:rFonts w:hint="eastAsia" w:ascii="宋体" w:hAnsi="宋体" w:eastAsia="宋体" w:cs="Times New Roman"/>
          <w:color w:val="auto"/>
          <w:sz w:val="21"/>
          <w:highlight w:val="none"/>
        </w:rPr>
        <w:t xml:space="preserve">事宜，签订本合同书，以兹共同遵守。</w:t>
      </w:r>
      <w:r/>
    </w:p>
    <w:p>
      <w:pPr>
        <w:ind w:left="0" w:firstLine="420"/>
        <w:pageBreakBefore w:val="0"/>
        <w:spacing w:line="360" w:lineRule="auto"/>
        <w:tabs>
          <w:tab w:val="left" w:pos="567" w:leader="none"/>
        </w:tabs>
        <w:rPr>
          <w:rFonts w:hint="eastAsia" w:ascii="宋体" w:hAnsi="宋体" w:eastAsia="宋体" w:cs="Times New Roman"/>
          <w:b/>
          <w:bCs/>
          <w:color w:val="auto"/>
          <w:sz w:val="21"/>
          <w:highlight w:val="none"/>
        </w:rPr>
      </w:pPr>
      <w:r>
        <w:rPr>
          <w:rFonts w:hint="eastAsia" w:ascii="宋体" w:hAnsi="宋体" w:eastAsia="宋体" w:cs="Times New Roman"/>
          <w:b/>
          <w:bCs/>
          <w:color w:val="auto"/>
          <w:sz w:val="21"/>
          <w:highlight w:val="none"/>
        </w:rPr>
        <w:t xml:space="preserve">本项目管理方为苏州吴中太湖新城市政管理服务有限公司，代表采购单位履行招标文件及采购合同所要求的相关管理事项，以及采购单位的其他相关合理要求。</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一、合同内容：</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w:t>
      </w:r>
      <w:r>
        <w:rPr>
          <w:rFonts w:hint="eastAsia" w:ascii="宋体" w:hAnsi="宋体" w:cs="Times New Roman"/>
          <w:color w:val="auto"/>
          <w:sz w:val="21"/>
          <w:highlight w:val="none"/>
          <w:lang w:eastAsia="zh-CN"/>
        </w:rPr>
        <w:t xml:space="preserve">中标单位（成交供应商）</w:t>
      </w:r>
      <w:r>
        <w:rPr>
          <w:rFonts w:hint="eastAsia" w:ascii="宋体" w:hAnsi="宋体" w:eastAsia="宋体" w:cs="Times New Roman"/>
          <w:color w:val="auto"/>
          <w:sz w:val="21"/>
          <w:highlight w:val="none"/>
        </w:rPr>
        <w:t xml:space="preserve">负责的采购单位的</w:t>
      </w:r>
      <w:r>
        <w:rPr>
          <w:rFonts w:hint="eastAsia" w:ascii="宋体" w:hAnsi="宋体" w:cs="Times New Roman"/>
          <w:color w:val="auto"/>
          <w:sz w:val="21"/>
          <w:highlight w:val="none"/>
          <w:lang w:eastAsia="zh-CN"/>
        </w:rPr>
        <w:t xml:space="preserve">2026-2028年太湖街道路灯养护项目</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lang w:eastAsia="zh-CN"/>
        </w:rPr>
      </w:pPr>
      <w:r>
        <w:rPr>
          <w:rFonts w:hint="eastAsia" w:ascii="宋体" w:hAnsi="宋体" w:eastAsia="宋体" w:cs="Times New Roman"/>
          <w:color w:val="auto"/>
          <w:sz w:val="21"/>
          <w:highlight w:val="none"/>
        </w:rPr>
        <w:t xml:space="preserve">管理时间</w:t>
      </w:r>
      <w:r>
        <w:rPr>
          <w:rFonts w:hint="eastAsia" w:ascii="宋体" w:hAnsi="宋体" w:eastAsia="宋体" w:cs="Times New Roman"/>
          <w:color w:val="auto"/>
          <w:sz w:val="21"/>
          <w:highlight w:val="none"/>
          <w:lang w:eastAsia="zh-CN"/>
        </w:rPr>
        <w:t xml:space="preserve">：</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lang w:val="en-US" w:eastAsia="zh-CN"/>
        </w:rPr>
        <w:t xml:space="preserve">计划开始:202</w:t>
      </w:r>
      <w:r>
        <w:rPr>
          <w:rFonts w:hint="eastAsia" w:ascii="宋体" w:hAnsi="宋体" w:cs="Times New Roman"/>
          <w:color w:val="auto"/>
          <w:sz w:val="21"/>
          <w:highlight w:val="none"/>
          <w:lang w:val="en-US" w:eastAsia="zh-CN"/>
        </w:rPr>
        <w:t xml:space="preserve">6</w:t>
      </w:r>
      <w:r>
        <w:rPr>
          <w:rFonts w:hint="eastAsia" w:ascii="宋体" w:hAnsi="宋体" w:eastAsia="宋体" w:cs="Times New Roman"/>
          <w:color w:val="auto"/>
          <w:sz w:val="21"/>
          <w:highlight w:val="none"/>
          <w:lang w:val="en-US" w:eastAsia="zh-CN"/>
        </w:rPr>
        <w:t xml:space="preserve">年11月19日。</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lang w:val="en-US" w:eastAsia="zh-CN"/>
        </w:rPr>
        <w:t xml:space="preserve">计划结束:202</w:t>
      </w:r>
      <w:r>
        <w:rPr>
          <w:rFonts w:hint="eastAsia" w:ascii="宋体" w:hAnsi="宋体" w:cs="Times New Roman"/>
          <w:color w:val="auto"/>
          <w:sz w:val="21"/>
          <w:highlight w:val="none"/>
          <w:lang w:val="en-US" w:eastAsia="zh-CN"/>
        </w:rPr>
        <w:t xml:space="preserve">8</w:t>
      </w:r>
      <w:r>
        <w:rPr>
          <w:rFonts w:hint="eastAsia" w:ascii="宋体" w:hAnsi="宋体" w:eastAsia="宋体" w:cs="Times New Roman"/>
          <w:color w:val="auto"/>
          <w:sz w:val="21"/>
          <w:highlight w:val="none"/>
          <w:lang w:val="en-US" w:eastAsia="zh-CN"/>
        </w:rPr>
        <w:t xml:space="preserve">年11月18日</w:t>
      </w:r>
      <w:r>
        <w:rPr>
          <w:rFonts w:hint="eastAsia" w:ascii="宋体" w:hAnsi="宋体" w:eastAsia="宋体" w:cs="Times New Roman"/>
          <w:color w:val="auto"/>
          <w:sz w:val="21"/>
          <w:highlight w:val="none"/>
        </w:rPr>
        <w:t xml:space="preserve">。</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具体以采购方通知为准。</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2、下列文件为本合同不可分割部分：</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中标通知书；</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乙方的投标文件；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eastAsia="zh-CN"/>
        </w:rPr>
        <w:t xml:space="preserve">中标单位（成交供应商）</w:t>
      </w:r>
      <w:r>
        <w:rPr>
          <w:rFonts w:hint="eastAsia" w:ascii="宋体" w:hAnsi="宋体" w:eastAsia="宋体" w:cs="Times New Roman"/>
          <w:color w:val="auto"/>
          <w:sz w:val="21"/>
          <w:highlight w:val="none"/>
        </w:rPr>
        <w:t xml:space="preserve">在招投标过程中所作的其它承诺、声明、书面澄清等；</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招标文件及其附件。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3、服务内容：详见招标文件。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4、服务标准：详见招标文件。 </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二、服务费用</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1、中标合同价：含税人民币</w:t>
      </w:r>
      <w:r>
        <w:rPr>
          <w:rFonts w:hint="eastAsia" w:ascii="宋体" w:hAnsi="宋体" w:eastAsia="宋体" w:cs="Times New Roman"/>
          <w:color w:val="auto"/>
          <w:sz w:val="21"/>
          <w:highlight w:val="none"/>
          <w:u w:val="single"/>
        </w:rPr>
        <w:t xml:space="preserve">(大写)      </w:t>
      </w:r>
      <w:r>
        <w:rPr>
          <w:rFonts w:hint="eastAsia" w:ascii="宋体" w:hAnsi="宋体" w:cs="Times New Roman"/>
          <w:color w:val="auto"/>
          <w:sz w:val="21"/>
          <w:highlight w:val="none"/>
          <w:u w:val="single"/>
          <w:lang w:val="en-US" w:eastAsia="zh-CN"/>
        </w:rPr>
        <w:t xml:space="preserve">    </w:t>
      </w:r>
      <w:r>
        <w:rPr>
          <w:rFonts w:hint="eastAsia" w:ascii="宋体" w:hAnsi="宋体" w:eastAsia="宋体" w:cs="Times New Roman"/>
          <w:color w:val="auto"/>
          <w:sz w:val="21"/>
          <w:highlight w:val="none"/>
          <w:u w:val="single"/>
        </w:rPr>
        <w:t xml:space="preserve">     （￥     </w:t>
      </w:r>
      <w:r>
        <w:rPr>
          <w:rFonts w:hint="eastAsia" w:ascii="宋体" w:hAnsi="宋体" w:cs="Times New Roman"/>
          <w:color w:val="auto"/>
          <w:sz w:val="21"/>
          <w:highlight w:val="none"/>
          <w:u w:val="single"/>
          <w:lang w:val="en-US" w:eastAsia="zh-CN"/>
        </w:rPr>
        <w:t xml:space="preserve">   </w:t>
      </w:r>
      <w:r>
        <w:rPr>
          <w:rFonts w:hint="eastAsia" w:ascii="宋体" w:hAnsi="宋体" w:eastAsia="宋体" w:cs="Times New Roman"/>
          <w:color w:val="auto"/>
          <w:sz w:val="21"/>
          <w:highlight w:val="none"/>
          <w:u w:val="single"/>
        </w:rPr>
        <w:t xml:space="preserve">      ）</w:t>
      </w:r>
      <w:r>
        <w:rPr>
          <w:rFonts w:hint="eastAsia" w:ascii="宋体" w:hAnsi="宋体" w:eastAsia="宋体" w:cs="Times New Roman"/>
          <w:color w:val="auto"/>
          <w:sz w:val="21"/>
          <w:highlight w:val="none"/>
        </w:rPr>
        <w:t xml:space="preserve">。</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若开票全额与实际开票金额有尾差，以实际开票为准。</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2、以上费用</w:t>
      </w:r>
      <w:r>
        <w:rPr>
          <w:rFonts w:hint="eastAsia" w:ascii="宋体" w:hAnsi="宋体" w:eastAsia="宋体" w:cs="Times New Roman"/>
          <w:color w:val="auto"/>
          <w:sz w:val="21"/>
          <w:highlight w:val="none"/>
          <w:lang w:val="en-US" w:eastAsia="zh-CN"/>
        </w:rPr>
        <w:t xml:space="preserve">包括但不限于</w:t>
      </w:r>
      <w:r>
        <w:rPr>
          <w:rFonts w:hint="eastAsia" w:ascii="宋体" w:hAnsi="宋体" w:eastAsia="宋体" w:cs="Times New Roman"/>
          <w:color w:val="auto"/>
          <w:sz w:val="21"/>
          <w:highlight w:val="none"/>
        </w:rPr>
        <w:t xml:space="preserve">在承包期内</w:t>
      </w:r>
      <w:r>
        <w:rPr>
          <w:rFonts w:hint="eastAsia" w:ascii="宋体" w:hAnsi="宋体" w:eastAsia="宋体" w:cs="Times New Roman"/>
          <w:color w:val="auto"/>
          <w:sz w:val="21"/>
          <w:highlight w:val="none"/>
          <w:lang w:val="en-US" w:eastAsia="zh-CN"/>
        </w:rPr>
        <w:t xml:space="preserve">所有</w:t>
      </w:r>
      <w:r>
        <w:rPr>
          <w:rFonts w:hint="eastAsia" w:ascii="宋体" w:hAnsi="宋体" w:eastAsia="宋体" w:cs="Times New Roman"/>
          <w:color w:val="auto"/>
          <w:sz w:val="21"/>
          <w:highlight w:val="none"/>
        </w:rPr>
        <w:t xml:space="preserve">综合服务需要的服务内容、耗材、通讯、服装、胸卡、办公设备、巡检器材、各种税费、人工、水、电、保险、劳保、维护、利润、税金、代理服务费、政策性文件规定及合同包含的所有风险、责任等各项应有费用。</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3、合同价款的支付及付款方式：</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lang w:val="en-US" w:eastAsia="zh-CN"/>
        </w:rPr>
        <w:t xml:space="preserve">3.1预付款：合同签订后，支付合同金额30%的预付款。在签订合同时，乙方明确表示无需预付款或者主动要求降低预付款比例的，</w:t>
      </w:r>
      <w:r>
        <w:rPr>
          <w:rFonts w:hint="eastAsia" w:ascii="宋体" w:hAnsi="宋体" w:cs="Times New Roman"/>
          <w:color w:val="auto"/>
          <w:sz w:val="21"/>
          <w:highlight w:val="none"/>
          <w:lang w:val="en-US" w:eastAsia="zh-CN"/>
        </w:rPr>
        <w:t xml:space="preserve">采购单位（管理方）</w:t>
      </w:r>
      <w:r>
        <w:rPr>
          <w:rFonts w:hint="eastAsia" w:ascii="宋体" w:hAnsi="宋体" w:eastAsia="宋体" w:cs="Times New Roman"/>
          <w:color w:val="auto"/>
          <w:sz w:val="21"/>
          <w:highlight w:val="none"/>
          <w:lang w:val="en-US" w:eastAsia="zh-CN"/>
        </w:rPr>
        <w:t xml:space="preserve">可不适用上述关于预付款的规定。</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lang w:val="en-US" w:eastAsia="zh-CN"/>
        </w:rPr>
        <w:t xml:space="preserve">3.2根据现行税法对采购方征收的与本项目采购合同有关的一切税费均由采购方承担；根据现行税法对管理方征收的与本项目采购合同有关的一切税费均由管理方承担；根据现行税法对</w:t>
      </w:r>
      <w:r>
        <w:rPr>
          <w:rFonts w:hint="eastAsia" w:ascii="宋体" w:hAnsi="宋体" w:cs="Times New Roman"/>
          <w:color w:val="auto"/>
          <w:sz w:val="21"/>
          <w:highlight w:val="none"/>
          <w:lang w:val="en-US" w:eastAsia="zh-CN"/>
        </w:rPr>
        <w:t xml:space="preserve">中标单位（成交供应商）</w:t>
      </w:r>
      <w:r>
        <w:rPr>
          <w:rFonts w:hint="eastAsia" w:ascii="宋体" w:hAnsi="宋体" w:eastAsia="宋体" w:cs="Times New Roman"/>
          <w:color w:val="auto"/>
          <w:sz w:val="21"/>
          <w:highlight w:val="none"/>
          <w:lang w:val="en-US" w:eastAsia="zh-CN"/>
        </w:rPr>
        <w:t xml:space="preserve">征收的与本项目采购合同有关的一切税费均由</w:t>
      </w:r>
      <w:r>
        <w:rPr>
          <w:rFonts w:hint="eastAsia" w:ascii="宋体" w:hAnsi="宋体" w:cs="Times New Roman"/>
          <w:color w:val="auto"/>
          <w:sz w:val="21"/>
          <w:highlight w:val="none"/>
          <w:lang w:val="en-US" w:eastAsia="zh-CN"/>
        </w:rPr>
        <w:t xml:space="preserve">中标单位（成交供应商）</w:t>
      </w:r>
      <w:r>
        <w:rPr>
          <w:rFonts w:hint="eastAsia" w:ascii="宋体" w:hAnsi="宋体" w:eastAsia="宋体" w:cs="Times New Roman"/>
          <w:color w:val="auto"/>
          <w:sz w:val="21"/>
          <w:highlight w:val="none"/>
          <w:lang w:val="en-US" w:eastAsia="zh-CN"/>
        </w:rPr>
        <w:t xml:space="preserve">承担。</w:t>
      </w:r>
      <w:r/>
    </w:p>
    <w:p>
      <w:pPr>
        <w:ind w:left="0" w:firstLine="420"/>
        <w:pageBreakBefore w:val="0"/>
        <w:spacing w:line="360" w:lineRule="auto"/>
        <w:tabs>
          <w:tab w:val="left" w:pos="567" w:leader="none"/>
        </w:tabs>
        <w:rPr>
          <w:rFonts w:hint="default"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3.3采购合同履行验收前按服务完成工作量。合同履行进度款按期支付(每期3个月),每期支付应予计量的服务工作量对应的合同金额的50%,合同履行验收合格且出具审计结果后分别于6月底或春节前付款，时间以合同履行验收时间合格为准。合同履行验收合格一年内付到审计金额的60%,超过一年不到两年的付到75%,超过两年不到三年的付到90%,余款在付到90%的基础上一年内付清，但是一个年度内只能支付一次。项目余款低于10万元的一次性付清。若遇国家审计抽审，以国家审计为准。</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3.4</w:t>
      </w:r>
      <w:r>
        <w:rPr>
          <w:rFonts w:hint="eastAsia" w:ascii="宋体" w:hAnsi="宋体" w:cs="Times New Roman"/>
          <w:color w:val="auto"/>
          <w:sz w:val="21"/>
          <w:highlight w:val="none"/>
          <w:lang w:eastAsia="zh-CN"/>
        </w:rPr>
        <w:t xml:space="preserve">采购单位（管理方）</w:t>
      </w:r>
      <w:r>
        <w:rPr>
          <w:rFonts w:hint="eastAsia" w:ascii="宋体" w:hAnsi="宋体" w:eastAsia="宋体" w:cs="Times New Roman"/>
          <w:color w:val="auto"/>
          <w:sz w:val="21"/>
          <w:highlight w:val="none"/>
        </w:rPr>
        <w:t xml:space="preserve">支付此项费用外不再承担其它任何费用（包括个人），服务人员的薪金、福利、休假日补贴等由乙方付给，与</w:t>
      </w:r>
      <w:r>
        <w:rPr>
          <w:rFonts w:hint="eastAsia" w:ascii="宋体" w:hAnsi="宋体" w:cs="Times New Roman"/>
          <w:color w:val="auto"/>
          <w:sz w:val="21"/>
          <w:highlight w:val="none"/>
          <w:lang w:eastAsia="zh-CN"/>
        </w:rPr>
        <w:t xml:space="preserve">采购单位（管理方）</w:t>
      </w:r>
      <w:r>
        <w:rPr>
          <w:rFonts w:hint="eastAsia" w:ascii="宋体" w:hAnsi="宋体" w:eastAsia="宋体" w:cs="Times New Roman"/>
          <w:color w:val="auto"/>
          <w:sz w:val="21"/>
          <w:highlight w:val="none"/>
        </w:rPr>
        <w:t xml:space="preserve">无关。</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3.5支付方式：银行转账，数字人民币（如</w:t>
      </w:r>
      <w:r>
        <w:rPr>
          <w:rFonts w:hint="eastAsia" w:ascii="宋体" w:hAnsi="宋体" w:cs="Times New Roman"/>
          <w:color w:val="auto"/>
          <w:sz w:val="21"/>
          <w:highlight w:val="none"/>
          <w:lang w:eastAsia="zh-CN"/>
        </w:rPr>
        <w:t xml:space="preserve">采购单位（管理方）</w:t>
      </w:r>
      <w:r>
        <w:rPr>
          <w:rFonts w:hint="eastAsia" w:ascii="宋体" w:hAnsi="宋体" w:eastAsia="宋体" w:cs="Times New Roman"/>
          <w:color w:val="auto"/>
          <w:sz w:val="21"/>
          <w:highlight w:val="none"/>
        </w:rPr>
        <w:t xml:space="preserve">要求）</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开户银行: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银行账号:</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数币账号:</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纳税人识别号:</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服务款结算时，需提供以下资料：</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A、按采购单位、管理方的相关要求提供资料；</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B、</w:t>
      </w:r>
      <w:r>
        <w:rPr>
          <w:rFonts w:hint="eastAsia" w:ascii="宋体" w:hAnsi="宋体" w:cs="Times New Roman"/>
          <w:color w:val="auto"/>
          <w:sz w:val="21"/>
          <w:highlight w:val="none"/>
          <w:lang w:val="en-US" w:eastAsia="zh-CN"/>
        </w:rPr>
        <w:t xml:space="preserve">满足采购单位、管理方要求的</w:t>
      </w:r>
      <w:r>
        <w:rPr>
          <w:rFonts w:hint="eastAsia" w:ascii="宋体" w:hAnsi="宋体" w:eastAsia="宋体" w:cs="Times New Roman"/>
          <w:color w:val="auto"/>
          <w:sz w:val="21"/>
          <w:highlight w:val="none"/>
        </w:rPr>
        <w:t xml:space="preserve">合格发票</w:t>
      </w:r>
      <w:r>
        <w:rPr>
          <w:rFonts w:hint="eastAsia" w:ascii="宋体" w:hAnsi="宋体" w:cs="Times New Roman"/>
          <w:color w:val="auto"/>
          <w:sz w:val="21"/>
          <w:highlight w:val="none"/>
          <w:lang w:eastAsia="zh-CN"/>
        </w:rPr>
        <w:t xml:space="preserve">（</w:t>
      </w:r>
      <w:r>
        <w:rPr>
          <w:rFonts w:hint="eastAsia" w:ascii="宋体" w:hAnsi="宋体" w:cs="Times New Roman"/>
          <w:color w:val="auto"/>
          <w:sz w:val="21"/>
          <w:highlight w:val="none"/>
          <w:lang w:val="en-US" w:eastAsia="zh-CN"/>
        </w:rPr>
        <w:t xml:space="preserve">增值税专用发票）</w:t>
      </w:r>
      <w:r>
        <w:rPr>
          <w:rFonts w:hint="eastAsia" w:ascii="宋体" w:hAnsi="宋体" w:eastAsia="宋体" w:cs="Times New Roman"/>
          <w:color w:val="auto"/>
          <w:sz w:val="21"/>
          <w:highlight w:val="none"/>
        </w:rPr>
        <w:t xml:space="preserve">；</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C、采购合同履行验收报告（验收完成后提供）。</w:t>
      </w:r>
      <w:r/>
    </w:p>
    <w:p>
      <w:pPr>
        <w:ind w:left="0" w:firstLine="420"/>
        <w:pageBreakBefore w:val="0"/>
        <w:spacing w:line="360" w:lineRule="auto"/>
        <w:tabs>
          <w:tab w:val="left" w:pos="567" w:leader="none"/>
        </w:tabs>
        <w:rPr>
          <w:rFonts w:hint="default" w:ascii="宋体" w:hAnsi="宋体" w:cs="Times New Roman"/>
          <w:color w:val="auto"/>
          <w:sz w:val="21"/>
          <w:highlight w:val="none"/>
        </w:rPr>
      </w:pPr>
      <w:r>
        <w:rPr>
          <w:rFonts w:hint="eastAsia" w:ascii="宋体" w:hAnsi="宋体" w:cs="Times New Roman"/>
          <w:color w:val="auto"/>
          <w:sz w:val="21"/>
          <w:highlight w:val="none"/>
          <w:lang w:val="en-US" w:eastAsia="zh-CN"/>
        </w:rPr>
        <w:t xml:space="preserve">3.6本项目最终应得项目款项由服务期内每月考核结算决定。</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三、服务工作管理、检查考核</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1、本项目管理方为苏州吴中太湖新城市政管理服务有限公司，代表采购方履行招标文件及采购合同所要求的相关管理事项，以及采购方的其他相关合理要求。</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2</w:t>
      </w:r>
      <w:r>
        <w:rPr>
          <w:rFonts w:hint="eastAsia" w:ascii="宋体" w:hAnsi="宋体" w:eastAsia="宋体" w:cs="Times New Roman"/>
          <w:color w:val="auto"/>
          <w:sz w:val="21"/>
          <w:highlight w:val="none"/>
        </w:rPr>
        <w:t xml:space="preserve">、考核以甲方（项目管理方）要求为准，考核相关条款，甲方（项目管理方）有权在实施过程中进行修订，中标单位无条件接受。</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3</w:t>
      </w:r>
      <w:r>
        <w:rPr>
          <w:rFonts w:hint="eastAsia" w:ascii="宋体" w:hAnsi="宋体" w:eastAsia="宋体" w:cs="Times New Roman"/>
          <w:color w:val="auto"/>
          <w:sz w:val="21"/>
          <w:highlight w:val="none"/>
        </w:rPr>
        <w:t xml:space="preserve">、如有第三方考核事项，以第三方考核单位制定且经采购单位审核通过的方案为准。</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四、甲、乙双方的责任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1.采购单位（管理方）责任：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1.1为</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提供所需相关设备的技术资料，并指定专人作为采购单位（管理方）联系人予以协调工作。加强与</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沟通，交流情况，互通信息。</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1.2采购单位（管理方）应教育所属人员尊重</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工作人员的劳动成果，积极配合</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工作人员履行好合同所规定的职责和义务。对采购单位（管理方）人员因使用设备、器材、器械不当而造成的损失与</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无关。</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1.3 采购单位（管理方）对</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的工作依据响应文件、服务合同和服务管理考核办法的相关服务标准</w:t>
      </w:r>
      <w:r>
        <w:rPr>
          <w:rFonts w:hint="eastAsia" w:ascii="宋体" w:hAnsi="宋体" w:cs="Times New Roman"/>
          <w:color w:val="auto"/>
          <w:sz w:val="21"/>
          <w:highlight w:val="none"/>
          <w:lang w:eastAsia="zh-CN"/>
        </w:rPr>
        <w:t xml:space="preserve">每月</w:t>
      </w:r>
      <w:r>
        <w:rPr>
          <w:rFonts w:hint="eastAsia" w:ascii="宋体" w:hAnsi="宋体" w:eastAsia="宋体" w:cs="Times New Roman"/>
          <w:color w:val="auto"/>
          <w:sz w:val="21"/>
          <w:highlight w:val="none"/>
        </w:rPr>
        <w:t xml:space="preserve">实行检查考核，对工作中的不足将以书面形式汇总至</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，要求</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根据要求限期整改并在相应支付的款额中进行抵扣。</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2.1</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在从事管理服务工作中应当做到文明工作、安全生产，采取必要的安全防范措施，合同期内若发生安全事故由</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承担，与采购单位（管理方）无关。</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应及时调整不适应工作需求的管理服务人员及其员工。如采购单位（管理方）认为该员工不能胜任本职工作的，必须调整。</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2.3</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应经常对员工进行岗位职责和安全教育，加强岗位责任考核。因管理不当、违规操作发生设备损坏、被盗等安全事故对采购单位（管理方）造成一定损失的，</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需承担相应的赔偿责任。具体办法于合同签订后经甲乙双方协商后确定。</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五</w:t>
      </w:r>
      <w:r>
        <w:rPr>
          <w:rFonts w:hint="eastAsia" w:ascii="宋体" w:hAnsi="宋体" w:eastAsia="宋体" w:cs="Times New Roman"/>
          <w:color w:val="auto"/>
          <w:sz w:val="21"/>
          <w:highlight w:val="none"/>
        </w:rPr>
        <w:t xml:space="preserve">、违约责任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1.采购单位（管理方）违约责任：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1.1在合同生效后，采购单位（管理方）无故要求解除合同的，应向</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偿付合同总价款5%的违约金，违约金不足以补偿损失的，</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有权要求采购单位（管理方）补足。</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的违约责任：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2.1 在合同生效后，</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无故要求解除合同的，应向采购单位（管理方）偿付合同总价款5%的违约金，违约金不足以补偿损失的，采购单位（管理方）有权要求</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补足。</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未按合同规定的质量要求提供服务，不能完成合同时，采购单位（管理方）有权解除合同，</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向采购单位（管理方）偿付合同总价款5%的违约金，违约金不足以补偿损失的采购单位（管理方）有权要求</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补足。</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2.3</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必须自己完成合同内容，不得自行分包，否则，采购单位（管理方）有权按</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不能完成合同处理；</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需要分包的都必须在响应文件中明确单位承担和承担单位的情况介绍。</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2.4</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应执行国家有关规定，负责</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员工的生病、事故、伤残、死亡和劳务纠纷，采购单位（管理方）不承担任何相关责任。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2.5</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负有对自己员工的安全责任，采购单位（管理方）不承担任何相关责任。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六</w:t>
      </w:r>
      <w:r>
        <w:rPr>
          <w:rFonts w:hint="eastAsia" w:ascii="宋体" w:hAnsi="宋体" w:eastAsia="宋体" w:cs="Times New Roman"/>
          <w:color w:val="auto"/>
          <w:sz w:val="21"/>
          <w:highlight w:val="none"/>
        </w:rPr>
        <w:t xml:space="preserve">、不可抗力</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1.如果</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和采购单位（管理方）因不可抗力而导致合同实施延误或不能履行合同义务，不应该承担误期赔偿或不能履行合同义务的责任。因</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或采购单位（管理方）先延误或不能履行合同而后遇不可抗力的情形除外。</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七</w:t>
      </w:r>
      <w:r>
        <w:rPr>
          <w:rFonts w:hint="eastAsia" w:ascii="宋体" w:hAnsi="宋体" w:eastAsia="宋体" w:cs="Times New Roman"/>
          <w:color w:val="auto"/>
          <w:sz w:val="21"/>
          <w:highlight w:val="none"/>
        </w:rPr>
        <w:t xml:space="preserve">、争端的解决</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1.采购单位（管理方）和</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应通过友好协商，解决在执行本合同过程中所发生的或与本合同有关的一切争端。如从协商开始十天内仍不能解决，可向有关合同管理部门提请调解。</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2.如果调解不成，双方中的任何一方可向人民法院提起诉讼。诉讼由采购单位（管理方）住所地人民法院管辖。</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3.诉讼费由败诉方负担。</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4.因合同部分履行引发诉讼的，在诉讼期间，除正在进行诉讼的部分外，本合同的其它部分应继续执行。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八</w:t>
      </w:r>
      <w:r>
        <w:rPr>
          <w:rFonts w:hint="eastAsia" w:ascii="宋体" w:hAnsi="宋体" w:eastAsia="宋体" w:cs="Times New Roman"/>
          <w:color w:val="auto"/>
          <w:sz w:val="21"/>
          <w:highlight w:val="none"/>
        </w:rPr>
        <w:t xml:space="preserve">、违约终止合同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1.在采购单位（管理方）因</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违约而按合同约定采取的任何补救措施不受影响的情况下，采购单位（管理方）可在下列情况下向</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发出书面通知，提出终止部分或全部合同。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1.1 如果</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未能在合同规定的限期或采购单位（管理方）同意延长的限期内提供部分或全部服务。</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1.2 如果</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未能履行合同规定的其它任何义务。</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1.3 如果</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采购单位（管理方）的利益，包括响应单位之间串通，人为地使采购活动丧失竞争性，损害采购单位（管理方）所能获得的权益。</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2.如果采购单位（管理方）根据以上的规定，终止了全部或部分合同，采购单位（管理方）可以依其认为适当的条件和方法购买与未提供服务类似的服务，</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应对购买类似服务所超出的那部分费用负责。并且，</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应继续履行合同中未终止的部分。 </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val="en-US" w:eastAsia="zh-CN"/>
        </w:rPr>
        <w:t xml:space="preserve">九</w:t>
      </w:r>
      <w:r>
        <w:rPr>
          <w:rFonts w:hint="eastAsia" w:ascii="宋体" w:hAnsi="宋体" w:eastAsia="宋体" w:cs="Times New Roman"/>
          <w:color w:val="auto"/>
          <w:sz w:val="21"/>
          <w:highlight w:val="none"/>
        </w:rPr>
        <w:t xml:space="preserve">、破产终止合同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如果</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破产或丧失清偿能力，采购单位（管理方）可在任何时候以书面形式通知</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终止合同而不给</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补偿。该终止合同将不损害或影响采购单位（管理方）已经采取或将要采取任何补救措施的权利。 </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十、保密：</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保密信息是指采购单位（管理方）向</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提供的与或</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从项目中知悉的与项目有关的一切技术、信息和商业信息。不管是以口头的、书面的、图表的、表格的、记录的、电磁的以及其他任何形式，包括书籍、记录、计划、数据、研究、方案、想法、概念、预测、报告、意见、技术、程序、进展、部件、发明、应用、动产、不动产，提供方或其关联公司的其他相关信息或知识产权，以及有关提供方或其关联公司的公众一般难以获取的不论形式、种类、性质和获取方式的任何其他信息。属于采购单位（管理方）专有的及由一方口头或书面确定为采购单位（管理方）专有的任何其他信息。</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1、不透露保密信息</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同意，除本条款允许和采购单位（管理方）书面同意的以外，</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不得在任何时候，以任何形式透露、披露、沟通、使用、抄袭、复制或者盗用全部或者部分的保密信息，不论为其自己，或者为任何其他人士或者实体。如果</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被要求(通过口头质问、讯问、信息或者文件要求、传票、民事调查要求或者类似法律程序)披露保密信息，</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应立即以书面形式通知采购单位（管理方）该等要求，以便采购单位（管理方）可以寻求合适的法律救济或者以书面形式放弃该情形下</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遵守本条款相关规定的要求。</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如因法律要求而被迫必须披露该等保密信息，</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可以向该有权机关合理披露该等保密信息，而不承担此条款下任何责任。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对保密信息的管理与使用义务</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同意其员工限于职务上必须知悉或使用的，才能知悉或使用该信息，</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应与该员工签订与本合同实质内容一致的保密协议，并以采购单位（管理方）为该协议的利益第三人（有独立请求权），</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应提供员工名单及协议复本以备采购单位（管理方）存查。不论</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将入职、在职或离职员工违反保密合同的约定时，均视为</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违约，</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应承担本合同约定的违约责任。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同意采取必要的措施维护保密信息的保密性，如因履行本合同约定的范围内的工作，而须将保密标的交付或告知第三人时，应取得采购单位（管理方）的书面许可，且应与该第三人签订与本合同内容实质一致的保密协议，并以采购单位（管理方）为该协议的利益第三人，</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应提供该协议复本以备采购单位（管理方）存查。如该第三人违反保密合同的约定时，均视为</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违约，</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应承担本合同约定的违约责任。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在经采购单位（管理方）事先书面批准后向合作方公开从采购单位（管理方）知悉的保密信息时，保证该合作方遵守本条款下</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的所有义务，不论是在合作期间还是结束合作之后。如该合作方违反相应义务，则视为</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违约，</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与其共同承担违约责任。</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无权对采购单位（管理方）公开的保密信息进行任何形式的转卖。</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3、属于以下情况时将不视为</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的泄密行为</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（1）采购单位（管理方）在向</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披露保密信息后，又通过文字出版等其他形式使其成为公开信息的一部分或全部时。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（2）具有采购单位（管理方）书面证明的已被解除保密的信息。</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（3）公开时是在公共场合，并有采购单位（管理方）的书面公布证明。</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（4）被采购单位（管理方）泄露给第三方，但采购单位（管理方）对该第三方保密或使用该信息的权利并未做限制。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（5）</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在按照政府决定或法院裁决需要提供采购单位（管理方）向</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披露的任何保密信息时，但前提是在提供之前</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必须以书面形式及时通知采购单位（管理方），并尽最大努力协助采购单位（管理方）以符合采购单位（管理方）要求的手段防止或限制保密信息的泄露。</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（6）</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能证明自己在采购单位（管理方）向</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公开保密信息之前，自己已经拥有此技术或信息。</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4、权利保留</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采购单位（管理方）向</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披露的保密信息中含有的专利权、著作权、技术诀窍或其他权利是属于采购单位（管理方）或第三人所有。如含有任何可以申请专利权等知识产权或其他权利时，</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不得进行申请，也不得将其提供给其他人申请该专利权等知识产权或其他权利。本条款不得解释为向接受方授予任何提供方知识产权项下的权利或者许可。本条款没有，也不得推定达成任何除与项目有关的保密规定外的协议或者承诺。</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5、保密信息的归还义务</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应于本合同终止，或得到采购单位（管理方）通知之日起五个工作日内，将采购单位（管理方）交付给</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的保密信息及其所有的复制、拷贝本，不论是由采购单位（管理方）所提供或是由</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所自行制作者，均应返还采购单位（管理方）；无法返还的，应立即清除销毁，并由负责执行人员代表公司签署销毁确认书，证明已确实销毁，销毁确认书应于销毁之日起五个工作日内邮寄到采购单位（管理方）。</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6、使用限制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同意以双方约定的合同目的范围为限严格使用该信息。</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使用采购单位（管理方）保密信息以及利用该信息完成的技术成果只能为采购单位（管理方）服务，不能为除采购单位（管理方）以外的第三方服务，除非经采购单位（管理方）书面许可。</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经采购单位（管理方）书面批准使用后，</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保证不将协议涉及的任何技术或产品直接或间接地出</w:t>
      </w:r>
      <w:bookmarkStart w:id="80" w:name="_GoBack"/>
      <w:r/>
      <w:bookmarkEnd w:id="80"/>
      <w:r>
        <w:rPr>
          <w:rFonts w:hint="eastAsia" w:ascii="宋体" w:hAnsi="宋体" w:eastAsia="宋体" w:cs="Times New Roman"/>
          <w:color w:val="auto"/>
          <w:sz w:val="21"/>
          <w:highlight w:val="none"/>
        </w:rPr>
        <w:t xml:space="preserve">口到中国政府限制或禁止的地区。</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十</w:t>
      </w:r>
      <w:r>
        <w:rPr>
          <w:rFonts w:hint="eastAsia" w:ascii="宋体" w:hAnsi="宋体" w:cs="Times New Roman"/>
          <w:color w:val="auto"/>
          <w:sz w:val="21"/>
          <w:highlight w:val="none"/>
          <w:lang w:val="en-US" w:eastAsia="zh-CN"/>
        </w:rPr>
        <w:t xml:space="preserve">一</w:t>
      </w:r>
      <w:r>
        <w:rPr>
          <w:rFonts w:hint="eastAsia" w:ascii="宋体" w:hAnsi="宋体" w:eastAsia="宋体" w:cs="Times New Roman"/>
          <w:color w:val="auto"/>
          <w:sz w:val="21"/>
          <w:highlight w:val="none"/>
        </w:rPr>
        <w:t xml:space="preserve">、合同修改：</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不得擅自变更本合同，但合同继续履行将损害国家和社会公共利益的除外。</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十</w:t>
      </w:r>
      <w:r>
        <w:rPr>
          <w:rFonts w:hint="eastAsia" w:ascii="宋体" w:hAnsi="宋体" w:cs="Times New Roman"/>
          <w:color w:val="auto"/>
          <w:sz w:val="21"/>
          <w:highlight w:val="none"/>
          <w:lang w:val="en-US" w:eastAsia="zh-CN"/>
        </w:rPr>
        <w:t xml:space="preserve">二</w:t>
      </w:r>
      <w:r>
        <w:rPr>
          <w:rFonts w:hint="eastAsia" w:ascii="宋体" w:hAnsi="宋体" w:eastAsia="宋体" w:cs="Times New Roman"/>
          <w:color w:val="auto"/>
          <w:sz w:val="21"/>
          <w:highlight w:val="none"/>
        </w:rPr>
        <w:t xml:space="preserve">、转让和分包：</w:t>
      </w:r>
      <w:r/>
    </w:p>
    <w:p>
      <w:pPr>
        <w:ind w:left="0" w:firstLine="420"/>
        <w:pageBreakBefore w:val="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本项目不得转包、分包。</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十</w:t>
      </w:r>
      <w:r>
        <w:rPr>
          <w:rFonts w:hint="eastAsia" w:ascii="宋体" w:hAnsi="宋体" w:cs="Times New Roman"/>
          <w:color w:val="auto"/>
          <w:sz w:val="21"/>
          <w:highlight w:val="none"/>
          <w:lang w:val="en-US" w:eastAsia="zh-CN"/>
        </w:rPr>
        <w:t xml:space="preserve">三</w:t>
      </w:r>
      <w:r>
        <w:rPr>
          <w:rFonts w:hint="eastAsia" w:ascii="宋体" w:hAnsi="宋体" w:eastAsia="宋体" w:cs="Times New Roman"/>
          <w:color w:val="auto"/>
          <w:sz w:val="21"/>
          <w:highlight w:val="none"/>
        </w:rPr>
        <w:t xml:space="preserve">、合同的解除：</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1、除《政府采购法》第49条、第50条第二款规定的情形及本合同约定的情形外，本合同签订后，甲乙双方不得擅自变更、解除或终止本合同。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2、有下列情形之一，合同一方可以解除合同：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2.1因不可抗力致使不能实现合同目的，未受不可抗力影响的一方有权解除合同；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2.2因合同一方违约导致合同不能履行，另一方有权解除合同。</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3、有权解除合同的一方，应当在违约事实或不可抗力发生之后三十天内书面通知对方提出解除合同，合同在书面通知到达对方时解除。</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十</w:t>
      </w:r>
      <w:r>
        <w:rPr>
          <w:rFonts w:hint="eastAsia" w:ascii="宋体" w:hAnsi="宋体" w:cs="Times New Roman"/>
          <w:color w:val="auto"/>
          <w:sz w:val="21"/>
          <w:highlight w:val="none"/>
          <w:lang w:val="en-US" w:eastAsia="zh-CN"/>
        </w:rPr>
        <w:t xml:space="preserve">四</w:t>
      </w:r>
      <w:r>
        <w:rPr>
          <w:rFonts w:hint="eastAsia" w:ascii="宋体" w:hAnsi="宋体" w:eastAsia="宋体" w:cs="Times New Roman"/>
          <w:color w:val="auto"/>
          <w:sz w:val="21"/>
          <w:highlight w:val="none"/>
        </w:rPr>
        <w:t xml:space="preserve">、其它约定事项：</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1、下列文件为本合同不可分割部分：</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1.1成交通知书；</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的</w:t>
      </w:r>
      <w:r>
        <w:rPr>
          <w:rFonts w:hint="eastAsia" w:ascii="宋体" w:hAnsi="宋体" w:cs="Times New Roman"/>
          <w:color w:val="auto"/>
          <w:sz w:val="21"/>
          <w:highlight w:val="none"/>
          <w:lang w:eastAsia="zh-CN"/>
        </w:rPr>
        <w:t xml:space="preserve">投标</w:t>
      </w:r>
      <w:r>
        <w:rPr>
          <w:rFonts w:hint="eastAsia" w:ascii="宋体" w:hAnsi="宋体" w:eastAsia="宋体" w:cs="Times New Roman"/>
          <w:color w:val="auto"/>
          <w:sz w:val="21"/>
          <w:highlight w:val="none"/>
        </w:rPr>
        <w:t xml:space="preserve">响应文件；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1.3</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在</w:t>
      </w:r>
      <w:r>
        <w:rPr>
          <w:rFonts w:hint="eastAsia" w:ascii="宋体" w:hAnsi="宋体" w:cs="Times New Roman"/>
          <w:color w:val="auto"/>
          <w:sz w:val="21"/>
          <w:highlight w:val="none"/>
          <w:lang w:eastAsia="zh-CN"/>
        </w:rPr>
        <w:t xml:space="preserve">投标</w:t>
      </w:r>
      <w:r>
        <w:rPr>
          <w:rFonts w:hint="eastAsia" w:ascii="宋体" w:hAnsi="宋体" w:eastAsia="宋体" w:cs="Times New Roman"/>
          <w:color w:val="auto"/>
          <w:sz w:val="21"/>
          <w:highlight w:val="none"/>
        </w:rPr>
        <w:t xml:space="preserve">过程中所作的其它承诺、声明、书面澄清等；</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1.4</w:t>
      </w:r>
      <w:r>
        <w:rPr>
          <w:rFonts w:hint="eastAsia" w:ascii="宋体" w:hAnsi="宋体" w:cs="Times New Roman"/>
          <w:color w:val="auto"/>
          <w:sz w:val="21"/>
          <w:highlight w:val="none"/>
          <w:lang w:val="en-US" w:eastAsia="zh-CN"/>
        </w:rPr>
        <w:t xml:space="preserve">投标</w:t>
      </w:r>
      <w:r>
        <w:rPr>
          <w:rFonts w:hint="eastAsia" w:ascii="宋体" w:hAnsi="宋体" w:eastAsia="宋体" w:cs="Times New Roman"/>
          <w:color w:val="auto"/>
          <w:sz w:val="21"/>
          <w:highlight w:val="none"/>
        </w:rPr>
        <w:t xml:space="preserve">文件及其附件；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1.5合同附件；</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以上与本合同具有同等法律效力。</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除应做好服务人员的安全教育外，还应为服务人员提供必要的劳动保护条件，为服务人员办理作业时的人身安全保险和意外伤害险，一切安全责任事故均由</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负责（保险种类由</w:t>
      </w:r>
      <w:r>
        <w:rPr>
          <w:rFonts w:hint="eastAsia" w:ascii="宋体" w:hAnsi="宋体" w:cs="Times New Roman"/>
          <w:color w:val="auto"/>
          <w:sz w:val="21"/>
          <w:highlight w:val="none"/>
          <w:lang w:eastAsia="zh-CN"/>
        </w:rPr>
        <w:t xml:space="preserve">中标单位（成交供应商、服务单位）</w:t>
      </w:r>
      <w:r>
        <w:rPr>
          <w:rFonts w:hint="eastAsia" w:ascii="宋体" w:hAnsi="宋体" w:eastAsia="宋体" w:cs="Times New Roman"/>
          <w:color w:val="auto"/>
          <w:sz w:val="21"/>
          <w:highlight w:val="none"/>
        </w:rPr>
        <w:t xml:space="preserve">自行选择）。</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十</w:t>
      </w:r>
      <w:r>
        <w:rPr>
          <w:rFonts w:hint="eastAsia" w:ascii="宋体" w:hAnsi="宋体" w:cs="Times New Roman"/>
          <w:color w:val="auto"/>
          <w:sz w:val="21"/>
          <w:highlight w:val="none"/>
          <w:lang w:val="en-US" w:eastAsia="zh-CN"/>
        </w:rPr>
        <w:t xml:space="preserve">五</w:t>
      </w:r>
      <w:r>
        <w:rPr>
          <w:rFonts w:hint="eastAsia" w:ascii="宋体" w:hAnsi="宋体" w:eastAsia="宋体" w:cs="Times New Roman"/>
          <w:color w:val="auto"/>
          <w:sz w:val="21"/>
          <w:highlight w:val="none"/>
        </w:rPr>
        <w:t xml:space="preserve">、合同的生效：</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本合同（采购编号：</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rPr>
        <w:t xml:space="preserve">）经甲乙双方签字并加盖公章（或合同章）后即生效，生效后至网上备案。</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十</w:t>
      </w:r>
      <w:r>
        <w:rPr>
          <w:rFonts w:hint="eastAsia" w:ascii="宋体" w:hAnsi="宋体" w:cs="Times New Roman"/>
          <w:color w:val="auto"/>
          <w:sz w:val="21"/>
          <w:highlight w:val="none"/>
          <w:lang w:val="en-US" w:eastAsia="zh-CN"/>
        </w:rPr>
        <w:t xml:space="preserve">六</w:t>
      </w:r>
      <w:r>
        <w:rPr>
          <w:rFonts w:hint="eastAsia" w:ascii="宋体" w:hAnsi="宋体" w:eastAsia="宋体" w:cs="Times New Roman"/>
          <w:color w:val="auto"/>
          <w:sz w:val="21"/>
          <w:highlight w:val="none"/>
        </w:rPr>
        <w:t xml:space="preserve">、附则：</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1、合同份数：本合同一式</w:t>
      </w:r>
      <w:r>
        <w:rPr>
          <w:rFonts w:hint="eastAsia" w:ascii="宋体" w:hAnsi="宋体" w:cs="Times New Roman"/>
          <w:color w:val="auto"/>
          <w:sz w:val="21"/>
          <w:highlight w:val="none"/>
          <w:lang w:val="en-US" w:eastAsia="zh-CN"/>
        </w:rPr>
        <w:t xml:space="preserve">柒</w:t>
      </w:r>
      <w:r>
        <w:rPr>
          <w:rFonts w:hint="eastAsia" w:ascii="宋体" w:hAnsi="宋体" w:eastAsia="宋体" w:cs="Times New Roman"/>
          <w:color w:val="auto"/>
          <w:sz w:val="21"/>
          <w:highlight w:val="none"/>
        </w:rPr>
        <w:t xml:space="preserve">份，甲方</w:t>
      </w:r>
      <w:r>
        <w:rPr>
          <w:rFonts w:hint="eastAsia" w:ascii="宋体" w:hAnsi="宋体" w:cs="Times New Roman"/>
          <w:color w:val="auto"/>
          <w:sz w:val="21"/>
          <w:highlight w:val="none"/>
          <w:lang w:val="en-US" w:eastAsia="zh-CN"/>
        </w:rPr>
        <w:t xml:space="preserve">贰</w:t>
      </w:r>
      <w:r>
        <w:rPr>
          <w:rFonts w:hint="eastAsia" w:ascii="宋体" w:hAnsi="宋体" w:eastAsia="宋体" w:cs="Times New Roman"/>
          <w:color w:val="auto"/>
          <w:sz w:val="21"/>
          <w:highlight w:val="none"/>
        </w:rPr>
        <w:t xml:space="preserve">份，管理方</w:t>
      </w:r>
      <w:r>
        <w:rPr>
          <w:rFonts w:hint="eastAsia" w:ascii="宋体" w:hAnsi="宋体" w:cs="Times New Roman"/>
          <w:color w:val="auto"/>
          <w:sz w:val="21"/>
          <w:highlight w:val="none"/>
          <w:lang w:val="en-US" w:eastAsia="zh-CN"/>
        </w:rPr>
        <w:t xml:space="preserve">贰</w:t>
      </w:r>
      <w:r>
        <w:rPr>
          <w:rFonts w:hint="eastAsia" w:ascii="宋体" w:hAnsi="宋体" w:eastAsia="宋体" w:cs="Times New Roman"/>
          <w:color w:val="auto"/>
          <w:sz w:val="21"/>
          <w:highlight w:val="none"/>
        </w:rPr>
        <w:t xml:space="preserve">份，乙方</w:t>
      </w:r>
      <w:r>
        <w:rPr>
          <w:rFonts w:hint="eastAsia" w:ascii="宋体" w:hAnsi="宋体" w:cs="Times New Roman"/>
          <w:color w:val="auto"/>
          <w:sz w:val="21"/>
          <w:highlight w:val="none"/>
          <w:lang w:val="en-US" w:eastAsia="zh-CN"/>
        </w:rPr>
        <w:t xml:space="preserve">贰</w:t>
      </w:r>
      <w:r>
        <w:rPr>
          <w:rFonts w:hint="eastAsia" w:ascii="宋体" w:hAnsi="宋体" w:eastAsia="宋体" w:cs="Times New Roman"/>
          <w:color w:val="auto"/>
          <w:sz w:val="21"/>
          <w:highlight w:val="none"/>
        </w:rPr>
        <w:t xml:space="preserve">份，代理</w:t>
      </w:r>
      <w:r>
        <w:rPr>
          <w:rFonts w:hint="eastAsia" w:ascii="宋体" w:hAnsi="宋体" w:cs="Times New Roman"/>
          <w:color w:val="auto"/>
          <w:sz w:val="21"/>
          <w:highlight w:val="none"/>
          <w:lang w:val="en-US" w:eastAsia="zh-CN"/>
        </w:rPr>
        <w:t xml:space="preserve">壹</w:t>
      </w:r>
      <w:r>
        <w:rPr>
          <w:rFonts w:hint="eastAsia" w:ascii="宋体" w:hAnsi="宋体" w:eastAsia="宋体" w:cs="Times New Roman"/>
          <w:color w:val="auto"/>
          <w:sz w:val="21"/>
          <w:highlight w:val="none"/>
        </w:rPr>
        <w:t xml:space="preserve">份。</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2、未尽事宜：本合同未尽事宜应按《中华人民共和国民法典》、《中华人民共和国政府采购法》以及其他相关法律、法规之规定解释。</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（以下无正文）</w:t>
      </w:r>
      <w:r/>
    </w:p>
    <w:p>
      <w:pPr>
        <w:pStyle w:val="794"/>
        <w:pageBreakBefore w:val="0"/>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pageBreakBefore w:val="0"/>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pStyle w:val="797"/>
        <w:pageBreakBefore w:val="0"/>
        <w:rPr>
          <w:rFonts w:hint="eastAsia"/>
          <w:highlight w:val="none"/>
        </w:rPr>
      </w:pPr>
      <w:r>
        <w:rPr>
          <w:rFonts w:hint="eastAsia"/>
          <w:highlight w:val="none"/>
        </w:rPr>
      </w:r>
      <w:r/>
    </w:p>
    <w:p>
      <w:pPr>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甲方：                </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rPr>
        <w:t xml:space="preserve">    </w:t>
      </w:r>
      <w:r>
        <w:rPr>
          <w:rFonts w:hint="eastAsia" w:ascii="宋体" w:hAnsi="宋体" w:cs="Times New Roman"/>
          <w:color w:val="auto"/>
          <w:sz w:val="21"/>
          <w:highlight w:val="none"/>
          <w:lang w:val="en-US" w:eastAsia="zh-CN"/>
        </w:rPr>
        <w:t xml:space="preserve">管理</w:t>
      </w:r>
      <w:r>
        <w:rPr>
          <w:rFonts w:hint="eastAsia" w:ascii="宋体" w:hAnsi="宋体" w:eastAsia="宋体" w:cs="Times New Roman"/>
          <w:color w:val="auto"/>
          <w:sz w:val="21"/>
          <w:highlight w:val="none"/>
        </w:rPr>
        <w:t xml:space="preserve">方：                 </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rPr>
        <w:t xml:space="preserve">  乙方：  </w:t>
      </w:r>
      <w:r/>
    </w:p>
    <w:p>
      <w:pPr>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法定代表人（授权代表）：    法定代表人（授权代表）：  </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rPr>
        <w:t xml:space="preserve">法定代表人（授权代表）：</w:t>
      </w:r>
      <w:r/>
    </w:p>
    <w:p>
      <w:pPr>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开户行：               </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rPr>
        <w:t xml:space="preserve">  </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rPr>
        <w:t xml:space="preserve">   开户行：    </w:t>
      </w:r>
      <w:r>
        <w:rPr>
          <w:rFonts w:hint="eastAsia" w:ascii="宋体" w:hAnsi="宋体" w:cs="Times New Roman"/>
          <w:color w:val="auto"/>
          <w:sz w:val="21"/>
          <w:highlight w:val="none"/>
          <w:lang w:val="en-US" w:eastAsia="zh-CN"/>
        </w:rPr>
        <w:t xml:space="preserve">                  </w:t>
      </w:r>
      <w:r>
        <w:rPr>
          <w:rFonts w:hint="eastAsia" w:ascii="宋体" w:hAnsi="宋体" w:eastAsia="宋体" w:cs="Times New Roman"/>
          <w:color w:val="auto"/>
          <w:sz w:val="21"/>
          <w:highlight w:val="none"/>
        </w:rPr>
        <w:t xml:space="preserve">  开户行：</w:t>
      </w:r>
      <w:r/>
    </w:p>
    <w:p>
      <w:pPr>
        <w:pageBreakBefore w:val="0"/>
        <w:spacing w:line="360" w:lineRule="auto"/>
        <w:tabs>
          <w:tab w:val="left" w:pos="567" w:leader="none"/>
        </w:tabs>
        <w:rPr>
          <w:rFonts w:hint="default" w:ascii="宋体" w:hAnsi="宋体" w:eastAsia="宋体" w:cs="Times New Roman"/>
          <w:color w:val="auto"/>
          <w:sz w:val="21"/>
          <w:highlight w:val="none"/>
          <w:lang w:val="en-US" w:eastAsia="zh-CN"/>
        </w:rPr>
      </w:pPr>
      <w:r>
        <w:rPr>
          <w:rFonts w:hint="eastAsia" w:ascii="宋体" w:hAnsi="宋体" w:eastAsia="宋体" w:cs="Times New Roman"/>
          <w:color w:val="auto"/>
          <w:sz w:val="21"/>
          <w:highlight w:val="none"/>
        </w:rPr>
        <w:t xml:space="preserve">帐户：</w:t>
      </w:r>
      <w:r>
        <w:rPr>
          <w:rFonts w:hint="eastAsia" w:ascii="宋体" w:hAnsi="宋体" w:cs="Times New Roman"/>
          <w:color w:val="auto"/>
          <w:sz w:val="21"/>
          <w:highlight w:val="none"/>
          <w:lang w:val="en-US" w:eastAsia="zh-CN"/>
        </w:rPr>
        <w:t xml:space="preserve">                          账户：                          账户：</w:t>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ind w:left="0" w:firstLine="420"/>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r>
      <w:r/>
    </w:p>
    <w:p>
      <w:pPr>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签约日期：</w:t>
      </w:r>
      <w:r/>
    </w:p>
    <w:p>
      <w:pPr>
        <w:pageBreakBefore w:val="0"/>
        <w:spacing w:line="360" w:lineRule="auto"/>
        <w:tabs>
          <w:tab w:val="left" w:pos="567" w:leader="none"/>
        </w:tabs>
        <w:rPr>
          <w:rFonts w:hint="eastAsia" w:ascii="宋体" w:hAnsi="宋体" w:eastAsia="宋体" w:cs="Times New Roman"/>
          <w:color w:val="auto"/>
          <w:sz w:val="21"/>
          <w:highlight w:val="none"/>
        </w:rPr>
      </w:pPr>
      <w:r>
        <w:rPr>
          <w:rFonts w:hint="eastAsia" w:ascii="宋体" w:hAnsi="宋体" w:eastAsia="宋体" w:cs="Times New Roman"/>
          <w:color w:val="auto"/>
          <w:sz w:val="21"/>
          <w:highlight w:val="none"/>
        </w:rPr>
        <w:t xml:space="preserve">合同签订地：</w:t>
      </w:r>
      <w:r/>
    </w:p>
    <w:p>
      <w:pPr>
        <w:pStyle w:val="798"/>
        <w:ind w:left="0" w:firstLine="0"/>
        <w:pageBreakBefore w:val="0"/>
        <w:rPr>
          <w:rFonts w:hint="eastAsia"/>
          <w:color w:val="auto"/>
          <w:highlight w:val="none"/>
        </w:rPr>
      </w:pPr>
      <w:r>
        <w:rPr>
          <w:rFonts w:hint="eastAsia"/>
          <w:color w:val="auto"/>
          <w:highlight w:val="none"/>
        </w:rPr>
      </w:r>
      <w:r/>
    </w:p>
    <w:p>
      <w:pPr>
        <w:pStyle w:val="798"/>
        <w:ind w:left="0" w:firstLine="0"/>
        <w:pageBreakBefore w:val="0"/>
        <w:rPr>
          <w:rFonts w:hint="eastAsia"/>
          <w:color w:val="auto"/>
          <w:highlight w:val="none"/>
        </w:rPr>
      </w:pPr>
      <w:r>
        <w:rPr>
          <w:rFonts w:hint="eastAsia"/>
          <w:color w:val="auto"/>
          <w:highlight w:val="none"/>
        </w:rPr>
      </w:r>
      <w:r/>
    </w:p>
    <w:p>
      <w:pPr>
        <w:pageBreakBefore w:val="0"/>
        <w:rPr>
          <w:rFonts w:hint="eastAsia"/>
          <w:color w:val="auto"/>
          <w:highlight w:val="none"/>
        </w:rPr>
      </w:pPr>
      <w:r>
        <w:rPr>
          <w:rFonts w:hint="eastAsia"/>
          <w:color w:val="auto"/>
          <w:highlight w:val="none"/>
        </w:rPr>
        <w:br w:type="page" w:clear="all"/>
      </w:r>
      <w:r/>
    </w:p>
    <w:p>
      <w:pPr>
        <w:pStyle w:val="1115"/>
        <w:jc w:val="center"/>
        <w:pageBreakBefore w:val="0"/>
        <w:rPr>
          <w:rFonts w:hint="eastAsia" w:ascii="黑体" w:hAnsi="宋体" w:eastAsia="黑体"/>
          <w:color w:val="000000" w:themeColor="text1"/>
          <w:sz w:val="36"/>
          <w:szCs w:val="13"/>
          <w:highlight w:val="none"/>
          <w14:textFill>
            <w14:solidFill>
              <w14:schemeClr w14:val="tx1"/>
            </w14:solidFill>
          </w14:textFill>
        </w:rPr>
      </w:pPr>
      <w:r/>
      <w:bookmarkStart w:id="76" w:name="_Toc17886"/>
      <w:r>
        <w:rPr>
          <w:rFonts w:hint="eastAsia" w:ascii="黑体" w:hAnsi="宋体" w:eastAsia="黑体"/>
          <w:color w:val="000000" w:themeColor="text1"/>
          <w:sz w:val="36"/>
          <w:szCs w:val="13"/>
          <w:highlight w:val="none"/>
          <w14:textFill>
            <w14:solidFill>
              <w14:schemeClr w14:val="tx1"/>
            </w14:solidFill>
          </w14:textFill>
        </w:rPr>
        <w:t xml:space="preserve">第</w:t>
      </w:r>
      <w:r>
        <w:rPr>
          <w:rFonts w:hint="eastAsia" w:ascii="黑体" w:hAnsi="宋体" w:eastAsia="黑体"/>
          <w:color w:val="000000" w:themeColor="text1"/>
          <w:sz w:val="36"/>
          <w:szCs w:val="13"/>
          <w:highlight w:val="none"/>
          <w:lang w:val="en-US" w:eastAsia="zh-CN"/>
          <w14:textFill>
            <w14:solidFill>
              <w14:schemeClr w14:val="tx1"/>
            </w14:solidFill>
          </w14:textFill>
        </w:rPr>
        <w:t xml:space="preserve">六</w:t>
      </w:r>
      <w:r>
        <w:rPr>
          <w:rFonts w:hint="eastAsia" w:ascii="黑体" w:hAnsi="宋体" w:eastAsia="黑体"/>
          <w:color w:val="000000" w:themeColor="text1"/>
          <w:sz w:val="36"/>
          <w:szCs w:val="13"/>
          <w:highlight w:val="none"/>
          <w14:textFill>
            <w14:solidFill>
              <w14:schemeClr w14:val="tx1"/>
            </w14:solidFill>
          </w14:textFill>
        </w:rPr>
        <w:t xml:space="preserve">章  </w:t>
      </w:r>
      <w:bookmarkEnd w:id="75"/>
      <w:r>
        <w:rPr>
          <w:rFonts w:hint="eastAsia" w:ascii="黑体" w:hAnsi="宋体" w:eastAsia="黑体"/>
          <w:color w:val="000000" w:themeColor="text1"/>
          <w:sz w:val="36"/>
          <w:szCs w:val="13"/>
          <w:highlight w:val="none"/>
          <w14:textFill>
            <w14:solidFill>
              <w14:schemeClr w14:val="tx1"/>
            </w14:solidFill>
          </w14:textFill>
        </w:rPr>
        <w:t xml:space="preserve">评标办法和评分标准</w:t>
      </w:r>
      <w:bookmarkEnd w:id="76"/>
      <w:r/>
      <w:r/>
    </w:p>
    <w:p>
      <w:pPr>
        <w:ind w:left="0" w:firstLine="422"/>
        <w:pageBreakBefore w:val="0"/>
        <w:spacing w:line="360" w:lineRule="auto"/>
        <w:rPr>
          <w:rFonts w:ascii="宋体" w:hAnsi="宋体"/>
          <w:b/>
          <w:color w:val="auto"/>
          <w:sz w:val="21"/>
          <w:szCs w:val="21"/>
          <w:highlight w:val="none"/>
        </w:rPr>
      </w:pPr>
      <w:r/>
      <w:bookmarkStart w:id="77" w:name="_Toc698"/>
      <w:r/>
      <w:bookmarkStart w:id="78" w:name="_Toc16264"/>
      <w:r/>
      <w:bookmarkStart w:id="79" w:name="_Toc17476"/>
      <w:r>
        <w:rPr>
          <w:rFonts w:hint="eastAsia" w:ascii="宋体" w:hAnsi="宋体"/>
          <w:b/>
          <w:color w:val="auto"/>
          <w:sz w:val="21"/>
          <w:szCs w:val="21"/>
          <w:highlight w:val="none"/>
        </w:rPr>
        <w:t xml:space="preserve">一、评标办法：</w:t>
      </w:r>
      <w:bookmarkEnd w:id="77"/>
      <w:r/>
      <w:bookmarkEnd w:id="78"/>
      <w:r/>
      <w:bookmarkEnd w:id="79"/>
      <w:r/>
      <w:r/>
    </w:p>
    <w:p>
      <w:pPr>
        <w:ind w:left="0" w:firstLine="420"/>
        <w:pageBreakBefore w:val="0"/>
        <w:spacing w:line="360" w:lineRule="auto"/>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 xml:space="preserve">1.</w:t>
      </w:r>
      <w:r>
        <w:rPr>
          <w:rFonts w:hint="eastAsia" w:ascii="Times New Roman" w:hAnsi="Times New Roman" w:eastAsia="Times New Roman" w:cs="Times New Roman"/>
          <w:color w:val="auto"/>
          <w:sz w:val="21"/>
          <w:szCs w:val="21"/>
          <w:highlight w:val="none"/>
        </w:rPr>
        <w:t xml:space="preserve">评标办法采用</w:t>
      </w:r>
      <w:r>
        <w:rPr>
          <w:rFonts w:hint="eastAsia" w:ascii="Times New Roman" w:hAnsi="Times New Roman" w:eastAsia="Times New Roman" w:cs="Times New Roman"/>
          <w:b/>
          <w:color w:val="auto"/>
          <w:sz w:val="21"/>
          <w:szCs w:val="21"/>
          <w:highlight w:val="none"/>
        </w:rPr>
        <w:t xml:space="preserve">综合评分法</w:t>
      </w:r>
      <w:r>
        <w:rPr>
          <w:rFonts w:hint="eastAsia" w:ascii="Times New Roman" w:hAnsi="Times New Roman" w:eastAsia="Times New Roman" w:cs="Times New Roman"/>
          <w:color w:val="auto"/>
          <w:sz w:val="21"/>
          <w:szCs w:val="21"/>
          <w:highlight w:val="none"/>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left="0" w:firstLine="420"/>
        <w:pageBreakBefore w:val="0"/>
        <w:spacing w:line="360" w:lineRule="auto"/>
        <w:rPr>
          <w:rFonts w:ascii="Times New Roman" w:hAnsi="Times New Roman" w:cs="Times New Roman"/>
          <w:b/>
          <w:color w:val="auto"/>
          <w:sz w:val="21"/>
          <w:szCs w:val="21"/>
          <w:highlight w:val="none"/>
        </w:rPr>
      </w:pPr>
      <w:r>
        <w:rPr>
          <w:rFonts w:hint="eastAsia" w:ascii="Times New Roman" w:hAnsi="Times New Roman" w:cs="Times New Roman"/>
          <w:color w:val="auto"/>
          <w:sz w:val="21"/>
          <w:szCs w:val="21"/>
          <w:highlight w:val="none"/>
        </w:rPr>
        <w:t xml:space="preserve">2.</w:t>
      </w:r>
      <w:r>
        <w:rPr>
          <w:rFonts w:hint="eastAsia" w:ascii="Times New Roman" w:hAnsi="Times New Roman" w:eastAsia="Times New Roman" w:cs="Times New Roman"/>
          <w:color w:val="auto"/>
          <w:sz w:val="21"/>
          <w:szCs w:val="21"/>
          <w:highlight w:val="none"/>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pageBreakBefore w:val="0"/>
        <w:spacing w:line="360" w:lineRule="auto"/>
        <w:rPr>
          <w:rFonts w:ascii="Times New Roman" w:hAnsi="Times New Roman" w:cs="Times New Roman"/>
          <w:color w:val="auto"/>
          <w:sz w:val="21"/>
          <w:szCs w:val="21"/>
          <w:highlight w:val="none"/>
        </w:rPr>
      </w:pPr>
      <w:r>
        <w:rPr>
          <w:rFonts w:hint="eastAsia" w:ascii="Times New Roman" w:hAnsi="Times New Roman" w:cs="Times New Roman"/>
          <w:color w:val="auto"/>
          <w:sz w:val="21"/>
          <w:szCs w:val="21"/>
          <w:highlight w:val="none"/>
        </w:rPr>
        <w:t xml:space="preserve">3.</w:t>
      </w:r>
      <w:r>
        <w:rPr>
          <w:rFonts w:hint="eastAsia" w:ascii="Times New Roman" w:hAnsi="Times New Roman" w:eastAsia="Times New Roman" w:cs="Times New Roman"/>
          <w:color w:val="auto"/>
          <w:sz w:val="21"/>
          <w:szCs w:val="21"/>
          <w:highlight w:val="none"/>
        </w:rPr>
        <w:t xml:space="preserve">如投标人存在“苏财购〔</w:t>
      </w:r>
      <w:r>
        <w:rPr>
          <w:rFonts w:hint="eastAsia" w:ascii="Times New Roman" w:hAnsi="Times New Roman" w:cs="Times New Roman"/>
          <w:color w:val="auto"/>
          <w:sz w:val="21"/>
          <w:szCs w:val="21"/>
          <w:highlight w:val="none"/>
        </w:rPr>
        <w:t xml:space="preserve">2017</w:t>
      </w:r>
      <w:r>
        <w:rPr>
          <w:rFonts w:hint="eastAsia" w:ascii="Times New Roman" w:hAnsi="Times New Roman" w:eastAsia="Times New Roman" w:cs="Times New Roman"/>
          <w:color w:val="auto"/>
          <w:sz w:val="21"/>
          <w:szCs w:val="21"/>
          <w:highlight w:val="none"/>
        </w:rPr>
        <w:t xml:space="preserve">〕</w:t>
      </w:r>
      <w:r>
        <w:rPr>
          <w:rFonts w:hint="eastAsia" w:ascii="Times New Roman" w:hAnsi="Times New Roman" w:cs="Times New Roman"/>
          <w:color w:val="auto"/>
          <w:sz w:val="21"/>
          <w:szCs w:val="21"/>
          <w:highlight w:val="none"/>
        </w:rPr>
        <w:t xml:space="preserve">11</w:t>
      </w:r>
      <w:r>
        <w:rPr>
          <w:rFonts w:hint="eastAsia" w:ascii="Times New Roman" w:hAnsi="Times New Roman" w:eastAsia="Times New Roman" w:cs="Times New Roman"/>
          <w:color w:val="auto"/>
          <w:sz w:val="21"/>
          <w:szCs w:val="21"/>
          <w:highlight w:val="none"/>
        </w:rPr>
        <w:t xml:space="preserve">号”文件中所列的失信或不良行为，按照相关规定执行。关于较大数额罚款的认定按照《财政部关于</w:t>
      </w:r>
      <w:r>
        <w:rPr>
          <w:rFonts w:hint="eastAsia" w:ascii="Times New Roman" w:hAnsi="Times New Roman" w:cs="Times New Roman"/>
          <w:color w:val="auto"/>
          <w:sz w:val="21"/>
          <w:szCs w:val="21"/>
          <w:highlight w:val="none"/>
        </w:rPr>
        <w:t xml:space="preserve">&lt;</w:t>
      </w:r>
      <w:r>
        <w:rPr>
          <w:rFonts w:hint="eastAsia" w:ascii="Times New Roman" w:hAnsi="Times New Roman" w:eastAsia="Times New Roman" w:cs="Times New Roman"/>
          <w:color w:val="auto"/>
          <w:sz w:val="21"/>
          <w:szCs w:val="21"/>
          <w:highlight w:val="none"/>
        </w:rPr>
        <w:t xml:space="preserve">中华人民共和国政府采购法实施条例</w:t>
      </w:r>
      <w:r>
        <w:rPr>
          <w:rFonts w:hint="eastAsia" w:ascii="Times New Roman" w:hAnsi="Times New Roman" w:cs="Times New Roman"/>
          <w:color w:val="auto"/>
          <w:sz w:val="21"/>
          <w:szCs w:val="21"/>
          <w:highlight w:val="none"/>
        </w:rPr>
        <w:t xml:space="preserve">&gt;</w:t>
      </w:r>
      <w:r>
        <w:rPr>
          <w:rFonts w:hint="eastAsia" w:ascii="Times New Roman" w:hAnsi="Times New Roman" w:eastAsia="Times New Roman" w:cs="Times New Roman"/>
          <w:color w:val="auto"/>
          <w:sz w:val="21"/>
          <w:szCs w:val="21"/>
          <w:highlight w:val="none"/>
        </w:rPr>
        <w:t xml:space="preserve">第十九条第一款“较大数额罚款”具体适用问题的意见》（财库〔</w:t>
      </w:r>
      <w:r>
        <w:rPr>
          <w:rFonts w:hint="eastAsia" w:ascii="Times New Roman" w:hAnsi="Times New Roman" w:cs="Times New Roman"/>
          <w:color w:val="auto"/>
          <w:sz w:val="21"/>
          <w:szCs w:val="21"/>
          <w:highlight w:val="none"/>
        </w:rPr>
        <w:t xml:space="preserve">2022</w:t>
      </w:r>
      <w:r>
        <w:rPr>
          <w:rFonts w:hint="eastAsia" w:ascii="Times New Roman" w:hAnsi="Times New Roman" w:eastAsia="Times New Roman" w:cs="Times New Roman"/>
          <w:color w:val="auto"/>
          <w:sz w:val="21"/>
          <w:szCs w:val="21"/>
          <w:highlight w:val="none"/>
        </w:rPr>
        <w:t xml:space="preserve">〕</w:t>
      </w:r>
      <w:r>
        <w:rPr>
          <w:rFonts w:hint="eastAsia" w:ascii="Times New Roman" w:hAnsi="Times New Roman" w:cs="Times New Roman"/>
          <w:color w:val="auto"/>
          <w:sz w:val="21"/>
          <w:szCs w:val="21"/>
          <w:highlight w:val="none"/>
        </w:rPr>
        <w:t xml:space="preserve">3 </w:t>
      </w:r>
      <w:r>
        <w:rPr>
          <w:rFonts w:hint="eastAsia" w:ascii="Times New Roman" w:hAnsi="Times New Roman" w:eastAsia="Times New Roman" w:cs="Times New Roman"/>
          <w:color w:val="auto"/>
          <w:sz w:val="21"/>
          <w:szCs w:val="21"/>
          <w:highlight w:val="none"/>
        </w:rPr>
        <w:t xml:space="preserve">号）文件执行。</w:t>
      </w:r>
      <w:r/>
    </w:p>
    <w:p>
      <w:pPr>
        <w:ind w:left="0" w:firstLine="420"/>
        <w:pageBreakBefore w:val="0"/>
        <w:spacing w:line="360" w:lineRule="auto"/>
        <w:rPr>
          <w:rFonts w:ascii="Times New Roman" w:hAnsi="Times New Roman" w:cs="Times New Roman"/>
          <w:b/>
          <w:color w:val="auto"/>
          <w:sz w:val="21"/>
          <w:szCs w:val="21"/>
          <w:highlight w:val="none"/>
        </w:rPr>
      </w:pPr>
      <w:r>
        <w:rPr>
          <w:rFonts w:hint="eastAsia" w:ascii="Times New Roman" w:hAnsi="Times New Roman" w:cs="Times New Roman"/>
          <w:color w:val="auto"/>
          <w:sz w:val="21"/>
          <w:szCs w:val="21"/>
          <w:highlight w:val="none"/>
        </w:rPr>
        <w:t xml:space="preserve">4.</w:t>
      </w:r>
      <w:r>
        <w:rPr>
          <w:rFonts w:hint="eastAsia" w:ascii="Times New Roman" w:hAnsi="Times New Roman" w:eastAsia="Times New Roman" w:cs="Times New Roman"/>
          <w:color w:val="auto"/>
          <w:sz w:val="21"/>
          <w:szCs w:val="21"/>
          <w:highlight w:val="none"/>
        </w:rPr>
        <w:t xml:space="preserve">针对中小型企业、残疾人福利企业和监狱企业的评审：</w:t>
      </w:r>
      <w:r/>
    </w:p>
    <w:p>
      <w:pPr>
        <w:ind w:left="0" w:firstLine="420"/>
        <w:pageBreakBefore w:val="0"/>
        <w:spacing w:line="360" w:lineRule="auto"/>
        <w:rPr>
          <w:rFonts w:ascii="Times New Roman" w:hAnsi="Times New Roman" w:cs="Times New Roman"/>
          <w:b/>
          <w:color w:val="auto"/>
          <w:sz w:val="21"/>
          <w:szCs w:val="21"/>
          <w:highlight w:val="none"/>
        </w:rPr>
      </w:pPr>
      <w:r>
        <w:rPr>
          <w:rFonts w:hint="eastAsia" w:ascii="Times New Roman" w:hAnsi="Times New Roman" w:eastAsia="Times New Roman" w:cs="Times New Roman"/>
          <w:color w:val="auto"/>
          <w:sz w:val="21"/>
          <w:szCs w:val="21"/>
          <w:highlight w:val="none"/>
        </w:rPr>
        <w:t xml:space="preserve">根据《政府采购促进中小企业发展管理办法》（财库〔</w:t>
      </w:r>
      <w:r>
        <w:rPr>
          <w:rFonts w:hint="eastAsia" w:ascii="Times New Roman" w:hAnsi="Times New Roman" w:cs="Times New Roman"/>
          <w:color w:val="auto"/>
          <w:sz w:val="21"/>
          <w:szCs w:val="21"/>
          <w:highlight w:val="none"/>
        </w:rPr>
        <w:t xml:space="preserve">2020</w:t>
      </w:r>
      <w:r>
        <w:rPr>
          <w:rFonts w:hint="eastAsia" w:ascii="Times New Roman" w:hAnsi="Times New Roman" w:eastAsia="Times New Roman" w:cs="Times New Roman"/>
          <w:color w:val="auto"/>
          <w:sz w:val="21"/>
          <w:szCs w:val="21"/>
          <w:highlight w:val="none"/>
        </w:rPr>
        <w:t xml:space="preserve">〕</w:t>
      </w:r>
      <w:r>
        <w:rPr>
          <w:rFonts w:hint="eastAsia" w:ascii="Times New Roman" w:hAnsi="Times New Roman" w:cs="Times New Roman"/>
          <w:color w:val="auto"/>
          <w:sz w:val="21"/>
          <w:szCs w:val="21"/>
          <w:highlight w:val="none"/>
        </w:rPr>
        <w:t xml:space="preserve">46</w:t>
      </w:r>
      <w:r>
        <w:rPr>
          <w:rFonts w:hint="eastAsia" w:ascii="Times New Roman" w:hAnsi="Times New Roman" w:eastAsia="Times New Roman" w:cs="Times New Roman"/>
          <w:color w:val="auto"/>
          <w:sz w:val="21"/>
          <w:szCs w:val="21"/>
          <w:highlight w:val="none"/>
        </w:rPr>
        <w:t xml:space="preserve">号）、《关于促进残疾人就业政府采购政策的通知》（财库〔</w:t>
      </w:r>
      <w:r>
        <w:rPr>
          <w:rFonts w:hint="eastAsia" w:ascii="Times New Roman" w:hAnsi="Times New Roman" w:cs="Times New Roman"/>
          <w:color w:val="auto"/>
          <w:sz w:val="21"/>
          <w:szCs w:val="21"/>
          <w:highlight w:val="none"/>
        </w:rPr>
        <w:t xml:space="preserve">2017</w:t>
      </w:r>
      <w:r>
        <w:rPr>
          <w:rFonts w:hint="eastAsia" w:ascii="Times New Roman" w:hAnsi="Times New Roman" w:eastAsia="Times New Roman" w:cs="Times New Roman"/>
          <w:color w:val="auto"/>
          <w:sz w:val="21"/>
          <w:szCs w:val="21"/>
          <w:highlight w:val="none"/>
        </w:rPr>
        <w:t xml:space="preserve">〕</w:t>
      </w:r>
      <w:r>
        <w:rPr>
          <w:rFonts w:hint="eastAsia" w:ascii="Times New Roman" w:hAnsi="Times New Roman" w:cs="Times New Roman"/>
          <w:color w:val="auto"/>
          <w:sz w:val="21"/>
          <w:szCs w:val="21"/>
          <w:highlight w:val="none"/>
        </w:rPr>
        <w:t xml:space="preserve">141</w:t>
      </w:r>
      <w:r>
        <w:rPr>
          <w:rFonts w:hint="eastAsia" w:ascii="Times New Roman" w:hAnsi="Times New Roman" w:eastAsia="Times New Roman" w:cs="Times New Roman"/>
          <w:color w:val="auto"/>
          <w:sz w:val="21"/>
          <w:szCs w:val="21"/>
          <w:highlight w:val="none"/>
        </w:rPr>
        <w:t xml:space="preserve">号）、《关于政府采购支持监狱企业发展有关问题的通知》（财库〔</w:t>
      </w:r>
      <w:r>
        <w:rPr>
          <w:rFonts w:hint="eastAsia" w:ascii="Times New Roman" w:hAnsi="Times New Roman" w:cs="Times New Roman"/>
          <w:color w:val="auto"/>
          <w:sz w:val="21"/>
          <w:szCs w:val="21"/>
          <w:highlight w:val="none"/>
        </w:rPr>
        <w:t xml:space="preserve">2014</w:t>
      </w:r>
      <w:r>
        <w:rPr>
          <w:rFonts w:hint="eastAsia" w:ascii="Times New Roman" w:hAnsi="Times New Roman" w:eastAsia="Times New Roman" w:cs="Times New Roman"/>
          <w:color w:val="auto"/>
          <w:sz w:val="21"/>
          <w:szCs w:val="21"/>
          <w:highlight w:val="none"/>
        </w:rPr>
        <w:t xml:space="preserve">〕</w:t>
      </w:r>
      <w:r>
        <w:rPr>
          <w:rFonts w:hint="eastAsia" w:ascii="Times New Roman" w:hAnsi="Times New Roman" w:cs="Times New Roman"/>
          <w:color w:val="auto"/>
          <w:sz w:val="21"/>
          <w:szCs w:val="21"/>
          <w:highlight w:val="none"/>
        </w:rPr>
        <w:t xml:space="preserve">68</w:t>
      </w:r>
      <w:r>
        <w:rPr>
          <w:rFonts w:hint="eastAsia" w:ascii="Times New Roman" w:hAnsi="Times New Roman" w:eastAsia="Times New Roman" w:cs="Times New Roman"/>
          <w:color w:val="auto"/>
          <w:sz w:val="21"/>
          <w:szCs w:val="21"/>
          <w:highlight w:val="none"/>
        </w:rPr>
        <w:t xml:space="preserve">号）和《关于印发</w:t>
      </w:r>
      <w:r>
        <w:rPr>
          <w:rFonts w:hint="eastAsia" w:ascii="Times New Roman" w:hAnsi="Times New Roman" w:cs="Times New Roman"/>
          <w:color w:val="auto"/>
          <w:sz w:val="21"/>
          <w:szCs w:val="21"/>
          <w:highlight w:val="none"/>
        </w:rPr>
        <w:t xml:space="preserve">&lt;</w:t>
      </w:r>
      <w:r>
        <w:rPr>
          <w:rFonts w:hint="eastAsia" w:ascii="Times New Roman" w:hAnsi="Times New Roman" w:eastAsia="Times New Roman" w:cs="Times New Roman"/>
          <w:color w:val="auto"/>
          <w:sz w:val="21"/>
          <w:szCs w:val="21"/>
          <w:highlight w:val="none"/>
        </w:rPr>
        <w:t xml:space="preserve">苏州市政府采购促进中小企业发展实施意见</w:t>
      </w:r>
      <w:r>
        <w:rPr>
          <w:rFonts w:hint="eastAsia" w:ascii="Times New Roman" w:hAnsi="Times New Roman" w:cs="Times New Roman"/>
          <w:color w:val="auto"/>
          <w:sz w:val="21"/>
          <w:szCs w:val="21"/>
          <w:highlight w:val="none"/>
        </w:rPr>
        <w:t xml:space="preserve">&gt;</w:t>
      </w:r>
      <w:r>
        <w:rPr>
          <w:rFonts w:hint="eastAsia" w:ascii="Times New Roman" w:hAnsi="Times New Roman" w:eastAsia="Times New Roman" w:cs="Times New Roman"/>
          <w:color w:val="auto"/>
          <w:sz w:val="21"/>
          <w:szCs w:val="21"/>
          <w:highlight w:val="none"/>
        </w:rPr>
        <w:t xml:space="preserve">的通知》（苏财购〔</w:t>
      </w:r>
      <w:r>
        <w:rPr>
          <w:rFonts w:hint="eastAsia" w:ascii="Times New Roman" w:hAnsi="Times New Roman" w:cs="Times New Roman"/>
          <w:color w:val="auto"/>
          <w:sz w:val="21"/>
          <w:szCs w:val="21"/>
          <w:highlight w:val="none"/>
        </w:rPr>
        <w:t xml:space="preserve">2022</w:t>
      </w:r>
      <w:r>
        <w:rPr>
          <w:rFonts w:hint="eastAsia" w:ascii="Times New Roman" w:hAnsi="Times New Roman" w:eastAsia="Times New Roman" w:cs="Times New Roman"/>
          <w:color w:val="auto"/>
          <w:sz w:val="21"/>
          <w:szCs w:val="21"/>
          <w:highlight w:val="none"/>
        </w:rPr>
        <w:t xml:space="preserve">〕</w:t>
      </w:r>
      <w:r>
        <w:rPr>
          <w:rFonts w:hint="eastAsia" w:ascii="Times New Roman" w:hAnsi="Times New Roman" w:cs="Times New Roman"/>
          <w:color w:val="auto"/>
          <w:sz w:val="21"/>
          <w:szCs w:val="21"/>
          <w:highlight w:val="none"/>
        </w:rPr>
        <w:t xml:space="preserve">16</w:t>
      </w:r>
      <w:r>
        <w:rPr>
          <w:rFonts w:hint="eastAsia" w:ascii="Times New Roman" w:hAnsi="Times New Roman" w:eastAsia="Times New Roman" w:cs="Times New Roman"/>
          <w:color w:val="auto"/>
          <w:sz w:val="21"/>
          <w:szCs w:val="21"/>
          <w:highlight w:val="none"/>
        </w:rPr>
        <w:t xml:space="preserve">号）的有关规定，对于符合上述文件规定情形的小微企业、残疾人福利性单位及监狱企业报价给予</w:t>
      </w:r>
      <w:r>
        <w:rPr>
          <w:rFonts w:hint="eastAsia" w:ascii="Times New Roman" w:hAnsi="Times New Roman" w:cs="Times New Roman"/>
          <w:b/>
          <w:color w:val="auto"/>
          <w:sz w:val="21"/>
          <w:szCs w:val="21"/>
          <w:highlight w:val="none"/>
        </w:rPr>
        <w:t xml:space="preserve">20%</w:t>
      </w:r>
      <w:r>
        <w:rPr>
          <w:rFonts w:hint="eastAsia" w:ascii="Times New Roman" w:hAnsi="Times New Roman" w:eastAsia="Times New Roman" w:cs="Times New Roman"/>
          <w:color w:val="auto"/>
          <w:sz w:val="21"/>
          <w:szCs w:val="21"/>
          <w:highlight w:val="none"/>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Times New Roman" w:hAnsi="Times New Roman" w:eastAsia="Times New Roman" w:cs="Times New Roman"/>
          <w:b/>
          <w:color w:val="auto"/>
          <w:sz w:val="21"/>
          <w:szCs w:val="21"/>
          <w:highlight w:val="none"/>
        </w:rPr>
        <w:t xml:space="preserve">服务类项目中供应商若使用退休人员，将不享受中小企业扶持政策。</w:t>
      </w:r>
      <w:r/>
    </w:p>
    <w:p>
      <w:pPr>
        <w:ind w:left="0" w:firstLine="420"/>
        <w:pageBreakBefore w:val="0"/>
        <w:spacing w:line="360" w:lineRule="auto"/>
        <w:rPr>
          <w:rFonts w:ascii="Times New Roman" w:hAnsi="Times New Roman" w:cs="Times New Roman"/>
          <w:color w:val="auto"/>
          <w:sz w:val="21"/>
          <w:szCs w:val="21"/>
          <w:highlight w:val="none"/>
        </w:rPr>
      </w:pPr>
      <w:r>
        <w:rPr>
          <w:rFonts w:hint="eastAsia" w:ascii="Times New Roman" w:hAnsi="Times New Roman" w:eastAsia="Times New Roman" w:cs="Times New Roman"/>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pageBreakBefore w:val="0"/>
        <w:spacing w:line="360" w:lineRule="auto"/>
        <w:rPr>
          <w:rFonts w:ascii="Times New Roman" w:hAnsi="Times New Roman" w:cs="Times New Roman"/>
          <w:b/>
          <w:color w:val="auto"/>
          <w:sz w:val="21"/>
          <w:szCs w:val="21"/>
          <w:highlight w:val="none"/>
        </w:rPr>
      </w:pPr>
      <w:r>
        <w:rPr>
          <w:rFonts w:hint="eastAsia" w:ascii="Times New Roman" w:hAnsi="Times New Roman" w:eastAsia="Times New Roman" w:cs="Times New Roman"/>
          <w:color w:val="auto"/>
          <w:sz w:val="21"/>
          <w:szCs w:val="21"/>
          <w:highlight w:val="none"/>
        </w:rPr>
        <w:t xml:space="preserve">注：</w:t>
      </w:r>
      <w:r/>
    </w:p>
    <w:p>
      <w:pPr>
        <w:ind w:left="0" w:firstLine="420"/>
        <w:pageBreakBefore w:val="0"/>
        <w:spacing w:line="360" w:lineRule="auto"/>
        <w:rPr>
          <w:rFonts w:ascii="Times New Roman" w:hAnsi="Times New Roman" w:cs="Times New Roman"/>
          <w:b/>
          <w:color w:val="auto"/>
          <w:sz w:val="21"/>
          <w:szCs w:val="21"/>
          <w:highlight w:val="none"/>
        </w:rPr>
      </w:pPr>
      <w:r>
        <w:rPr>
          <w:rFonts w:hint="eastAsia" w:ascii="Times New Roman" w:hAnsi="Times New Roman" w:eastAsia="Times New Roman" w:cs="Times New Roman"/>
          <w:color w:val="auto"/>
          <w:sz w:val="21"/>
          <w:szCs w:val="21"/>
          <w:highlight w:val="none"/>
        </w:rPr>
        <w:t xml:space="preserve">①填报“中小企业声明函”需严格按“工信部联企业〔</w:t>
      </w:r>
      <w:r>
        <w:rPr>
          <w:rFonts w:hint="eastAsia" w:ascii="Times New Roman" w:hAnsi="Times New Roman" w:cs="Times New Roman"/>
          <w:color w:val="auto"/>
          <w:sz w:val="21"/>
          <w:szCs w:val="21"/>
          <w:highlight w:val="none"/>
        </w:rPr>
        <w:t xml:space="preserve">2011</w:t>
      </w:r>
      <w:r>
        <w:rPr>
          <w:rFonts w:hint="eastAsia" w:ascii="Times New Roman" w:hAnsi="Times New Roman" w:eastAsia="Times New Roman" w:cs="Times New Roman"/>
          <w:color w:val="auto"/>
          <w:sz w:val="21"/>
          <w:szCs w:val="21"/>
          <w:highlight w:val="none"/>
        </w:rPr>
        <w:t xml:space="preserve">〕</w:t>
      </w:r>
      <w:r>
        <w:rPr>
          <w:rFonts w:hint="eastAsia" w:ascii="Times New Roman" w:hAnsi="Times New Roman" w:cs="Times New Roman"/>
          <w:color w:val="auto"/>
          <w:sz w:val="21"/>
          <w:szCs w:val="21"/>
          <w:highlight w:val="none"/>
        </w:rPr>
        <w:t xml:space="preserve">300</w:t>
      </w:r>
      <w:r>
        <w:rPr>
          <w:rFonts w:hint="eastAsia" w:ascii="Times New Roman" w:hAnsi="Times New Roman" w:eastAsia="Times New Roman" w:cs="Times New Roman"/>
          <w:color w:val="auto"/>
          <w:sz w:val="21"/>
          <w:szCs w:val="21"/>
          <w:highlight w:val="none"/>
        </w:rPr>
        <w:t xml:space="preserve">号通知中的《中小企业划型标准规定》进行。</w:t>
      </w:r>
      <w:r/>
    </w:p>
    <w:p>
      <w:pPr>
        <w:ind w:left="0" w:firstLine="420"/>
        <w:pageBreakBefore w:val="0"/>
        <w:spacing w:line="360" w:lineRule="auto"/>
        <w:rPr>
          <w:rFonts w:ascii="Times New Roman" w:hAnsi="Times New Roman" w:cs="Times New Roman"/>
          <w:color w:val="auto"/>
          <w:sz w:val="21"/>
          <w:szCs w:val="21"/>
          <w:highlight w:val="none"/>
        </w:rPr>
      </w:pPr>
      <w:r>
        <w:rPr>
          <w:rFonts w:hint="eastAsia" w:ascii="Times New Roman" w:hAnsi="Times New Roman" w:eastAsia="Times New Roman" w:cs="Times New Roman"/>
          <w:color w:val="auto"/>
          <w:sz w:val="21"/>
          <w:szCs w:val="21"/>
          <w:highlight w:val="none"/>
        </w:rPr>
        <w:t xml:space="preserve">②若供应商提供的声明函或认定证明为虚假材料，按“政府采购法”相关规定处理并报请政府监管部门给予行政处罚。</w:t>
      </w:r>
      <w:r/>
    </w:p>
    <w:p>
      <w:pPr>
        <w:pStyle w:val="798"/>
        <w:ind w:left="0" w:firstLine="0"/>
        <w:pageBreakBefore w:val="0"/>
        <w:rPr>
          <w:color w:val="auto"/>
          <w:sz w:val="21"/>
          <w:szCs w:val="21"/>
          <w:highlight w:val="none"/>
        </w:rPr>
      </w:pPr>
      <w:r>
        <w:rPr>
          <w:color w:val="auto"/>
          <w:sz w:val="21"/>
          <w:szCs w:val="21"/>
          <w:highlight w:val="none"/>
        </w:rPr>
      </w:r>
      <w:r/>
    </w:p>
    <w:p>
      <w:pPr>
        <w:pStyle w:val="918"/>
        <w:ind w:left="0" w:firstLine="420"/>
        <w:pageBreakBefore w:val="0"/>
        <w:spacing w:line="360" w:lineRule="auto"/>
        <w:rPr>
          <w:rFonts w:hint="eastAsia" w:cs="宋体"/>
          <w:color w:val="auto"/>
          <w:sz w:val="21"/>
          <w:szCs w:val="21"/>
          <w:highlight w:val="none"/>
        </w:rPr>
      </w:pPr>
      <w:r>
        <w:rPr>
          <w:rFonts w:hint="eastAsia" w:cs="宋体"/>
          <w:color w:val="auto"/>
          <w:sz w:val="21"/>
          <w:szCs w:val="21"/>
          <w:highlight w:val="none"/>
          <w:lang w:val="en-US" w:eastAsia="zh-CN"/>
        </w:rPr>
        <w:t xml:space="preserve">二</w:t>
      </w:r>
      <w:r>
        <w:rPr>
          <w:rFonts w:hint="eastAsia" w:cs="宋体"/>
          <w:color w:val="auto"/>
          <w:sz w:val="21"/>
          <w:szCs w:val="21"/>
          <w:highlight w:val="none"/>
        </w:rPr>
        <w:t xml:space="preserve">、评分标准：</w:t>
      </w:r>
      <w:r/>
    </w:p>
    <w:p>
      <w:pPr>
        <w:pStyle w:val="918"/>
        <w:ind w:left="0" w:firstLine="420"/>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（一）价格基准分：</w:t>
      </w:r>
      <w:r>
        <w:rPr>
          <w:rFonts w:hint="eastAsia" w:cs="宋体"/>
          <w:color w:val="auto"/>
          <w:sz w:val="21"/>
          <w:szCs w:val="21"/>
          <w:highlight w:val="none"/>
          <w:lang w:val="en-US" w:eastAsia="zh-CN"/>
        </w:rPr>
        <w:t xml:space="preserve">15</w:t>
      </w:r>
      <w:r>
        <w:rPr>
          <w:rFonts w:hint="eastAsia" w:cs="宋体"/>
          <w:color w:val="auto"/>
          <w:sz w:val="21"/>
          <w:szCs w:val="21"/>
          <w:highlight w:val="none"/>
        </w:rPr>
        <w:t xml:space="preserve">分</w:t>
      </w:r>
      <w:r/>
    </w:p>
    <w:p>
      <w:pPr>
        <w:pStyle w:val="918"/>
        <w:ind w:left="0" w:firstLine="420"/>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第一步：投标报价低于或等于采购预算价格的，为有效投标报价。超采购预算的投标报价为无效投标报价。无效投标报价的投标文件不进行评审，也不得标。</w:t>
      </w:r>
      <w:r/>
    </w:p>
    <w:p>
      <w:pPr>
        <w:pStyle w:val="918"/>
        <w:ind w:left="0" w:firstLine="420"/>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第二步：根据各投标人通过符合性审查的有效投标报价中的最低价作为评标基准价</w:t>
      </w:r>
      <w:r/>
    </w:p>
    <w:p>
      <w:pPr>
        <w:pStyle w:val="918"/>
        <w:ind w:left="0" w:firstLine="420"/>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投标报价得分＝（评标基准价/投标报价）×</w:t>
      </w:r>
      <w:r>
        <w:rPr>
          <w:rFonts w:hint="eastAsia" w:cs="宋体"/>
          <w:color w:val="auto"/>
          <w:sz w:val="21"/>
          <w:szCs w:val="21"/>
          <w:highlight w:val="none"/>
          <w:lang w:val="en-US" w:eastAsia="zh-CN"/>
        </w:rPr>
        <w:t xml:space="preserve">15</w:t>
      </w:r>
      <w:r>
        <w:rPr>
          <w:rFonts w:hint="eastAsia" w:cs="宋体"/>
          <w:color w:val="auto"/>
          <w:sz w:val="21"/>
          <w:szCs w:val="21"/>
          <w:highlight w:val="none"/>
        </w:rPr>
        <w:t xml:space="preserve">％×100。</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（二）服务方案（59分）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1、针对本次项目维护管理服务具体方案比较；（9分）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 针对本次项目提供相关的维护保养方案措施性内容、要求、细则等综合评定优秀，方案包括在日常巡视、检查、检测、检修、日常配合等各方面考虑周全，概述详细全面的得9分；综合评定良好，概述较为详细，安排较为科学，方案能满足项目要求的得6分；综合评定一般，概述方案不全面，能基本满足项目要求的得3分；未提供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2、设施</w:t>
      </w:r>
      <w:r>
        <w:rPr>
          <w:rFonts w:hint="eastAsia" w:cs="宋体"/>
          <w:color w:val="auto"/>
          <w:sz w:val="21"/>
          <w:szCs w:val="21"/>
          <w:highlight w:val="none"/>
          <w:lang w:eastAsia="zh-CN"/>
        </w:rPr>
        <w:t xml:space="preserve">维修</w:t>
      </w:r>
      <w:r>
        <w:rPr>
          <w:rFonts w:hint="eastAsia" w:cs="宋体"/>
          <w:color w:val="auto"/>
          <w:sz w:val="21"/>
          <w:szCs w:val="21"/>
          <w:highlight w:val="none"/>
        </w:rPr>
        <w:t xml:space="preserve">组织方案比较；（9分）  </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lang w:eastAsia="zh-CN"/>
        </w:rPr>
        <w:t xml:space="preserve">维修</w:t>
      </w:r>
      <w:r>
        <w:rPr>
          <w:rFonts w:hint="eastAsia" w:cs="宋体"/>
          <w:color w:val="auto"/>
          <w:sz w:val="21"/>
          <w:szCs w:val="21"/>
          <w:highlight w:val="none"/>
        </w:rPr>
        <w:t xml:space="preserve">要求、</w:t>
      </w:r>
      <w:r>
        <w:rPr>
          <w:rFonts w:hint="eastAsia" w:cs="宋体"/>
          <w:color w:val="auto"/>
          <w:sz w:val="21"/>
          <w:szCs w:val="21"/>
          <w:highlight w:val="none"/>
          <w:lang w:eastAsia="zh-CN"/>
        </w:rPr>
        <w:t xml:space="preserve">维修</w:t>
      </w:r>
      <w:r>
        <w:rPr>
          <w:rFonts w:hint="eastAsia" w:cs="宋体"/>
          <w:color w:val="auto"/>
          <w:sz w:val="21"/>
          <w:szCs w:val="21"/>
          <w:highlight w:val="none"/>
        </w:rPr>
        <w:t xml:space="preserve">人员、</w:t>
      </w:r>
      <w:r>
        <w:rPr>
          <w:rFonts w:hint="eastAsia" w:cs="宋体"/>
          <w:color w:val="auto"/>
          <w:sz w:val="21"/>
          <w:szCs w:val="21"/>
          <w:highlight w:val="none"/>
          <w:lang w:eastAsia="zh-CN"/>
        </w:rPr>
        <w:t xml:space="preserve">维修</w:t>
      </w:r>
      <w:r>
        <w:rPr>
          <w:rFonts w:hint="eastAsia" w:cs="宋体"/>
          <w:color w:val="auto"/>
          <w:sz w:val="21"/>
          <w:szCs w:val="21"/>
          <w:highlight w:val="none"/>
        </w:rPr>
        <w:t xml:space="preserve">细则等综合评定优秀，总体安排科学性，包含应急</w:t>
      </w:r>
      <w:r>
        <w:rPr>
          <w:rFonts w:hint="eastAsia" w:cs="宋体"/>
          <w:color w:val="auto"/>
          <w:sz w:val="21"/>
          <w:szCs w:val="21"/>
          <w:highlight w:val="none"/>
          <w:lang w:eastAsia="zh-CN"/>
        </w:rPr>
        <w:t xml:space="preserve">维修</w:t>
      </w:r>
      <w:r>
        <w:rPr>
          <w:rFonts w:hint="eastAsia" w:cs="宋体"/>
          <w:color w:val="auto"/>
          <w:sz w:val="21"/>
          <w:szCs w:val="21"/>
          <w:highlight w:val="none"/>
        </w:rPr>
        <w:t xml:space="preserve">方案内容，包括接到通知后的响应时间、处理方案、人员安排等详细方案的得9分；综合评定良好，方案较为科学完善的得6分；综合评定一般，方案较简单不全面的得3分；未提供不得分。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3、设施偷盗及人为损坏的处理恢复方案比较； （9分）  </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恢复方案内容考虑全面性，包括对管理范围内的照明设施的人为损坏、失窃等的处置以及发生后采取的措施，根据损坏的种类及危害性，分别提供相应的处置方案，以及各项紧急预案且可实施性强的得9分；方案考虑较为全面，各项措施较为科学合理的得6分；方案全面性一般，各项措施简单，能基本满足要求得3分；未提供不得分。 </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4、安全管理方案比较；（9分）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安全方案考虑全面性，包括正常营运及养护作业时和发生事故时的交通组织和安全防护措施，以及各项紧急预案且可实施性强的得9分；方案考虑较为全面，各项措施较为科学合理的得6分；方案全面性一般，各项措施简单，能基本满足要求得3分；未提供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5、维护期间与其他单位、部门的综合协调方案比较；（8分）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协调方案内容及协调处理流程具体性内容要求优秀的，考虑全面，可实施性强的得8分；协调方案良好，全面性一般，具备较强可实施性的得5分；协调方案一般，可实施性一般的得2分；未提供不得分。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6、投标单位对本项目的了解情况，重点难点分析比较； （8分）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对现场情况分析了解深入，重点难点分析具体内容具体清晰的得8分；对现场情况分析了解较清楚，重点难点分析较清晰的但内容不全面得5分；基本了解现场情况得2分；未提供不得分。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7、针对本项目服务质量保证承诺及服务质量比较；（7分）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服务质量保证承诺及服务质量优秀的，内容全面具体且方案针对性强的得7分；承诺及服务质量内容一般，针对性较强的得得4分；承诺及服务质量内容一般，针对性一般的得2分；未提供不得分。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（三）公司综合情况比较（</w:t>
      </w:r>
      <w:r>
        <w:rPr>
          <w:rFonts w:hint="eastAsia" w:cs="宋体"/>
          <w:color w:val="auto"/>
          <w:sz w:val="21"/>
          <w:szCs w:val="21"/>
          <w:highlight w:val="none"/>
          <w:lang w:val="en-US" w:eastAsia="zh-CN"/>
        </w:rPr>
        <w:t xml:space="preserve">26</w:t>
      </w:r>
      <w:r>
        <w:rPr>
          <w:rFonts w:hint="eastAsia" w:cs="宋体"/>
          <w:color w:val="auto"/>
          <w:sz w:val="21"/>
          <w:szCs w:val="21"/>
          <w:highlight w:val="none"/>
        </w:rPr>
        <w:t xml:space="preserve">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1、车辆设备比较；（1</w:t>
      </w:r>
      <w:r>
        <w:rPr>
          <w:rFonts w:hint="eastAsia" w:cs="宋体"/>
          <w:color w:val="auto"/>
          <w:sz w:val="21"/>
          <w:szCs w:val="21"/>
          <w:highlight w:val="none"/>
          <w:lang w:val="en-US" w:eastAsia="zh-CN"/>
        </w:rPr>
        <w:t xml:space="preserve">0</w:t>
      </w:r>
      <w:r>
        <w:rPr>
          <w:rFonts w:hint="eastAsia" w:cs="宋体"/>
          <w:color w:val="auto"/>
          <w:sz w:val="21"/>
          <w:szCs w:val="21"/>
          <w:highlight w:val="none"/>
        </w:rPr>
        <w:t xml:space="preserve">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（1）满足招标文件的基础上每增加1辆1</w:t>
      </w:r>
      <w:r>
        <w:rPr>
          <w:rFonts w:hint="eastAsia" w:cs="宋体"/>
          <w:color w:val="auto"/>
          <w:sz w:val="21"/>
          <w:szCs w:val="21"/>
          <w:highlight w:val="none"/>
          <w:lang w:val="en-US" w:eastAsia="zh-CN"/>
        </w:rPr>
        <w:t xml:space="preserve">4</w:t>
      </w:r>
      <w:r>
        <w:rPr>
          <w:rFonts w:hint="eastAsia" w:cs="宋体"/>
          <w:color w:val="auto"/>
          <w:sz w:val="21"/>
          <w:szCs w:val="21"/>
          <w:highlight w:val="none"/>
        </w:rPr>
        <w:t xml:space="preserve">M以上高空作业车加</w:t>
      </w:r>
      <w:r>
        <w:rPr>
          <w:rFonts w:hint="eastAsia" w:cs="宋体"/>
          <w:color w:val="auto"/>
          <w:sz w:val="21"/>
          <w:szCs w:val="21"/>
          <w:highlight w:val="none"/>
          <w:lang w:val="en-US" w:eastAsia="zh-CN"/>
        </w:rPr>
        <w:t xml:space="preserve">2</w:t>
      </w:r>
      <w:r>
        <w:rPr>
          <w:rFonts w:hint="eastAsia" w:cs="宋体"/>
          <w:color w:val="auto"/>
          <w:sz w:val="21"/>
          <w:szCs w:val="21"/>
          <w:highlight w:val="none"/>
        </w:rPr>
        <w:t xml:space="preserve">分，最多</w:t>
      </w:r>
      <w:r>
        <w:rPr>
          <w:rFonts w:hint="eastAsia" w:cs="宋体"/>
          <w:color w:val="auto"/>
          <w:sz w:val="21"/>
          <w:szCs w:val="21"/>
          <w:highlight w:val="none"/>
          <w:lang w:val="en-US" w:eastAsia="zh-CN"/>
        </w:rPr>
        <w:t xml:space="preserve">6</w:t>
      </w:r>
      <w:r>
        <w:rPr>
          <w:rFonts w:hint="eastAsia" w:cs="宋体"/>
          <w:color w:val="auto"/>
          <w:sz w:val="21"/>
          <w:szCs w:val="21"/>
          <w:highlight w:val="none"/>
        </w:rPr>
        <w:t xml:space="preserve">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（2）满足招标文件的基础上每增加1辆</w:t>
      </w:r>
      <w:r>
        <w:rPr>
          <w:rFonts w:hint="eastAsia" w:cs="宋体"/>
          <w:color w:val="auto"/>
          <w:sz w:val="21"/>
          <w:szCs w:val="21"/>
          <w:highlight w:val="none"/>
          <w:lang w:val="en-US" w:eastAsia="zh-CN"/>
        </w:rPr>
        <w:t xml:space="preserve">货车</w:t>
      </w:r>
      <w:r>
        <w:rPr>
          <w:rFonts w:hint="eastAsia" w:cs="宋体"/>
          <w:color w:val="auto"/>
          <w:sz w:val="21"/>
          <w:szCs w:val="21"/>
          <w:highlight w:val="none"/>
        </w:rPr>
        <w:t xml:space="preserve">加2分，最多2分；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（3）满足招标文件的基础上每增加1辆</w:t>
      </w:r>
      <w:r>
        <w:rPr>
          <w:rFonts w:hint="eastAsia" w:cs="宋体"/>
          <w:color w:val="auto"/>
          <w:sz w:val="21"/>
          <w:szCs w:val="21"/>
          <w:highlight w:val="none"/>
          <w:lang w:val="en-US" w:eastAsia="zh-CN"/>
        </w:rPr>
        <w:t xml:space="preserve">巡查</w:t>
      </w:r>
      <w:r>
        <w:rPr>
          <w:rFonts w:hint="eastAsia" w:cs="宋体"/>
          <w:color w:val="auto"/>
          <w:sz w:val="21"/>
          <w:szCs w:val="21"/>
          <w:highlight w:val="none"/>
        </w:rPr>
        <w:t xml:space="preserve">车加2分，最多2分。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上述车辆投标文件中需提供行驶证及产权证明复印件，如是租赁的须提供租赁合同、发票、行驶证等资料复印件，否则不得分。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2、人员配备比较；（1</w:t>
      </w:r>
      <w:r>
        <w:rPr>
          <w:rFonts w:hint="eastAsia" w:cs="宋体"/>
          <w:color w:val="auto"/>
          <w:sz w:val="21"/>
          <w:szCs w:val="21"/>
          <w:highlight w:val="none"/>
          <w:lang w:val="en-US" w:eastAsia="zh-CN"/>
        </w:rPr>
        <w:t xml:space="preserve">0</w:t>
      </w:r>
      <w:r>
        <w:rPr>
          <w:rFonts w:hint="eastAsia" w:cs="宋体"/>
          <w:color w:val="auto"/>
          <w:sz w:val="21"/>
          <w:szCs w:val="21"/>
          <w:highlight w:val="none"/>
        </w:rPr>
        <w:t xml:space="preserve">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（1）项目负责人具有中级及以上职称的得2分；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（2）项目团队人员（除项目负责人）情况：（</w:t>
      </w:r>
      <w:r>
        <w:rPr>
          <w:rFonts w:hint="eastAsia" w:cs="宋体"/>
          <w:color w:val="auto"/>
          <w:sz w:val="21"/>
          <w:szCs w:val="21"/>
          <w:highlight w:val="none"/>
          <w:lang w:val="en-US" w:eastAsia="zh-CN"/>
        </w:rPr>
        <w:t xml:space="preserve">8</w:t>
      </w:r>
      <w:r>
        <w:rPr>
          <w:rFonts w:hint="eastAsia" w:cs="宋体"/>
          <w:color w:val="auto"/>
          <w:sz w:val="21"/>
          <w:szCs w:val="21"/>
          <w:highlight w:val="none"/>
        </w:rPr>
        <w:t xml:space="preserve">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①满足招标文件的基础上每增加1名安全员加2分，最多2分；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②满足招标文件的基础上每增加1名同时持有高空作业证和电工证人员加</w:t>
      </w:r>
      <w:r>
        <w:rPr>
          <w:rFonts w:hint="eastAsia" w:cs="宋体"/>
          <w:color w:val="auto"/>
          <w:sz w:val="21"/>
          <w:szCs w:val="21"/>
          <w:highlight w:val="none"/>
          <w:lang w:val="en-US" w:eastAsia="zh-CN"/>
        </w:rPr>
        <w:t xml:space="preserve">2</w:t>
      </w:r>
      <w:r>
        <w:rPr>
          <w:rFonts w:hint="eastAsia" w:cs="宋体"/>
          <w:color w:val="auto"/>
          <w:sz w:val="21"/>
          <w:szCs w:val="21"/>
          <w:highlight w:val="none"/>
        </w:rPr>
        <w:t xml:space="preserve">分，最多</w:t>
      </w:r>
      <w:r>
        <w:rPr>
          <w:rFonts w:hint="eastAsia" w:cs="宋体"/>
          <w:color w:val="auto"/>
          <w:sz w:val="21"/>
          <w:szCs w:val="21"/>
          <w:highlight w:val="none"/>
          <w:lang w:val="en-US" w:eastAsia="zh-CN"/>
        </w:rPr>
        <w:t xml:space="preserve">4</w:t>
      </w:r>
      <w:r>
        <w:rPr>
          <w:rFonts w:hint="eastAsia" w:cs="宋体"/>
          <w:color w:val="auto"/>
          <w:sz w:val="21"/>
          <w:szCs w:val="21"/>
          <w:highlight w:val="none"/>
        </w:rPr>
        <w:t xml:space="preserve">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③</w:t>
      </w:r>
      <w:r>
        <w:rPr>
          <w:rFonts w:hint="eastAsia" w:cs="宋体"/>
          <w:color w:val="auto"/>
          <w:sz w:val="21"/>
          <w:szCs w:val="21"/>
          <w:highlight w:val="none"/>
          <w:lang w:eastAsia="zh-CN"/>
        </w:rPr>
        <w:t xml:space="preserve">具有</w:t>
      </w:r>
      <w:r>
        <w:rPr>
          <w:rFonts w:hint="eastAsia" w:cs="宋体"/>
          <w:color w:val="auto"/>
          <w:sz w:val="21"/>
          <w:szCs w:val="21"/>
          <w:highlight w:val="none"/>
          <w:lang w:val="en-US" w:eastAsia="zh-CN"/>
        </w:rPr>
        <w:t xml:space="preserve">高空作业</w:t>
      </w:r>
      <w:r>
        <w:rPr>
          <w:rFonts w:hint="eastAsia" w:cs="宋体"/>
          <w:color w:val="auto"/>
          <w:sz w:val="21"/>
          <w:szCs w:val="21"/>
          <w:highlight w:val="none"/>
          <w:lang w:eastAsia="zh-CN"/>
        </w:rPr>
        <w:t xml:space="preserve">证每个得</w:t>
      </w:r>
      <w:r>
        <w:rPr>
          <w:rFonts w:hint="eastAsia" w:cs="宋体"/>
          <w:color w:val="auto"/>
          <w:sz w:val="21"/>
          <w:szCs w:val="21"/>
          <w:highlight w:val="none"/>
          <w:lang w:val="en-US" w:eastAsia="zh-CN"/>
        </w:rPr>
        <w:t xml:space="preserve">1分，最多2分</w:t>
      </w:r>
      <w:r>
        <w:rPr>
          <w:rFonts w:hint="eastAsia" w:cs="宋体"/>
          <w:color w:val="auto"/>
          <w:sz w:val="21"/>
          <w:szCs w:val="21"/>
          <w:highlight w:val="none"/>
        </w:rPr>
        <w:t xml:space="preserve">。</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注：（1）上述（1）-（2）人员须提供投标单位为其缴纳的近期社保，证书须有二维码或提供网上查询截图，否则不得分。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（2）②、③项人员不得重复得分。</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3、供应商自202</w:t>
      </w:r>
      <w:r>
        <w:rPr>
          <w:rFonts w:hint="eastAsia" w:cs="宋体"/>
          <w:color w:val="auto"/>
          <w:sz w:val="21"/>
          <w:szCs w:val="21"/>
          <w:highlight w:val="none"/>
          <w:lang w:val="en-US" w:eastAsia="zh-CN"/>
        </w:rPr>
        <w:t xml:space="preserve">4</w:t>
      </w:r>
      <w:r>
        <w:rPr>
          <w:rFonts w:hint="eastAsia" w:cs="宋体"/>
          <w:color w:val="auto"/>
          <w:sz w:val="21"/>
          <w:szCs w:val="21"/>
          <w:highlight w:val="none"/>
        </w:rPr>
        <w:t xml:space="preserve">年1</w:t>
      </w:r>
      <w:r>
        <w:rPr>
          <w:rFonts w:hint="eastAsia" w:cs="宋体"/>
          <w:color w:val="auto"/>
          <w:sz w:val="21"/>
          <w:szCs w:val="21"/>
          <w:highlight w:val="none"/>
          <w:lang w:val="en-US" w:eastAsia="zh-CN"/>
        </w:rPr>
        <w:t xml:space="preserve">0</w:t>
      </w:r>
      <w:r>
        <w:rPr>
          <w:rFonts w:hint="eastAsia" w:cs="宋体"/>
          <w:color w:val="auto"/>
          <w:sz w:val="21"/>
          <w:szCs w:val="21"/>
          <w:highlight w:val="none"/>
        </w:rPr>
        <w:t xml:space="preserve">月1日至今（</w:t>
      </w:r>
      <w:r>
        <w:rPr>
          <w:rFonts w:hint="eastAsia" w:cs="宋体"/>
          <w:color w:val="auto"/>
          <w:sz w:val="21"/>
          <w:szCs w:val="21"/>
          <w:highlight w:val="none"/>
          <w:lang w:eastAsia="zh-CN"/>
        </w:rPr>
        <w:t xml:space="preserve">以竣工</w:t>
      </w:r>
      <w:r>
        <w:rPr>
          <w:rFonts w:hint="eastAsia" w:cs="宋体"/>
          <w:color w:val="auto"/>
          <w:sz w:val="21"/>
          <w:szCs w:val="21"/>
          <w:highlight w:val="none"/>
        </w:rPr>
        <w:t xml:space="preserve">时间</w:t>
      </w:r>
      <w:r>
        <w:rPr>
          <w:rFonts w:hint="eastAsia" w:cs="宋体"/>
          <w:color w:val="auto"/>
          <w:sz w:val="21"/>
          <w:szCs w:val="21"/>
          <w:highlight w:val="none"/>
          <w:lang w:eastAsia="zh-CN"/>
        </w:rPr>
        <w:t xml:space="preserve">为准</w:t>
      </w:r>
      <w:r>
        <w:rPr>
          <w:rFonts w:hint="eastAsia" w:cs="宋体"/>
          <w:color w:val="auto"/>
          <w:sz w:val="21"/>
          <w:szCs w:val="21"/>
          <w:highlight w:val="none"/>
        </w:rPr>
        <w:t xml:space="preserve">）承接过类似维护项目业绩的，每提供一个得2分，最高得6分，投标文件中须提供合同、竣工验收证明复印件及对应的任意一期发票复印件。</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注：</w:t>
      </w:r>
      <w:r/>
    </w:p>
    <w:p>
      <w:pPr>
        <w:pStyle w:val="918"/>
        <w:ind w:left="0" w:firstLine="420"/>
        <w:jc w:val="left"/>
        <w:pageBreakBefore w:val="0"/>
        <w:spacing w:line="360" w:lineRule="auto"/>
        <w:rPr>
          <w:rFonts w:hint="eastAsia" w:cs="宋体"/>
          <w:color w:val="auto"/>
          <w:sz w:val="21"/>
          <w:szCs w:val="21"/>
          <w:highlight w:val="none"/>
        </w:rPr>
      </w:pPr>
      <w:r>
        <w:rPr>
          <w:rFonts w:hint="eastAsia" w:cs="宋体"/>
          <w:color w:val="auto"/>
          <w:sz w:val="21"/>
          <w:szCs w:val="21"/>
          <w:highlight w:val="none"/>
        </w:rPr>
        <w:t xml:space="preserve">1</w:t>
      </w:r>
      <w:r>
        <w:rPr>
          <w:rFonts w:hint="eastAsia" w:cs="宋体"/>
          <w:color w:val="auto"/>
          <w:sz w:val="21"/>
          <w:szCs w:val="21"/>
          <w:highlight w:val="none"/>
          <w:lang w:eastAsia="zh-CN"/>
        </w:rPr>
        <w:t xml:space="preserve">、</w:t>
      </w:r>
      <w:r>
        <w:rPr>
          <w:rFonts w:hint="eastAsia" w:cs="宋体"/>
          <w:color w:val="auto"/>
          <w:sz w:val="21"/>
          <w:szCs w:val="21"/>
          <w:highlight w:val="none"/>
        </w:rPr>
        <w:t xml:space="preserve">针对评分标准中评分的每一条，投标人均应提供相关资料并作出相应说明供评委评判，不提供相关资料的视为不具备该项得分的条件。</w:t>
      </w:r>
      <w:r/>
    </w:p>
    <w:p>
      <w:pPr>
        <w:pStyle w:val="918"/>
        <w:ind w:lef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投标文件中如出现前后不一致时，评委有权请投标人澄清说明，澄清说明事项涉及评分时，评委有权酌情扣分。</w:t>
      </w:r>
      <w:r/>
    </w:p>
    <w:p>
      <w:pPr>
        <w:pStyle w:val="918"/>
        <w:ind w:left="0" w:firstLine="420"/>
        <w:jc w:val="left"/>
        <w:pageBreakBefore w:val="0"/>
        <w:spacing w:line="360" w:lineRule="auto"/>
        <w:rPr>
          <w:rFonts w:hint="default"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918"/>
        <w:ind w:firstLine="0"/>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18"/>
        <w:ind w:firstLine="0"/>
        <w:jc w:val="righ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Verdana">
    <w:panose1 w:val="020B0604030504040204"/>
  </w:font>
  <w:font w:name="印品仿宋简 Medium">
    <w:panose1 w:val="020B0503020202020204"/>
  </w:font>
  <w:font w:name="Tahoma">
    <w:panose1 w:val="020B0604030504040204"/>
  </w:font>
  <w:font w:name="方正仿宋简体">
    <w:panose1 w:val="020B0503020202020204"/>
  </w:font>
  <w:font w:name="Cambria">
    <w:panose1 w:val="02040503050406030204"/>
  </w:font>
  <w:font w:name="Calibri">
    <w:panose1 w:val="020F0502020204030204"/>
  </w:font>
  <w:font w:name="方正楷体_GB2312">
    <w:panose1 w:val="020B0503020202020204"/>
  </w:font>
  <w:font w:name="Courier New">
    <w:panose1 w:val="02070309020205020404"/>
  </w:font>
  <w:font w:name="方正仿宋_GB2312">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2106930</wp:posOffset>
              </wp:positionH>
              <wp:positionV relativeFrom="paragraph">
                <wp:posOffset>2540</wp:posOffset>
              </wp:positionV>
              <wp:extent cx="1666875" cy="1828800"/>
              <wp:effectExtent l="0" t="0" r="9525" b="1651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66875" cy="1828800"/>
                      </a:xfrm>
                      <a:prstGeom prst="rect">
                        <a:avLst/>
                      </a:prstGeom>
                      <a:noFill/>
                      <a:ln>
                        <a:noFill/>
                      </a:ln>
                    </wps:spPr>
                    <wps:txbx>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65.9pt;mso-position-horizontal:absolute;mso-position-vertical-relative:text;margin-top:0.2pt;mso-position-vertical:absolute;width:131.2pt;height:144.0pt;mso-wrap-distance-left:9.0pt;mso-wrap-distance-top:0.0pt;mso-wrap-distance-right:9.0pt;mso-wrap-distance-bottom:0.0pt;visibility:visible;" filled="f" stroked="f">
              <v:textbox inset="0,0,0,0">
                <w:txbxContent>
                  <w:p>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9"/>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73</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ind w:left="0" w:firstLine="0"/>
        <w:jc w:val="both"/>
        <w:spacing w:before="0" w:after="0" w:line="240" w:lineRule="auto"/>
        <w:rPr>
          <w:rFonts w:hint="default" w:ascii="宋体" w:hAnsi="宋体" w:eastAsia="宋体" w:cs="Times New Roman"/>
          <w:color w:val="000000"/>
        </w:rPr>
        <w:outlineLvl w:val="0"/>
      </w:pPr>
      <w:r>
        <w:rPr>
          <w:rFonts w:hint="eastAsia" w:ascii="宋体" w:hAnsi="宋体" w:eastAsia="宋体" w:cs="Times New Roman"/>
          <w:b/>
          <w:color w:val="000000"/>
        </w:rPr>
        <w:t xml:space="preserve">备注：</w:t>
      </w:r>
      <w:r>
        <w:rPr>
          <w:rFonts w:hint="eastAsia" w:ascii="宋体" w:hAnsi="宋体" w:eastAsia="宋体" w:cs="Times New Roman"/>
          <w:color w:val="000000"/>
        </w:rPr>
        <w:t xml:space="preserve">1</w:t>
      </w:r>
      <w:r>
        <w:rPr>
          <w:rFonts w:hint="default" w:ascii="宋体" w:hAnsi="宋体" w:eastAsia="宋体" w:cs="Times New Roman"/>
          <w:color w:val="000000"/>
        </w:rPr>
        <w:t xml:space="preserve">.</w:t>
      </w:r>
      <w:r>
        <w:rPr>
          <w:rFonts w:hint="eastAsia" w:ascii="宋体" w:hAnsi="宋体" w:eastAsia="宋体" w:cs="Times New Roman"/>
          <w:color w:val="000000"/>
        </w:rPr>
        <w:t xml:space="preserve">从业人员、营业收入、资产总额填报上一年度数据，无上一年度数据的新成立企业可不填报。</w:t>
      </w:r>
      <w:r/>
    </w:p>
    <w:p>
      <w:pPr>
        <w:ind w:left="0" w:firstLine="600"/>
        <w:jc w:val="both"/>
        <w:spacing w:before="0" w:after="0" w:line="240" w:lineRule="auto"/>
        <w:rPr>
          <w:rFonts w:hint="default" w:ascii="宋体" w:hAnsi="宋体" w:eastAsia="宋体" w:cs="Times New Roman"/>
          <w:color w:val="000000"/>
        </w:rPr>
        <w:outlineLvl w:val="0"/>
      </w:pPr>
      <w:r>
        <w:rPr>
          <w:rFonts w:hint="default" w:ascii="宋体" w:hAnsi="宋体" w:eastAsia="宋体" w:cs="Times New Roman"/>
          <w:color w:val="000000"/>
        </w:rPr>
        <w:t xml:space="preserve">2.</w:t>
      </w:r>
      <w:r>
        <w:rPr>
          <w:rFonts w:hint="eastAsia" w:ascii="宋体" w:hAnsi="宋体" w:eastAsia="宋体" w:cs="Times New Roman"/>
          <w:color w:val="000000"/>
        </w:rPr>
        <w:t xml:space="preserve">在服务采购项目中，服务由中小企业承接，即提供服务的人员为中小企业依照《中华人民共和国劳动合同法》订立劳动合同的从业人员。</w:t>
      </w:r>
      <w:r>
        <w:rPr>
          <w:rFonts w:hint="eastAsia" w:ascii="宋体" w:hAnsi="宋体" w:eastAsia="宋体" w:cs="Times New Roman"/>
          <w:b/>
          <w:color w:val="000000"/>
        </w:rPr>
        <w:t xml:space="preserve">服务类项目中供应商若使用退休人员，将不享受相应扶持政策。</w:t>
      </w:r>
      <w:r/>
    </w:p>
    <w:p>
      <w:pPr>
        <w:ind w:left="0" w:firstLine="600"/>
        <w:jc w:val="both"/>
        <w:spacing w:before="0" w:after="0" w:line="240" w:lineRule="auto"/>
        <w:rPr>
          <w:rFonts w:hint="default" w:ascii="宋体" w:hAnsi="宋体" w:eastAsia="宋体" w:cs="Times New Roman"/>
          <w:color w:val="000000"/>
        </w:rPr>
        <w:outlineLvl w:val="0"/>
      </w:pPr>
      <w:r>
        <w:rPr>
          <w:rFonts w:hint="eastAsia" w:ascii="宋体" w:hAnsi="宋体" w:eastAsia="宋体" w:cs="Times New Roman"/>
          <w:color w:val="000000"/>
        </w:rPr>
        <w:t xml:space="preserve">3</w:t>
      </w:r>
      <w:r>
        <w:rPr>
          <w:rFonts w:hint="default" w:ascii="宋体" w:hAnsi="宋体" w:eastAsia="宋体" w:cs="Times New Roman"/>
          <w:color w:val="000000"/>
        </w:rPr>
        <w:t xml:space="preserve">.</w:t>
      </w:r>
      <w:r>
        <w:rPr>
          <w:rFonts w:hint="eastAsia" w:ascii="宋体" w:hAnsi="宋体" w:eastAsia="宋体" w:cs="Times New Roman"/>
          <w:color w:val="000000"/>
        </w:rPr>
        <w:t xml:space="preserve">《中小企业声明函》中所填的行业应与本采购标的对应的中小企业划分标准所属行业一致，不一致的不可享受相应政策优惠。</w:t>
      </w:r>
      <w:r>
        <w:rPr>
          <w:rFonts w:hint="eastAsia" w:ascii="宋体" w:hAnsi="宋体" w:eastAsia="宋体" w:cs="Times New Roman"/>
          <w:b/>
          <w:color w:val="000000"/>
        </w:rPr>
        <w:t xml:space="preserve">本采购标的对应的中小企业划分标准所属行业，以招标文件第四章《招标书》规定为准。</w:t>
      </w:r>
      <w:r/>
    </w:p>
    <w:p>
      <w:pPr>
        <w:ind w:left="0" w:firstLine="600"/>
        <w:jc w:val="both"/>
        <w:spacing w:before="0" w:after="0" w:line="240" w:lineRule="auto"/>
        <w:rPr>
          <w:rFonts w:hint="default" w:ascii="宋体" w:hAnsi="宋体" w:eastAsia="宋体" w:cs="Times New Roman"/>
          <w:color w:val="000000"/>
        </w:rPr>
        <w:outlineLvl w:val="0"/>
      </w:pPr>
      <w:r>
        <w:rPr>
          <w:rFonts w:hint="default" w:ascii="宋体" w:hAnsi="宋体" w:eastAsia="宋体" w:cs="Times New Roman"/>
          <w:color w:val="000000"/>
        </w:rPr>
        <w:t xml:space="preserve">4.</w:t>
      </w:r>
      <w:r>
        <w:rPr>
          <w:rFonts w:hint="eastAsia" w:ascii="宋体" w:hAnsi="宋体" w:eastAsia="宋体" w:cs="Times New Roman"/>
          <w:b/>
          <w:color w:val="000000"/>
        </w:rPr>
        <w:t xml:space="preserve">如未对（中型企业、小型企业、微型企业）进行勾选，视同非中小微企业，不可享受相应扶持政策</w:t>
      </w:r>
      <w:r>
        <w:rPr>
          <w:rFonts w:hint="eastAsia" w:ascii="宋体" w:hAnsi="宋体" w:eastAsia="宋体" w:cs="Times New Roman"/>
          <w:color w:val="000000"/>
        </w:rPr>
        <w:t xml:space="preserve">。</w:t>
      </w:r>
      <w:r/>
    </w:p>
    <w:p>
      <w:pPr>
        <w:ind w:left="0" w:firstLine="600"/>
        <w:jc w:val="both"/>
        <w:spacing w:before="0" w:after="0" w:line="240" w:lineRule="auto"/>
        <w:rPr>
          <w:rFonts w:hint="default" w:ascii="宋体" w:hAnsi="宋体" w:eastAsia="宋体" w:cs="Times New Roman"/>
        </w:rPr>
        <w:outlineLvl w:val="0"/>
      </w:pPr>
      <w:r>
        <w:rPr>
          <w:rFonts w:hint="eastAsia" w:ascii="宋体" w:hAnsi="宋体" w:eastAsia="宋体" w:cs="Times New Roman"/>
        </w:rPr>
        <w:t xml:space="preserve">5</w:t>
      </w:r>
      <w:r>
        <w:rPr>
          <w:rFonts w:hint="default" w:ascii="宋体" w:hAnsi="宋体" w:eastAsia="宋体" w:cs="Times New Roman"/>
        </w:rPr>
        <w:t xml:space="preserve">.</w:t>
      </w:r>
      <w:r>
        <w:rPr>
          <w:rFonts w:hint="eastAsia" w:ascii="宋体" w:hAnsi="宋体" w:eastAsia="宋体" w:cs="Times New Roman"/>
        </w:rPr>
        <w:t xml:space="preserve">中标单位为中小企业的，《中小企业声明函》将随中标结果同时公告。</w:t>
      </w:r>
      <w:r/>
    </w:p>
    <w:p>
      <w:pPr>
        <w:pStyle w:val="811"/>
        <w:spacing w:line="240" w:lineRule="auto"/>
        <w:rPr>
          <w:rFonts w:hint="eastAsia" w:ascii="宋体" w:hAnsi="宋体"/>
          <w:b/>
          <w:color w:val="000000"/>
        </w:rPr>
      </w:pPr>
      <w:r>
        <w:rPr>
          <w:rFonts w:hint="eastAsia" w:ascii="宋体" w:hAnsi="宋体"/>
          <w:b/>
          <w:color w:val="000000"/>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2"/>
      <w:jc w:val="right"/>
    </w:pPr>
    <w:r>
      <w:rPr>
        <w:rFonts w:hint="eastAsia"/>
      </w:rPr>
      <w:t xml:space="preserve">江苏至衡诚达工程咨询有限公司采购文件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922"/>
    <w:uiPriority w:val="29"/>
    <w:rPr>
      <w:i/>
    </w:rPr>
  </w:style>
  <w:style w:type="character" w:styleId="40">
    <w:name w:val="Intense Quote Char"/>
    <w:link w:val="924"/>
    <w:uiPriority w:val="30"/>
    <w:rPr>
      <w:i/>
    </w:r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2">
    <w:name w:val="Heading 1"/>
    <w:basedOn w:val="781"/>
    <w:next w:val="781"/>
    <w:uiPriority w:val="9"/>
    <w:qFormat/>
    <w:pPr>
      <w:keepLines/>
      <w:keepNext/>
      <w:spacing w:before="480" w:after="200"/>
      <w:outlineLvl w:val="0"/>
    </w:pPr>
    <w:rPr>
      <w:rFonts w:ascii="Arial" w:hAnsi="Arial" w:eastAsia="Arial" w:cs="Arial"/>
      <w:sz w:val="40"/>
      <w:szCs w:val="40"/>
    </w:rPr>
  </w:style>
  <w:style w:type="paragraph" w:styleId="783">
    <w:name w:val="Heading 2"/>
    <w:basedOn w:val="781"/>
    <w:next w:val="781"/>
    <w:uiPriority w:val="9"/>
    <w:unhideWhenUsed/>
    <w:qFormat/>
    <w:pPr>
      <w:keepLines/>
      <w:keepNext/>
      <w:spacing w:before="360" w:after="200"/>
      <w:outlineLvl w:val="1"/>
    </w:pPr>
    <w:rPr>
      <w:rFonts w:ascii="Arial" w:hAnsi="Arial" w:eastAsia="Arial" w:cs="Arial"/>
      <w:sz w:val="34"/>
    </w:rPr>
  </w:style>
  <w:style w:type="paragraph" w:styleId="784">
    <w:name w:val="Heading 3"/>
    <w:basedOn w:val="781"/>
    <w:next w:val="781"/>
    <w:uiPriority w:val="9"/>
    <w:unhideWhenUsed/>
    <w:qFormat/>
    <w:pPr>
      <w:keepLines/>
      <w:keepNext/>
      <w:spacing w:before="320" w:after="200"/>
      <w:outlineLvl w:val="2"/>
    </w:pPr>
    <w:rPr>
      <w:rFonts w:ascii="Arial" w:hAnsi="Arial" w:eastAsia="Arial" w:cs="Arial"/>
      <w:sz w:val="30"/>
      <w:szCs w:val="30"/>
    </w:rPr>
  </w:style>
  <w:style w:type="paragraph" w:styleId="785">
    <w:name w:val="Heading 4"/>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786">
    <w:name w:val="Heading 5"/>
    <w:basedOn w:val="781"/>
    <w:next w:val="781"/>
    <w:uiPriority w:val="9"/>
    <w:unhideWhenUsed/>
    <w:qFormat/>
    <w:pPr>
      <w:keepLines/>
      <w:keepNext/>
      <w:spacing w:before="320" w:after="200"/>
      <w:outlineLvl w:val="4"/>
    </w:pPr>
    <w:rPr>
      <w:rFonts w:ascii="Arial" w:hAnsi="Arial" w:eastAsia="Arial" w:cs="Arial"/>
      <w:b/>
      <w:bCs/>
      <w:sz w:val="24"/>
    </w:rPr>
  </w:style>
  <w:style w:type="paragraph" w:styleId="787">
    <w:name w:val="Heading 6"/>
    <w:basedOn w:val="781"/>
    <w:next w:val="781"/>
    <w:uiPriority w:val="9"/>
    <w:unhideWhenUsed/>
    <w:qFormat/>
    <w:pPr>
      <w:keepLines/>
      <w:keepNext/>
      <w:spacing w:before="320" w:after="200"/>
      <w:outlineLvl w:val="5"/>
    </w:pPr>
    <w:rPr>
      <w:rFonts w:ascii="Arial" w:hAnsi="Arial" w:eastAsia="Arial" w:cs="Arial"/>
      <w:b/>
      <w:bCs/>
      <w:sz w:val="22"/>
      <w:szCs w:val="22"/>
    </w:rPr>
  </w:style>
  <w:style w:type="paragraph" w:styleId="788">
    <w:name w:val="Heading 7"/>
    <w:basedOn w:val="781"/>
    <w:next w:val="781"/>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781"/>
    <w:next w:val="781"/>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781"/>
    <w:next w:val="781"/>
    <w:uiPriority w:val="9"/>
    <w:unhideWhenUsed/>
    <w:qFormat/>
    <w:pPr>
      <w:keepLines/>
      <w:keepNext/>
      <w:spacing w:before="320" w:after="200"/>
      <w:outlineLvl w:val="8"/>
    </w:pPr>
    <w:rPr>
      <w:rFonts w:ascii="Arial" w:hAnsi="Arial" w:eastAsia="Arial" w:cs="Arial"/>
      <w:i/>
      <w:iCs/>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toc 7"/>
    <w:basedOn w:val="782"/>
    <w:next w:val="781"/>
    <w:uiPriority w:val="39"/>
    <w:unhideWhenUsed/>
    <w:qFormat/>
    <w:pPr>
      <w:ind w:left="1701"/>
      <w:spacing w:after="57"/>
    </w:pPr>
  </w:style>
  <w:style w:type="paragraph" w:styleId="794">
    <w:name w:val="Normal Indent"/>
    <w:basedOn w:val="781"/>
    <w:next w:val="781"/>
    <w:uiPriority w:val="0"/>
    <w:qFormat/>
    <w:pPr>
      <w:ind w:left="420" w:firstLine="4772"/>
    </w:pPr>
  </w:style>
  <w:style w:type="paragraph" w:styleId="795">
    <w:name w:val="Caption"/>
    <w:basedOn w:val="781"/>
    <w:next w:val="7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6">
    <w:name w:val="annotation text"/>
    <w:basedOn w:val="781"/>
    <w:link w:val="1218"/>
    <w:uiPriority w:val="99"/>
    <w:semiHidden/>
    <w:unhideWhenUsed/>
    <w:qFormat/>
    <w:pPr>
      <w:jc w:val="left"/>
    </w:pPr>
  </w:style>
  <w:style w:type="paragraph" w:styleId="797">
    <w:name w:val="Body Text"/>
    <w:basedOn w:val="781"/>
    <w:uiPriority w:val="0"/>
    <w:qFormat/>
    <w:pPr>
      <w:ind w:firstLine="2560"/>
    </w:pPr>
  </w:style>
  <w:style w:type="paragraph" w:styleId="798">
    <w:name w:val="Body Text Indent"/>
    <w:basedOn w:val="781"/>
    <w:uiPriority w:val="0"/>
    <w:qFormat/>
    <w:pPr>
      <w:ind w:left="420" w:firstLine="1188"/>
      <w:spacing w:line="360" w:lineRule="exact"/>
    </w:pPr>
    <w:rPr>
      <w:rFonts w:ascii="Times New Roman" w:hAnsi="Times New Roman" w:cs="Times New Roman"/>
    </w:rPr>
  </w:style>
  <w:style w:type="paragraph" w:styleId="799">
    <w:name w:val="List 2"/>
    <w:basedOn w:val="782"/>
    <w:next w:val="793"/>
    <w:uiPriority w:val="0"/>
    <w:qFormat/>
    <w:pPr>
      <w:ind w:left="100" w:firstLine="3640"/>
      <w:spacing w:before="0" w:after="0" w:line="240" w:lineRule="auto"/>
    </w:pPr>
    <w:rPr>
      <w:rFonts w:ascii="Times New Roman" w:hAnsi="Times New Roman" w:cs="Times New Roman"/>
    </w:rPr>
  </w:style>
  <w:style w:type="paragraph" w:styleId="800">
    <w:name w:val="Block Text"/>
    <w:basedOn w:val="782"/>
    <w:next w:val="781"/>
    <w:uiPriority w:val="0"/>
    <w:qFormat/>
    <w:pPr>
      <w:ind w:left="420" w:right="33" w:firstLine="2560"/>
      <w:spacing w:before="0" w:after="0" w:line="240" w:lineRule="auto"/>
    </w:pPr>
    <w:rPr>
      <w:rFonts w:ascii="Times New Roman" w:hAnsi="Times New Roman" w:cs="Times New Roman"/>
    </w:rPr>
  </w:style>
  <w:style w:type="paragraph" w:styleId="801">
    <w:name w:val="toc 5"/>
    <w:basedOn w:val="781"/>
    <w:next w:val="781"/>
    <w:uiPriority w:val="39"/>
    <w:unhideWhenUsed/>
    <w:qFormat/>
    <w:pPr>
      <w:ind w:left="1134"/>
      <w:spacing w:after="57"/>
    </w:pPr>
  </w:style>
  <w:style w:type="paragraph" w:styleId="802">
    <w:name w:val="toc 3"/>
    <w:basedOn w:val="781"/>
    <w:next w:val="781"/>
    <w:uiPriority w:val="39"/>
    <w:unhideWhenUsed/>
    <w:qFormat/>
    <w:pPr>
      <w:ind w:left="567"/>
      <w:spacing w:after="57"/>
    </w:pPr>
  </w:style>
  <w:style w:type="paragraph" w:styleId="803">
    <w:name w:val="toc 8"/>
    <w:basedOn w:val="781"/>
    <w:next w:val="781"/>
    <w:uiPriority w:val="39"/>
    <w:unhideWhenUsed/>
    <w:qFormat/>
    <w:pPr>
      <w:ind w:left="1984"/>
      <w:spacing w:after="57"/>
    </w:pPr>
  </w:style>
  <w:style w:type="paragraph" w:styleId="804">
    <w:name w:val="Date"/>
    <w:basedOn w:val="782"/>
    <w:next w:val="781"/>
    <w:uiPriority w:val="0"/>
    <w:qFormat/>
    <w:pPr>
      <w:ind w:left="0" w:firstLine="2560"/>
      <w:spacing w:before="0" w:after="0" w:line="240" w:lineRule="auto"/>
    </w:pPr>
    <w:rPr>
      <w:rFonts w:ascii="Times New Roman" w:hAnsi="Times New Roman" w:cs="Times New Roman"/>
    </w:rPr>
  </w:style>
  <w:style w:type="paragraph" w:styleId="805">
    <w:name w:val="endnote text"/>
    <w:basedOn w:val="781"/>
    <w:uiPriority w:val="99"/>
    <w:semiHidden/>
    <w:unhideWhenUsed/>
    <w:qFormat/>
    <w:rPr>
      <w:sz w:val="20"/>
    </w:rPr>
  </w:style>
  <w:style w:type="paragraph" w:styleId="806">
    <w:name w:val="Footer"/>
    <w:basedOn w:val="781"/>
    <w:uiPriority w:val="99"/>
    <w:unhideWhenUsed/>
    <w:qFormat/>
    <w:pPr>
      <w:tabs>
        <w:tab w:val="center" w:pos="7143" w:leader="none"/>
        <w:tab w:val="right" w:pos="14287" w:leader="none"/>
      </w:tabs>
    </w:pPr>
  </w:style>
  <w:style w:type="paragraph" w:styleId="807">
    <w:name w:val="Header"/>
    <w:basedOn w:val="782"/>
    <w:next w:val="804"/>
    <w:uiPriority w:val="99"/>
    <w:unhideWhenUsed/>
    <w:qFormat/>
    <w:pPr>
      <w:tabs>
        <w:tab w:val="center" w:pos="7143" w:leader="none"/>
        <w:tab w:val="right" w:pos="14287" w:leader="none"/>
      </w:tabs>
    </w:pPr>
  </w:style>
  <w:style w:type="paragraph" w:styleId="808">
    <w:name w:val="toc 1"/>
    <w:basedOn w:val="781"/>
    <w:next w:val="781"/>
    <w:uiPriority w:val="39"/>
    <w:unhideWhenUsed/>
    <w:qFormat/>
    <w:pPr>
      <w:spacing w:after="57"/>
    </w:pPr>
  </w:style>
  <w:style w:type="paragraph" w:styleId="809">
    <w:name w:val="toc 4"/>
    <w:basedOn w:val="781"/>
    <w:next w:val="781"/>
    <w:uiPriority w:val="39"/>
    <w:unhideWhenUsed/>
    <w:qFormat/>
    <w:pPr>
      <w:ind w:left="850"/>
      <w:spacing w:after="57"/>
    </w:pPr>
  </w:style>
  <w:style w:type="paragraph" w:styleId="810">
    <w:name w:val="Subtitle"/>
    <w:basedOn w:val="781"/>
    <w:next w:val="781"/>
    <w:uiPriority w:val="11"/>
    <w:qFormat/>
    <w:pPr>
      <w:spacing w:before="200" w:after="200"/>
    </w:pPr>
    <w:rPr>
      <w:sz w:val="24"/>
    </w:rPr>
  </w:style>
  <w:style w:type="paragraph" w:styleId="811">
    <w:name w:val="footnote text"/>
    <w:basedOn w:val="782"/>
    <w:next w:val="800"/>
    <w:uiPriority w:val="99"/>
    <w:semiHidden/>
    <w:unhideWhenUsed/>
    <w:qFormat/>
    <w:pPr>
      <w:spacing w:after="40"/>
    </w:pPr>
    <w:rPr>
      <w:sz w:val="18"/>
    </w:rPr>
  </w:style>
  <w:style w:type="paragraph" w:styleId="812">
    <w:name w:val="toc 6"/>
    <w:basedOn w:val="781"/>
    <w:next w:val="781"/>
    <w:uiPriority w:val="39"/>
    <w:unhideWhenUsed/>
    <w:qFormat/>
    <w:pPr>
      <w:ind w:left="1417"/>
      <w:spacing w:after="57"/>
    </w:pPr>
  </w:style>
  <w:style w:type="paragraph" w:styleId="813">
    <w:name w:val="table of figures"/>
    <w:basedOn w:val="781"/>
    <w:next w:val="781"/>
    <w:uiPriority w:val="99"/>
    <w:unhideWhenUsed/>
    <w:qFormat/>
  </w:style>
  <w:style w:type="paragraph" w:styleId="814">
    <w:name w:val="toc 2"/>
    <w:basedOn w:val="781"/>
    <w:next w:val="781"/>
    <w:uiPriority w:val="39"/>
    <w:unhideWhenUsed/>
    <w:qFormat/>
    <w:pPr>
      <w:ind w:left="283"/>
      <w:spacing w:after="57"/>
    </w:pPr>
  </w:style>
  <w:style w:type="paragraph" w:styleId="815">
    <w:name w:val="toc 9"/>
    <w:basedOn w:val="781"/>
    <w:next w:val="781"/>
    <w:uiPriority w:val="39"/>
    <w:unhideWhenUsed/>
    <w:qFormat/>
    <w:pPr>
      <w:ind w:left="2268"/>
      <w:spacing w:after="57"/>
    </w:pPr>
  </w:style>
  <w:style w:type="paragraph" w:styleId="816">
    <w:name w:val="Normal (Web)"/>
    <w:basedOn w:val="781"/>
    <w:next w:val="799"/>
    <w:uiPriority w:val="0"/>
    <w:qFormat/>
    <w:pPr>
      <w:ind w:left="15" w:right="15" w:firstLine="4608"/>
      <w:spacing w:before="60" w:after="60" w:line="312" w:lineRule="auto"/>
    </w:pPr>
    <w:rPr>
      <w:rFonts w:ascii="Times New Roman" w:hAnsi="Times New Roman" w:cs="Times New Roman"/>
    </w:rPr>
  </w:style>
  <w:style w:type="paragraph" w:styleId="817">
    <w:name w:val="Title"/>
    <w:basedOn w:val="781"/>
    <w:next w:val="781"/>
    <w:uiPriority w:val="10"/>
    <w:qFormat/>
    <w:pPr>
      <w:contextualSpacing/>
      <w:spacing w:before="300" w:after="200"/>
    </w:pPr>
    <w:rPr>
      <w:sz w:val="48"/>
      <w:szCs w:val="48"/>
    </w:rPr>
  </w:style>
  <w:style w:type="paragraph" w:styleId="818">
    <w:name w:val="Body Text First Indent 2"/>
    <w:basedOn w:val="798"/>
    <w:uiPriority w:val="0"/>
    <w:unhideWhenUsed/>
    <w:qFormat/>
    <w:pPr>
      <w:ind w:firstLine="420"/>
    </w:pPr>
  </w:style>
  <w:style w:type="table" w:styleId="81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themeColor="hyperlink"/>
      <w:u w:val="single"/>
      <w14:textFill>
        <w14:solidFill>
          <w14:schemeClr w14:val="hlink"/>
        </w14:solidFill>
      </w14:textFill>
    </w:rPr>
  </w:style>
  <w:style w:type="character" w:styleId="822">
    <w:name w:val="annotation reference"/>
    <w:basedOn w:val="791"/>
    <w:uiPriority w:val="99"/>
    <w:qFormat/>
    <w:rPr>
      <w:sz w:val="16"/>
      <w:szCs w:val="16"/>
    </w:rPr>
  </w:style>
  <w:style w:type="character" w:styleId="823">
    <w:name w:val="footnote reference"/>
    <w:uiPriority w:val="99"/>
    <w:unhideWhenUsed/>
    <w:qFormat/>
    <w:rPr>
      <w:vertAlign w:val="superscript"/>
    </w:rPr>
  </w:style>
  <w:style w:type="paragraph" w:styleId="824" w:customStyle="1">
    <w:name w:val="正文1"/>
    <w:basedOn w:val="781"/>
    <w:next w:val="781"/>
    <w:uiPriority w:val="0"/>
    <w:qFormat/>
    <w:pPr>
      <w:ind w:left="420" w:firstLine="527"/>
      <w:spacing w:before="120" w:line="360" w:lineRule="auto"/>
    </w:pPr>
    <w:rPr>
      <w:rFonts w:ascii="宋体" w:hAnsi="宋体"/>
    </w:rPr>
  </w:style>
  <w:style w:type="paragraph" w:styleId="825" w:customStyle="1">
    <w:name w:val="标题 113"/>
    <w:basedOn w:val="781"/>
    <w:next w:val="781"/>
    <w:uiPriority w:val="9"/>
    <w:qFormat/>
    <w:pPr>
      <w:keepLines/>
      <w:keepNext/>
      <w:spacing w:before="480" w:after="200"/>
      <w:outlineLvl w:val="0"/>
    </w:pPr>
    <w:rPr>
      <w:rFonts w:ascii="Arial" w:hAnsi="Arial" w:eastAsia="Arial" w:cs="Arial"/>
      <w:sz w:val="40"/>
      <w:szCs w:val="40"/>
    </w:rPr>
  </w:style>
  <w:style w:type="paragraph" w:styleId="826" w:customStyle="1">
    <w:name w:val="标题 212"/>
    <w:basedOn w:val="781"/>
    <w:next w:val="781"/>
    <w:uiPriority w:val="9"/>
    <w:unhideWhenUsed/>
    <w:qFormat/>
    <w:pPr>
      <w:keepLines/>
      <w:keepNext/>
      <w:spacing w:before="360" w:after="200"/>
      <w:outlineLvl w:val="1"/>
    </w:pPr>
    <w:rPr>
      <w:rFonts w:ascii="Arial" w:hAnsi="Arial" w:eastAsia="Arial" w:cs="Arial"/>
      <w:sz w:val="34"/>
    </w:rPr>
  </w:style>
  <w:style w:type="paragraph" w:styleId="827" w:customStyle="1">
    <w:name w:val="标题 312"/>
    <w:basedOn w:val="781"/>
    <w:next w:val="781"/>
    <w:uiPriority w:val="9"/>
    <w:unhideWhenUsed/>
    <w:qFormat/>
    <w:pPr>
      <w:keepLines/>
      <w:keepNext/>
      <w:spacing w:before="320" w:after="200"/>
      <w:outlineLvl w:val="2"/>
    </w:pPr>
    <w:rPr>
      <w:rFonts w:ascii="Arial" w:hAnsi="Arial" w:eastAsia="Arial" w:cs="Arial"/>
      <w:sz w:val="30"/>
      <w:szCs w:val="30"/>
    </w:rPr>
  </w:style>
  <w:style w:type="paragraph" w:styleId="828" w:customStyle="1">
    <w:name w:val="标题 413"/>
    <w:basedOn w:val="781"/>
    <w:next w:val="781"/>
    <w:uiPriority w:val="9"/>
    <w:unhideWhenUsed/>
    <w:qFormat/>
    <w:pPr>
      <w:keepLines/>
      <w:keepNext/>
      <w:spacing w:before="320" w:after="200"/>
      <w:outlineLvl w:val="3"/>
    </w:pPr>
    <w:rPr>
      <w:rFonts w:ascii="Arial" w:hAnsi="Arial" w:eastAsia="Arial" w:cs="Arial"/>
      <w:b/>
      <w:bCs/>
      <w:sz w:val="26"/>
      <w:szCs w:val="26"/>
    </w:rPr>
  </w:style>
  <w:style w:type="paragraph" w:styleId="829" w:customStyle="1">
    <w:name w:val="标题 512"/>
    <w:basedOn w:val="781"/>
    <w:next w:val="781"/>
    <w:uiPriority w:val="9"/>
    <w:unhideWhenUsed/>
    <w:qFormat/>
    <w:pPr>
      <w:keepLines/>
      <w:keepNext/>
      <w:spacing w:before="320" w:after="200"/>
      <w:outlineLvl w:val="4"/>
    </w:pPr>
    <w:rPr>
      <w:rFonts w:ascii="Arial" w:hAnsi="Arial" w:eastAsia="Arial" w:cs="Arial"/>
      <w:b/>
      <w:bCs/>
      <w:sz w:val="24"/>
    </w:rPr>
  </w:style>
  <w:style w:type="paragraph" w:styleId="830" w:customStyle="1">
    <w:name w:val="标题 612"/>
    <w:basedOn w:val="781"/>
    <w:next w:val="781"/>
    <w:uiPriority w:val="9"/>
    <w:unhideWhenUsed/>
    <w:qFormat/>
    <w:pPr>
      <w:keepLines/>
      <w:keepNext/>
      <w:spacing w:before="320" w:after="200"/>
      <w:outlineLvl w:val="5"/>
    </w:pPr>
    <w:rPr>
      <w:rFonts w:ascii="Arial" w:hAnsi="Arial" w:eastAsia="Arial" w:cs="Arial"/>
      <w:b/>
      <w:bCs/>
      <w:sz w:val="22"/>
      <w:szCs w:val="22"/>
    </w:rPr>
  </w:style>
  <w:style w:type="paragraph" w:styleId="831" w:customStyle="1">
    <w:name w:val="标题 712"/>
    <w:basedOn w:val="781"/>
    <w:next w:val="781"/>
    <w:uiPriority w:val="9"/>
    <w:unhideWhenUsed/>
    <w:qFormat/>
    <w:pPr>
      <w:keepLines/>
      <w:keepNext/>
      <w:spacing w:before="320" w:after="200"/>
      <w:outlineLvl w:val="6"/>
    </w:pPr>
    <w:rPr>
      <w:rFonts w:ascii="Arial" w:hAnsi="Arial" w:eastAsia="Arial" w:cs="Arial"/>
      <w:b/>
      <w:bCs/>
      <w:i/>
      <w:iCs/>
      <w:sz w:val="22"/>
      <w:szCs w:val="22"/>
    </w:rPr>
  </w:style>
  <w:style w:type="paragraph" w:styleId="832" w:customStyle="1">
    <w:name w:val="标题 812"/>
    <w:basedOn w:val="781"/>
    <w:next w:val="781"/>
    <w:uiPriority w:val="9"/>
    <w:unhideWhenUsed/>
    <w:qFormat/>
    <w:pPr>
      <w:keepLines/>
      <w:keepNext/>
      <w:spacing w:before="320" w:after="200"/>
      <w:outlineLvl w:val="7"/>
    </w:pPr>
    <w:rPr>
      <w:rFonts w:ascii="Arial" w:hAnsi="Arial" w:eastAsia="Arial" w:cs="Arial"/>
      <w:i/>
      <w:iCs/>
      <w:sz w:val="22"/>
      <w:szCs w:val="22"/>
    </w:rPr>
  </w:style>
  <w:style w:type="paragraph" w:styleId="833" w:customStyle="1">
    <w:name w:val="标题 912"/>
    <w:basedOn w:val="781"/>
    <w:next w:val="781"/>
    <w:uiPriority w:val="9"/>
    <w:unhideWhenUsed/>
    <w:qFormat/>
    <w:pPr>
      <w:keepLines/>
      <w:keepNext/>
      <w:spacing w:before="320" w:after="200"/>
      <w:outlineLvl w:val="8"/>
    </w:pPr>
    <w:rPr>
      <w:rFonts w:ascii="Arial" w:hAnsi="Arial" w:eastAsia="Arial" w:cs="Arial"/>
      <w:i/>
      <w:iCs/>
      <w:szCs w:val="21"/>
    </w:rPr>
  </w:style>
  <w:style w:type="character" w:styleId="834" w:customStyle="1">
    <w:name w:val="默认段落字体113"/>
    <w:uiPriority w:val="1"/>
    <w:unhideWhenUsed/>
    <w:qFormat/>
  </w:style>
  <w:style w:type="table" w:styleId="835" w:customStyle="1">
    <w:name w:val="普通表格13"/>
    <w:uiPriority w:val="99"/>
    <w:unhideWhenUsed/>
    <w:qFormat/>
    <w:tblPr>
      <w:tblCellMar>
        <w:left w:w="0" w:type="dxa"/>
        <w:top w:w="0" w:type="dxa"/>
        <w:right w:w="0" w:type="dxa"/>
        <w:bottom w:w="0" w:type="dxa"/>
      </w:tblCellMar>
    </w:tblPr>
  </w:style>
  <w:style w:type="paragraph" w:styleId="836" w:customStyle="1">
    <w:name w:val="目录 712"/>
    <w:basedOn w:val="781"/>
    <w:next w:val="781"/>
    <w:uiPriority w:val="39"/>
    <w:unhideWhenUsed/>
    <w:qFormat/>
    <w:pPr>
      <w:ind w:left="1701"/>
      <w:spacing w:after="57"/>
    </w:pPr>
  </w:style>
  <w:style w:type="paragraph" w:styleId="837" w:customStyle="1">
    <w:name w:val="正文缩进14"/>
    <w:basedOn w:val="781"/>
    <w:uiPriority w:val="0"/>
    <w:qFormat/>
    <w:pPr>
      <w:ind w:left="420" w:firstLine="4772"/>
    </w:pPr>
  </w:style>
  <w:style w:type="paragraph" w:styleId="838" w:customStyle="1">
    <w:name w:val="题注12"/>
    <w:basedOn w:val="781"/>
    <w:next w:val="781"/>
    <w:uiPriority w:val="35"/>
    <w:unhideWhenUsed/>
    <w:qFormat/>
    <w:pPr>
      <w:spacing w:line="276" w:lineRule="auto"/>
    </w:pPr>
    <w:rPr>
      <w:b/>
      <w:bCs/>
      <w:color w:val="4f81bd"/>
      <w:sz w:val="18"/>
      <w:szCs w:val="18"/>
    </w:rPr>
  </w:style>
  <w:style w:type="paragraph" w:styleId="839" w:customStyle="1">
    <w:name w:val="正文文本12"/>
    <w:basedOn w:val="781"/>
    <w:next w:val="781"/>
    <w:uiPriority w:val="0"/>
    <w:qFormat/>
    <w:pPr>
      <w:ind w:firstLine="2560"/>
    </w:pPr>
  </w:style>
  <w:style w:type="paragraph" w:styleId="840" w:customStyle="1">
    <w:name w:val="正文文本缩进112"/>
    <w:basedOn w:val="781"/>
    <w:next w:val="781"/>
    <w:uiPriority w:val="0"/>
    <w:qFormat/>
    <w:pPr>
      <w:ind w:firstLine="570"/>
    </w:pPr>
    <w:rPr>
      <w:rFonts w:ascii="宋体"/>
      <w:sz w:val="28"/>
      <w:szCs w:val="20"/>
    </w:rPr>
  </w:style>
  <w:style w:type="paragraph" w:styleId="841" w:customStyle="1">
    <w:name w:val="文本块11"/>
    <w:basedOn w:val="781"/>
    <w:uiPriority w:val="0"/>
    <w:qFormat/>
    <w:pPr>
      <w:ind w:left="630" w:right="-609" w:firstLine="420"/>
      <w:spacing w:line="360" w:lineRule="auto"/>
    </w:pPr>
    <w:rPr>
      <w:rFonts w:hint="eastAsia" w:ascii="方正仿宋_GB2312" w:eastAsia="方正仿宋_GB2312"/>
      <w:szCs w:val="20"/>
    </w:rPr>
  </w:style>
  <w:style w:type="paragraph" w:styleId="842" w:customStyle="1">
    <w:name w:val="目录 513"/>
    <w:basedOn w:val="781"/>
    <w:next w:val="781"/>
    <w:uiPriority w:val="39"/>
    <w:unhideWhenUsed/>
    <w:qFormat/>
    <w:pPr>
      <w:ind w:left="1134"/>
      <w:spacing w:after="57"/>
    </w:pPr>
  </w:style>
  <w:style w:type="paragraph" w:styleId="843" w:customStyle="1">
    <w:name w:val="目录 313"/>
    <w:basedOn w:val="781"/>
    <w:next w:val="781"/>
    <w:uiPriority w:val="39"/>
    <w:unhideWhenUsed/>
    <w:qFormat/>
    <w:pPr>
      <w:ind w:left="567"/>
      <w:spacing w:after="57"/>
    </w:pPr>
  </w:style>
  <w:style w:type="paragraph" w:styleId="844" w:customStyle="1">
    <w:name w:val="纯文本13"/>
    <w:basedOn w:val="781"/>
    <w:uiPriority w:val="0"/>
    <w:qFormat/>
    <w:rPr>
      <w:rFonts w:ascii="宋体" w:hAnsi="Courier New" w:eastAsia="方正楷体_GB2312"/>
      <w:sz w:val="28"/>
      <w:szCs w:val="20"/>
    </w:rPr>
  </w:style>
  <w:style w:type="paragraph" w:styleId="845" w:customStyle="1">
    <w:name w:val="目录 812"/>
    <w:basedOn w:val="781"/>
    <w:next w:val="781"/>
    <w:uiPriority w:val="39"/>
    <w:unhideWhenUsed/>
    <w:qFormat/>
    <w:pPr>
      <w:ind w:left="1984"/>
      <w:spacing w:after="57"/>
    </w:pPr>
  </w:style>
  <w:style w:type="paragraph" w:styleId="846" w:customStyle="1">
    <w:name w:val="正文文本缩进 212"/>
    <w:basedOn w:val="781"/>
    <w:next w:val="847"/>
    <w:uiPriority w:val="0"/>
    <w:qFormat/>
    <w:pPr>
      <w:ind w:left="420"/>
      <w:spacing w:after="120" w:line="480" w:lineRule="auto"/>
    </w:pPr>
  </w:style>
  <w:style w:type="paragraph" w:styleId="847" w:customStyle="1">
    <w:name w:val="索引 91"/>
    <w:basedOn w:val="781"/>
    <w:next w:val="781"/>
    <w:uiPriority w:val="0"/>
    <w:semiHidden/>
    <w:qFormat/>
    <w:pPr>
      <w:ind w:left="1600"/>
    </w:pPr>
  </w:style>
  <w:style w:type="paragraph" w:styleId="848" w:customStyle="1">
    <w:name w:val="尾注文本12"/>
    <w:basedOn w:val="781"/>
    <w:uiPriority w:val="99"/>
    <w:unhideWhenUsed/>
    <w:qFormat/>
    <w:rPr>
      <w:sz w:val="20"/>
    </w:rPr>
  </w:style>
  <w:style w:type="paragraph" w:styleId="849" w:customStyle="1">
    <w:name w:val="页脚14"/>
    <w:basedOn w:val="781"/>
    <w:uiPriority w:val="99"/>
    <w:unhideWhenUsed/>
    <w:qFormat/>
    <w:pPr>
      <w:tabs>
        <w:tab w:val="center" w:pos="7143" w:leader="none"/>
        <w:tab w:val="right" w:pos="14287" w:leader="none"/>
      </w:tabs>
    </w:pPr>
  </w:style>
  <w:style w:type="paragraph" w:styleId="850" w:customStyle="1">
    <w:name w:val="页眉14"/>
    <w:basedOn w:val="781"/>
    <w:uiPriority w:val="99"/>
    <w:unhideWhenUsed/>
    <w:qFormat/>
    <w:pPr>
      <w:tabs>
        <w:tab w:val="center" w:pos="7143" w:leader="none"/>
        <w:tab w:val="right" w:pos="14287" w:leader="none"/>
      </w:tabs>
    </w:pPr>
  </w:style>
  <w:style w:type="paragraph" w:styleId="851" w:customStyle="1">
    <w:name w:val="目录 113"/>
    <w:basedOn w:val="781"/>
    <w:next w:val="781"/>
    <w:uiPriority w:val="39"/>
    <w:unhideWhenUsed/>
    <w:qFormat/>
    <w:pPr>
      <w:spacing w:after="57"/>
    </w:pPr>
  </w:style>
  <w:style w:type="paragraph" w:styleId="852" w:customStyle="1">
    <w:name w:val="目录 412"/>
    <w:basedOn w:val="781"/>
    <w:next w:val="781"/>
    <w:uiPriority w:val="39"/>
    <w:unhideWhenUsed/>
    <w:qFormat/>
    <w:pPr>
      <w:ind w:left="850"/>
      <w:spacing w:after="57"/>
    </w:pPr>
  </w:style>
  <w:style w:type="paragraph" w:styleId="853" w:customStyle="1">
    <w:name w:val="副标题12"/>
    <w:basedOn w:val="781"/>
    <w:next w:val="781"/>
    <w:uiPriority w:val="11"/>
    <w:qFormat/>
    <w:pPr>
      <w:spacing w:before="200" w:after="200"/>
    </w:pPr>
    <w:rPr>
      <w:sz w:val="24"/>
    </w:rPr>
  </w:style>
  <w:style w:type="paragraph" w:styleId="854" w:customStyle="1">
    <w:name w:val="脚注文本13"/>
    <w:basedOn w:val="781"/>
    <w:uiPriority w:val="99"/>
    <w:unhideWhenUsed/>
    <w:qFormat/>
    <w:pPr>
      <w:spacing w:after="40"/>
    </w:pPr>
    <w:rPr>
      <w:sz w:val="18"/>
    </w:rPr>
  </w:style>
  <w:style w:type="paragraph" w:styleId="855" w:customStyle="1">
    <w:name w:val="目录 612"/>
    <w:basedOn w:val="781"/>
    <w:next w:val="781"/>
    <w:uiPriority w:val="39"/>
    <w:unhideWhenUsed/>
    <w:qFormat/>
    <w:pPr>
      <w:ind w:left="1417"/>
      <w:spacing w:after="57"/>
    </w:pPr>
  </w:style>
  <w:style w:type="paragraph" w:styleId="856" w:customStyle="1">
    <w:name w:val="图表目录12"/>
    <w:basedOn w:val="781"/>
    <w:next w:val="781"/>
    <w:uiPriority w:val="99"/>
    <w:unhideWhenUsed/>
    <w:qFormat/>
  </w:style>
  <w:style w:type="paragraph" w:styleId="857" w:customStyle="1">
    <w:name w:val="目录 213"/>
    <w:basedOn w:val="781"/>
    <w:next w:val="781"/>
    <w:uiPriority w:val="39"/>
    <w:unhideWhenUsed/>
    <w:qFormat/>
    <w:pPr>
      <w:ind w:left="283"/>
      <w:spacing w:after="57"/>
    </w:pPr>
  </w:style>
  <w:style w:type="paragraph" w:styleId="858" w:customStyle="1">
    <w:name w:val="目录 912"/>
    <w:basedOn w:val="781"/>
    <w:next w:val="781"/>
    <w:uiPriority w:val="39"/>
    <w:unhideWhenUsed/>
    <w:qFormat/>
    <w:pPr>
      <w:ind w:left="2268"/>
      <w:spacing w:after="57"/>
    </w:pPr>
  </w:style>
  <w:style w:type="paragraph" w:styleId="859" w:customStyle="1">
    <w:name w:val="普通(网站)12"/>
    <w:basedOn w:val="781"/>
    <w:uiPriority w:val="99"/>
    <w:unhideWhenUsed/>
    <w:qFormat/>
    <w:pPr>
      <w:jc w:val="left"/>
      <w:spacing w:before="100" w:beforeAutospacing="1" w:after="100" w:afterAutospacing="1"/>
    </w:pPr>
    <w:rPr>
      <w:sz w:val="24"/>
    </w:rPr>
  </w:style>
  <w:style w:type="paragraph" w:styleId="860" w:customStyle="1">
    <w:name w:val="标题12"/>
    <w:basedOn w:val="781"/>
    <w:next w:val="781"/>
    <w:uiPriority w:val="10"/>
    <w:qFormat/>
    <w:pPr>
      <w:contextualSpacing/>
      <w:spacing w:before="300" w:after="200"/>
    </w:pPr>
    <w:rPr>
      <w:sz w:val="48"/>
      <w:szCs w:val="48"/>
    </w:rPr>
  </w:style>
  <w:style w:type="paragraph" w:styleId="861" w:customStyle="1">
    <w:name w:val="正文首行缩进 212"/>
    <w:basedOn w:val="840"/>
    <w:next w:val="846"/>
    <w:uiPriority w:val="0"/>
    <w:qFormat/>
    <w:pPr>
      <w:ind w:firstLine="420"/>
    </w:pPr>
  </w:style>
  <w:style w:type="table" w:styleId="862" w:customStyle="1">
    <w:name w:val="网格型13"/>
    <w:uiPriority w:val="59"/>
    <w:qFormat/>
    <w:tblPr>
      <w:tblCellMar>
        <w:left w:w="0" w:type="dxa"/>
        <w:top w:w="0" w:type="dxa"/>
        <w:right w:w="0" w:type="dxa"/>
        <w:bottom w:w="0" w:type="dxa"/>
      </w:tblCellMar>
    </w:tblPr>
  </w:style>
  <w:style w:type="character" w:styleId="863" w:customStyle="1">
    <w:name w:val="要点11"/>
    <w:basedOn w:val="834"/>
    <w:uiPriority w:val="22"/>
    <w:qFormat/>
    <w:rPr>
      <w:b/>
    </w:rPr>
  </w:style>
  <w:style w:type="character" w:styleId="864" w:customStyle="1">
    <w:name w:val="尾注引用12"/>
    <w:uiPriority w:val="99"/>
    <w:unhideWhenUsed/>
    <w:qFormat/>
    <w:rPr>
      <w:vertAlign w:val="superscript"/>
    </w:rPr>
  </w:style>
  <w:style w:type="character" w:styleId="865" w:customStyle="1">
    <w:name w:val="页码111"/>
    <w:uiPriority w:val="0"/>
    <w:qFormat/>
  </w:style>
  <w:style w:type="character" w:styleId="866" w:customStyle="1">
    <w:name w:val="强调1"/>
    <w:basedOn w:val="834"/>
    <w:uiPriority w:val="20"/>
    <w:qFormat/>
    <w:rPr>
      <w:i/>
    </w:rPr>
  </w:style>
  <w:style w:type="character" w:styleId="867" w:customStyle="1">
    <w:name w:val="超链接13"/>
    <w:uiPriority w:val="99"/>
    <w:unhideWhenUsed/>
    <w:qFormat/>
    <w:rPr>
      <w:color w:val="0000ff"/>
      <w:u w:val="single"/>
    </w:rPr>
  </w:style>
  <w:style w:type="character" w:styleId="868" w:customStyle="1">
    <w:name w:val="脚注引用13"/>
    <w:uiPriority w:val="99"/>
    <w:unhideWhenUsed/>
    <w:qFormat/>
    <w:rPr>
      <w:vertAlign w:val="superscript"/>
    </w:rPr>
  </w:style>
  <w:style w:type="paragraph" w:styleId="869" w:customStyle="1">
    <w:name w:val="段"/>
    <w:next w:val="781"/>
    <w:uiPriority w:val="0"/>
    <w:qFormat/>
    <w:pPr>
      <w:ind w:firstLine="200"/>
      <w:jc w:val="both"/>
    </w:pPr>
    <w:rPr>
      <w:rFonts w:ascii="宋体" w:hAnsi="Times New Roman" w:eastAsia="宋体" w:cs="Times New Roman"/>
      <w:sz w:val="21"/>
      <w:lang w:val="en-US" w:eastAsia="zh-CN" w:bidi="ar-SA"/>
    </w:rPr>
  </w:style>
  <w:style w:type="character" w:styleId="870" w:customStyle="1">
    <w:name w:val="要点1"/>
    <w:uiPriority w:val="0"/>
    <w:qFormat/>
    <w:rPr>
      <w:rFonts w:ascii="Times New Roman" w:hAnsi="Times New Roman" w:eastAsia="宋体" w:cs="Times New Roman"/>
      <w:b/>
    </w:rPr>
  </w:style>
  <w:style w:type="paragraph" w:styleId="871" w:customStyle="1">
    <w:name w:val="标题 112"/>
    <w:basedOn w:val="781"/>
    <w:next w:val="781"/>
    <w:link w:val="872"/>
    <w:uiPriority w:val="9"/>
    <w:qFormat/>
    <w:pPr>
      <w:keepLines/>
      <w:keepNext/>
      <w:spacing w:before="480" w:after="200"/>
      <w:outlineLvl w:val="0"/>
    </w:pPr>
    <w:rPr>
      <w:rFonts w:ascii="Arial" w:hAnsi="Arial" w:eastAsia="Arial" w:cs="Arial"/>
      <w:sz w:val="40"/>
      <w:szCs w:val="40"/>
    </w:rPr>
  </w:style>
  <w:style w:type="character" w:styleId="872" w:customStyle="1">
    <w:name w:val="Heading 1 Char"/>
    <w:link w:val="871"/>
    <w:uiPriority w:val="9"/>
    <w:qFormat/>
    <w:rPr>
      <w:rFonts w:ascii="Arial" w:hAnsi="Arial" w:eastAsia="Arial" w:cs="Arial"/>
      <w:sz w:val="40"/>
      <w:szCs w:val="40"/>
    </w:rPr>
  </w:style>
  <w:style w:type="paragraph" w:styleId="873" w:customStyle="1">
    <w:name w:val="标题 211"/>
    <w:basedOn w:val="781"/>
    <w:next w:val="781"/>
    <w:link w:val="874"/>
    <w:uiPriority w:val="9"/>
    <w:unhideWhenUsed/>
    <w:qFormat/>
    <w:pPr>
      <w:keepLines/>
      <w:keepNext/>
      <w:spacing w:before="360" w:after="200"/>
      <w:outlineLvl w:val="1"/>
    </w:pPr>
    <w:rPr>
      <w:rFonts w:ascii="Arial" w:hAnsi="Arial" w:eastAsia="Arial" w:cs="Arial"/>
      <w:sz w:val="34"/>
    </w:rPr>
  </w:style>
  <w:style w:type="character" w:styleId="874" w:customStyle="1">
    <w:name w:val="Heading 2 Char"/>
    <w:link w:val="873"/>
    <w:uiPriority w:val="9"/>
    <w:qFormat/>
    <w:rPr>
      <w:rFonts w:ascii="Arial" w:hAnsi="Arial" w:eastAsia="Arial" w:cs="Arial"/>
      <w:sz w:val="34"/>
    </w:rPr>
  </w:style>
  <w:style w:type="paragraph" w:styleId="875" w:customStyle="1">
    <w:name w:val="标题 311"/>
    <w:basedOn w:val="781"/>
    <w:next w:val="781"/>
    <w:link w:val="876"/>
    <w:uiPriority w:val="9"/>
    <w:unhideWhenUsed/>
    <w:qFormat/>
    <w:pPr>
      <w:keepLines/>
      <w:keepNext/>
      <w:spacing w:before="320" w:after="200"/>
      <w:outlineLvl w:val="2"/>
    </w:pPr>
    <w:rPr>
      <w:rFonts w:ascii="Arial" w:hAnsi="Arial" w:eastAsia="Arial" w:cs="Arial"/>
      <w:sz w:val="30"/>
      <w:szCs w:val="30"/>
    </w:rPr>
  </w:style>
  <w:style w:type="character" w:styleId="876" w:customStyle="1">
    <w:name w:val="Heading 3 Char"/>
    <w:link w:val="875"/>
    <w:uiPriority w:val="9"/>
    <w:qFormat/>
    <w:rPr>
      <w:rFonts w:ascii="Arial" w:hAnsi="Arial" w:eastAsia="Arial" w:cs="Arial"/>
      <w:sz w:val="30"/>
      <w:szCs w:val="30"/>
    </w:rPr>
  </w:style>
  <w:style w:type="paragraph" w:styleId="877" w:customStyle="1">
    <w:name w:val="标题 412"/>
    <w:basedOn w:val="781"/>
    <w:next w:val="781"/>
    <w:link w:val="878"/>
    <w:uiPriority w:val="9"/>
    <w:unhideWhenUsed/>
    <w:qFormat/>
    <w:pPr>
      <w:keepLines/>
      <w:keepNext/>
      <w:spacing w:before="320" w:after="200"/>
      <w:outlineLvl w:val="3"/>
    </w:pPr>
    <w:rPr>
      <w:rFonts w:ascii="Arial" w:hAnsi="Arial" w:eastAsia="Arial" w:cs="Arial"/>
      <w:b/>
      <w:bCs/>
      <w:sz w:val="26"/>
      <w:szCs w:val="26"/>
    </w:rPr>
  </w:style>
  <w:style w:type="character" w:styleId="878" w:customStyle="1">
    <w:name w:val="Heading 4 Char"/>
    <w:link w:val="877"/>
    <w:uiPriority w:val="9"/>
    <w:qFormat/>
    <w:rPr>
      <w:rFonts w:ascii="Arial" w:hAnsi="Arial" w:eastAsia="Arial" w:cs="Arial"/>
      <w:b/>
      <w:bCs/>
      <w:sz w:val="26"/>
      <w:szCs w:val="26"/>
    </w:rPr>
  </w:style>
  <w:style w:type="paragraph" w:styleId="879" w:customStyle="1">
    <w:name w:val="标题 511"/>
    <w:basedOn w:val="781"/>
    <w:next w:val="781"/>
    <w:link w:val="880"/>
    <w:uiPriority w:val="9"/>
    <w:unhideWhenUsed/>
    <w:qFormat/>
    <w:pPr>
      <w:keepLines/>
      <w:keepNext/>
      <w:spacing w:before="320" w:after="200"/>
      <w:outlineLvl w:val="4"/>
    </w:pPr>
    <w:rPr>
      <w:rFonts w:ascii="Arial" w:hAnsi="Arial" w:eastAsia="Arial" w:cs="Arial"/>
      <w:b/>
      <w:bCs/>
      <w:sz w:val="24"/>
    </w:rPr>
  </w:style>
  <w:style w:type="character" w:styleId="880" w:customStyle="1">
    <w:name w:val="Heading 5 Char"/>
    <w:link w:val="879"/>
    <w:uiPriority w:val="9"/>
    <w:qFormat/>
    <w:rPr>
      <w:rFonts w:ascii="Arial" w:hAnsi="Arial" w:eastAsia="Arial" w:cs="Arial"/>
      <w:b/>
      <w:bCs/>
      <w:sz w:val="24"/>
      <w:szCs w:val="24"/>
    </w:rPr>
  </w:style>
  <w:style w:type="paragraph" w:styleId="881" w:customStyle="1">
    <w:name w:val="标题 611"/>
    <w:basedOn w:val="781"/>
    <w:next w:val="781"/>
    <w:link w:val="882"/>
    <w:uiPriority w:val="9"/>
    <w:unhideWhenUsed/>
    <w:qFormat/>
    <w:pPr>
      <w:keepLines/>
      <w:keepNext/>
      <w:spacing w:before="320" w:after="200"/>
      <w:outlineLvl w:val="5"/>
    </w:pPr>
    <w:rPr>
      <w:rFonts w:ascii="Arial" w:hAnsi="Arial" w:eastAsia="Arial" w:cs="Arial"/>
      <w:b/>
      <w:bCs/>
      <w:sz w:val="22"/>
      <w:szCs w:val="22"/>
    </w:rPr>
  </w:style>
  <w:style w:type="character" w:styleId="882" w:customStyle="1">
    <w:name w:val="Heading 6 Char"/>
    <w:link w:val="881"/>
    <w:uiPriority w:val="9"/>
    <w:qFormat/>
    <w:rPr>
      <w:rFonts w:ascii="Arial" w:hAnsi="Arial" w:eastAsia="Arial" w:cs="Arial"/>
      <w:b/>
      <w:bCs/>
      <w:sz w:val="22"/>
      <w:szCs w:val="22"/>
    </w:rPr>
  </w:style>
  <w:style w:type="paragraph" w:styleId="883" w:customStyle="1">
    <w:name w:val="标题 711"/>
    <w:basedOn w:val="781"/>
    <w:next w:val="781"/>
    <w:link w:val="884"/>
    <w:uiPriority w:val="9"/>
    <w:unhideWhenUsed/>
    <w:qFormat/>
    <w:pPr>
      <w:keepLines/>
      <w:keepNext/>
      <w:spacing w:before="320" w:after="200"/>
      <w:outlineLvl w:val="6"/>
    </w:pPr>
    <w:rPr>
      <w:rFonts w:ascii="Arial" w:hAnsi="Arial" w:eastAsia="Arial" w:cs="Arial"/>
      <w:b/>
      <w:bCs/>
      <w:i/>
      <w:iCs/>
      <w:sz w:val="22"/>
      <w:szCs w:val="22"/>
    </w:rPr>
  </w:style>
  <w:style w:type="character" w:styleId="884" w:customStyle="1">
    <w:name w:val="Heading 7 Char"/>
    <w:link w:val="883"/>
    <w:uiPriority w:val="9"/>
    <w:qFormat/>
    <w:rPr>
      <w:rFonts w:ascii="Arial" w:hAnsi="Arial" w:eastAsia="Arial" w:cs="Arial"/>
      <w:b/>
      <w:bCs/>
      <w:i/>
      <w:iCs/>
      <w:sz w:val="22"/>
      <w:szCs w:val="22"/>
    </w:rPr>
  </w:style>
  <w:style w:type="paragraph" w:styleId="885" w:customStyle="1">
    <w:name w:val="标题 811"/>
    <w:basedOn w:val="781"/>
    <w:next w:val="781"/>
    <w:link w:val="886"/>
    <w:uiPriority w:val="9"/>
    <w:unhideWhenUsed/>
    <w:qFormat/>
    <w:pPr>
      <w:keepLines/>
      <w:keepNext/>
      <w:spacing w:before="320" w:after="200"/>
      <w:outlineLvl w:val="7"/>
    </w:pPr>
    <w:rPr>
      <w:rFonts w:ascii="Arial" w:hAnsi="Arial" w:eastAsia="Arial" w:cs="Arial"/>
      <w:i/>
      <w:iCs/>
      <w:sz w:val="22"/>
      <w:szCs w:val="22"/>
    </w:rPr>
  </w:style>
  <w:style w:type="character" w:styleId="886" w:customStyle="1">
    <w:name w:val="Heading 8 Char"/>
    <w:link w:val="885"/>
    <w:uiPriority w:val="9"/>
    <w:qFormat/>
    <w:rPr>
      <w:rFonts w:ascii="Arial" w:hAnsi="Arial" w:eastAsia="Arial" w:cs="Arial"/>
      <w:i/>
      <w:iCs/>
      <w:sz w:val="22"/>
      <w:szCs w:val="22"/>
    </w:rPr>
  </w:style>
  <w:style w:type="paragraph" w:styleId="887" w:customStyle="1">
    <w:name w:val="标题 911"/>
    <w:basedOn w:val="781"/>
    <w:next w:val="781"/>
    <w:link w:val="888"/>
    <w:uiPriority w:val="9"/>
    <w:unhideWhenUsed/>
    <w:qFormat/>
    <w:pPr>
      <w:keepLines/>
      <w:keepNext/>
      <w:spacing w:before="320" w:after="200"/>
      <w:outlineLvl w:val="8"/>
    </w:pPr>
    <w:rPr>
      <w:rFonts w:ascii="Arial" w:hAnsi="Arial" w:eastAsia="Arial" w:cs="Arial"/>
      <w:i/>
      <w:iCs/>
      <w:szCs w:val="21"/>
    </w:rPr>
  </w:style>
  <w:style w:type="character" w:styleId="888" w:customStyle="1">
    <w:name w:val="Heading 9 Char"/>
    <w:link w:val="887"/>
    <w:uiPriority w:val="9"/>
    <w:qFormat/>
    <w:rPr>
      <w:rFonts w:ascii="Arial" w:hAnsi="Arial" w:eastAsia="Arial" w:cs="Arial"/>
      <w:i/>
      <w:iCs/>
      <w:sz w:val="21"/>
      <w:szCs w:val="21"/>
    </w:rPr>
  </w:style>
  <w:style w:type="character" w:styleId="889" w:customStyle="1">
    <w:name w:val="默认段落字体112"/>
    <w:uiPriority w:val="1"/>
    <w:unhideWhenUsed/>
    <w:qFormat/>
  </w:style>
  <w:style w:type="table" w:styleId="890" w:customStyle="1">
    <w:name w:val="普通表格12"/>
    <w:uiPriority w:val="99"/>
    <w:unhideWhenUsed/>
    <w:qFormat/>
    <w:tblPr>
      <w:tblCellMar>
        <w:left w:w="0" w:type="dxa"/>
        <w:top w:w="0" w:type="dxa"/>
        <w:right w:w="0" w:type="dxa"/>
        <w:bottom w:w="0" w:type="dxa"/>
      </w:tblCellMar>
    </w:tblPr>
  </w:style>
  <w:style w:type="paragraph" w:styleId="891" w:customStyle="1">
    <w:name w:val="目录 711"/>
    <w:basedOn w:val="781"/>
    <w:next w:val="781"/>
    <w:uiPriority w:val="39"/>
    <w:unhideWhenUsed/>
    <w:qFormat/>
    <w:pPr>
      <w:ind w:left="1701"/>
      <w:spacing w:after="57"/>
    </w:pPr>
  </w:style>
  <w:style w:type="paragraph" w:styleId="892" w:customStyle="1">
    <w:name w:val="题注11"/>
    <w:basedOn w:val="781"/>
    <w:next w:val="781"/>
    <w:uiPriority w:val="35"/>
    <w:unhideWhenUsed/>
    <w:qFormat/>
    <w:pPr>
      <w:spacing w:line="276" w:lineRule="auto"/>
    </w:pPr>
    <w:rPr>
      <w:b/>
      <w:bCs/>
      <w:color w:val="4f81bd"/>
      <w:sz w:val="18"/>
      <w:szCs w:val="18"/>
    </w:rPr>
  </w:style>
  <w:style w:type="paragraph" w:styleId="893" w:customStyle="1">
    <w:name w:val="目录 512"/>
    <w:basedOn w:val="781"/>
    <w:next w:val="781"/>
    <w:uiPriority w:val="39"/>
    <w:unhideWhenUsed/>
    <w:qFormat/>
    <w:pPr>
      <w:ind w:left="1134"/>
      <w:spacing w:after="57"/>
    </w:pPr>
  </w:style>
  <w:style w:type="paragraph" w:styleId="894" w:customStyle="1">
    <w:name w:val="目录 312"/>
    <w:basedOn w:val="781"/>
    <w:next w:val="781"/>
    <w:uiPriority w:val="39"/>
    <w:unhideWhenUsed/>
    <w:qFormat/>
    <w:pPr>
      <w:ind w:left="567"/>
      <w:spacing w:after="57"/>
    </w:pPr>
  </w:style>
  <w:style w:type="paragraph" w:styleId="895" w:customStyle="1">
    <w:name w:val="目录 811"/>
    <w:basedOn w:val="781"/>
    <w:next w:val="781"/>
    <w:uiPriority w:val="39"/>
    <w:unhideWhenUsed/>
    <w:qFormat/>
    <w:pPr>
      <w:ind w:left="1984"/>
      <w:spacing w:after="57"/>
    </w:pPr>
  </w:style>
  <w:style w:type="paragraph" w:styleId="896" w:customStyle="1">
    <w:name w:val="尾注文本11"/>
    <w:basedOn w:val="781"/>
    <w:link w:val="897"/>
    <w:uiPriority w:val="99"/>
    <w:unhideWhenUsed/>
    <w:qFormat/>
    <w:rPr>
      <w:sz w:val="20"/>
    </w:rPr>
  </w:style>
  <w:style w:type="character" w:styleId="897" w:customStyle="1">
    <w:name w:val="Endnote Text Char"/>
    <w:link w:val="896"/>
    <w:uiPriority w:val="99"/>
    <w:qFormat/>
    <w:rPr>
      <w:sz w:val="20"/>
    </w:rPr>
  </w:style>
  <w:style w:type="paragraph" w:styleId="898" w:customStyle="1">
    <w:name w:val="页脚13"/>
    <w:basedOn w:val="781"/>
    <w:link w:val="899"/>
    <w:uiPriority w:val="99"/>
    <w:unhideWhenUsed/>
    <w:qFormat/>
    <w:pPr>
      <w:tabs>
        <w:tab w:val="center" w:pos="7143" w:leader="none"/>
        <w:tab w:val="right" w:pos="14287" w:leader="none"/>
      </w:tabs>
    </w:pPr>
  </w:style>
  <w:style w:type="character" w:styleId="899" w:customStyle="1">
    <w:name w:val="Footer Char"/>
    <w:link w:val="898"/>
    <w:uiPriority w:val="99"/>
    <w:qFormat/>
  </w:style>
  <w:style w:type="paragraph" w:styleId="900" w:customStyle="1">
    <w:name w:val="页眉13"/>
    <w:basedOn w:val="781"/>
    <w:link w:val="901"/>
    <w:uiPriority w:val="99"/>
    <w:unhideWhenUsed/>
    <w:qFormat/>
    <w:pPr>
      <w:tabs>
        <w:tab w:val="center" w:pos="7143" w:leader="none"/>
        <w:tab w:val="right" w:pos="14287" w:leader="none"/>
      </w:tabs>
    </w:pPr>
  </w:style>
  <w:style w:type="character" w:styleId="901" w:customStyle="1">
    <w:name w:val="Header Char"/>
    <w:link w:val="900"/>
    <w:uiPriority w:val="99"/>
    <w:qFormat/>
  </w:style>
  <w:style w:type="paragraph" w:styleId="902" w:customStyle="1">
    <w:name w:val="目录 112"/>
    <w:basedOn w:val="781"/>
    <w:next w:val="781"/>
    <w:uiPriority w:val="39"/>
    <w:unhideWhenUsed/>
    <w:qFormat/>
    <w:pPr>
      <w:spacing w:after="57"/>
    </w:pPr>
  </w:style>
  <w:style w:type="paragraph" w:styleId="903" w:customStyle="1">
    <w:name w:val="目录 411"/>
    <w:basedOn w:val="781"/>
    <w:next w:val="781"/>
    <w:uiPriority w:val="39"/>
    <w:unhideWhenUsed/>
    <w:qFormat/>
    <w:pPr>
      <w:ind w:left="850"/>
      <w:spacing w:after="57"/>
    </w:pPr>
  </w:style>
  <w:style w:type="paragraph" w:styleId="904" w:customStyle="1">
    <w:name w:val="副标题11"/>
    <w:basedOn w:val="781"/>
    <w:next w:val="781"/>
    <w:link w:val="905"/>
    <w:uiPriority w:val="11"/>
    <w:qFormat/>
    <w:pPr>
      <w:spacing w:before="200" w:after="200"/>
    </w:pPr>
    <w:rPr>
      <w:sz w:val="24"/>
    </w:rPr>
  </w:style>
  <w:style w:type="character" w:styleId="905" w:customStyle="1">
    <w:name w:val="Subtitle Char"/>
    <w:link w:val="904"/>
    <w:uiPriority w:val="11"/>
    <w:qFormat/>
    <w:rPr>
      <w:sz w:val="24"/>
      <w:szCs w:val="24"/>
    </w:rPr>
  </w:style>
  <w:style w:type="paragraph" w:styleId="906" w:customStyle="1">
    <w:name w:val="脚注文本12"/>
    <w:basedOn w:val="781"/>
    <w:link w:val="907"/>
    <w:uiPriority w:val="99"/>
    <w:unhideWhenUsed/>
    <w:qFormat/>
    <w:pPr>
      <w:spacing w:after="40"/>
    </w:pPr>
    <w:rPr>
      <w:sz w:val="18"/>
    </w:rPr>
  </w:style>
  <w:style w:type="character" w:styleId="907" w:customStyle="1">
    <w:name w:val="Footnote Text Char"/>
    <w:link w:val="906"/>
    <w:uiPriority w:val="99"/>
    <w:qFormat/>
    <w:rPr>
      <w:sz w:val="18"/>
    </w:rPr>
  </w:style>
  <w:style w:type="paragraph" w:styleId="908" w:customStyle="1">
    <w:name w:val="目录 611"/>
    <w:basedOn w:val="781"/>
    <w:next w:val="781"/>
    <w:uiPriority w:val="39"/>
    <w:unhideWhenUsed/>
    <w:qFormat/>
    <w:pPr>
      <w:ind w:left="1417"/>
      <w:spacing w:after="57"/>
    </w:pPr>
  </w:style>
  <w:style w:type="paragraph" w:styleId="909" w:customStyle="1">
    <w:name w:val="图表目录11"/>
    <w:basedOn w:val="781"/>
    <w:next w:val="781"/>
    <w:uiPriority w:val="99"/>
    <w:unhideWhenUsed/>
    <w:qFormat/>
  </w:style>
  <w:style w:type="paragraph" w:styleId="910" w:customStyle="1">
    <w:name w:val="目录 212"/>
    <w:basedOn w:val="781"/>
    <w:next w:val="781"/>
    <w:uiPriority w:val="39"/>
    <w:unhideWhenUsed/>
    <w:qFormat/>
    <w:pPr>
      <w:ind w:left="283"/>
      <w:spacing w:after="57"/>
    </w:pPr>
  </w:style>
  <w:style w:type="paragraph" w:styleId="911" w:customStyle="1">
    <w:name w:val="目录 911"/>
    <w:basedOn w:val="781"/>
    <w:next w:val="781"/>
    <w:uiPriority w:val="39"/>
    <w:unhideWhenUsed/>
    <w:qFormat/>
    <w:pPr>
      <w:ind w:left="2268"/>
      <w:spacing w:after="57"/>
    </w:pPr>
  </w:style>
  <w:style w:type="paragraph" w:styleId="912" w:customStyle="1">
    <w:name w:val="标题11"/>
    <w:basedOn w:val="781"/>
    <w:next w:val="781"/>
    <w:link w:val="913"/>
    <w:uiPriority w:val="10"/>
    <w:qFormat/>
    <w:pPr>
      <w:contextualSpacing/>
      <w:spacing w:before="300" w:after="200"/>
    </w:pPr>
    <w:rPr>
      <w:sz w:val="48"/>
      <w:szCs w:val="48"/>
    </w:rPr>
  </w:style>
  <w:style w:type="character" w:styleId="913" w:customStyle="1">
    <w:name w:val="Title Char"/>
    <w:link w:val="912"/>
    <w:uiPriority w:val="10"/>
    <w:qFormat/>
    <w:rPr>
      <w:sz w:val="48"/>
      <w:szCs w:val="48"/>
    </w:rPr>
  </w:style>
  <w:style w:type="table" w:styleId="914" w:customStyle="1">
    <w:name w:val="网格型12"/>
    <w:uiPriority w:val="59"/>
    <w:qFormat/>
    <w:tblPr>
      <w:tblCellMar>
        <w:left w:w="0" w:type="dxa"/>
        <w:top w:w="0" w:type="dxa"/>
        <w:right w:w="0" w:type="dxa"/>
        <w:bottom w:w="0" w:type="dxa"/>
      </w:tblCellMar>
    </w:tblPr>
  </w:style>
  <w:style w:type="character" w:styleId="915" w:customStyle="1">
    <w:name w:val="尾注引用11"/>
    <w:uiPriority w:val="99"/>
    <w:unhideWhenUsed/>
    <w:qFormat/>
    <w:rPr>
      <w:vertAlign w:val="superscript"/>
    </w:rPr>
  </w:style>
  <w:style w:type="character" w:styleId="916" w:customStyle="1">
    <w:name w:val="超链接12"/>
    <w:uiPriority w:val="99"/>
    <w:unhideWhenUsed/>
    <w:qFormat/>
    <w:rPr>
      <w:color w:val="0000ff"/>
      <w:u w:val="single"/>
    </w:rPr>
  </w:style>
  <w:style w:type="character" w:styleId="917" w:customStyle="1">
    <w:name w:val="脚注引用12"/>
    <w:uiPriority w:val="99"/>
    <w:unhideWhenUsed/>
    <w:qFormat/>
    <w:rPr>
      <w:vertAlign w:val="superscript"/>
    </w:rPr>
  </w:style>
  <w:style w:type="paragraph" w:styleId="918" w:customStyle="1">
    <w:name w:val="首行缩进"/>
    <w:basedOn w:val="781"/>
    <w:uiPriority w:val="0"/>
    <w:qFormat/>
    <w:pPr>
      <w:ind w:firstLine="480"/>
    </w:pPr>
    <w:rPr>
      <w:rFonts w:ascii="Calibri" w:hAnsi="Calibri"/>
      <w:lang w:val="zh-CN"/>
    </w:rPr>
  </w:style>
  <w:style w:type="character" w:styleId="919" w:customStyle="1">
    <w:name w:val="NormalCharacter1"/>
    <w:uiPriority w:val="0"/>
    <w:qFormat/>
    <w:rPr>
      <w:sz w:val="21"/>
      <w:szCs w:val="24"/>
      <w:lang w:val="en-US" w:eastAsia="zh-CN" w:bidi="ar-SA"/>
    </w:rPr>
  </w:style>
  <w:style w:type="paragraph" w:styleId="920">
    <w:name w:val="List Paragraph"/>
    <w:basedOn w:val="781"/>
    <w:uiPriority w:val="34"/>
    <w:qFormat/>
    <w:pPr>
      <w:contextualSpacing/>
      <w:ind w:left="720"/>
    </w:pPr>
  </w:style>
  <w:style w:type="paragraph" w:styleId="921">
    <w:name w:val="No Spacing"/>
    <w:uiPriority w:val="1"/>
    <w:qFormat/>
    <w:rPr>
      <w:rFonts w:ascii="Times New Roman" w:hAnsi="Times New Roman" w:eastAsia="宋体" w:cs="Times New Roman"/>
      <w:lang w:val="en-US" w:eastAsia="zh-CN" w:bidi="ar-SA"/>
    </w:rPr>
  </w:style>
  <w:style w:type="paragraph" w:styleId="922">
    <w:name w:val="Quote"/>
    <w:basedOn w:val="781"/>
    <w:next w:val="781"/>
    <w:link w:val="923"/>
    <w:uiPriority w:val="29"/>
    <w:qFormat/>
    <w:pPr>
      <w:ind w:left="720" w:right="720"/>
    </w:pPr>
    <w:rPr>
      <w:i/>
    </w:rPr>
  </w:style>
  <w:style w:type="character" w:styleId="923" w:customStyle="1">
    <w:name w:val="引用 字符1"/>
    <w:link w:val="922"/>
    <w:uiPriority w:val="29"/>
    <w:qFormat/>
    <w:rPr>
      <w:i/>
    </w:rPr>
  </w:style>
  <w:style w:type="paragraph" w:styleId="924">
    <w:name w:val="Intense Quote"/>
    <w:basedOn w:val="781"/>
    <w:next w:val="781"/>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明显引用 字符1"/>
    <w:link w:val="924"/>
    <w:uiPriority w:val="30"/>
    <w:qFormat/>
    <w:rPr>
      <w:i/>
    </w:rPr>
  </w:style>
  <w:style w:type="paragraph" w:styleId="926" w:customStyle="1">
    <w:name w:val="标题 111"/>
    <w:basedOn w:val="781"/>
    <w:next w:val="781"/>
    <w:link w:val="927"/>
    <w:uiPriority w:val="9"/>
    <w:qFormat/>
    <w:pPr>
      <w:keepLines/>
      <w:keepNext/>
      <w:spacing w:before="480" w:after="200"/>
      <w:outlineLvl w:val="0"/>
    </w:pPr>
    <w:rPr>
      <w:rFonts w:ascii="Arial" w:hAnsi="Arial" w:eastAsia="Arial" w:cs="Arial"/>
      <w:sz w:val="40"/>
      <w:szCs w:val="40"/>
    </w:rPr>
  </w:style>
  <w:style w:type="character" w:styleId="927" w:customStyle="1">
    <w:name w:val="标题 1 字符1"/>
    <w:link w:val="926"/>
    <w:uiPriority w:val="9"/>
    <w:qFormat/>
    <w:rPr>
      <w:rFonts w:ascii="Arial" w:hAnsi="Arial" w:eastAsia="Arial" w:cs="Arial"/>
      <w:sz w:val="40"/>
      <w:szCs w:val="40"/>
    </w:rPr>
  </w:style>
  <w:style w:type="paragraph" w:styleId="928" w:customStyle="1">
    <w:name w:val="标题 21"/>
    <w:basedOn w:val="781"/>
    <w:next w:val="781"/>
    <w:link w:val="929"/>
    <w:uiPriority w:val="9"/>
    <w:qFormat/>
    <w:pPr>
      <w:keepLines/>
      <w:keepNext/>
      <w:spacing w:before="360" w:after="200"/>
      <w:outlineLvl w:val="1"/>
    </w:pPr>
    <w:rPr>
      <w:rFonts w:ascii="Arial" w:hAnsi="Arial" w:eastAsia="Arial" w:cs="Arial"/>
      <w:sz w:val="34"/>
    </w:rPr>
  </w:style>
  <w:style w:type="character" w:styleId="929" w:customStyle="1">
    <w:name w:val="标题 2 字符"/>
    <w:link w:val="928"/>
    <w:uiPriority w:val="9"/>
    <w:qFormat/>
    <w:rPr>
      <w:rFonts w:ascii="Arial" w:hAnsi="Arial" w:eastAsia="Arial" w:cs="Arial"/>
      <w:sz w:val="34"/>
    </w:rPr>
  </w:style>
  <w:style w:type="paragraph" w:styleId="930" w:customStyle="1">
    <w:name w:val="标题 31"/>
    <w:basedOn w:val="781"/>
    <w:next w:val="781"/>
    <w:link w:val="931"/>
    <w:uiPriority w:val="9"/>
    <w:qFormat/>
    <w:pPr>
      <w:keepLines/>
      <w:keepNext/>
      <w:spacing w:before="320" w:after="200"/>
      <w:outlineLvl w:val="2"/>
    </w:pPr>
    <w:rPr>
      <w:rFonts w:ascii="Arial" w:hAnsi="Arial" w:eastAsia="Arial" w:cs="Arial"/>
      <w:sz w:val="30"/>
      <w:szCs w:val="30"/>
    </w:rPr>
  </w:style>
  <w:style w:type="character" w:styleId="931" w:customStyle="1">
    <w:name w:val="标题 3 字符"/>
    <w:link w:val="930"/>
    <w:uiPriority w:val="9"/>
    <w:qFormat/>
    <w:rPr>
      <w:rFonts w:ascii="Arial" w:hAnsi="Arial" w:eastAsia="Arial" w:cs="Arial"/>
      <w:sz w:val="30"/>
      <w:szCs w:val="30"/>
    </w:rPr>
  </w:style>
  <w:style w:type="paragraph" w:styleId="932" w:customStyle="1">
    <w:name w:val="标题 411"/>
    <w:basedOn w:val="781"/>
    <w:next w:val="781"/>
    <w:link w:val="933"/>
    <w:uiPriority w:val="9"/>
    <w:qFormat/>
    <w:pPr>
      <w:keepLines/>
      <w:keepNext/>
      <w:spacing w:before="320" w:after="200"/>
      <w:outlineLvl w:val="3"/>
    </w:pPr>
    <w:rPr>
      <w:rFonts w:ascii="Arial" w:hAnsi="Arial" w:eastAsia="Arial" w:cs="Arial"/>
      <w:b/>
      <w:bCs/>
      <w:sz w:val="26"/>
      <w:szCs w:val="26"/>
    </w:rPr>
  </w:style>
  <w:style w:type="character" w:styleId="933" w:customStyle="1">
    <w:name w:val="标题 4 字符1"/>
    <w:link w:val="932"/>
    <w:uiPriority w:val="9"/>
    <w:qFormat/>
    <w:rPr>
      <w:rFonts w:ascii="Arial" w:hAnsi="Arial" w:eastAsia="Arial" w:cs="Arial"/>
      <w:b/>
      <w:bCs/>
      <w:sz w:val="26"/>
      <w:szCs w:val="26"/>
    </w:rPr>
  </w:style>
  <w:style w:type="paragraph" w:styleId="934" w:customStyle="1">
    <w:name w:val="标题 51"/>
    <w:basedOn w:val="781"/>
    <w:next w:val="781"/>
    <w:link w:val="935"/>
    <w:uiPriority w:val="9"/>
    <w:qFormat/>
    <w:pPr>
      <w:keepLines/>
      <w:keepNext/>
      <w:spacing w:before="320" w:after="200"/>
      <w:outlineLvl w:val="4"/>
    </w:pPr>
    <w:rPr>
      <w:rFonts w:ascii="Arial" w:hAnsi="Arial" w:eastAsia="Arial" w:cs="Arial"/>
      <w:b/>
      <w:bCs/>
      <w:sz w:val="24"/>
    </w:rPr>
  </w:style>
  <w:style w:type="character" w:styleId="935" w:customStyle="1">
    <w:name w:val="标题 5 字符"/>
    <w:link w:val="934"/>
    <w:uiPriority w:val="9"/>
    <w:qFormat/>
    <w:rPr>
      <w:rFonts w:ascii="Arial" w:hAnsi="Arial" w:eastAsia="Arial" w:cs="Arial"/>
      <w:b/>
      <w:bCs/>
      <w:sz w:val="24"/>
      <w:szCs w:val="24"/>
    </w:rPr>
  </w:style>
  <w:style w:type="paragraph" w:styleId="936" w:customStyle="1">
    <w:name w:val="标题 61"/>
    <w:basedOn w:val="781"/>
    <w:next w:val="781"/>
    <w:link w:val="937"/>
    <w:uiPriority w:val="9"/>
    <w:qFormat/>
    <w:pPr>
      <w:keepLines/>
      <w:keepNext/>
      <w:spacing w:before="320" w:after="200"/>
      <w:outlineLvl w:val="5"/>
    </w:pPr>
    <w:rPr>
      <w:rFonts w:ascii="Arial" w:hAnsi="Arial" w:eastAsia="Arial" w:cs="Arial"/>
      <w:b/>
      <w:bCs/>
      <w:sz w:val="22"/>
      <w:szCs w:val="22"/>
    </w:rPr>
  </w:style>
  <w:style w:type="character" w:styleId="937" w:customStyle="1">
    <w:name w:val="标题 6 字符"/>
    <w:link w:val="936"/>
    <w:uiPriority w:val="9"/>
    <w:qFormat/>
    <w:rPr>
      <w:rFonts w:ascii="Arial" w:hAnsi="Arial" w:eastAsia="Arial" w:cs="Arial"/>
      <w:b/>
      <w:bCs/>
      <w:sz w:val="22"/>
      <w:szCs w:val="22"/>
    </w:rPr>
  </w:style>
  <w:style w:type="paragraph" w:styleId="938" w:customStyle="1">
    <w:name w:val="标题 71"/>
    <w:basedOn w:val="781"/>
    <w:next w:val="781"/>
    <w:link w:val="939"/>
    <w:uiPriority w:val="9"/>
    <w:qFormat/>
    <w:pPr>
      <w:keepLines/>
      <w:keepNext/>
      <w:spacing w:before="320" w:after="200"/>
      <w:outlineLvl w:val="6"/>
    </w:pPr>
    <w:rPr>
      <w:rFonts w:ascii="Arial" w:hAnsi="Arial" w:eastAsia="Arial" w:cs="Arial"/>
      <w:b/>
      <w:bCs/>
      <w:i/>
      <w:iCs/>
      <w:sz w:val="22"/>
      <w:szCs w:val="22"/>
    </w:rPr>
  </w:style>
  <w:style w:type="character" w:styleId="939" w:customStyle="1">
    <w:name w:val="标题 7 字符"/>
    <w:link w:val="938"/>
    <w:uiPriority w:val="9"/>
    <w:qFormat/>
    <w:rPr>
      <w:rFonts w:ascii="Arial" w:hAnsi="Arial" w:eastAsia="Arial" w:cs="Arial"/>
      <w:b/>
      <w:bCs/>
      <w:i/>
      <w:iCs/>
      <w:sz w:val="22"/>
      <w:szCs w:val="22"/>
    </w:rPr>
  </w:style>
  <w:style w:type="paragraph" w:styleId="940" w:customStyle="1">
    <w:name w:val="标题 81"/>
    <w:basedOn w:val="781"/>
    <w:next w:val="781"/>
    <w:link w:val="941"/>
    <w:uiPriority w:val="9"/>
    <w:qFormat/>
    <w:pPr>
      <w:keepLines/>
      <w:keepNext/>
      <w:spacing w:before="320" w:after="200"/>
      <w:outlineLvl w:val="7"/>
    </w:pPr>
    <w:rPr>
      <w:rFonts w:ascii="Arial" w:hAnsi="Arial" w:eastAsia="Arial" w:cs="Arial"/>
      <w:i/>
      <w:iCs/>
      <w:sz w:val="22"/>
      <w:szCs w:val="22"/>
    </w:rPr>
  </w:style>
  <w:style w:type="character" w:styleId="941" w:customStyle="1">
    <w:name w:val="标题 8 字符"/>
    <w:link w:val="940"/>
    <w:uiPriority w:val="9"/>
    <w:qFormat/>
    <w:rPr>
      <w:rFonts w:ascii="Arial" w:hAnsi="Arial" w:eastAsia="Arial" w:cs="Arial"/>
      <w:i/>
      <w:iCs/>
      <w:sz w:val="22"/>
      <w:szCs w:val="22"/>
    </w:rPr>
  </w:style>
  <w:style w:type="paragraph" w:styleId="942" w:customStyle="1">
    <w:name w:val="标题 91"/>
    <w:basedOn w:val="781"/>
    <w:next w:val="781"/>
    <w:link w:val="943"/>
    <w:uiPriority w:val="9"/>
    <w:qFormat/>
    <w:pPr>
      <w:keepLines/>
      <w:keepNext/>
      <w:spacing w:before="320" w:after="200"/>
      <w:outlineLvl w:val="8"/>
    </w:pPr>
    <w:rPr>
      <w:rFonts w:ascii="Arial" w:hAnsi="Arial" w:eastAsia="Arial" w:cs="Arial"/>
      <w:i/>
      <w:iCs/>
      <w:szCs w:val="21"/>
    </w:rPr>
  </w:style>
  <w:style w:type="character" w:styleId="943" w:customStyle="1">
    <w:name w:val="标题 9 字符"/>
    <w:link w:val="942"/>
    <w:uiPriority w:val="9"/>
    <w:qFormat/>
    <w:rPr>
      <w:rFonts w:ascii="Arial" w:hAnsi="Arial" w:eastAsia="Arial" w:cs="Arial"/>
      <w:i/>
      <w:iCs/>
      <w:sz w:val="21"/>
      <w:szCs w:val="21"/>
    </w:rPr>
  </w:style>
  <w:style w:type="character" w:styleId="944" w:customStyle="1">
    <w:name w:val="默认段落字体111"/>
    <w:uiPriority w:val="1"/>
    <w:unhideWhenUsed/>
    <w:qFormat/>
  </w:style>
  <w:style w:type="table" w:styleId="945" w:customStyle="1">
    <w:name w:val="普通表格11"/>
    <w:uiPriority w:val="99"/>
    <w:unhideWhenUsed/>
    <w:qFormat/>
    <w:tblPr>
      <w:tblCellMar>
        <w:left w:w="0" w:type="dxa"/>
        <w:top w:w="0" w:type="dxa"/>
        <w:right w:w="0" w:type="dxa"/>
        <w:bottom w:w="0" w:type="dxa"/>
      </w:tblCellMar>
    </w:tblPr>
  </w:style>
  <w:style w:type="paragraph" w:styleId="946" w:customStyle="1">
    <w:name w:val="目录 71"/>
    <w:basedOn w:val="781"/>
    <w:next w:val="781"/>
    <w:uiPriority w:val="39"/>
    <w:unhideWhenUsed/>
    <w:qFormat/>
    <w:pPr>
      <w:ind w:left="1701"/>
      <w:spacing w:after="57"/>
    </w:pPr>
  </w:style>
  <w:style w:type="paragraph" w:styleId="947" w:customStyle="1">
    <w:name w:val="正文缩进13"/>
    <w:basedOn w:val="781"/>
    <w:uiPriority w:val="0"/>
    <w:qFormat/>
    <w:pPr>
      <w:ind w:firstLine="420"/>
      <w:jc w:val="left"/>
      <w:widowControl/>
    </w:pPr>
    <w:rPr>
      <w:rFonts w:eastAsia="方正楷体_GB2312"/>
      <w:sz w:val="24"/>
      <w:szCs w:val="20"/>
    </w:rPr>
  </w:style>
  <w:style w:type="paragraph" w:styleId="948" w:customStyle="1">
    <w:name w:val="题注1"/>
    <w:basedOn w:val="781"/>
    <w:next w:val="781"/>
    <w:uiPriority w:val="35"/>
    <w:qFormat/>
    <w:pPr>
      <w:spacing w:line="276" w:lineRule="auto"/>
    </w:pPr>
    <w:rPr>
      <w:b/>
      <w:bCs/>
      <w:color w:val="4f81bd"/>
      <w:sz w:val="18"/>
      <w:szCs w:val="18"/>
    </w:rPr>
  </w:style>
  <w:style w:type="paragraph" w:styleId="949" w:customStyle="1">
    <w:name w:val="正文文本11"/>
    <w:basedOn w:val="781"/>
    <w:uiPriority w:val="0"/>
    <w:qFormat/>
    <w:pPr>
      <w:spacing w:after="120"/>
    </w:pPr>
  </w:style>
  <w:style w:type="paragraph" w:styleId="950" w:customStyle="1">
    <w:name w:val="正文文本缩进111"/>
    <w:basedOn w:val="781"/>
    <w:next w:val="951"/>
    <w:uiPriority w:val="0"/>
    <w:qFormat/>
    <w:pPr>
      <w:ind w:left="420"/>
      <w:spacing w:after="120"/>
    </w:pPr>
  </w:style>
  <w:style w:type="paragraph" w:styleId="951" w:customStyle="1">
    <w:name w:val="寄信人地址12"/>
    <w:basedOn w:val="781"/>
    <w:uiPriority w:val="99"/>
    <w:unhideWhenUsed/>
    <w:qFormat/>
    <w:rPr>
      <w:rFonts w:ascii="Cambria" w:hAnsi="Cambria"/>
    </w:rPr>
  </w:style>
  <w:style w:type="paragraph" w:styleId="952" w:customStyle="1">
    <w:name w:val="目录 511"/>
    <w:basedOn w:val="781"/>
    <w:next w:val="781"/>
    <w:uiPriority w:val="39"/>
    <w:unhideWhenUsed/>
    <w:qFormat/>
    <w:pPr>
      <w:ind w:left="1134"/>
      <w:spacing w:after="57"/>
    </w:pPr>
  </w:style>
  <w:style w:type="paragraph" w:styleId="953" w:customStyle="1">
    <w:name w:val="目录 311"/>
    <w:basedOn w:val="781"/>
    <w:next w:val="781"/>
    <w:uiPriority w:val="39"/>
    <w:unhideWhenUsed/>
    <w:qFormat/>
    <w:pPr>
      <w:ind w:left="567"/>
      <w:spacing w:after="57"/>
    </w:pPr>
  </w:style>
  <w:style w:type="paragraph" w:styleId="954" w:customStyle="1">
    <w:name w:val="纯文本12"/>
    <w:basedOn w:val="781"/>
    <w:uiPriority w:val="0"/>
    <w:qFormat/>
    <w:rPr>
      <w:rFonts w:ascii="宋体" w:hAnsi="Courier New" w:eastAsia="方正楷体_GB2312"/>
      <w:sz w:val="26"/>
    </w:rPr>
  </w:style>
  <w:style w:type="paragraph" w:styleId="955" w:customStyle="1">
    <w:name w:val="目录 81"/>
    <w:basedOn w:val="781"/>
    <w:next w:val="781"/>
    <w:uiPriority w:val="39"/>
    <w:unhideWhenUsed/>
    <w:qFormat/>
    <w:pPr>
      <w:ind w:left="1984"/>
      <w:spacing w:after="57"/>
    </w:pPr>
  </w:style>
  <w:style w:type="paragraph" w:styleId="956" w:customStyle="1">
    <w:name w:val="正文文本缩进 211"/>
    <w:basedOn w:val="781"/>
    <w:uiPriority w:val="0"/>
    <w:qFormat/>
    <w:pPr>
      <w:ind w:left="1" w:firstLine="480"/>
      <w:spacing w:line="400" w:lineRule="exact"/>
      <w:tabs>
        <w:tab w:val="left" w:pos="360" w:leader="none"/>
      </w:tabs>
    </w:pPr>
    <w:rPr>
      <w:sz w:val="24"/>
    </w:rPr>
  </w:style>
  <w:style w:type="paragraph" w:styleId="957" w:customStyle="1">
    <w:name w:val="尾注文本1"/>
    <w:basedOn w:val="781"/>
    <w:link w:val="958"/>
    <w:uiPriority w:val="99"/>
    <w:unhideWhenUsed/>
    <w:qFormat/>
    <w:rPr>
      <w:sz w:val="20"/>
    </w:rPr>
  </w:style>
  <w:style w:type="character" w:styleId="958" w:customStyle="1">
    <w:name w:val="尾注文本 字符"/>
    <w:link w:val="957"/>
    <w:uiPriority w:val="99"/>
    <w:qFormat/>
    <w:rPr>
      <w:sz w:val="20"/>
    </w:rPr>
  </w:style>
  <w:style w:type="paragraph" w:styleId="959" w:customStyle="1">
    <w:name w:val="批注框文本11"/>
    <w:basedOn w:val="781"/>
    <w:uiPriority w:val="0"/>
    <w:qFormat/>
    <w:rPr>
      <w:sz w:val="16"/>
      <w:szCs w:val="16"/>
    </w:rPr>
  </w:style>
  <w:style w:type="paragraph" w:styleId="960" w:customStyle="1">
    <w:name w:val="页脚12"/>
    <w:basedOn w:val="781"/>
    <w:link w:val="962"/>
    <w:uiPriority w:val="99"/>
    <w:unhideWhenUsed/>
    <w:qFormat/>
    <w:pPr>
      <w:tabs>
        <w:tab w:val="center" w:pos="7143" w:leader="none"/>
        <w:tab w:val="right" w:pos="14287" w:leader="none"/>
      </w:tabs>
    </w:pPr>
  </w:style>
  <w:style w:type="character" w:styleId="961" w:customStyle="1">
    <w:name w:val="页脚 字符1"/>
    <w:uiPriority w:val="99"/>
    <w:qFormat/>
  </w:style>
  <w:style w:type="character" w:styleId="962" w:customStyle="1">
    <w:name w:val="Caption Char"/>
    <w:link w:val="960"/>
    <w:uiPriority w:val="99"/>
    <w:qFormat/>
  </w:style>
  <w:style w:type="paragraph" w:styleId="963" w:customStyle="1">
    <w:name w:val="页眉12"/>
    <w:basedOn w:val="781"/>
    <w:link w:val="964"/>
    <w:uiPriority w:val="99"/>
    <w:unhideWhenUsed/>
    <w:qFormat/>
    <w:pPr>
      <w:tabs>
        <w:tab w:val="center" w:pos="7143" w:leader="none"/>
        <w:tab w:val="right" w:pos="14287" w:leader="none"/>
      </w:tabs>
    </w:pPr>
  </w:style>
  <w:style w:type="character" w:styleId="964" w:customStyle="1">
    <w:name w:val="页眉 字符1"/>
    <w:link w:val="963"/>
    <w:uiPriority w:val="99"/>
    <w:qFormat/>
  </w:style>
  <w:style w:type="paragraph" w:styleId="965" w:customStyle="1">
    <w:name w:val="目录 111"/>
    <w:basedOn w:val="781"/>
    <w:next w:val="781"/>
    <w:uiPriority w:val="39"/>
    <w:unhideWhenUsed/>
    <w:qFormat/>
    <w:pPr>
      <w:spacing w:after="57"/>
    </w:pPr>
  </w:style>
  <w:style w:type="paragraph" w:styleId="966" w:customStyle="1">
    <w:name w:val="目录 41"/>
    <w:basedOn w:val="781"/>
    <w:next w:val="781"/>
    <w:uiPriority w:val="39"/>
    <w:unhideWhenUsed/>
    <w:qFormat/>
    <w:pPr>
      <w:ind w:left="850"/>
      <w:spacing w:after="57"/>
    </w:pPr>
  </w:style>
  <w:style w:type="paragraph" w:styleId="967" w:customStyle="1">
    <w:name w:val="副标题1"/>
    <w:basedOn w:val="781"/>
    <w:next w:val="781"/>
    <w:link w:val="968"/>
    <w:uiPriority w:val="11"/>
    <w:qFormat/>
    <w:pPr>
      <w:spacing w:before="200" w:after="200"/>
    </w:pPr>
    <w:rPr>
      <w:sz w:val="24"/>
    </w:rPr>
  </w:style>
  <w:style w:type="character" w:styleId="968" w:customStyle="1">
    <w:name w:val="副标题 字符"/>
    <w:link w:val="967"/>
    <w:uiPriority w:val="11"/>
    <w:qFormat/>
    <w:rPr>
      <w:sz w:val="24"/>
      <w:szCs w:val="24"/>
    </w:rPr>
  </w:style>
  <w:style w:type="paragraph" w:styleId="969" w:customStyle="1">
    <w:name w:val="脚注文本11"/>
    <w:basedOn w:val="781"/>
    <w:link w:val="970"/>
    <w:uiPriority w:val="99"/>
    <w:unhideWhenUsed/>
    <w:qFormat/>
    <w:pPr>
      <w:spacing w:after="40"/>
    </w:pPr>
    <w:rPr>
      <w:sz w:val="18"/>
    </w:rPr>
  </w:style>
  <w:style w:type="character" w:styleId="970" w:customStyle="1">
    <w:name w:val="脚注文本 字符"/>
    <w:link w:val="969"/>
    <w:uiPriority w:val="99"/>
    <w:qFormat/>
    <w:rPr>
      <w:sz w:val="18"/>
    </w:rPr>
  </w:style>
  <w:style w:type="paragraph" w:styleId="971" w:customStyle="1">
    <w:name w:val="目录 61"/>
    <w:basedOn w:val="781"/>
    <w:next w:val="781"/>
    <w:uiPriority w:val="39"/>
    <w:unhideWhenUsed/>
    <w:qFormat/>
    <w:pPr>
      <w:ind w:left="1417"/>
      <w:spacing w:after="57"/>
    </w:pPr>
  </w:style>
  <w:style w:type="paragraph" w:styleId="972" w:customStyle="1">
    <w:name w:val="图表目录1"/>
    <w:basedOn w:val="781"/>
    <w:next w:val="781"/>
    <w:uiPriority w:val="99"/>
    <w:unhideWhenUsed/>
    <w:qFormat/>
  </w:style>
  <w:style w:type="paragraph" w:styleId="973" w:customStyle="1">
    <w:name w:val="目录 211"/>
    <w:basedOn w:val="781"/>
    <w:next w:val="781"/>
    <w:uiPriority w:val="39"/>
    <w:unhideWhenUsed/>
    <w:qFormat/>
    <w:pPr>
      <w:ind w:left="283"/>
      <w:spacing w:after="57"/>
    </w:pPr>
  </w:style>
  <w:style w:type="paragraph" w:styleId="974" w:customStyle="1">
    <w:name w:val="目录 91"/>
    <w:basedOn w:val="781"/>
    <w:next w:val="781"/>
    <w:uiPriority w:val="39"/>
    <w:unhideWhenUsed/>
    <w:qFormat/>
    <w:pPr>
      <w:ind w:left="2268"/>
      <w:spacing w:after="57"/>
    </w:pPr>
  </w:style>
  <w:style w:type="paragraph" w:styleId="975" w:customStyle="1">
    <w:name w:val="标题1"/>
    <w:basedOn w:val="781"/>
    <w:next w:val="781"/>
    <w:link w:val="976"/>
    <w:uiPriority w:val="10"/>
    <w:qFormat/>
    <w:pPr>
      <w:contextualSpacing/>
      <w:spacing w:before="300" w:after="200"/>
    </w:pPr>
    <w:rPr>
      <w:sz w:val="48"/>
      <w:szCs w:val="48"/>
    </w:rPr>
  </w:style>
  <w:style w:type="character" w:styleId="976" w:customStyle="1">
    <w:name w:val="标题 字符"/>
    <w:link w:val="975"/>
    <w:uiPriority w:val="10"/>
    <w:qFormat/>
    <w:rPr>
      <w:sz w:val="48"/>
      <w:szCs w:val="48"/>
    </w:rPr>
  </w:style>
  <w:style w:type="paragraph" w:styleId="977" w:customStyle="1">
    <w:name w:val="正文首行缩进 211"/>
    <w:basedOn w:val="950"/>
    <w:uiPriority w:val="99"/>
    <w:unhideWhenUsed/>
    <w:qFormat/>
    <w:pPr>
      <w:ind w:firstLine="420"/>
    </w:pPr>
  </w:style>
  <w:style w:type="table" w:styleId="978" w:customStyle="1">
    <w:name w:val="网格型11"/>
    <w:uiPriority w:val="59"/>
    <w:qFormat/>
    <w:tblPr>
      <w:tblCellMar>
        <w:left w:w="0" w:type="dxa"/>
        <w:top w:w="0" w:type="dxa"/>
        <w:right w:w="0" w:type="dxa"/>
        <w:bottom w:w="0" w:type="dxa"/>
      </w:tblCellMar>
    </w:tblPr>
  </w:style>
  <w:style w:type="character" w:styleId="979" w:customStyle="1">
    <w:name w:val="尾注引用1"/>
    <w:uiPriority w:val="99"/>
    <w:unhideWhenUsed/>
    <w:qFormat/>
    <w:rPr>
      <w:vertAlign w:val="superscript"/>
    </w:rPr>
  </w:style>
  <w:style w:type="character" w:styleId="980" w:customStyle="1">
    <w:name w:val="超链接11"/>
    <w:uiPriority w:val="99"/>
    <w:unhideWhenUsed/>
    <w:qFormat/>
    <w:rPr>
      <w:color w:val="0000ff"/>
      <w:u w:val="single"/>
    </w:rPr>
  </w:style>
  <w:style w:type="character" w:styleId="981" w:customStyle="1">
    <w:name w:val="脚注引用11"/>
    <w:uiPriority w:val="99"/>
    <w:unhideWhenUsed/>
    <w:qFormat/>
    <w:rPr>
      <w:vertAlign w:val="superscript"/>
    </w:rPr>
  </w:style>
  <w:style w:type="character" w:styleId="982" w:customStyle="1">
    <w:name w:val="页码1"/>
    <w:uiPriority w:val="99"/>
    <w:unhideWhenUsed/>
    <w:qFormat/>
  </w:style>
  <w:style w:type="character" w:styleId="983" w:customStyle="1">
    <w:name w:val="默认段落字体1"/>
    <w:uiPriority w:val="1"/>
    <w:unhideWhenUsed/>
    <w:qFormat/>
  </w:style>
  <w:style w:type="paragraph" w:styleId="984" w:customStyle="1">
    <w:name w:val="无间隔1"/>
    <w:uiPriority w:val="1"/>
    <w:qFormat/>
    <w:rPr>
      <w:rFonts w:ascii="Times New Roman" w:hAnsi="Times New Roman" w:eastAsia="宋体" w:cs="Times New Roman"/>
      <w:lang w:val="en-US" w:eastAsia="zh-CN" w:bidi="ar-SA"/>
    </w:rPr>
  </w:style>
  <w:style w:type="paragraph" w:styleId="985" w:customStyle="1">
    <w:name w:val="引用1"/>
    <w:basedOn w:val="781"/>
    <w:next w:val="781"/>
    <w:link w:val="986"/>
    <w:uiPriority w:val="29"/>
    <w:qFormat/>
    <w:pPr>
      <w:ind w:left="720" w:right="720"/>
    </w:pPr>
    <w:rPr>
      <w:i/>
    </w:rPr>
  </w:style>
  <w:style w:type="character" w:styleId="986" w:customStyle="1">
    <w:name w:val="引用 字符"/>
    <w:link w:val="985"/>
    <w:uiPriority w:val="29"/>
    <w:qFormat/>
    <w:rPr>
      <w:i/>
    </w:rPr>
  </w:style>
  <w:style w:type="paragraph" w:styleId="987" w:customStyle="1">
    <w:name w:val="明显引用1"/>
    <w:basedOn w:val="781"/>
    <w:next w:val="781"/>
    <w:link w:val="9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8" w:customStyle="1">
    <w:name w:val="明显引用 字符"/>
    <w:link w:val="987"/>
    <w:uiPriority w:val="30"/>
    <w:qFormat/>
    <w:rPr>
      <w:i/>
    </w:rPr>
  </w:style>
  <w:style w:type="table" w:styleId="989" w:customStyle="1">
    <w:name w:val="Table Grid Light"/>
    <w:uiPriority w:val="59"/>
    <w:qFormat/>
    <w:tblPr>
      <w:tblCellMar>
        <w:left w:w="0" w:type="dxa"/>
        <w:top w:w="0" w:type="dxa"/>
        <w:right w:w="0" w:type="dxa"/>
        <w:bottom w:w="0" w:type="dxa"/>
      </w:tblCellMar>
    </w:tblPr>
  </w:style>
  <w:style w:type="table" w:styleId="990" w:customStyle="1">
    <w:name w:val="无格式表格 11"/>
    <w:uiPriority w:val="59"/>
    <w:qFormat/>
    <w:tblPr>
      <w:tblCellMar>
        <w:left w:w="0" w:type="dxa"/>
        <w:top w:w="0" w:type="dxa"/>
        <w:right w:w="0" w:type="dxa"/>
        <w:bottom w:w="0" w:type="dxa"/>
      </w:tblCellMar>
    </w:tblPr>
  </w:style>
  <w:style w:type="table" w:styleId="991" w:customStyle="1">
    <w:name w:val="无格式表格 21"/>
    <w:uiPriority w:val="59"/>
    <w:qFormat/>
    <w:tblPr>
      <w:tblCellMar>
        <w:left w:w="0" w:type="dxa"/>
        <w:top w:w="0" w:type="dxa"/>
        <w:right w:w="0" w:type="dxa"/>
        <w:bottom w:w="0" w:type="dxa"/>
      </w:tblCellMar>
    </w:tblPr>
  </w:style>
  <w:style w:type="table" w:styleId="992" w:customStyle="1">
    <w:name w:val="无格式表格 31"/>
    <w:uiPriority w:val="99"/>
    <w:qFormat/>
    <w:tblPr>
      <w:tblCellMar>
        <w:left w:w="0" w:type="dxa"/>
        <w:top w:w="0" w:type="dxa"/>
        <w:right w:w="0" w:type="dxa"/>
        <w:bottom w:w="0" w:type="dxa"/>
      </w:tblCellMar>
    </w:tblPr>
  </w:style>
  <w:style w:type="table" w:styleId="993" w:customStyle="1">
    <w:name w:val="无格式表格 41"/>
    <w:uiPriority w:val="99"/>
    <w:qFormat/>
    <w:tblPr>
      <w:tblCellMar>
        <w:left w:w="0" w:type="dxa"/>
        <w:top w:w="0" w:type="dxa"/>
        <w:right w:w="0" w:type="dxa"/>
        <w:bottom w:w="0" w:type="dxa"/>
      </w:tblCellMar>
    </w:tblPr>
  </w:style>
  <w:style w:type="table" w:styleId="994" w:customStyle="1">
    <w:name w:val="无格式表格 51"/>
    <w:uiPriority w:val="99"/>
    <w:qFormat/>
    <w:tblPr>
      <w:tblCellMar>
        <w:left w:w="0" w:type="dxa"/>
        <w:top w:w="0" w:type="dxa"/>
        <w:right w:w="0" w:type="dxa"/>
        <w:bottom w:w="0" w:type="dxa"/>
      </w:tblCellMar>
    </w:tblPr>
  </w:style>
  <w:style w:type="table" w:styleId="995" w:customStyle="1">
    <w:name w:val="网格表 1 浅色1"/>
    <w:uiPriority w:val="99"/>
    <w:qFormat/>
    <w:tblPr>
      <w:tblCellMar>
        <w:left w:w="0" w:type="dxa"/>
        <w:top w:w="0" w:type="dxa"/>
        <w:right w:w="0" w:type="dxa"/>
        <w:bottom w:w="0" w:type="dxa"/>
      </w:tblCellMar>
    </w:tblPr>
  </w:style>
  <w:style w:type="table" w:styleId="996" w:customStyle="1">
    <w:name w:val="Grid Table 1 Light - Accent 1"/>
    <w:uiPriority w:val="99"/>
    <w:qFormat/>
    <w:tblPr>
      <w:tblCellMar>
        <w:left w:w="0" w:type="dxa"/>
        <w:top w:w="0" w:type="dxa"/>
        <w:right w:w="0" w:type="dxa"/>
        <w:bottom w:w="0" w:type="dxa"/>
      </w:tblCellMar>
    </w:tblPr>
  </w:style>
  <w:style w:type="table" w:styleId="997" w:customStyle="1">
    <w:name w:val="Grid Table 1 Light - Accent 2"/>
    <w:uiPriority w:val="99"/>
    <w:qFormat/>
    <w:tblPr>
      <w:tblCellMar>
        <w:left w:w="0" w:type="dxa"/>
        <w:top w:w="0" w:type="dxa"/>
        <w:right w:w="0" w:type="dxa"/>
        <w:bottom w:w="0" w:type="dxa"/>
      </w:tblCellMar>
    </w:tblPr>
  </w:style>
  <w:style w:type="table" w:styleId="998" w:customStyle="1">
    <w:name w:val="Grid Table 1 Light - Accent 3"/>
    <w:uiPriority w:val="99"/>
    <w:qFormat/>
    <w:tblPr>
      <w:tblCellMar>
        <w:left w:w="0" w:type="dxa"/>
        <w:top w:w="0" w:type="dxa"/>
        <w:right w:w="0" w:type="dxa"/>
        <w:bottom w:w="0" w:type="dxa"/>
      </w:tblCellMar>
    </w:tblPr>
  </w:style>
  <w:style w:type="table" w:styleId="999" w:customStyle="1">
    <w:name w:val="Grid Table 1 Light - Accent 4"/>
    <w:uiPriority w:val="99"/>
    <w:qFormat/>
    <w:tblPr>
      <w:tblCellMar>
        <w:left w:w="0" w:type="dxa"/>
        <w:top w:w="0" w:type="dxa"/>
        <w:right w:w="0" w:type="dxa"/>
        <w:bottom w:w="0" w:type="dxa"/>
      </w:tblCellMar>
    </w:tblPr>
  </w:style>
  <w:style w:type="table" w:styleId="1000" w:customStyle="1">
    <w:name w:val="Grid Table 1 Light - Accent 5"/>
    <w:uiPriority w:val="99"/>
    <w:qFormat/>
    <w:tblPr>
      <w:tblCellMar>
        <w:left w:w="0" w:type="dxa"/>
        <w:top w:w="0" w:type="dxa"/>
        <w:right w:w="0" w:type="dxa"/>
        <w:bottom w:w="0" w:type="dxa"/>
      </w:tblCellMar>
    </w:tblPr>
  </w:style>
  <w:style w:type="table" w:styleId="1001" w:customStyle="1">
    <w:name w:val="Grid Table 1 Light - Accent 6"/>
    <w:uiPriority w:val="99"/>
    <w:qFormat/>
    <w:tblPr>
      <w:tblCellMar>
        <w:left w:w="0" w:type="dxa"/>
        <w:top w:w="0" w:type="dxa"/>
        <w:right w:w="0" w:type="dxa"/>
        <w:bottom w:w="0" w:type="dxa"/>
      </w:tblCellMar>
    </w:tblPr>
  </w:style>
  <w:style w:type="table" w:styleId="1002" w:customStyle="1">
    <w:name w:val="网格表 21"/>
    <w:uiPriority w:val="99"/>
    <w:qFormat/>
    <w:tblPr>
      <w:tblCellMar>
        <w:left w:w="0" w:type="dxa"/>
        <w:top w:w="0" w:type="dxa"/>
        <w:right w:w="0" w:type="dxa"/>
        <w:bottom w:w="0" w:type="dxa"/>
      </w:tblCellMar>
    </w:tblPr>
  </w:style>
  <w:style w:type="table" w:styleId="1003" w:customStyle="1">
    <w:name w:val="Grid Table 2 - Accent 1"/>
    <w:uiPriority w:val="99"/>
    <w:qFormat/>
    <w:tblPr>
      <w:tblCellMar>
        <w:left w:w="0" w:type="dxa"/>
        <w:top w:w="0" w:type="dxa"/>
        <w:right w:w="0" w:type="dxa"/>
        <w:bottom w:w="0" w:type="dxa"/>
      </w:tblCellMar>
    </w:tblPr>
  </w:style>
  <w:style w:type="table" w:styleId="1004" w:customStyle="1">
    <w:name w:val="Grid Table 2 - Accent 2"/>
    <w:uiPriority w:val="99"/>
    <w:qFormat/>
    <w:tblPr>
      <w:tblCellMar>
        <w:left w:w="0" w:type="dxa"/>
        <w:top w:w="0" w:type="dxa"/>
        <w:right w:w="0" w:type="dxa"/>
        <w:bottom w:w="0" w:type="dxa"/>
      </w:tblCellMar>
    </w:tblPr>
  </w:style>
  <w:style w:type="table" w:styleId="1005" w:customStyle="1">
    <w:name w:val="Grid Table 2 - Accent 3"/>
    <w:uiPriority w:val="99"/>
    <w:qFormat/>
    <w:tblPr>
      <w:tblCellMar>
        <w:left w:w="0" w:type="dxa"/>
        <w:top w:w="0" w:type="dxa"/>
        <w:right w:w="0" w:type="dxa"/>
        <w:bottom w:w="0" w:type="dxa"/>
      </w:tblCellMar>
    </w:tblPr>
  </w:style>
  <w:style w:type="table" w:styleId="1006" w:customStyle="1">
    <w:name w:val="Grid Table 2 - Accent 4"/>
    <w:uiPriority w:val="99"/>
    <w:qFormat/>
    <w:tblPr>
      <w:tblCellMar>
        <w:left w:w="0" w:type="dxa"/>
        <w:top w:w="0" w:type="dxa"/>
        <w:right w:w="0" w:type="dxa"/>
        <w:bottom w:w="0" w:type="dxa"/>
      </w:tblCellMar>
    </w:tblPr>
  </w:style>
  <w:style w:type="table" w:styleId="1007" w:customStyle="1">
    <w:name w:val="Grid Table 2 - Accent 5"/>
    <w:uiPriority w:val="99"/>
    <w:qFormat/>
    <w:tblPr>
      <w:tblCellMar>
        <w:left w:w="0" w:type="dxa"/>
        <w:top w:w="0" w:type="dxa"/>
        <w:right w:w="0" w:type="dxa"/>
        <w:bottom w:w="0" w:type="dxa"/>
      </w:tblCellMar>
    </w:tblPr>
  </w:style>
  <w:style w:type="table" w:styleId="1008" w:customStyle="1">
    <w:name w:val="Grid Table 2 - Accent 6"/>
    <w:uiPriority w:val="99"/>
    <w:qFormat/>
    <w:tblPr>
      <w:tblCellMar>
        <w:left w:w="0" w:type="dxa"/>
        <w:top w:w="0" w:type="dxa"/>
        <w:right w:w="0" w:type="dxa"/>
        <w:bottom w:w="0" w:type="dxa"/>
      </w:tblCellMar>
    </w:tblPr>
  </w:style>
  <w:style w:type="table" w:styleId="1009" w:customStyle="1">
    <w:name w:val="网格表 31"/>
    <w:uiPriority w:val="99"/>
    <w:qFormat/>
    <w:tblPr>
      <w:tblCellMar>
        <w:left w:w="0" w:type="dxa"/>
        <w:top w:w="0" w:type="dxa"/>
        <w:right w:w="0" w:type="dxa"/>
        <w:bottom w:w="0" w:type="dxa"/>
      </w:tblCellMar>
    </w:tblPr>
  </w:style>
  <w:style w:type="table" w:styleId="1010" w:customStyle="1">
    <w:name w:val="Grid Table 3 - Accent 1"/>
    <w:uiPriority w:val="99"/>
    <w:qFormat/>
    <w:tblPr>
      <w:tblCellMar>
        <w:left w:w="0" w:type="dxa"/>
        <w:top w:w="0" w:type="dxa"/>
        <w:right w:w="0" w:type="dxa"/>
        <w:bottom w:w="0" w:type="dxa"/>
      </w:tblCellMar>
    </w:tblPr>
  </w:style>
  <w:style w:type="table" w:styleId="1011" w:customStyle="1">
    <w:name w:val="Grid Table 3 - Accent 2"/>
    <w:uiPriority w:val="99"/>
    <w:qFormat/>
    <w:tblPr>
      <w:tblCellMar>
        <w:left w:w="0" w:type="dxa"/>
        <w:top w:w="0" w:type="dxa"/>
        <w:right w:w="0" w:type="dxa"/>
        <w:bottom w:w="0" w:type="dxa"/>
      </w:tblCellMar>
    </w:tblPr>
  </w:style>
  <w:style w:type="table" w:styleId="1012" w:customStyle="1">
    <w:name w:val="Grid Table 3 - Accent 3"/>
    <w:uiPriority w:val="99"/>
    <w:qFormat/>
    <w:tblPr>
      <w:tblCellMar>
        <w:left w:w="0" w:type="dxa"/>
        <w:top w:w="0" w:type="dxa"/>
        <w:right w:w="0" w:type="dxa"/>
        <w:bottom w:w="0" w:type="dxa"/>
      </w:tblCellMar>
    </w:tblPr>
  </w:style>
  <w:style w:type="table" w:styleId="1013" w:customStyle="1">
    <w:name w:val="Grid Table 3 - Accent 4"/>
    <w:uiPriority w:val="99"/>
    <w:qFormat/>
    <w:tblPr>
      <w:tblCellMar>
        <w:left w:w="0" w:type="dxa"/>
        <w:top w:w="0" w:type="dxa"/>
        <w:right w:w="0" w:type="dxa"/>
        <w:bottom w:w="0" w:type="dxa"/>
      </w:tblCellMar>
    </w:tblPr>
  </w:style>
  <w:style w:type="table" w:styleId="1014" w:customStyle="1">
    <w:name w:val="Grid Table 3 - Accent 5"/>
    <w:uiPriority w:val="99"/>
    <w:qFormat/>
    <w:tblPr>
      <w:tblCellMar>
        <w:left w:w="0" w:type="dxa"/>
        <w:top w:w="0" w:type="dxa"/>
        <w:right w:w="0" w:type="dxa"/>
        <w:bottom w:w="0" w:type="dxa"/>
      </w:tblCellMar>
    </w:tblPr>
  </w:style>
  <w:style w:type="table" w:styleId="1015" w:customStyle="1">
    <w:name w:val="Grid Table 3 - Accent 6"/>
    <w:uiPriority w:val="99"/>
    <w:qFormat/>
    <w:tblPr>
      <w:tblCellMar>
        <w:left w:w="0" w:type="dxa"/>
        <w:top w:w="0" w:type="dxa"/>
        <w:right w:w="0" w:type="dxa"/>
        <w:bottom w:w="0" w:type="dxa"/>
      </w:tblCellMar>
    </w:tblPr>
  </w:style>
  <w:style w:type="table" w:styleId="1016" w:customStyle="1">
    <w:name w:val="网格表 41"/>
    <w:uiPriority w:val="59"/>
    <w:qFormat/>
    <w:tblPr>
      <w:tblCellMar>
        <w:left w:w="0" w:type="dxa"/>
        <w:top w:w="0" w:type="dxa"/>
        <w:right w:w="0" w:type="dxa"/>
        <w:bottom w:w="0" w:type="dxa"/>
      </w:tblCellMar>
    </w:tblPr>
  </w:style>
  <w:style w:type="table" w:styleId="1017" w:customStyle="1">
    <w:name w:val="Grid Table 4 - Accent 1"/>
    <w:uiPriority w:val="59"/>
    <w:qFormat/>
    <w:tblPr>
      <w:tblCellMar>
        <w:left w:w="0" w:type="dxa"/>
        <w:top w:w="0" w:type="dxa"/>
        <w:right w:w="0" w:type="dxa"/>
        <w:bottom w:w="0" w:type="dxa"/>
      </w:tblCellMar>
    </w:tblPr>
  </w:style>
  <w:style w:type="table" w:styleId="1018" w:customStyle="1">
    <w:name w:val="Grid Table 4 - Accent 2"/>
    <w:uiPriority w:val="59"/>
    <w:qFormat/>
    <w:tblPr>
      <w:tblCellMar>
        <w:left w:w="0" w:type="dxa"/>
        <w:top w:w="0" w:type="dxa"/>
        <w:right w:w="0" w:type="dxa"/>
        <w:bottom w:w="0" w:type="dxa"/>
      </w:tblCellMar>
    </w:tblPr>
  </w:style>
  <w:style w:type="table" w:styleId="1019" w:customStyle="1">
    <w:name w:val="Grid Table 4 - Accent 3"/>
    <w:uiPriority w:val="59"/>
    <w:qFormat/>
    <w:tblPr>
      <w:tblCellMar>
        <w:left w:w="0" w:type="dxa"/>
        <w:top w:w="0" w:type="dxa"/>
        <w:right w:w="0" w:type="dxa"/>
        <w:bottom w:w="0" w:type="dxa"/>
      </w:tblCellMar>
    </w:tblPr>
  </w:style>
  <w:style w:type="table" w:styleId="1020" w:customStyle="1">
    <w:name w:val="Grid Table 4 - Accent 4"/>
    <w:uiPriority w:val="59"/>
    <w:qFormat/>
    <w:tblPr>
      <w:tblCellMar>
        <w:left w:w="0" w:type="dxa"/>
        <w:top w:w="0" w:type="dxa"/>
        <w:right w:w="0" w:type="dxa"/>
        <w:bottom w:w="0" w:type="dxa"/>
      </w:tblCellMar>
    </w:tblPr>
  </w:style>
  <w:style w:type="table" w:styleId="1021" w:customStyle="1">
    <w:name w:val="Grid Table 4 - Accent 5"/>
    <w:uiPriority w:val="59"/>
    <w:qFormat/>
    <w:tblPr>
      <w:tblCellMar>
        <w:left w:w="0" w:type="dxa"/>
        <w:top w:w="0" w:type="dxa"/>
        <w:right w:w="0" w:type="dxa"/>
        <w:bottom w:w="0" w:type="dxa"/>
      </w:tblCellMar>
    </w:tblPr>
  </w:style>
  <w:style w:type="table" w:styleId="1022" w:customStyle="1">
    <w:name w:val="Grid Table 4 - Accent 6"/>
    <w:uiPriority w:val="59"/>
    <w:qFormat/>
    <w:tblPr>
      <w:tblCellMar>
        <w:left w:w="0" w:type="dxa"/>
        <w:top w:w="0" w:type="dxa"/>
        <w:right w:w="0" w:type="dxa"/>
        <w:bottom w:w="0" w:type="dxa"/>
      </w:tblCellMar>
    </w:tblPr>
  </w:style>
  <w:style w:type="table" w:styleId="1023" w:customStyle="1">
    <w:name w:val="网格表 5 深色1"/>
    <w:uiPriority w:val="99"/>
    <w:qFormat/>
    <w:tblPr>
      <w:tblCellMar>
        <w:left w:w="0" w:type="dxa"/>
        <w:top w:w="0" w:type="dxa"/>
        <w:right w:w="0" w:type="dxa"/>
        <w:bottom w:w="0" w:type="dxa"/>
      </w:tblCellMar>
    </w:tblPr>
  </w:style>
  <w:style w:type="table" w:styleId="1024" w:customStyle="1">
    <w:name w:val="Grid Table 5 Dark- Accent 1"/>
    <w:uiPriority w:val="99"/>
    <w:qFormat/>
    <w:tblPr>
      <w:tblCellMar>
        <w:left w:w="0" w:type="dxa"/>
        <w:top w:w="0" w:type="dxa"/>
        <w:right w:w="0" w:type="dxa"/>
        <w:bottom w:w="0" w:type="dxa"/>
      </w:tblCellMar>
    </w:tblPr>
  </w:style>
  <w:style w:type="table" w:styleId="1025" w:customStyle="1">
    <w:name w:val="Grid Table 5 Dark - Accent 2"/>
    <w:uiPriority w:val="99"/>
    <w:qFormat/>
    <w:tblPr>
      <w:tblCellMar>
        <w:left w:w="0" w:type="dxa"/>
        <w:top w:w="0" w:type="dxa"/>
        <w:right w:w="0" w:type="dxa"/>
        <w:bottom w:w="0" w:type="dxa"/>
      </w:tblCellMar>
    </w:tblPr>
  </w:style>
  <w:style w:type="table" w:styleId="1026" w:customStyle="1">
    <w:name w:val="Grid Table 5 Dark - Accent 3"/>
    <w:uiPriority w:val="99"/>
    <w:qFormat/>
    <w:tblPr>
      <w:tblCellMar>
        <w:left w:w="0" w:type="dxa"/>
        <w:top w:w="0" w:type="dxa"/>
        <w:right w:w="0" w:type="dxa"/>
        <w:bottom w:w="0" w:type="dxa"/>
      </w:tblCellMar>
    </w:tblPr>
  </w:style>
  <w:style w:type="table" w:styleId="1027" w:customStyle="1">
    <w:name w:val="Grid Table 5 Dark- Accent 4"/>
    <w:uiPriority w:val="99"/>
    <w:qFormat/>
    <w:tblPr>
      <w:tblCellMar>
        <w:left w:w="0" w:type="dxa"/>
        <w:top w:w="0" w:type="dxa"/>
        <w:right w:w="0" w:type="dxa"/>
        <w:bottom w:w="0" w:type="dxa"/>
      </w:tblCellMar>
    </w:tblPr>
  </w:style>
  <w:style w:type="table" w:styleId="1028" w:customStyle="1">
    <w:name w:val="Grid Table 5 Dark - Accent 5"/>
    <w:uiPriority w:val="99"/>
    <w:qFormat/>
    <w:tblPr>
      <w:tblCellMar>
        <w:left w:w="0" w:type="dxa"/>
        <w:top w:w="0" w:type="dxa"/>
        <w:right w:w="0" w:type="dxa"/>
        <w:bottom w:w="0" w:type="dxa"/>
      </w:tblCellMar>
    </w:tblPr>
  </w:style>
  <w:style w:type="table" w:styleId="1029" w:customStyle="1">
    <w:name w:val="Grid Table 5 Dark - Accent 6"/>
    <w:uiPriority w:val="99"/>
    <w:qFormat/>
    <w:tblPr>
      <w:tblCellMar>
        <w:left w:w="0" w:type="dxa"/>
        <w:top w:w="0" w:type="dxa"/>
        <w:right w:w="0" w:type="dxa"/>
        <w:bottom w:w="0" w:type="dxa"/>
      </w:tblCellMar>
    </w:tblPr>
  </w:style>
  <w:style w:type="table" w:styleId="1030" w:customStyle="1">
    <w:name w:val="网格表 6 彩色1"/>
    <w:uiPriority w:val="99"/>
    <w:qFormat/>
    <w:tblPr>
      <w:tblCellMar>
        <w:left w:w="0" w:type="dxa"/>
        <w:top w:w="0" w:type="dxa"/>
        <w:right w:w="0" w:type="dxa"/>
        <w:bottom w:w="0" w:type="dxa"/>
      </w:tblCellMar>
    </w:tblPr>
  </w:style>
  <w:style w:type="table" w:styleId="1031" w:customStyle="1">
    <w:name w:val="Grid Table 6 Colorful - Accent 1"/>
    <w:uiPriority w:val="99"/>
    <w:qFormat/>
    <w:tblPr>
      <w:tblCellMar>
        <w:left w:w="0" w:type="dxa"/>
        <w:top w:w="0" w:type="dxa"/>
        <w:right w:w="0" w:type="dxa"/>
        <w:bottom w:w="0" w:type="dxa"/>
      </w:tblCellMar>
    </w:tblPr>
  </w:style>
  <w:style w:type="table" w:styleId="1032" w:customStyle="1">
    <w:name w:val="Grid Table 6 Colorful - Accent 2"/>
    <w:uiPriority w:val="99"/>
    <w:qFormat/>
    <w:tblPr>
      <w:tblCellMar>
        <w:left w:w="0" w:type="dxa"/>
        <w:top w:w="0" w:type="dxa"/>
        <w:right w:w="0" w:type="dxa"/>
        <w:bottom w:w="0" w:type="dxa"/>
      </w:tblCellMar>
    </w:tblPr>
  </w:style>
  <w:style w:type="table" w:styleId="1033" w:customStyle="1">
    <w:name w:val="Grid Table 6 Colorful - Accent 3"/>
    <w:uiPriority w:val="99"/>
    <w:qFormat/>
    <w:tblPr>
      <w:tblCellMar>
        <w:left w:w="0" w:type="dxa"/>
        <w:top w:w="0" w:type="dxa"/>
        <w:right w:w="0" w:type="dxa"/>
        <w:bottom w:w="0" w:type="dxa"/>
      </w:tblCellMar>
    </w:tblPr>
  </w:style>
  <w:style w:type="table" w:styleId="1034" w:customStyle="1">
    <w:name w:val="Grid Table 6 Colorful - Accent 4"/>
    <w:uiPriority w:val="99"/>
    <w:qFormat/>
    <w:tblPr>
      <w:tblCellMar>
        <w:left w:w="0" w:type="dxa"/>
        <w:top w:w="0" w:type="dxa"/>
        <w:right w:w="0" w:type="dxa"/>
        <w:bottom w:w="0" w:type="dxa"/>
      </w:tblCellMar>
    </w:tblPr>
  </w:style>
  <w:style w:type="table" w:styleId="1035" w:customStyle="1">
    <w:name w:val="Grid Table 6 Colorful - Accent 5"/>
    <w:uiPriority w:val="99"/>
    <w:qFormat/>
    <w:tblPr>
      <w:tblCellMar>
        <w:left w:w="0" w:type="dxa"/>
        <w:top w:w="0" w:type="dxa"/>
        <w:right w:w="0" w:type="dxa"/>
        <w:bottom w:w="0" w:type="dxa"/>
      </w:tblCellMar>
    </w:tblPr>
  </w:style>
  <w:style w:type="table" w:styleId="1036" w:customStyle="1">
    <w:name w:val="Grid Table 6 Colorful - Accent 6"/>
    <w:uiPriority w:val="99"/>
    <w:qFormat/>
    <w:tblPr>
      <w:tblCellMar>
        <w:left w:w="0" w:type="dxa"/>
        <w:top w:w="0" w:type="dxa"/>
        <w:right w:w="0" w:type="dxa"/>
        <w:bottom w:w="0" w:type="dxa"/>
      </w:tblCellMar>
    </w:tblPr>
  </w:style>
  <w:style w:type="table" w:styleId="1037" w:customStyle="1">
    <w:name w:val="网格表 7 彩色1"/>
    <w:uiPriority w:val="99"/>
    <w:qFormat/>
    <w:tblPr>
      <w:tblCellMar>
        <w:left w:w="0" w:type="dxa"/>
        <w:top w:w="0" w:type="dxa"/>
        <w:right w:w="0" w:type="dxa"/>
        <w:bottom w:w="0" w:type="dxa"/>
      </w:tblCellMar>
    </w:tblPr>
  </w:style>
  <w:style w:type="table" w:styleId="1038" w:customStyle="1">
    <w:name w:val="Grid Table 7 Colorful - Accent 1"/>
    <w:uiPriority w:val="99"/>
    <w:qFormat/>
    <w:tblPr>
      <w:tblCellMar>
        <w:left w:w="0" w:type="dxa"/>
        <w:top w:w="0" w:type="dxa"/>
        <w:right w:w="0" w:type="dxa"/>
        <w:bottom w:w="0" w:type="dxa"/>
      </w:tblCellMar>
    </w:tblPr>
  </w:style>
  <w:style w:type="table" w:styleId="1039" w:customStyle="1">
    <w:name w:val="Grid Table 7 Colorful - Accent 2"/>
    <w:uiPriority w:val="99"/>
    <w:qFormat/>
    <w:tblPr>
      <w:tblCellMar>
        <w:left w:w="0" w:type="dxa"/>
        <w:top w:w="0" w:type="dxa"/>
        <w:right w:w="0" w:type="dxa"/>
        <w:bottom w:w="0" w:type="dxa"/>
      </w:tblCellMar>
    </w:tblPr>
  </w:style>
  <w:style w:type="table" w:styleId="1040" w:customStyle="1">
    <w:name w:val="Grid Table 7 Colorful - Accent 3"/>
    <w:uiPriority w:val="99"/>
    <w:qFormat/>
    <w:tblPr>
      <w:tblCellMar>
        <w:left w:w="0" w:type="dxa"/>
        <w:top w:w="0" w:type="dxa"/>
        <w:right w:w="0" w:type="dxa"/>
        <w:bottom w:w="0" w:type="dxa"/>
      </w:tblCellMar>
    </w:tblPr>
  </w:style>
  <w:style w:type="table" w:styleId="1041" w:customStyle="1">
    <w:name w:val="Grid Table 7 Colorful - Accent 4"/>
    <w:uiPriority w:val="99"/>
    <w:qFormat/>
    <w:tblPr>
      <w:tblCellMar>
        <w:left w:w="0" w:type="dxa"/>
        <w:top w:w="0" w:type="dxa"/>
        <w:right w:w="0" w:type="dxa"/>
        <w:bottom w:w="0" w:type="dxa"/>
      </w:tblCellMar>
    </w:tblPr>
  </w:style>
  <w:style w:type="table" w:styleId="1042" w:customStyle="1">
    <w:name w:val="Grid Table 7 Colorful - Accent 5"/>
    <w:uiPriority w:val="99"/>
    <w:qFormat/>
    <w:tblPr>
      <w:tblCellMar>
        <w:left w:w="0" w:type="dxa"/>
        <w:top w:w="0" w:type="dxa"/>
        <w:right w:w="0" w:type="dxa"/>
        <w:bottom w:w="0" w:type="dxa"/>
      </w:tblCellMar>
    </w:tblPr>
  </w:style>
  <w:style w:type="table" w:styleId="1043" w:customStyle="1">
    <w:name w:val="Grid Table 7 Colorful - Accent 6"/>
    <w:uiPriority w:val="99"/>
    <w:qFormat/>
    <w:tblPr>
      <w:tblCellMar>
        <w:left w:w="0" w:type="dxa"/>
        <w:top w:w="0" w:type="dxa"/>
        <w:right w:w="0" w:type="dxa"/>
        <w:bottom w:w="0" w:type="dxa"/>
      </w:tblCellMar>
    </w:tblPr>
  </w:style>
  <w:style w:type="table" w:styleId="1044" w:customStyle="1">
    <w:name w:val="清单表 1 浅色1"/>
    <w:uiPriority w:val="99"/>
    <w:qFormat/>
    <w:tblPr>
      <w:tblCellMar>
        <w:left w:w="0" w:type="dxa"/>
        <w:top w:w="0" w:type="dxa"/>
        <w:right w:w="0" w:type="dxa"/>
        <w:bottom w:w="0" w:type="dxa"/>
      </w:tblCellMar>
    </w:tblPr>
  </w:style>
  <w:style w:type="table" w:styleId="1045" w:customStyle="1">
    <w:name w:val="List Table 1 Light - Accent 1"/>
    <w:uiPriority w:val="99"/>
    <w:qFormat/>
    <w:tblPr>
      <w:tblCellMar>
        <w:left w:w="0" w:type="dxa"/>
        <w:top w:w="0" w:type="dxa"/>
        <w:right w:w="0" w:type="dxa"/>
        <w:bottom w:w="0" w:type="dxa"/>
      </w:tblCellMar>
    </w:tblPr>
  </w:style>
  <w:style w:type="table" w:styleId="1046" w:customStyle="1">
    <w:name w:val="List Table 1 Light - Accent 2"/>
    <w:uiPriority w:val="99"/>
    <w:qFormat/>
    <w:tblPr>
      <w:tblCellMar>
        <w:left w:w="0" w:type="dxa"/>
        <w:top w:w="0" w:type="dxa"/>
        <w:right w:w="0" w:type="dxa"/>
        <w:bottom w:w="0" w:type="dxa"/>
      </w:tblCellMar>
    </w:tblPr>
  </w:style>
  <w:style w:type="table" w:styleId="1047" w:customStyle="1">
    <w:name w:val="List Table 1 Light - Accent 3"/>
    <w:uiPriority w:val="99"/>
    <w:qFormat/>
    <w:tblPr>
      <w:tblCellMar>
        <w:left w:w="0" w:type="dxa"/>
        <w:top w:w="0" w:type="dxa"/>
        <w:right w:w="0" w:type="dxa"/>
        <w:bottom w:w="0" w:type="dxa"/>
      </w:tblCellMar>
    </w:tblPr>
  </w:style>
  <w:style w:type="table" w:styleId="1048" w:customStyle="1">
    <w:name w:val="List Table 1 Light - Accent 4"/>
    <w:uiPriority w:val="99"/>
    <w:qFormat/>
    <w:tblPr>
      <w:tblCellMar>
        <w:left w:w="0" w:type="dxa"/>
        <w:top w:w="0" w:type="dxa"/>
        <w:right w:w="0" w:type="dxa"/>
        <w:bottom w:w="0" w:type="dxa"/>
      </w:tblCellMar>
    </w:tblPr>
  </w:style>
  <w:style w:type="table" w:styleId="1049" w:customStyle="1">
    <w:name w:val="List Table 1 Light - Accent 5"/>
    <w:uiPriority w:val="99"/>
    <w:qFormat/>
    <w:tblPr>
      <w:tblCellMar>
        <w:left w:w="0" w:type="dxa"/>
        <w:top w:w="0" w:type="dxa"/>
        <w:right w:w="0" w:type="dxa"/>
        <w:bottom w:w="0" w:type="dxa"/>
      </w:tblCellMar>
    </w:tblPr>
  </w:style>
  <w:style w:type="table" w:styleId="1050" w:customStyle="1">
    <w:name w:val="List Table 1 Light - Accent 6"/>
    <w:uiPriority w:val="99"/>
    <w:qFormat/>
    <w:tblPr>
      <w:tblCellMar>
        <w:left w:w="0" w:type="dxa"/>
        <w:top w:w="0" w:type="dxa"/>
        <w:right w:w="0" w:type="dxa"/>
        <w:bottom w:w="0" w:type="dxa"/>
      </w:tblCellMar>
    </w:tblPr>
  </w:style>
  <w:style w:type="table" w:styleId="1051" w:customStyle="1">
    <w:name w:val="清单表 21"/>
    <w:uiPriority w:val="99"/>
    <w:qFormat/>
    <w:tblPr>
      <w:tblCellMar>
        <w:left w:w="0" w:type="dxa"/>
        <w:top w:w="0" w:type="dxa"/>
        <w:right w:w="0" w:type="dxa"/>
        <w:bottom w:w="0" w:type="dxa"/>
      </w:tblCellMar>
    </w:tblPr>
  </w:style>
  <w:style w:type="table" w:styleId="1052" w:customStyle="1">
    <w:name w:val="List Table 2 - Accent 1"/>
    <w:uiPriority w:val="99"/>
    <w:qFormat/>
    <w:tblPr>
      <w:tblCellMar>
        <w:left w:w="0" w:type="dxa"/>
        <w:top w:w="0" w:type="dxa"/>
        <w:right w:w="0" w:type="dxa"/>
        <w:bottom w:w="0" w:type="dxa"/>
      </w:tblCellMar>
    </w:tblPr>
  </w:style>
  <w:style w:type="table" w:styleId="1053" w:customStyle="1">
    <w:name w:val="List Table 2 - Accent 2"/>
    <w:uiPriority w:val="99"/>
    <w:qFormat/>
    <w:tblPr>
      <w:tblCellMar>
        <w:left w:w="0" w:type="dxa"/>
        <w:top w:w="0" w:type="dxa"/>
        <w:right w:w="0" w:type="dxa"/>
        <w:bottom w:w="0" w:type="dxa"/>
      </w:tblCellMar>
    </w:tblPr>
  </w:style>
  <w:style w:type="table" w:styleId="1054" w:customStyle="1">
    <w:name w:val="List Table 2 - Accent 3"/>
    <w:uiPriority w:val="99"/>
    <w:qFormat/>
    <w:tblPr>
      <w:tblCellMar>
        <w:left w:w="0" w:type="dxa"/>
        <w:top w:w="0" w:type="dxa"/>
        <w:right w:w="0" w:type="dxa"/>
        <w:bottom w:w="0" w:type="dxa"/>
      </w:tblCellMar>
    </w:tblPr>
  </w:style>
  <w:style w:type="table" w:styleId="1055" w:customStyle="1">
    <w:name w:val="List Table 2 - Accent 4"/>
    <w:uiPriority w:val="99"/>
    <w:qFormat/>
    <w:tblPr>
      <w:tblCellMar>
        <w:left w:w="0" w:type="dxa"/>
        <w:top w:w="0" w:type="dxa"/>
        <w:right w:w="0" w:type="dxa"/>
        <w:bottom w:w="0" w:type="dxa"/>
      </w:tblCellMar>
    </w:tblPr>
  </w:style>
  <w:style w:type="table" w:styleId="1056" w:customStyle="1">
    <w:name w:val="List Table 2 - Accent 5"/>
    <w:uiPriority w:val="99"/>
    <w:qFormat/>
    <w:tblPr>
      <w:tblCellMar>
        <w:left w:w="0" w:type="dxa"/>
        <w:top w:w="0" w:type="dxa"/>
        <w:right w:w="0" w:type="dxa"/>
        <w:bottom w:w="0" w:type="dxa"/>
      </w:tblCellMar>
    </w:tblPr>
  </w:style>
  <w:style w:type="table" w:styleId="1057" w:customStyle="1">
    <w:name w:val="List Table 2 - Accent 6"/>
    <w:uiPriority w:val="99"/>
    <w:qFormat/>
    <w:tblPr>
      <w:tblCellMar>
        <w:left w:w="0" w:type="dxa"/>
        <w:top w:w="0" w:type="dxa"/>
        <w:right w:w="0" w:type="dxa"/>
        <w:bottom w:w="0" w:type="dxa"/>
      </w:tblCellMar>
    </w:tblPr>
  </w:style>
  <w:style w:type="table" w:styleId="1058" w:customStyle="1">
    <w:name w:val="清单表 31"/>
    <w:uiPriority w:val="99"/>
    <w:qFormat/>
    <w:tblPr>
      <w:tblCellMar>
        <w:left w:w="0" w:type="dxa"/>
        <w:top w:w="0" w:type="dxa"/>
        <w:right w:w="0" w:type="dxa"/>
        <w:bottom w:w="0" w:type="dxa"/>
      </w:tblCellMar>
    </w:tblPr>
  </w:style>
  <w:style w:type="table" w:styleId="1059" w:customStyle="1">
    <w:name w:val="List Table 3 - Accent 1"/>
    <w:uiPriority w:val="99"/>
    <w:qFormat/>
    <w:tblPr>
      <w:tblCellMar>
        <w:left w:w="0" w:type="dxa"/>
        <w:top w:w="0" w:type="dxa"/>
        <w:right w:w="0" w:type="dxa"/>
        <w:bottom w:w="0" w:type="dxa"/>
      </w:tblCellMar>
    </w:tblPr>
  </w:style>
  <w:style w:type="table" w:styleId="1060" w:customStyle="1">
    <w:name w:val="List Table 3 - Accent 2"/>
    <w:uiPriority w:val="99"/>
    <w:qFormat/>
    <w:tblPr>
      <w:tblCellMar>
        <w:left w:w="0" w:type="dxa"/>
        <w:top w:w="0" w:type="dxa"/>
        <w:right w:w="0" w:type="dxa"/>
        <w:bottom w:w="0" w:type="dxa"/>
      </w:tblCellMar>
    </w:tblPr>
  </w:style>
  <w:style w:type="table" w:styleId="1061" w:customStyle="1">
    <w:name w:val="List Table 3 - Accent 3"/>
    <w:uiPriority w:val="99"/>
    <w:qFormat/>
    <w:tblPr>
      <w:tblCellMar>
        <w:left w:w="0" w:type="dxa"/>
        <w:top w:w="0" w:type="dxa"/>
        <w:right w:w="0" w:type="dxa"/>
        <w:bottom w:w="0" w:type="dxa"/>
      </w:tblCellMar>
    </w:tblPr>
  </w:style>
  <w:style w:type="table" w:styleId="1062" w:customStyle="1">
    <w:name w:val="List Table 3 - Accent 4"/>
    <w:uiPriority w:val="99"/>
    <w:qFormat/>
    <w:tblPr>
      <w:tblCellMar>
        <w:left w:w="0" w:type="dxa"/>
        <w:top w:w="0" w:type="dxa"/>
        <w:right w:w="0" w:type="dxa"/>
        <w:bottom w:w="0" w:type="dxa"/>
      </w:tblCellMar>
    </w:tblPr>
  </w:style>
  <w:style w:type="table" w:styleId="1063" w:customStyle="1">
    <w:name w:val="List Table 3 - Accent 5"/>
    <w:uiPriority w:val="99"/>
    <w:qFormat/>
    <w:tblPr>
      <w:tblCellMar>
        <w:left w:w="0" w:type="dxa"/>
        <w:top w:w="0" w:type="dxa"/>
        <w:right w:w="0" w:type="dxa"/>
        <w:bottom w:w="0" w:type="dxa"/>
      </w:tblCellMar>
    </w:tblPr>
  </w:style>
  <w:style w:type="table" w:styleId="1064" w:customStyle="1">
    <w:name w:val="List Table 3 - Accent 6"/>
    <w:uiPriority w:val="99"/>
    <w:qFormat/>
    <w:tblPr>
      <w:tblCellMar>
        <w:left w:w="0" w:type="dxa"/>
        <w:top w:w="0" w:type="dxa"/>
        <w:right w:w="0" w:type="dxa"/>
        <w:bottom w:w="0" w:type="dxa"/>
      </w:tblCellMar>
    </w:tblPr>
  </w:style>
  <w:style w:type="table" w:styleId="1065" w:customStyle="1">
    <w:name w:val="清单表 41"/>
    <w:uiPriority w:val="99"/>
    <w:qFormat/>
    <w:tblPr>
      <w:tblCellMar>
        <w:left w:w="0" w:type="dxa"/>
        <w:top w:w="0" w:type="dxa"/>
        <w:right w:w="0" w:type="dxa"/>
        <w:bottom w:w="0" w:type="dxa"/>
      </w:tblCellMar>
    </w:tblPr>
  </w:style>
  <w:style w:type="table" w:styleId="1066" w:customStyle="1">
    <w:name w:val="List Table 4 - Accent 1"/>
    <w:uiPriority w:val="99"/>
    <w:qFormat/>
    <w:tblPr>
      <w:tblCellMar>
        <w:left w:w="0" w:type="dxa"/>
        <w:top w:w="0" w:type="dxa"/>
        <w:right w:w="0" w:type="dxa"/>
        <w:bottom w:w="0" w:type="dxa"/>
      </w:tblCellMar>
    </w:tblPr>
  </w:style>
  <w:style w:type="table" w:styleId="1067" w:customStyle="1">
    <w:name w:val="List Table 4 - Accent 2"/>
    <w:uiPriority w:val="99"/>
    <w:qFormat/>
    <w:tblPr>
      <w:tblCellMar>
        <w:left w:w="0" w:type="dxa"/>
        <w:top w:w="0" w:type="dxa"/>
        <w:right w:w="0" w:type="dxa"/>
        <w:bottom w:w="0" w:type="dxa"/>
      </w:tblCellMar>
    </w:tblPr>
  </w:style>
  <w:style w:type="table" w:styleId="1068" w:customStyle="1">
    <w:name w:val="List Table 4 - Accent 3"/>
    <w:uiPriority w:val="99"/>
    <w:qFormat/>
    <w:tblPr>
      <w:tblCellMar>
        <w:left w:w="0" w:type="dxa"/>
        <w:top w:w="0" w:type="dxa"/>
        <w:right w:w="0" w:type="dxa"/>
        <w:bottom w:w="0" w:type="dxa"/>
      </w:tblCellMar>
    </w:tblPr>
  </w:style>
  <w:style w:type="table" w:styleId="1069" w:customStyle="1">
    <w:name w:val="List Table 4 - Accent 4"/>
    <w:uiPriority w:val="99"/>
    <w:qFormat/>
    <w:tblPr>
      <w:tblCellMar>
        <w:left w:w="0" w:type="dxa"/>
        <w:top w:w="0" w:type="dxa"/>
        <w:right w:w="0" w:type="dxa"/>
        <w:bottom w:w="0" w:type="dxa"/>
      </w:tblCellMar>
    </w:tblPr>
  </w:style>
  <w:style w:type="table" w:styleId="1070" w:customStyle="1">
    <w:name w:val="List Table 4 - Accent 5"/>
    <w:uiPriority w:val="99"/>
    <w:qFormat/>
    <w:tblPr>
      <w:tblCellMar>
        <w:left w:w="0" w:type="dxa"/>
        <w:top w:w="0" w:type="dxa"/>
        <w:right w:w="0" w:type="dxa"/>
        <w:bottom w:w="0" w:type="dxa"/>
      </w:tblCellMar>
    </w:tblPr>
  </w:style>
  <w:style w:type="table" w:styleId="1071" w:customStyle="1">
    <w:name w:val="List Table 4 - Accent 6"/>
    <w:uiPriority w:val="99"/>
    <w:qFormat/>
    <w:tblPr>
      <w:tblCellMar>
        <w:left w:w="0" w:type="dxa"/>
        <w:top w:w="0" w:type="dxa"/>
        <w:right w:w="0" w:type="dxa"/>
        <w:bottom w:w="0" w:type="dxa"/>
      </w:tblCellMar>
    </w:tblPr>
  </w:style>
  <w:style w:type="table" w:styleId="1072" w:customStyle="1">
    <w:name w:val="清单表 5 深色1"/>
    <w:uiPriority w:val="99"/>
    <w:qFormat/>
    <w:tblPr>
      <w:tblCellMar>
        <w:left w:w="0" w:type="dxa"/>
        <w:top w:w="0" w:type="dxa"/>
        <w:right w:w="0" w:type="dxa"/>
        <w:bottom w:w="0" w:type="dxa"/>
      </w:tblCellMar>
    </w:tblPr>
  </w:style>
  <w:style w:type="table" w:styleId="1073" w:customStyle="1">
    <w:name w:val="List Table 5 Dark - Accent 1"/>
    <w:uiPriority w:val="99"/>
    <w:qFormat/>
    <w:tblPr>
      <w:tblCellMar>
        <w:left w:w="0" w:type="dxa"/>
        <w:top w:w="0" w:type="dxa"/>
        <w:right w:w="0" w:type="dxa"/>
        <w:bottom w:w="0" w:type="dxa"/>
      </w:tblCellMar>
    </w:tblPr>
  </w:style>
  <w:style w:type="table" w:styleId="1074" w:customStyle="1">
    <w:name w:val="List Table 5 Dark - Accent 2"/>
    <w:uiPriority w:val="99"/>
    <w:qFormat/>
    <w:tblPr>
      <w:tblCellMar>
        <w:left w:w="0" w:type="dxa"/>
        <w:top w:w="0" w:type="dxa"/>
        <w:right w:w="0" w:type="dxa"/>
        <w:bottom w:w="0" w:type="dxa"/>
      </w:tblCellMar>
    </w:tblPr>
  </w:style>
  <w:style w:type="table" w:styleId="1075" w:customStyle="1">
    <w:name w:val="List Table 5 Dark - Accent 3"/>
    <w:uiPriority w:val="99"/>
    <w:qFormat/>
    <w:tblPr>
      <w:tblCellMar>
        <w:left w:w="0" w:type="dxa"/>
        <w:top w:w="0" w:type="dxa"/>
        <w:right w:w="0" w:type="dxa"/>
        <w:bottom w:w="0" w:type="dxa"/>
      </w:tblCellMar>
    </w:tblPr>
  </w:style>
  <w:style w:type="table" w:styleId="1076" w:customStyle="1">
    <w:name w:val="List Table 5 Dark - Accent 4"/>
    <w:uiPriority w:val="99"/>
    <w:qFormat/>
    <w:tblPr>
      <w:tblCellMar>
        <w:left w:w="0" w:type="dxa"/>
        <w:top w:w="0" w:type="dxa"/>
        <w:right w:w="0" w:type="dxa"/>
        <w:bottom w:w="0" w:type="dxa"/>
      </w:tblCellMar>
    </w:tblPr>
  </w:style>
  <w:style w:type="table" w:styleId="1077" w:customStyle="1">
    <w:name w:val="List Table 5 Dark - Accent 5"/>
    <w:uiPriority w:val="99"/>
    <w:qFormat/>
    <w:tblPr>
      <w:tblCellMar>
        <w:left w:w="0" w:type="dxa"/>
        <w:top w:w="0" w:type="dxa"/>
        <w:right w:w="0" w:type="dxa"/>
        <w:bottom w:w="0" w:type="dxa"/>
      </w:tblCellMar>
    </w:tblPr>
  </w:style>
  <w:style w:type="table" w:styleId="1078" w:customStyle="1">
    <w:name w:val="List Table 5 Dark - Accent 6"/>
    <w:uiPriority w:val="99"/>
    <w:qFormat/>
    <w:tblPr>
      <w:tblCellMar>
        <w:left w:w="0" w:type="dxa"/>
        <w:top w:w="0" w:type="dxa"/>
        <w:right w:w="0" w:type="dxa"/>
        <w:bottom w:w="0" w:type="dxa"/>
      </w:tblCellMar>
    </w:tblPr>
  </w:style>
  <w:style w:type="table" w:styleId="1079" w:customStyle="1">
    <w:name w:val="清单表 6 彩色1"/>
    <w:uiPriority w:val="99"/>
    <w:qFormat/>
    <w:tblPr>
      <w:tblCellMar>
        <w:left w:w="0" w:type="dxa"/>
        <w:top w:w="0" w:type="dxa"/>
        <w:right w:w="0" w:type="dxa"/>
        <w:bottom w:w="0" w:type="dxa"/>
      </w:tblCellMar>
    </w:tblPr>
  </w:style>
  <w:style w:type="table" w:styleId="1080" w:customStyle="1">
    <w:name w:val="List Table 6 Colorful - Accent 1"/>
    <w:uiPriority w:val="99"/>
    <w:qFormat/>
    <w:tblPr>
      <w:tblCellMar>
        <w:left w:w="0" w:type="dxa"/>
        <w:top w:w="0" w:type="dxa"/>
        <w:right w:w="0" w:type="dxa"/>
        <w:bottom w:w="0" w:type="dxa"/>
      </w:tblCellMar>
    </w:tblPr>
  </w:style>
  <w:style w:type="table" w:styleId="1081" w:customStyle="1">
    <w:name w:val="List Table 6 Colorful - Accent 2"/>
    <w:uiPriority w:val="99"/>
    <w:qFormat/>
    <w:tblPr>
      <w:tblCellMar>
        <w:left w:w="0" w:type="dxa"/>
        <w:top w:w="0" w:type="dxa"/>
        <w:right w:w="0" w:type="dxa"/>
        <w:bottom w:w="0" w:type="dxa"/>
      </w:tblCellMar>
    </w:tblPr>
  </w:style>
  <w:style w:type="table" w:styleId="1082" w:customStyle="1">
    <w:name w:val="List Table 6 Colorful - Accent 3"/>
    <w:uiPriority w:val="99"/>
    <w:qFormat/>
    <w:tblPr>
      <w:tblCellMar>
        <w:left w:w="0" w:type="dxa"/>
        <w:top w:w="0" w:type="dxa"/>
        <w:right w:w="0" w:type="dxa"/>
        <w:bottom w:w="0" w:type="dxa"/>
      </w:tblCellMar>
    </w:tblPr>
  </w:style>
  <w:style w:type="table" w:styleId="1083" w:customStyle="1">
    <w:name w:val="List Table 6 Colorful - Accent 4"/>
    <w:uiPriority w:val="99"/>
    <w:qFormat/>
    <w:tblPr>
      <w:tblCellMar>
        <w:left w:w="0" w:type="dxa"/>
        <w:top w:w="0" w:type="dxa"/>
        <w:right w:w="0" w:type="dxa"/>
        <w:bottom w:w="0" w:type="dxa"/>
      </w:tblCellMar>
    </w:tblPr>
  </w:style>
  <w:style w:type="table" w:styleId="1084" w:customStyle="1">
    <w:name w:val="List Table 6 Colorful - Accent 5"/>
    <w:uiPriority w:val="99"/>
    <w:qFormat/>
    <w:tblPr>
      <w:tblCellMar>
        <w:left w:w="0" w:type="dxa"/>
        <w:top w:w="0" w:type="dxa"/>
        <w:right w:w="0" w:type="dxa"/>
        <w:bottom w:w="0" w:type="dxa"/>
      </w:tblCellMar>
    </w:tblPr>
  </w:style>
  <w:style w:type="table" w:styleId="1085" w:customStyle="1">
    <w:name w:val="List Table 6 Colorful - Accent 6"/>
    <w:uiPriority w:val="99"/>
    <w:qFormat/>
    <w:tblPr>
      <w:tblCellMar>
        <w:left w:w="0" w:type="dxa"/>
        <w:top w:w="0" w:type="dxa"/>
        <w:right w:w="0" w:type="dxa"/>
        <w:bottom w:w="0" w:type="dxa"/>
      </w:tblCellMar>
    </w:tblPr>
  </w:style>
  <w:style w:type="table" w:styleId="1086" w:customStyle="1">
    <w:name w:val="清单表 7 彩色1"/>
    <w:uiPriority w:val="99"/>
    <w:qFormat/>
    <w:tblPr>
      <w:tblCellMar>
        <w:left w:w="0" w:type="dxa"/>
        <w:top w:w="0" w:type="dxa"/>
        <w:right w:w="0" w:type="dxa"/>
        <w:bottom w:w="0" w:type="dxa"/>
      </w:tblCellMar>
    </w:tblPr>
  </w:style>
  <w:style w:type="table" w:styleId="1087" w:customStyle="1">
    <w:name w:val="List Table 7 Colorful - Accent 1"/>
    <w:uiPriority w:val="99"/>
    <w:qFormat/>
    <w:tblPr>
      <w:tblCellMar>
        <w:left w:w="0" w:type="dxa"/>
        <w:top w:w="0" w:type="dxa"/>
        <w:right w:w="0" w:type="dxa"/>
        <w:bottom w:w="0" w:type="dxa"/>
      </w:tblCellMar>
    </w:tblPr>
  </w:style>
  <w:style w:type="table" w:styleId="1088" w:customStyle="1">
    <w:name w:val="List Table 7 Colorful - Accent 2"/>
    <w:uiPriority w:val="99"/>
    <w:qFormat/>
    <w:tblPr>
      <w:tblCellMar>
        <w:left w:w="0" w:type="dxa"/>
        <w:top w:w="0" w:type="dxa"/>
        <w:right w:w="0" w:type="dxa"/>
        <w:bottom w:w="0" w:type="dxa"/>
      </w:tblCellMar>
    </w:tblPr>
  </w:style>
  <w:style w:type="table" w:styleId="1089" w:customStyle="1">
    <w:name w:val="List Table 7 Colorful - Accent 3"/>
    <w:uiPriority w:val="99"/>
    <w:qFormat/>
    <w:tblPr>
      <w:tblCellMar>
        <w:left w:w="0" w:type="dxa"/>
        <w:top w:w="0" w:type="dxa"/>
        <w:right w:w="0" w:type="dxa"/>
        <w:bottom w:w="0" w:type="dxa"/>
      </w:tblCellMar>
    </w:tblPr>
  </w:style>
  <w:style w:type="table" w:styleId="1090" w:customStyle="1">
    <w:name w:val="List Table 7 Colorful - Accent 4"/>
    <w:uiPriority w:val="99"/>
    <w:qFormat/>
    <w:tblPr>
      <w:tblCellMar>
        <w:left w:w="0" w:type="dxa"/>
        <w:top w:w="0" w:type="dxa"/>
        <w:right w:w="0" w:type="dxa"/>
        <w:bottom w:w="0" w:type="dxa"/>
      </w:tblCellMar>
    </w:tblPr>
  </w:style>
  <w:style w:type="table" w:styleId="1091" w:customStyle="1">
    <w:name w:val="List Table 7 Colorful - Accent 5"/>
    <w:uiPriority w:val="99"/>
    <w:qFormat/>
    <w:tblPr>
      <w:tblCellMar>
        <w:left w:w="0" w:type="dxa"/>
        <w:top w:w="0" w:type="dxa"/>
        <w:right w:w="0" w:type="dxa"/>
        <w:bottom w:w="0" w:type="dxa"/>
      </w:tblCellMar>
    </w:tblPr>
  </w:style>
  <w:style w:type="table" w:styleId="1092" w:customStyle="1">
    <w:name w:val="List Table 7 Colorful - Accent 6"/>
    <w:uiPriority w:val="99"/>
    <w:qFormat/>
    <w:tblPr>
      <w:tblCellMar>
        <w:left w:w="0" w:type="dxa"/>
        <w:top w:w="0" w:type="dxa"/>
        <w:right w:w="0" w:type="dxa"/>
        <w:bottom w:w="0" w:type="dxa"/>
      </w:tblCellMar>
    </w:tblPr>
  </w:style>
  <w:style w:type="table" w:styleId="1093" w:customStyle="1">
    <w:name w:val="Lined - Accent"/>
    <w:uiPriority w:val="99"/>
    <w:qFormat/>
    <w:rPr>
      <w:color w:val="404040"/>
    </w:rPr>
    <w:tblPr>
      <w:tblCellMar>
        <w:left w:w="0" w:type="dxa"/>
        <w:top w:w="0" w:type="dxa"/>
        <w:right w:w="0" w:type="dxa"/>
        <w:bottom w:w="0" w:type="dxa"/>
      </w:tblCellMar>
    </w:tblPr>
  </w:style>
  <w:style w:type="table" w:styleId="1094" w:customStyle="1">
    <w:name w:val="Lined - Accent 1"/>
    <w:uiPriority w:val="99"/>
    <w:qFormat/>
    <w:rPr>
      <w:color w:val="404040"/>
    </w:rPr>
    <w:tblPr>
      <w:tblCellMar>
        <w:left w:w="0" w:type="dxa"/>
        <w:top w:w="0" w:type="dxa"/>
        <w:right w:w="0" w:type="dxa"/>
        <w:bottom w:w="0" w:type="dxa"/>
      </w:tblCellMar>
    </w:tblPr>
  </w:style>
  <w:style w:type="table" w:styleId="1095" w:customStyle="1">
    <w:name w:val="Lined - Accent 2"/>
    <w:uiPriority w:val="99"/>
    <w:qFormat/>
    <w:rPr>
      <w:color w:val="404040"/>
    </w:rPr>
    <w:tblPr>
      <w:tblCellMar>
        <w:left w:w="0" w:type="dxa"/>
        <w:top w:w="0" w:type="dxa"/>
        <w:right w:w="0" w:type="dxa"/>
        <w:bottom w:w="0" w:type="dxa"/>
      </w:tblCellMar>
    </w:tblPr>
  </w:style>
  <w:style w:type="table" w:styleId="1096" w:customStyle="1">
    <w:name w:val="Lined - Accent 3"/>
    <w:uiPriority w:val="99"/>
    <w:qFormat/>
    <w:rPr>
      <w:color w:val="404040"/>
    </w:rPr>
    <w:tblPr>
      <w:tblCellMar>
        <w:left w:w="0" w:type="dxa"/>
        <w:top w:w="0" w:type="dxa"/>
        <w:right w:w="0" w:type="dxa"/>
        <w:bottom w:w="0" w:type="dxa"/>
      </w:tblCellMar>
    </w:tblPr>
  </w:style>
  <w:style w:type="table" w:styleId="1097" w:customStyle="1">
    <w:name w:val="Lined - Accent 4"/>
    <w:uiPriority w:val="99"/>
    <w:qFormat/>
    <w:rPr>
      <w:color w:val="404040"/>
    </w:rPr>
    <w:tblPr>
      <w:tblCellMar>
        <w:left w:w="0" w:type="dxa"/>
        <w:top w:w="0" w:type="dxa"/>
        <w:right w:w="0" w:type="dxa"/>
        <w:bottom w:w="0" w:type="dxa"/>
      </w:tblCellMar>
    </w:tblPr>
  </w:style>
  <w:style w:type="table" w:styleId="1098" w:customStyle="1">
    <w:name w:val="Lined - Accent 5"/>
    <w:uiPriority w:val="99"/>
    <w:qFormat/>
    <w:rPr>
      <w:color w:val="404040"/>
    </w:rPr>
    <w:tblPr>
      <w:tblCellMar>
        <w:left w:w="0" w:type="dxa"/>
        <w:top w:w="0" w:type="dxa"/>
        <w:right w:w="0" w:type="dxa"/>
        <w:bottom w:w="0" w:type="dxa"/>
      </w:tblCellMar>
    </w:tblPr>
  </w:style>
  <w:style w:type="table" w:styleId="1099" w:customStyle="1">
    <w:name w:val="Lined - Accent 6"/>
    <w:uiPriority w:val="99"/>
    <w:qFormat/>
    <w:rPr>
      <w:color w:val="404040"/>
    </w:rPr>
    <w:tblPr>
      <w:tblCellMar>
        <w:left w:w="0" w:type="dxa"/>
        <w:top w:w="0" w:type="dxa"/>
        <w:right w:w="0" w:type="dxa"/>
        <w:bottom w:w="0" w:type="dxa"/>
      </w:tblCellMar>
    </w:tblPr>
  </w:style>
  <w:style w:type="table" w:styleId="1100" w:customStyle="1">
    <w:name w:val="Bordered &amp; Lined - Accent"/>
    <w:uiPriority w:val="99"/>
    <w:qFormat/>
    <w:rPr>
      <w:color w:val="404040"/>
    </w:rPr>
    <w:tblPr>
      <w:tblCellMar>
        <w:left w:w="0" w:type="dxa"/>
        <w:top w:w="0" w:type="dxa"/>
        <w:right w:w="0" w:type="dxa"/>
        <w:bottom w:w="0" w:type="dxa"/>
      </w:tblCellMar>
    </w:tblPr>
  </w:style>
  <w:style w:type="table" w:styleId="1101" w:customStyle="1">
    <w:name w:val="Bordered &amp; Lined - Accent 1"/>
    <w:uiPriority w:val="99"/>
    <w:qFormat/>
    <w:rPr>
      <w:color w:val="404040"/>
    </w:rPr>
    <w:tblPr>
      <w:tblCellMar>
        <w:left w:w="0" w:type="dxa"/>
        <w:top w:w="0" w:type="dxa"/>
        <w:right w:w="0" w:type="dxa"/>
        <w:bottom w:w="0" w:type="dxa"/>
      </w:tblCellMar>
    </w:tblPr>
  </w:style>
  <w:style w:type="table" w:styleId="1102" w:customStyle="1">
    <w:name w:val="Bordered &amp; Lined - Accent 2"/>
    <w:uiPriority w:val="99"/>
    <w:qFormat/>
    <w:rPr>
      <w:color w:val="404040"/>
    </w:rPr>
    <w:tblPr>
      <w:tblCellMar>
        <w:left w:w="0" w:type="dxa"/>
        <w:top w:w="0" w:type="dxa"/>
        <w:right w:w="0" w:type="dxa"/>
        <w:bottom w:w="0" w:type="dxa"/>
      </w:tblCellMar>
    </w:tblPr>
  </w:style>
  <w:style w:type="table" w:styleId="1103" w:customStyle="1">
    <w:name w:val="Bordered &amp; Lined - Accent 3"/>
    <w:uiPriority w:val="99"/>
    <w:qFormat/>
    <w:rPr>
      <w:color w:val="404040"/>
    </w:rPr>
    <w:tblPr>
      <w:tblCellMar>
        <w:left w:w="0" w:type="dxa"/>
        <w:top w:w="0" w:type="dxa"/>
        <w:right w:w="0" w:type="dxa"/>
        <w:bottom w:w="0" w:type="dxa"/>
      </w:tblCellMar>
    </w:tblPr>
  </w:style>
  <w:style w:type="table" w:styleId="1104" w:customStyle="1">
    <w:name w:val="Bordered &amp; Lined - Accent 4"/>
    <w:uiPriority w:val="99"/>
    <w:qFormat/>
    <w:rPr>
      <w:color w:val="404040"/>
    </w:rPr>
    <w:tblPr>
      <w:tblCellMar>
        <w:left w:w="0" w:type="dxa"/>
        <w:top w:w="0" w:type="dxa"/>
        <w:right w:w="0" w:type="dxa"/>
        <w:bottom w:w="0" w:type="dxa"/>
      </w:tblCellMar>
    </w:tblPr>
  </w:style>
  <w:style w:type="table" w:styleId="1105" w:customStyle="1">
    <w:name w:val="Bordered &amp; Lined - Accent 5"/>
    <w:uiPriority w:val="99"/>
    <w:qFormat/>
    <w:rPr>
      <w:color w:val="404040"/>
    </w:rPr>
    <w:tblPr>
      <w:tblCellMar>
        <w:left w:w="0" w:type="dxa"/>
        <w:top w:w="0" w:type="dxa"/>
        <w:right w:w="0" w:type="dxa"/>
        <w:bottom w:w="0" w:type="dxa"/>
      </w:tblCellMar>
    </w:tblPr>
  </w:style>
  <w:style w:type="table" w:styleId="1106" w:customStyle="1">
    <w:name w:val="Bordered &amp; Lined - Accent 6"/>
    <w:uiPriority w:val="99"/>
    <w:qFormat/>
    <w:rPr>
      <w:color w:val="404040"/>
    </w:rPr>
    <w:tblPr>
      <w:tblCellMar>
        <w:left w:w="0" w:type="dxa"/>
        <w:top w:w="0" w:type="dxa"/>
        <w:right w:w="0" w:type="dxa"/>
        <w:bottom w:w="0" w:type="dxa"/>
      </w:tblCellMar>
    </w:tblPr>
  </w:style>
  <w:style w:type="table" w:styleId="1107" w:customStyle="1">
    <w:name w:val="Bordered"/>
    <w:uiPriority w:val="99"/>
    <w:qFormat/>
    <w:tblPr>
      <w:tblCellMar>
        <w:left w:w="0" w:type="dxa"/>
        <w:top w:w="0" w:type="dxa"/>
        <w:right w:w="0" w:type="dxa"/>
        <w:bottom w:w="0" w:type="dxa"/>
      </w:tblCellMar>
    </w:tblPr>
  </w:style>
  <w:style w:type="table" w:styleId="1108" w:customStyle="1">
    <w:name w:val="Bordered - Accent 1"/>
    <w:uiPriority w:val="99"/>
    <w:qFormat/>
    <w:tblPr>
      <w:tblCellMar>
        <w:left w:w="0" w:type="dxa"/>
        <w:top w:w="0" w:type="dxa"/>
        <w:right w:w="0" w:type="dxa"/>
        <w:bottom w:w="0" w:type="dxa"/>
      </w:tblCellMar>
    </w:tblPr>
  </w:style>
  <w:style w:type="table" w:styleId="1109" w:customStyle="1">
    <w:name w:val="Bordered - Accent 2"/>
    <w:uiPriority w:val="99"/>
    <w:qFormat/>
    <w:tblPr>
      <w:tblCellMar>
        <w:left w:w="0" w:type="dxa"/>
        <w:top w:w="0" w:type="dxa"/>
        <w:right w:w="0" w:type="dxa"/>
        <w:bottom w:w="0" w:type="dxa"/>
      </w:tblCellMar>
    </w:tblPr>
  </w:style>
  <w:style w:type="table" w:styleId="1110" w:customStyle="1">
    <w:name w:val="Bordered - Accent 3"/>
    <w:uiPriority w:val="99"/>
    <w:qFormat/>
    <w:tblPr>
      <w:tblCellMar>
        <w:left w:w="0" w:type="dxa"/>
        <w:top w:w="0" w:type="dxa"/>
        <w:right w:w="0" w:type="dxa"/>
        <w:bottom w:w="0" w:type="dxa"/>
      </w:tblCellMar>
    </w:tblPr>
  </w:style>
  <w:style w:type="table" w:styleId="1111" w:customStyle="1">
    <w:name w:val="Bordered - Accent 4"/>
    <w:uiPriority w:val="99"/>
    <w:qFormat/>
    <w:tblPr>
      <w:tblCellMar>
        <w:left w:w="0" w:type="dxa"/>
        <w:top w:w="0" w:type="dxa"/>
        <w:right w:w="0" w:type="dxa"/>
        <w:bottom w:w="0" w:type="dxa"/>
      </w:tblCellMar>
    </w:tblPr>
  </w:style>
  <w:style w:type="table" w:styleId="1112" w:customStyle="1">
    <w:name w:val="Bordered - Accent 5"/>
    <w:uiPriority w:val="99"/>
    <w:qFormat/>
    <w:tblPr>
      <w:tblCellMar>
        <w:left w:w="0" w:type="dxa"/>
        <w:top w:w="0" w:type="dxa"/>
        <w:right w:w="0" w:type="dxa"/>
        <w:bottom w:w="0" w:type="dxa"/>
      </w:tblCellMar>
    </w:tblPr>
  </w:style>
  <w:style w:type="table" w:styleId="1113" w:customStyle="1">
    <w:name w:val="Bordered - Accent 6"/>
    <w:uiPriority w:val="99"/>
    <w:qFormat/>
    <w:tblPr>
      <w:tblCellMar>
        <w:left w:w="0" w:type="dxa"/>
        <w:top w:w="0" w:type="dxa"/>
        <w:right w:w="0" w:type="dxa"/>
        <w:bottom w:w="0" w:type="dxa"/>
      </w:tblCellMar>
    </w:tblPr>
  </w:style>
  <w:style w:type="paragraph" w:styleId="1114" w:customStyle="1">
    <w:name w:val="TOC 标题1"/>
    <w:uiPriority w:val="39"/>
    <w:unhideWhenUsed/>
    <w:qFormat/>
    <w:rPr>
      <w:rFonts w:ascii="Times New Roman" w:hAnsi="Times New Roman" w:eastAsia="宋体" w:cs="Times New Roman"/>
      <w:lang w:val="en-US" w:eastAsia="zh-CN" w:bidi="ar-SA"/>
    </w:rPr>
  </w:style>
  <w:style w:type="paragraph" w:styleId="1115" w:customStyle="1">
    <w:name w:val="标题 11"/>
    <w:basedOn w:val="781"/>
    <w:next w:val="781"/>
    <w:link w:val="1116"/>
    <w:uiPriority w:val="0"/>
    <w:qFormat/>
    <w:pPr>
      <w:keepLines/>
      <w:keepNext/>
      <w:spacing w:before="340" w:after="330" w:line="578" w:lineRule="auto"/>
      <w:outlineLvl w:val="0"/>
    </w:pPr>
    <w:rPr>
      <w:rFonts w:ascii="Calibri" w:hAnsi="Calibri" w:eastAsia="方正楷体_GB2312"/>
      <w:b/>
      <w:sz w:val="44"/>
      <w:szCs w:val="20"/>
    </w:rPr>
  </w:style>
  <w:style w:type="character" w:styleId="1116" w:customStyle="1">
    <w:name w:val="标题 1 字符"/>
    <w:link w:val="1115"/>
    <w:uiPriority w:val="0"/>
    <w:qFormat/>
    <w:rPr>
      <w:rFonts w:ascii="Calibri" w:hAnsi="Calibri" w:eastAsia="方正楷体_GB2312" w:cs="Times New Roman"/>
      <w:b/>
      <w:sz w:val="44"/>
    </w:rPr>
  </w:style>
  <w:style w:type="paragraph" w:styleId="1117" w:customStyle="1">
    <w:name w:val="标题 41"/>
    <w:basedOn w:val="781"/>
    <w:next w:val="781"/>
    <w:link w:val="1118"/>
    <w:uiPriority w:val="9"/>
    <w:qFormat/>
    <w:pPr>
      <w:keepLines/>
      <w:keepNext/>
      <w:spacing w:before="280" w:after="290" w:line="376" w:lineRule="auto"/>
      <w:outlineLvl w:val="3"/>
    </w:pPr>
    <w:rPr>
      <w:rFonts w:ascii="Cambria" w:hAnsi="Cambria"/>
      <w:b/>
      <w:bCs/>
      <w:sz w:val="28"/>
      <w:szCs w:val="28"/>
    </w:rPr>
  </w:style>
  <w:style w:type="character" w:styleId="1118" w:customStyle="1">
    <w:name w:val="标题 4 字符"/>
    <w:link w:val="1117"/>
    <w:uiPriority w:val="9"/>
    <w:semiHidden/>
    <w:qFormat/>
    <w:rPr>
      <w:rFonts w:ascii="Cambria" w:hAnsi="Cambria" w:eastAsia="宋体" w:cs="Times New Roman"/>
      <w:b/>
      <w:bCs/>
      <w:sz w:val="28"/>
      <w:szCs w:val="28"/>
    </w:rPr>
  </w:style>
  <w:style w:type="character" w:styleId="1119" w:customStyle="1">
    <w:name w:val="默认段落字体11"/>
    <w:uiPriority w:val="0"/>
    <w:qFormat/>
    <w:rPr>
      <w:rFonts w:ascii="Calibri" w:hAnsi="Calibri" w:eastAsia="宋体" w:cs="Times New Roman"/>
    </w:rPr>
  </w:style>
  <w:style w:type="table" w:styleId="1120" w:customStyle="1">
    <w:name w:val="普通表格1"/>
    <w:uiPriority w:val="0"/>
    <w:qFormat/>
    <w:rPr>
      <w:rFonts w:ascii="Calibri" w:hAnsi="Calibri"/>
    </w:rPr>
    <w:tblPr>
      <w:tblCellMar>
        <w:left w:w="0" w:type="dxa"/>
        <w:top w:w="0" w:type="dxa"/>
        <w:right w:w="0" w:type="dxa"/>
        <w:bottom w:w="0" w:type="dxa"/>
      </w:tblCellMar>
    </w:tblPr>
  </w:style>
  <w:style w:type="paragraph" w:styleId="1121" w:customStyle="1">
    <w:name w:val="正文缩进12"/>
    <w:basedOn w:val="781"/>
    <w:next w:val="781"/>
    <w:link w:val="1122"/>
    <w:uiPriority w:val="0"/>
    <w:qFormat/>
    <w:pPr>
      <w:ind w:firstLine="420"/>
      <w:jc w:val="left"/>
      <w:widowControl/>
    </w:pPr>
    <w:rPr>
      <w:rFonts w:ascii="Calibri" w:hAnsi="Calibri" w:eastAsia="方正楷体_GB2312"/>
      <w:sz w:val="24"/>
      <w:szCs w:val="20"/>
    </w:rPr>
  </w:style>
  <w:style w:type="character" w:styleId="1122" w:customStyle="1">
    <w:name w:val="正文缩进 字符"/>
    <w:link w:val="1121"/>
    <w:uiPriority w:val="0"/>
    <w:qFormat/>
    <w:rPr>
      <w:rFonts w:ascii="Calibri" w:hAnsi="Calibri" w:eastAsia="方正楷体_GB2312" w:cs="Times New Roman"/>
      <w:sz w:val="24"/>
    </w:rPr>
  </w:style>
  <w:style w:type="paragraph" w:styleId="1123" w:customStyle="1">
    <w:name w:val="文档结构图1"/>
    <w:basedOn w:val="781"/>
    <w:link w:val="1124"/>
    <w:uiPriority w:val="99"/>
    <w:unhideWhenUsed/>
    <w:qFormat/>
    <w:rPr>
      <w:rFonts w:ascii="宋体"/>
      <w:sz w:val="18"/>
      <w:szCs w:val="18"/>
    </w:rPr>
  </w:style>
  <w:style w:type="character" w:styleId="1124" w:customStyle="1">
    <w:name w:val="文档结构图 字符"/>
    <w:link w:val="1123"/>
    <w:uiPriority w:val="99"/>
    <w:semiHidden/>
    <w:qFormat/>
    <w:rPr>
      <w:rFonts w:ascii="宋体" w:hAnsi="Times New Roman" w:eastAsia="宋体" w:cs="Times New Roman"/>
      <w:sz w:val="18"/>
      <w:szCs w:val="18"/>
    </w:rPr>
  </w:style>
  <w:style w:type="paragraph" w:styleId="1125" w:customStyle="1">
    <w:name w:val="批注文字1"/>
    <w:basedOn w:val="781"/>
    <w:link w:val="1126"/>
    <w:uiPriority w:val="0"/>
    <w:qFormat/>
    <w:pPr>
      <w:jc w:val="left"/>
    </w:pPr>
  </w:style>
  <w:style w:type="character" w:styleId="1126" w:customStyle="1">
    <w:name w:val="批注文字 字符"/>
    <w:link w:val="1125"/>
    <w:uiPriority w:val="0"/>
    <w:qFormat/>
    <w:rPr>
      <w:rFonts w:ascii="Times New Roman" w:hAnsi="Times New Roman" w:eastAsia="宋体" w:cs="Times New Roman"/>
      <w:sz w:val="21"/>
      <w:szCs w:val="24"/>
    </w:rPr>
  </w:style>
  <w:style w:type="paragraph" w:styleId="1127" w:customStyle="1">
    <w:name w:val="正文文本1"/>
    <w:basedOn w:val="781"/>
    <w:link w:val="1128"/>
    <w:uiPriority w:val="99"/>
    <w:unhideWhenUsed/>
    <w:qFormat/>
    <w:pPr>
      <w:spacing w:after="120"/>
    </w:pPr>
    <w:rPr>
      <w:rFonts w:ascii="Calibri" w:hAnsi="Calibri"/>
    </w:rPr>
  </w:style>
  <w:style w:type="character" w:styleId="1128" w:customStyle="1">
    <w:name w:val="正文文本 字符"/>
    <w:link w:val="1127"/>
    <w:uiPriority w:val="99"/>
    <w:semiHidden/>
    <w:qFormat/>
    <w:rPr>
      <w:rFonts w:ascii="Calibri" w:hAnsi="Calibri" w:eastAsia="宋体" w:cs="Times New Roman"/>
      <w:sz w:val="21"/>
      <w:szCs w:val="24"/>
    </w:rPr>
  </w:style>
  <w:style w:type="paragraph" w:styleId="1129" w:customStyle="1">
    <w:name w:val="正文文本缩进1"/>
    <w:basedOn w:val="781"/>
    <w:next w:val="781"/>
    <w:uiPriority w:val="99"/>
    <w:unhideWhenUsed/>
    <w:qFormat/>
    <w:pPr>
      <w:ind w:left="420"/>
      <w:spacing w:after="120"/>
    </w:pPr>
  </w:style>
  <w:style w:type="paragraph" w:styleId="1130" w:customStyle="1">
    <w:name w:val="文本块1"/>
    <w:basedOn w:val="1115"/>
    <w:next w:val="781"/>
    <w:uiPriority w:val="0"/>
    <w:qFormat/>
    <w:pPr>
      <w:ind w:left="630" w:right="-609" w:firstLine="420"/>
      <w:spacing w:line="360" w:lineRule="auto"/>
    </w:pPr>
    <w:rPr>
      <w:rFonts w:hint="eastAsia" w:ascii="方正仿宋_GB2312" w:eastAsia="方正仿宋_GB2312"/>
    </w:rPr>
  </w:style>
  <w:style w:type="paragraph" w:styleId="1131" w:customStyle="1">
    <w:name w:val="目录 31"/>
    <w:basedOn w:val="781"/>
    <w:next w:val="781"/>
    <w:uiPriority w:val="39"/>
    <w:unhideWhenUsed/>
    <w:qFormat/>
    <w:pPr>
      <w:ind w:left="840"/>
    </w:pPr>
  </w:style>
  <w:style w:type="paragraph" w:styleId="1132" w:customStyle="1">
    <w:name w:val="纯文本11"/>
    <w:basedOn w:val="781"/>
    <w:link w:val="1133"/>
    <w:uiPriority w:val="0"/>
    <w:qFormat/>
    <w:rPr>
      <w:rFonts w:ascii="宋体" w:hAnsi="Courier New" w:eastAsia="方正楷体_GB2312"/>
      <w:sz w:val="26"/>
      <w:szCs w:val="20"/>
    </w:rPr>
  </w:style>
  <w:style w:type="character" w:styleId="1133" w:customStyle="1">
    <w:name w:val="纯文本 字符"/>
    <w:link w:val="1132"/>
    <w:uiPriority w:val="0"/>
    <w:qFormat/>
    <w:rPr>
      <w:rFonts w:ascii="宋体" w:hAnsi="Courier New" w:eastAsia="方正楷体_GB2312"/>
      <w:sz w:val="26"/>
    </w:rPr>
  </w:style>
  <w:style w:type="paragraph" w:styleId="1134" w:customStyle="1">
    <w:name w:val="日期1"/>
    <w:basedOn w:val="781"/>
    <w:next w:val="781"/>
    <w:link w:val="1135"/>
    <w:uiPriority w:val="0"/>
    <w:qFormat/>
    <w:rPr>
      <w:rFonts w:ascii="宋体" w:hAnsi="宋体" w:eastAsia="方正楷体_GB2312"/>
      <w:sz w:val="24"/>
      <w:szCs w:val="20"/>
    </w:rPr>
  </w:style>
  <w:style w:type="character" w:styleId="1135" w:customStyle="1">
    <w:name w:val="日期 字符"/>
    <w:link w:val="1134"/>
    <w:uiPriority w:val="0"/>
    <w:qFormat/>
    <w:rPr>
      <w:rFonts w:ascii="宋体" w:hAnsi="宋体" w:eastAsia="方正楷体_GB2312" w:cs="Times New Roman"/>
      <w:sz w:val="24"/>
    </w:rPr>
  </w:style>
  <w:style w:type="paragraph" w:styleId="1136" w:customStyle="1">
    <w:name w:val="正文文本缩进 21"/>
    <w:basedOn w:val="781"/>
    <w:uiPriority w:val="0"/>
    <w:qFormat/>
    <w:pPr>
      <w:ind w:left="420"/>
      <w:spacing w:after="120" w:line="480" w:lineRule="auto"/>
    </w:pPr>
    <w:rPr>
      <w:rFonts w:ascii="Calibri" w:hAnsi="Calibri"/>
    </w:rPr>
  </w:style>
  <w:style w:type="paragraph" w:styleId="1137" w:customStyle="1">
    <w:name w:val="批注框文本1"/>
    <w:basedOn w:val="781"/>
    <w:link w:val="1138"/>
    <w:uiPriority w:val="0"/>
    <w:qFormat/>
    <w:rPr>
      <w:sz w:val="18"/>
      <w:szCs w:val="18"/>
    </w:rPr>
  </w:style>
  <w:style w:type="character" w:styleId="1138" w:customStyle="1">
    <w:name w:val="批注框文本 字符"/>
    <w:link w:val="1137"/>
    <w:uiPriority w:val="0"/>
    <w:qFormat/>
    <w:rPr>
      <w:rFonts w:ascii="Times New Roman" w:hAnsi="Times New Roman" w:eastAsia="宋体" w:cs="Times New Roman"/>
      <w:sz w:val="18"/>
      <w:szCs w:val="18"/>
    </w:rPr>
  </w:style>
  <w:style w:type="paragraph" w:styleId="1139" w:customStyle="1">
    <w:name w:val="页脚11"/>
    <w:basedOn w:val="781"/>
    <w:link w:val="1140"/>
    <w:uiPriority w:val="99"/>
    <w:qFormat/>
    <w:pPr>
      <w:jc w:val="left"/>
      <w:tabs>
        <w:tab w:val="center" w:pos="4153" w:leader="none"/>
        <w:tab w:val="right" w:pos="8306" w:leader="none"/>
      </w:tabs>
    </w:pPr>
    <w:rPr>
      <w:rFonts w:ascii="Calibri" w:hAnsi="Calibri"/>
      <w:sz w:val="18"/>
      <w:szCs w:val="18"/>
    </w:rPr>
  </w:style>
  <w:style w:type="character" w:styleId="1140" w:customStyle="1">
    <w:name w:val="页脚 字符"/>
    <w:link w:val="1139"/>
    <w:uiPriority w:val="99"/>
    <w:qFormat/>
    <w:rPr>
      <w:rFonts w:ascii="Calibri" w:hAnsi="Calibri" w:eastAsia="宋体" w:cs="Times New Roman"/>
      <w:sz w:val="18"/>
      <w:szCs w:val="18"/>
    </w:rPr>
  </w:style>
  <w:style w:type="paragraph" w:styleId="1141" w:customStyle="1">
    <w:name w:val="寄信人地址11"/>
    <w:basedOn w:val="781"/>
    <w:uiPriority w:val="99"/>
    <w:unhideWhenUsed/>
    <w:qFormat/>
    <w:rPr>
      <w:rFonts w:ascii="Cambria" w:hAnsi="Cambria"/>
    </w:rPr>
  </w:style>
  <w:style w:type="paragraph" w:styleId="1142" w:customStyle="1">
    <w:name w:val="页眉11"/>
    <w:basedOn w:val="781"/>
    <w:link w:val="1143"/>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43" w:customStyle="1">
    <w:name w:val="页眉 字符"/>
    <w:link w:val="1142"/>
    <w:uiPriority w:val="0"/>
    <w:qFormat/>
    <w:rPr>
      <w:rFonts w:ascii="Calibri" w:hAnsi="Calibri" w:eastAsia="宋体" w:cs="Times New Roman"/>
      <w:sz w:val="18"/>
      <w:szCs w:val="18"/>
    </w:rPr>
  </w:style>
  <w:style w:type="paragraph" w:styleId="1144" w:customStyle="1">
    <w:name w:val="目录 11"/>
    <w:basedOn w:val="781"/>
    <w:next w:val="781"/>
    <w:uiPriority w:val="39"/>
    <w:qFormat/>
    <w:pPr>
      <w:jc w:val="left"/>
    </w:pPr>
    <w:rPr>
      <w:rFonts w:ascii="Calibri" w:hAnsi="Calibri" w:eastAsia="方正楷体_GB2312"/>
      <w:sz w:val="24"/>
      <w:szCs w:val="20"/>
    </w:rPr>
  </w:style>
  <w:style w:type="paragraph" w:styleId="1145" w:customStyle="1">
    <w:name w:val="脚注文本1"/>
    <w:basedOn w:val="1115"/>
    <w:next w:val="1130"/>
    <w:uiPriority w:val="0"/>
    <w:qFormat/>
    <w:pPr>
      <w:ind w:firstLine="3584"/>
      <w:spacing w:before="0" w:after="0" w:line="360" w:lineRule="auto"/>
    </w:pPr>
    <w:rPr>
      <w:rFonts w:ascii="Times New Roman" w:hAnsi="Times New Roman"/>
    </w:rPr>
  </w:style>
  <w:style w:type="paragraph" w:styleId="1146" w:customStyle="1">
    <w:name w:val="正文文本缩进 311"/>
    <w:basedOn w:val="781"/>
    <w:link w:val="1147"/>
    <w:uiPriority w:val="0"/>
    <w:qFormat/>
    <w:pPr>
      <w:ind w:firstLine="480"/>
      <w:jc w:val="left"/>
      <w:spacing w:line="440" w:lineRule="atLeast"/>
    </w:pPr>
    <w:rPr>
      <w:sz w:val="24"/>
    </w:rPr>
  </w:style>
  <w:style w:type="character" w:styleId="1147" w:customStyle="1">
    <w:name w:val="正文文本缩进 3 字符"/>
    <w:link w:val="1146"/>
    <w:uiPriority w:val="0"/>
    <w:qFormat/>
    <w:rPr>
      <w:rFonts w:ascii="Times New Roman" w:hAnsi="Times New Roman" w:eastAsia="宋体" w:cs="Times New Roman"/>
      <w:sz w:val="24"/>
      <w:szCs w:val="24"/>
    </w:rPr>
  </w:style>
  <w:style w:type="paragraph" w:styleId="1148" w:customStyle="1">
    <w:name w:val="目录 21"/>
    <w:basedOn w:val="781"/>
    <w:next w:val="781"/>
    <w:uiPriority w:val="39"/>
    <w:unhideWhenUsed/>
    <w:qFormat/>
    <w:pPr>
      <w:ind w:left="420"/>
    </w:pPr>
  </w:style>
  <w:style w:type="paragraph" w:styleId="1149" w:customStyle="1">
    <w:name w:val="普通(网站)11"/>
    <w:basedOn w:val="781"/>
    <w:uiPriority w:val="0"/>
    <w:qFormat/>
    <w:pPr>
      <w:jc w:val="left"/>
      <w:spacing w:beforeAutospacing="1" w:afterAutospacing="1"/>
    </w:pPr>
    <w:rPr>
      <w:sz w:val="24"/>
    </w:rPr>
  </w:style>
  <w:style w:type="paragraph" w:styleId="1150" w:customStyle="1">
    <w:name w:val="批注主题1"/>
    <w:basedOn w:val="1125"/>
    <w:next w:val="1125"/>
    <w:link w:val="1151"/>
    <w:uiPriority w:val="0"/>
    <w:qFormat/>
    <w:rPr>
      <w:b/>
      <w:bCs/>
    </w:rPr>
  </w:style>
  <w:style w:type="character" w:styleId="1151" w:customStyle="1">
    <w:name w:val="批注主题 字符"/>
    <w:link w:val="1150"/>
    <w:uiPriority w:val="0"/>
    <w:qFormat/>
    <w:rPr>
      <w:rFonts w:ascii="Times New Roman" w:hAnsi="Times New Roman" w:eastAsia="宋体" w:cs="Times New Roman"/>
      <w:b/>
      <w:bCs/>
      <w:sz w:val="21"/>
      <w:szCs w:val="24"/>
    </w:rPr>
  </w:style>
  <w:style w:type="paragraph" w:styleId="1152" w:customStyle="1">
    <w:name w:val="正文首行缩进1"/>
    <w:basedOn w:val="1127"/>
    <w:uiPriority w:val="0"/>
    <w:qFormat/>
    <w:pPr>
      <w:ind w:firstLine="420"/>
      <w:spacing w:line="360" w:lineRule="auto"/>
      <w:tabs>
        <w:tab w:val="left" w:pos="5250" w:leader="none"/>
      </w:tabs>
    </w:pPr>
    <w:rPr>
      <w:rFonts w:ascii="宋体" w:hAnsi="宋体"/>
      <w:sz w:val="24"/>
    </w:rPr>
  </w:style>
  <w:style w:type="paragraph" w:styleId="1153" w:customStyle="1">
    <w:name w:val="正文首行缩进 21"/>
    <w:basedOn w:val="1129"/>
    <w:uiPriority w:val="0"/>
    <w:qFormat/>
    <w:pPr>
      <w:ind w:left="570" w:firstLine="420"/>
      <w:spacing w:after="0" w:line="520" w:lineRule="exact"/>
    </w:pPr>
    <w:rPr>
      <w:rFonts w:ascii="方正仿宋简体" w:hAnsi="印品仿宋简 Medium" w:eastAsia="方正仿宋简体"/>
      <w:sz w:val="24"/>
      <w:szCs w:val="20"/>
    </w:rPr>
  </w:style>
  <w:style w:type="table" w:styleId="1154" w:customStyle="1">
    <w:name w:val="网格型1"/>
    <w:basedOn w:val="1120"/>
    <w:uiPriority w:val="0"/>
    <w:qFormat/>
    <w:tblPr/>
  </w:style>
  <w:style w:type="character" w:styleId="1155" w:customStyle="1">
    <w:name w:val="页码11"/>
    <w:uiPriority w:val="0"/>
    <w:qFormat/>
    <w:rPr>
      <w:rFonts w:ascii="Calibri" w:hAnsi="Calibri" w:eastAsia="宋体" w:cs="Times New Roman"/>
    </w:rPr>
  </w:style>
  <w:style w:type="character" w:styleId="1156" w:customStyle="1">
    <w:name w:val="超链接1"/>
    <w:uiPriority w:val="99"/>
    <w:qFormat/>
    <w:rPr>
      <w:rFonts w:ascii="Calibri" w:hAnsi="Calibri" w:eastAsia="宋体" w:cs="Times New Roman"/>
      <w:color w:val="0000ff"/>
      <w:u w:val="single"/>
    </w:rPr>
  </w:style>
  <w:style w:type="character" w:styleId="1157" w:customStyle="1">
    <w:name w:val="批注引用1"/>
    <w:uiPriority w:val="0"/>
    <w:qFormat/>
    <w:rPr>
      <w:rFonts w:ascii="Calibri" w:hAnsi="Calibri" w:eastAsia="宋体" w:cs="Times New Roman"/>
      <w:sz w:val="21"/>
      <w:szCs w:val="21"/>
    </w:rPr>
  </w:style>
  <w:style w:type="character" w:styleId="1158" w:customStyle="1">
    <w:name w:val="脚注引用1"/>
    <w:uiPriority w:val="0"/>
    <w:qFormat/>
    <w:rPr>
      <w:rFonts w:ascii="Times New Roman" w:hAnsi="Times New Roman" w:eastAsia="宋体" w:cs="Times New Roman"/>
      <w:vertAlign w:val="superscript"/>
    </w:rPr>
  </w:style>
  <w:style w:type="character" w:styleId="1159" w:customStyle="1">
    <w:name w:val="s4"/>
    <w:uiPriority w:val="0"/>
    <w:qFormat/>
    <w:rPr>
      <w:rFonts w:ascii="Calibri" w:hAnsi="Calibri" w:eastAsia="宋体" w:cs="Times New Roman"/>
    </w:rPr>
  </w:style>
  <w:style w:type="character" w:styleId="1160" w:customStyle="1">
    <w:name w:val="s1"/>
    <w:uiPriority w:val="0"/>
    <w:qFormat/>
    <w:rPr>
      <w:rFonts w:ascii="Calibri" w:hAnsi="Calibri" w:eastAsia="宋体" w:cs="Times New Roman"/>
    </w:rPr>
  </w:style>
  <w:style w:type="character" w:styleId="1161" w:customStyle="1">
    <w:name w:val="s5"/>
    <w:uiPriority w:val="0"/>
    <w:qFormat/>
    <w:rPr>
      <w:rFonts w:ascii="Calibri" w:hAnsi="Calibri" w:eastAsia="宋体" w:cs="Times New Roman"/>
    </w:rPr>
  </w:style>
  <w:style w:type="character" w:styleId="1162" w:customStyle="1">
    <w:name w:val="纯文本 Char1"/>
    <w:uiPriority w:val="99"/>
    <w:semiHidden/>
    <w:qFormat/>
    <w:rPr>
      <w:rFonts w:ascii="宋体" w:hAnsi="Courier New" w:eastAsia="宋体" w:cs="Courier New"/>
      <w:sz w:val="21"/>
      <w:szCs w:val="21"/>
    </w:rPr>
  </w:style>
  <w:style w:type="character" w:styleId="1163" w:customStyle="1">
    <w:name w:val="页脚 Char1"/>
    <w:uiPriority w:val="0"/>
    <w:qFormat/>
    <w:rPr>
      <w:rFonts w:ascii="Times New Roman" w:hAnsi="Times New Roman" w:eastAsia="宋体" w:cs="Times New Roman"/>
      <w:sz w:val="18"/>
      <w:szCs w:val="18"/>
    </w:rPr>
  </w:style>
  <w:style w:type="character" w:styleId="1164" w:customStyle="1">
    <w:name w:val="页眉 Char1"/>
    <w:uiPriority w:val="0"/>
    <w:qFormat/>
    <w:rPr>
      <w:rFonts w:ascii="Times New Roman" w:hAnsi="Times New Roman" w:eastAsia="宋体" w:cs="Times New Roman"/>
      <w:sz w:val="18"/>
      <w:szCs w:val="18"/>
    </w:rPr>
  </w:style>
  <w:style w:type="character" w:styleId="1165" w:customStyle="1">
    <w:name w:val="s2"/>
    <w:uiPriority w:val="0"/>
    <w:qFormat/>
    <w:rPr>
      <w:rFonts w:ascii="Calibri" w:hAnsi="Calibri" w:eastAsia="宋体" w:cs="Times New Roman"/>
    </w:rPr>
  </w:style>
  <w:style w:type="character" w:styleId="1166" w:customStyle="1">
    <w:name w:val="s3"/>
    <w:uiPriority w:val="0"/>
    <w:qFormat/>
    <w:rPr>
      <w:rFonts w:ascii="Calibri" w:hAnsi="Calibri" w:eastAsia="宋体" w:cs="Times New Roman"/>
    </w:rPr>
  </w:style>
  <w:style w:type="paragraph" w:styleId="1167" w:customStyle="1">
    <w:name w:val="Char Char Char Char Char Char1 Char Char Char Char"/>
    <w:basedOn w:val="781"/>
    <w:next w:val="954"/>
    <w:uiPriority w:val="0"/>
    <w:qFormat/>
    <w:pPr>
      <w:jc w:val="left"/>
      <w:spacing w:line="360" w:lineRule="auto"/>
      <w:shd w:val="clear" w:color="auto" w:fill="000080"/>
      <w:widowControl/>
    </w:pPr>
    <w:rPr>
      <w:sz w:val="24"/>
    </w:rPr>
  </w:style>
  <w:style w:type="paragraph" w:styleId="1168" w:customStyle="1">
    <w:name w:val="p0"/>
    <w:basedOn w:val="781"/>
    <w:uiPriority w:val="0"/>
    <w:qFormat/>
    <w:rPr>
      <w:rFonts w:ascii="Calibri" w:hAnsi="Calibri"/>
    </w:rPr>
  </w:style>
  <w:style w:type="paragraph" w:styleId="1169" w:customStyle="1">
    <w:name w:val="p2"/>
    <w:basedOn w:val="781"/>
    <w:uiPriority w:val="0"/>
    <w:qFormat/>
    <w:pPr>
      <w:jc w:val="left"/>
      <w:spacing w:before="100" w:beforeAutospacing="1" w:after="100" w:afterAutospacing="1"/>
      <w:widowControl/>
    </w:pPr>
    <w:rPr>
      <w:rFonts w:ascii="宋体" w:hAnsi="宋体" w:cs="宋体"/>
      <w:sz w:val="24"/>
    </w:rPr>
  </w:style>
  <w:style w:type="paragraph" w:styleId="1170" w:customStyle="1">
    <w:name w:val="列表段落1"/>
    <w:basedOn w:val="781"/>
    <w:uiPriority w:val="0"/>
    <w:qFormat/>
    <w:pPr>
      <w:ind w:firstLine="420"/>
    </w:pPr>
    <w:rPr>
      <w:rFonts w:ascii="Calibri" w:hAnsi="Calibri"/>
      <w:szCs w:val="22"/>
    </w:rPr>
  </w:style>
  <w:style w:type="paragraph" w:styleId="1171" w:customStyle="1">
    <w:name w:val="正文_0"/>
    <w:uiPriority w:val="0"/>
    <w:qFormat/>
    <w:rPr>
      <w:rFonts w:ascii="Times New Roman" w:hAnsi="Times New Roman" w:eastAsia="宋体" w:cs="Times New Roman"/>
      <w:sz w:val="21"/>
      <w:lang w:val="en-US" w:eastAsia="zh-CN" w:bidi="ar-SA"/>
    </w:rPr>
  </w:style>
  <w:style w:type="paragraph" w:styleId="1172" w:customStyle="1">
    <w:name w:val="p4"/>
    <w:basedOn w:val="781"/>
    <w:uiPriority w:val="0"/>
    <w:qFormat/>
    <w:pPr>
      <w:jc w:val="left"/>
      <w:spacing w:before="100" w:beforeAutospacing="1" w:after="100" w:afterAutospacing="1"/>
      <w:widowControl/>
    </w:pPr>
    <w:rPr>
      <w:rFonts w:ascii="宋体" w:hAnsi="宋体" w:cs="宋体"/>
      <w:sz w:val="24"/>
    </w:rPr>
  </w:style>
  <w:style w:type="paragraph" w:styleId="1173" w:customStyle="1">
    <w:name w:val="Char Char1 Char Char Char Char Char Char"/>
    <w:basedOn w:val="781"/>
    <w:uiPriority w:val="0"/>
    <w:qFormat/>
    <w:pPr>
      <w:jc w:val="left"/>
      <w:spacing w:after="160" w:line="240" w:lineRule="exact"/>
      <w:widowControl/>
    </w:pPr>
    <w:rPr>
      <w:rFonts w:ascii="Verdana" w:hAnsi="Verdana" w:eastAsia="方正仿宋_GB2312"/>
      <w:sz w:val="24"/>
      <w:szCs w:val="20"/>
      <w:lang w:eastAsia="en-US"/>
    </w:rPr>
  </w:style>
  <w:style w:type="paragraph" w:styleId="1174" w:customStyle="1">
    <w:name w:val="纯文本3"/>
    <w:basedOn w:val="781"/>
    <w:uiPriority w:val="0"/>
    <w:qFormat/>
    <w:pPr>
      <w:jc w:val="left"/>
      <w:widowControl/>
    </w:pPr>
    <w:rPr>
      <w:rFonts w:ascii="宋体" w:hAnsi="Courier New" w:eastAsia="方正楷体_GB2312"/>
      <w:sz w:val="26"/>
      <w:szCs w:val="20"/>
    </w:rPr>
  </w:style>
  <w:style w:type="paragraph" w:styleId="1175" w:customStyle="1">
    <w:name w:val="列出段落1"/>
    <w:basedOn w:val="1171"/>
    <w:uiPriority w:val="0"/>
    <w:qFormat/>
    <w:pPr>
      <w:ind w:firstLine="420"/>
      <w:jc w:val="both"/>
      <w:widowControl w:val="off"/>
    </w:pPr>
    <w:rPr>
      <w:rFonts w:ascii="Calibri" w:hAnsi="Calibri"/>
      <w:szCs w:val="24"/>
    </w:rPr>
  </w:style>
  <w:style w:type="paragraph" w:styleId="1176" w:customStyle="1">
    <w:name w:val="p3"/>
    <w:basedOn w:val="781"/>
    <w:uiPriority w:val="0"/>
    <w:qFormat/>
    <w:pPr>
      <w:jc w:val="left"/>
      <w:spacing w:before="100" w:beforeAutospacing="1" w:after="100" w:afterAutospacing="1"/>
      <w:widowControl/>
    </w:pPr>
    <w:rPr>
      <w:rFonts w:ascii="宋体" w:hAnsi="宋体" w:cs="宋体"/>
      <w:sz w:val="24"/>
    </w:rPr>
  </w:style>
  <w:style w:type="paragraph" w:styleId="1177" w:customStyle="1">
    <w:name w:val="p6"/>
    <w:basedOn w:val="781"/>
    <w:uiPriority w:val="0"/>
    <w:qFormat/>
    <w:pPr>
      <w:jc w:val="left"/>
      <w:spacing w:before="100" w:beforeAutospacing="1" w:after="100" w:afterAutospacing="1"/>
      <w:widowControl/>
    </w:pPr>
    <w:rPr>
      <w:rFonts w:ascii="宋体" w:hAnsi="宋体" w:cs="宋体"/>
      <w:sz w:val="24"/>
    </w:rPr>
  </w:style>
  <w:style w:type="paragraph" w:styleId="1178" w:customStyle="1">
    <w:name w:val="首行缩进:  0.74 厘米 行距: 多倍行距 1.3 字行"/>
    <w:basedOn w:val="781"/>
    <w:uiPriority w:val="0"/>
    <w:qFormat/>
    <w:pPr>
      <w:ind w:firstLine="420"/>
      <w:spacing w:line="312" w:lineRule="auto"/>
    </w:pPr>
    <w:rPr>
      <w:rFonts w:ascii="Calibri" w:hAnsi="Calibri" w:cs="宋体"/>
      <w:sz w:val="24"/>
      <w:szCs w:val="20"/>
    </w:rPr>
  </w:style>
  <w:style w:type="paragraph" w:styleId="1179" w:customStyle="1">
    <w:name w:val="p7"/>
    <w:basedOn w:val="781"/>
    <w:uiPriority w:val="0"/>
    <w:qFormat/>
    <w:pPr>
      <w:jc w:val="left"/>
      <w:spacing w:before="100" w:beforeAutospacing="1" w:after="100" w:afterAutospacing="1"/>
      <w:widowControl/>
    </w:pPr>
    <w:rPr>
      <w:rFonts w:ascii="宋体" w:hAnsi="宋体" w:cs="宋体"/>
      <w:sz w:val="24"/>
    </w:rPr>
  </w:style>
  <w:style w:type="paragraph" w:styleId="1180" w:customStyle="1">
    <w:name w:val="+正文"/>
    <w:basedOn w:val="781"/>
    <w:uiPriority w:val="0"/>
    <w:qFormat/>
    <w:pPr>
      <w:ind w:firstLine="200"/>
      <w:spacing w:line="360" w:lineRule="auto"/>
    </w:pPr>
    <w:rPr>
      <w:sz w:val="24"/>
      <w:szCs w:val="20"/>
    </w:rPr>
  </w:style>
  <w:style w:type="paragraph" w:styleId="1181" w:customStyle="1">
    <w:name w:val="Char"/>
    <w:basedOn w:val="781"/>
    <w:uiPriority w:val="0"/>
    <w:qFormat/>
    <w:rPr>
      <w:rFonts w:ascii="Tahoma" w:hAnsi="Tahoma"/>
      <w:sz w:val="24"/>
      <w:szCs w:val="20"/>
    </w:rPr>
  </w:style>
  <w:style w:type="paragraph" w:styleId="1182" w:customStyle="1">
    <w:name w:val="p1"/>
    <w:basedOn w:val="781"/>
    <w:uiPriority w:val="0"/>
    <w:qFormat/>
    <w:pPr>
      <w:jc w:val="left"/>
      <w:spacing w:before="100" w:beforeAutospacing="1" w:after="100" w:afterAutospacing="1"/>
      <w:widowControl/>
    </w:pPr>
    <w:rPr>
      <w:rFonts w:ascii="宋体" w:hAnsi="宋体" w:cs="宋体"/>
      <w:sz w:val="24"/>
    </w:rPr>
  </w:style>
  <w:style w:type="paragraph" w:styleId="1183" w:customStyle="1">
    <w:name w:val="正文 A A"/>
    <w:uiPriority w:val="0"/>
    <w:qFormat/>
    <w:pPr>
      <w:jc w:val="both"/>
      <w:widowControl w:val="off"/>
      <w:framePr w:wrap="around" w:vAnchor="margin" w:hAnchor="text" w:yAlign="top"/>
    </w:pPr>
    <w:rPr>
      <w:rFonts w:hint="eastAsia" w:ascii="Arial Unicode MS" w:hAnsi="Arial Unicode MS" w:eastAsia="Times New Roman" w:cs="Arial Unicode MS"/>
      <w:color w:val="000000"/>
      <w:sz w:val="21"/>
      <w:szCs w:val="21"/>
      <w:lang w:val="en-US" w:eastAsia="zh-CN" w:bidi="ar-SA"/>
    </w:rPr>
  </w:style>
  <w:style w:type="paragraph" w:styleId="1184" w:customStyle="1">
    <w:name w:val="Plain Text1"/>
    <w:basedOn w:val="781"/>
    <w:uiPriority w:val="0"/>
    <w:qFormat/>
    <w:rPr>
      <w:rFonts w:ascii="宋体" w:hAnsi="Courier New" w:eastAsia="方正楷体_GB2312"/>
      <w:sz w:val="26"/>
      <w:szCs w:val="20"/>
    </w:rPr>
  </w:style>
  <w:style w:type="paragraph" w:styleId="1185" w:customStyle="1">
    <w:name w:val="正文 A"/>
    <w:next w:val="869"/>
    <w:uiPriority w:val="99"/>
    <w:qFormat/>
    <w:pPr>
      <w:jc w:val="both"/>
      <w:widowControl w:val="off"/>
      <w:framePr w:wrap="around" w:vAnchor="margin" w:hAnchor="text" w:y="1"/>
    </w:pPr>
    <w:rPr>
      <w:rFonts w:ascii="Times New Roman" w:hAnsi="Times New Roman" w:eastAsia="宋体" w:cs="Times New Roman"/>
      <w:color w:val="000000"/>
      <w:sz w:val="30"/>
      <w:szCs w:val="30"/>
      <w:lang w:val="en-US" w:eastAsia="zh-CN" w:bidi="ar-SA"/>
    </w:rPr>
  </w:style>
  <w:style w:type="paragraph" w:styleId="1186" w:customStyle="1">
    <w:name w:val="List Paragraph11"/>
    <w:basedOn w:val="781"/>
    <w:uiPriority w:val="0"/>
    <w:qFormat/>
    <w:pPr>
      <w:ind w:firstLine="420"/>
    </w:pPr>
    <w:rPr>
      <w:rFonts w:ascii="Calibri" w:hAnsi="Calibri"/>
    </w:rPr>
  </w:style>
  <w:style w:type="paragraph" w:styleId="1187" w:customStyle="1">
    <w:name w:val="纯文本1"/>
    <w:basedOn w:val="781"/>
    <w:uiPriority w:val="0"/>
    <w:qFormat/>
    <w:rPr>
      <w:rFonts w:ascii="宋体" w:hAnsi="Courier New" w:eastAsia="方正楷体_GB2312"/>
      <w:sz w:val="28"/>
      <w:szCs w:val="20"/>
    </w:rPr>
  </w:style>
  <w:style w:type="paragraph" w:styleId="1188" w:customStyle="1">
    <w:name w:val="xl47"/>
    <w:basedOn w:val="7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189" w:customStyle="1">
    <w:name w:val="TOC 标题2"/>
    <w:basedOn w:val="1115"/>
    <w:next w:val="781"/>
    <w:uiPriority w:val="39"/>
    <w:qFormat/>
    <w:pPr>
      <w:jc w:val="left"/>
      <w:spacing w:before="480" w:after="0" w:line="276" w:lineRule="auto"/>
      <w:widowControl/>
      <w:outlineLvl w:val="9"/>
    </w:pPr>
    <w:rPr>
      <w:rFonts w:ascii="Cambria" w:hAnsi="Cambria" w:eastAsia="宋体"/>
      <w:bCs/>
      <w:color w:val="365f91"/>
      <w:sz w:val="28"/>
      <w:szCs w:val="28"/>
    </w:rPr>
  </w:style>
  <w:style w:type="paragraph" w:styleId="1190" w:customStyle="1">
    <w:name w:val="纯文本2"/>
    <w:basedOn w:val="781"/>
    <w:uiPriority w:val="0"/>
    <w:qFormat/>
    <w:rPr>
      <w:rFonts w:ascii="宋体" w:hAnsi="Courier New" w:eastAsia="方正楷体_GB2312"/>
      <w:sz w:val="26"/>
      <w:szCs w:val="20"/>
    </w:rPr>
  </w:style>
  <w:style w:type="character" w:styleId="1191" w:customStyle="1">
    <w:name w:val="font11"/>
    <w:uiPriority w:val="0"/>
    <w:qFormat/>
    <w:rPr>
      <w:rFonts w:hint="eastAsia" w:ascii="宋体" w:hAnsi="宋体" w:eastAsia="宋体" w:cs="宋体"/>
      <w:color w:val="000000"/>
      <w:sz w:val="22"/>
      <w:szCs w:val="22"/>
      <w:u w:val="none"/>
    </w:rPr>
  </w:style>
  <w:style w:type="character" w:styleId="1192" w:customStyle="1">
    <w:name w:val="font01"/>
    <w:uiPriority w:val="0"/>
    <w:qFormat/>
    <w:rPr>
      <w:rFonts w:hint="eastAsia" w:ascii="宋体" w:hAnsi="宋体" w:eastAsia="宋体" w:cs="宋体"/>
      <w:color w:val="000000"/>
      <w:sz w:val="21"/>
      <w:szCs w:val="21"/>
      <w:u w:val="none"/>
    </w:rPr>
  </w:style>
  <w:style w:type="character" w:styleId="1193" w:customStyle="1">
    <w:name w:val="font31"/>
    <w:uiPriority w:val="0"/>
    <w:qFormat/>
    <w:rPr>
      <w:rFonts w:hint="eastAsia" w:ascii="宋体" w:hAnsi="宋体" w:eastAsia="宋体" w:cs="宋体"/>
      <w:color w:val="000000"/>
      <w:sz w:val="22"/>
      <w:szCs w:val="22"/>
      <w:u w:val="none"/>
    </w:rPr>
  </w:style>
  <w:style w:type="character" w:styleId="1194" w:customStyle="1">
    <w:name w:val="font51"/>
    <w:uiPriority w:val="0"/>
    <w:qFormat/>
    <w:rPr>
      <w:rFonts w:hint="eastAsia" w:ascii="宋体" w:hAnsi="宋体" w:eastAsia="宋体" w:cs="宋体"/>
      <w:color w:val="000000"/>
      <w:sz w:val="21"/>
      <w:szCs w:val="21"/>
      <w:u w:val="none"/>
    </w:rPr>
  </w:style>
  <w:style w:type="paragraph" w:styleId="1195" w:customStyle="1">
    <w:name w:val="Table Text"/>
    <w:basedOn w:val="781"/>
    <w:uiPriority w:val="0"/>
    <w:semiHidden/>
    <w:qFormat/>
    <w:rPr>
      <w:rFonts w:ascii="宋体" w:hAnsi="宋体" w:cs="宋体"/>
      <w:sz w:val="14"/>
      <w:szCs w:val="14"/>
      <w:lang w:eastAsia="en-US"/>
    </w:rPr>
  </w:style>
  <w:style w:type="table" w:styleId="1196" w:customStyle="1">
    <w:name w:val="Table Normal_0"/>
    <w:uiPriority w:val="0"/>
    <w:unhideWhenUsed/>
    <w:qFormat/>
    <w:tblPr>
      <w:tblCellMar>
        <w:left w:w="0" w:type="dxa"/>
        <w:top w:w="0" w:type="dxa"/>
        <w:right w:w="0" w:type="dxa"/>
        <w:bottom w:w="0" w:type="dxa"/>
      </w:tblCellMar>
    </w:tblPr>
  </w:style>
  <w:style w:type="character" w:styleId="1197" w:customStyle="1">
    <w:name w:val="未处理的提及1"/>
    <w:uiPriority w:val="99"/>
    <w:unhideWhenUsed/>
    <w:qFormat/>
    <w:rPr>
      <w:rFonts w:ascii="Calibri" w:hAnsi="Calibri" w:eastAsia="宋体" w:cs="Times New Roman"/>
      <w:color w:val="605e5c"/>
      <w:shd w:val="clear" w:color="auto" w:fill="e1dfdd"/>
    </w:rPr>
  </w:style>
  <w:style w:type="paragraph" w:styleId="1198" w:customStyle="1">
    <w:name w:val="页眉1"/>
    <w:basedOn w:val="781"/>
    <w:uiPriority w:val="0"/>
    <w:qFormat/>
    <w:pPr>
      <w:jc w:val="center"/>
      <w:tabs>
        <w:tab w:val="center" w:pos="4153" w:leader="none"/>
        <w:tab w:val="right" w:pos="8306" w:leader="none"/>
      </w:tabs>
    </w:pPr>
    <w:rPr>
      <w:sz w:val="18"/>
      <w:szCs w:val="18"/>
    </w:rPr>
  </w:style>
  <w:style w:type="paragraph" w:styleId="1199" w:customStyle="1">
    <w:name w:val="页脚1"/>
    <w:basedOn w:val="1115"/>
    <w:next w:val="1200"/>
    <w:uiPriority w:val="99"/>
    <w:qFormat/>
    <w:pPr>
      <w:jc w:val="left"/>
      <w:tabs>
        <w:tab w:val="center" w:pos="4153" w:leader="none"/>
        <w:tab w:val="right" w:pos="8306" w:leader="none"/>
      </w:tabs>
    </w:pPr>
    <w:rPr>
      <w:sz w:val="18"/>
      <w:szCs w:val="18"/>
    </w:rPr>
  </w:style>
  <w:style w:type="paragraph" w:styleId="1200" w:customStyle="1">
    <w:name w:val="Char Char Char Char Char Char Char Char Char Char Char Char Char"/>
    <w:basedOn w:val="1115"/>
    <w:next w:val="781"/>
    <w:uiPriority w:val="0"/>
    <w:qFormat/>
    <w:pPr>
      <w:ind w:firstLine="3584"/>
      <w:spacing w:before="0" w:after="160" w:line="240" w:lineRule="exact"/>
    </w:pPr>
  </w:style>
  <w:style w:type="paragraph" w:styleId="1201" w:customStyle="1">
    <w:name w:val="纯文本4"/>
    <w:basedOn w:val="781"/>
    <w:uiPriority w:val="0"/>
    <w:qFormat/>
    <w:rPr>
      <w:rFonts w:ascii="宋体" w:hAnsi="Courier New" w:eastAsia="方正楷体_GB2312"/>
      <w:sz w:val="26"/>
      <w:szCs w:val="20"/>
    </w:rPr>
  </w:style>
  <w:style w:type="character" w:styleId="1202" w:customStyle="1">
    <w:name w:val="font131"/>
    <w:uiPriority w:val="0"/>
    <w:qFormat/>
    <w:rPr>
      <w:rFonts w:hint="eastAsia" w:ascii="宋体" w:hAnsi="宋体" w:eastAsia="宋体" w:cs="宋体"/>
      <w:color w:val="000000"/>
      <w:sz w:val="21"/>
      <w:szCs w:val="21"/>
      <w:u w:val="single"/>
    </w:rPr>
  </w:style>
  <w:style w:type="character" w:styleId="1203" w:customStyle="1">
    <w:name w:val="font81"/>
    <w:uiPriority w:val="0"/>
    <w:qFormat/>
    <w:rPr>
      <w:rFonts w:hint="eastAsia" w:ascii="宋体" w:hAnsi="宋体" w:eastAsia="宋体" w:cs="宋体"/>
      <w:color w:val="000000"/>
      <w:sz w:val="21"/>
      <w:szCs w:val="21"/>
      <w:u w:val="none"/>
    </w:rPr>
  </w:style>
  <w:style w:type="character" w:styleId="1204" w:customStyle="1">
    <w:name w:val="font141"/>
    <w:uiPriority w:val="0"/>
    <w:qFormat/>
    <w:rPr>
      <w:rFonts w:ascii="Arial" w:hAnsi="Arial" w:cs="Arial"/>
      <w:color w:val="000000"/>
      <w:sz w:val="21"/>
      <w:szCs w:val="21"/>
      <w:u w:val="none"/>
    </w:rPr>
  </w:style>
  <w:style w:type="character" w:styleId="1205" w:customStyle="1">
    <w:name w:val="font151"/>
    <w:uiPriority w:val="0"/>
    <w:qFormat/>
    <w:rPr>
      <w:rFonts w:ascii="Calibri" w:hAnsi="Calibri" w:cs="Calibri"/>
      <w:color w:val="ff0000"/>
      <w:sz w:val="21"/>
      <w:szCs w:val="21"/>
      <w:u w:val="none"/>
    </w:rPr>
  </w:style>
  <w:style w:type="character" w:styleId="1206" w:customStyle="1">
    <w:name w:val="font122"/>
    <w:uiPriority w:val="0"/>
    <w:qFormat/>
    <w:rPr>
      <w:rFonts w:hint="eastAsia" w:ascii="宋体" w:hAnsi="宋体" w:eastAsia="宋体" w:cs="宋体"/>
      <w:color w:val="ff0000"/>
      <w:sz w:val="21"/>
      <w:szCs w:val="21"/>
      <w:u w:val="none"/>
    </w:rPr>
  </w:style>
  <w:style w:type="character" w:styleId="1207" w:customStyle="1">
    <w:name w:val="font12"/>
    <w:uiPriority w:val="0"/>
    <w:qFormat/>
    <w:rPr>
      <w:rFonts w:ascii="Arial" w:hAnsi="Arial" w:cs="Arial"/>
      <w:color w:val="000000"/>
      <w:sz w:val="18"/>
      <w:szCs w:val="18"/>
      <w:u w:val="none"/>
    </w:rPr>
  </w:style>
  <w:style w:type="character" w:styleId="1208" w:customStyle="1">
    <w:name w:val="font161"/>
    <w:uiPriority w:val="0"/>
    <w:qFormat/>
    <w:rPr>
      <w:rFonts w:hint="eastAsia" w:ascii="宋体" w:hAnsi="宋体" w:eastAsia="宋体" w:cs="宋体"/>
      <w:color w:val="000000"/>
      <w:sz w:val="18"/>
      <w:szCs w:val="18"/>
      <w:u w:val="none"/>
    </w:rPr>
  </w:style>
  <w:style w:type="paragraph" w:styleId="1209" w:customStyle="1">
    <w:name w:val="正文文本缩进 31"/>
    <w:basedOn w:val="781"/>
    <w:uiPriority w:val="0"/>
    <w:qFormat/>
    <w:pPr>
      <w:ind w:firstLine="617"/>
      <w:spacing w:line="360" w:lineRule="auto"/>
    </w:pPr>
    <w:rPr>
      <w:sz w:val="24"/>
    </w:rPr>
  </w:style>
  <w:style w:type="paragraph" w:styleId="1210" w:customStyle="1">
    <w:name w:val="正文缩进11"/>
    <w:basedOn w:val="781"/>
    <w:next w:val="781"/>
    <w:uiPriority w:val="0"/>
    <w:qFormat/>
    <w:pPr>
      <w:ind w:firstLine="420"/>
      <w:jc w:val="left"/>
    </w:pPr>
    <w:rPr>
      <w:rFonts w:eastAsia="方正楷体_GB2312"/>
      <w:sz w:val="24"/>
      <w:szCs w:val="20"/>
    </w:rPr>
  </w:style>
  <w:style w:type="paragraph" w:styleId="1211" w:customStyle="1">
    <w:name w:val="正文缩进1"/>
    <w:basedOn w:val="781"/>
    <w:next w:val="781"/>
    <w:uiPriority w:val="0"/>
    <w:qFormat/>
    <w:pPr>
      <w:ind w:firstLine="200"/>
    </w:pPr>
    <w:rPr>
      <w:sz w:val="24"/>
    </w:rPr>
  </w:style>
  <w:style w:type="paragraph" w:styleId="1212" w:customStyle="1">
    <w:name w:val="普通(网站)1"/>
    <w:basedOn w:val="781"/>
    <w:uiPriority w:val="0"/>
    <w:qFormat/>
    <w:pPr>
      <w:jc w:val="left"/>
      <w:spacing w:before="100" w:beforeAutospacing="1" w:after="100" w:afterAutospacing="1"/>
      <w:widowControl/>
    </w:pPr>
    <w:rPr>
      <w:rFonts w:ascii="宋体" w:hAnsi="宋体"/>
      <w:sz w:val="24"/>
    </w:rPr>
  </w:style>
  <w:style w:type="paragraph" w:styleId="1213" w:customStyle="1">
    <w:name w:val="纯文本111"/>
    <w:basedOn w:val="781"/>
    <w:uiPriority w:val="0"/>
    <w:qFormat/>
    <w:rPr>
      <w:rFonts w:ascii="宋体" w:hAnsi="Courier New" w:eastAsia="方正楷体_GB2312"/>
      <w:sz w:val="28"/>
      <w:szCs w:val="20"/>
    </w:rPr>
  </w:style>
  <w:style w:type="paragraph" w:styleId="1214" w:customStyle="1">
    <w:name w:val="正文文本缩进11"/>
    <w:basedOn w:val="781"/>
    <w:next w:val="1215"/>
    <w:uiPriority w:val="0"/>
    <w:qFormat/>
    <w:pPr>
      <w:ind w:left="570"/>
      <w:spacing w:line="520" w:lineRule="exact"/>
    </w:pPr>
    <w:rPr>
      <w:rFonts w:ascii="方正仿宋简体" w:hAnsi="印品仿宋简 Medium" w:eastAsia="方正仿宋简体"/>
      <w:sz w:val="24"/>
      <w:szCs w:val="20"/>
    </w:rPr>
  </w:style>
  <w:style w:type="paragraph" w:styleId="1215" w:customStyle="1">
    <w:name w:val="目录 51"/>
    <w:next w:val="781"/>
    <w:uiPriority w:val="0"/>
    <w:qFormat/>
    <w:pPr>
      <w:ind w:left="1275"/>
      <w:jc w:val="both"/>
    </w:pPr>
    <w:rPr>
      <w:rFonts w:ascii="Times New Roman" w:hAnsi="Times New Roman" w:eastAsia="宋体" w:cs="Times New Roman"/>
      <w:sz w:val="21"/>
      <w:lang w:val="en-US" w:eastAsia="zh-CN" w:bidi="ar-SA"/>
    </w:rPr>
  </w:style>
  <w:style w:type="paragraph" w:styleId="1216" w:customStyle="1">
    <w:name w:val="寄信人地址1"/>
    <w:basedOn w:val="781"/>
    <w:uiPriority w:val="0"/>
    <w:qFormat/>
    <w:rPr>
      <w:rFonts w:ascii="Arial" w:hAnsi="Arial" w:eastAsia="方正楷体_GB2312"/>
      <w:sz w:val="26"/>
      <w:szCs w:val="20"/>
    </w:rPr>
  </w:style>
  <w:style w:type="paragraph" w:styleId="1217" w:customStyle="1">
    <w:name w:val="纯文本5"/>
    <w:basedOn w:val="781"/>
    <w:uiPriority w:val="0"/>
    <w:qFormat/>
    <w:rPr>
      <w:rFonts w:hint="eastAsia" w:ascii="宋体" w:hAnsi="Courier New" w:eastAsia="方正楷体_GB2312"/>
      <w:sz w:val="28"/>
    </w:rPr>
  </w:style>
  <w:style w:type="character" w:styleId="1218" w:customStyle="1">
    <w:name w:val="批注文字 字符1"/>
    <w:basedOn w:val="791"/>
    <w:link w:val="796"/>
    <w:uiPriority w:val="99"/>
    <w:semiHidden/>
    <w:qFormat/>
    <w:rPr>
      <w:sz w:val="21"/>
      <w:szCs w:val="24"/>
    </w:rPr>
  </w:style>
  <w:style w:type="table" w:styleId="1219" w:customStyle="1">
    <w:name w:val="Table Normal"/>
    <w:uiPriority w:val="0"/>
    <w:unhideWhenUsed/>
    <w:qFormat/>
    <w:tblPr>
      <w:tblCellMar>
        <w:left w:w="0" w:type="dxa"/>
        <w:top w:w="0" w:type="dxa"/>
        <w:right w:w="0" w:type="dxa"/>
        <w:bottom w:w="0" w:type="dxa"/>
      </w:tblCellMar>
    </w:tblPr>
  </w:style>
  <w:style w:type="numbering" w:styleId="217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孙继伟</cp:lastModifiedBy>
  <cp:revision>4</cp:revision>
  <dcterms:created xsi:type="dcterms:W3CDTF">2026-06-24T02:31:00Z</dcterms:created>
  <dcterms:modified xsi:type="dcterms:W3CDTF">2026-10-15T08:15:36Z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07B1E3690DA64E9E8D1AC9AD64A08CBD_13</vt:lpwstr>
  </property>
  <property fmtid="{D5CDD505-2E9C-101B-9397-08002B2CF9AE}" pid="3" name="KSOProductBuildVer">
    <vt:lpwstr>2052-12.1.0.29161</vt:lpwstr>
  </property>
  <property fmtid="{D5CDD505-2E9C-101B-9397-08002B2CF9AE}" pid="4" name="KSOTemplateDocerSaveRecord">
    <vt:lpwstr>eyJoZGlkIjoiMmI0NWM4MGU0ZDBmMDk3MTdhNTY5OTE4ZWQ1Y2NkYzciLCJ1c2VySWQiOiI2MTIwNzA1MTgifQ==</vt:lpwstr>
  </property>
</Properties>
</file>